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52"/>
          <w:szCs w:val="52"/>
          <w:highlight w:val="none"/>
          <w:lang w:eastAsia="zh-CN"/>
        </w:rPr>
      </w:pPr>
      <w:r>
        <w:rPr>
          <w:rFonts w:hint="eastAsia" w:ascii="仿宋" w:hAnsi="仿宋" w:eastAsia="仿宋" w:cs="仿宋"/>
          <w:b/>
          <w:sz w:val="52"/>
          <w:szCs w:val="52"/>
          <w:highlight w:val="none"/>
          <w:lang w:eastAsia="zh-CN"/>
        </w:rPr>
        <w:t>绍兴市交通运输行政执法队2024年绍兴市公交运行监管服务系统维保项目</w:t>
      </w:r>
    </w:p>
    <w:p>
      <w:pPr>
        <w:pStyle w:val="80"/>
        <w:rPr>
          <w:rFonts w:ascii="仿宋" w:hAnsi="仿宋" w:eastAsia="仿宋" w:cs="仿宋"/>
          <w:b/>
          <w:sz w:val="72"/>
          <w:szCs w:val="72"/>
          <w:highlight w:val="none"/>
        </w:rPr>
      </w:pPr>
    </w:p>
    <w:p>
      <w:pPr>
        <w:pStyle w:val="81"/>
        <w:rPr>
          <w:rFonts w:ascii="仿宋" w:hAnsi="仿宋" w:eastAsia="仿宋" w:cs="仿宋"/>
          <w:b/>
          <w:sz w:val="21"/>
          <w:szCs w:val="21"/>
          <w:highlight w:val="none"/>
        </w:rPr>
      </w:pPr>
    </w:p>
    <w:p>
      <w:pPr>
        <w:rPr>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pStyle w:val="2"/>
      </w:pPr>
    </w:p>
    <w:p>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招标编号:ZJDT-R-24011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ascii="仿宋" w:hAnsi="仿宋" w:eastAsia="仿宋" w:cs="仿宋"/>
                <w:sz w:val="28"/>
                <w:szCs w:val="28"/>
                <w:highlight w:val="none"/>
              </w:rPr>
            </w:pPr>
            <w:r>
              <w:rPr>
                <w:rFonts w:hint="eastAsia" w:ascii="仿宋" w:hAnsi="仿宋" w:eastAsia="仿宋" w:cs="仿宋"/>
                <w:sz w:val="28"/>
                <w:szCs w:val="28"/>
                <w:highlight w:val="none"/>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_GB2312"/>
                <w:color w:val="000000" w:themeColor="text1"/>
                <w:sz w:val="28"/>
                <w:szCs w:val="28"/>
                <w:highlight w:val="none"/>
                <w14:textFill>
                  <w14:solidFill>
                    <w14:schemeClr w14:val="tx1"/>
                  </w14:solidFill>
                </w14:textFill>
              </w:rPr>
              <w:t>浙江东腾利成招标代理有限公司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_GB2312"/>
                <w:color w:val="000000" w:themeColor="text1"/>
                <w:sz w:val="28"/>
                <w:szCs w:val="28"/>
                <w:highlight w:val="none"/>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二○二四年四月</w:t>
            </w:r>
          </w:p>
        </w:tc>
      </w:tr>
    </w:tbl>
    <w:p>
      <w:pPr>
        <w:pStyle w:val="636"/>
        <w:rPr>
          <w:rFonts w:ascii="仿宋" w:hAnsi="仿宋" w:eastAsia="仿宋" w:cs="仿宋"/>
          <w:highlight w:val="none"/>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pPr>
        <w:pStyle w:val="636"/>
        <w:spacing w:before="0" w:after="0" w:line="360" w:lineRule="auto"/>
        <w:ind w:left="0" w:firstLine="0"/>
        <w:rPr>
          <w:rFonts w:ascii="仿宋" w:hAnsi="仿宋" w:eastAsia="仿宋" w:cs="仿宋"/>
          <w:highlight w:val="none"/>
        </w:rPr>
      </w:pPr>
    </w:p>
    <w:p>
      <w:pPr>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1"/>
    <w:p>
      <w:pPr>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sz w:val="36"/>
          <w:szCs w:val="20"/>
          <w:highlight w:val="none"/>
        </w:rPr>
      </w:pP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绍兴市交通运输行政执法队2024年绍兴市公交运行监管服务系统维保项目</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05</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08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项目编号：</w:t>
      </w:r>
      <w:r>
        <w:rPr>
          <w:rFonts w:hint="eastAsia" w:ascii="仿宋" w:hAnsi="仿宋" w:eastAsia="仿宋" w:cs="仿宋"/>
          <w:bCs/>
          <w:sz w:val="24"/>
          <w:highlight w:val="none"/>
        </w:rPr>
        <w:t>ZJDT-R-24011</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Cs/>
          <w:sz w:val="24"/>
          <w:highlight w:val="none"/>
          <w:lang w:eastAsia="zh-CN"/>
        </w:rPr>
        <w:t>绍兴市交通运输行政执法队2024年绍兴市公交运行监管服务系统维保项目</w:t>
      </w:r>
      <w:r>
        <w:rPr>
          <w:rFonts w:hint="eastAsia" w:ascii="仿宋" w:hAnsi="仿宋" w:eastAsia="仿宋" w:cs="仿宋"/>
          <w:sz w:val="24"/>
          <w:highlight w:val="none"/>
        </w:rPr>
        <w:t xml:space="preserve"> </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w:t>
      </w:r>
      <w:r>
        <w:rPr>
          <w:rFonts w:hint="eastAsia" w:ascii="仿宋" w:hAnsi="仿宋" w:eastAsia="仿宋" w:cs="仿宋"/>
          <w:bCs/>
          <w:sz w:val="24"/>
          <w:highlight w:val="none"/>
        </w:rPr>
        <w:t xml:space="preserve">180000 </w:t>
      </w:r>
    </w:p>
    <w:p>
      <w:pPr>
        <w:spacing w:line="360" w:lineRule="auto"/>
        <w:ind w:firstLine="482" w:firstLineChars="200"/>
        <w:rPr>
          <w:rFonts w:ascii="仿宋" w:hAnsi="仿宋" w:eastAsia="仿宋" w:cs="仿宋"/>
          <w:bCs/>
          <w:sz w:val="24"/>
          <w:highlight w:val="none"/>
        </w:rPr>
      </w:pPr>
      <w:r>
        <w:rPr>
          <w:rFonts w:hint="eastAsia" w:ascii="仿宋" w:hAnsi="仿宋" w:eastAsia="仿宋" w:cs="仿宋"/>
          <w:b/>
          <w:sz w:val="24"/>
          <w:highlight w:val="none"/>
        </w:rPr>
        <w:t>最高限价（元）：</w:t>
      </w:r>
      <w:r>
        <w:rPr>
          <w:rFonts w:hint="eastAsia" w:ascii="仿宋" w:hAnsi="仿宋" w:eastAsia="仿宋" w:cs="仿宋"/>
          <w:bCs/>
          <w:sz w:val="24"/>
          <w:highlight w:val="none"/>
        </w:rPr>
        <w:t>180000</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w:t>
      </w:r>
    </w:p>
    <w:p>
      <w:pPr>
        <w:spacing w:line="360"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360" w:lineRule="auto"/>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绍兴市交通运输行政执法队2024年绍兴市公交运行监管服务系统维保项目</w:t>
      </w:r>
    </w:p>
    <w:p>
      <w:pPr>
        <w:spacing w:line="360"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数量：1</w:t>
      </w:r>
    </w:p>
    <w:p>
      <w:pPr>
        <w:spacing w:line="360"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预算金额：180000</w:t>
      </w:r>
    </w:p>
    <w:p>
      <w:pPr>
        <w:spacing w:line="360" w:lineRule="auto"/>
        <w:ind w:firstLine="480" w:firstLineChars="200"/>
        <w:rPr>
          <w:rFonts w:ascii="仿宋" w:hAnsi="仿宋" w:eastAsia="仿宋" w:cs="仿宋"/>
          <w:b/>
          <w:sz w:val="24"/>
          <w:highlight w:val="none"/>
        </w:rPr>
      </w:pPr>
      <w:r>
        <w:rPr>
          <w:rFonts w:hint="eastAsia" w:ascii="仿宋" w:hAnsi="仿宋" w:eastAsia="仿宋" w:cs="仿宋"/>
          <w:bCs/>
          <w:sz w:val="24"/>
          <w:highlight w:val="none"/>
        </w:rPr>
        <w:t>主</w:t>
      </w:r>
      <w:r>
        <w:rPr>
          <w:rFonts w:hint="eastAsia" w:ascii="仿宋" w:hAnsi="仿宋" w:eastAsia="仿宋" w:cs="仿宋"/>
          <w:bCs/>
          <w:sz w:val="24"/>
          <w:szCs w:val="24"/>
          <w:highlight w:val="none"/>
        </w:rPr>
        <w:t>要内容：</w:t>
      </w:r>
      <w:r>
        <w:rPr>
          <w:rFonts w:hint="eastAsia" w:ascii="仿宋" w:hAnsi="仿宋" w:eastAsia="仿宋"/>
          <w:color w:val="000000" w:themeColor="text1"/>
          <w:sz w:val="24"/>
          <w:szCs w:val="24"/>
          <w:highlight w:val="none"/>
          <w14:textFill>
            <w14:solidFill>
              <w14:schemeClr w14:val="tx1"/>
            </w14:solidFill>
          </w14:textFill>
        </w:rPr>
        <w:t>简要规格描述、项目基本概况介绍、用途详见采购文件</w:t>
      </w:r>
      <w:r>
        <w:rPr>
          <w:rFonts w:hint="eastAsia" w:ascii="仿宋" w:hAnsi="仿宋" w:eastAsia="仿宋" w:cs="仿宋"/>
          <w:b/>
          <w:sz w:val="24"/>
          <w:szCs w:val="24"/>
          <w:highlight w:val="none"/>
        </w:rPr>
        <w:t>。</w:t>
      </w:r>
    </w:p>
    <w:p>
      <w:pPr>
        <w:pStyle w:val="396"/>
        <w:spacing w:afterLines="0" w:line="440" w:lineRule="exact"/>
        <w:ind w:right="-508" w:rightChars="-242" w:firstLine="482"/>
        <w:rPr>
          <w:rFonts w:ascii="仿宋" w:hAnsi="仿宋" w:eastAsia="仿宋" w:cs="仿宋"/>
          <w:highlight w:val="none"/>
          <w:u w:val="single"/>
        </w:rPr>
      </w:pPr>
      <w:r>
        <w:rPr>
          <w:rFonts w:hint="eastAsia" w:ascii="仿宋" w:hAnsi="仿宋" w:eastAsia="仿宋" w:cs="仿宋"/>
          <w:b/>
          <w:highlight w:val="none"/>
        </w:rPr>
        <w:t>合同履行期限</w:t>
      </w:r>
      <w:r>
        <w:rPr>
          <w:rFonts w:hint="eastAsia" w:ascii="仿宋" w:hAnsi="仿宋" w:eastAsia="仿宋" w:cs="仿宋"/>
          <w:highlight w:val="none"/>
        </w:rPr>
        <w:t>：</w:t>
      </w:r>
      <w:r>
        <w:rPr>
          <w:rFonts w:hint="eastAsia" w:ascii="仿宋" w:hAnsi="仿宋" w:eastAsia="仿宋"/>
          <w:color w:val="000000" w:themeColor="text1"/>
          <w:szCs w:val="24"/>
          <w:highlight w:val="none"/>
          <w14:textFill>
            <w14:solidFill>
              <w14:schemeClr w14:val="tx1"/>
            </w14:solidFill>
          </w14:textFill>
        </w:rPr>
        <w:t>按双方合同约定条款执行。</w:t>
      </w:r>
    </w:p>
    <w:p>
      <w:pPr>
        <w:spacing w:line="360" w:lineRule="auto"/>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本项目接受联合体投标：☐是，</w:t>
      </w:r>
      <w:sdt>
        <w:sdtPr>
          <w:rPr>
            <w:rFonts w:hint="eastAsia" w:ascii="仿宋" w:hAnsi="仿宋" w:eastAsia="仿宋" w:cs="Arial"/>
            <w:color w:val="000000" w:themeColor="text1"/>
            <w:highlight w:val="none"/>
            <w14:textFill>
              <w14:solidFill>
                <w14:schemeClr w14:val="tx1"/>
              </w14:solidFill>
            </w14:textFill>
          </w:rPr>
          <w:id w:val="863252859"/>
        </w:sdtPr>
        <w:sdtEndPr>
          <w:rPr>
            <w:rFonts w:hint="eastAsia" w:ascii="仿宋" w:hAnsi="仿宋" w:eastAsia="仿宋" w:cs="Arial"/>
            <w:color w:val="000000" w:themeColor="text1"/>
            <w:highlight w:val="none"/>
            <w14:textFill>
              <w14:solidFill>
                <w14:schemeClr w14:val="tx1"/>
              </w14:solidFill>
            </w14:textFill>
          </w:rPr>
        </w:sdtEndPr>
        <w:sdtContent>
          <w:r>
            <w:rPr>
              <w:rFonts w:ascii="仿宋" w:hAnsi="仿宋" w:eastAsia="仿宋" w:cs="Arial"/>
              <w:color w:val="000000" w:themeColor="text1"/>
              <w:highlight w:val="none"/>
              <w14:textFill>
                <w14:solidFill>
                  <w14:schemeClr w14:val="tx1"/>
                </w14:solidFill>
              </w14:textFill>
            </w:rPr>
            <w:sym w:font="Wingdings" w:char="F0FE"/>
          </w:r>
        </w:sdtContent>
      </w:sdt>
      <w:r>
        <w:rPr>
          <w:rFonts w:hint="eastAsia" w:ascii="仿宋" w:hAnsi="仿宋" w:eastAsia="仿宋" w:cs="仿宋"/>
          <w:b/>
          <w:sz w:val="24"/>
          <w:highlight w:val="none"/>
        </w:rPr>
        <w:t>否。</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pPr>
        <w:spacing w:line="360" w:lineRule="auto"/>
        <w:ind w:firstLine="420" w:firstLineChars="200"/>
        <w:rPr>
          <w:rFonts w:ascii="仿宋" w:hAnsi="仿宋" w:eastAsia="仿宋" w:cs="仿宋"/>
          <w:sz w:val="24"/>
          <w:highlight w:val="none"/>
        </w:rPr>
      </w:pPr>
      <w:sdt>
        <w:sdtPr>
          <w:rPr>
            <w:rFonts w:hint="eastAsia" w:ascii="仿宋" w:hAnsi="仿宋" w:eastAsia="仿宋" w:cs="Arial"/>
            <w:color w:val="000000" w:themeColor="text1"/>
            <w:highlight w:val="none"/>
            <w14:textFill>
              <w14:solidFill>
                <w14:schemeClr w14:val="tx1"/>
              </w14:solidFill>
            </w14:textFill>
          </w:rPr>
          <w:id w:val="-844621455"/>
        </w:sdtPr>
        <w:sdtEndPr>
          <w:rPr>
            <w:rFonts w:hint="eastAsia" w:ascii="仿宋" w:hAnsi="仿宋" w:eastAsia="仿宋" w:cs="Arial"/>
            <w:color w:val="000000" w:themeColor="text1"/>
            <w:highlight w:val="none"/>
            <w14:textFill>
              <w14:solidFill>
                <w14:schemeClr w14:val="tx1"/>
              </w14:solidFill>
            </w14:textFill>
          </w:rPr>
        </w:sdtEndPr>
        <w:sdtContent>
          <w:r>
            <w:rPr>
              <w:rFonts w:ascii="仿宋" w:hAnsi="仿宋" w:eastAsia="仿宋" w:cs="Arial"/>
              <w:color w:val="000000" w:themeColor="text1"/>
              <w:highlight w:val="none"/>
              <w14:textFill>
                <w14:solidFill>
                  <w14:schemeClr w14:val="tx1"/>
                </w14:solidFill>
              </w14:textFill>
            </w:rPr>
            <w:sym w:font="Wingdings" w:char="F0FE"/>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840" w:firstLineChars="400"/>
        <w:rPr>
          <w:rFonts w:ascii="仿宋" w:hAnsi="仿宋" w:eastAsia="仿宋" w:cs="仿宋"/>
          <w:sz w:val="24"/>
          <w:highlight w:val="none"/>
        </w:rPr>
      </w:pPr>
      <w:sdt>
        <w:sdtPr>
          <w:rPr>
            <w:rFonts w:hint="eastAsia" w:ascii="仿宋" w:hAnsi="仿宋" w:eastAsia="仿宋" w:cs="Arial"/>
            <w:color w:val="000000" w:themeColor="text1"/>
            <w:highlight w:val="none"/>
            <w14:textFill>
              <w14:solidFill>
                <w14:schemeClr w14:val="tx1"/>
              </w14:solidFill>
            </w14:textFill>
          </w:rPr>
          <w:id w:val="-788123704"/>
        </w:sdtPr>
        <w:sdtEndPr>
          <w:rPr>
            <w:rFonts w:hint="eastAsia" w:ascii="仿宋" w:hAnsi="仿宋" w:eastAsia="仿宋" w:cs="Arial"/>
            <w:color w:val="000000" w:themeColor="text1"/>
            <w:highlight w:val="none"/>
            <w14:textFill>
              <w14:solidFill>
                <w14:schemeClr w14:val="tx1"/>
              </w14:solidFill>
            </w14:textFill>
          </w:rPr>
        </w:sdtEndPr>
        <w:sdtContent>
          <w:r>
            <w:rPr>
              <w:rFonts w:ascii="仿宋" w:hAnsi="仿宋" w:eastAsia="仿宋" w:cs="Arial"/>
              <w:color w:val="000000" w:themeColor="text1"/>
              <w:highlight w:val="none"/>
              <w14:textFill>
                <w14:solidFill>
                  <w14:schemeClr w14:val="tx1"/>
                </w14:solidFill>
              </w14:textFill>
            </w:rPr>
            <w:sym w:font="Wingdings" w:char="F0FE"/>
          </w:r>
        </w:sdtContent>
      </w:sdt>
      <w:r>
        <w:rPr>
          <w:rFonts w:hint="eastAsia" w:ascii="仿宋" w:hAnsi="仿宋" w:eastAsia="仿宋" w:cs="仿宋"/>
          <w:sz w:val="24"/>
          <w:highlight w:val="none"/>
        </w:rPr>
        <w:t>服务全部由符合政策要求的中小企业承接，提供中小企业声明函；</w:t>
      </w:r>
    </w:p>
    <w:p>
      <w:pPr>
        <w:spacing w:line="360" w:lineRule="auto"/>
        <w:ind w:firstLine="960" w:firstLineChars="400"/>
        <w:rPr>
          <w:rFonts w:ascii="仿宋" w:hAnsi="仿宋" w:eastAsia="仿宋" w:cs="仿宋"/>
          <w:highlight w:val="none"/>
        </w:rPr>
      </w:pPr>
      <w:r>
        <w:rPr>
          <w:rFonts w:hint="eastAsia" w:ascii="MS Gothic" w:hAnsi="MS Gothic"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pPr>
        <w:spacing w:line="360" w:lineRule="auto"/>
        <w:ind w:firstLine="960" w:firstLineChars="4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960" w:firstLineChars="4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4.本项目的特定资格要求：无；</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05</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360" w:lineRule="auto"/>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05</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05</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r>
        <w:rPr>
          <w:rFonts w:hint="eastAsia" w:ascii="仿宋" w:hAnsi="仿宋" w:eastAsia="仿宋" w:cs="仿宋"/>
          <w:bCs/>
          <w:sz w:val="24"/>
          <w:highlight w:val="none"/>
          <w:u w:val="single"/>
        </w:rPr>
        <w:t xml:space="preserve">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pPr>
        <w:spacing w:line="360" w:lineRule="auto"/>
        <w:rPr>
          <w:rFonts w:ascii="仿宋" w:hAnsi="仿宋" w:eastAsia="仿宋" w:cs="仿宋"/>
          <w:sz w:val="24"/>
          <w:highlight w:val="none"/>
        </w:rPr>
      </w:pPr>
      <w:r>
        <w:rPr>
          <w:rFonts w:hint="eastAsia" w:ascii="仿宋" w:hAnsi="仿宋" w:eastAsia="仿宋" w:cs="仿宋"/>
          <w:b/>
          <w:sz w:val="24"/>
          <w:highlight w:val="none"/>
        </w:rPr>
        <w:t xml:space="preserve">五、公告期限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六、其他补充事宜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6"/>
        <w:ind w:left="0" w:firstLine="482" w:firstLineChars="200"/>
        <w:rPr>
          <w:rFonts w:ascii="仿宋" w:eastAsia="仿宋" w:cs="仿宋"/>
          <w:sz w:val="24"/>
          <w:szCs w:val="24"/>
          <w:highlight w:val="none"/>
        </w:rPr>
      </w:pPr>
      <w:bookmarkStart w:id="5" w:name="_Toc35393637"/>
      <w:bookmarkStart w:id="6" w:name="_Toc35393806"/>
      <w:bookmarkStart w:id="7" w:name="_Toc28359019"/>
      <w:bookmarkStart w:id="8" w:name="_Toc28359096"/>
      <w:r>
        <w:rPr>
          <w:rFonts w:hint="eastAsia" w:ascii="仿宋" w:eastAsia="仿宋" w:cs="仿宋"/>
          <w:sz w:val="24"/>
          <w:szCs w:val="24"/>
          <w:highlight w:val="none"/>
        </w:rPr>
        <w:t>1.采购人信息</w:t>
      </w:r>
      <w:bookmarkEnd w:id="5"/>
      <w:bookmarkEnd w:id="6"/>
      <w:bookmarkEnd w:id="7"/>
      <w:bookmarkEnd w:id="8"/>
      <w:r>
        <w:rPr>
          <w:rFonts w:hint="eastAsia" w:ascii="仿宋" w:eastAsia="仿宋" w:cs="仿宋"/>
          <w:sz w:val="24"/>
          <w:szCs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w:t>
      </w:r>
      <w:r>
        <w:rPr>
          <w:highlight w:val="none"/>
        </w:rPr>
        <w:fldChar w:fldCharType="begin"/>
      </w:r>
      <w:r>
        <w:rPr>
          <w:highlight w:val="none"/>
        </w:rPr>
        <w:instrText xml:space="preserve"> HYPERLINK "http://www.baidu.com/link?url=foKiCXR7E8XgXJnCUc-T6Q-W5TPLZndf5IbmSYR79KwSFudWEd15Ec101Six4YtsVJG2MhsbNU8hoCqGaSZ55OVPy41xLp2j285v66JmTR0HEeavwsRxrKvKyTyOT5AL3puMmutq0VUTzG3o1EvI2ijfPhab3OtpvgH2vldLB4i5nNvUeH_7uzSjAHgfWF0syLRfckyxJyFIBRs3PpYGTtiB9RxXUOLNA-edwFYs2CxzxB_tAzcavZIMUC069SmJ_tnnndQaimUNVA0MhuszHq" \t "https://www.baidu.com/_blank" </w:instrText>
      </w:r>
      <w:r>
        <w:rPr>
          <w:highlight w:val="none"/>
        </w:rPr>
        <w:fldChar w:fldCharType="separate"/>
      </w:r>
      <w:r>
        <w:rPr>
          <w:rFonts w:hint="eastAsia" w:ascii="仿宋" w:hAnsi="仿宋" w:eastAsia="仿宋" w:cs="仿宋"/>
          <w:sz w:val="24"/>
          <w:highlight w:val="none"/>
        </w:rPr>
        <w:t>绍兴市交通运输行政执法队</w:t>
      </w:r>
      <w:r>
        <w:rPr>
          <w:rFonts w:hint="eastAsia" w:ascii="仿宋" w:hAnsi="仿宋" w:eastAsia="仿宋" w:cs="仿宋"/>
          <w:sz w:val="24"/>
          <w:highlight w:val="none"/>
        </w:rPr>
        <w:fldChar w:fldCharType="end"/>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址：浙江省绍兴市越城区中兴大道155号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项目联系人（询问）：徐敏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w:t>
      </w:r>
      <w:r>
        <w:rPr>
          <w:rFonts w:hint="eastAsia" w:ascii="仿宋" w:hAnsi="仿宋" w:eastAsia="仿宋" w:cs="仿宋"/>
          <w:sz w:val="24"/>
          <w:highlight w:val="none"/>
          <w:lang w:val="en-US" w:eastAsia="zh-CN"/>
        </w:rPr>
        <w:t>0575-</w:t>
      </w:r>
      <w:r>
        <w:rPr>
          <w:rFonts w:hint="eastAsia" w:ascii="仿宋" w:hAnsi="仿宋" w:eastAsia="仿宋" w:cs="仿宋"/>
          <w:sz w:val="24"/>
          <w:highlight w:val="none"/>
        </w:rPr>
        <w:t>85338685</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 陈先生</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w:t>
      </w:r>
      <w:r>
        <w:rPr>
          <w:rFonts w:hint="eastAsia" w:ascii="仿宋" w:hAnsi="仿宋" w:eastAsia="仿宋" w:cs="仿宋"/>
          <w:sz w:val="24"/>
          <w:highlight w:val="none"/>
          <w:lang w:val="en-US" w:eastAsia="zh-CN"/>
        </w:rPr>
        <w:t>0575-</w:t>
      </w:r>
      <w:r>
        <w:rPr>
          <w:rFonts w:hint="eastAsia" w:ascii="仿宋" w:hAnsi="仿宋" w:eastAsia="仿宋" w:cs="仿宋"/>
          <w:sz w:val="24"/>
          <w:highlight w:val="none"/>
        </w:rPr>
        <w:t>85331390</w:t>
      </w:r>
    </w:p>
    <w:p>
      <w:pPr>
        <w:pStyle w:val="6"/>
        <w:ind w:left="0" w:firstLine="482" w:firstLineChars="200"/>
        <w:rPr>
          <w:rFonts w:ascii="仿宋" w:eastAsia="仿宋" w:cs="仿宋"/>
          <w:sz w:val="24"/>
          <w:highlight w:val="none"/>
        </w:rPr>
      </w:pPr>
      <w:bookmarkStart w:id="9" w:name="_Toc28359097"/>
      <w:bookmarkStart w:id="10" w:name="_Toc35393807"/>
      <w:bookmarkStart w:id="11" w:name="_Toc28359020"/>
      <w:bookmarkStart w:id="12" w:name="_Toc35393638"/>
      <w:r>
        <w:rPr>
          <w:rFonts w:hint="eastAsia" w:ascii="仿宋" w:eastAsia="仿宋" w:cs="仿宋"/>
          <w:sz w:val="24"/>
          <w:szCs w:val="24"/>
          <w:highlight w:val="none"/>
        </w:rPr>
        <w:t>2.采购代理机构信息</w:t>
      </w:r>
      <w:bookmarkEnd w:id="9"/>
      <w:bookmarkEnd w:id="10"/>
      <w:bookmarkEnd w:id="11"/>
      <w:bookmarkEnd w:id="12"/>
      <w:r>
        <w:rPr>
          <w:rFonts w:hint="eastAsia" w:ascii="仿宋" w:eastAsia="仿宋" w:cs="仿宋"/>
          <w:sz w:val="24"/>
          <w:szCs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名称：浙江东腾利成招标代理有限公司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地址：绍兴市人民东路1187号伟丰文化产业园藏品楼304室</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传真：/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项目联系人（询问）：茹丽萍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项目联系方式（询问）：13777344612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质疑联系人：陈国琴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质疑联系方式：15068533052 　　　</w:t>
      </w:r>
    </w:p>
    <w:p>
      <w:pPr>
        <w:spacing w:line="360" w:lineRule="auto"/>
        <w:ind w:firstLine="482" w:firstLineChars="200"/>
        <w:rPr>
          <w:rFonts w:ascii="仿宋" w:hAnsi="仿宋" w:eastAsia="仿宋" w:cs="仿宋"/>
          <w:b/>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名称：绍兴市财政局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地址：绍兴市越城区凤林西路151号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传真：/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联系人 ：沈灿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监督投诉电话：0575-85209806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40" w:lineRule="exact"/>
              <w:ind w:firstLine="720" w:firstLineChars="300"/>
              <w:rPr>
                <w:rFonts w:ascii="仿宋" w:hAnsi="仿宋" w:eastAsia="仿宋" w:cs="仿宋"/>
                <w:b/>
                <w:sz w:val="24"/>
                <w:highlight w:val="none"/>
              </w:rPr>
            </w:pPr>
            <w:r>
              <w:rPr>
                <w:rFonts w:ascii="仿宋" w:hAnsi="仿宋" w:eastAsia="仿宋" w:cs="Arial"/>
                <w:color w:val="000000" w:themeColor="text1"/>
                <w:kern w:val="0"/>
                <w:sz w:val="24"/>
                <w:highlight w:val="none"/>
                <w14:textFill>
                  <w14:solidFill>
                    <w14:schemeClr w14:val="tx1"/>
                  </w14:solidFill>
                </w14:textFill>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color w:val="000000"/>
                <w:sz w:val="24"/>
                <w:highlight w:val="none"/>
              </w:rPr>
            </w:pPr>
            <w:r>
              <w:rPr>
                <w:rFonts w:hint="eastAsia" w:ascii="仿宋_GB2312" w:hAnsi="宋体" w:eastAsia="仿宋_GB2312"/>
                <w:b/>
                <w:color w:val="000000"/>
                <w:sz w:val="24"/>
                <w:highlight w:val="none"/>
              </w:rPr>
              <w:t>方案讲解演示：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rPr>
              <w:t>☑A无方案讲解演示。</w:t>
            </w:r>
          </w:p>
          <w:p>
            <w:pPr>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ascii="仿宋" w:hAnsi="仿宋" w:eastAsia="仿宋" w:cs="Arial"/>
                <w:color w:val="000000" w:themeColor="text1"/>
                <w:kern w:val="0"/>
                <w:sz w:val="24"/>
                <w:highlight w:val="none"/>
                <w14:textFill>
                  <w14:solidFill>
                    <w14:schemeClr w14:val="tx1"/>
                  </w14:solidFill>
                </w14:textFill>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01标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软件和信息技术服务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中标人须向招标代理机构按如下标准和规定交纳中标服务费：</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（1）以中标通知中确定的中标总金额作为服务费的计算基数，具体比例按《国家计委关于印发&lt;招标代理服务收费管理暂行办法&gt;的通知》（计价格[2002]1980号）执行。</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中标服务费：协议价3000元</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（2）服务费的交纳方式：</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用银行支票、汇票、电汇、现金等付款方式直接交纳中标服务费。</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公司名称：浙江东腾利成招标代理有限公司</w:t>
            </w:r>
          </w:p>
          <w:p>
            <w:pPr>
              <w:spacing w:line="440" w:lineRule="exact"/>
              <w:jc w:val="left"/>
              <w:rPr>
                <w:rFonts w:ascii="仿宋" w:hAnsi="仿宋" w:eastAsia="仿宋" w:cs="仿宋_GB2312"/>
                <w:sz w:val="24"/>
                <w:highlight w:val="none"/>
              </w:rPr>
            </w:pPr>
            <w:r>
              <w:rPr>
                <w:rFonts w:hint="eastAsia" w:ascii="仿宋" w:hAnsi="仿宋" w:eastAsia="仿宋" w:cs="仿宋_GB2312"/>
                <w:sz w:val="24"/>
                <w:highlight w:val="none"/>
              </w:rPr>
              <w:t>账    号：19545201040012508</w:t>
            </w:r>
          </w:p>
          <w:p>
            <w:pPr>
              <w:spacing w:line="360" w:lineRule="auto"/>
              <w:jc w:val="left"/>
              <w:rPr>
                <w:rFonts w:ascii="仿宋" w:hAnsi="仿宋" w:eastAsia="仿宋" w:cs="仿宋_GB2312"/>
                <w:sz w:val="24"/>
                <w:highlight w:val="none"/>
              </w:rPr>
            </w:pPr>
            <w:r>
              <w:rPr>
                <w:rFonts w:hint="eastAsia" w:ascii="仿宋" w:hAnsi="仿宋" w:eastAsia="仿宋" w:cs="仿宋_GB2312"/>
                <w:sz w:val="24"/>
                <w:highlight w:val="none"/>
              </w:rPr>
              <w:t>开 户 行：中国农业银行股份有限公司绍兴广场支行</w:t>
            </w:r>
          </w:p>
          <w:p>
            <w:pPr>
              <w:pStyle w:val="26"/>
              <w:ind w:firstLine="0"/>
              <w:rPr>
                <w:highlight w:val="none"/>
              </w:rPr>
            </w:pPr>
            <w:r>
              <w:rPr>
                <w:rFonts w:hint="eastAsia" w:ascii="仿宋" w:hAnsi="仿宋" w:eastAsia="仿宋" w:cs="仿宋_GB2312"/>
                <w:highlight w:val="none"/>
              </w:rPr>
              <w:t>（3）以上费用在领取中标通知书前交纳。</w:t>
            </w:r>
          </w:p>
          <w:p>
            <w:pPr>
              <w:spacing w:line="336" w:lineRule="auto"/>
              <w:rPr>
                <w:rFonts w:ascii="仿宋" w:hAnsi="仿宋" w:eastAsia="仿宋" w:cs="仿宋"/>
                <w:highlight w:val="none"/>
              </w:rPr>
            </w:pPr>
            <w:r>
              <w:rPr>
                <w:rFonts w:hint="eastAsia" w:ascii="仿宋" w:hAnsi="仿宋" w:eastAsia="仿宋" w:cs="仿宋"/>
                <w:kern w:val="0"/>
                <w:sz w:val="24"/>
                <w:szCs w:val="21"/>
                <w:highlight w:val="none"/>
              </w:rPr>
              <w:t>（4）评审费由采购人支付。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sz w:val="32"/>
          <w:szCs w:val="32"/>
          <w:highlight w:val="none"/>
        </w:rPr>
      </w:pPr>
      <w:bookmarkStart w:id="17" w:name="第三部分"/>
      <w:bookmarkStart w:id="18" w:name="_Toc164416483"/>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3"/>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5"/>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highlight w:val="none"/>
          <w:lang w:val="zh-CN"/>
        </w:rPr>
      </w:pPr>
      <w:r>
        <w:rPr>
          <w:rFonts w:hint="eastAsia" w:ascii="仿宋" w:hAnsi="仿宋" w:eastAsia="仿宋" w:cs="仿宋"/>
          <w:sz w:val="24"/>
          <w:highlight w:val="none"/>
        </w:rPr>
        <w:t>2.2.18投标人需要说明的其他文件和说明（格式自拟）。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pStyle w:val="26"/>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pPr>
        <w:pStyle w:val="26"/>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pPr>
        <w:pStyle w:val="26"/>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pPr>
        <w:pStyle w:val="26"/>
        <w:autoSpaceDE/>
        <w:autoSpaceDN/>
        <w:snapToGrid w:val="0"/>
        <w:spacing w:line="440" w:lineRule="exact"/>
        <w:ind w:firstLine="0"/>
        <w:rPr>
          <w:rFonts w:ascii="仿宋" w:hAnsi="仿宋" w:eastAsia="仿宋" w:cs="仿宋"/>
          <w:b/>
          <w:bCs/>
          <w:highlight w:val="none"/>
        </w:rPr>
      </w:pPr>
      <w:r>
        <w:rPr>
          <w:rFonts w:ascii="仿宋" w:hAnsi="仿宋" w:eastAsia="仿宋" w:cs="仿宋"/>
          <w:b/>
          <w:bCs/>
          <w:highlight w:val="none"/>
          <w:lang w:val="en-US"/>
        </w:rPr>
        <w:t>3.</w:t>
      </w:r>
      <w:r>
        <w:rPr>
          <w:rFonts w:hint="eastAsia" w:ascii="仿宋" w:hAnsi="仿宋" w:eastAsia="仿宋" w:cs="仿宋"/>
          <w:b/>
          <w:bCs/>
          <w:highlight w:val="none"/>
          <w:lang w:val="en-US"/>
        </w:rPr>
        <w:t>投标报价</w:t>
      </w:r>
    </w:p>
    <w:p>
      <w:pPr>
        <w:pStyle w:val="26"/>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3.1供应商应按招标文件中《开标一览表》等附表要求填写。</w:t>
      </w:r>
    </w:p>
    <w:p>
      <w:pPr>
        <w:pStyle w:val="26"/>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3.2报价为采购人可以合格使用产品的价格，包括货款、包装、运输、保险、货到就位以及安装、调试、培训、保修及产品知识产权等一切费用。</w:t>
      </w:r>
    </w:p>
    <w:p>
      <w:pPr>
        <w:pStyle w:val="26"/>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3.3招标文件未列明，而供应商认为必需的费用也需列入报价。</w:t>
      </w:r>
    </w:p>
    <w:p>
      <w:pPr>
        <w:pStyle w:val="26"/>
        <w:autoSpaceDE/>
        <w:autoSpaceDN/>
        <w:snapToGrid w:val="0"/>
        <w:spacing w:line="440" w:lineRule="exact"/>
        <w:ind w:firstLine="723" w:firstLineChars="300"/>
        <w:rPr>
          <w:rFonts w:ascii="仿宋" w:hAnsi="仿宋" w:eastAsia="仿宋" w:cs="仿宋"/>
          <w:b/>
          <w:szCs w:val="24"/>
          <w:highlight w:val="none"/>
        </w:rPr>
      </w:pPr>
      <w:r>
        <w:rPr>
          <w:rFonts w:ascii="仿宋" w:hAnsi="仿宋" w:eastAsia="仿宋" w:cs="仿宋"/>
          <w:b/>
          <w:bCs/>
          <w:highlight w:val="none"/>
          <w:lang w:val="en-US"/>
        </w:rPr>
        <w:t>3.4投标报价只允许有一个报价，有选择的报价将不予接受（除指定外）。</w:t>
      </w:r>
      <w:r>
        <w:rPr>
          <w:rFonts w:ascii="仿宋" w:hAnsi="仿宋" w:eastAsia="仿宋" w:cs="仿宋"/>
          <w:b/>
          <w:kern w:val="0"/>
          <w:szCs w:val="24"/>
          <w:highlight w:val="none"/>
        </w:rPr>
        <w:t>4.</w:t>
      </w:r>
      <w:r>
        <w:rPr>
          <w:rFonts w:hint="eastAsia" w:ascii="仿宋" w:hAnsi="仿宋" w:eastAsia="仿宋" w:cs="仿宋"/>
          <w:b/>
          <w:kern w:val="0"/>
          <w:szCs w:val="24"/>
          <w:highlight w:val="none"/>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1"/>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sz w:val="32"/>
          <w:highlight w:val="none"/>
        </w:rPr>
      </w:pPr>
    </w:p>
    <w:p>
      <w:pPr>
        <w:spacing w:line="360" w:lineRule="auto"/>
        <w:jc w:val="center"/>
        <w:rPr>
          <w:rFonts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highlight w:val="none"/>
        </w:rPr>
      </w:pPr>
    </w:p>
    <w:bookmarkEnd w:id="19"/>
    <w:p>
      <w:pPr>
        <w:pStyle w:val="35"/>
        <w:spacing w:line="360" w:lineRule="auto"/>
        <w:ind w:firstLine="726"/>
        <w:jc w:val="center"/>
        <w:rPr>
          <w:rFonts w:ascii="仿宋" w:hAnsi="仿宋" w:eastAsia="仿宋" w:cs="仿宋"/>
          <w:b/>
          <w:sz w:val="32"/>
          <w:szCs w:val="32"/>
          <w:highlight w:val="none"/>
        </w:rPr>
      </w:pPr>
      <w:bookmarkStart w:id="20" w:name="_Hlt68073093"/>
      <w:bookmarkEnd w:id="20"/>
      <w:bookmarkStart w:id="21" w:name="_Hlt75236101"/>
      <w:bookmarkEnd w:id="21"/>
      <w:bookmarkStart w:id="22" w:name="_Hlt68057669"/>
      <w:bookmarkEnd w:id="22"/>
      <w:bookmarkStart w:id="23" w:name="_Hlt74707468"/>
      <w:bookmarkEnd w:id="23"/>
      <w:bookmarkStart w:id="24" w:name="_Hlt75236290"/>
      <w:bookmarkEnd w:id="24"/>
      <w:bookmarkStart w:id="25" w:name="_Hlt68403820"/>
      <w:bookmarkEnd w:id="25"/>
      <w:bookmarkStart w:id="26" w:name="_Hlt74729768"/>
      <w:bookmarkEnd w:id="26"/>
      <w:bookmarkStart w:id="27" w:name="_Hlt74714665"/>
      <w:bookmarkEnd w:id="27"/>
      <w:bookmarkStart w:id="28" w:name="_Hlt68072990"/>
      <w:bookmarkEnd w:id="28"/>
      <w:bookmarkStart w:id="29" w:name="_Hlt68072998"/>
      <w:bookmarkEnd w:id="29"/>
      <w:bookmarkStart w:id="30" w:name="_Hlt74730295"/>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sz w:val="32"/>
          <w:szCs w:val="32"/>
          <w:highlight w:val="none"/>
        </w:rPr>
        <w:t>五、授予合同</w:t>
      </w:r>
    </w:p>
    <w:bookmarkEnd w:id="32"/>
    <w:bookmarkEnd w:id="33"/>
    <w:bookmarkEnd w:id="34"/>
    <w:p>
      <w:pPr>
        <w:pStyle w:val="17"/>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spacing w:line="336" w:lineRule="auto"/>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2.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3. 供应商质疑</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4.供应商投诉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sz w:val="32"/>
          <w:szCs w:val="32"/>
          <w:highlight w:val="none"/>
        </w:rPr>
      </w:pPr>
      <w:r>
        <w:rPr>
          <w:rFonts w:ascii="仿宋" w:hAnsi="仿宋" w:eastAsia="仿宋" w:cs="仿宋"/>
          <w:b/>
          <w:bCs/>
          <w:sz w:val="24"/>
          <w:szCs w:val="20"/>
          <w:highlight w:val="none"/>
        </w:rPr>
        <w:t>投诉书范本及制作说明详见附件2。</w:t>
      </w:r>
    </w:p>
    <w:p>
      <w:pPr>
        <w:pStyle w:val="25"/>
        <w:spacing w:line="440" w:lineRule="exact"/>
        <w:ind w:firstLine="480" w:firstLineChars="200"/>
        <w:rPr>
          <w:rFonts w:ascii="仿宋" w:hAnsi="仿宋" w:eastAsia="仿宋" w:cs="仿宋"/>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auto"/>
        <w:jc w:val="center"/>
        <w:outlineLvl w:val="0"/>
        <w:rPr>
          <w:rFonts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bookmarkEnd w:id="35"/>
      <w:bookmarkStart w:id="36" w:name="第五部分"/>
      <w:bookmarkStart w:id="37" w:name="_Toc86217003"/>
    </w:p>
    <w:p>
      <w:pPr>
        <w:snapToGrid w:val="0"/>
        <w:spacing w:line="360" w:lineRule="auto"/>
        <w:rPr>
          <w:rFonts w:ascii="仿宋" w:hAnsi="仿宋" w:eastAsia="仿宋" w:cs="仿宋"/>
          <w:b/>
          <w:bCs/>
          <w:sz w:val="24"/>
          <w:highlight w:val="none"/>
        </w:rPr>
      </w:pPr>
      <w:r>
        <w:rPr>
          <w:rFonts w:hint="eastAsia" w:ascii="仿宋" w:hAnsi="仿宋" w:eastAsia="仿宋" w:cs="仿宋"/>
          <w:b/>
          <w:bCs/>
          <w:sz w:val="24"/>
          <w:highlight w:val="none"/>
        </w:rPr>
        <w:t>一、项目背景</w:t>
      </w:r>
    </w:p>
    <w:p>
      <w:pPr>
        <w:pStyle w:val="876"/>
        <w:ind w:firstLine="480"/>
        <w:rPr>
          <w:rFonts w:hint="eastAsia" w:ascii="仿宋" w:hAnsi="仿宋" w:eastAsia="仿宋" w:cs="仿宋"/>
          <w:b w:val="0"/>
          <w:highlight w:val="none"/>
        </w:rPr>
      </w:pPr>
      <w:r>
        <w:rPr>
          <w:rFonts w:hint="eastAsia" w:ascii="仿宋" w:hAnsi="仿宋" w:eastAsia="仿宋" w:cs="仿宋"/>
          <w:b w:val="0"/>
          <w:highlight w:val="none"/>
        </w:rPr>
        <w:t>自2018年8月份绍兴市区公交一体化以来，我市公交行业监管面临新形势与新要求。公交运行监管服务系统是绍兴市</w:t>
      </w:r>
      <w:r>
        <w:rPr>
          <w:rFonts w:hint="eastAsia" w:ascii="仿宋" w:hAnsi="仿宋" w:eastAsia="仿宋" w:cs="仿宋"/>
          <w:b w:val="0"/>
          <w:highlight w:val="none"/>
          <w:lang w:eastAsia="zh-Hans"/>
        </w:rPr>
        <w:t>交通执法</w:t>
      </w:r>
      <w:r>
        <w:rPr>
          <w:rFonts w:hint="eastAsia" w:ascii="仿宋" w:hAnsi="仿宋" w:eastAsia="仿宋" w:cs="仿宋"/>
          <w:b w:val="0"/>
          <w:highlight w:val="none"/>
        </w:rPr>
        <w:t>部门强化对公共交通过程化、精细化、痕迹化管理的重要手段，是提高公交服务质量，做好运营里程核查工作的重要支撑。</w:t>
      </w:r>
    </w:p>
    <w:p>
      <w:pPr>
        <w:pStyle w:val="876"/>
        <w:ind w:firstLine="480"/>
        <w:rPr>
          <w:rFonts w:ascii="仿宋" w:hAnsi="仿宋" w:eastAsia="仿宋" w:cs="仿宋"/>
          <w:b w:val="0"/>
          <w:highlight w:val="none"/>
        </w:rPr>
      </w:pPr>
      <w:r>
        <w:rPr>
          <w:rFonts w:hint="eastAsia" w:ascii="仿宋" w:hAnsi="仿宋" w:eastAsia="仿宋" w:cs="仿宋"/>
          <w:b w:val="0"/>
          <w:highlight w:val="none"/>
        </w:rPr>
        <w:t>通过本项目实施，对公交运行监管服务系统硬件设备、应用软件进行为期一年的质保及技术维护服务延续，并根据2024年绍兴市区公交运营里程核查、绍兴市区公交企业服务质量考核、公交治堵考核等要求，优化监测指标、强化系统运维、提升数据质量，更好地满足我市交通执法部门公交行业监管工作需要。</w:t>
      </w:r>
    </w:p>
    <w:p>
      <w:pPr>
        <w:snapToGrid w:val="0"/>
        <w:spacing w:line="360" w:lineRule="auto"/>
        <w:rPr>
          <w:rFonts w:ascii="仿宋" w:hAnsi="仿宋" w:eastAsia="仿宋" w:cs="仿宋"/>
          <w:b/>
          <w:bCs/>
          <w:sz w:val="24"/>
          <w:highlight w:val="none"/>
        </w:rPr>
      </w:pPr>
      <w:r>
        <w:rPr>
          <w:rFonts w:hint="eastAsia" w:ascii="仿宋" w:hAnsi="仿宋" w:eastAsia="仿宋" w:cs="仿宋"/>
          <w:b/>
          <w:bCs/>
          <w:sz w:val="24"/>
          <w:highlight w:val="none"/>
        </w:rPr>
        <w:t>二、项目内容</w:t>
      </w:r>
    </w:p>
    <w:tbl>
      <w:tblPr>
        <w:tblStyle w:val="63"/>
        <w:tblpPr w:leftFromText="180" w:rightFromText="180" w:vertAnchor="text" w:horzAnchor="page" w:tblpXSpec="center" w:tblpY="214"/>
        <w:tblOverlap w:val="never"/>
        <w:tblW w:w="9305" w:type="dxa"/>
        <w:jc w:val="center"/>
        <w:tblLayout w:type="fixed"/>
        <w:tblCellMar>
          <w:top w:w="0" w:type="dxa"/>
          <w:left w:w="108" w:type="dxa"/>
          <w:bottom w:w="0" w:type="dxa"/>
          <w:right w:w="108" w:type="dxa"/>
        </w:tblCellMar>
      </w:tblPr>
      <w:tblGrid>
        <w:gridCol w:w="1573"/>
        <w:gridCol w:w="1061"/>
        <w:gridCol w:w="6671"/>
      </w:tblGrid>
      <w:tr>
        <w:tblPrEx>
          <w:tblCellMar>
            <w:top w:w="0" w:type="dxa"/>
            <w:left w:w="108" w:type="dxa"/>
            <w:bottom w:w="0" w:type="dxa"/>
            <w:right w:w="108" w:type="dxa"/>
          </w:tblCellMar>
        </w:tblPrEx>
        <w:trPr>
          <w:trHeight w:val="340" w:hRule="atLeast"/>
          <w:jc w:val="center"/>
        </w:trPr>
        <w:tc>
          <w:tcPr>
            <w:tcW w:w="157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仿宋"/>
                <w:sz w:val="24"/>
                <w:highlight w:val="none"/>
              </w:rPr>
            </w:pPr>
            <w:r>
              <w:rPr>
                <w:rFonts w:hint="eastAsia" w:ascii="仿宋" w:hAnsi="仿宋" w:eastAsia="仿宋" w:cs="仿宋"/>
                <w:sz w:val="24"/>
                <w:highlight w:val="none"/>
              </w:rPr>
              <w:t>项目名称</w:t>
            </w:r>
          </w:p>
        </w:tc>
        <w:tc>
          <w:tcPr>
            <w:tcW w:w="7732"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仿宋"/>
                <w:sz w:val="24"/>
                <w:highlight w:val="none"/>
              </w:rPr>
            </w:pPr>
            <w:r>
              <w:rPr>
                <w:rFonts w:hint="eastAsia" w:ascii="仿宋" w:hAnsi="仿宋" w:eastAsia="仿宋" w:cs="仿宋"/>
                <w:sz w:val="24"/>
                <w:highlight w:val="none"/>
              </w:rPr>
              <w:t>运维内容</w:t>
            </w:r>
          </w:p>
        </w:tc>
      </w:tr>
      <w:tr>
        <w:tblPrEx>
          <w:tblCellMar>
            <w:top w:w="0" w:type="dxa"/>
            <w:left w:w="108" w:type="dxa"/>
            <w:bottom w:w="0" w:type="dxa"/>
            <w:right w:w="108" w:type="dxa"/>
          </w:tblCellMar>
        </w:tblPrEx>
        <w:trPr>
          <w:trHeight w:val="680" w:hRule="atLeast"/>
          <w:jc w:val="center"/>
        </w:trPr>
        <w:tc>
          <w:tcPr>
            <w:tcW w:w="157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textAlignment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绍兴市交通运输行政执法队2024年绍兴市公交运行监管服务系统维保项目</w:t>
            </w:r>
          </w:p>
        </w:tc>
        <w:tc>
          <w:tcPr>
            <w:tcW w:w="77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highlight w:val="none"/>
              </w:rPr>
            </w:pPr>
            <w:r>
              <w:rPr>
                <w:rFonts w:hint="eastAsia" w:ascii="仿宋" w:hAnsi="仿宋" w:eastAsia="仿宋" w:cs="仿宋"/>
                <w:sz w:val="24"/>
                <w:highlight w:val="none"/>
              </w:rPr>
              <w:t>（一）公交数据资源库维护</w:t>
            </w:r>
          </w:p>
        </w:tc>
      </w:tr>
      <w:tr>
        <w:tblPrEx>
          <w:tblCellMar>
            <w:top w:w="0" w:type="dxa"/>
            <w:left w:w="108" w:type="dxa"/>
            <w:bottom w:w="0" w:type="dxa"/>
            <w:right w:w="108" w:type="dxa"/>
          </w:tblCellMar>
        </w:tblPrEx>
        <w:trPr>
          <w:trHeight w:val="214"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1</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center"/>
              <w:rPr>
                <w:rFonts w:ascii="仿宋" w:hAnsi="仿宋" w:eastAsia="仿宋" w:cs="仿宋"/>
                <w:sz w:val="24"/>
                <w:highlight w:val="none"/>
              </w:rPr>
            </w:pPr>
            <w:r>
              <w:rPr>
                <w:rFonts w:hint="eastAsia" w:ascii="仿宋" w:hAnsi="仿宋" w:eastAsia="仿宋" w:cs="仿宋"/>
                <w:kern w:val="0"/>
                <w:sz w:val="24"/>
                <w:highlight w:val="none"/>
                <w:lang w:bidi="ar"/>
              </w:rPr>
              <w:t>提升数据质量：结合相关考核指标在定义、计算方法、认定标准等方面的修正完善，优化公交运行监管系统数据接口协议，完善补传机制，逐步提升数据接入质量。</w:t>
            </w:r>
          </w:p>
        </w:tc>
      </w:tr>
      <w:tr>
        <w:tblPrEx>
          <w:tblCellMar>
            <w:top w:w="0" w:type="dxa"/>
            <w:left w:w="108" w:type="dxa"/>
            <w:bottom w:w="0" w:type="dxa"/>
            <w:right w:w="108" w:type="dxa"/>
          </w:tblCellMar>
        </w:tblPrEx>
        <w:trPr>
          <w:trHeight w:val="136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2</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center"/>
              <w:rPr>
                <w:rFonts w:ascii="仿宋" w:hAnsi="仿宋" w:eastAsia="仿宋" w:cs="仿宋"/>
                <w:sz w:val="24"/>
                <w:highlight w:val="none"/>
              </w:rPr>
            </w:pPr>
            <w:r>
              <w:rPr>
                <w:rFonts w:hint="eastAsia" w:ascii="仿宋" w:hAnsi="仿宋" w:eastAsia="仿宋" w:cs="仿宋"/>
                <w:kern w:val="0"/>
                <w:sz w:val="24"/>
                <w:highlight w:val="none"/>
                <w:lang w:bidi="ar"/>
              </w:rPr>
              <w:t>维护数据链路稳定：积极配合市区公交企业做好公交数据采集覆盖，同时对已有接入绍兴市交通运输行政执法队公交运行监管系统的接口、公交企业数据采集接口进行链路维护，保障数据正常传输，对异常链路问题情况进行邮件提醒。</w:t>
            </w:r>
          </w:p>
        </w:tc>
      </w:tr>
      <w:tr>
        <w:tblPrEx>
          <w:tblCellMar>
            <w:top w:w="0" w:type="dxa"/>
            <w:left w:w="108" w:type="dxa"/>
            <w:bottom w:w="0" w:type="dxa"/>
            <w:right w:w="108" w:type="dxa"/>
          </w:tblCellMar>
        </w:tblPrEx>
        <w:trPr>
          <w:trHeight w:val="9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center"/>
              <w:rPr>
                <w:rFonts w:ascii="仿宋" w:hAnsi="仿宋" w:eastAsia="仿宋" w:cs="仿宋"/>
                <w:highlight w:val="none"/>
              </w:rPr>
            </w:pPr>
            <w:r>
              <w:rPr>
                <w:rFonts w:hint="eastAsia" w:ascii="仿宋" w:hAnsi="仿宋" w:eastAsia="仿宋" w:cs="仿宋"/>
                <w:kern w:val="0"/>
                <w:sz w:val="24"/>
                <w:highlight w:val="none"/>
                <w:lang w:bidi="ar"/>
              </w:rPr>
              <w:t>数据交换共享：按照市交通运输局要求实现与交通运输数据治理服务项目公交模块数据的交换共享，整合数据采集链路。同时配合市局按照省厅接口标准完成城乡公交数据推送。</w:t>
            </w:r>
          </w:p>
        </w:tc>
      </w:tr>
      <w:tr>
        <w:tblPrEx>
          <w:tblCellMar>
            <w:top w:w="0" w:type="dxa"/>
            <w:left w:w="108" w:type="dxa"/>
            <w:bottom w:w="0" w:type="dxa"/>
            <w:right w:w="108" w:type="dxa"/>
          </w:tblCellMar>
        </w:tblPrEx>
        <w:trPr>
          <w:trHeight w:val="136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highlight w:val="none"/>
              </w:rPr>
            </w:pPr>
            <w:r>
              <w:rPr>
                <w:rFonts w:hint="eastAsia" w:ascii="仿宋" w:hAnsi="仿宋" w:eastAsia="仿宋" w:cs="仿宋"/>
                <w:kern w:val="0"/>
                <w:sz w:val="24"/>
                <w:highlight w:val="none"/>
                <w:lang w:bidi="ar"/>
              </w:rPr>
              <w:t>历史数据备份：在备份2021年-2022年月度指标数据基础上，做好2023年月度指标数据备份工作，确保以往年度历史数据在系统可查询。</w:t>
            </w:r>
          </w:p>
        </w:tc>
      </w:tr>
      <w:tr>
        <w:tblPrEx>
          <w:tblCellMar>
            <w:top w:w="0" w:type="dxa"/>
            <w:left w:w="108" w:type="dxa"/>
            <w:bottom w:w="0" w:type="dxa"/>
            <w:right w:w="108" w:type="dxa"/>
          </w:tblCellMar>
        </w:tblPrEx>
        <w:trPr>
          <w:trHeight w:val="573"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77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highlight w:val="none"/>
              </w:rPr>
            </w:pPr>
            <w:r>
              <w:rPr>
                <w:rFonts w:hint="eastAsia" w:ascii="仿宋" w:hAnsi="仿宋" w:eastAsia="仿宋" w:cs="仿宋"/>
                <w:sz w:val="24"/>
                <w:highlight w:val="none"/>
              </w:rPr>
              <w:t>（二）公交运行监管服务系统维护</w:t>
            </w:r>
          </w:p>
        </w:tc>
      </w:tr>
      <w:tr>
        <w:tblPrEx>
          <w:tblCellMar>
            <w:top w:w="0" w:type="dxa"/>
            <w:left w:w="108" w:type="dxa"/>
            <w:bottom w:w="0" w:type="dxa"/>
            <w:right w:w="108" w:type="dxa"/>
          </w:tblCellMar>
        </w:tblPrEx>
        <w:trPr>
          <w:trHeight w:val="170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1</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sz w:val="24"/>
                <w:highlight w:val="none"/>
              </w:rPr>
            </w:pPr>
            <w:r>
              <w:rPr>
                <w:rFonts w:hint="eastAsia" w:ascii="仿宋" w:hAnsi="仿宋" w:eastAsia="仿宋" w:cs="仿宋"/>
                <w:kern w:val="0"/>
                <w:sz w:val="24"/>
                <w:highlight w:val="none"/>
                <w:lang w:bidi="ar"/>
              </w:rPr>
              <w:t>调整考核指标：按照2024年绍兴市区公交企业服务质量考核、绍兴市区公交运营里程核查要求，对现有系统中的公交服务质量考核指标进行适当调整完善，包括但不限于早晚高峰发车间隔\发车正点率\早晚高峰平均运营时速\出车率\班次执行率\公交线路行驶正线率\总里程等指标。</w:t>
            </w:r>
          </w:p>
        </w:tc>
      </w:tr>
      <w:tr>
        <w:tblPrEx>
          <w:tblCellMar>
            <w:top w:w="0" w:type="dxa"/>
            <w:left w:w="108" w:type="dxa"/>
            <w:bottom w:w="0" w:type="dxa"/>
            <w:right w:w="108" w:type="dxa"/>
          </w:tblCellMar>
        </w:tblPrEx>
        <w:trPr>
          <w:trHeight w:val="238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2</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定期核查比对：基于“问题定位、原因分析、措施建议、效果评价”的数据核查思路，落实技术人员从考核指标数据的完整性、有效性、准确性、及时性等维度对进行数据质量分析，逐月定期做好公交数据核查、重算服务，实现对数据指标和企业运营里程结果更为客观的评价，主要从考核指标数据的完整性、有效性、准确性、及时性等维度对进行数据质量分析，为监测指标数据通报分析提供技术支持，从而提升数据资源的可靠性和可信度。</w:t>
            </w:r>
          </w:p>
        </w:tc>
      </w:tr>
      <w:tr>
        <w:tblPrEx>
          <w:tblCellMar>
            <w:top w:w="0" w:type="dxa"/>
            <w:left w:w="108" w:type="dxa"/>
            <w:bottom w:w="0" w:type="dxa"/>
            <w:right w:w="108" w:type="dxa"/>
          </w:tblCellMar>
        </w:tblPrEx>
        <w:trPr>
          <w:trHeight w:val="1126"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3</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强化系统运维：落实专人定期做好为期一年的公交运行监管服务系统运维工作，包括现场技术支持、培训、基础数据核对、服务质量指标核对、政府购买服务里程统计核对、大运量线路早晚高峰运送速度核对、系统数据链路维护、数据重算服务、服务器巡检以及硬件设备质保等工作，提供包括现场支持、24小时热线电话、远程在线诊断、故障排除等形式的技术服务。定期提供上门技术支持，做好企业前端设备巡检，强化系统本地化服务保障。</w:t>
            </w:r>
          </w:p>
        </w:tc>
      </w:tr>
      <w:tr>
        <w:tblPrEx>
          <w:tblCellMar>
            <w:top w:w="0" w:type="dxa"/>
            <w:left w:w="108" w:type="dxa"/>
            <w:bottom w:w="0" w:type="dxa"/>
            <w:right w:w="108" w:type="dxa"/>
          </w:tblCellMar>
        </w:tblPrEx>
        <w:trPr>
          <w:trHeight w:val="313"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滨海新区事项调整涉及的系统配置调整：根据我市滨海新区核心区交通运输行政执法及审批事项调整工作精神，按照区县级角色配置滨海新区交通运输职能部门组织机构、用户账号，确保其顺利承接本辖区公交运行监测系统相应操作权限。</w:t>
            </w:r>
          </w:p>
        </w:tc>
      </w:tr>
      <w:tr>
        <w:tblPrEx>
          <w:tblCellMar>
            <w:top w:w="0" w:type="dxa"/>
            <w:left w:w="108" w:type="dxa"/>
            <w:bottom w:w="0" w:type="dxa"/>
            <w:right w:w="108" w:type="dxa"/>
          </w:tblCellMar>
        </w:tblPrEx>
        <w:trPr>
          <w:trHeight w:val="42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公交系统整合：根据市交通运输局整合大交通信息平台和公交运行监测系统，建设城市公交都市数智应用的工作要求，依托本次年度运维项目，配合市局做好整合相关工作。</w:t>
            </w:r>
          </w:p>
        </w:tc>
      </w:tr>
      <w:tr>
        <w:tblPrEx>
          <w:tblCellMar>
            <w:top w:w="0" w:type="dxa"/>
            <w:left w:w="108" w:type="dxa"/>
            <w:bottom w:w="0" w:type="dxa"/>
            <w:right w:w="108" w:type="dxa"/>
          </w:tblCellMar>
        </w:tblPrEx>
        <w:trPr>
          <w:trHeight w:val="48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77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highlight w:val="none"/>
              </w:rPr>
            </w:pPr>
            <w:r>
              <w:rPr>
                <w:rFonts w:hint="eastAsia" w:ascii="仿宋" w:hAnsi="仿宋" w:eastAsia="仿宋" w:cs="仿宋"/>
                <w:sz w:val="24"/>
                <w:highlight w:val="none"/>
              </w:rPr>
              <w:t>（三）硬件支撑系统维护</w:t>
            </w:r>
          </w:p>
        </w:tc>
      </w:tr>
      <w:tr>
        <w:tblPrEx>
          <w:tblCellMar>
            <w:top w:w="0" w:type="dxa"/>
            <w:left w:w="108" w:type="dxa"/>
            <w:bottom w:w="0" w:type="dxa"/>
            <w:right w:w="108" w:type="dxa"/>
          </w:tblCellMar>
        </w:tblPrEx>
        <w:trPr>
          <w:trHeight w:val="170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1</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sz w:val="24"/>
                <w:highlight w:val="none"/>
              </w:rPr>
            </w:pPr>
            <w:r>
              <w:rPr>
                <w:rFonts w:hint="eastAsia" w:ascii="仿宋" w:hAnsi="仿宋" w:eastAsia="仿宋" w:cs="仿宋"/>
                <w:kern w:val="0"/>
                <w:sz w:val="24"/>
                <w:highlight w:val="none"/>
                <w:lang w:bidi="ar"/>
              </w:rPr>
              <w:t>网络运维：本项目通过1条光纤专线架通了行业主管部门与公交企业之间的网络连接，实现数据互联互通。维护期内，系统维护单位须根据市交通运输局整合大交通信息平台和公交运行监测系统的工作要求，保障当前网络架构下相关设备的正常稳定运行。</w:t>
            </w:r>
          </w:p>
        </w:tc>
      </w:tr>
      <w:tr>
        <w:tblPrEx>
          <w:tblCellMar>
            <w:top w:w="0" w:type="dxa"/>
            <w:left w:w="108" w:type="dxa"/>
            <w:bottom w:w="0" w:type="dxa"/>
            <w:right w:w="108" w:type="dxa"/>
          </w:tblCellMar>
        </w:tblPrEx>
        <w:trPr>
          <w:trHeight w:val="1700"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2</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sz w:val="24"/>
                <w:highlight w:val="none"/>
              </w:rPr>
            </w:pPr>
            <w:r>
              <w:rPr>
                <w:rFonts w:hint="eastAsia" w:ascii="仿宋" w:hAnsi="仿宋" w:eastAsia="仿宋" w:cs="仿宋"/>
                <w:kern w:val="0"/>
                <w:sz w:val="24"/>
                <w:highlight w:val="none"/>
                <w:lang w:bidi="ar"/>
              </w:rPr>
              <w:t>硬件设备：（1）4台企业端H3C MSR2600路由器、4台企业端DELL R330前置服务器，用于网络互连及企业端调度系统基础数据、动态GPS数据采集。（2）绍兴政务云端服务器，用于部署公交运行监管服务系统。</w:t>
            </w:r>
          </w:p>
        </w:tc>
      </w:tr>
      <w:tr>
        <w:tblPrEx>
          <w:tblCellMar>
            <w:top w:w="0" w:type="dxa"/>
            <w:left w:w="108" w:type="dxa"/>
            <w:bottom w:w="0" w:type="dxa"/>
            <w:right w:w="108" w:type="dxa"/>
          </w:tblCellMar>
        </w:tblPrEx>
        <w:trPr>
          <w:trHeight w:val="421"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77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highlight w:val="none"/>
              </w:rPr>
            </w:pPr>
            <w:r>
              <w:rPr>
                <w:rFonts w:hint="eastAsia" w:ascii="仿宋" w:hAnsi="仿宋" w:eastAsia="仿宋" w:cs="仿宋"/>
                <w:sz w:val="24"/>
                <w:highlight w:val="none"/>
              </w:rPr>
              <w:t>（四）网络安全防护</w:t>
            </w:r>
          </w:p>
        </w:tc>
      </w:tr>
      <w:tr>
        <w:tblPrEx>
          <w:tblCellMar>
            <w:top w:w="0" w:type="dxa"/>
            <w:left w:w="108" w:type="dxa"/>
            <w:bottom w:w="0" w:type="dxa"/>
            <w:right w:w="108" w:type="dxa"/>
          </w:tblCellMar>
        </w:tblPrEx>
        <w:trPr>
          <w:trHeight w:val="315" w:hRule="atLeast"/>
          <w:jc w:val="center"/>
        </w:trPr>
        <w:tc>
          <w:tcPr>
            <w:tcW w:w="1573"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 w:hAnsi="仿宋" w:eastAsia="仿宋" w:cs="仿宋"/>
                <w:sz w:val="24"/>
                <w:highlight w:val="none"/>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1</w:t>
            </w:r>
          </w:p>
        </w:tc>
        <w:tc>
          <w:tcPr>
            <w:tcW w:w="66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textAlignment w:val="center"/>
              <w:rPr>
                <w:rFonts w:ascii="仿宋" w:hAnsi="仿宋" w:eastAsia="仿宋" w:cs="仿宋"/>
                <w:sz w:val="24"/>
                <w:highlight w:val="none"/>
              </w:rPr>
            </w:pPr>
            <w:r>
              <w:rPr>
                <w:rFonts w:hint="eastAsia" w:ascii="仿宋" w:hAnsi="仿宋" w:eastAsia="仿宋" w:cs="仿宋"/>
                <w:kern w:val="0"/>
                <w:sz w:val="24"/>
                <w:highlight w:val="none"/>
                <w:lang w:bidi="ar"/>
              </w:rPr>
              <w:t>维护单位须配合采购人做好系统网络安全相关工作，进一步优化网络策略，完善系统网络架构，有效防止数据被窃取，资源被非法登录和网络安全攻击等情况发生。具体要求包括但不限于：（1）加强数据信息安全，通过控制数据库读取权限、用户权限及强化用户口令等方式，保障数据操作安全性；（2）加强安全漏洞管理，针对操作系统及软件信息系统存在的安全漏洞，及时升级补丁，防止利用安全漏洞窃取数据信息；（3）优化安全策略，及时关闭高危风险端口，杜绝非法外联现象。</w:t>
            </w:r>
          </w:p>
        </w:tc>
      </w:tr>
    </w:tbl>
    <w:p>
      <w:pPr>
        <w:snapToGrid w:val="0"/>
        <w:spacing w:line="360" w:lineRule="auto"/>
        <w:rPr>
          <w:rFonts w:ascii="仿宋" w:hAnsi="仿宋" w:eastAsia="仿宋" w:cs="仿宋"/>
          <w:b/>
          <w:sz w:val="24"/>
          <w:highlight w:val="none"/>
        </w:rPr>
      </w:pPr>
    </w:p>
    <w:p>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三、项目维护要求</w:t>
      </w:r>
    </w:p>
    <w:p>
      <w:pPr>
        <w:adjustRightInd/>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（一）总体要求</w:t>
      </w:r>
    </w:p>
    <w:p>
      <w:pPr>
        <w:pStyle w:val="876"/>
        <w:rPr>
          <w:rFonts w:ascii="仿宋" w:hAnsi="仿宋" w:eastAsia="仿宋" w:cs="仿宋"/>
          <w:szCs w:val="24"/>
          <w:highlight w:val="none"/>
        </w:rPr>
      </w:pPr>
      <w:r>
        <w:rPr>
          <w:rFonts w:hint="eastAsia" w:ascii="仿宋" w:hAnsi="仿宋" w:eastAsia="仿宋" w:cs="仿宋"/>
          <w:szCs w:val="24"/>
          <w:highlight w:val="none"/>
        </w:rPr>
        <w:t>1.制订维护服务方案</w:t>
      </w:r>
    </w:p>
    <w:p>
      <w:pPr>
        <w:pStyle w:val="876"/>
        <w:ind w:firstLine="480"/>
        <w:rPr>
          <w:rFonts w:ascii="仿宋" w:hAnsi="仿宋" w:eastAsia="仿宋" w:cs="仿宋"/>
          <w:b w:val="0"/>
          <w:bCs/>
          <w:szCs w:val="24"/>
          <w:highlight w:val="none"/>
        </w:rPr>
      </w:pPr>
      <w:r>
        <w:rPr>
          <w:rFonts w:hint="eastAsia" w:ascii="仿宋" w:hAnsi="仿宋" w:eastAsia="仿宋" w:cs="仿宋"/>
          <w:b w:val="0"/>
          <w:bCs/>
          <w:szCs w:val="24"/>
          <w:highlight w:val="none"/>
        </w:rPr>
        <w:t>为确保系统长效稳定运行，维护单位应落实专人及专电，就不同故障等级制定有针对性维护服务方案。针对各种故障，要明确给出实质性解决的响应时限承诺及所对应的实现方式。同时，须明确阐明项目运维管理计划，提供项目运维组成员名单、专业技术资格证书、学历、维护经验。合同生效以后，对采购人更换不符合维护需要技术人员的工作要求，维护单位必须明确承诺予以更换。维护单位若更换项目主要负责人或主要技术骨干，必须书面报采购人同意后方可进行。</w:t>
      </w:r>
    </w:p>
    <w:p>
      <w:pPr>
        <w:pStyle w:val="876"/>
        <w:numPr>
          <w:ilvl w:val="0"/>
          <w:numId w:val="1"/>
        </w:numPr>
        <w:ind w:firstLineChars="0"/>
        <w:rPr>
          <w:rFonts w:ascii="仿宋" w:hAnsi="仿宋" w:eastAsia="仿宋" w:cs="仿宋"/>
          <w:szCs w:val="24"/>
          <w:highlight w:val="none"/>
        </w:rPr>
      </w:pPr>
      <w:r>
        <w:rPr>
          <w:rFonts w:hint="eastAsia" w:ascii="仿宋" w:hAnsi="仿宋" w:eastAsia="仿宋" w:cs="仿宋"/>
          <w:szCs w:val="24"/>
          <w:highlight w:val="none"/>
        </w:rPr>
        <w:t>落实突发事件应急处置要求</w:t>
      </w:r>
    </w:p>
    <w:p>
      <w:pPr>
        <w:pStyle w:val="876"/>
        <w:ind w:firstLine="480"/>
        <w:rPr>
          <w:rFonts w:ascii="仿宋" w:hAnsi="仿宋" w:eastAsia="仿宋" w:cs="仿宋"/>
          <w:b w:val="0"/>
          <w:bCs/>
          <w:szCs w:val="24"/>
          <w:highlight w:val="none"/>
        </w:rPr>
      </w:pPr>
      <w:r>
        <w:rPr>
          <w:rFonts w:hint="eastAsia" w:ascii="仿宋" w:hAnsi="仿宋" w:eastAsia="仿宋" w:cs="仿宋"/>
          <w:b w:val="0"/>
          <w:bCs/>
          <w:szCs w:val="24"/>
          <w:highlight w:val="none"/>
        </w:rPr>
        <w:t>维保期内，针对信息系统各类突发事件以及系统范围内各类软、硬件故障，维护单位应在接到电话故障报告后30分钟内做出实质性响应，并确保工程师在2小时内进行故障处置。如远程无法解决问题，则要求8小时内有技术人员赶赴现场处置。每次故障处置结束后，维护单位须向用户提供统一格式的书面处置报告。维保期内如遇重大节会或活动、法定节假日，根据采购人网络安保要求，维护单位须落实专人排定值班表，进一步强化维护技术力量、做好系统隐患检查与安全加固、突发事件处置备勤等工作。</w:t>
      </w:r>
    </w:p>
    <w:p>
      <w:pPr>
        <w:pStyle w:val="876"/>
        <w:numPr>
          <w:ilvl w:val="0"/>
          <w:numId w:val="1"/>
        </w:numPr>
        <w:ind w:firstLineChars="0"/>
        <w:rPr>
          <w:rFonts w:ascii="仿宋" w:hAnsi="仿宋" w:eastAsia="仿宋" w:cs="仿宋"/>
          <w:highlight w:val="none"/>
        </w:rPr>
      </w:pPr>
      <w:r>
        <w:rPr>
          <w:rFonts w:hint="eastAsia" w:ascii="仿宋" w:hAnsi="仿宋" w:eastAsia="仿宋" w:cs="仿宋"/>
          <w:highlight w:val="none"/>
        </w:rPr>
        <w:t>做好日常维护及技术支持工作</w:t>
      </w:r>
    </w:p>
    <w:p>
      <w:pPr>
        <w:pStyle w:val="876"/>
        <w:ind w:firstLine="480"/>
        <w:rPr>
          <w:rFonts w:ascii="仿宋" w:hAnsi="仿宋" w:eastAsia="仿宋" w:cs="仿宋"/>
          <w:b w:val="0"/>
          <w:bCs/>
          <w:highlight w:val="none"/>
        </w:rPr>
      </w:pPr>
      <w:r>
        <w:rPr>
          <w:rFonts w:hint="eastAsia" w:ascii="仿宋" w:hAnsi="仿宋" w:eastAsia="仿宋" w:cs="仿宋"/>
          <w:b w:val="0"/>
          <w:bCs/>
          <w:szCs w:val="24"/>
          <w:highlight w:val="none"/>
        </w:rPr>
        <w:t>维护单位需提供远程巡检服务、上门全面巡检服务。巡检时，须根据巡检情况提出存在问题（隐患）和建议。每次巡检结果须以书面巡检记录单方式取得业主方确认。根据运行需要，提供必要的系统重新安装部署、迁移等服务，以及必要的系统开启和关闭、备份和确认后操作系统补丁升级等服务，保障系统正常稳定运行。提供做好相应权限账号开通及维护服务。维护服务还包括现场技术支持、培训、基础数据核对、服务质量指标核对、政府购买服务里程统计核对、大运量线路早晚高峰运送速度核对、数据重算服务、服务器巡检以及硬件设备质保等工作。配合落实</w:t>
      </w:r>
      <w:r>
        <w:rPr>
          <w:rFonts w:hint="eastAsia" w:ascii="仿宋" w:hAnsi="仿宋" w:eastAsia="仿宋" w:cs="仿宋"/>
          <w:b w:val="0"/>
          <w:bCs/>
          <w:szCs w:val="24"/>
          <w:highlight w:val="none"/>
          <w:lang w:eastAsia="zh-Hans"/>
        </w:rPr>
        <w:t>各级</w:t>
      </w:r>
      <w:r>
        <w:rPr>
          <w:rFonts w:hint="eastAsia" w:ascii="仿宋" w:hAnsi="仿宋" w:eastAsia="仿宋" w:cs="仿宋"/>
          <w:b w:val="0"/>
          <w:bCs/>
          <w:szCs w:val="24"/>
          <w:highlight w:val="none"/>
        </w:rPr>
        <w:t>部门数据共享工作。</w:t>
      </w:r>
    </w:p>
    <w:p>
      <w:pPr>
        <w:pStyle w:val="876"/>
        <w:numPr>
          <w:ilvl w:val="0"/>
          <w:numId w:val="1"/>
        </w:numPr>
        <w:ind w:firstLineChars="0"/>
        <w:rPr>
          <w:rFonts w:ascii="仿宋" w:hAnsi="仿宋" w:eastAsia="仿宋" w:cs="仿宋"/>
          <w:highlight w:val="none"/>
        </w:rPr>
      </w:pPr>
      <w:r>
        <w:rPr>
          <w:rFonts w:hint="eastAsia" w:ascii="仿宋" w:hAnsi="仿宋" w:eastAsia="仿宋" w:cs="仿宋"/>
          <w:highlight w:val="none"/>
        </w:rPr>
        <w:t>开展定期巡检及维护服务</w:t>
      </w:r>
    </w:p>
    <w:p>
      <w:pPr>
        <w:pStyle w:val="876"/>
        <w:ind w:firstLine="480"/>
        <w:rPr>
          <w:rFonts w:ascii="仿宋" w:hAnsi="仿宋" w:eastAsia="仿宋" w:cs="仿宋"/>
          <w:b w:val="0"/>
          <w:bCs/>
          <w:szCs w:val="24"/>
          <w:highlight w:val="none"/>
        </w:rPr>
      </w:pPr>
      <w:r>
        <w:rPr>
          <w:rFonts w:hint="eastAsia" w:ascii="仿宋" w:hAnsi="仿宋" w:eastAsia="仿宋" w:cs="仿宋"/>
          <w:b w:val="0"/>
          <w:bCs/>
          <w:szCs w:val="24"/>
          <w:highlight w:val="none"/>
        </w:rPr>
        <w:t>维保期内，强化系统本地化服务保障，定期提供全面巡检服务，巡检范围含项目内部署的所有硬件、支撑及应用软件。</w:t>
      </w:r>
    </w:p>
    <w:p>
      <w:pPr>
        <w:pStyle w:val="876"/>
        <w:ind w:firstLine="480"/>
        <w:rPr>
          <w:rFonts w:ascii="仿宋" w:hAnsi="仿宋" w:eastAsia="仿宋" w:cs="仿宋"/>
          <w:b w:val="0"/>
          <w:bCs/>
          <w:szCs w:val="24"/>
          <w:highlight w:val="none"/>
        </w:rPr>
      </w:pPr>
      <w:r>
        <w:rPr>
          <w:rFonts w:hint="eastAsia" w:ascii="仿宋" w:hAnsi="仿宋" w:eastAsia="仿宋" w:cs="仿宋"/>
          <w:b w:val="0"/>
          <w:bCs/>
          <w:szCs w:val="24"/>
          <w:highlight w:val="none"/>
        </w:rPr>
        <w:t>（1）巡检方式：每月提供不少于一次的远程巡检服务（含检查应用系统运行、硬件设备日志、数据备份、系统存储量、</w:t>
      </w:r>
      <w:r>
        <w:rPr>
          <w:rFonts w:hint="eastAsia" w:ascii="仿宋" w:hAnsi="仿宋" w:eastAsia="仿宋" w:cs="仿宋"/>
          <w:b w:val="0"/>
          <w:bCs/>
          <w:szCs w:val="24"/>
          <w:highlight w:val="none"/>
          <w:lang w:eastAsia="zh-Hans"/>
        </w:rPr>
        <w:t>网络</w:t>
      </w:r>
      <w:r>
        <w:rPr>
          <w:rFonts w:hint="eastAsia" w:ascii="仿宋" w:hAnsi="仿宋" w:eastAsia="仿宋" w:cs="仿宋"/>
          <w:b w:val="0"/>
          <w:bCs/>
          <w:szCs w:val="24"/>
          <w:highlight w:val="none"/>
        </w:rPr>
        <w:t>数据链路等情况）。远程巡检须主动致电询问软件系统运行情况。每季须提供不少于一次上门全面巡检服务（含软硬件保养、维护、检测、清理无效及历史数据和日志垃圾、处置发现故障等）。上门巡检时，前端设备巡检记录须经公交企业签字确认。</w:t>
      </w:r>
    </w:p>
    <w:p>
      <w:pPr>
        <w:pStyle w:val="876"/>
        <w:ind w:firstLine="480"/>
        <w:rPr>
          <w:rFonts w:ascii="仿宋" w:hAnsi="仿宋" w:eastAsia="仿宋" w:cs="仿宋"/>
          <w:b w:val="0"/>
          <w:bCs/>
          <w:highlight w:val="none"/>
        </w:rPr>
      </w:pPr>
      <w:r>
        <w:rPr>
          <w:rFonts w:hint="eastAsia" w:ascii="仿宋" w:hAnsi="仿宋" w:eastAsia="仿宋" w:cs="仿宋"/>
          <w:b w:val="0"/>
          <w:bCs/>
          <w:szCs w:val="24"/>
          <w:highlight w:val="none"/>
        </w:rPr>
        <w:t>（2）巡检要求：巡检时，须根据巡检情况提出存在问题（隐患）和建议。每次巡检结果须以书面巡检记录方式取得采购人确认。巡检时发现应用出现异常或性能降低时，运维单位应免费提供性能分析，并提出优化解决方案。维保服务到期后十日内，提供年度服务总结报告。由于巡检不及时导致的损失由投标方承担。</w:t>
      </w:r>
    </w:p>
    <w:p>
      <w:pPr>
        <w:pStyle w:val="876"/>
        <w:rPr>
          <w:rFonts w:ascii="仿宋" w:hAnsi="仿宋" w:eastAsia="仿宋" w:cs="仿宋"/>
          <w:szCs w:val="24"/>
          <w:highlight w:val="none"/>
        </w:rPr>
      </w:pPr>
      <w:r>
        <w:rPr>
          <w:rFonts w:hint="eastAsia" w:ascii="仿宋" w:hAnsi="仿宋" w:eastAsia="仿宋" w:cs="仿宋"/>
          <w:szCs w:val="24"/>
          <w:highlight w:val="none"/>
        </w:rPr>
        <w:t>5.业务指导和培训要求</w:t>
      </w:r>
    </w:p>
    <w:p>
      <w:pPr>
        <w:pStyle w:val="876"/>
        <w:ind w:firstLine="480"/>
        <w:rPr>
          <w:rFonts w:ascii="仿宋" w:hAnsi="仿宋" w:eastAsia="仿宋" w:cs="仿宋"/>
          <w:b w:val="0"/>
          <w:bCs/>
          <w:szCs w:val="24"/>
          <w:highlight w:val="none"/>
        </w:rPr>
      </w:pPr>
      <w:r>
        <w:rPr>
          <w:rFonts w:hint="eastAsia" w:ascii="仿宋" w:hAnsi="仿宋" w:eastAsia="仿宋" w:cs="仿宋"/>
          <w:b w:val="0"/>
          <w:bCs/>
          <w:szCs w:val="24"/>
          <w:highlight w:val="none"/>
        </w:rPr>
        <w:t>系统维护期内，承诺提供：</w:t>
      </w:r>
      <w:r>
        <w:rPr>
          <w:rFonts w:hint="eastAsia" w:ascii="仿宋" w:hAnsi="仿宋" w:eastAsia="仿宋" w:cs="仿宋"/>
          <w:b w:val="0"/>
          <w:bCs/>
          <w:color w:val="auto"/>
          <w:szCs w:val="24"/>
          <w:highlight w:val="none"/>
        </w:rPr>
        <w:t>一是不少于1天的培训服务，包括系统操作和技术维护两方面内容；二是落实专人</w:t>
      </w:r>
      <w:r>
        <w:rPr>
          <w:rFonts w:hint="eastAsia" w:ascii="仿宋" w:hAnsi="仿宋" w:eastAsia="仿宋" w:cs="仿宋"/>
          <w:b w:val="0"/>
          <w:bCs/>
          <w:szCs w:val="24"/>
          <w:highlight w:val="none"/>
        </w:rPr>
        <w:t>以电话、网络及现场指导等方式及时提供日常业务操作指导，解答系统日常运行使用过程中的操作及技术维护方面的问题。</w:t>
      </w:r>
    </w:p>
    <w:p>
      <w:pPr>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6.其他服务要求</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维保期内，如远程服务无法及时解决，必须上门方式维护。投标人须明确承诺若三次以上故障期间投标人均无法兑现维保要求的，采购人有权单方面终止合同，且由此带来的一切损失由投标人负责。</w:t>
      </w:r>
    </w:p>
    <w:p>
      <w:pPr>
        <w:adjustRightInd/>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（二）硬件设备要求</w:t>
      </w:r>
    </w:p>
    <w:p>
      <w:pPr>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1.设备保修，备品更换要求</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维护期内，维护单位须根据项目内硬件设备质保到期情况，进行保修延续。质保内容包括硬件免费修复及备品、备件免费更换。若在规定时间（24小时内）不能解决故障且影响系统正常使用时，维护单位负责提供不低于原型号的备用设备，并负责还原设备上相关软件环境。同时，须明确承诺故障设备修复时限、修复方式及修复期间有效应对措施。</w:t>
      </w:r>
    </w:p>
    <w:p>
      <w:pPr>
        <w:numPr>
          <w:ilvl w:val="0"/>
          <w:numId w:val="2"/>
        </w:numPr>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其他维护要求</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针对本项目所涉硬件，维护单位定期巡检时须主动关注设备运行温度、指示灯、系统运行日志及关键事件等运行状态，对各类设备进行检查、维护及优化，做好设备除尘，保障设备的正常运行。此外，根据采购人网络整合需求，提供维保期本项目范围内设备网络策略调试、配置等技术支持服务。</w:t>
      </w:r>
    </w:p>
    <w:p>
      <w:pPr>
        <w:adjustRightInd/>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（三）支撑软件维护要求</w:t>
      </w:r>
    </w:p>
    <w:p>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维保期内须按需提供相关数据库技术维护服务。在保证数据库系统正常运行基础上，提供必要的数据库维护服务，具体包括但不限于：</w:t>
      </w:r>
    </w:p>
    <w:p>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（1）安装及运行检查。结合明确的维护时限及要求，提供日常运行情况检查以及必要的现场安装和配置数据库服务；</w:t>
      </w:r>
    </w:p>
    <w:p>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（2）故障处置。及时检查并在问题发生后采取有效措施，及时恢复运行并挽救系统数据信息；</w:t>
      </w:r>
    </w:p>
    <w:p>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（3）数据备份及数据迁移。根据系统实际提供定期、异机数据备份服务，并提供必要的跨平台、跨版本数据迁移服务；</w:t>
      </w:r>
    </w:p>
    <w:p>
      <w:pPr>
        <w:adjustRightInd/>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（4）性能优化服务。提供优化业务规则、数据及应用设计与操作、访问路径及资源配置等具体性能优化服务。</w:t>
      </w:r>
    </w:p>
    <w:p>
      <w:pPr>
        <w:pStyle w:val="876"/>
        <w:snapToGrid/>
        <w:jc w:val="left"/>
        <w:textAlignment w:val="baseline"/>
        <w:rPr>
          <w:rFonts w:ascii="仿宋" w:hAnsi="仿宋" w:eastAsia="仿宋" w:cs="仿宋"/>
          <w:highlight w:val="none"/>
        </w:rPr>
      </w:pPr>
      <w:r>
        <w:rPr>
          <w:rFonts w:hint="eastAsia" w:ascii="仿宋" w:hAnsi="仿宋" w:eastAsia="仿宋" w:cs="仿宋"/>
          <w:highlight w:val="none"/>
        </w:rPr>
        <w:t>（四）保密要求</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鉴于维护单位服务工作过程中能够接触或从采购人处获得资料、文档和相关数据等业务信息，可以访问相关软、硬件平台环境，为对业务应用系统、系统设备及软、硬件平台环境进行有效保护，保障采购人网络信息安全，要求维护单位</w:t>
      </w:r>
      <w:r>
        <w:rPr>
          <w:rFonts w:hint="eastAsia" w:ascii="仿宋" w:hAnsi="仿宋" w:eastAsia="仿宋" w:cs="仿宋"/>
          <w:b/>
          <w:sz w:val="24"/>
          <w:highlight w:val="none"/>
        </w:rPr>
        <w:t>明确承诺</w:t>
      </w:r>
      <w:r>
        <w:rPr>
          <w:rFonts w:hint="eastAsia" w:ascii="仿宋" w:hAnsi="仿宋" w:eastAsia="仿宋" w:cs="仿宋"/>
          <w:sz w:val="24"/>
          <w:highlight w:val="none"/>
        </w:rPr>
        <w:t>，严格遵守相关保密法律、法规，本项目涉及业务信息仅在具体从事该工作的负责人和服务人员范围内知悉，如因维护单位原因导致信息流失、泄露，造成的一切后果由维护单位承担。</w:t>
      </w:r>
    </w:p>
    <w:p>
      <w:pPr>
        <w:pStyle w:val="876"/>
        <w:snapToGrid/>
        <w:textAlignment w:val="baseline"/>
        <w:rPr>
          <w:rFonts w:ascii="仿宋" w:hAnsi="仿宋" w:eastAsia="仿宋" w:cs="仿宋"/>
          <w:highlight w:val="none"/>
        </w:rPr>
      </w:pPr>
      <w:r>
        <w:rPr>
          <w:rFonts w:hint="eastAsia" w:ascii="仿宋" w:hAnsi="仿宋" w:eastAsia="仿宋" w:cs="仿宋"/>
          <w:highlight w:val="none"/>
        </w:rPr>
        <w:t>（五）验收要求</w:t>
      </w:r>
    </w:p>
    <w:p>
      <w:pPr>
        <w:pStyle w:val="85"/>
        <w:ind w:firstLine="480"/>
        <w:rPr>
          <w:rFonts w:ascii="仿宋" w:hAnsi="仿宋" w:eastAsia="仿宋" w:cs="仿宋"/>
          <w:kern w:val="2"/>
          <w:highlight w:val="none"/>
        </w:rPr>
      </w:pPr>
      <w:r>
        <w:rPr>
          <w:rFonts w:hint="eastAsia" w:ascii="仿宋" w:hAnsi="仿宋" w:eastAsia="仿宋" w:cs="仿宋"/>
          <w:kern w:val="2"/>
          <w:highlight w:val="none"/>
        </w:rPr>
        <w:t>根据中华人民共和国现行技术标准，按照合同规定的验收评定标准等规范，由采购人组织验收。维护单位应负责在验收前将有关产品和系统说明书、运维手册、运维记录、巡检记录等文档汇集成册，交付采购人。只有文档齐全后方可组织验收。</w:t>
      </w:r>
    </w:p>
    <w:p>
      <w:pPr>
        <w:numPr>
          <w:ilvl w:val="0"/>
          <w:numId w:val="3"/>
        </w:numPr>
        <w:snapToGrid w:val="0"/>
        <w:spacing w:line="360" w:lineRule="auto"/>
        <w:rPr>
          <w:rFonts w:ascii="仿宋" w:hAnsi="仿宋" w:eastAsia="仿宋" w:cs="仿宋"/>
          <w:b/>
          <w:bCs/>
          <w:sz w:val="24"/>
          <w:highlight w:val="none"/>
        </w:rPr>
      </w:pPr>
      <w:r>
        <w:rPr>
          <w:rFonts w:hint="eastAsia" w:ascii="仿宋" w:hAnsi="仿宋" w:eastAsia="仿宋" w:cs="仿宋"/>
          <w:b/>
          <w:sz w:val="24"/>
          <w:highlight w:val="none"/>
        </w:rPr>
        <w:t>项目周期</w:t>
      </w:r>
    </w:p>
    <w:p>
      <w:pPr>
        <w:pStyle w:val="85"/>
        <w:ind w:firstLine="480" w:firstLineChars="200"/>
        <w:rPr>
          <w:rFonts w:ascii="仿宋" w:hAnsi="仿宋" w:eastAsia="仿宋" w:cs="仿宋"/>
          <w:highlight w:val="none"/>
        </w:rPr>
      </w:pPr>
      <w:r>
        <w:rPr>
          <w:rFonts w:hint="eastAsia" w:ascii="仿宋" w:hAnsi="仿宋" w:eastAsia="仿宋" w:cs="仿宋"/>
          <w:kern w:val="2"/>
          <w:highlight w:val="none"/>
        </w:rPr>
        <w:t>自2024年9月2日起，为期一</w:t>
      </w:r>
      <w:r>
        <w:rPr>
          <w:rFonts w:hint="eastAsia" w:ascii="仿宋" w:hAnsi="仿宋" w:eastAsia="仿宋" w:cs="仿宋"/>
          <w:highlight w:val="none"/>
        </w:rPr>
        <w:t>年运维服务，包含维保过程中产生的所有费用。自合同生效内，维保过程中产生的所有费用皆由维护单位负责。</w:t>
      </w:r>
    </w:p>
    <w:p>
      <w:pPr>
        <w:pStyle w:val="85"/>
        <w:ind w:firstLine="480" w:firstLineChars="200"/>
        <w:rPr>
          <w:rFonts w:ascii="仿宋" w:hAnsi="仿宋" w:eastAsia="仿宋" w:cs="仿宋"/>
          <w:highlight w:val="none"/>
        </w:rPr>
      </w:pPr>
    </w:p>
    <w:p>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五、付款方式</w:t>
      </w:r>
    </w:p>
    <w:p>
      <w:pPr>
        <w:spacing w:line="360" w:lineRule="auto"/>
        <w:ind w:firstLine="480" w:firstLineChars="200"/>
        <w:rPr>
          <w:rFonts w:ascii="仿宋" w:hAnsi="仿宋" w:eastAsia="仿宋" w:cs="仿宋"/>
          <w:b/>
          <w:sz w:val="36"/>
          <w:szCs w:val="36"/>
          <w:highlight w:val="none"/>
        </w:rPr>
      </w:pPr>
      <w:r>
        <w:rPr>
          <w:rFonts w:hint="eastAsia" w:ascii="仿宋" w:hAnsi="仿宋" w:eastAsia="仿宋" w:cs="仿宋"/>
          <w:sz w:val="24"/>
          <w:highlight w:val="none"/>
        </w:rPr>
        <w:t>合同正式签订后7个工作日内且满足支付条件的情况下，支付合同价款的50%，</w:t>
      </w:r>
      <w:r>
        <w:rPr>
          <w:rFonts w:hint="eastAsia" w:ascii="仿宋" w:hAnsi="仿宋" w:eastAsia="仿宋" w:cs="仿宋"/>
          <w:sz w:val="24"/>
          <w:highlight w:val="none"/>
          <w:lang w:eastAsia="zh-Hans"/>
        </w:rPr>
        <w:t>维保期满一年</w:t>
      </w:r>
      <w:r>
        <w:rPr>
          <w:rFonts w:hint="eastAsia" w:ascii="仿宋" w:hAnsi="仿宋" w:eastAsia="仿宋" w:cs="仿宋"/>
          <w:sz w:val="24"/>
          <w:highlight w:val="none"/>
        </w:rPr>
        <w:t>并通过项目验收</w:t>
      </w:r>
      <w:r>
        <w:rPr>
          <w:rFonts w:hint="eastAsia" w:ascii="仿宋" w:hAnsi="仿宋" w:eastAsia="仿宋" w:cs="仿宋"/>
          <w:sz w:val="24"/>
          <w:highlight w:val="none"/>
          <w:lang w:eastAsia="zh-Hans"/>
        </w:rPr>
        <w:t>后，</w:t>
      </w:r>
      <w:r>
        <w:rPr>
          <w:rFonts w:hint="eastAsia" w:ascii="仿宋" w:hAnsi="仿宋" w:eastAsia="仿宋" w:cs="仿宋"/>
          <w:sz w:val="24"/>
          <w:highlight w:val="none"/>
        </w:rPr>
        <w:t>支付合同价款的50%（不计息）。</w:t>
      </w: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widowControl/>
        <w:adjustRightInd/>
        <w:jc w:val="left"/>
        <w:rPr>
          <w:rFonts w:ascii="仿宋" w:hAnsi="仿宋" w:eastAsia="仿宋" w:cs="仿宋"/>
          <w:b/>
          <w:sz w:val="36"/>
          <w:szCs w:val="36"/>
          <w:highlight w:val="none"/>
        </w:rPr>
      </w:pPr>
      <w:r>
        <w:rPr>
          <w:rFonts w:ascii="仿宋" w:hAnsi="仿宋" w:eastAsia="仿宋" w:cs="仿宋"/>
          <w:b/>
          <w:sz w:val="36"/>
          <w:szCs w:val="36"/>
          <w:highlight w:val="none"/>
        </w:rPr>
        <w:br w:type="page"/>
      </w:r>
    </w:p>
    <w:p>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1"/>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ascii="仿宋" w:hAnsi="仿宋" w:eastAsia="仿宋" w:cs="仿宋"/>
          <w:sz w:val="24"/>
          <w:highlight w:val="none"/>
        </w:rPr>
      </w:pPr>
    </w:p>
    <w:p>
      <w:pPr>
        <w:pStyle w:val="6"/>
        <w:rPr>
          <w:rFonts w:ascii="仿宋" w:eastAsia="仿宋" w:cs="仿宋"/>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8"/>
        <w:spacing w:before="120" w:line="22" w:lineRule="atLeast"/>
        <w:rPr>
          <w:rFonts w:ascii="仿宋" w:hAnsi="仿宋" w:eastAsia="仿宋" w:cs="仿宋"/>
          <w:szCs w:val="24"/>
          <w:highlight w:val="none"/>
        </w:rPr>
      </w:pPr>
    </w:p>
    <w:p>
      <w:pPr>
        <w:pStyle w:val="598"/>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ascii="仿宋" w:hAnsi="仿宋" w:eastAsia="仿宋" w:cs="仿宋"/>
          <w:kern w:val="0"/>
          <w:sz w:val="24"/>
          <w:highlight w:val="none"/>
        </w:rPr>
        <w:sectPr>
          <w:pgSz w:w="11907" w:h="16840"/>
          <w:pgMar w:top="1474" w:right="1814" w:bottom="1474" w:left="1814" w:header="851" w:footer="851" w:gutter="0"/>
          <w:cols w:space="720" w:num="1"/>
        </w:sectPr>
      </w:pPr>
    </w:p>
    <w:p>
      <w:pPr>
        <w:rPr>
          <w:rFonts w:ascii="仿宋" w:hAnsi="仿宋" w:eastAsia="仿宋" w:cs="仿宋"/>
          <w:b/>
          <w:sz w:val="24"/>
          <w:highlight w:val="none"/>
        </w:rPr>
      </w:pP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440" w:lineRule="exact"/>
        <w:ind w:firstLine="482" w:firstLineChars="200"/>
        <w:outlineLvl w:val="0"/>
        <w:rPr>
          <w:rFonts w:ascii="仿宋" w:hAnsi="仿宋" w:eastAsia="仿宋" w:cs="仿宋"/>
          <w:sz w:val="24"/>
          <w:highlight w:val="none"/>
        </w:rPr>
      </w:pPr>
      <w:bookmarkStart w:id="38" w:name="_Toc28855"/>
      <w:bookmarkStart w:id="39" w:name="_Toc15367"/>
      <w:bookmarkStart w:id="40" w:name="_Toc19273"/>
      <w:bookmarkStart w:id="41" w:name="_Toc22967"/>
      <w:bookmarkStart w:id="42" w:name="_Toc20421"/>
      <w:r>
        <w:rPr>
          <w:rFonts w:hint="eastAsia" w:ascii="仿宋" w:hAnsi="仿宋" w:eastAsia="仿宋" w:cs="仿宋"/>
          <w:b/>
          <w:sz w:val="24"/>
          <w:highlight w:val="none"/>
        </w:rPr>
        <w:t>1.1 合同组成部分</w:t>
      </w:r>
      <w:bookmarkEnd w:id="38"/>
      <w:bookmarkEnd w:id="39"/>
      <w:bookmarkEnd w:id="40"/>
      <w:bookmarkEnd w:id="41"/>
      <w:bookmarkEnd w:id="42"/>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440" w:lineRule="exact"/>
        <w:ind w:firstLine="482" w:firstLineChars="200"/>
        <w:outlineLvl w:val="0"/>
        <w:rPr>
          <w:rFonts w:ascii="仿宋" w:hAnsi="仿宋" w:eastAsia="仿宋" w:cs="仿宋"/>
          <w:b/>
          <w:sz w:val="24"/>
          <w:highlight w:val="none"/>
        </w:rPr>
      </w:pPr>
      <w:bookmarkStart w:id="43" w:name="_Toc2918"/>
      <w:bookmarkStart w:id="44" w:name="_Toc6773"/>
      <w:bookmarkStart w:id="45" w:name="_Toc6311"/>
      <w:bookmarkStart w:id="46" w:name="_Toc18585"/>
      <w:bookmarkStart w:id="47" w:name="_Toc22185"/>
      <w:r>
        <w:rPr>
          <w:rFonts w:hint="eastAsia" w:ascii="仿宋" w:hAnsi="仿宋" w:eastAsia="仿宋" w:cs="仿宋"/>
          <w:b/>
          <w:sz w:val="24"/>
          <w:highlight w:val="none"/>
        </w:rPr>
        <w:t>1.2 标的</w:t>
      </w:r>
      <w:bookmarkEnd w:id="43"/>
      <w:bookmarkEnd w:id="44"/>
      <w:bookmarkEnd w:id="45"/>
      <w:bookmarkEnd w:id="46"/>
      <w:bookmarkEnd w:id="47"/>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59"/>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pPr>
        <w:spacing w:line="440" w:lineRule="exact"/>
        <w:ind w:firstLine="480" w:firstLineChars="200"/>
        <w:rPr>
          <w:rFonts w:ascii="仿宋" w:hAnsi="仿宋" w:eastAsia="仿宋" w:cs="仿宋"/>
          <w:sz w:val="24"/>
          <w:highlight w:val="none"/>
          <w:u w:val="single"/>
        </w:rPr>
      </w:pPr>
      <w:bookmarkStart w:id="48" w:name="_Toc4929"/>
      <w:bookmarkStart w:id="49" w:name="_Toc1386"/>
      <w:bookmarkStart w:id="50" w:name="_Toc5635"/>
      <w:bookmarkStart w:id="51" w:name="_Toc21124"/>
      <w:bookmarkStart w:id="52"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48"/>
      <w:bookmarkEnd w:id="49"/>
      <w:bookmarkEnd w:id="50"/>
      <w:bookmarkEnd w:id="51"/>
      <w:bookmarkEnd w:id="52"/>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19"/>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19"/>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19"/>
              <w:spacing w:line="440" w:lineRule="exact"/>
              <w:ind w:firstLine="480" w:firstLineChars="200"/>
              <w:jc w:val="center"/>
              <w:rPr>
                <w:rFonts w:ascii="仿宋" w:hAnsi="仿宋" w:eastAsia="仿宋" w:cs="仿宋"/>
                <w:sz w:val="24"/>
                <w:szCs w:val="24"/>
                <w:highlight w:val="none"/>
              </w:rPr>
            </w:pPr>
          </w:p>
        </w:tc>
      </w:tr>
    </w:tbl>
    <w:p>
      <w:pPr>
        <w:spacing w:line="440" w:lineRule="exact"/>
        <w:ind w:firstLine="480" w:firstLineChars="200"/>
        <w:rPr>
          <w:rFonts w:ascii="仿宋" w:hAnsi="仿宋" w:eastAsia="仿宋" w:cs="仿宋"/>
          <w:sz w:val="24"/>
          <w:highlight w:val="none"/>
        </w:rPr>
      </w:pPr>
      <w:bookmarkStart w:id="53" w:name="_Toc14993"/>
      <w:bookmarkStart w:id="54" w:name="_Toc26916"/>
      <w:bookmarkStart w:id="55" w:name="_Toc30158"/>
      <w:bookmarkStart w:id="56" w:name="_Toc3654"/>
      <w:bookmarkStart w:id="57" w:name="_Toc3050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6"/>
        <w:spacing w:line="440" w:lineRule="exact"/>
        <w:ind w:left="0" w:firstLine="482" w:firstLineChars="200"/>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53"/>
    <w:bookmarkEnd w:id="54"/>
    <w:bookmarkEnd w:id="55"/>
    <w:bookmarkEnd w:id="56"/>
    <w:bookmarkEnd w:id="57"/>
    <w:p>
      <w:pPr>
        <w:pStyle w:val="959"/>
        <w:spacing w:before="0" w:beforeAutospacing="0" w:after="0" w:afterAutospacing="0" w:line="440" w:lineRule="exact"/>
        <w:ind w:firstLine="482" w:firstLineChars="200"/>
        <w:rPr>
          <w:rFonts w:ascii="仿宋" w:hAnsi="仿宋" w:eastAsia="仿宋" w:cs="仿宋"/>
          <w:b/>
          <w:highlight w:val="none"/>
        </w:rPr>
      </w:pPr>
      <w:bookmarkStart w:id="58" w:name="_Toc1814"/>
      <w:bookmarkStart w:id="59" w:name="_Toc10340"/>
      <w:bookmarkStart w:id="60" w:name="_Toc22618"/>
      <w:bookmarkStart w:id="61" w:name="_Toc11108"/>
      <w:bookmarkStart w:id="62" w:name="_Toc3625"/>
      <w:bookmarkStart w:id="63" w:name="_Toc8772"/>
      <w:bookmarkStart w:id="64" w:name="_Toc4760"/>
      <w:bookmarkStart w:id="65" w:name="_Toc31421"/>
      <w:r>
        <w:rPr>
          <w:rFonts w:hint="eastAsia" w:ascii="仿宋" w:hAnsi="仿宋" w:eastAsia="仿宋" w:cs="仿宋"/>
          <w:b/>
          <w:highlight w:val="none"/>
        </w:rPr>
        <w:t>1.4履约保证金</w:t>
      </w:r>
    </w:p>
    <w:p>
      <w:pPr>
        <w:pStyle w:val="959"/>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6"/>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8"/>
      <w:bookmarkEnd w:id="59"/>
      <w:bookmarkEnd w:id="60"/>
      <w:r>
        <w:rPr>
          <w:rFonts w:hint="eastAsia" w:ascii="仿宋" w:hAnsi="仿宋" w:eastAsia="仿宋" w:cs="仿宋"/>
          <w:b/>
          <w:sz w:val="24"/>
          <w:highlight w:val="none"/>
        </w:rPr>
        <w:t>预付款</w:t>
      </w:r>
    </w:p>
    <w:p>
      <w:pPr>
        <w:pStyle w:val="959"/>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9"/>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9"/>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9"/>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pPr>
        <w:pStyle w:val="959"/>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1"/>
      <w:bookmarkEnd w:id="62"/>
      <w:bookmarkEnd w:id="63"/>
      <w:bookmarkEnd w:id="64"/>
      <w:bookmarkEnd w:id="65"/>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outlineLvl w:val="0"/>
        <w:rPr>
          <w:rFonts w:ascii="仿宋" w:hAnsi="仿宋" w:eastAsia="仿宋" w:cs="仿宋"/>
          <w:bCs/>
          <w:sz w:val="24"/>
          <w:highlight w:val="none"/>
        </w:rPr>
      </w:pPr>
      <w:bookmarkStart w:id="66" w:name="_Toc2375"/>
      <w:bookmarkStart w:id="67" w:name="_Toc8586"/>
      <w:bookmarkStart w:id="68" w:name="_Toc5698"/>
      <w:bookmarkStart w:id="69" w:name="_Toc3079"/>
      <w:bookmarkStart w:id="70" w:name="_Toc24662"/>
      <w:r>
        <w:rPr>
          <w:rFonts w:hint="eastAsia" w:ascii="仿宋" w:hAnsi="仿宋" w:eastAsia="仿宋" w:cs="仿宋"/>
          <w:bCs/>
          <w:sz w:val="24"/>
          <w:highlight w:val="none"/>
        </w:rPr>
        <w:t>1.7.4若服务涉及货物的，则货物的：</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66"/>
      <w:bookmarkEnd w:id="67"/>
      <w:bookmarkEnd w:id="68"/>
      <w:bookmarkEnd w:id="69"/>
      <w:bookmarkEnd w:id="70"/>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6"/>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highlight w:val="none"/>
        </w:rPr>
      </w:pPr>
      <w:bookmarkStart w:id="71" w:name="_Toc32454"/>
      <w:bookmarkStart w:id="72" w:name="_Toc26807"/>
      <w:bookmarkStart w:id="73" w:name="_Toc9497"/>
      <w:bookmarkStart w:id="74" w:name="_Toc18683"/>
      <w:bookmarkStart w:id="75" w:name="_Toc30329"/>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1"/>
    <w:bookmarkEnd w:id="72"/>
    <w:bookmarkEnd w:id="73"/>
    <w:bookmarkEnd w:id="74"/>
    <w:bookmarkEnd w:id="75"/>
    <w:p>
      <w:pPr>
        <w:spacing w:line="440" w:lineRule="exact"/>
        <w:ind w:firstLine="482" w:firstLineChars="200"/>
        <w:outlineLvl w:val="0"/>
        <w:rPr>
          <w:rFonts w:ascii="仿宋" w:hAnsi="仿宋" w:eastAsia="仿宋" w:cs="仿宋"/>
          <w:b/>
          <w:sz w:val="24"/>
          <w:highlight w:val="none"/>
        </w:rPr>
      </w:pPr>
      <w:bookmarkStart w:id="76" w:name="_Toc28375"/>
      <w:bookmarkStart w:id="77" w:name="_Toc16021"/>
      <w:bookmarkStart w:id="78" w:name="_Toc15583"/>
      <w:r>
        <w:rPr>
          <w:rFonts w:hint="eastAsia" w:ascii="仿宋" w:hAnsi="仿宋" w:eastAsia="仿宋" w:cs="仿宋"/>
          <w:b/>
          <w:sz w:val="24"/>
          <w:highlight w:val="none"/>
        </w:rPr>
        <w:t>1.9合同争议的解决</w:t>
      </w:r>
      <w:bookmarkEnd w:id="76"/>
      <w:bookmarkEnd w:id="77"/>
      <w:bookmarkEnd w:id="78"/>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440" w:lineRule="exact"/>
        <w:ind w:firstLine="482" w:firstLineChars="200"/>
        <w:outlineLvl w:val="0"/>
        <w:rPr>
          <w:rFonts w:ascii="仿宋" w:hAnsi="仿宋" w:eastAsia="仿宋" w:cs="仿宋"/>
          <w:b/>
          <w:sz w:val="24"/>
          <w:highlight w:val="none"/>
        </w:rPr>
      </w:pPr>
      <w:bookmarkStart w:id="79" w:name="_Toc7245"/>
      <w:bookmarkStart w:id="80" w:name="_Toc15322"/>
      <w:bookmarkStart w:id="81" w:name="_Toc11173"/>
      <w:r>
        <w:rPr>
          <w:rFonts w:hint="eastAsia" w:ascii="仿宋" w:hAnsi="仿宋" w:eastAsia="仿宋" w:cs="仿宋"/>
          <w:b/>
          <w:sz w:val="24"/>
          <w:highlight w:val="none"/>
        </w:rPr>
        <w:t>2.0 合同生效</w:t>
      </w:r>
      <w:bookmarkEnd w:id="79"/>
      <w:bookmarkEnd w:id="80"/>
      <w:bookmarkEnd w:id="81"/>
    </w:p>
    <w:p>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pPr>
        <w:pStyle w:val="701"/>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ascii="仿宋" w:hAnsi="仿宋" w:eastAsia="仿宋" w:cs="仿宋"/>
          <w:b/>
          <w:sz w:val="24"/>
          <w:highlight w:val="none"/>
        </w:rPr>
      </w:pPr>
      <w:bookmarkStart w:id="82" w:name="_Toc19680"/>
      <w:bookmarkStart w:id="83" w:name="_Toc14021"/>
      <w:bookmarkStart w:id="84" w:name="_Toc31297"/>
      <w:bookmarkStart w:id="85" w:name="_Toc25079"/>
      <w:bookmarkStart w:id="86" w:name="_Toc5228"/>
      <w:r>
        <w:rPr>
          <w:rFonts w:hint="eastAsia" w:ascii="仿宋" w:hAnsi="仿宋" w:eastAsia="仿宋" w:cs="仿宋"/>
          <w:b/>
          <w:sz w:val="24"/>
          <w:highlight w:val="none"/>
        </w:rPr>
        <w:t>2.1 定义</w:t>
      </w:r>
      <w:bookmarkEnd w:id="82"/>
      <w:bookmarkEnd w:id="83"/>
      <w:bookmarkEnd w:id="84"/>
      <w:bookmarkEnd w:id="85"/>
      <w:bookmarkEnd w:id="8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0"/>
        <w:rPr>
          <w:rFonts w:ascii="仿宋" w:hAnsi="仿宋" w:eastAsia="仿宋" w:cs="仿宋"/>
          <w:b/>
          <w:sz w:val="24"/>
          <w:highlight w:val="none"/>
        </w:rPr>
      </w:pPr>
      <w:bookmarkStart w:id="87" w:name="_Toc19539"/>
      <w:bookmarkStart w:id="88" w:name="_Toc31402"/>
      <w:bookmarkStart w:id="89" w:name="_Toc3769"/>
      <w:bookmarkStart w:id="90" w:name="_Toc16752"/>
      <w:bookmarkStart w:id="91" w:name="_Toc23289"/>
      <w:r>
        <w:rPr>
          <w:rFonts w:hint="eastAsia" w:ascii="仿宋" w:hAnsi="仿宋" w:eastAsia="仿宋" w:cs="仿宋"/>
          <w:b/>
          <w:sz w:val="24"/>
          <w:highlight w:val="none"/>
        </w:rPr>
        <w:t>2.2 技术规范</w:t>
      </w:r>
      <w:bookmarkEnd w:id="87"/>
      <w:bookmarkEnd w:id="88"/>
      <w:bookmarkEnd w:id="89"/>
      <w:bookmarkEnd w:id="90"/>
      <w:bookmarkEnd w:id="9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2" w:name="_Toc27945"/>
      <w:bookmarkStart w:id="93" w:name="_Toc4133"/>
      <w:bookmarkStart w:id="94" w:name="_Toc13673"/>
      <w:bookmarkStart w:id="95" w:name="_Toc9161"/>
      <w:bookmarkStart w:id="96" w:name="_Toc12412"/>
      <w:r>
        <w:rPr>
          <w:rFonts w:hint="eastAsia" w:ascii="仿宋" w:hAnsi="仿宋" w:eastAsia="仿宋" w:cs="仿宋"/>
          <w:b/>
          <w:sz w:val="24"/>
          <w:highlight w:val="none"/>
        </w:rPr>
        <w:t>2.3 知识产权</w:t>
      </w:r>
      <w:bookmarkEnd w:id="92"/>
      <w:bookmarkEnd w:id="93"/>
      <w:bookmarkEnd w:id="94"/>
      <w:bookmarkEnd w:id="95"/>
      <w:bookmarkEnd w:id="9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highlight w:val="none"/>
        </w:rPr>
      </w:pPr>
      <w:bookmarkStart w:id="97" w:name="_Toc15447"/>
      <w:bookmarkStart w:id="98" w:name="_Toc22011"/>
      <w:bookmarkStart w:id="99" w:name="_Toc26555"/>
      <w:bookmarkStart w:id="100" w:name="_Toc32670"/>
      <w:bookmarkStart w:id="101" w:name="_Toc31233"/>
      <w:r>
        <w:rPr>
          <w:rFonts w:hint="eastAsia" w:ascii="仿宋" w:hAnsi="仿宋" w:eastAsia="仿宋" w:cs="仿宋"/>
          <w:b/>
          <w:sz w:val="24"/>
          <w:highlight w:val="none"/>
        </w:rPr>
        <w:t>2.5 结算方式和付款条件</w:t>
      </w:r>
      <w:bookmarkEnd w:id="97"/>
      <w:bookmarkEnd w:id="98"/>
      <w:bookmarkEnd w:id="99"/>
      <w:bookmarkEnd w:id="100"/>
      <w:bookmarkEnd w:id="10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2" w:name="_Toc18990"/>
      <w:bookmarkStart w:id="103" w:name="_Toc16163"/>
      <w:bookmarkStart w:id="104" w:name="_Toc30507"/>
      <w:bookmarkStart w:id="105" w:name="_Toc13467"/>
      <w:bookmarkStart w:id="106" w:name="_Toc13154"/>
      <w:r>
        <w:rPr>
          <w:rFonts w:hint="eastAsia" w:ascii="仿宋" w:hAnsi="仿宋" w:eastAsia="仿宋" w:cs="仿宋"/>
          <w:b/>
          <w:sz w:val="24"/>
          <w:highlight w:val="none"/>
        </w:rPr>
        <w:t>2.6 技术资料和保密义务</w:t>
      </w:r>
      <w:bookmarkEnd w:id="102"/>
      <w:bookmarkEnd w:id="103"/>
      <w:bookmarkEnd w:id="104"/>
      <w:bookmarkEnd w:id="105"/>
      <w:bookmarkEnd w:id="10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07" w:name="_Toc19069"/>
      <w:r>
        <w:rPr>
          <w:rFonts w:hint="eastAsia" w:ascii="仿宋" w:hAnsi="仿宋" w:eastAsia="仿宋" w:cs="仿宋"/>
          <w:b/>
          <w:sz w:val="24"/>
          <w:highlight w:val="none"/>
        </w:rPr>
        <w:t>2.7 质量保证</w:t>
      </w:r>
      <w:bookmarkEnd w:id="10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08" w:name="_Toc22267"/>
      <w:r>
        <w:rPr>
          <w:rFonts w:hint="eastAsia" w:ascii="仿宋" w:hAnsi="仿宋" w:eastAsia="仿宋" w:cs="仿宋"/>
          <w:b/>
          <w:sz w:val="24"/>
          <w:highlight w:val="none"/>
        </w:rPr>
        <w:t>2.8 延迟履行</w:t>
      </w:r>
      <w:bookmarkEnd w:id="10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highlight w:val="none"/>
        </w:rPr>
      </w:pPr>
      <w:bookmarkStart w:id="109" w:name="_Toc10611"/>
      <w:r>
        <w:rPr>
          <w:rFonts w:hint="eastAsia" w:ascii="仿宋" w:hAnsi="仿宋" w:eastAsia="仿宋" w:cs="仿宋"/>
          <w:b/>
          <w:sz w:val="24"/>
          <w:highlight w:val="none"/>
        </w:rPr>
        <w:t>2.9 合同变更</w:t>
      </w:r>
      <w:bookmarkEnd w:id="10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10" w:name="_Toc21830"/>
      <w:bookmarkStart w:id="111" w:name="_Toc23368"/>
      <w:bookmarkStart w:id="112" w:name="_Toc10663"/>
      <w:bookmarkStart w:id="113" w:name="_Toc26689"/>
      <w:bookmarkStart w:id="114" w:name="_Toc42"/>
      <w:r>
        <w:rPr>
          <w:rFonts w:hint="eastAsia" w:ascii="仿宋" w:hAnsi="仿宋" w:eastAsia="仿宋" w:cs="仿宋"/>
          <w:b/>
          <w:sz w:val="24"/>
          <w:highlight w:val="none"/>
        </w:rPr>
        <w:t>2.10 合同转让和分包</w:t>
      </w:r>
      <w:bookmarkEnd w:id="110"/>
      <w:bookmarkEnd w:id="111"/>
      <w:bookmarkEnd w:id="112"/>
      <w:bookmarkEnd w:id="113"/>
      <w:bookmarkEnd w:id="11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highlight w:val="none"/>
        </w:rPr>
      </w:pPr>
      <w:bookmarkStart w:id="115" w:name="_Toc26633"/>
      <w:bookmarkStart w:id="116" w:name="_Toc14371"/>
      <w:bookmarkStart w:id="117" w:name="_Toc4720"/>
      <w:bookmarkStart w:id="118" w:name="_Toc32494"/>
      <w:bookmarkStart w:id="119" w:name="_Toc25571"/>
      <w:r>
        <w:rPr>
          <w:rFonts w:hint="eastAsia" w:ascii="仿宋" w:hAnsi="仿宋" w:eastAsia="仿宋" w:cs="仿宋"/>
          <w:b/>
          <w:sz w:val="24"/>
          <w:highlight w:val="none"/>
        </w:rPr>
        <w:t>2.11 不可抗力</w:t>
      </w:r>
      <w:bookmarkEnd w:id="115"/>
      <w:bookmarkEnd w:id="116"/>
      <w:bookmarkEnd w:id="117"/>
      <w:bookmarkEnd w:id="118"/>
      <w:bookmarkEnd w:id="11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20" w:name="_Toc23854"/>
      <w:bookmarkStart w:id="121" w:name="_Toc24465"/>
      <w:bookmarkStart w:id="122" w:name="_Toc14115"/>
      <w:bookmarkStart w:id="123" w:name="_Toc25783"/>
      <w:bookmarkStart w:id="124" w:name="_Toc3638"/>
      <w:r>
        <w:rPr>
          <w:rFonts w:hint="eastAsia" w:ascii="仿宋" w:hAnsi="仿宋" w:eastAsia="仿宋" w:cs="仿宋"/>
          <w:b/>
          <w:sz w:val="24"/>
          <w:highlight w:val="none"/>
        </w:rPr>
        <w:t>2.12 税费</w:t>
      </w:r>
      <w:bookmarkEnd w:id="120"/>
      <w:bookmarkEnd w:id="121"/>
      <w:bookmarkEnd w:id="122"/>
      <w:bookmarkEnd w:id="123"/>
      <w:bookmarkEnd w:id="12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highlight w:val="none"/>
        </w:rPr>
      </w:pPr>
      <w:bookmarkStart w:id="125" w:name="_Toc14814"/>
      <w:bookmarkStart w:id="126" w:name="_Toc30105"/>
      <w:bookmarkStart w:id="127" w:name="_Toc25525"/>
      <w:bookmarkStart w:id="128" w:name="_Toc7315"/>
      <w:bookmarkStart w:id="129" w:name="_Toc26883"/>
      <w:r>
        <w:rPr>
          <w:rFonts w:hint="eastAsia" w:ascii="仿宋" w:hAnsi="仿宋" w:eastAsia="仿宋" w:cs="仿宋"/>
          <w:b/>
          <w:sz w:val="24"/>
          <w:highlight w:val="none"/>
        </w:rPr>
        <w:t>2.13 乙方破产</w:t>
      </w:r>
      <w:bookmarkEnd w:id="125"/>
      <w:bookmarkEnd w:id="126"/>
      <w:bookmarkEnd w:id="127"/>
      <w:bookmarkEnd w:id="128"/>
      <w:bookmarkEnd w:id="12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30" w:name="_Toc23323"/>
      <w:bookmarkStart w:id="131" w:name="_Toc2016"/>
      <w:bookmarkStart w:id="132" w:name="_Toc1123"/>
      <w:r>
        <w:rPr>
          <w:rFonts w:hint="eastAsia" w:ascii="仿宋" w:hAnsi="仿宋" w:eastAsia="仿宋" w:cs="仿宋"/>
          <w:b/>
          <w:sz w:val="24"/>
          <w:highlight w:val="none"/>
        </w:rPr>
        <w:t>2.14 合同中止、终止</w:t>
      </w:r>
      <w:bookmarkEnd w:id="130"/>
      <w:bookmarkEnd w:id="131"/>
      <w:bookmarkEnd w:id="13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33" w:name="_Toc1969"/>
      <w:bookmarkStart w:id="134" w:name="_Toc17363"/>
      <w:bookmarkStart w:id="135" w:name="_Toc14525"/>
      <w:r>
        <w:rPr>
          <w:rFonts w:hint="eastAsia" w:ascii="仿宋" w:hAnsi="仿宋" w:eastAsia="仿宋" w:cs="仿宋"/>
          <w:b/>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0"/>
        <w:rPr>
          <w:rFonts w:ascii="仿宋" w:hAnsi="仿宋" w:eastAsia="仿宋" w:cs="仿宋"/>
          <w:b/>
          <w:sz w:val="24"/>
          <w:highlight w:val="none"/>
        </w:rPr>
      </w:pPr>
      <w:bookmarkStart w:id="136" w:name="_Toc25198"/>
      <w:bookmarkStart w:id="137" w:name="_Toc9808"/>
      <w:bookmarkStart w:id="138" w:name="_Toc31892"/>
      <w:bookmarkStart w:id="139" w:name="_Toc2308"/>
      <w:bookmarkStart w:id="140" w:name="_Toc12666"/>
      <w:r>
        <w:rPr>
          <w:rFonts w:hint="eastAsia" w:ascii="仿宋" w:hAnsi="仿宋" w:eastAsia="仿宋" w:cs="仿宋"/>
          <w:b/>
          <w:sz w:val="24"/>
          <w:highlight w:val="none"/>
        </w:rPr>
        <w:t>2.16 通知和送达</w:t>
      </w:r>
      <w:bookmarkEnd w:id="136"/>
      <w:bookmarkEnd w:id="137"/>
      <w:bookmarkEnd w:id="138"/>
      <w:bookmarkEnd w:id="139"/>
      <w:bookmarkEnd w:id="140"/>
    </w:p>
    <w:p>
      <w:pPr>
        <w:spacing w:line="560" w:lineRule="exact"/>
        <w:ind w:firstLine="480" w:firstLineChars="200"/>
        <w:rPr>
          <w:rFonts w:ascii="仿宋" w:hAnsi="仿宋" w:eastAsia="仿宋" w:cs="仿宋"/>
          <w:sz w:val="24"/>
          <w:highlight w:val="none"/>
        </w:rPr>
      </w:pPr>
      <w:bookmarkStart w:id="141" w:name="_Toc27674"/>
      <w:bookmarkStart w:id="142"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ascii="仿宋" w:hAnsi="仿宋" w:eastAsia="仿宋" w:cs="仿宋"/>
          <w:b/>
          <w:sz w:val="24"/>
          <w:highlight w:val="none"/>
        </w:rPr>
      </w:pPr>
      <w:bookmarkStart w:id="143" w:name="_Toc20808"/>
      <w:bookmarkStart w:id="144" w:name="_Toc5063"/>
      <w:bookmarkStart w:id="145" w:name="_Toc27644"/>
      <w:bookmarkStart w:id="146" w:name="_Toc12254"/>
      <w:bookmarkStart w:id="147" w:name="_Toc28906"/>
      <w:r>
        <w:rPr>
          <w:rFonts w:hint="eastAsia" w:ascii="仿宋" w:hAnsi="仿宋" w:eastAsia="仿宋" w:cs="仿宋"/>
          <w:b/>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0"/>
        <w:rPr>
          <w:rFonts w:ascii="仿宋" w:hAnsi="仿宋" w:eastAsia="仿宋" w:cs="仿宋"/>
          <w:b/>
          <w:sz w:val="24"/>
          <w:highlight w:val="none"/>
        </w:rPr>
      </w:pPr>
      <w:bookmarkStart w:id="148" w:name="_Toc30599"/>
      <w:bookmarkStart w:id="149" w:name="_Toc18540"/>
      <w:bookmarkStart w:id="150" w:name="_Toc4355"/>
      <w:r>
        <w:rPr>
          <w:rFonts w:hint="eastAsia" w:ascii="仿宋" w:hAnsi="仿宋" w:eastAsia="仿宋" w:cs="仿宋"/>
          <w:b/>
          <w:sz w:val="24"/>
          <w:highlight w:val="none"/>
        </w:rPr>
        <w:t>2.18 计量单位</w:t>
      </w:r>
      <w:bookmarkEnd w:id="148"/>
      <w:bookmarkEnd w:id="149"/>
      <w:bookmarkEnd w:id="15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51" w:name="_Toc487900373"/>
      <w:bookmarkStart w:id="152" w:name="_Toc279701263"/>
      <w:bookmarkStart w:id="153" w:name="_Toc12773"/>
      <w:bookmarkStart w:id="154" w:name="_Toc10330"/>
      <w:bookmarkStart w:id="155" w:name="_Toc259093692"/>
      <w:bookmarkStart w:id="156" w:name="_Toc18567"/>
      <w:r>
        <w:rPr>
          <w:rFonts w:hint="eastAsia" w:ascii="仿宋" w:hAnsi="仿宋" w:eastAsia="仿宋" w:cs="仿宋"/>
          <w:b/>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2.20合同份数</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57" w:name="_Toc331685784"/>
      <w:r>
        <w:rPr>
          <w:rFonts w:hint="eastAsia" w:ascii="仿宋" w:hAnsi="仿宋" w:eastAsia="仿宋" w:cs="仿宋"/>
          <w:b/>
          <w:sz w:val="24"/>
          <w:highlight w:val="none"/>
        </w:rPr>
        <w:t xml:space="preserve"> </w:t>
      </w:r>
      <w:bookmarkEnd w:id="157"/>
      <w:r>
        <w:rPr>
          <w:rFonts w:hint="eastAsia" w:ascii="仿宋" w:hAnsi="仿宋" w:eastAsia="仿宋" w:cs="仿宋"/>
          <w:b/>
          <w:sz w:val="24"/>
          <w:highlight w:val="none"/>
        </w:rPr>
        <w:t>第三部分  合同专用条款</w:t>
      </w:r>
    </w:p>
    <w:p>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ascii="仿宋" w:hAnsi="仿宋" w:eastAsia="仿宋" w:cs="仿宋"/>
                <w:sz w:val="24"/>
                <w:highlight w:val="none"/>
              </w:rPr>
            </w:pPr>
          </w:p>
        </w:tc>
      </w:tr>
    </w:tbl>
    <w:p>
      <w:pPr>
        <w:spacing w:line="360" w:lineRule="auto"/>
        <w:ind w:left="-420" w:leftChars="-200" w:right="-420" w:rightChars="-200" w:firstLine="480" w:firstLineChars="200"/>
        <w:rPr>
          <w:rFonts w:ascii="仿宋" w:hAnsi="仿宋" w:eastAsia="仿宋" w:cs="仿宋"/>
          <w:sz w:val="24"/>
          <w:highlight w:val="none"/>
        </w:rPr>
      </w:pPr>
    </w:p>
    <w:p>
      <w:pPr>
        <w:spacing w:line="360" w:lineRule="auto"/>
        <w:ind w:left="-420" w:leftChars="-200" w:right="-420" w:rightChars="-200" w:firstLine="480" w:firstLineChars="200"/>
        <w:jc w:val="center"/>
        <w:outlineLvl w:val="0"/>
        <w:rPr>
          <w:rFonts w:ascii="仿宋" w:hAnsi="仿宋" w:eastAsia="仿宋" w:cs="仿宋"/>
          <w:sz w:val="24"/>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 xml:space="preserve"> 80 </w:t>
      </w:r>
      <w:r>
        <w:rPr>
          <w:rFonts w:hint="eastAsia" w:ascii="仿宋" w:hAnsi="仿宋" w:eastAsia="仿宋" w:cs="仿宋"/>
          <w:sz w:val="24"/>
          <w:highlight w:val="none"/>
        </w:rPr>
        <w:t>分，价格分</w:t>
      </w:r>
      <w:r>
        <w:rPr>
          <w:rFonts w:hint="eastAsia" w:ascii="仿宋" w:hAnsi="仿宋" w:eastAsia="仿宋" w:cs="仿宋"/>
          <w:sz w:val="24"/>
          <w:highlight w:val="none"/>
          <w:u w:val="single"/>
        </w:rPr>
        <w:t xml:space="preserve"> 20 </w:t>
      </w:r>
      <w:r>
        <w:rPr>
          <w:rFonts w:hint="eastAsia" w:ascii="仿宋" w:hAnsi="仿宋" w:eastAsia="仿宋" w:cs="仿宋"/>
          <w:sz w:val="24"/>
          <w:highlight w:val="none"/>
        </w:rPr>
        <w:t>分。评分依下述所列为评标打分依据，分值如下（计算分值时，按其算术平均值保留小数2位）。</w:t>
      </w:r>
    </w:p>
    <w:p>
      <w:pPr>
        <w:spacing w:line="440" w:lineRule="exact"/>
        <w:rPr>
          <w:rFonts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 xml:space="preserve"> 80 </w:t>
      </w:r>
      <w:r>
        <w:rPr>
          <w:rFonts w:hint="eastAsia" w:ascii="仿宋" w:hAnsi="仿宋" w:eastAsia="仿宋" w:cs="仿宋"/>
          <w:b/>
          <w:bCs/>
          <w:iCs/>
          <w:sz w:val="24"/>
          <w:highlight w:val="none"/>
        </w:rPr>
        <w:t>分）</w:t>
      </w:r>
    </w:p>
    <w:tbl>
      <w:tblPr>
        <w:tblStyle w:val="63"/>
        <w:tblW w:w="9696" w:type="dxa"/>
        <w:jc w:val="center"/>
        <w:tblLayout w:type="fixed"/>
        <w:tblCellMar>
          <w:top w:w="0" w:type="dxa"/>
          <w:left w:w="108" w:type="dxa"/>
          <w:bottom w:w="0" w:type="dxa"/>
          <w:right w:w="108" w:type="dxa"/>
        </w:tblCellMar>
      </w:tblPr>
      <w:tblGrid>
        <w:gridCol w:w="787"/>
        <w:gridCol w:w="2007"/>
        <w:gridCol w:w="6162"/>
        <w:gridCol w:w="740"/>
      </w:tblGrid>
      <w:tr>
        <w:tblPrEx>
          <w:tblCellMar>
            <w:top w:w="0" w:type="dxa"/>
            <w:left w:w="108" w:type="dxa"/>
            <w:bottom w:w="0" w:type="dxa"/>
            <w:right w:w="108" w:type="dxa"/>
          </w:tblCellMar>
        </w:tblPrEx>
        <w:trPr>
          <w:trHeight w:val="561"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2007"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74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tblPrEx>
          <w:tblCellMar>
            <w:top w:w="0" w:type="dxa"/>
            <w:left w:w="108" w:type="dxa"/>
            <w:bottom w:w="0" w:type="dxa"/>
            <w:right w:w="108" w:type="dxa"/>
          </w:tblCellMar>
        </w:tblPrEx>
        <w:trPr>
          <w:trHeight w:val="113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项目业绩</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投标人202</w:t>
            </w: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rPr>
              <w:t>年1月1日至今，具有公交数据分析相关项目业务合同，每个得分1分，最高2分。</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（提供合同关键页，即合同首页、中标金额页及双方签字盖章页；提供复印件加盖单位公章）</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2分</w:t>
            </w:r>
          </w:p>
        </w:tc>
      </w:tr>
      <w:tr>
        <w:tblPrEx>
          <w:tblCellMar>
            <w:top w:w="0" w:type="dxa"/>
            <w:left w:w="108" w:type="dxa"/>
            <w:bottom w:w="0" w:type="dxa"/>
            <w:right w:w="108" w:type="dxa"/>
          </w:tblCellMar>
        </w:tblPrEx>
        <w:trPr>
          <w:trHeight w:val="113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投标人实力</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投标人具有有效</w:t>
            </w:r>
            <w:r>
              <w:rPr>
                <w:rFonts w:hint="eastAsia" w:ascii="仿宋" w:hAnsi="仿宋" w:eastAsia="仿宋" w:cs="仿宋"/>
                <w:bCs/>
                <w:sz w:val="24"/>
                <w:highlight w:val="none"/>
                <w:lang w:val="en-US" w:eastAsia="zh-CN"/>
              </w:rPr>
              <w:t>高新技术企业证书、</w:t>
            </w:r>
            <w:r>
              <w:rPr>
                <w:rFonts w:hint="eastAsia" w:ascii="仿宋" w:hAnsi="仿宋" w:eastAsia="仿宋" w:cs="仿宋"/>
                <w:bCs/>
                <w:sz w:val="24"/>
                <w:highlight w:val="none"/>
              </w:rPr>
              <w:t>ISO27001信息安全管理体系认证、ISO20000信息技术服务管理体系认证，每个得1分，最高</w:t>
            </w: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分。</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（提供相关企业证书复印件并加盖单位公章）</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分</w:t>
            </w:r>
          </w:p>
        </w:tc>
      </w:tr>
      <w:tr>
        <w:tblPrEx>
          <w:tblCellMar>
            <w:top w:w="0" w:type="dxa"/>
            <w:left w:w="108" w:type="dxa"/>
            <w:bottom w:w="0" w:type="dxa"/>
            <w:right w:w="108" w:type="dxa"/>
          </w:tblCellMar>
        </w:tblPrEx>
        <w:trPr>
          <w:trHeight w:val="800"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企业专利</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投标人具有公交线网类成熟工具软件、项目过程监控和运维管理软件、数据核查工具软件</w:t>
            </w:r>
            <w:r>
              <w:rPr>
                <w:rFonts w:hint="eastAsia" w:ascii="仿宋" w:hAnsi="仿宋" w:eastAsia="仿宋" w:cs="仿宋"/>
                <w:bCs/>
                <w:sz w:val="24"/>
                <w:highlight w:val="none"/>
                <w:lang w:eastAsia="zh-Hans"/>
              </w:rPr>
              <w:t>和数据治理工具软件</w:t>
            </w:r>
            <w:r>
              <w:rPr>
                <w:rFonts w:hint="eastAsia" w:ascii="仿宋" w:hAnsi="仿宋" w:eastAsia="仿宋" w:cs="仿宋"/>
                <w:bCs/>
                <w:sz w:val="24"/>
                <w:highlight w:val="none"/>
              </w:rPr>
              <w:t>，能够提供软件著作权的，每个得1分，最高得4分。软件著作权登记证书须在有效期内，且证书获得日期不得晚于本项目招标公告发布日期。</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（提供相关软件著作权登记证书复印件并加盖单位公章）</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4分</w:t>
            </w:r>
          </w:p>
        </w:tc>
      </w:tr>
      <w:tr>
        <w:tblPrEx>
          <w:tblCellMar>
            <w:top w:w="0" w:type="dxa"/>
            <w:left w:w="108" w:type="dxa"/>
            <w:bottom w:w="0" w:type="dxa"/>
            <w:right w:w="108" w:type="dxa"/>
          </w:tblCellMar>
        </w:tblPrEx>
        <w:trPr>
          <w:trHeight w:val="113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2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项目负责人</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投标人项目负责人具备专业中级及以上职称或硕士（含）以上学位得1.5分，具备副高级及以上职称或博士（含）以上得3分（提供相应证书的复印件或扫描件）；具备工信部颁发的国家信息技术紧缺人才高级工程师证书的，得3分（提供相应证书的复印件或扫描件）；承担过国家级智能交通领域课题研究，并提供相关证明材料的，得2分（提供相应证书的复印件或扫描件）</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8分</w:t>
            </w:r>
          </w:p>
        </w:tc>
      </w:tr>
      <w:tr>
        <w:tblPrEx>
          <w:tblCellMar>
            <w:top w:w="0" w:type="dxa"/>
            <w:left w:w="108" w:type="dxa"/>
            <w:bottom w:w="0" w:type="dxa"/>
            <w:right w:w="108" w:type="dxa"/>
          </w:tblCellMar>
        </w:tblPrEx>
        <w:trPr>
          <w:trHeight w:val="113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2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项目组成员</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根据团队的专业构成、经验、学历和职称等，对项目团队进行整体性评价，优秀得3.5-4分，良好得2.5-3.4分，一般得2-2.4分。</w:t>
            </w:r>
          </w:p>
          <w:p>
            <w:pPr>
              <w:spacing w:line="240" w:lineRule="auto"/>
              <w:jc w:val="left"/>
              <w:rPr>
                <w:rFonts w:hint="eastAsia" w:ascii="仿宋" w:hAnsi="仿宋" w:eastAsia="仿宋" w:cs="仿宋"/>
                <w:bCs/>
                <w:sz w:val="24"/>
                <w:highlight w:val="none"/>
              </w:rPr>
            </w:pPr>
            <w:r>
              <w:rPr>
                <w:rFonts w:hint="eastAsia" w:ascii="仿宋" w:hAnsi="仿宋" w:eastAsia="仿宋" w:cs="仿宋"/>
                <w:kern w:val="0"/>
                <w:sz w:val="24"/>
                <w:highlight w:val="none"/>
                <w:lang w:bidi="ar"/>
              </w:rPr>
              <w:t>（提供相应证书的复印件或扫描件，并提供投标前连续3个月在投标人单位的社保证明，否则该成员不予认定）。</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4分</w:t>
            </w:r>
          </w:p>
        </w:tc>
      </w:tr>
      <w:tr>
        <w:tblPrEx>
          <w:tblCellMar>
            <w:top w:w="0" w:type="dxa"/>
            <w:left w:w="108" w:type="dxa"/>
            <w:bottom w:w="0" w:type="dxa"/>
            <w:right w:w="108" w:type="dxa"/>
          </w:tblCellMar>
        </w:tblPrEx>
        <w:trPr>
          <w:trHeight w:val="1134" w:hRule="atLeast"/>
          <w:jc w:val="center"/>
        </w:trPr>
        <w:tc>
          <w:tcPr>
            <w:tcW w:w="78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6</w:t>
            </w:r>
          </w:p>
        </w:tc>
        <w:tc>
          <w:tcPr>
            <w:tcW w:w="200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highlight w:val="none"/>
              </w:rPr>
            </w:pPr>
            <w:r>
              <w:rPr>
                <w:rFonts w:hint="eastAsia" w:ascii="仿宋" w:hAnsi="仿宋" w:eastAsia="仿宋" w:cs="仿宋"/>
                <w:bCs/>
                <w:sz w:val="24"/>
                <w:highlight w:val="none"/>
              </w:rPr>
              <w:t>服务方案评价</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
                <w:sz w:val="24"/>
                <w:highlight w:val="none"/>
              </w:rPr>
            </w:pPr>
            <w:r>
              <w:rPr>
                <w:rFonts w:hint="eastAsia" w:ascii="仿宋" w:hAnsi="仿宋" w:eastAsia="仿宋" w:cs="仿宋"/>
                <w:b/>
                <w:sz w:val="24"/>
                <w:highlight w:val="none"/>
              </w:rPr>
              <w:t>对项目背景及现状的理解：</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1.对维护项目背景等的理解进行横向对比打分。（优秀5.1-6分，良好4.1-5分，一般3-4分，未提供不得分）</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2.对</w:t>
            </w:r>
            <w:r>
              <w:rPr>
                <w:rFonts w:hint="eastAsia" w:ascii="仿宋" w:hAnsi="仿宋" w:eastAsia="仿宋" w:cs="仿宋"/>
                <w:sz w:val="24"/>
                <w:highlight w:val="none"/>
              </w:rPr>
              <w:t>绍兴市公交运行监管服务</w:t>
            </w:r>
            <w:r>
              <w:rPr>
                <w:rFonts w:hint="eastAsia" w:ascii="仿宋" w:hAnsi="仿宋" w:eastAsia="仿宋" w:cs="仿宋"/>
                <w:bCs/>
                <w:sz w:val="24"/>
                <w:highlight w:val="none"/>
              </w:rPr>
              <w:t>系统现状、网络部署、运行情况的熟悉程度，对绍兴市三区公交企业的车辆、线路、站点情况的掌握程度，是否曾接入过绍兴公交数据并做过类似的指标计算。（优秀5.1-6分，良好4.1-5分，一般3-4分，未提供不得分）</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12分</w:t>
            </w:r>
          </w:p>
        </w:tc>
      </w:tr>
      <w:tr>
        <w:tblPrEx>
          <w:tblCellMar>
            <w:top w:w="0" w:type="dxa"/>
            <w:left w:w="108" w:type="dxa"/>
            <w:bottom w:w="0" w:type="dxa"/>
            <w:right w:w="108" w:type="dxa"/>
          </w:tblCellMar>
        </w:tblPrEx>
        <w:trPr>
          <w:trHeight w:val="1134" w:hRule="atLeast"/>
          <w:jc w:val="center"/>
        </w:trPr>
        <w:tc>
          <w:tcPr>
            <w:tcW w:w="78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rFonts w:hint="eastAsia" w:ascii="仿宋" w:hAnsi="仿宋" w:eastAsia="仿宋" w:cs="仿宋"/>
                <w:kern w:val="0"/>
                <w:sz w:val="24"/>
                <w:highlight w:val="none"/>
              </w:rPr>
            </w:pPr>
          </w:p>
        </w:tc>
        <w:tc>
          <w:tcPr>
            <w:tcW w:w="200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rPr>
                <w:rFonts w:hint="eastAsia" w:ascii="仿宋" w:hAnsi="仿宋" w:eastAsia="仿宋" w:cs="仿宋"/>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
                <w:bCs/>
                <w:sz w:val="24"/>
                <w:highlight w:val="none"/>
              </w:rPr>
              <w:t>运维方案：</w:t>
            </w:r>
            <w:r>
              <w:rPr>
                <w:rFonts w:hint="eastAsia" w:ascii="仿宋" w:hAnsi="仿宋" w:eastAsia="仿宋" w:cs="仿宋"/>
                <w:sz w:val="24"/>
                <w:highlight w:val="none"/>
              </w:rPr>
              <w:t>根据对项目理解，制订运维服务方案。对运维服务方案的科学性、合理性、可行性、完整性、针对性进行比较，由评委酌情打分。（</w:t>
            </w:r>
            <w:r>
              <w:rPr>
                <w:rFonts w:hint="eastAsia" w:ascii="仿宋" w:hAnsi="仿宋" w:eastAsia="仿宋" w:cs="仿宋"/>
                <w:bCs/>
                <w:sz w:val="24"/>
                <w:highlight w:val="none"/>
              </w:rPr>
              <w:t>优秀8.1-10分，良好7.1-8分，一般5-7分，未提供不得分</w:t>
            </w:r>
            <w:r>
              <w:rPr>
                <w:rFonts w:hint="eastAsia" w:ascii="仿宋" w:hAnsi="仿宋" w:eastAsia="仿宋" w:cs="仿宋"/>
                <w:sz w:val="24"/>
                <w:highlight w:val="none"/>
              </w:rPr>
              <w:t>）</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10分</w:t>
            </w:r>
          </w:p>
        </w:tc>
      </w:tr>
      <w:tr>
        <w:tblPrEx>
          <w:tblCellMar>
            <w:top w:w="0" w:type="dxa"/>
            <w:left w:w="108" w:type="dxa"/>
            <w:bottom w:w="0" w:type="dxa"/>
            <w:right w:w="108" w:type="dxa"/>
          </w:tblCellMar>
        </w:tblPrEx>
        <w:trPr>
          <w:trHeight w:val="1134" w:hRule="atLeast"/>
          <w:jc w:val="center"/>
        </w:trPr>
        <w:tc>
          <w:tcPr>
            <w:tcW w:w="78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200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实施经验：</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1.从公交数据资源中心等支撑软件维护情况等方面的规范性、合理性、可行性以及建设经验上进行比较。（优秀得2.5-3分，良好得2.1-2.4分，一般得1.5-2.0分，未提供不得分）</w:t>
            </w:r>
          </w:p>
          <w:p>
            <w:pPr>
              <w:spacing w:line="240" w:lineRule="auto"/>
              <w:jc w:val="left"/>
              <w:rPr>
                <w:rFonts w:hint="eastAsia" w:ascii="仿宋" w:hAnsi="仿宋" w:eastAsia="仿宋" w:cs="仿宋"/>
                <w:bCs/>
                <w:sz w:val="24"/>
                <w:highlight w:val="none"/>
              </w:rPr>
            </w:pPr>
            <w:r>
              <w:rPr>
                <w:rFonts w:hint="eastAsia" w:ascii="仿宋" w:hAnsi="仿宋" w:eastAsia="仿宋" w:cs="仿宋"/>
                <w:bCs/>
                <w:sz w:val="24"/>
                <w:highlight w:val="none"/>
              </w:rPr>
              <w:t>2.从公交数据资源中心接入公交企业数据、向上级部门汇聚数据等方案可行性、数据接入经验上进行比较。（优秀得2.5-3分，良好得2.1-2.4分，一般得1.5-2.0分，未提供不得分）</w:t>
            </w:r>
          </w:p>
          <w:p>
            <w:pPr>
              <w:spacing w:line="240" w:lineRule="auto"/>
              <w:jc w:val="left"/>
              <w:rPr>
                <w:rFonts w:hint="eastAsia" w:ascii="仿宋" w:hAnsi="仿宋" w:eastAsia="仿宋" w:cs="仿宋"/>
                <w:highlight w:val="none"/>
              </w:rPr>
            </w:pPr>
            <w:r>
              <w:rPr>
                <w:rFonts w:hint="eastAsia" w:ascii="仿宋" w:hAnsi="仿宋" w:eastAsia="仿宋" w:cs="仿宋"/>
                <w:bCs/>
                <w:sz w:val="24"/>
                <w:highlight w:val="none"/>
              </w:rPr>
              <w:t>3.从市局大交通信息平台和公交运行监测系统的公交数据链路整合、城乡公交数据推送</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公交系统整合等方案合理性、可行性方面进行比较。（优秀得3.5-4分，良好得2.5-3.4分，一般得2-2.4分，未提供不得分）</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10分</w:t>
            </w:r>
          </w:p>
        </w:tc>
      </w:tr>
      <w:tr>
        <w:tblPrEx>
          <w:tblCellMar>
            <w:top w:w="0" w:type="dxa"/>
            <w:left w:w="108" w:type="dxa"/>
            <w:bottom w:w="0" w:type="dxa"/>
            <w:right w:w="108" w:type="dxa"/>
          </w:tblCellMar>
        </w:tblPrEx>
        <w:trPr>
          <w:trHeight w:val="1134" w:hRule="atLeast"/>
          <w:jc w:val="center"/>
        </w:trPr>
        <w:tc>
          <w:tcPr>
            <w:tcW w:w="78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200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
                <w:sz w:val="24"/>
                <w:highlight w:val="none"/>
              </w:rPr>
              <w:t>服务保障：</w:t>
            </w:r>
            <w:r>
              <w:rPr>
                <w:rFonts w:hint="eastAsia" w:ascii="仿宋" w:hAnsi="仿宋" w:eastAsia="仿宋" w:cs="仿宋"/>
                <w:bCs/>
                <w:sz w:val="24"/>
                <w:highlight w:val="none"/>
              </w:rPr>
              <w:t>根据投标人是否建立运行服务保障应急预案，方案针对采购人系统运行实际情况可能遇到的问题及其应对措施的考虑情况，根据应急预案的针对性、合理性、可行性、详细程度由评委酌情打分。（优秀</w:t>
            </w: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.1-</w:t>
            </w:r>
            <w:r>
              <w:rPr>
                <w:rFonts w:hint="eastAsia" w:ascii="仿宋" w:hAnsi="仿宋" w:eastAsia="仿宋" w:cs="仿宋"/>
                <w:bCs/>
                <w:sz w:val="24"/>
                <w:highlight w:val="none"/>
                <w:lang w:val="en-US" w:eastAsia="zh-CN"/>
              </w:rPr>
              <w:t>5</w:t>
            </w:r>
            <w:r>
              <w:rPr>
                <w:rFonts w:hint="eastAsia" w:ascii="仿宋" w:hAnsi="仿宋" w:eastAsia="仿宋" w:cs="仿宋"/>
                <w:bCs/>
                <w:sz w:val="24"/>
                <w:highlight w:val="none"/>
              </w:rPr>
              <w:t>分，良好</w:t>
            </w: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.1-</w:t>
            </w: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分，一般</w:t>
            </w:r>
            <w:r>
              <w:rPr>
                <w:rFonts w:hint="eastAsia" w:ascii="仿宋" w:hAnsi="仿宋" w:eastAsia="仿宋" w:cs="仿宋"/>
                <w:bCs/>
                <w:sz w:val="24"/>
                <w:highlight w:val="none"/>
                <w:lang w:val="en-US" w:eastAsia="zh-CN"/>
              </w:rPr>
              <w:t>2.5</w:t>
            </w: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分，未提供不得分）</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lang w:val="en-US" w:eastAsia="zh-CN"/>
              </w:rPr>
              <w:t>5</w:t>
            </w:r>
            <w:r>
              <w:rPr>
                <w:rFonts w:hint="eastAsia" w:ascii="仿宋" w:hAnsi="仿宋" w:eastAsia="仿宋" w:cs="仿宋"/>
                <w:bCs/>
                <w:sz w:val="24"/>
                <w:highlight w:val="none"/>
              </w:rPr>
              <w:t>分</w:t>
            </w:r>
          </w:p>
        </w:tc>
      </w:tr>
      <w:tr>
        <w:tblPrEx>
          <w:tblCellMar>
            <w:top w:w="0" w:type="dxa"/>
            <w:left w:w="108" w:type="dxa"/>
            <w:bottom w:w="0" w:type="dxa"/>
            <w:right w:w="108" w:type="dxa"/>
          </w:tblCellMar>
        </w:tblPrEx>
        <w:trPr>
          <w:trHeight w:val="1134" w:hRule="atLeast"/>
          <w:jc w:val="center"/>
        </w:trPr>
        <w:tc>
          <w:tcPr>
            <w:tcW w:w="78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200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
                <w:sz w:val="24"/>
                <w:highlight w:val="none"/>
              </w:rPr>
              <w:t>指标方案：</w:t>
            </w:r>
            <w:r>
              <w:rPr>
                <w:rFonts w:hint="eastAsia" w:ascii="仿宋" w:hAnsi="仿宋" w:eastAsia="仿宋" w:cs="仿宋"/>
                <w:bCs/>
                <w:sz w:val="24"/>
                <w:highlight w:val="none"/>
              </w:rPr>
              <w:t>基于</w:t>
            </w:r>
            <w:r>
              <w:rPr>
                <w:rFonts w:hint="eastAsia" w:ascii="仿宋" w:hAnsi="仿宋" w:eastAsia="仿宋" w:cs="仿宋"/>
                <w:sz w:val="24"/>
                <w:highlight w:val="none"/>
              </w:rPr>
              <w:t>绍兴市主管部门</w:t>
            </w:r>
            <w:r>
              <w:rPr>
                <w:rFonts w:hint="eastAsia" w:ascii="仿宋" w:hAnsi="仿宋" w:eastAsia="仿宋" w:cs="仿宋"/>
                <w:bCs/>
                <w:sz w:val="24"/>
                <w:highlight w:val="none"/>
              </w:rPr>
              <w:t>公交运行监测系统推广方案共性指标要求、202</w:t>
            </w: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年度绍兴市区公交企业服务质量考核方案指标要求以及绍兴市区公交运营里程核查方案指标要求，从投标人监测指标调整经验、应用熟悉程度上进行比较打分。指标主要包括：便捷监测、运营秩序指标、畅通指标监测、公交运力指标、舒适指标监测等五大类，分别列举阐述说明指标的作用意义、算法、数据来源要素等。（每项指标2分，其中优秀1.6-2分，良好1.2-1.5分，一般1-1.1分，未提供不得分。五项指标共10分）</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10分</w:t>
            </w:r>
          </w:p>
        </w:tc>
      </w:tr>
      <w:tr>
        <w:tblPrEx>
          <w:tblCellMar>
            <w:top w:w="0" w:type="dxa"/>
            <w:left w:w="108" w:type="dxa"/>
            <w:bottom w:w="0" w:type="dxa"/>
            <w:right w:w="108" w:type="dxa"/>
          </w:tblCellMar>
        </w:tblPrEx>
        <w:trPr>
          <w:trHeight w:val="1134" w:hRule="atLeast"/>
          <w:jc w:val="center"/>
        </w:trPr>
        <w:tc>
          <w:tcPr>
            <w:tcW w:w="787" w:type="dxa"/>
            <w:vMerge w:val="continue"/>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2007" w:type="dxa"/>
            <w:vMerge w:val="continue"/>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Cs/>
                <w:sz w:val="24"/>
                <w:highlight w:val="none"/>
              </w:rPr>
            </w:pPr>
            <w:r>
              <w:rPr>
                <w:rFonts w:hint="eastAsia" w:ascii="仿宋" w:hAnsi="仿宋" w:eastAsia="仿宋" w:cs="仿宋"/>
                <w:b/>
                <w:sz w:val="24"/>
                <w:highlight w:val="none"/>
              </w:rPr>
              <w:t>培训及验收：</w:t>
            </w:r>
            <w:r>
              <w:rPr>
                <w:rFonts w:hint="eastAsia" w:ascii="仿宋" w:hAnsi="仿宋" w:eastAsia="仿宋" w:cs="仿宋"/>
                <w:bCs/>
                <w:sz w:val="24"/>
                <w:highlight w:val="none"/>
              </w:rPr>
              <w:t>根据项目培训方案、验收方案的科学性、合理性、可行性进行比较打分。</w:t>
            </w:r>
            <w:r>
              <w:rPr>
                <w:rFonts w:hint="eastAsia" w:ascii="仿宋" w:hAnsi="仿宋" w:eastAsia="仿宋" w:cs="仿宋"/>
                <w:kern w:val="0"/>
                <w:sz w:val="24"/>
                <w:highlight w:val="none"/>
                <w:lang w:bidi="ar"/>
              </w:rPr>
              <w:t>（优秀得1.8-2分，良好得1.3-1.7分，一般得1-1.2分，未提供不得分）</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2分</w:t>
            </w:r>
          </w:p>
        </w:tc>
      </w:tr>
      <w:tr>
        <w:tblPrEx>
          <w:tblCellMar>
            <w:top w:w="0" w:type="dxa"/>
            <w:left w:w="108" w:type="dxa"/>
            <w:bottom w:w="0" w:type="dxa"/>
            <w:right w:w="108" w:type="dxa"/>
          </w:tblCellMar>
        </w:tblPrEx>
        <w:trPr>
          <w:trHeight w:val="1134" w:hRule="atLeast"/>
          <w:jc w:val="center"/>
        </w:trPr>
        <w:tc>
          <w:tcPr>
            <w:tcW w:w="78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2007" w:type="dxa"/>
            <w:vMerge w:val="continue"/>
            <w:tcBorders>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b/>
                <w:kern w:val="0"/>
                <w:sz w:val="24"/>
                <w:highlight w:val="none"/>
                <w:lang w:bidi="ar"/>
              </w:rPr>
            </w:pPr>
            <w:r>
              <w:rPr>
                <w:rFonts w:hint="eastAsia" w:ascii="仿宋" w:hAnsi="仿宋" w:eastAsia="仿宋" w:cs="仿宋"/>
                <w:b/>
                <w:sz w:val="24"/>
                <w:highlight w:val="none"/>
              </w:rPr>
              <w:t>售后服务：</w:t>
            </w:r>
          </w:p>
          <w:p>
            <w:pPr>
              <w:spacing w:line="240" w:lineRule="auto"/>
              <w:jc w:val="left"/>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1.</w:t>
            </w:r>
            <w:r>
              <w:rPr>
                <w:rFonts w:hint="eastAsia" w:ascii="仿宋" w:hAnsi="仿宋" w:eastAsia="仿宋" w:cs="仿宋"/>
                <w:sz w:val="24"/>
                <w:highlight w:val="none"/>
              </w:rPr>
              <w:t>投标人日常维护及技术支持、定期巡检及维护服务工作流程等</w:t>
            </w:r>
            <w:r>
              <w:rPr>
                <w:rFonts w:hint="eastAsia" w:ascii="仿宋" w:hAnsi="仿宋" w:eastAsia="仿宋" w:cs="仿宋"/>
                <w:kern w:val="0"/>
                <w:sz w:val="24"/>
                <w:highlight w:val="none"/>
                <w:lang w:bidi="ar"/>
              </w:rPr>
              <w:t>售后服务方案</w:t>
            </w:r>
            <w:r>
              <w:rPr>
                <w:rFonts w:hint="eastAsia" w:ascii="仿宋" w:hAnsi="仿宋" w:eastAsia="仿宋" w:cs="仿宋"/>
                <w:sz w:val="24"/>
                <w:highlight w:val="none"/>
              </w:rPr>
              <w:t>规范、可行、合理、</w:t>
            </w:r>
            <w:r>
              <w:rPr>
                <w:rFonts w:hint="eastAsia" w:ascii="仿宋" w:hAnsi="仿宋" w:eastAsia="仿宋" w:cs="仿宋"/>
                <w:kern w:val="0"/>
                <w:sz w:val="24"/>
                <w:highlight w:val="none"/>
                <w:lang w:bidi="ar"/>
              </w:rPr>
              <w:t>及时</w:t>
            </w:r>
            <w:r>
              <w:rPr>
                <w:rFonts w:hint="eastAsia" w:ascii="仿宋" w:hAnsi="仿宋" w:eastAsia="仿宋" w:cs="仿宋"/>
                <w:sz w:val="24"/>
                <w:highlight w:val="none"/>
              </w:rPr>
              <w:t>，形成有效保障机制。</w:t>
            </w:r>
            <w:r>
              <w:rPr>
                <w:rFonts w:hint="eastAsia" w:ascii="仿宋" w:hAnsi="仿宋" w:eastAsia="仿宋" w:cs="仿宋"/>
                <w:kern w:val="0"/>
                <w:sz w:val="24"/>
                <w:highlight w:val="none"/>
                <w:lang w:bidi="ar"/>
              </w:rPr>
              <w:t>（</w:t>
            </w:r>
            <w:r>
              <w:rPr>
                <w:rFonts w:hint="eastAsia" w:ascii="仿宋" w:hAnsi="仿宋" w:eastAsia="仿宋" w:cs="仿宋"/>
                <w:sz w:val="24"/>
                <w:highlight w:val="none"/>
              </w:rPr>
              <w:t>优秀得3.5-4分，良好得2.5-3.4分，一般得2-2.4分</w:t>
            </w:r>
            <w:r>
              <w:rPr>
                <w:rFonts w:hint="eastAsia" w:ascii="仿宋" w:hAnsi="仿宋" w:eastAsia="仿宋" w:cs="仿宋"/>
                <w:kern w:val="0"/>
                <w:sz w:val="24"/>
                <w:highlight w:val="none"/>
                <w:lang w:bidi="ar"/>
              </w:rPr>
              <w:t>）</w:t>
            </w:r>
          </w:p>
          <w:p>
            <w:pPr>
              <w:spacing w:line="240" w:lineRule="auto"/>
              <w:jc w:val="left"/>
              <w:rPr>
                <w:rFonts w:hint="eastAsia" w:ascii="仿宋" w:hAnsi="仿宋" w:eastAsia="仿宋" w:cs="仿宋"/>
                <w:bCs/>
                <w:sz w:val="24"/>
                <w:highlight w:val="none"/>
              </w:rPr>
            </w:pPr>
            <w:r>
              <w:rPr>
                <w:rFonts w:hint="eastAsia" w:ascii="仿宋" w:hAnsi="仿宋" w:eastAsia="仿宋" w:cs="仿宋"/>
                <w:sz w:val="24"/>
                <w:highlight w:val="none"/>
              </w:rPr>
              <w:t>2.维护技术人员对项目熟悉程度情况，根据维护经验及类似系统维护时间、熟悉系统业务流程、熟悉系统软硬件及网络架构方面比较打分。</w:t>
            </w:r>
            <w:r>
              <w:rPr>
                <w:rFonts w:hint="eastAsia" w:ascii="仿宋" w:hAnsi="仿宋" w:eastAsia="仿宋" w:cs="仿宋"/>
                <w:kern w:val="0"/>
                <w:sz w:val="24"/>
                <w:highlight w:val="none"/>
                <w:lang w:bidi="ar"/>
              </w:rPr>
              <w:t>（</w:t>
            </w:r>
            <w:r>
              <w:rPr>
                <w:rFonts w:hint="eastAsia" w:ascii="仿宋" w:hAnsi="仿宋" w:eastAsia="仿宋" w:cs="仿宋"/>
                <w:sz w:val="24"/>
                <w:highlight w:val="none"/>
              </w:rPr>
              <w:t>优秀得3.5-4分，良好得2.5-3.4分，一般得2-2.4分</w:t>
            </w:r>
            <w:r>
              <w:rPr>
                <w:rFonts w:hint="eastAsia" w:ascii="仿宋" w:hAnsi="仿宋" w:eastAsia="仿宋" w:cs="仿宋"/>
                <w:kern w:val="0"/>
                <w:sz w:val="24"/>
                <w:highlight w:val="none"/>
                <w:lang w:bidi="ar"/>
              </w:rPr>
              <w:t>）</w:t>
            </w:r>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8分</w:t>
            </w:r>
          </w:p>
        </w:tc>
      </w:tr>
      <w:tr>
        <w:tblPrEx>
          <w:tblCellMar>
            <w:top w:w="0" w:type="dxa"/>
            <w:left w:w="108" w:type="dxa"/>
            <w:bottom w:w="0" w:type="dxa"/>
            <w:right w:w="108" w:type="dxa"/>
          </w:tblCellMar>
        </w:tblPrEx>
        <w:trPr>
          <w:trHeight w:val="1134"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7</w:t>
            </w:r>
          </w:p>
        </w:tc>
        <w:tc>
          <w:tcPr>
            <w:tcW w:w="20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sz w:val="24"/>
                <w:highlight w:val="none"/>
              </w:rPr>
            </w:pPr>
            <w:r>
              <w:rPr>
                <w:rFonts w:hint="eastAsia" w:ascii="仿宋" w:hAnsi="仿宋" w:eastAsia="仿宋" w:cs="仿宋"/>
                <w:bCs/>
                <w:sz w:val="24"/>
                <w:highlight w:val="none"/>
              </w:rPr>
              <w:t>对项目的建议意见</w:t>
            </w:r>
          </w:p>
        </w:tc>
        <w:tc>
          <w:tcPr>
            <w:tcW w:w="6162"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仿宋" w:hAnsi="仿宋" w:eastAsia="仿宋" w:cs="仿宋"/>
                <w:sz w:val="24"/>
                <w:highlight w:val="none"/>
              </w:rPr>
            </w:pPr>
            <w:bookmarkStart w:id="167" w:name="_GoBack"/>
            <w:r>
              <w:rPr>
                <w:rFonts w:hint="eastAsia" w:ascii="仿宋" w:hAnsi="仿宋" w:eastAsia="仿宋" w:cs="仿宋"/>
                <w:sz w:val="24"/>
                <w:highlight w:val="none"/>
              </w:rPr>
              <w:t>提出合理化项目建议，被评委认可的体现出对本项目各方面有充分了解和具备潜在的对采购人有力的实施措施。</w:t>
            </w:r>
          </w:p>
          <w:p>
            <w:pPr>
              <w:spacing w:line="240" w:lineRule="auto"/>
              <w:jc w:val="left"/>
              <w:rPr>
                <w:rFonts w:hint="eastAsia" w:ascii="仿宋" w:hAnsi="仿宋" w:eastAsia="仿宋" w:cs="仿宋"/>
                <w:sz w:val="24"/>
                <w:highlight w:val="none"/>
              </w:rPr>
            </w:pPr>
            <w:r>
              <w:rPr>
                <w:rFonts w:hint="eastAsia" w:ascii="仿宋" w:hAnsi="仿宋" w:eastAsia="仿宋" w:cs="仿宋"/>
                <w:sz w:val="24"/>
                <w:highlight w:val="none"/>
              </w:rPr>
              <w:t>（由评委酌情打分，最高不超过2分）</w:t>
            </w:r>
            <w:bookmarkEnd w:id="167"/>
          </w:p>
        </w:tc>
        <w:tc>
          <w:tcPr>
            <w:tcW w:w="7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2分</w:t>
            </w:r>
          </w:p>
        </w:tc>
      </w:tr>
    </w:tbl>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shd w:val="clear" w:color="auto" w:fill="FFFFFF"/>
        </w:rPr>
        <w:t> </w:t>
      </w:r>
      <w:r>
        <w:rPr>
          <w:rFonts w:hint="eastAsia" w:ascii="仿宋" w:hAnsi="仿宋" w:eastAsia="仿宋" w:cs="仿宋"/>
          <w:b/>
          <w:sz w:val="24"/>
          <w:highlight w:val="none"/>
        </w:rPr>
        <w:t>备注：</w:t>
      </w:r>
    </w:p>
    <w:p>
      <w:pPr>
        <w:widowControl/>
        <w:snapToGrid w:val="0"/>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本项目招标文件内对招标现场原件核验不作要求，采购人有权在招标后对成交候选人进行原件核验。供应商对所提供的全部资料的真实性承担法律责任，如招标后无法提供响应文件中复印件的相应原件的：（1）采购人有权拒绝与成交方签订合同，并追究其缔约过失责任；（2）违法违规的报监管部门查处；构成犯罪的依法追究刑事责任。</w:t>
      </w:r>
    </w:p>
    <w:p>
      <w:pPr>
        <w:widowControl/>
        <w:snapToGrid w:val="0"/>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2）所有证书都应在有效期内，逾期不得分。</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3）投标人编制投标文件（商务技术文件部分）时，建议按此目录（序号和内容）提供评标标准相应的商务技术资料。 </w:t>
      </w:r>
    </w:p>
    <w:p>
      <w:pPr>
        <w:spacing w:line="440" w:lineRule="exact"/>
        <w:rPr>
          <w:rFonts w:ascii="仿宋" w:hAnsi="仿宋" w:eastAsia="仿宋" w:cs="仿宋"/>
          <w:b/>
          <w:bCs/>
          <w:iCs/>
          <w:sz w:val="24"/>
          <w:highlight w:val="none"/>
        </w:rPr>
      </w:pPr>
    </w:p>
    <w:p>
      <w:pPr>
        <w:spacing w:line="360" w:lineRule="auto"/>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 xml:space="preserve"> 20 </w:t>
      </w:r>
      <w:r>
        <w:rPr>
          <w:rFonts w:hint="eastAsia" w:ascii="仿宋" w:hAnsi="仿宋" w:eastAsia="仿宋" w:cs="仿宋"/>
          <w:b/>
          <w:bCs/>
          <w:iCs/>
          <w:sz w:val="24"/>
          <w:highlight w:val="none"/>
        </w:rPr>
        <w:t>分）</w:t>
      </w:r>
    </w:p>
    <w:p>
      <w:pPr>
        <w:pStyle w:val="3"/>
        <w:snapToGrid w:val="0"/>
        <w:spacing w:line="360" w:lineRule="auto"/>
        <w:ind w:firstLine="0" w:firstLineChars="0"/>
        <w:rPr>
          <w:rFonts w:ascii="仿宋" w:hAnsi="仿宋" w:eastAsia="仿宋" w:cs="仿宋"/>
          <w:highlight w:val="none"/>
        </w:rPr>
      </w:pPr>
      <w:r>
        <w:rPr>
          <w:rFonts w:hint="eastAsia" w:ascii="仿宋" w:hAnsi="仿宋" w:eastAsia="仿宋" w:cs="仿宋"/>
          <w:highlight w:val="none"/>
        </w:rPr>
        <w:t>2.2.1评标基准价：即满足招标文件要求且最终投标报价最低的为评标基准价，其价格分为满分。</w:t>
      </w:r>
    </w:p>
    <w:p>
      <w:pPr>
        <w:pStyle w:val="3"/>
        <w:snapToGrid w:val="0"/>
        <w:spacing w:line="360" w:lineRule="auto"/>
        <w:ind w:firstLine="0" w:firstLineChars="0"/>
        <w:rPr>
          <w:rFonts w:ascii="仿宋" w:hAnsi="仿宋" w:eastAsia="仿宋" w:cs="仿宋"/>
          <w:highlight w:val="none"/>
        </w:rPr>
      </w:pPr>
      <w:r>
        <w:rPr>
          <w:rFonts w:hint="eastAsia" w:ascii="仿宋" w:hAnsi="仿宋" w:eastAsia="仿宋" w:cs="仿宋"/>
          <w:highlight w:val="none"/>
        </w:rPr>
        <w:t>2.2.2其他供应商的价格分统一按照下列公式计算：</w:t>
      </w:r>
    </w:p>
    <w:p>
      <w:pPr>
        <w:pStyle w:val="3"/>
        <w:snapToGrid w:val="0"/>
        <w:spacing w:line="360" w:lineRule="auto"/>
        <w:ind w:firstLine="0" w:firstLineChars="0"/>
        <w:rPr>
          <w:rFonts w:ascii="仿宋" w:hAnsi="仿宋" w:eastAsia="仿宋" w:cs="仿宋"/>
          <w:highlight w:val="none"/>
        </w:rPr>
      </w:pPr>
      <w:r>
        <w:rPr>
          <w:rFonts w:hint="eastAsia" w:ascii="仿宋" w:hAnsi="仿宋" w:eastAsia="仿宋" w:cs="仿宋"/>
          <w:highlight w:val="none"/>
        </w:rPr>
        <w:t>投标报价得分=(评标基准价／投标报价)×价格权值×100</w:t>
      </w:r>
    </w:p>
    <w:p>
      <w:pPr>
        <w:pStyle w:val="3"/>
        <w:snapToGrid w:val="0"/>
        <w:spacing w:line="360" w:lineRule="auto"/>
        <w:ind w:firstLine="0" w:firstLineChars="0"/>
        <w:rPr>
          <w:rFonts w:ascii="仿宋" w:hAnsi="仿宋" w:eastAsia="仿宋" w:cs="仿宋"/>
          <w:b/>
          <w:sz w:val="36"/>
          <w:highlight w:val="none"/>
        </w:rPr>
      </w:pPr>
      <w:r>
        <w:rPr>
          <w:rFonts w:hint="eastAsia" w:ascii="仿宋" w:hAnsi="仿宋" w:eastAsia="仿宋" w:cs="仿宋"/>
          <w:highlight w:val="none"/>
        </w:rPr>
        <w:t>即：投标报价得分=(评标基准价／投标报价)×20</w:t>
      </w:r>
    </w:p>
    <w:p>
      <w:pPr>
        <w:rPr>
          <w:rFonts w:ascii="仿宋" w:hAnsi="仿宋" w:eastAsia="仿宋" w:cs="仿宋"/>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5"/>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0"/>
        <w:rPr>
          <w:rFonts w:ascii="仿宋" w:hAnsi="仿宋" w:eastAsia="仿宋" w:cs="仿宋"/>
          <w:b/>
          <w:kern w:val="0"/>
          <w:sz w:val="24"/>
          <w:highlight w:val="none"/>
        </w:rPr>
      </w:pPr>
    </w:p>
    <w:p>
      <w:pPr>
        <w:pStyle w:val="2"/>
        <w:rPr>
          <w:rFonts w:ascii="仿宋" w:hAnsi="仿宋" w:eastAsia="仿宋" w:cs="仿宋"/>
          <w:b/>
          <w:kern w:val="0"/>
          <w:sz w:val="24"/>
          <w:highlight w:val="none"/>
        </w:rPr>
      </w:pPr>
    </w:p>
    <w:p>
      <w:pPr>
        <w:pStyle w:val="3"/>
        <w:rPr>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5"/>
        <w:numPr>
          <w:ilvl w:val="0"/>
          <w:numId w:val="4"/>
        </w:numPr>
        <w:spacing w:line="336" w:lineRule="auto"/>
        <w:ind w:left="0" w:firstLine="0" w:firstLineChars="0"/>
        <w:rPr>
          <w:rFonts w:ascii="仿宋" w:eastAsia="仿宋" w:cs="仿宋"/>
          <w:highlight w:val="none"/>
        </w:rPr>
      </w:pPr>
      <w:r>
        <w:rPr>
          <w:rFonts w:hint="eastAsia" w:ascii="仿宋" w:eastAsia="仿宋" w:cs="仿宋"/>
          <w:highlight w:val="none"/>
        </w:rPr>
        <w:t>投标函…………………………………………………………………………（页码）</w:t>
      </w:r>
    </w:p>
    <w:p>
      <w:pPr>
        <w:pStyle w:val="905"/>
        <w:numPr>
          <w:ilvl w:val="0"/>
          <w:numId w:val="4"/>
        </w:numPr>
        <w:spacing w:line="336" w:lineRule="auto"/>
        <w:ind w:left="0" w:firstLine="0" w:firstLineChars="0"/>
        <w:rPr>
          <w:rFonts w:ascii="仿宋" w:eastAsia="仿宋" w:cs="仿宋"/>
          <w:highlight w:val="none"/>
        </w:rPr>
      </w:pPr>
      <w:r>
        <w:rPr>
          <w:rFonts w:hint="eastAsia" w:ascii="仿宋" w:eastAsia="仿宋" w:cs="仿宋"/>
          <w:highlight w:val="none"/>
        </w:rPr>
        <w:t>法定代表人授权书 ………………………………………………………… （页码）</w:t>
      </w:r>
    </w:p>
    <w:p>
      <w:pPr>
        <w:pStyle w:val="905"/>
        <w:numPr>
          <w:ilvl w:val="0"/>
          <w:numId w:val="4"/>
        </w:numPr>
        <w:spacing w:line="336" w:lineRule="auto"/>
        <w:ind w:left="0" w:firstLine="0" w:firstLineChars="0"/>
        <w:rPr>
          <w:rFonts w:ascii="仿宋" w:eastAsia="仿宋" w:cs="仿宋"/>
          <w:highlight w:val="none"/>
        </w:rPr>
      </w:pPr>
      <w:r>
        <w:rPr>
          <w:rFonts w:hint="eastAsia" w:ascii="仿宋" w:eastAsia="仿宋" w:cs="仿宋"/>
          <w:highlight w:val="none"/>
        </w:rPr>
        <w:t>法定代表人及其授权代表身份证复印件（复印件）…………………………（页码）</w:t>
      </w:r>
    </w:p>
    <w:p>
      <w:pPr>
        <w:pStyle w:val="905"/>
        <w:numPr>
          <w:ilvl w:val="0"/>
          <w:numId w:val="4"/>
        </w:numPr>
        <w:spacing w:line="336" w:lineRule="auto"/>
        <w:ind w:left="0" w:firstLine="0" w:firstLineChars="0"/>
        <w:rPr>
          <w:rFonts w:ascii="仿宋" w:eastAsia="仿宋" w:cs="仿宋"/>
          <w:highlight w:val="none"/>
        </w:rPr>
      </w:pPr>
      <w:r>
        <w:rPr>
          <w:rFonts w:hint="eastAsia" w:ascii="仿宋" w:eastAsia="仿宋" w:cs="仿宋"/>
          <w:highlight w:val="none"/>
        </w:rPr>
        <w:t>法定代表人身份证明书……………………………………………………… （页码）</w:t>
      </w:r>
    </w:p>
    <w:p>
      <w:pPr>
        <w:pStyle w:val="905"/>
        <w:numPr>
          <w:ilvl w:val="0"/>
          <w:numId w:val="4"/>
        </w:numPr>
        <w:spacing w:line="336" w:lineRule="auto"/>
        <w:ind w:left="0" w:firstLine="0" w:firstLineChars="0"/>
        <w:rPr>
          <w:rFonts w:ascii="仿宋" w:eastAsia="仿宋" w:cs="仿宋"/>
          <w:highlight w:val="none"/>
        </w:rPr>
      </w:pPr>
      <w:r>
        <w:rPr>
          <w:rFonts w:hint="eastAsia" w:ascii="仿宋" w:eastAsia="仿宋" w:cs="仿宋"/>
          <w:highlight w:val="none"/>
        </w:rPr>
        <w:t>商务技术偏离表……………………………………………………………… （页码）</w:t>
      </w:r>
    </w:p>
    <w:p>
      <w:pPr>
        <w:pStyle w:val="905"/>
        <w:numPr>
          <w:ilvl w:val="0"/>
          <w:numId w:val="4"/>
        </w:numPr>
        <w:spacing w:line="336" w:lineRule="auto"/>
        <w:ind w:left="0" w:firstLine="0" w:firstLineChars="0"/>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（8）技术解决方案…………………………………………………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rPr>
          <w:rFonts w:ascii="仿宋" w:hAnsi="仿宋" w:eastAsia="仿宋" w:cs="仿宋"/>
          <w:b/>
          <w:kern w:val="0"/>
          <w:sz w:val="32"/>
          <w:szCs w:val="32"/>
          <w:highlight w:val="none"/>
          <w:lang w:val="zh-CN"/>
        </w:rPr>
      </w:pPr>
    </w:p>
    <w:p>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396"/>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ascii="仿宋" w:hAnsi="仿宋" w:eastAsia="仿宋" w:cs="仿宋"/>
          <w:b/>
          <w:kern w:val="0"/>
          <w:sz w:val="32"/>
          <w:szCs w:val="32"/>
          <w:highlight w:val="none"/>
          <w:lang w:val="zh-CN"/>
        </w:rPr>
      </w:pPr>
    </w:p>
    <w:p>
      <w:pPr>
        <w:autoSpaceDE w:val="0"/>
        <w:autoSpaceDN w:val="0"/>
        <w:spacing w:line="360" w:lineRule="auto"/>
        <w:jc w:val="center"/>
        <w:rPr>
          <w:rFonts w:ascii="仿宋" w:hAnsi="仿宋" w:eastAsia="仿宋" w:cs="仿宋"/>
          <w:b/>
          <w:kern w:val="0"/>
          <w:sz w:val="32"/>
          <w:szCs w:val="32"/>
          <w:highlight w:val="none"/>
          <w:lang w:val="zh-CN"/>
        </w:rPr>
      </w:pP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三、法定代表人及其授权代表身份证复印件（正反面）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pPr>
        <w:spacing w:line="440" w:lineRule="exact"/>
        <w:ind w:right="480"/>
        <w:rPr>
          <w:rFonts w:ascii="仿宋" w:hAnsi="仿宋" w:eastAsia="仿宋" w:cs="仿宋"/>
          <w:sz w:val="24"/>
          <w:highlight w:val="none"/>
        </w:rPr>
      </w:pPr>
    </w:p>
    <w:p>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pStyle w:val="2"/>
        <w:rPr>
          <w:rFonts w:ascii="仿宋" w:hAnsi="仿宋" w:eastAsia="仿宋" w:cs="仿宋"/>
          <w:sz w:val="24"/>
          <w:highlight w:val="none"/>
        </w:rPr>
      </w:pPr>
    </w:p>
    <w:p>
      <w:pPr>
        <w:pStyle w:val="3"/>
        <w:rPr>
          <w:highlight w:val="none"/>
        </w:rPr>
      </w:pPr>
    </w:p>
    <w:p>
      <w:pPr>
        <w:widowControl/>
        <w:adjustRightInd/>
        <w:jc w:val="left"/>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 w:hAnsi="仿宋" w:eastAsia="仿宋" w:cs="仿宋"/>
          <w:b/>
          <w:bCs/>
          <w:sz w:val="24"/>
          <w:highlight w:val="none"/>
        </w:rPr>
      </w:pPr>
    </w:p>
    <w:p>
      <w:pPr>
        <w:pStyle w:val="2"/>
        <w:rPr>
          <w:rFonts w:ascii="仿宋" w:hAnsi="仿宋" w:eastAsia="仿宋" w:cs="仿宋"/>
          <w:b/>
          <w:bCs/>
          <w:sz w:val="24"/>
          <w:highlight w:val="none"/>
        </w:rPr>
      </w:pPr>
    </w:p>
    <w:p>
      <w:pPr>
        <w:pStyle w:val="3"/>
        <w:ind w:firstLine="482"/>
        <w:rPr>
          <w:rFonts w:ascii="仿宋" w:hAnsi="仿宋" w:eastAsia="仿宋" w:cs="仿宋"/>
          <w:b/>
          <w:bCs/>
          <w:highlight w:val="none"/>
        </w:rPr>
      </w:pPr>
    </w:p>
    <w:p>
      <w:pPr>
        <w:pStyle w:val="4"/>
        <w:rPr>
          <w:highlight w:val="none"/>
        </w:rPr>
      </w:pPr>
    </w:p>
    <w:p>
      <w:pPr>
        <w:pStyle w:val="80"/>
        <w:jc w:val="center"/>
        <w:rPr>
          <w:rFonts w:ascii="仿宋" w:hAnsi="仿宋" w:eastAsia="仿宋" w:cs="仿宋"/>
          <w:b/>
          <w:bCs/>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七、</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八、技术解决方案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85pt;width:442.9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highlight w:val="none"/>
        </w:rPr>
        <w:object>
          <v:shape id="_x0000_i1026" o:spt="75" type="#_x0000_t75" style="height:41.85pt;width:441.2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Style w:val="2"/>
        <w:rPr>
          <w:rFonts w:ascii="仿宋_GB2312" w:hAnsi="仿宋_GB2312" w:eastAsia="仿宋_GB2312" w:cs="仿宋_GB2312"/>
          <w:b/>
          <w:bCs/>
          <w:sz w:val="32"/>
          <w:szCs w:val="32"/>
          <w:highlight w:val="none"/>
        </w:rPr>
      </w:pPr>
    </w:p>
    <w:p>
      <w:pPr>
        <w:pStyle w:val="3"/>
        <w:rPr>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p>
    <w:p>
      <w:pPr>
        <w:pStyle w:val="80"/>
        <w:rPr>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十一、投标人售后服务能力证明材料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十二、项目小组人员名单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十三、</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Style w:val="2"/>
        <w:rPr>
          <w:rFonts w:ascii="仿宋_GB2312" w:hAnsi="仿宋_GB2312" w:eastAsia="仿宋_GB2312" w:cs="仿宋_GB2312"/>
          <w:b/>
          <w:bCs/>
          <w:sz w:val="32"/>
          <w:szCs w:val="32"/>
          <w:highlight w:val="none"/>
        </w:rPr>
      </w:pPr>
    </w:p>
    <w:p>
      <w:pPr>
        <w:pStyle w:val="3"/>
        <w:ind w:firstLine="643"/>
        <w:rPr>
          <w:rFonts w:ascii="仿宋_GB2312" w:hAnsi="仿宋_GB2312" w:eastAsia="仿宋_GB2312" w:cs="仿宋_GB2312"/>
          <w:b/>
          <w:bCs/>
          <w:sz w:val="32"/>
          <w:szCs w:val="32"/>
          <w:highlight w:val="none"/>
        </w:rPr>
      </w:pPr>
    </w:p>
    <w:p>
      <w:pPr>
        <w:pStyle w:val="4"/>
        <w:rPr>
          <w:rFonts w:ascii="仿宋_GB2312" w:hAnsi="仿宋_GB2312" w:eastAsia="仿宋_GB2312" w:cs="仿宋_GB2312"/>
          <w:b/>
          <w:bCs/>
          <w:sz w:val="32"/>
          <w:szCs w:val="32"/>
          <w:highlight w:val="none"/>
        </w:rPr>
      </w:pPr>
    </w:p>
    <w:p>
      <w:pPr>
        <w:pStyle w:val="4"/>
        <w:rPr>
          <w:rFonts w:ascii="仿宋_GB2312" w:hAnsi="仿宋_GB2312" w:eastAsia="仿宋_GB2312" w:cs="仿宋_GB2312"/>
          <w:b/>
          <w:bCs/>
          <w:sz w:val="32"/>
          <w:szCs w:val="32"/>
          <w:highlight w:val="none"/>
        </w:rPr>
      </w:pPr>
    </w:p>
    <w:p>
      <w:pPr>
        <w:pStyle w:val="4"/>
        <w:rPr>
          <w:rFonts w:ascii="仿宋_GB2312" w:hAnsi="仿宋_GB2312" w:eastAsia="仿宋_GB2312" w:cs="仿宋_GB2312"/>
          <w:b/>
          <w:bCs/>
          <w:sz w:val="32"/>
          <w:szCs w:val="32"/>
          <w:highlight w:val="none"/>
        </w:rPr>
      </w:pPr>
    </w:p>
    <w:p>
      <w:pPr>
        <w:pStyle w:val="4"/>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十六、验收方案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十七、认为需要的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highlight w:val="none"/>
        </w:rPr>
        <w:sectPr>
          <w:footerReference r:id="rId10" w:type="first"/>
          <w:headerReference r:id="rId8" w:type="default"/>
          <w:footerReference r:id="rId9" w:type="default"/>
          <w:pgSz w:w="11906" w:h="16838"/>
          <w:pgMar w:top="1276" w:right="1418" w:bottom="1247" w:left="1418"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pStyle w:val="25"/>
        <w:snapToGrid w:val="0"/>
        <w:rPr>
          <w:rFonts w:ascii="仿宋" w:hAnsi="仿宋" w:eastAsia="仿宋" w:cs="仿宋"/>
          <w:highlight w:val="none"/>
        </w:rPr>
      </w:pPr>
      <w:r>
        <w:rPr>
          <w:rFonts w:ascii="仿宋" w:hAnsi="仿宋" w:eastAsia="仿宋" w:cs="仿宋"/>
          <w:szCs w:val="24"/>
          <w:highlight w:val="none"/>
          <w:lang w:val="en-US"/>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8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992"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992"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8647" w:type="dxa"/>
            <w:gridSpan w:val="4"/>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8647" w:type="dxa"/>
            <w:gridSpan w:val="4"/>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5" w:type="default"/>
          <w:footerReference r:id="rId16" w:type="default"/>
          <w:pgSz w:w="16838" w:h="11906" w:orient="landscape"/>
          <w:pgMar w:top="1418" w:right="1247" w:bottom="1418" w:left="1276" w:header="851" w:footer="992" w:gutter="0"/>
          <w:cols w:space="720" w:num="1"/>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highlight w:val="none"/>
        </w:rPr>
      </w:pPr>
    </w:p>
    <w:p>
      <w:pPr>
        <w:pStyle w:val="81"/>
        <w:rPr>
          <w:rFonts w:ascii="仿宋" w:hAnsi="仿宋" w:eastAsia="仿宋" w:cs="仿宋"/>
          <w:b/>
          <w:sz w:val="24"/>
          <w:highlight w:val="none"/>
        </w:rPr>
      </w:pPr>
    </w:p>
    <w:p>
      <w:pPr>
        <w:rPr>
          <w:rFonts w:ascii="仿宋" w:hAnsi="仿宋" w:eastAsia="仿宋" w:cs="仿宋"/>
          <w:b/>
          <w:sz w:val="24"/>
          <w:highlight w:val="none"/>
        </w:rPr>
      </w:pPr>
    </w:p>
    <w:p>
      <w:pPr>
        <w:pStyle w:val="80"/>
        <w:rPr>
          <w:rFonts w:ascii="仿宋" w:hAnsi="仿宋" w:eastAsia="仿宋" w:cs="仿宋"/>
          <w:b/>
          <w:color w:val="auto"/>
          <w:highlight w:val="none"/>
        </w:rPr>
      </w:pPr>
    </w:p>
    <w:p>
      <w:pPr>
        <w:pStyle w:val="81"/>
        <w:rPr>
          <w:rFonts w:ascii="仿宋" w:hAnsi="仿宋" w:eastAsia="仿宋" w:cs="仿宋"/>
          <w:b/>
          <w:sz w:val="24"/>
          <w:highlight w:val="none"/>
        </w:rPr>
      </w:pPr>
    </w:p>
    <w:p>
      <w:pPr>
        <w:rPr>
          <w:highlight w:val="none"/>
        </w:rPr>
      </w:pPr>
    </w:p>
    <w:p>
      <w:pPr>
        <w:widowControl/>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pPr>
        <w:pStyle w:val="25"/>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pStyle w:val="2"/>
        <w:rPr>
          <w:rFonts w:ascii="仿宋" w:hAnsi="仿宋" w:eastAsia="仿宋" w:cs="仿宋"/>
          <w:b/>
          <w:spacing w:val="6"/>
          <w:sz w:val="32"/>
          <w:szCs w:val="32"/>
          <w:highlight w:val="none"/>
        </w:rPr>
      </w:pPr>
    </w:p>
    <w:p>
      <w:pPr>
        <w:pStyle w:val="3"/>
        <w:ind w:firstLine="667"/>
        <w:rPr>
          <w:rFonts w:ascii="仿宋" w:hAnsi="仿宋" w:eastAsia="仿宋" w:cs="仿宋"/>
          <w:b/>
          <w:spacing w:val="6"/>
          <w:sz w:val="32"/>
          <w:szCs w:val="32"/>
          <w:highlight w:val="none"/>
        </w:rPr>
      </w:pPr>
    </w:p>
    <w:p>
      <w:pPr>
        <w:pStyle w:val="4"/>
        <w:rPr>
          <w:rFonts w:ascii="仿宋" w:hAnsi="仿宋" w:eastAsia="仿宋" w:cs="仿宋"/>
          <w:b/>
          <w:spacing w:val="6"/>
          <w:sz w:val="32"/>
          <w:szCs w:val="32"/>
          <w:highlight w:val="none"/>
        </w:rPr>
      </w:pPr>
    </w:p>
    <w:p>
      <w:pPr>
        <w:pStyle w:val="4"/>
        <w:rPr>
          <w:rFonts w:ascii="仿宋" w:hAnsi="仿宋" w:eastAsia="仿宋" w:cs="仿宋"/>
          <w:b/>
          <w:spacing w:val="6"/>
          <w:sz w:val="32"/>
          <w:szCs w:val="32"/>
          <w:highlight w:val="none"/>
        </w:rPr>
      </w:pPr>
    </w:p>
    <w:p>
      <w:pPr>
        <w:pStyle w:val="4"/>
        <w:rPr>
          <w:rFonts w:ascii="仿宋" w:hAnsi="仿宋" w:eastAsia="仿宋" w:cs="仿宋"/>
          <w:b/>
          <w:spacing w:val="6"/>
          <w:sz w:val="32"/>
          <w:szCs w:val="32"/>
          <w:highlight w:val="none"/>
        </w:rPr>
      </w:pPr>
    </w:p>
    <w:p>
      <w:pPr>
        <w:pStyle w:val="4"/>
        <w:rPr>
          <w:rFonts w:ascii="仿宋" w:hAnsi="仿宋" w:eastAsia="仿宋" w:cs="仿宋"/>
          <w:b/>
          <w:spacing w:val="6"/>
          <w:sz w:val="32"/>
          <w:szCs w:val="32"/>
          <w:highlight w:val="none"/>
        </w:rPr>
      </w:pPr>
    </w:p>
    <w:p>
      <w:pPr>
        <w:pStyle w:val="4"/>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8" w:name="_Hlk101131882"/>
      <w:r>
        <w:rPr>
          <w:rFonts w:hint="eastAsia" w:ascii="仿宋" w:hAnsi="仿宋" w:eastAsia="仿宋" w:cs="仿宋"/>
          <w:kern w:val="0"/>
          <w:sz w:val="24"/>
          <w:highlight w:val="none"/>
          <w:u w:val="single"/>
        </w:rPr>
        <w:t>联合体成员X,……</w:t>
      </w:r>
      <w:bookmarkEnd w:id="15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9"/>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6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0"/>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ind w:firstLine="3666" w:firstLineChars="1100"/>
        <w:rPr>
          <w:rFonts w:ascii="仿宋" w:hAnsi="仿宋" w:eastAsia="仿宋" w:cs="仿宋"/>
          <w:b/>
          <w:spacing w:val="6"/>
          <w:sz w:val="32"/>
          <w:szCs w:val="32"/>
          <w:highlight w:val="none"/>
        </w:rPr>
      </w:pPr>
    </w:p>
    <w:p>
      <w:pPr>
        <w:widowControl/>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6"/>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0"/>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0"/>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0"/>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0"/>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0"/>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0"/>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0"/>
        <w:rPr>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
        <w:rPr>
          <w:rFonts w:ascii="仿宋" w:hAnsi="仿宋" w:eastAsia="仿宋" w:cs="仿宋"/>
          <w:b/>
          <w:spacing w:val="6"/>
          <w:sz w:val="32"/>
          <w:szCs w:val="32"/>
          <w:highlight w:val="none"/>
        </w:rPr>
      </w:pPr>
    </w:p>
    <w:p>
      <w:pPr>
        <w:pStyle w:val="3"/>
        <w:rPr>
          <w:highlight w:val="none"/>
        </w:rPr>
      </w:pPr>
    </w:p>
    <w:p>
      <w:pPr>
        <w:pStyle w:val="4"/>
        <w:rPr>
          <w:highlight w:val="none"/>
        </w:rPr>
      </w:pPr>
    </w:p>
    <w:p>
      <w:pPr>
        <w:autoSpaceDE w:val="0"/>
        <w:autoSpaceDN w:val="0"/>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1" w:name="OLE_LINK13"/>
      <w:bookmarkStart w:id="162" w:name="OLE_LINK14"/>
      <w:r>
        <w:rPr>
          <w:rFonts w:hint="eastAsia" w:ascii="仿宋" w:hAnsi="仿宋" w:eastAsia="仿宋" w:cs="仿宋"/>
          <w:b/>
          <w:spacing w:val="6"/>
          <w:sz w:val="32"/>
          <w:szCs w:val="32"/>
          <w:highlight w:val="none"/>
        </w:rPr>
        <w:t>残疾人福利性单位声明函</w:t>
      </w:r>
    </w:p>
    <w:bookmarkEnd w:id="161"/>
    <w:bookmarkEnd w:id="162"/>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5"/>
        <w:rPr>
          <w:rFonts w:ascii="仿宋" w:hAnsi="仿宋" w:eastAsia="仿宋" w:cs="仿宋"/>
          <w:highlight w:val="none"/>
        </w:rPr>
      </w:pPr>
    </w:p>
    <w:p>
      <w:pPr>
        <w:pStyle w:val="26"/>
        <w:rPr>
          <w:highlight w:val="none"/>
        </w:rPr>
      </w:pPr>
    </w:p>
    <w:p>
      <w:pPr>
        <w:snapToGrid w:val="0"/>
        <w:spacing w:line="360" w:lineRule="auto"/>
        <w:rPr>
          <w:rFonts w:ascii="仿宋" w:hAnsi="仿宋" w:eastAsia="仿宋" w:cs="仿宋"/>
          <w:b/>
          <w:kern w:val="0"/>
          <w:sz w:val="32"/>
          <w:szCs w:val="32"/>
          <w:highlight w:val="none"/>
        </w:rPr>
      </w:pPr>
    </w:p>
    <w:p>
      <w:pPr>
        <w:snapToGrid w:val="0"/>
        <w:spacing w:line="360" w:lineRule="auto"/>
        <w:rPr>
          <w:rFonts w:ascii="仿宋" w:hAnsi="仿宋" w:eastAsia="仿宋" w:cs="仿宋"/>
          <w:b/>
          <w:kern w:val="0"/>
          <w:sz w:val="32"/>
          <w:szCs w:val="32"/>
          <w:highlight w:val="none"/>
        </w:rPr>
      </w:pPr>
    </w:p>
    <w:p>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ascii="仿宋" w:eastAsia="仿宋" w:cs="仿宋"/>
          <w:highlight w:val="none"/>
          <w:lang w:val="en-US"/>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5"/>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7F"/>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91899912"/>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ascii="仿宋" w:hAnsi="仿宋" w:eastAsia="仿宋" w:cs="仿宋"/>
      </w:rPr>
      <w:t>浙江东腾利成招标代理有限公司                                     招标文件编号:ZJDT-R-24011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浙江东腾利成招标代理有限公司</w:t>
    </w:r>
    <w:r>
      <w:rPr>
        <w:rFonts w:hint="eastAsia" w:ascii="仿宋" w:hAnsi="仿宋" w:eastAsia="仿宋" w:cs="仿宋"/>
      </w:rPr>
      <w:t xml:space="preserve">                                              招标文件编号:ZJDT-R-24011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ascii="仿宋" w:hAnsi="仿宋" w:eastAsia="仿宋" w:cs="仿宋"/>
      </w:rPr>
      <w:t>浙江东腾利成招标代理有限公司                                             招标文件编号:ZJDT-R-24011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 xml:space="preserve">浙江东腾利成招标代理有限公司                                           招标文件编号:ZJDT-R-24011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rPr>
      <w:t>浙江东腾利成招标代理有限公司</w:t>
    </w:r>
    <w:r>
      <w:rPr>
        <w:rFonts w:hint="eastAsia" w:ascii="仿宋" w:hAnsi="仿宋" w:eastAsia="仿宋" w:cs="仿宋"/>
      </w:rPr>
      <w:t xml:space="preserve">                                                                                                        招标文件编号:ZJDT-R-24011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 xml:space="preserve">浙江东腾利成招标代理有限公司                                                                                                       招标文件编号:ZJDT-R-24011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 xml:space="preserve">浙江东腾利成招标代理有限公司                                              招标文件编号:ZJDT-R-24011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rPr>
      <w:t>浙江东腾利成招标代理有限公司</w:t>
    </w:r>
    <w:r>
      <w:rPr>
        <w:rFonts w:hint="eastAsia" w:ascii="仿宋" w:hAnsi="仿宋" w:eastAsia="仿宋" w:cs="仿宋"/>
      </w:rPr>
      <w:t xml:space="preserve">                                              招标文件编号:ZJDT-R-24011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EBDCE"/>
    <w:multiLevelType w:val="singleLevel"/>
    <w:tmpl w:val="D14EBDCE"/>
    <w:lvl w:ilvl="0" w:tentative="0">
      <w:start w:val="2"/>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27B82176"/>
    <w:multiLevelType w:val="singleLevel"/>
    <w:tmpl w:val="27B82176"/>
    <w:lvl w:ilvl="0" w:tentative="0">
      <w:start w:val="2"/>
      <w:numFmt w:val="decimal"/>
      <w:lvlText w:val="%1."/>
      <w:lvlJc w:val="left"/>
      <w:pPr>
        <w:tabs>
          <w:tab w:val="left" w:pos="312"/>
        </w:tabs>
        <w:ind w:left="-62"/>
      </w:pPr>
    </w:lvl>
  </w:abstractNum>
  <w:abstractNum w:abstractNumId="4">
    <w:nsid w:val="6E7CAB05"/>
    <w:multiLevelType w:val="singleLevel"/>
    <w:tmpl w:val="6E7CAB05"/>
    <w:lvl w:ilvl="0" w:tentative="0">
      <w:start w:val="4"/>
      <w:numFmt w:val="chineseCounting"/>
      <w:suff w:val="nothing"/>
      <w:lvlText w:val="%1、"/>
      <w:lvlJc w:val="left"/>
      <w:rPr>
        <w:rFonts w:hint="eastAsia"/>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xYTI4NGRiMjE3YzZjMzJhMGE3NGQxNjgxMjk5ZWIifQ=="/>
  </w:docVars>
  <w:rsids>
    <w:rsidRoot w:val="00172A27"/>
    <w:rsid w:val="000163CC"/>
    <w:rsid w:val="00172A27"/>
    <w:rsid w:val="008F6EB2"/>
    <w:rsid w:val="00B34AC1"/>
    <w:rsid w:val="00B82B4C"/>
    <w:rsid w:val="00E1387D"/>
    <w:rsid w:val="028A5B2C"/>
    <w:rsid w:val="04DE1016"/>
    <w:rsid w:val="05D1205D"/>
    <w:rsid w:val="0687694B"/>
    <w:rsid w:val="0822787F"/>
    <w:rsid w:val="085B58CB"/>
    <w:rsid w:val="08602EE2"/>
    <w:rsid w:val="09507FFC"/>
    <w:rsid w:val="095C5D9F"/>
    <w:rsid w:val="0B057D70"/>
    <w:rsid w:val="0BEE4C7F"/>
    <w:rsid w:val="0C1C1A45"/>
    <w:rsid w:val="0D8C75EC"/>
    <w:rsid w:val="0F096B8F"/>
    <w:rsid w:val="0F63063F"/>
    <w:rsid w:val="0F706100"/>
    <w:rsid w:val="13525B1D"/>
    <w:rsid w:val="15B825AF"/>
    <w:rsid w:val="16B014D8"/>
    <w:rsid w:val="17174E46"/>
    <w:rsid w:val="17310C6D"/>
    <w:rsid w:val="17EC62B3"/>
    <w:rsid w:val="18023FB5"/>
    <w:rsid w:val="18733791"/>
    <w:rsid w:val="18E60774"/>
    <w:rsid w:val="1A0911F3"/>
    <w:rsid w:val="1B1C713C"/>
    <w:rsid w:val="1C0B1949"/>
    <w:rsid w:val="1CEC2B3E"/>
    <w:rsid w:val="1D2F1C3B"/>
    <w:rsid w:val="1DB26C50"/>
    <w:rsid w:val="1E990EF4"/>
    <w:rsid w:val="1EEB54F0"/>
    <w:rsid w:val="1F2124E7"/>
    <w:rsid w:val="1F2A5B79"/>
    <w:rsid w:val="1F551354"/>
    <w:rsid w:val="1F8F5FAF"/>
    <w:rsid w:val="2031781E"/>
    <w:rsid w:val="207C615F"/>
    <w:rsid w:val="21C422DC"/>
    <w:rsid w:val="22EA5CE4"/>
    <w:rsid w:val="237B518D"/>
    <w:rsid w:val="2BC1584C"/>
    <w:rsid w:val="2C167BD8"/>
    <w:rsid w:val="2C8325AE"/>
    <w:rsid w:val="2E800869"/>
    <w:rsid w:val="2F95222A"/>
    <w:rsid w:val="30CD01D9"/>
    <w:rsid w:val="30E65F7F"/>
    <w:rsid w:val="314E57F8"/>
    <w:rsid w:val="31E71DFA"/>
    <w:rsid w:val="325B068A"/>
    <w:rsid w:val="327974EC"/>
    <w:rsid w:val="33F86541"/>
    <w:rsid w:val="341772FA"/>
    <w:rsid w:val="34A83C95"/>
    <w:rsid w:val="35170786"/>
    <w:rsid w:val="35D42696"/>
    <w:rsid w:val="37032508"/>
    <w:rsid w:val="374F685F"/>
    <w:rsid w:val="37A2059D"/>
    <w:rsid w:val="389D5322"/>
    <w:rsid w:val="38A9631F"/>
    <w:rsid w:val="38D806EF"/>
    <w:rsid w:val="3A0D5B32"/>
    <w:rsid w:val="3A4F2C33"/>
    <w:rsid w:val="3AAF722D"/>
    <w:rsid w:val="3B9B5A04"/>
    <w:rsid w:val="3BA45A93"/>
    <w:rsid w:val="3BA7084C"/>
    <w:rsid w:val="3C343766"/>
    <w:rsid w:val="3DA60130"/>
    <w:rsid w:val="3E0A0B56"/>
    <w:rsid w:val="3F4F3C54"/>
    <w:rsid w:val="41737236"/>
    <w:rsid w:val="41B67DF5"/>
    <w:rsid w:val="41F306DA"/>
    <w:rsid w:val="427E60E8"/>
    <w:rsid w:val="42C302C0"/>
    <w:rsid w:val="43105F0B"/>
    <w:rsid w:val="44D6795E"/>
    <w:rsid w:val="454E7F44"/>
    <w:rsid w:val="45DB35CC"/>
    <w:rsid w:val="464A2FE6"/>
    <w:rsid w:val="478747C9"/>
    <w:rsid w:val="47941C85"/>
    <w:rsid w:val="487F1CC0"/>
    <w:rsid w:val="4921579A"/>
    <w:rsid w:val="4A791CF4"/>
    <w:rsid w:val="4ADF590D"/>
    <w:rsid w:val="4C157C00"/>
    <w:rsid w:val="4CAA487D"/>
    <w:rsid w:val="4E4E1368"/>
    <w:rsid w:val="4EDF2192"/>
    <w:rsid w:val="4EE32869"/>
    <w:rsid w:val="4F4B3D85"/>
    <w:rsid w:val="51DC20E6"/>
    <w:rsid w:val="538E1C7E"/>
    <w:rsid w:val="53F52FD5"/>
    <w:rsid w:val="54BC5781"/>
    <w:rsid w:val="56F94A4A"/>
    <w:rsid w:val="5870229A"/>
    <w:rsid w:val="58D508A1"/>
    <w:rsid w:val="59175353"/>
    <w:rsid w:val="59A14F04"/>
    <w:rsid w:val="59DD570D"/>
    <w:rsid w:val="5A7D0C9E"/>
    <w:rsid w:val="5A875679"/>
    <w:rsid w:val="5B136654"/>
    <w:rsid w:val="5CD375BA"/>
    <w:rsid w:val="5D5A7075"/>
    <w:rsid w:val="5DD017B6"/>
    <w:rsid w:val="5DE74E3C"/>
    <w:rsid w:val="5E573370"/>
    <w:rsid w:val="5EDB23D4"/>
    <w:rsid w:val="5F166FCB"/>
    <w:rsid w:val="5F476095"/>
    <w:rsid w:val="5F561B6F"/>
    <w:rsid w:val="5F57E5CA"/>
    <w:rsid w:val="5FA025C7"/>
    <w:rsid w:val="61646DB2"/>
    <w:rsid w:val="617D17A4"/>
    <w:rsid w:val="6312766C"/>
    <w:rsid w:val="63CB5DC2"/>
    <w:rsid w:val="65C7316E"/>
    <w:rsid w:val="669C35D3"/>
    <w:rsid w:val="66CD2666"/>
    <w:rsid w:val="68721717"/>
    <w:rsid w:val="68925915"/>
    <w:rsid w:val="6B301415"/>
    <w:rsid w:val="6DA71E62"/>
    <w:rsid w:val="6F1126CC"/>
    <w:rsid w:val="6F6224EC"/>
    <w:rsid w:val="6FBB3D5B"/>
    <w:rsid w:val="6FC37AD4"/>
    <w:rsid w:val="70B6462C"/>
    <w:rsid w:val="718B39D1"/>
    <w:rsid w:val="72EC5D52"/>
    <w:rsid w:val="7302232E"/>
    <w:rsid w:val="73497518"/>
    <w:rsid w:val="749F06E5"/>
    <w:rsid w:val="74A71AF3"/>
    <w:rsid w:val="74C635F2"/>
    <w:rsid w:val="75121D63"/>
    <w:rsid w:val="75443243"/>
    <w:rsid w:val="75C85898"/>
    <w:rsid w:val="75CB411E"/>
    <w:rsid w:val="773329B9"/>
    <w:rsid w:val="77CB1F0C"/>
    <w:rsid w:val="77E0289B"/>
    <w:rsid w:val="78AD1F79"/>
    <w:rsid w:val="78D42AA8"/>
    <w:rsid w:val="7A903C7E"/>
    <w:rsid w:val="7AC11300"/>
    <w:rsid w:val="7D697134"/>
    <w:rsid w:val="7DFF3A1B"/>
    <w:rsid w:val="7E78196F"/>
    <w:rsid w:val="7ECE2EC2"/>
    <w:rsid w:val="7EFD7DC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3"/>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3">
    <w:name w:val="Body Text Indent"/>
    <w:basedOn w:val="1"/>
    <w:next w:val="4"/>
    <w:link w:val="264"/>
    <w:autoRedefine/>
    <w:qFormat/>
    <w:uiPriority w:val="0"/>
    <w:pPr>
      <w:spacing w:line="480" w:lineRule="exact"/>
      <w:ind w:firstLine="480" w:firstLineChars="200"/>
    </w:pPr>
    <w:rPr>
      <w:rFonts w:ascii="宋体" w:hAnsi="宋体"/>
      <w:sz w:val="24"/>
    </w:rPr>
  </w:style>
  <w:style w:type="paragraph" w:styleId="4">
    <w:name w:val="envelope return"/>
    <w:basedOn w:val="1"/>
    <w:autoRedefine/>
    <w:unhideWhenUsed/>
    <w:qFormat/>
    <w:uiPriority w:val="0"/>
    <w:pPr>
      <w:snapToGrid w:val="0"/>
      <w:spacing w:line="360" w:lineRule="auto"/>
    </w:pPr>
    <w:rPr>
      <w:rFonts w:ascii="Arial" w:hAnsi="Arial"/>
      <w:sz w:val="24"/>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2"/>
    <w:autoRedefine/>
    <w:qFormat/>
    <w:uiPriority w:val="0"/>
    <w:pPr>
      <w:shd w:val="clear" w:color="auto" w:fill="000080"/>
    </w:pPr>
  </w:style>
  <w:style w:type="paragraph" w:styleId="21">
    <w:name w:val="annotation text"/>
    <w:basedOn w:val="1"/>
    <w:link w:val="343"/>
    <w:autoRedefine/>
    <w:qFormat/>
    <w:uiPriority w:val="99"/>
    <w:pPr>
      <w:jc w:val="left"/>
    </w:pPr>
  </w:style>
  <w:style w:type="paragraph" w:styleId="22">
    <w:name w:val="Salutation"/>
    <w:basedOn w:val="1"/>
    <w:next w:val="1"/>
    <w:link w:val="297"/>
    <w:autoRedefine/>
    <w:qFormat/>
    <w:uiPriority w:val="0"/>
    <w:rPr>
      <w:rFonts w:ascii="仿宋_GB2312" w:eastAsia="仿宋_GB2312"/>
      <w:sz w:val="28"/>
      <w:szCs w:val="20"/>
    </w:rPr>
  </w:style>
  <w:style w:type="paragraph" w:styleId="23">
    <w:name w:val="Body Text 3"/>
    <w:basedOn w:val="1"/>
    <w:link w:val="329"/>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26"/>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autoRedefine/>
    <w:qFormat/>
    <w:uiPriority w:val="0"/>
    <w:pPr>
      <w:ind w:firstLine="420"/>
    </w:pPr>
    <w:rPr>
      <w:rFonts w:hAnsi="Calibri" w:cs="Times New Roman"/>
      <w:snapToGrid/>
      <w:szCs w:val="20"/>
    </w:rPr>
  </w:style>
  <w:style w:type="paragraph" w:styleId="27">
    <w:name w:val="toc 6"/>
    <w:basedOn w:val="1"/>
    <w:next w:val="1"/>
    <w:autoRedefine/>
    <w:qFormat/>
    <w:uiPriority w:val="0"/>
    <w:pPr>
      <w:ind w:left="2100" w:leftChars="1000"/>
    </w:p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1"/>
    <w:autoRedefine/>
    <w:qFormat/>
    <w:uiPriority w:val="0"/>
    <w:pPr>
      <w:ind w:left="100" w:leftChars="2500"/>
    </w:pPr>
    <w:rPr>
      <w:rFonts w:ascii="宋体"/>
      <w:sz w:val="24"/>
      <w:szCs w:val="21"/>
      <w:lang w:val="zh-CN"/>
    </w:rPr>
  </w:style>
  <w:style w:type="paragraph" w:styleId="39">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1"/>
    <w:autoRedefine/>
    <w:qFormat/>
    <w:uiPriority w:val="0"/>
    <w:rPr>
      <w:lang w:val="zh-CN"/>
    </w:rPr>
  </w:style>
  <w:style w:type="paragraph" w:styleId="41">
    <w:name w:val="Balloon Text"/>
    <w:basedOn w:val="1"/>
    <w:link w:val="188"/>
    <w:autoRedefine/>
    <w:qFormat/>
    <w:uiPriority w:val="0"/>
    <w:rPr>
      <w:sz w:val="18"/>
      <w:szCs w:val="18"/>
    </w:rPr>
  </w:style>
  <w:style w:type="paragraph" w:styleId="42">
    <w:name w:val="footer"/>
    <w:basedOn w:val="1"/>
    <w:link w:val="382"/>
    <w:autoRedefine/>
    <w:qFormat/>
    <w:uiPriority w:val="99"/>
    <w:pPr>
      <w:tabs>
        <w:tab w:val="center" w:pos="4153"/>
        <w:tab w:val="right" w:pos="8306"/>
      </w:tabs>
      <w:snapToGrid w:val="0"/>
      <w:jc w:val="left"/>
    </w:pPr>
    <w:rPr>
      <w:sz w:val="18"/>
      <w:szCs w:val="18"/>
    </w:rPr>
  </w:style>
  <w:style w:type="paragraph" w:styleId="43">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6"/>
    <w:autoRedefine/>
    <w:qFormat/>
    <w:uiPriority w:val="0"/>
    <w:rPr>
      <w:b/>
      <w:bCs/>
    </w:rPr>
  </w:style>
  <w:style w:type="paragraph" w:styleId="62">
    <w:name w:val="Body Text First Indent 2"/>
    <w:basedOn w:val="3"/>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1"/>
    <w:autoRedefine/>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9"/>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10"/>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5"/>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6"/>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7"/>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7"/>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5"/>
    <w:qFormat/>
    <w:uiPriority w:val="0"/>
    <w:pPr>
      <w:tabs>
        <w:tab w:val="left" w:pos="840"/>
      </w:tabs>
      <w:adjustRightInd/>
      <w:ind w:left="840" w:hanging="420"/>
    </w:pPr>
  </w:style>
  <w:style w:type="paragraph" w:customStyle="1" w:styleId="625">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7"/>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5"/>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40"/>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8942</Words>
  <Characters>50976</Characters>
  <Lines>424</Lines>
  <Paragraphs>119</Paragraphs>
  <TotalTime>12</TotalTime>
  <ScaleCrop>false</ScaleCrop>
  <LinksUpToDate>false</LinksUpToDate>
  <CharactersWithSpaces>59799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2024-04-15T06:52:00Z</dcterms:created>
  <dc:creator>玥</dc:creator>
  <cp:lastModifiedBy>玈人说</cp:lastModifiedBy>
  <cp:lastPrinted>2021-12-28T19:06:00Z</cp:lastPrinted>
  <dcterms:modified xsi:type="dcterms:W3CDTF">2024-04-16T02:23:11Z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