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eastAsia="隶书"/>
          <w:color w:val="auto"/>
          <w:sz w:val="44"/>
          <w:highlight w:val="none"/>
        </w:rPr>
      </w:pPr>
      <w:bookmarkStart w:id="236" w:name="_GoBack"/>
      <w:r>
        <w:rPr>
          <w:rFonts w:hint="eastAsia" w:ascii="隶书" w:hAnsi="Arial" w:eastAsia="隶书" w:cs="Arial"/>
          <w:b/>
          <w:color w:val="auto"/>
          <w:spacing w:val="-12"/>
          <w:sz w:val="52"/>
          <w:szCs w:val="52"/>
          <w:highlight w:val="none"/>
        </w:rPr>
        <w:t>绍兴市城市地下市政基础设施普查数据整合入库与建模</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ascii="隶书" w:eastAsia="隶书"/>
          <w:b/>
          <w:color w:val="auto"/>
          <w:sz w:val="28"/>
          <w:szCs w:val="28"/>
          <w:highlight w:val="none"/>
        </w:rPr>
      </w:pPr>
      <w:r>
        <w:rPr>
          <w:rFonts w:hint="eastAsia" w:ascii="隶书" w:eastAsia="隶书"/>
          <w:b/>
          <w:color w:val="auto"/>
          <w:sz w:val="28"/>
          <w:szCs w:val="28"/>
          <w:highlight w:val="none"/>
        </w:rPr>
        <w:t>招标编号:</w:t>
      </w:r>
      <w:r>
        <w:rPr>
          <w:rFonts w:hint="eastAsia" w:ascii="隶书" w:hAnsi="Arial" w:eastAsia="隶书" w:cs="Arial"/>
          <w:b/>
          <w:color w:val="auto"/>
          <w:spacing w:val="-12"/>
          <w:sz w:val="36"/>
          <w:szCs w:val="36"/>
          <w:highlight w:val="none"/>
        </w:rPr>
        <w:t xml:space="preserve"> </w:t>
      </w:r>
      <w:r>
        <w:rPr>
          <w:rFonts w:hint="eastAsia" w:ascii="隶书" w:eastAsia="隶书"/>
          <w:b/>
          <w:color w:val="auto"/>
          <w:sz w:val="28"/>
          <w:szCs w:val="28"/>
          <w:highlight w:val="none"/>
        </w:rPr>
        <w:t>HC2024-03-21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ascii="隶书" w:hAnsi="宋体" w:eastAsia="隶书"/>
                <w:color w:val="auto"/>
                <w:sz w:val="28"/>
                <w:szCs w:val="28"/>
                <w:highlight w:val="none"/>
              </w:rPr>
            </w:pPr>
            <w:r>
              <w:rPr>
                <w:rFonts w:hint="eastAsia" w:ascii="隶书" w:hAnsi="宋体" w:eastAsia="隶书"/>
                <w:color w:val="auto"/>
                <w:sz w:val="28"/>
                <w:szCs w:val="28"/>
                <w:highlight w:val="none"/>
              </w:rPr>
              <w:t>绍兴市自然资源和规划局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二○二四年</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ascii="仿宋_GB2312" w:hAnsi="宋体" w:eastAsia="仿宋_GB2312"/>
          <w:b/>
          <w:color w:val="auto"/>
          <w:sz w:val="36"/>
          <w:szCs w:val="36"/>
          <w:highlight w:val="none"/>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color w:val="auto"/>
          <w:highlight w:val="none"/>
        </w:rPr>
      </w:pPr>
      <w:r>
        <w:rPr>
          <w:rFonts w:hint="eastAsia" w:ascii="仿宋_GB2312" w:hAnsi="宋体" w:eastAsia="仿宋_GB2312"/>
          <w:b/>
          <w:color w:val="auto"/>
          <w:sz w:val="36"/>
          <w:szCs w:val="36"/>
          <w:highlight w:val="none"/>
        </w:rPr>
        <w:t>第六部分    投标文件及其附件格式</w:t>
      </w:r>
    </w:p>
    <w:tbl>
      <w:tblPr>
        <w:tblStyle w:val="63"/>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pageBreakBefore/>
              <w:widowControl/>
              <w:jc w:val="center"/>
              <w:rPr>
                <w:rFonts w:ascii="仿宋_GB2312" w:hAnsi="宋体" w:eastAsia="仿宋_GB2312"/>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pPr w:leftFromText="180" w:rightFromText="180" w:vertAnchor="text" w:horzAnchor="page" w:tblpXSpec="center" w:tblpY="1104"/>
              <w:tblOverlap w:val="never"/>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8220" w:type="dxa"/>
                </w:tcPr>
                <w:p>
                  <w:pPr>
                    <w:rPr>
                      <w:color w:val="auto"/>
                      <w:highlight w:val="none"/>
                    </w:rPr>
                  </w:pPr>
                  <w:r>
                    <w:rPr>
                      <w:rFonts w:hint="eastAsia"/>
                      <w:color w:val="auto"/>
                      <w:highlight w:val="none"/>
                    </w:rPr>
                    <w:t>项目概况：</w:t>
                  </w:r>
                </w:p>
                <w:p>
                  <w:pPr>
                    <w:pStyle w:val="98"/>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rPr>
                    <w:t>绍兴市城市地下市政基础设施普查数据整合入库与建模</w:t>
                  </w:r>
                  <w:r>
                    <w:rPr>
                      <w:rFonts w:hint="eastAsia" w:ascii="仿宋_GB2312" w:hAnsi="新宋体" w:eastAsia="仿宋_GB2312"/>
                      <w:color w:val="auto"/>
                      <w:szCs w:val="24"/>
                      <w:highlight w:val="none"/>
                    </w:rPr>
                    <w:t>招标项目的潜在投标人应在政采云平台（https://www.zcygov.cn/）获取（下载）招标文件，并于</w:t>
                  </w:r>
                  <w:bookmarkStart w:id="0" w:name="OLE_LINK2"/>
                  <w:r>
                    <w:rPr>
                      <w:rFonts w:hint="eastAsia" w:ascii="仿宋_GB2312" w:hAnsi="新宋体" w:eastAsia="仿宋_GB2312"/>
                      <w:color w:val="auto"/>
                      <w:szCs w:val="24"/>
                      <w:highlight w:val="none"/>
                    </w:rPr>
                    <w:t xml:space="preserve">2024年 </w:t>
                  </w:r>
                  <w:r>
                    <w:rPr>
                      <w:rFonts w:hint="eastAsia" w:ascii="仿宋_GB2312" w:hAnsi="新宋体" w:eastAsia="仿宋_GB2312"/>
                      <w:color w:val="auto"/>
                      <w:szCs w:val="24"/>
                      <w:highlight w:val="none"/>
                      <w:lang w:val="en-US" w:eastAsia="zh-CN"/>
                    </w:rPr>
                    <w:t>5</w:t>
                  </w:r>
                  <w:r>
                    <w:rPr>
                      <w:rFonts w:hint="eastAsia" w:ascii="仿宋_GB2312" w:hAnsi="新宋体" w:eastAsia="仿宋_GB2312"/>
                      <w:color w:val="auto"/>
                      <w:szCs w:val="24"/>
                      <w:highlight w:val="none"/>
                    </w:rPr>
                    <w:t xml:space="preserve">月 </w:t>
                  </w:r>
                  <w:r>
                    <w:rPr>
                      <w:rFonts w:hint="eastAsia" w:ascii="仿宋_GB2312" w:hAnsi="新宋体" w:eastAsia="仿宋_GB2312"/>
                      <w:color w:val="auto"/>
                      <w:szCs w:val="24"/>
                      <w:highlight w:val="none"/>
                      <w:lang w:val="en-US" w:eastAsia="zh-CN"/>
                    </w:rPr>
                    <w:t>10</w:t>
                  </w:r>
                  <w:r>
                    <w:rPr>
                      <w:rFonts w:hint="eastAsia" w:ascii="仿宋_GB2312" w:hAnsi="新宋体" w:eastAsia="仿宋_GB2312"/>
                      <w:color w:val="auto"/>
                      <w:szCs w:val="24"/>
                      <w:highlight w:val="none"/>
                    </w:rPr>
                    <w:t>日9</w:t>
                  </w:r>
                  <w:bookmarkEnd w:id="0"/>
                  <w:r>
                    <w:rPr>
                      <w:rFonts w:hint="eastAsia" w:ascii="仿宋_GB2312" w:hAnsi="新宋体" w:eastAsia="仿宋_GB2312"/>
                      <w:color w:val="auto"/>
                      <w:szCs w:val="24"/>
                      <w:highlight w:val="none"/>
                    </w:rPr>
                    <w:t>点00分00秒（北京时间）前递交（上传）投标文件。</w:t>
                  </w:r>
                </w:p>
              </w:tc>
            </w:tr>
          </w:tbl>
          <w:p>
            <w:pPr>
              <w:rPr>
                <w:color w:val="auto"/>
                <w:highlight w:val="none"/>
              </w:rPr>
            </w:pPr>
            <w:r>
              <w:rPr>
                <w:rFonts w:ascii="仿宋_GB2312" w:hAnsi="新宋体" w:eastAsia="仿宋_GB2312"/>
                <w:color w:val="auto"/>
                <w:highlight w:val="none"/>
              </w:rPr>
              <w:br w:type="page"/>
            </w:r>
          </w:p>
          <w:p>
            <w:pPr>
              <w:pStyle w:val="98"/>
              <w:spacing w:afterLines="0" w:line="440" w:lineRule="exact"/>
              <w:ind w:firstLine="0" w:firstLineChars="0"/>
              <w:jc w:val="left"/>
              <w:rPr>
                <w:rFonts w:ascii="仿宋_GB2312" w:hAnsi="新宋体" w:eastAsia="仿宋_GB2312"/>
                <w:b/>
                <w:color w:val="auto"/>
                <w:szCs w:val="24"/>
                <w:highlight w:val="none"/>
              </w:rPr>
            </w:pPr>
          </w:p>
          <w:p>
            <w:pPr>
              <w:pStyle w:val="98"/>
              <w:numPr>
                <w:ilvl w:val="0"/>
                <w:numId w:val="6"/>
              </w:numPr>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项目基本情况</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rPr>
              <w:t>HC2024-03-21</w:t>
            </w:r>
          </w:p>
          <w:p>
            <w:pPr>
              <w:pStyle w:val="98"/>
              <w:spacing w:afterLines="0" w:line="440" w:lineRule="exact"/>
              <w:ind w:right="-508" w:rightChars="-242"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rPr>
              <w:t>绍兴市城市地下市政基础设施普查数据整合入库与建模</w:t>
            </w:r>
            <w:r>
              <w:rPr>
                <w:rStyle w:val="80"/>
                <w:rFonts w:hint="eastAsia" w:ascii="仿宋_GB2312" w:hAnsi="新宋体" w:eastAsia="仿宋_GB2312"/>
                <w:color w:val="auto"/>
                <w:szCs w:val="24"/>
                <w:highlight w:val="none"/>
              </w:rPr>
              <w:footnoteReference w:id="0"/>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采购方式：</w:t>
            </w:r>
            <w:r>
              <w:rPr>
                <w:rFonts w:hint="eastAsia" w:ascii="仿宋_GB2312" w:hAnsi="新宋体" w:eastAsia="仿宋_GB2312"/>
                <w:color w:val="auto"/>
                <w:szCs w:val="24"/>
                <w:highlight w:val="none"/>
              </w:rPr>
              <w:t>公开招标</w:t>
            </w:r>
          </w:p>
          <w:p>
            <w:pPr>
              <w:pStyle w:val="98"/>
              <w:spacing w:afterLines="0" w:line="440" w:lineRule="exact"/>
              <w:ind w:firstLine="482"/>
              <w:rPr>
                <w:rFonts w:hint="eastAsia"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val="en-US" w:eastAsia="zh-CN"/>
              </w:rPr>
              <w:t>965000</w:t>
            </w:r>
          </w:p>
          <w:p>
            <w:pPr>
              <w:pStyle w:val="98"/>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val="en-US" w:eastAsia="zh-CN"/>
              </w:rPr>
              <w:t>965000</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采购需求：</w:t>
            </w:r>
          </w:p>
          <w:p>
            <w:pPr>
              <w:pStyle w:val="98"/>
              <w:spacing w:afterLines="0" w:line="440" w:lineRule="exact"/>
              <w:ind w:firstLine="480"/>
              <w:rPr>
                <w:rFonts w:ascii="仿宋_GB2312" w:hAnsi="新宋体" w:eastAsia="仿宋_GB2312"/>
                <w:color w:val="auto"/>
                <w:sz w:val="22"/>
                <w:szCs w:val="22"/>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标项名称: </w:t>
            </w:r>
            <w:r>
              <w:rPr>
                <w:rFonts w:hint="eastAsia" w:ascii="仿宋_GB2312" w:hAnsi="新宋体" w:eastAsia="仿宋_GB2312"/>
                <w:color w:val="auto"/>
                <w:sz w:val="22"/>
                <w:szCs w:val="22"/>
                <w:highlight w:val="none"/>
              </w:rPr>
              <w:t>绍兴市城市地下市政基础设施普查数据整合入库与建模</w:t>
            </w:r>
            <w:r>
              <w:rPr>
                <w:rFonts w:ascii="仿宋_GB2312" w:hAnsi="新宋体" w:eastAsia="仿宋_GB2312"/>
                <w:color w:val="auto"/>
                <w:sz w:val="22"/>
                <w:szCs w:val="22"/>
                <w:highlight w:val="none"/>
              </w:rPr>
              <w:t> </w:t>
            </w:r>
          </w:p>
          <w:p>
            <w:pPr>
              <w:pStyle w:val="98"/>
              <w:spacing w:afterLines="0" w:line="440" w:lineRule="exact"/>
              <w:ind w:firstLine="482"/>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预算金额（元）:</w:t>
            </w:r>
            <w:r>
              <w:rPr>
                <w:rFonts w:hint="eastAsia" w:ascii="仿宋_GB2312" w:hAnsi="新宋体" w:eastAsia="仿宋_GB2312"/>
                <w:color w:val="auto"/>
                <w:szCs w:val="24"/>
                <w:highlight w:val="none"/>
                <w:lang w:val="en-US" w:eastAsia="zh-CN"/>
              </w:rPr>
              <w:t>965000</w:t>
            </w:r>
          </w:p>
          <w:p>
            <w:pPr>
              <w:pStyle w:val="98"/>
              <w:spacing w:afterLines="0" w:line="440" w:lineRule="exact"/>
              <w:ind w:firstLine="480"/>
              <w:rPr>
                <w:rFonts w:ascii="仿宋_GB2312" w:hAnsi="新宋体" w:eastAsia="仿宋_GB2312"/>
                <w:color w:val="auto"/>
                <w:szCs w:val="24"/>
                <w:highlight w:val="none"/>
              </w:rPr>
            </w:pPr>
            <w:r>
              <w:rPr>
                <w:rFonts w:ascii="仿宋_GB2312" w:hAnsi="新宋体" w:eastAsia="仿宋_GB2312"/>
                <w:color w:val="auto"/>
                <w:szCs w:val="24"/>
                <w:highlight w:val="none"/>
              </w:rPr>
              <w:t>  </w:t>
            </w:r>
            <w:r>
              <w:rPr>
                <w:rFonts w:hint="eastAsia" w:ascii="仿宋_GB2312" w:hAnsi="仿宋" w:eastAsia="仿宋_GB2312" w:cs="仿宋"/>
                <w:bCs/>
                <w:color w:val="auto"/>
                <w:highlight w:val="none"/>
              </w:rPr>
              <w:t>主要内容：</w:t>
            </w:r>
            <w:r>
              <w:rPr>
                <w:rFonts w:hint="eastAsia" w:ascii="仿宋_GB2312" w:hAnsi="新宋体" w:eastAsia="仿宋_GB2312"/>
                <w:color w:val="auto"/>
                <w:szCs w:val="24"/>
                <w:highlight w:val="none"/>
              </w:rPr>
              <w:t>简要规格描述或项目基本概况介绍、用途，详见采购文件。</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本项目接受联合体投标：</w:t>
            </w:r>
            <w:r>
              <w:rPr>
                <w:rFonts w:hint="eastAsia" w:ascii="仿宋_GB2312" w:hAnsi="MS Gothic" w:eastAsia="仿宋_GB2312" w:cs="Arial"/>
                <w:color w:val="auto"/>
                <w:highlight w:val="none"/>
              </w:rPr>
              <w:sym w:font="Wingdings" w:char="00A8"/>
            </w:r>
            <w:r>
              <w:rPr>
                <w:rFonts w:hint="eastAsia" w:ascii="仿宋_GB2312" w:hAnsi="新宋体" w:eastAsia="仿宋_GB2312"/>
                <w:b/>
                <w:color w:val="auto"/>
                <w:szCs w:val="24"/>
                <w:highlight w:val="none"/>
              </w:rPr>
              <w:t>是，</w:t>
            </w:r>
            <w:r>
              <w:rPr>
                <w:rFonts w:hint="eastAsia" w:ascii="仿宋_GB2312" w:hAnsi="MS Gothic" w:eastAsia="仿宋_GB2312" w:cs="Arial"/>
                <w:color w:val="auto"/>
                <w:highlight w:val="none"/>
              </w:rPr>
              <w:sym w:font="Wingdings" w:char="00FE"/>
            </w:r>
            <w:r>
              <w:rPr>
                <w:rFonts w:hint="eastAsia" w:ascii="仿宋_GB2312" w:hAnsi="新宋体" w:eastAsia="仿宋_GB2312"/>
                <w:b/>
                <w:color w:val="auto"/>
                <w:szCs w:val="24"/>
                <w:highlight w:val="none"/>
              </w:rPr>
              <w:t>否。</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8"/>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8"/>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8"/>
              <w:spacing w:afterLines="0" w:line="440" w:lineRule="exact"/>
              <w:ind w:firstLine="420"/>
              <w:rPr>
                <w:rFonts w:ascii="仿宋_GB2312" w:hAnsi="新宋体" w:eastAsia="仿宋_GB2312"/>
                <w:color w:val="auto"/>
                <w:szCs w:val="24"/>
                <w:highlight w:val="none"/>
              </w:rPr>
            </w:pPr>
            <w:sdt>
              <w:sdtPr>
                <w:rPr>
                  <w:rFonts w:ascii="仿宋_GB2312" w:hAnsi="仿宋" w:eastAsia="仿宋_GB2312" w:cs="Arial"/>
                  <w:color w:val="auto"/>
                  <w:sz w:val="21"/>
                  <w:szCs w:val="21"/>
                  <w:highlight w:val="none"/>
                </w:rPr>
                <w:id w:val="725337177"/>
              </w:sdtPr>
              <w:sdtEndPr>
                <w:rPr>
                  <w:rFonts w:ascii="MS Gothic" w:hAnsi="MS Gothic" w:eastAsia="MS Gothic" w:cs="Arial"/>
                  <w:color w:val="auto"/>
                  <w:sz w:val="24"/>
                  <w:szCs w:val="20"/>
                  <w:highlight w:val="none"/>
                </w:rPr>
              </w:sdtEndPr>
              <w:sdtContent>
                <w:sdt>
                  <w:sdtPr>
                    <w:rPr>
                      <w:rFonts w:ascii="仿宋_GB2312" w:hAnsi="仿宋" w:eastAsia="仿宋_GB2312" w:cs="Arial"/>
                      <w:color w:val="auto"/>
                      <w:szCs w:val="21"/>
                      <w:highlight w:val="none"/>
                    </w:rPr>
                    <w:id w:val="743224"/>
                  </w:sdtPr>
                  <w:sdtEndPr>
                    <w:rPr>
                      <w:rFonts w:hint="eastAsia" w:ascii="仿宋_GB2312" w:hAnsi="仿宋" w:eastAsia="仿宋_GB2312" w:cs="Arial"/>
                      <w:color w:val="auto"/>
                      <w:szCs w:val="21"/>
                      <w:highlight w:val="none"/>
                    </w:rPr>
                  </w:sdtEndPr>
                  <w:sdtContent>
                    <w:r>
                      <w:rPr>
                        <w:rFonts w:hint="eastAsia" w:ascii="仿宋_GB2312" w:hAnsi="仿宋" w:eastAsia="仿宋_GB2312" w:cs="Arial"/>
                        <w:color w:val="auto"/>
                        <w:sz w:val="21"/>
                        <w:szCs w:val="21"/>
                        <w:highlight w:val="none"/>
                      </w:rPr>
                      <w:t xml:space="preserve">  </w:t>
                    </w:r>
                    <w:r>
                      <w:rPr>
                        <w:rFonts w:hint="eastAsia" w:ascii="仿宋_GB2312" w:hAnsi="MS Gothic" w:eastAsia="仿宋_GB2312" w:cs="Arial"/>
                        <w:color w:val="auto"/>
                        <w:highlight w:val="none"/>
                      </w:rPr>
                      <w:sym w:font="Wingdings" w:char="F0FE"/>
                    </w:r>
                  </w:sdtContent>
                </w:sdt>
              </w:sdtContent>
            </w:sdt>
            <w:r>
              <w:rPr>
                <w:rFonts w:hint="eastAsia" w:ascii="仿宋_GB2312" w:hAnsi="仿宋" w:eastAsia="仿宋_GB2312"/>
                <w:color w:val="auto"/>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t xml:space="preserve"> </w:t>
                </w:r>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785" w:firstLineChars="374"/>
              <w:rPr>
                <w:rFonts w:ascii="仿宋_GB2312" w:hAnsi="仿宋" w:eastAsia="仿宋_GB2312"/>
                <w:color w:val="auto"/>
                <w:sz w:val="24"/>
                <w:highlight w:val="none"/>
              </w:rPr>
            </w:pPr>
            <w:sdt>
              <w:sdtPr>
                <w:rPr>
                  <w:rFonts w:ascii="仿宋_GB2312" w:hAnsi="仿宋" w:eastAsia="仿宋_GB2312" w:cs="Arial"/>
                  <w:color w:val="auto"/>
                  <w:szCs w:val="21"/>
                  <w:highlight w:val="none"/>
                </w:rPr>
                <w:id w:val="743226"/>
              </w:sdtPr>
              <w:sdtEndPr>
                <w:rPr>
                  <w:rFonts w:hint="eastAsia" w:ascii="仿宋_GB2312" w:hAnsi="仿宋" w:eastAsia="仿宋_GB2312" w:cs="Arial"/>
                  <w:color w:val="auto"/>
                  <w:szCs w:val="21"/>
                  <w:highlight w:val="none"/>
                </w:rPr>
              </w:sdtEndPr>
              <w:sdtContent>
                <w:sdt>
                  <w:sdtPr>
                    <w:rPr>
                      <w:rFonts w:ascii="仿宋_GB2312" w:hAnsi="仿宋" w:eastAsia="仿宋_GB2312" w:cs="Arial"/>
                      <w:color w:val="auto"/>
                      <w:kern w:val="0"/>
                      <w:sz w:val="24"/>
                      <w:highlight w:val="none"/>
                    </w:rPr>
                    <w:id w:val="-948692587"/>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szCs w:val="21"/>
                        <w:highlight w:val="none"/>
                      </w:rPr>
                      <w:t xml:space="preserve"> </w:t>
                    </w:r>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90969325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253587072"/>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9818050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spacing w:line="360" w:lineRule="auto"/>
              <w:jc w:val="left"/>
              <w:rPr>
                <w:rFonts w:ascii="仿宋_GB2312" w:hAnsi="新宋体" w:eastAsia="仿宋_GB2312"/>
                <w:color w:val="auto"/>
                <w:sz w:val="22"/>
                <w:szCs w:val="28"/>
                <w:highlight w:val="none"/>
              </w:rPr>
            </w:pPr>
            <w:r>
              <w:rPr>
                <w:rFonts w:hint="eastAsia" w:ascii="仿宋_GB2312" w:hAnsi="新宋体" w:eastAsia="仿宋_GB2312"/>
                <w:color w:val="auto"/>
                <w:sz w:val="22"/>
                <w:szCs w:val="28"/>
                <w:highlight w:val="none"/>
              </w:rPr>
              <w:t>4.本项目的特定资格要求：</w:t>
            </w:r>
            <w:r>
              <w:rPr>
                <w:rFonts w:hint="eastAsia" w:ascii="仿宋" w:hAnsi="仿宋" w:eastAsia="仿宋" w:cs="仿宋"/>
                <w:b/>
                <w:bCs/>
                <w:color w:val="auto"/>
                <w:sz w:val="22"/>
                <w:szCs w:val="28"/>
                <w:highlight w:val="none"/>
              </w:rPr>
              <w:t>具有乙级及以上测绘资质（专业范围需同时具有</w:t>
            </w:r>
            <w:r>
              <w:rPr>
                <w:rFonts w:hint="eastAsia" w:ascii="仿宋" w:hAnsi="仿宋" w:eastAsia="仿宋" w:cs="仿宋"/>
                <w:b/>
                <w:bCs/>
                <w:color w:val="auto"/>
                <w:spacing w:val="8"/>
                <w:kern w:val="0"/>
                <w:sz w:val="22"/>
                <w:szCs w:val="28"/>
                <w:highlight w:val="none"/>
              </w:rPr>
              <w:t>工程测量、地理信息系统工程）</w:t>
            </w:r>
            <w:r>
              <w:rPr>
                <w:rFonts w:hint="eastAsia" w:ascii="仿宋" w:hAnsi="仿宋" w:eastAsia="仿宋" w:cs="仿宋"/>
                <w:b/>
                <w:bCs/>
                <w:color w:val="auto"/>
                <w:sz w:val="22"/>
                <w:szCs w:val="28"/>
                <w:highlight w:val="none"/>
              </w:rPr>
              <w:t>的企事业单位。</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时间：</w:t>
            </w:r>
            <w:r>
              <w:rPr>
                <w:rFonts w:hint="eastAsia" w:ascii="仿宋_GB2312" w:hAnsi="仿宋" w:eastAsia="仿宋_GB2312" w:cs="仿宋"/>
                <w:color w:val="auto"/>
                <w:sz w:val="24"/>
                <w:highlight w:val="none"/>
              </w:rPr>
              <w:t>/至</w:t>
            </w:r>
            <w:r>
              <w:rPr>
                <w:rFonts w:hint="eastAsia" w:ascii="仿宋_GB2312" w:hAnsi="仿宋" w:eastAsia="仿宋_GB2312" w:cs="仿宋"/>
                <w:color w:val="auto"/>
                <w:sz w:val="24"/>
                <w:highlight w:val="none"/>
                <w:u w:val="single"/>
              </w:rPr>
              <w:t xml:space="preserve">2024年 </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 xml:space="preserve"> 月 </w:t>
            </w:r>
            <w:r>
              <w:rPr>
                <w:rFonts w:hint="eastAsia" w:ascii="仿宋_GB2312" w:hAnsi="仿宋" w:eastAsia="仿宋_GB2312" w:cs="仿宋"/>
                <w:color w:val="auto"/>
                <w:sz w:val="24"/>
                <w:highlight w:val="none"/>
                <w:u w:val="single"/>
                <w:lang w:val="en-US" w:eastAsia="zh-CN"/>
              </w:rPr>
              <w:t>10</w:t>
            </w:r>
            <w:r>
              <w:rPr>
                <w:rFonts w:hint="eastAsia" w:ascii="仿宋_GB2312" w:hAnsi="仿宋" w:eastAsia="仿宋_GB2312" w:cs="仿宋"/>
                <w:color w:val="auto"/>
                <w:sz w:val="24"/>
                <w:highlight w:val="none"/>
                <w:u w:val="single"/>
              </w:rPr>
              <w:t xml:space="preserve"> 日</w:t>
            </w:r>
            <w:r>
              <w:rPr>
                <w:rFonts w:hint="eastAsia" w:ascii="仿宋_GB2312" w:hAnsi="仿宋" w:eastAsia="仿宋_GB2312" w:cs="仿宋"/>
                <w:color w:val="auto"/>
                <w:sz w:val="24"/>
                <w:highlight w:val="none"/>
              </w:rPr>
              <w:t>，每天上午00:00至12:00 ，下午12:00至23:59（北京时间，线上获取法定节假日均可，线下获取文件法定节假日除外）</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方式：</w:t>
            </w:r>
            <w:r>
              <w:rPr>
                <w:rFonts w:hint="eastAsia" w:ascii="仿宋_GB2312" w:hAnsi="仿宋" w:eastAsia="仿宋_GB2312"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售价（元）：</w:t>
            </w:r>
            <w:r>
              <w:rPr>
                <w:rFonts w:hint="eastAsia" w:ascii="仿宋_GB2312" w:hAnsi="仿宋" w:eastAsia="仿宋_GB2312" w:cs="仿宋"/>
                <w:color w:val="auto"/>
                <w:sz w:val="24"/>
                <w:highlight w:val="none"/>
              </w:rPr>
              <w:t xml:space="preserve">0 </w:t>
            </w:r>
            <w:r>
              <w:rPr>
                <w:rFonts w:hint="eastAsia" w:ascii="仿宋_GB2312" w:hAnsi="仿宋" w:eastAsia="仿宋_GB2312" w:cs="仿宋"/>
                <w:color w:val="auto"/>
                <w:sz w:val="24"/>
                <w:highlight w:val="none"/>
              </w:rPr>
              <w:tab/>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spacing w:line="440" w:lineRule="exact"/>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提交投标文件截止时间：</w:t>
            </w:r>
            <w:r>
              <w:rPr>
                <w:rFonts w:hint="eastAsia" w:ascii="仿宋_GB2312" w:hAnsi="仿宋" w:eastAsia="仿宋_GB2312" w:cs="仿宋"/>
                <w:color w:val="auto"/>
                <w:sz w:val="24"/>
                <w:highlight w:val="none"/>
                <w:u w:val="single"/>
              </w:rPr>
              <w:t xml:space="preserve"> 2024年 </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月</w:t>
            </w:r>
            <w:r>
              <w:rPr>
                <w:rFonts w:hint="eastAsia" w:ascii="仿宋_GB2312" w:hAnsi="仿宋" w:eastAsia="仿宋_GB2312" w:cs="仿宋"/>
                <w:color w:val="auto"/>
                <w:sz w:val="24"/>
                <w:highlight w:val="none"/>
                <w:u w:val="single"/>
                <w:lang w:val="en-US" w:eastAsia="zh-CN"/>
              </w:rPr>
              <w:t>10</w:t>
            </w:r>
            <w:r>
              <w:rPr>
                <w:rFonts w:hint="eastAsia" w:ascii="仿宋_GB2312" w:hAnsi="仿宋" w:eastAsia="仿宋_GB2312" w:cs="仿宋"/>
                <w:color w:val="auto"/>
                <w:sz w:val="24"/>
                <w:highlight w:val="none"/>
                <w:u w:val="single"/>
              </w:rPr>
              <w:t>日9 点00 分00秒</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（北京时间）</w:t>
            </w:r>
          </w:p>
          <w:p>
            <w:pPr>
              <w:spacing w:line="44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投标地点（网址）：</w:t>
            </w:r>
            <w:r>
              <w:rPr>
                <w:rFonts w:hint="eastAsia" w:ascii="仿宋_GB2312" w:hAnsi="仿宋" w:eastAsia="仿宋_GB2312" w:cs="仿宋"/>
                <w:color w:val="auto"/>
                <w:sz w:val="24"/>
                <w:highlight w:val="none"/>
              </w:rPr>
              <w:t xml:space="preserve">政采云平台（https://www.zcygov.cn/） </w:t>
            </w:r>
          </w:p>
          <w:p>
            <w:pPr>
              <w:spacing w:line="440" w:lineRule="exact"/>
              <w:ind w:firstLine="482" w:firstLineChars="200"/>
              <w:rPr>
                <w:rFonts w:ascii="仿宋_GB2312" w:hAnsi="仿宋" w:eastAsia="仿宋_GB2312" w:cs="仿宋"/>
                <w:bCs/>
                <w:color w:val="auto"/>
                <w:sz w:val="24"/>
                <w:highlight w:val="none"/>
                <w:u w:val="single"/>
              </w:rPr>
            </w:pPr>
            <w:r>
              <w:rPr>
                <w:rFonts w:hint="eastAsia" w:ascii="仿宋_GB2312" w:hAnsi="仿宋" w:eastAsia="仿宋_GB2312" w:cs="仿宋"/>
                <w:b/>
                <w:color w:val="auto"/>
                <w:sz w:val="24"/>
                <w:highlight w:val="none"/>
              </w:rPr>
              <w:t>开标时间：</w:t>
            </w:r>
            <w:r>
              <w:rPr>
                <w:rFonts w:hint="eastAsia" w:ascii="仿宋_GB2312" w:hAnsi="仿宋" w:eastAsia="仿宋_GB2312" w:cs="仿宋"/>
                <w:color w:val="auto"/>
                <w:sz w:val="24"/>
                <w:highlight w:val="none"/>
                <w:u w:val="single"/>
              </w:rPr>
              <w:t xml:space="preserve">2024年 </w:t>
            </w:r>
            <w:r>
              <w:rPr>
                <w:rFonts w:hint="eastAsia" w:ascii="仿宋_GB2312" w:hAnsi="仿宋" w:eastAsia="仿宋_GB2312" w:cs="仿宋"/>
                <w:color w:val="auto"/>
                <w:sz w:val="24"/>
                <w:highlight w:val="none"/>
                <w:u w:val="single"/>
                <w:lang w:val="en-US" w:eastAsia="zh-CN"/>
              </w:rPr>
              <w:t>5</w:t>
            </w:r>
            <w:r>
              <w:rPr>
                <w:rFonts w:hint="eastAsia" w:ascii="仿宋_GB2312" w:hAnsi="仿宋" w:eastAsia="仿宋_GB2312" w:cs="仿宋"/>
                <w:color w:val="auto"/>
                <w:sz w:val="24"/>
                <w:highlight w:val="none"/>
                <w:u w:val="single"/>
              </w:rPr>
              <w:t xml:space="preserve"> 月 </w:t>
            </w:r>
            <w:r>
              <w:rPr>
                <w:rFonts w:hint="eastAsia" w:ascii="仿宋_GB2312" w:hAnsi="仿宋" w:eastAsia="仿宋_GB2312" w:cs="仿宋"/>
                <w:color w:val="auto"/>
                <w:sz w:val="24"/>
                <w:highlight w:val="none"/>
                <w:u w:val="single"/>
                <w:lang w:val="en-US" w:eastAsia="zh-CN"/>
              </w:rPr>
              <w:t>10</w:t>
            </w:r>
            <w:r>
              <w:rPr>
                <w:rFonts w:hint="eastAsia" w:ascii="仿宋_GB2312" w:hAnsi="仿宋" w:eastAsia="仿宋_GB2312" w:cs="仿宋"/>
                <w:color w:val="auto"/>
                <w:sz w:val="24"/>
                <w:highlight w:val="none"/>
                <w:u w:val="single"/>
              </w:rPr>
              <w:t xml:space="preserve"> 日9 点00 分00秒</w:t>
            </w:r>
            <w:r>
              <w:rPr>
                <w:rFonts w:hint="eastAsia" w:ascii="仿宋_GB2312" w:hAnsi="仿宋" w:eastAsia="仿宋_GB2312" w:cs="仿宋"/>
                <w:bCs/>
                <w:color w:val="auto"/>
                <w:sz w:val="24"/>
                <w:highlight w:val="none"/>
                <w:u w:val="single"/>
              </w:rPr>
              <w:t xml:space="preserve">  </w:t>
            </w:r>
          </w:p>
          <w:p>
            <w:pPr>
              <w:pStyle w:val="98"/>
              <w:spacing w:afterLines="0" w:line="440" w:lineRule="exact"/>
              <w:ind w:firstLine="482"/>
              <w:rPr>
                <w:rFonts w:ascii="仿宋_GB2312" w:hAnsi="新宋体" w:eastAsia="仿宋_GB2312"/>
                <w:color w:val="auto"/>
                <w:szCs w:val="24"/>
                <w:highlight w:val="none"/>
              </w:rPr>
            </w:pPr>
            <w:r>
              <w:rPr>
                <w:rFonts w:hint="eastAsia" w:ascii="仿宋_GB2312" w:hAnsi="仿宋" w:eastAsia="仿宋_GB2312" w:cs="仿宋"/>
                <w:b/>
                <w:color w:val="auto"/>
                <w:highlight w:val="none"/>
              </w:rPr>
              <w:t>开标地点（网址）：</w:t>
            </w:r>
            <w:r>
              <w:rPr>
                <w:rFonts w:hint="eastAsia" w:ascii="仿宋_GB2312" w:hAnsi="仿宋" w:eastAsia="仿宋_GB2312" w:cs="仿宋"/>
                <w:color w:val="auto"/>
                <w:highlight w:val="none"/>
              </w:rPr>
              <w:t>政采云平台（https://www.zcygov.cn/）</w:t>
            </w:r>
            <w:r>
              <w:rPr>
                <w:rFonts w:ascii="仿宋_GB2312" w:hAnsi="新宋体" w:eastAsia="仿宋_GB2312"/>
                <w:color w:val="auto"/>
                <w:szCs w:val="24"/>
                <w:highlight w:val="none"/>
              </w:rPr>
              <w:t>  </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highlight w:val="none"/>
              </w:rPr>
              <w:t>，视为投标文件撤回；⑩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8"/>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1.采购人信息</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名称：绍兴市自然资源和规划局</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地址：绍兴市越城区解放大道99号</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项目联系人（询问）：黄</w:t>
            </w:r>
            <w:r>
              <w:rPr>
                <w:rFonts w:hint="eastAsia" w:ascii="仿宋_GB2312" w:hAnsi="新宋体" w:eastAsia="仿宋_GB2312"/>
                <w:color w:val="auto"/>
                <w:szCs w:val="24"/>
                <w:highlight w:val="none"/>
                <w:lang w:eastAsia="zh-CN"/>
              </w:rPr>
              <w:t>江</w:t>
            </w:r>
          </w:p>
          <w:p>
            <w:pPr>
              <w:pStyle w:val="98"/>
              <w:spacing w:afterLines="0" w:line="440" w:lineRule="exact"/>
              <w:ind w:firstLine="480"/>
              <w:rPr>
                <w:rFonts w:hint="default" w:ascii="仿宋_GB2312" w:hAnsi="新宋体" w:eastAsia="仿宋_GB2312"/>
                <w:color w:val="auto"/>
                <w:szCs w:val="24"/>
                <w:highlight w:val="none"/>
                <w:lang w:val="en-US" w:eastAsia="zh-CN"/>
              </w:rPr>
            </w:pPr>
            <w:r>
              <w:rPr>
                <w:rFonts w:hint="eastAsia" w:ascii="仿宋_GB2312" w:hAnsi="新宋体" w:eastAsia="仿宋_GB2312"/>
                <w:color w:val="auto"/>
                <w:szCs w:val="24"/>
                <w:highlight w:val="none"/>
              </w:rPr>
              <w:t>项目联系方式（询问）：</w:t>
            </w:r>
            <w:r>
              <w:rPr>
                <w:rFonts w:hint="eastAsia" w:ascii="仿宋_GB2312" w:hAnsi="新宋体" w:eastAsia="仿宋_GB2312"/>
                <w:color w:val="auto"/>
                <w:szCs w:val="24"/>
                <w:highlight w:val="none"/>
                <w:lang w:val="en-US" w:eastAsia="zh-CN"/>
              </w:rPr>
              <w:t>0575-88051583</w:t>
            </w:r>
          </w:p>
          <w:p>
            <w:pPr>
              <w:pStyle w:val="98"/>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质疑联系人：</w:t>
            </w:r>
            <w:r>
              <w:rPr>
                <w:rFonts w:hint="eastAsia" w:ascii="仿宋_GB2312" w:hAnsi="新宋体" w:eastAsia="仿宋_GB2312"/>
                <w:color w:val="auto"/>
                <w:szCs w:val="24"/>
                <w:highlight w:val="none"/>
                <w:lang w:eastAsia="zh-CN"/>
              </w:rPr>
              <w:t>裘国浩</w:t>
            </w:r>
          </w:p>
          <w:p>
            <w:pPr>
              <w:pStyle w:val="98"/>
              <w:spacing w:afterLines="0" w:line="440" w:lineRule="exact"/>
              <w:ind w:firstLine="480"/>
              <w:rPr>
                <w:rFonts w:hint="default" w:ascii="仿宋_GB2312" w:hAnsi="新宋体" w:eastAsia="仿宋_GB2312"/>
                <w:color w:val="auto"/>
                <w:szCs w:val="24"/>
                <w:highlight w:val="none"/>
                <w:lang w:val="en-US"/>
              </w:rPr>
            </w:pPr>
            <w:r>
              <w:rPr>
                <w:rFonts w:hint="eastAsia" w:ascii="仿宋_GB2312" w:hAnsi="新宋体" w:eastAsia="仿宋_GB2312"/>
                <w:color w:val="auto"/>
                <w:szCs w:val="24"/>
                <w:highlight w:val="none"/>
              </w:rPr>
              <w:t>质疑联系方式：</w:t>
            </w:r>
            <w:r>
              <w:rPr>
                <w:rFonts w:hint="eastAsia" w:ascii="仿宋_GB2312" w:hAnsi="新宋体" w:eastAsia="仿宋_GB2312"/>
                <w:color w:val="auto"/>
                <w:szCs w:val="24"/>
                <w:highlight w:val="none"/>
                <w:lang w:val="en-US" w:eastAsia="zh-CN"/>
              </w:rPr>
              <w:t>0575-85112606</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2.采购代理机构信息 </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名称：浙江华诚工程管理有限公司</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地址：绍兴市越城区罗东公寓22幢2楼203室</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项目联系人（询问）：黄雅萍</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项目联系方式（询问）：13735205277</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质疑联系人：徐进</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质疑联系方式：13675759208　　　　</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3.同级政府采购监督管理部门 </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ascii="仿宋_GB2312" w:hAnsi="新宋体" w:eastAsia="仿宋_GB2312"/>
                <w:color w:val="auto"/>
                <w:szCs w:val="24"/>
                <w:highlight w:val="none"/>
              </w:rPr>
              <w:t>       </w:t>
            </w:r>
          </w:p>
          <w:p>
            <w:pPr>
              <w:pStyle w:val="98"/>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8"/>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ascii="仿宋_GB2312" w:hAnsi="新宋体" w:eastAsia="仿宋_GB2312"/>
                <w:color w:val="auto"/>
                <w:szCs w:val="24"/>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若对项目采购电子交易系统操作有疑问，可登录政采云（https://www.zcygov.cn/），点击右侧咨询小采，获取采小蜜智能服务管家帮助，或拨打政采云服务热线</w:t>
            </w:r>
            <w:r>
              <w:rPr>
                <w:rFonts w:ascii="仿宋_GB2312" w:hAnsi="新宋体" w:eastAsia="仿宋_GB2312"/>
                <w:color w:val="auto"/>
                <w:szCs w:val="24"/>
                <w:highlight w:val="none"/>
              </w:rPr>
              <w:t>95763</w:t>
            </w:r>
            <w:r>
              <w:rPr>
                <w:rFonts w:hint="eastAsia" w:ascii="仿宋_GB2312" w:hAnsi="新宋体" w:eastAsia="仿宋_GB2312"/>
                <w:color w:val="auto"/>
                <w:szCs w:val="24"/>
                <w:highlight w:val="none"/>
              </w:rPr>
              <w:t>获取热线服务帮助。</w:t>
            </w:r>
          </w:p>
          <w:p>
            <w:pPr>
              <w:pStyle w:val="98"/>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1"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 xml:space="preserve"> 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269827233"/>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1377390262"/>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332680127"/>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00A8"/>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r>
              <w:rPr>
                <w:rFonts w:hint="eastAsia" w:ascii="仿宋_GB2312" w:hAnsi="仿宋" w:eastAsia="仿宋_GB2312" w:cs="Arial"/>
                <w:color w:val="auto"/>
                <w:kern w:val="0"/>
                <w:sz w:val="24"/>
                <w:highlight w:val="none"/>
              </w:rPr>
              <w:sym w:font="Wingdings" w:char="00A8"/>
            </w:r>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s="仿宋"/>
                <w:color w:val="auto"/>
                <w:sz w:val="24"/>
                <w:highlight w:val="none"/>
              </w:rPr>
            </w:pPr>
            <w:sdt>
              <w:sdtPr>
                <w:rPr>
                  <w:rFonts w:hint="eastAsia" w:ascii="仿宋_GB2312" w:hAnsi="仿宋" w:eastAsia="仿宋_GB2312" w:cs="Arial"/>
                  <w:color w:val="auto"/>
                  <w:kern w:val="0"/>
                  <w:sz w:val="24"/>
                  <w:highlight w:val="none"/>
                </w:rPr>
                <w:id w:val="743227"/>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F0FE"/>
                </w:r>
              </w:sdtContent>
            </w:sdt>
            <w:r>
              <w:rPr>
                <w:rFonts w:hint="eastAsia" w:ascii="仿宋_GB2312" w:hAnsi="仿宋" w:eastAsia="仿宋_GB2312" w:cs="仿宋"/>
                <w:color w:val="auto"/>
                <w:sz w:val="24"/>
                <w:highlight w:val="none"/>
              </w:rPr>
              <w:t xml:space="preserve"> A无方案讲解演示。</w:t>
            </w:r>
          </w:p>
          <w:p>
            <w:pPr>
              <w:spacing w:line="440" w:lineRule="exact"/>
              <w:rPr>
                <w:rFonts w:ascii="仿宋_GB2312" w:hAnsi="仿宋" w:eastAsia="仿宋_GB2312" w:cs="仿宋"/>
                <w:b/>
                <w:color w:val="auto"/>
                <w:sz w:val="24"/>
                <w:highlight w:val="none"/>
              </w:rPr>
            </w:pP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33349208"/>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1436666673"/>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A8"/>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124524764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575819893"/>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00A8"/>
                    </w:r>
                  </w:sdtContent>
                </w:sdt>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sym w:font="Wingdings" w:char="00A8"/>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56535193"/>
                    <w:showingPlcHdr/>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rFonts w:ascii="仿宋_GB2312" w:hAnsi="仿宋" w:eastAsia="仿宋_GB2312" w:cs="Arial"/>
                <w:color w:val="auto"/>
                <w:kern w:val="0"/>
                <w:sz w:val="24"/>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信息传输业  </w:t>
            </w:r>
            <w:r>
              <w:rPr>
                <w:rFonts w:hint="eastAsia" w:ascii="仿宋_GB2312" w:hAnsi="仿宋" w:eastAsia="仿宋_GB2312" w:cs="Arial"/>
                <w:color w:val="auto"/>
                <w:kern w:val="0"/>
                <w:sz w:val="24"/>
                <w:highlight w:val="none"/>
              </w:rPr>
              <w:t>行业；</w:t>
            </w:r>
          </w:p>
          <w:p>
            <w:pPr>
              <w:snapToGrid w:val="0"/>
              <w:spacing w:line="360" w:lineRule="auto"/>
              <w:rPr>
                <w:color w:val="auto"/>
                <w:highlight w:val="none"/>
              </w:rPr>
            </w:pPr>
            <w:r>
              <w:rPr>
                <w:rFonts w:hint="eastAsia" w:ascii="仿宋_GB2312" w:hAnsi="仿宋" w:eastAsia="仿宋_GB2312" w:cs="Arial"/>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14</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扰乱公共资源交易市场秩序行为：</w:t>
            </w:r>
          </w:p>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15</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16</w:t>
            </w:r>
          </w:p>
        </w:tc>
        <w:tc>
          <w:tcPr>
            <w:tcW w:w="8370" w:type="dxa"/>
            <w:gridSpan w:val="2"/>
            <w:vAlign w:val="center"/>
          </w:tcPr>
          <w:p>
            <w:pPr>
              <w:snapToGrid w:val="0"/>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 xml:space="preserve">17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18</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1178545159"/>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00A8"/>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1996138926"/>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19</w:t>
            </w:r>
          </w:p>
        </w:tc>
        <w:tc>
          <w:tcPr>
            <w:tcW w:w="8370" w:type="dxa"/>
            <w:gridSpan w:val="2"/>
            <w:vAlign w:val="center"/>
          </w:tcPr>
          <w:p>
            <w:pPr>
              <w:spacing w:line="440" w:lineRule="exact"/>
              <w:rPr>
                <w:rFonts w:ascii="仿宋_GB2312" w:hAnsi="宋体" w:eastAsia="仿宋_GB2312" w:cs="宋体"/>
                <w:snapToGrid w:val="0"/>
                <w:color w:val="auto"/>
                <w:kern w:val="28"/>
                <w:sz w:val="24"/>
                <w:highlight w:val="none"/>
              </w:rPr>
            </w:pPr>
            <w:r>
              <w:rPr>
                <w:rFonts w:hint="eastAsia" w:ascii="仿宋_GB2312" w:hAnsi="宋体" w:eastAsia="仿宋_GB2312"/>
                <w:b/>
                <w:color w:val="auto"/>
                <w:sz w:val="24"/>
                <w:highlight w:val="none"/>
              </w:rPr>
              <w:t>采购代理服务费：</w:t>
            </w:r>
            <w:r>
              <w:rPr>
                <w:rFonts w:hint="eastAsia" w:ascii="仿宋_GB2312" w:hAnsi="宋体" w:eastAsia="仿宋_GB2312" w:cs="宋体"/>
                <w:snapToGrid w:val="0"/>
                <w:color w:val="auto"/>
                <w:kern w:val="28"/>
                <w:sz w:val="24"/>
                <w:highlight w:val="none"/>
              </w:rPr>
              <w:t>中标人须向招标代理机构按如下标准和规定交纳代理服务费：</w:t>
            </w:r>
          </w:p>
          <w:p>
            <w:pPr>
              <w:spacing w:line="440" w:lineRule="exact"/>
              <w:rPr>
                <w:rFonts w:ascii="仿宋_GB2312" w:hAnsi="宋体" w:eastAsia="仿宋_GB2312" w:cs="宋体"/>
                <w:snapToGrid w:val="0"/>
                <w:color w:val="auto"/>
                <w:kern w:val="28"/>
                <w:sz w:val="24"/>
                <w:highlight w:val="none"/>
              </w:rPr>
            </w:pPr>
            <w:r>
              <w:rPr>
                <w:rFonts w:hint="eastAsia" w:ascii="仿宋_GB2312" w:hAnsi="宋体" w:eastAsia="仿宋_GB2312" w:cs="宋体"/>
                <w:snapToGrid w:val="0"/>
                <w:color w:val="auto"/>
                <w:kern w:val="28"/>
                <w:sz w:val="24"/>
                <w:highlight w:val="none"/>
              </w:rPr>
              <w:t>（1）以中标通知中确定的中标总金额作为服务费的计算基数，收费标准参考《招标代理服务收费管理暂行办法》（计价格[2002]1980号），预算价在500万元及以上项目0-500万元区间按单个项目中标价计算代理收费基数×（1-中标下浮率30% ）收取。</w:t>
            </w:r>
          </w:p>
          <w:p>
            <w:pPr>
              <w:spacing w:line="440" w:lineRule="exact"/>
              <w:rPr>
                <w:rFonts w:ascii="仿宋_GB2312" w:hAnsi="仿宋" w:eastAsia="仿宋_GB2312" w:cs="仿宋"/>
                <w:b/>
                <w:color w:val="auto"/>
                <w:kern w:val="0"/>
                <w:sz w:val="24"/>
                <w:szCs w:val="21"/>
                <w:highlight w:val="none"/>
              </w:rPr>
            </w:pPr>
            <w:r>
              <w:rPr>
                <w:rFonts w:hint="eastAsia" w:ascii="仿宋_GB2312" w:hAnsi="宋体" w:eastAsia="仿宋_GB2312" w:cs="宋体"/>
                <w:snapToGrid w:val="0"/>
                <w:color w:val="auto"/>
                <w:kern w:val="28"/>
                <w:sz w:val="24"/>
                <w:highlight w:val="none"/>
              </w:rPr>
              <w:t xml:space="preserve">（2）以上费用在领取中标通知书前交纳。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1"/>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系指适用本项目的要求，“</w:t>
      </w:r>
      <w:r>
        <w:rPr>
          <w:rFonts w:hint="eastAsia" w:ascii="仿宋_GB2312" w:hAnsi="MS Mincho" w:eastAsia="MS Mincho" w:cs="MS Mincho"/>
          <w:color w:val="auto"/>
          <w:sz w:val="24"/>
          <w:highlight w:val="none"/>
        </w:rPr>
        <w:t>☐</w:t>
      </w:r>
      <w:r>
        <w:rPr>
          <w:rFonts w:hint="eastAsia" w:ascii="仿宋_GB2312" w:hAnsi="仿宋" w:eastAsia="仿宋_GB2312" w:cs="仿宋"/>
          <w:color w:val="auto"/>
          <w:sz w:val="24"/>
          <w:highlight w:val="none"/>
        </w:rPr>
        <w:t>” 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3.4支持科技创新创新发展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120" w:beforeLines="50" w:after="120" w:afterLines="50"/>
        <w:rPr>
          <w:rFonts w:ascii="仿宋_GB2312" w:hAnsi="宋体" w:eastAsia="仿宋_GB2312"/>
          <w:b/>
          <w:color w:val="auto"/>
          <w:sz w:val="36"/>
          <w:szCs w:val="36"/>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bookmarkStart w:id="2" w:name="_Toc81372953"/>
      <w:bookmarkStart w:id="3" w:name="_Toc84325929"/>
      <w:bookmarkStart w:id="4" w:name="_Toc81372776"/>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_GB2312" w:hAnsi="仿宋" w:cs="仿宋"/>
          <w:color w:val="auto"/>
          <w:sz w:val="32"/>
          <w:szCs w:val="32"/>
          <w:highlight w:val="none"/>
        </w:rPr>
      </w:pPr>
      <w:r>
        <w:rPr>
          <w:rFonts w:hint="eastAsia" w:ascii="仿宋_GB2312" w:hAnsi="仿宋" w:cs="仿宋"/>
          <w:color w:val="auto"/>
          <w:highlight w:val="none"/>
        </w:rPr>
        <w:t xml:space="preserve">  </w:t>
      </w:r>
      <w:r>
        <w:rPr>
          <w:rFonts w:hint="eastAsia" w:ascii="仿宋_GB2312" w:hAnsi="仿宋" w:cs="仿宋"/>
          <w:color w:val="auto"/>
          <w:sz w:val="32"/>
          <w:szCs w:val="32"/>
          <w:highlight w:val="none"/>
        </w:rPr>
        <w:t xml:space="preserve">  </w:t>
      </w: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2.2.4法定代表人身份证明书；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2.2.6廉政承诺书（格式见第六部分附件）；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2.2.8供应商应提供针对项目的完整技术解决方案：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2.2.15培训计划（如有）；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2.2.16验收方案；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2.2.17</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2.2.18投标人需要说明的其他文件和说明（格式自拟）。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2.3.1开标一览表（报价表）；</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2.3.2中小企业声明函</w:t>
      </w:r>
      <w:r>
        <w:rPr>
          <w:rFonts w:hint="eastAsia" w:ascii="仿宋_GB2312" w:hAnsi="宋体" w:eastAsia="仿宋_GB2312" w:cs="仿宋_GB2312"/>
          <w:snapToGrid w:val="0"/>
          <w:color w:val="auto"/>
          <w:sz w:val="24"/>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snapToGrid w:val="0"/>
          <w:color w:val="auto"/>
          <w:sz w:val="24"/>
          <w:highlight w:val="none"/>
        </w:rPr>
        <w:t xml:space="preserve">2.3.3 </w:t>
      </w:r>
      <w:r>
        <w:rPr>
          <w:rFonts w:hint="eastAsia" w:ascii="仿宋_GB2312" w:hAnsi="宋体" w:eastAsia="仿宋_GB2312" w:cs="仿宋_GB2312"/>
          <w:snapToGrid w:val="0"/>
          <w:color w:val="auto"/>
          <w:sz w:val="24"/>
          <w:highlight w:val="none"/>
        </w:rPr>
        <w:t>残疾人福利性单位声明函（如果有）。</w:t>
      </w:r>
    </w:p>
    <w:p>
      <w:pPr>
        <w:snapToGrid w:val="0"/>
        <w:spacing w:line="440" w:lineRule="exact"/>
        <w:rPr>
          <w:rFonts w:ascii="仿宋_GB2312" w:hAnsi="仿宋" w:eastAsia="仿宋_GB2312" w:cs="仿宋"/>
          <w:b/>
          <w:bCs/>
          <w:color w:val="auto"/>
          <w:sz w:val="32"/>
          <w:highlight w:val="none"/>
        </w:rPr>
      </w:pPr>
      <w:r>
        <w:rPr>
          <w:rFonts w:hint="eastAsia" w:ascii="仿宋_GB2312" w:hAnsi="仿宋" w:eastAsia="仿宋_GB2312" w:cs="仿宋"/>
          <w:b/>
          <w:bCs/>
          <w:color w:val="auto"/>
          <w:sz w:val="24"/>
          <w:szCs w:val="20"/>
          <w:highlight w:val="none"/>
        </w:rPr>
        <w:t>3.投标报价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3.2招标文件未列明，而投标人认为必需的费用也需列入报价。</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3.3投标报价只允许有一个报价，有选择的报价将不予接受（除指定外）。</w:t>
      </w:r>
    </w:p>
    <w:p>
      <w:pPr>
        <w:snapToGrid w:val="0"/>
        <w:spacing w:line="440" w:lineRule="exact"/>
        <w:ind w:firstLine="720" w:firstLineChars="300"/>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3.4投标人提供虚假材料投标的，投标无效。</w:t>
      </w:r>
    </w:p>
    <w:p>
      <w:pPr>
        <w:pStyle w:val="182"/>
        <w:snapToGrid w:val="0"/>
        <w:spacing w:before="0" w:line="440" w:lineRule="exact"/>
        <w:ind w:firstLine="0" w:firstLineChars="0"/>
        <w:outlineLvl w:val="0"/>
        <w:rPr>
          <w:rFonts w:ascii="仿宋_GB2312" w:hAnsi="仿宋" w:eastAsia="仿宋_GB2312" w:cs="仿宋"/>
          <w:b/>
          <w:color w:val="auto"/>
          <w:szCs w:val="24"/>
          <w:highlight w:val="none"/>
        </w:rPr>
      </w:pPr>
      <w:r>
        <w:rPr>
          <w:rFonts w:hint="eastAsia" w:ascii="仿宋_GB2312" w:hAnsi="仿宋" w:eastAsia="仿宋_GB2312" w:cs="仿宋"/>
          <w:b/>
          <w:color w:val="auto"/>
          <w:kern w:val="0"/>
          <w:szCs w:val="24"/>
          <w:highlight w:val="none"/>
        </w:rPr>
        <w:t>4.</w:t>
      </w:r>
      <w:r>
        <w:rPr>
          <w:rFonts w:hint="eastAsia" w:ascii="仿宋_GB2312" w:hAnsi="仿宋" w:eastAsia="仿宋_GB2312" w:cs="仿宋"/>
          <w:b/>
          <w:color w:val="auto"/>
          <w:kern w:val="0"/>
          <w:szCs w:val="24"/>
          <w:highlight w:val="none"/>
          <w:lang w:val="zh-CN"/>
        </w:rPr>
        <w:t xml:space="preserve"> </w:t>
      </w:r>
      <w:r>
        <w:rPr>
          <w:rFonts w:hint="eastAsia" w:ascii="仿宋_GB2312" w:hAnsi="仿宋" w:eastAsia="仿宋_GB2312" w:cs="仿宋"/>
          <w:b/>
          <w:color w:val="auto"/>
          <w:szCs w:val="24"/>
          <w:highlight w:val="none"/>
        </w:rPr>
        <w:t>投标文件的编制和</w:t>
      </w:r>
      <w:r>
        <w:rPr>
          <w:rFonts w:hint="eastAsia" w:ascii="仿宋_GB2312" w:hAnsi="仿宋" w:eastAsia="仿宋_GB2312" w:cs="仿宋"/>
          <w:b/>
          <w:color w:val="auto"/>
          <w:highlight w:val="none"/>
        </w:rPr>
        <w:t>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2"/>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2"/>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20" w:line="440" w:lineRule="exact"/>
        <w:ind w:left="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8.24投标文件出现不是唯一的、有选择性投标报价的；</w:t>
      </w:r>
    </w:p>
    <w:p>
      <w:pPr>
        <w:snapToGrid w:val="0"/>
        <w:spacing w:line="440" w:lineRule="exact"/>
        <w:ind w:firstLine="482" w:firstLineChars="200"/>
        <w:jc w:val="left"/>
        <w:rPr>
          <w:rFonts w:ascii="仿宋_GB2312" w:hAnsi="仿宋" w:eastAsia="仿宋_GB2312" w:cs="仿宋"/>
          <w:color w:val="auto"/>
          <w:highlight w:val="none"/>
        </w:rPr>
      </w:pPr>
      <w:r>
        <w:rPr>
          <w:rFonts w:hint="eastAsia" w:ascii="仿宋_GB2312" w:hAnsi="仿宋" w:eastAsia="仿宋_GB2312" w:cs="仿宋"/>
          <w:b/>
          <w:color w:val="auto"/>
          <w:sz w:val="24"/>
          <w:highlight w:val="none"/>
        </w:rPr>
        <w:t>8.25其他违反法律、法规的情形。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2"/>
    <w:bookmarkEnd w:id="3"/>
    <w:bookmarkEnd w:id="4"/>
    <w:p>
      <w:pPr>
        <w:pStyle w:val="15"/>
        <w:spacing w:after="120" w:line="440" w:lineRule="exact"/>
        <w:ind w:left="84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_GB2312" w:hAnsi="仿宋" w:eastAsia="仿宋_GB2312" w:cs="仿宋"/>
          <w:color w:val="auto"/>
          <w:kern w:val="0"/>
          <w:sz w:val="24"/>
          <w:highlight w:val="none"/>
        </w:rPr>
      </w:pPr>
    </w:p>
    <w:p>
      <w:pPr>
        <w:spacing w:line="336"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六、</w:t>
      </w:r>
      <w:r>
        <w:rPr>
          <w:rFonts w:hint="eastAsia" w:ascii="仿宋_GB2312" w:hAnsi="仿宋" w:eastAsia="仿宋_GB2312" w:cs="仿宋"/>
          <w:b/>
          <w:bCs/>
          <w:color w:val="auto"/>
          <w:sz w:val="32"/>
          <w:szCs w:val="20"/>
          <w:highlight w:val="none"/>
        </w:rPr>
        <w:t>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outlineLvl w:val="0"/>
        <w:rPr>
          <w:rFonts w:ascii="仿宋_GB2312" w:hAnsi="仿宋" w:eastAsia="仿宋_GB2312" w:cs="仿宋"/>
          <w:b/>
          <w:bCs/>
          <w:color w:val="auto"/>
          <w:sz w:val="24"/>
          <w:szCs w:val="20"/>
          <w:highlight w:val="none"/>
        </w:rPr>
      </w:pPr>
      <w:r>
        <w:rPr>
          <w:rFonts w:hint="eastAsia" w:ascii="仿宋_GB2312" w:hAnsi="仿宋" w:eastAsia="仿宋_GB2312" w:cs="仿宋"/>
          <w:b/>
          <w:bCs/>
          <w:color w:val="auto"/>
          <w:sz w:val="24"/>
          <w:szCs w:val="20"/>
          <w:highlight w:val="none"/>
        </w:rPr>
        <w:t>投诉书范本及制作说明详见附件2。</w:t>
      </w:r>
    </w:p>
    <w:p>
      <w:pPr>
        <w:snapToGrid w:val="0"/>
        <w:spacing w:line="360" w:lineRule="auto"/>
        <w:outlineLvl w:val="0"/>
        <w:rPr>
          <w:rFonts w:ascii="仿宋_GB2312" w:hAnsi="仿宋" w:eastAsia="仿宋_GB2312" w:cs="仿宋"/>
          <w:b/>
          <w:bCs/>
          <w:color w:val="auto"/>
          <w:sz w:val="24"/>
          <w:szCs w:val="20"/>
          <w:highlight w:val="none"/>
        </w:rPr>
      </w:pPr>
    </w:p>
    <w:p>
      <w:pPr>
        <w:snapToGrid w:val="0"/>
        <w:spacing w:line="360" w:lineRule="auto"/>
        <w:ind w:firstLine="1807" w:firstLineChars="500"/>
        <w:outlineLvl w:val="0"/>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pStyle w:val="59"/>
        <w:spacing w:before="0" w:after="0" w:line="360" w:lineRule="auto"/>
        <w:jc w:val="both"/>
        <w:rPr>
          <w:rFonts w:ascii="仿宋" w:hAnsi="仿宋" w:eastAsia="仿宋" w:cs="仿宋"/>
          <w:color w:val="auto"/>
          <w:sz w:val="24"/>
          <w:szCs w:val="24"/>
          <w:highlight w:val="none"/>
        </w:rPr>
      </w:pPr>
      <w:bookmarkStart w:id="5" w:name="_Toc151354173"/>
      <w:bookmarkStart w:id="6" w:name="_Toc80157775"/>
      <w:bookmarkStart w:id="7" w:name="_Toc84325981"/>
      <w:bookmarkStart w:id="8" w:name="_Toc81372964"/>
      <w:bookmarkStart w:id="9" w:name="_Toc81372787"/>
      <w:r>
        <w:rPr>
          <w:rFonts w:hint="eastAsia" w:ascii="仿宋" w:hAnsi="仿宋" w:eastAsia="仿宋" w:cs="仿宋"/>
          <w:color w:val="auto"/>
          <w:sz w:val="24"/>
          <w:szCs w:val="24"/>
          <w:highlight w:val="none"/>
        </w:rPr>
        <w:t>一、项目范围</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绍兴市。</w:t>
      </w:r>
    </w:p>
    <w:p>
      <w:pPr>
        <w:pStyle w:val="59"/>
        <w:spacing w:before="0" w:after="0" w:line="360" w:lineRule="auto"/>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二、项目内容</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1.归集各区、县（市）汇交的2023年度地下市政基础设施测绘成果数据，进行数据库质量检查、成果规整及数据入库。</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2.对建设等主管部门年度地下市政基础设施更新测绘成果进行数据处理、数据库检查，融合整理及数据入库。</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 绍兴市内跨县（市、区）的长输管线等重要管线工程巡查补测及各区、县（市）地下管线数据接边处理。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4.越城区迪荡新城约2平方千米范围内基于普查数据进行地下管线三维模型建设，以及环城东路隧道、胜利东路地下通道的三维模型建设。</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 在绍兴市城市地下市政基础设施普查基础上对各区、县（市）原普查区外重要道路地下管线进行普查与接边。</w:t>
      </w:r>
    </w:p>
    <w:p>
      <w:pPr>
        <w:pStyle w:val="59"/>
        <w:spacing w:before="0" w:after="0" w:line="360" w:lineRule="auto"/>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三、技术要求</w:t>
      </w:r>
    </w:p>
    <w:p>
      <w:pPr>
        <w:spacing w:line="360" w:lineRule="auto"/>
        <w:ind w:firstLine="482" w:firstLineChars="200"/>
        <w:outlineLvl w:val="1"/>
        <w:rPr>
          <w:rFonts w:ascii="仿宋" w:hAnsi="仿宋" w:eastAsia="仿宋" w:cs="仿宋"/>
          <w:b/>
          <w:bCs/>
          <w:color w:val="auto"/>
          <w:sz w:val="24"/>
          <w:highlight w:val="none"/>
        </w:rPr>
      </w:pPr>
      <w:r>
        <w:rPr>
          <w:rFonts w:hint="eastAsia" w:ascii="仿宋" w:hAnsi="仿宋" w:eastAsia="仿宋" w:cs="仿宋"/>
          <w:b/>
          <w:bCs/>
          <w:color w:val="auto"/>
          <w:sz w:val="24"/>
          <w:highlight w:val="none"/>
        </w:rPr>
        <w:t>3.1作业依据（主要包括但不限于）</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（1）《中华人民共和国测绘法》；</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（2）《测绘作业人员安全规范》（CH 1016-2008）；</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（3）《中华人民共和国保守国家秘密法》；</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（4）《中华人民共和国保守国家秘密法实施条例》；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（5）《中华人民共和国数据安全法》；</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（6）《浙江省测绘地理信息条例》（浙江省第十三届人民代表大会常务委员会公告第10号）；</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（7）《浙江省测绘成果管理办法》；</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（8）《测绘地理信息管理工作国家秘密范围的规定》（自然资发2020〔95〕号）；</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（9）《城市地下空间测绘规范》（GB/T 35636-2017）；</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（10）《国家基本比例尺地图图式第1部分：1∶500 1∶1 000 1∶2 000地形图图式》（GB/T 20257.1-2017）；</w:t>
      </w:r>
    </w:p>
    <w:p>
      <w:pPr>
        <w:spacing w:line="360" w:lineRule="auto"/>
        <w:ind w:firstLine="480" w:firstLineChars="200"/>
        <w:rPr>
          <w:rFonts w:ascii="仿宋" w:hAnsi="仿宋" w:eastAsia="仿宋" w:cs="仿宋"/>
          <w:color w:val="auto"/>
          <w:sz w:val="24"/>
          <w:highlight w:val="none"/>
        </w:rPr>
      </w:pPr>
      <w:bookmarkStart w:id="10" w:name="_Toc19677"/>
      <w:bookmarkStart w:id="11" w:name="_Toc30295"/>
      <w:bookmarkStart w:id="12" w:name="_Toc29213"/>
      <w:bookmarkStart w:id="13" w:name="_Toc15663"/>
      <w:bookmarkStart w:id="14" w:name="_Toc19291"/>
      <w:bookmarkStart w:id="15" w:name="_Toc19136"/>
      <w:bookmarkStart w:id="16" w:name="_Toc1815"/>
      <w:bookmarkStart w:id="17" w:name="_Toc1253"/>
      <w:bookmarkStart w:id="18" w:name="_Toc25464"/>
      <w:r>
        <w:rPr>
          <w:rFonts w:hint="eastAsia" w:ascii="仿宋" w:hAnsi="仿宋" w:eastAsia="仿宋" w:cs="仿宋"/>
          <w:color w:val="auto"/>
          <w:sz w:val="24"/>
          <w:highlight w:val="none"/>
        </w:rPr>
        <w:t>（11）《工程测量标准》（GB 50026-2020）；</w:t>
      </w:r>
      <w:bookmarkEnd w:id="10"/>
      <w:bookmarkEnd w:id="11"/>
      <w:bookmarkEnd w:id="12"/>
      <w:bookmarkEnd w:id="13"/>
      <w:bookmarkEnd w:id="14"/>
      <w:bookmarkEnd w:id="15"/>
      <w:bookmarkEnd w:id="16"/>
      <w:bookmarkEnd w:id="17"/>
      <w:bookmarkEnd w:id="18"/>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（12）《基础地理信息要素分类与代码》（GB/T 13923-2006）；</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（13）《基础地理信息城市数据库建设规范》（GB/T 21740-2008）；</w:t>
      </w:r>
    </w:p>
    <w:p>
      <w:pPr>
        <w:spacing w:line="360" w:lineRule="auto"/>
        <w:ind w:firstLine="480" w:firstLineChars="200"/>
        <w:rPr>
          <w:rFonts w:ascii="仿宋" w:hAnsi="仿宋" w:eastAsia="仿宋" w:cs="仿宋"/>
          <w:color w:val="auto"/>
          <w:sz w:val="24"/>
          <w:highlight w:val="none"/>
        </w:rPr>
      </w:pPr>
      <w:bookmarkStart w:id="19" w:name="_Toc3570"/>
      <w:bookmarkStart w:id="20" w:name="_Toc30669"/>
      <w:bookmarkStart w:id="21" w:name="_Toc14517"/>
      <w:bookmarkStart w:id="22" w:name="_Toc28222"/>
      <w:bookmarkStart w:id="23" w:name="_Toc24244"/>
      <w:bookmarkStart w:id="24" w:name="_Toc30662"/>
      <w:bookmarkStart w:id="25" w:name="_Toc31199"/>
      <w:bookmarkStart w:id="26" w:name="_Toc19357"/>
      <w:bookmarkStart w:id="27" w:name="_Toc27600"/>
      <w:bookmarkStart w:id="28" w:name="_Toc17281"/>
      <w:r>
        <w:rPr>
          <w:rFonts w:hint="eastAsia" w:ascii="仿宋" w:hAnsi="仿宋" w:eastAsia="仿宋" w:cs="仿宋"/>
          <w:color w:val="auto"/>
          <w:sz w:val="24"/>
          <w:highlight w:val="none"/>
        </w:rPr>
        <w:t>（14）《地理信息元数据》（GB/T 19710-2005）；</w:t>
      </w:r>
      <w:bookmarkEnd w:id="19"/>
      <w:bookmarkEnd w:id="20"/>
      <w:bookmarkEnd w:id="21"/>
      <w:bookmarkEnd w:id="22"/>
      <w:bookmarkEnd w:id="23"/>
      <w:bookmarkEnd w:id="24"/>
      <w:bookmarkEnd w:id="25"/>
      <w:bookmarkEnd w:id="26"/>
      <w:bookmarkEnd w:id="27"/>
      <w:bookmarkEnd w:id="28"/>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（15）《数字测绘成果质量检查与验收》（GB/T 18316-2008）；</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（16）《测绘成果质量检查与验收》（GB/T 24356-2023）；</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（17）《地下管线数据获取规程》（GB/T 35644-2017）；</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（18）《卫星导航定位基准站网络实时动态测量（RTK）规范》（GB/T 39616-2020）；</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（19）《城市地下道路工程设计规范》（CJJ/T 221-2015）；</w:t>
      </w:r>
    </w:p>
    <w:p>
      <w:pPr>
        <w:spacing w:line="360" w:lineRule="auto"/>
        <w:ind w:firstLine="480" w:firstLineChars="200"/>
        <w:rPr>
          <w:rFonts w:ascii="仿宋" w:hAnsi="仿宋" w:eastAsia="仿宋" w:cs="仿宋"/>
          <w:color w:val="auto"/>
          <w:sz w:val="24"/>
          <w:highlight w:val="none"/>
        </w:rPr>
      </w:pPr>
      <w:bookmarkStart w:id="29" w:name="_Toc2843"/>
      <w:bookmarkStart w:id="30" w:name="_Toc20815"/>
      <w:bookmarkStart w:id="31" w:name="_Toc3725"/>
      <w:bookmarkStart w:id="32" w:name="_Toc28383"/>
      <w:bookmarkStart w:id="33" w:name="_Toc30792"/>
      <w:bookmarkStart w:id="34" w:name="_Toc26830"/>
      <w:bookmarkStart w:id="35" w:name="_Toc23714"/>
      <w:bookmarkStart w:id="36" w:name="_Toc27371"/>
      <w:bookmarkStart w:id="37" w:name="_Toc1918"/>
      <w:bookmarkStart w:id="38" w:name="_Toc19878"/>
      <w:r>
        <w:rPr>
          <w:rFonts w:hint="eastAsia" w:ascii="仿宋" w:hAnsi="仿宋" w:eastAsia="仿宋" w:cs="仿宋"/>
          <w:color w:val="auto"/>
          <w:sz w:val="24"/>
          <w:highlight w:val="none"/>
        </w:rPr>
        <w:t>（20）《城市测量规范》（CJJ/T 8-2011）；</w:t>
      </w:r>
      <w:bookmarkEnd w:id="29"/>
      <w:bookmarkEnd w:id="30"/>
      <w:bookmarkEnd w:id="31"/>
      <w:bookmarkEnd w:id="32"/>
      <w:bookmarkEnd w:id="33"/>
      <w:bookmarkEnd w:id="34"/>
      <w:bookmarkEnd w:id="35"/>
      <w:bookmarkEnd w:id="36"/>
      <w:bookmarkEnd w:id="37"/>
      <w:bookmarkEnd w:id="38"/>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（21）《城市工程地球物理探测标准》（CJJ/T 7-2017）；</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（22）《城市地下管线探测技术规程》（CJJ 61-2017）；</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（23）《管线测绘技术规程》（CH/T 6002-2015）；</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（24）《管线要素分类代码与符号表达》（CH/T 1036-2015）；</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（25）《实景三维地理信息数据激光雷达测量技术规程》（CH/T 3020-2018）；</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（26）《基础地理信息要素分类与图形表达代码》（DB33/T 817-2010）；</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（27）《1∶500 1∶1000 1∶2000基础地理信息要素数据库技术规范》（DB33/T 2122-2018）；</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（28）《浙江省城市地下市政基础设施普查技术规程》（浙自然资发[2021]4号）；</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（29）《浙江省城市地下市政基础设施数据库建设规范》（浙自然资发[2021]4号）；</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（30）《浙江省城市地下市政基础设施普查质量检查检验规范》（浙自然资发[2021]4号）；</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（31）《浙江省城市地下市政基础设施普查技术文件补充规定》（浙自然资厅函〔2022〕137号）；</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（32）《浙江省城市地下市政基础设施普查技术文件补充规定（二）》（浙自然资厅函〔2022〕899号）。</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（33）《浙江省城市地下市政基础设施普查常见问题解答》（浙江省自然资源厅国土测绘处2022年1月19日）；</w:t>
      </w:r>
    </w:p>
    <w:p>
      <w:pPr>
        <w:spacing w:line="360" w:lineRule="auto"/>
        <w:ind w:firstLine="480" w:firstLineChars="200"/>
        <w:rPr>
          <w:rFonts w:ascii="仿宋" w:hAnsi="仿宋" w:eastAsia="仿宋" w:cs="仿宋"/>
          <w:color w:val="auto"/>
          <w:sz w:val="24"/>
          <w:highlight w:val="none"/>
        </w:rPr>
      </w:pPr>
      <w:bookmarkStart w:id="39" w:name="_Toc24500"/>
      <w:bookmarkStart w:id="40" w:name="_Toc22135"/>
      <w:bookmarkStart w:id="41" w:name="_Toc23622"/>
      <w:bookmarkStart w:id="42" w:name="_Toc19111"/>
      <w:bookmarkStart w:id="43" w:name="_Toc26583"/>
      <w:bookmarkStart w:id="44" w:name="_Toc21594"/>
      <w:bookmarkStart w:id="45" w:name="_Toc8894"/>
      <w:bookmarkStart w:id="46" w:name="_Toc7081"/>
      <w:bookmarkStart w:id="47" w:name="_Toc25386"/>
      <w:bookmarkStart w:id="48" w:name="_Toc6868"/>
      <w:r>
        <w:rPr>
          <w:rFonts w:hint="eastAsia" w:ascii="仿宋" w:hAnsi="仿宋" w:eastAsia="仿宋" w:cs="仿宋"/>
          <w:color w:val="auto"/>
          <w:sz w:val="24"/>
          <w:highlight w:val="none"/>
        </w:rPr>
        <w:t>（34）</w:t>
      </w:r>
      <w:bookmarkEnd w:id="39"/>
      <w:bookmarkEnd w:id="40"/>
      <w:bookmarkEnd w:id="41"/>
      <w:bookmarkEnd w:id="42"/>
      <w:bookmarkEnd w:id="43"/>
      <w:bookmarkEnd w:id="44"/>
      <w:bookmarkEnd w:id="45"/>
      <w:bookmarkEnd w:id="46"/>
      <w:bookmarkEnd w:id="47"/>
      <w:bookmarkEnd w:id="48"/>
      <w:r>
        <w:rPr>
          <w:rFonts w:hint="eastAsia" w:ascii="仿宋" w:hAnsi="仿宋" w:eastAsia="仿宋" w:cs="仿宋"/>
          <w:color w:val="auto"/>
          <w:sz w:val="24"/>
          <w:highlight w:val="none"/>
        </w:rPr>
        <w:t>《绍兴市地下市政基础信息平台地下设施数据组织与存储规范》。</w:t>
      </w:r>
    </w:p>
    <w:p>
      <w:pPr>
        <w:spacing w:line="360" w:lineRule="auto"/>
        <w:ind w:firstLine="482" w:firstLineChars="200"/>
        <w:outlineLvl w:val="1"/>
        <w:rPr>
          <w:rFonts w:ascii="仿宋" w:hAnsi="仿宋" w:eastAsia="仿宋" w:cs="仿宋"/>
          <w:b/>
          <w:bCs/>
          <w:color w:val="auto"/>
          <w:sz w:val="24"/>
          <w:highlight w:val="none"/>
        </w:rPr>
      </w:pPr>
      <w:r>
        <w:rPr>
          <w:rFonts w:hint="eastAsia" w:ascii="仿宋" w:hAnsi="仿宋" w:eastAsia="仿宋" w:cs="仿宋"/>
          <w:b/>
          <w:bCs/>
          <w:color w:val="auto"/>
          <w:sz w:val="24"/>
          <w:highlight w:val="none"/>
        </w:rPr>
        <w:t>3.</w:t>
      </w:r>
      <w:bookmarkStart w:id="49" w:name="_Toc1304"/>
      <w:bookmarkStart w:id="50" w:name="_Toc402265843"/>
      <w:r>
        <w:rPr>
          <w:rFonts w:hint="eastAsia" w:ascii="仿宋" w:hAnsi="仿宋" w:eastAsia="仿宋" w:cs="仿宋"/>
          <w:b/>
          <w:bCs/>
          <w:color w:val="auto"/>
          <w:sz w:val="24"/>
          <w:highlight w:val="none"/>
        </w:rPr>
        <w:t>2空间参考系统</w:t>
      </w:r>
      <w:bookmarkEnd w:id="49"/>
    </w:p>
    <w:bookmarkEnd w:id="50"/>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（1）坐标系：2000国家大地坐标系（CGCS2000）。</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（2）高程基准：1985国家高程基准（二期）。</w:t>
      </w:r>
    </w:p>
    <w:p>
      <w:pPr>
        <w:spacing w:line="360" w:lineRule="auto"/>
        <w:ind w:firstLine="482" w:firstLineChars="200"/>
        <w:outlineLvl w:val="1"/>
        <w:rPr>
          <w:rFonts w:ascii="仿宋" w:hAnsi="仿宋" w:eastAsia="仿宋" w:cs="仿宋"/>
          <w:b/>
          <w:bCs/>
          <w:color w:val="auto"/>
          <w:sz w:val="24"/>
          <w:highlight w:val="none"/>
        </w:rPr>
      </w:pPr>
      <w:r>
        <w:rPr>
          <w:rFonts w:hint="eastAsia" w:ascii="仿宋" w:hAnsi="仿宋" w:eastAsia="仿宋" w:cs="仿宋"/>
          <w:b/>
          <w:bCs/>
          <w:color w:val="auto"/>
          <w:sz w:val="24"/>
          <w:highlight w:val="none"/>
        </w:rPr>
        <w:t>3.3精度要求</w:t>
      </w:r>
    </w:p>
    <w:p>
      <w:pPr>
        <w:spacing w:line="360" w:lineRule="auto"/>
        <w:ind w:firstLine="480" w:firstLineChars="200"/>
        <w:rPr>
          <w:rFonts w:ascii="仿宋" w:hAnsi="仿宋" w:eastAsia="仿宋" w:cs="仿宋"/>
          <w:color w:val="auto"/>
          <w:sz w:val="24"/>
          <w:highlight w:val="none"/>
        </w:rPr>
      </w:pPr>
      <w:bookmarkStart w:id="51" w:name="_Toc30515"/>
      <w:bookmarkStart w:id="52" w:name="_Toc23720"/>
      <w:bookmarkStart w:id="53" w:name="_Toc11480"/>
      <w:bookmarkStart w:id="54" w:name="_Toc11101"/>
      <w:bookmarkStart w:id="55" w:name="_Toc489"/>
      <w:bookmarkStart w:id="56" w:name="_Toc10029"/>
      <w:bookmarkStart w:id="57" w:name="_Toc27422"/>
      <w:bookmarkStart w:id="58" w:name="_Toc23406"/>
      <w:bookmarkStart w:id="59" w:name="_Toc16636"/>
      <w:bookmarkStart w:id="60" w:name="_Toc7518"/>
      <w:r>
        <w:rPr>
          <w:rFonts w:hint="eastAsia" w:ascii="仿宋" w:hAnsi="仿宋" w:eastAsia="仿宋" w:cs="仿宋"/>
          <w:color w:val="auto"/>
          <w:sz w:val="24"/>
          <w:highlight w:val="none"/>
        </w:rPr>
        <w:t>（1）管线点探查精度</w:t>
      </w:r>
      <w:bookmarkEnd w:id="51"/>
      <w:bookmarkEnd w:id="52"/>
      <w:bookmarkEnd w:id="53"/>
      <w:bookmarkEnd w:id="54"/>
      <w:bookmarkEnd w:id="55"/>
      <w:bookmarkEnd w:id="56"/>
      <w:bookmarkEnd w:id="57"/>
      <w:bookmarkEnd w:id="58"/>
      <w:bookmarkEnd w:id="59"/>
      <w:bookmarkEnd w:id="60"/>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明显管线点埋深量测中误差不大于25mm；隐蔽管线点探查平面位置中误差不大于0.05h，埋深中误差不大于0.075h，其中h为管线中心埋深，单位为mm，当h＜1000mm时以1000mm代入计算。</w:t>
      </w:r>
    </w:p>
    <w:p>
      <w:pPr>
        <w:spacing w:line="360" w:lineRule="auto"/>
        <w:ind w:firstLine="480" w:firstLineChars="200"/>
        <w:rPr>
          <w:rFonts w:ascii="仿宋" w:hAnsi="仿宋" w:eastAsia="仿宋" w:cs="仿宋"/>
          <w:color w:val="auto"/>
          <w:sz w:val="24"/>
          <w:highlight w:val="none"/>
        </w:rPr>
      </w:pPr>
      <w:bookmarkStart w:id="61" w:name="_Toc5616"/>
      <w:bookmarkStart w:id="62" w:name="_Toc7057"/>
      <w:bookmarkStart w:id="63" w:name="_Toc5284"/>
      <w:bookmarkStart w:id="64" w:name="_Toc20270"/>
      <w:bookmarkStart w:id="65" w:name="_Toc31213"/>
      <w:bookmarkStart w:id="66" w:name="_Toc5009"/>
      <w:bookmarkStart w:id="67" w:name="_Toc12196"/>
      <w:bookmarkStart w:id="68" w:name="_Toc22196"/>
      <w:bookmarkStart w:id="69" w:name="_Toc8346"/>
      <w:bookmarkStart w:id="70" w:name="_Toc24767"/>
      <w:r>
        <w:rPr>
          <w:rFonts w:hint="eastAsia" w:ascii="仿宋" w:hAnsi="仿宋" w:eastAsia="仿宋" w:cs="仿宋"/>
          <w:color w:val="auto"/>
          <w:sz w:val="24"/>
          <w:highlight w:val="none"/>
        </w:rPr>
        <w:t>（2）管线点测量精度</w:t>
      </w:r>
      <w:bookmarkEnd w:id="61"/>
      <w:bookmarkEnd w:id="62"/>
      <w:bookmarkEnd w:id="63"/>
      <w:bookmarkEnd w:id="64"/>
      <w:bookmarkEnd w:id="65"/>
      <w:bookmarkEnd w:id="66"/>
      <w:bookmarkEnd w:id="67"/>
      <w:bookmarkEnd w:id="68"/>
      <w:bookmarkEnd w:id="69"/>
      <w:bookmarkEnd w:id="70"/>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管线点平面位置测量中误差不大于±50mm；高程测量中误差不大于±30mm。</w:t>
      </w:r>
    </w:p>
    <w:p>
      <w:pPr>
        <w:spacing w:line="360" w:lineRule="auto"/>
        <w:ind w:firstLine="480" w:firstLineChars="200"/>
        <w:rPr>
          <w:rFonts w:ascii="仿宋" w:hAnsi="仿宋" w:eastAsia="仿宋" w:cs="仿宋"/>
          <w:color w:val="auto"/>
          <w:sz w:val="24"/>
          <w:highlight w:val="none"/>
        </w:rPr>
      </w:pPr>
      <w:bookmarkStart w:id="71" w:name="_Toc22817"/>
      <w:bookmarkStart w:id="72" w:name="_Toc1396"/>
      <w:bookmarkStart w:id="73" w:name="_Toc26106"/>
      <w:bookmarkStart w:id="74" w:name="_Toc29380"/>
      <w:bookmarkStart w:id="75" w:name="_Toc5855"/>
      <w:bookmarkStart w:id="76" w:name="_Toc8838"/>
      <w:bookmarkStart w:id="77" w:name="_Toc7709"/>
      <w:bookmarkStart w:id="78" w:name="_Toc9652"/>
      <w:bookmarkStart w:id="79" w:name="_Toc18521"/>
      <w:bookmarkStart w:id="80" w:name="_Toc18092"/>
      <w:r>
        <w:rPr>
          <w:rFonts w:hint="eastAsia" w:ascii="仿宋" w:hAnsi="仿宋" w:eastAsia="仿宋" w:cs="仿宋"/>
          <w:color w:val="auto"/>
          <w:sz w:val="24"/>
          <w:highlight w:val="none"/>
        </w:rPr>
        <w:t>（3）其他地下市政设施测量精度</w:t>
      </w:r>
      <w:bookmarkEnd w:id="71"/>
      <w:bookmarkEnd w:id="72"/>
      <w:bookmarkEnd w:id="73"/>
      <w:bookmarkEnd w:id="74"/>
      <w:bookmarkEnd w:id="75"/>
      <w:bookmarkEnd w:id="76"/>
      <w:bookmarkEnd w:id="77"/>
      <w:bookmarkEnd w:id="78"/>
      <w:bookmarkEnd w:id="79"/>
      <w:bookmarkEnd w:id="80"/>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其他市政设施明显构筑物点平面位置测量中误差不大于50mm，隐蔽构筑物点平面位置测量中误差不大于250mm；设施地面高程测量中误差不大于150mm；地下建筑物结构净高量测中误差不大于25mm。</w:t>
      </w:r>
    </w:p>
    <w:p>
      <w:pPr>
        <w:pStyle w:val="59"/>
        <w:spacing w:before="0" w:after="0" w:line="360" w:lineRule="auto"/>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四、验收要求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原普查区外重要道路地下管线普查及其他新测地下管线数据须</w:t>
      </w:r>
      <w:r>
        <w:rPr>
          <w:rFonts w:hint="eastAsia" w:ascii="仿宋" w:hAnsi="仿宋" w:eastAsia="仿宋" w:cs="仿宋"/>
          <w:color w:val="auto"/>
          <w:kern w:val="0"/>
          <w:sz w:val="24"/>
          <w:highlight w:val="none"/>
        </w:rPr>
        <w:t>经省级或省级以上法定测绘质量监督检验机构质检合格，项目整体通过采购人组织的专家验收。</w:t>
      </w:r>
    </w:p>
    <w:p>
      <w:pPr>
        <w:pStyle w:val="59"/>
        <w:spacing w:before="0" w:after="0" w:line="360" w:lineRule="auto"/>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五、成果资料及交付要求</w:t>
      </w:r>
    </w:p>
    <w:tbl>
      <w:tblPr>
        <w:tblStyle w:val="63"/>
        <w:tblW w:w="5000" w:type="pct"/>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831"/>
        <w:gridCol w:w="1290"/>
        <w:gridCol w:w="2681"/>
        <w:gridCol w:w="987"/>
        <w:gridCol w:w="949"/>
        <w:gridCol w:w="1725"/>
        <w:gridCol w:w="712"/>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46" w:hRule="atLeast"/>
          <w:tblHeader/>
          <w:jc w:val="center"/>
        </w:trPr>
        <w:tc>
          <w:tcPr>
            <w:tcW w:w="453" w:type="pct"/>
            <w:tcBorders>
              <w:bottom w:val="single" w:color="auto" w:sz="4" w:space="0"/>
              <w:right w:val="single" w:color="auto" w:sz="4" w:space="0"/>
            </w:tcBorders>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703" w:type="pct"/>
            <w:tcBorders>
              <w:left w:val="single" w:color="auto" w:sz="4" w:space="0"/>
              <w:bottom w:val="single" w:color="auto" w:sz="4" w:space="0"/>
              <w:right w:val="single" w:color="auto" w:sz="4" w:space="0"/>
            </w:tcBorders>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成果类型</w:t>
            </w:r>
          </w:p>
        </w:tc>
        <w:tc>
          <w:tcPr>
            <w:tcW w:w="1461" w:type="pct"/>
            <w:tcBorders>
              <w:left w:val="single" w:color="auto" w:sz="4" w:space="0"/>
              <w:bottom w:val="single" w:color="auto" w:sz="4" w:space="0"/>
              <w:right w:val="single" w:color="auto" w:sz="4" w:space="0"/>
            </w:tcBorders>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成果名称</w:t>
            </w:r>
          </w:p>
        </w:tc>
        <w:tc>
          <w:tcPr>
            <w:tcW w:w="538" w:type="pct"/>
            <w:tcBorders>
              <w:left w:val="single" w:color="auto" w:sz="4" w:space="0"/>
              <w:bottom w:val="single" w:color="auto" w:sz="4" w:space="0"/>
              <w:right w:val="single" w:color="auto" w:sz="4" w:space="0"/>
            </w:tcBorders>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格式</w:t>
            </w:r>
          </w:p>
        </w:tc>
        <w:tc>
          <w:tcPr>
            <w:tcW w:w="517" w:type="pct"/>
            <w:tcBorders>
              <w:left w:val="single" w:color="auto" w:sz="4" w:space="0"/>
              <w:bottom w:val="single" w:color="auto" w:sz="4" w:space="0"/>
              <w:right w:val="single" w:color="auto" w:sz="4" w:space="0"/>
            </w:tcBorders>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940" w:type="pct"/>
            <w:tcBorders>
              <w:left w:val="single" w:color="auto" w:sz="4" w:space="0"/>
              <w:bottom w:val="single" w:color="auto" w:sz="4" w:space="0"/>
              <w:right w:val="single" w:color="auto" w:sz="4" w:space="0"/>
            </w:tcBorders>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介质</w:t>
            </w:r>
          </w:p>
        </w:tc>
        <w:tc>
          <w:tcPr>
            <w:tcW w:w="388" w:type="pct"/>
            <w:tcBorders>
              <w:left w:val="single" w:color="auto" w:sz="4" w:space="0"/>
              <w:bottom w:val="single" w:color="auto" w:sz="4" w:space="0"/>
            </w:tcBorders>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382" w:hRule="atLeast"/>
          <w:jc w:val="center"/>
        </w:trPr>
        <w:tc>
          <w:tcPr>
            <w:tcW w:w="453" w:type="pct"/>
            <w:vMerge w:val="restart"/>
            <w:tcBorders>
              <w:top w:val="single" w:color="auto" w:sz="4" w:space="0"/>
              <w:right w:val="single" w:color="auto" w:sz="4" w:space="0"/>
            </w:tcBorders>
            <w:vAlign w:val="center"/>
          </w:tcPr>
          <w:p>
            <w:pPr>
              <w:jc w:val="center"/>
              <w:rPr>
                <w:rFonts w:ascii="仿宋" w:hAnsi="仿宋" w:eastAsia="仿宋" w:cs="仿宋"/>
                <w:color w:val="auto"/>
                <w:sz w:val="24"/>
                <w:highlight w:val="none"/>
                <w:lang w:val="en-GB"/>
              </w:rPr>
            </w:pPr>
            <w:r>
              <w:rPr>
                <w:rFonts w:hint="eastAsia" w:ascii="仿宋" w:hAnsi="仿宋" w:eastAsia="仿宋" w:cs="仿宋"/>
                <w:color w:val="auto"/>
                <w:sz w:val="24"/>
                <w:highlight w:val="none"/>
                <w:lang w:val="en-GB"/>
              </w:rPr>
              <w:t>1</w:t>
            </w:r>
          </w:p>
        </w:tc>
        <w:tc>
          <w:tcPr>
            <w:tcW w:w="703" w:type="pct"/>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lang w:val="en-GB"/>
              </w:rPr>
            </w:pPr>
            <w:r>
              <w:rPr>
                <w:rFonts w:hint="eastAsia" w:ascii="仿宋" w:hAnsi="仿宋" w:eastAsia="仿宋" w:cs="仿宋"/>
                <w:color w:val="auto"/>
                <w:sz w:val="24"/>
                <w:highlight w:val="none"/>
                <w:lang w:val="en-GB"/>
              </w:rPr>
              <w:t>数据成果</w:t>
            </w:r>
          </w:p>
        </w:tc>
        <w:tc>
          <w:tcPr>
            <w:tcW w:w="146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地下管线数据库</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GDB</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382" w:hRule="atLeast"/>
          <w:jc w:val="center"/>
        </w:trPr>
        <w:tc>
          <w:tcPr>
            <w:tcW w:w="453" w:type="pct"/>
            <w:vMerge w:val="continue"/>
            <w:tcBorders>
              <w:right w:val="single" w:color="auto" w:sz="4" w:space="0"/>
            </w:tcBorders>
            <w:vAlign w:val="center"/>
          </w:tcPr>
          <w:p>
            <w:pPr>
              <w:jc w:val="center"/>
              <w:rPr>
                <w:rFonts w:ascii="仿宋" w:hAnsi="仿宋" w:eastAsia="仿宋" w:cs="仿宋"/>
                <w:color w:val="auto"/>
                <w:sz w:val="24"/>
                <w:highlight w:val="none"/>
                <w:lang w:val="en-GB"/>
              </w:rPr>
            </w:pPr>
          </w:p>
        </w:tc>
        <w:tc>
          <w:tcPr>
            <w:tcW w:w="703" w:type="pct"/>
            <w:vMerge w:val="continue"/>
            <w:tcBorders>
              <w:left w:val="single" w:color="auto" w:sz="4" w:space="0"/>
              <w:right w:val="single" w:color="auto" w:sz="4" w:space="0"/>
            </w:tcBorders>
            <w:vAlign w:val="center"/>
          </w:tcPr>
          <w:p>
            <w:pPr>
              <w:jc w:val="center"/>
              <w:rPr>
                <w:rFonts w:ascii="仿宋" w:hAnsi="仿宋" w:eastAsia="仿宋" w:cs="仿宋"/>
                <w:color w:val="auto"/>
                <w:sz w:val="24"/>
                <w:highlight w:val="none"/>
                <w:lang w:val="en-GB"/>
              </w:rPr>
            </w:pPr>
          </w:p>
        </w:tc>
        <w:tc>
          <w:tcPr>
            <w:tcW w:w="1461" w:type="pct"/>
            <w:tcBorders>
              <w:top w:val="single" w:color="auto" w:sz="4" w:space="0"/>
              <w:left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kern w:val="0"/>
                <w:sz w:val="24"/>
                <w:highlight w:val="none"/>
              </w:rPr>
              <w:t>地下管线</w:t>
            </w:r>
            <w:r>
              <w:rPr>
                <w:rFonts w:hint="eastAsia" w:ascii="仿宋" w:hAnsi="仿宋" w:eastAsia="仿宋" w:cs="仿宋"/>
                <w:color w:val="auto"/>
                <w:sz w:val="24"/>
                <w:highlight w:val="none"/>
              </w:rPr>
              <w:t>元数据</w:t>
            </w:r>
          </w:p>
        </w:tc>
        <w:tc>
          <w:tcPr>
            <w:tcW w:w="538" w:type="pc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SHP</w:t>
            </w:r>
          </w:p>
        </w:tc>
        <w:tc>
          <w:tcPr>
            <w:tcW w:w="517" w:type="pc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40" w:type="pc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光盘</w:t>
            </w:r>
          </w:p>
        </w:tc>
        <w:tc>
          <w:tcPr>
            <w:tcW w:w="388" w:type="pct"/>
            <w:tcBorders>
              <w:top w:val="single" w:color="auto" w:sz="4" w:space="0"/>
              <w:left w:val="single" w:color="auto" w:sz="4" w:space="0"/>
            </w:tcBorders>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16" w:hRule="atLeast"/>
          <w:jc w:val="center"/>
        </w:trPr>
        <w:tc>
          <w:tcPr>
            <w:tcW w:w="453" w:type="pct"/>
            <w:vMerge w:val="continue"/>
            <w:tcBorders>
              <w:right w:val="single" w:color="auto" w:sz="4" w:space="0"/>
            </w:tcBorders>
            <w:vAlign w:val="center"/>
          </w:tcPr>
          <w:p>
            <w:pPr>
              <w:jc w:val="center"/>
              <w:rPr>
                <w:rFonts w:ascii="仿宋" w:hAnsi="仿宋" w:eastAsia="仿宋" w:cs="仿宋"/>
                <w:color w:val="auto"/>
                <w:sz w:val="24"/>
                <w:highlight w:val="none"/>
                <w:lang w:val="en-GB"/>
              </w:rPr>
            </w:pPr>
          </w:p>
        </w:tc>
        <w:tc>
          <w:tcPr>
            <w:tcW w:w="703" w:type="pct"/>
            <w:vMerge w:val="continue"/>
            <w:tcBorders>
              <w:left w:val="single" w:color="auto" w:sz="4" w:space="0"/>
              <w:right w:val="single" w:color="auto" w:sz="4" w:space="0"/>
            </w:tcBorders>
            <w:vAlign w:val="center"/>
          </w:tcPr>
          <w:p>
            <w:pPr>
              <w:jc w:val="center"/>
              <w:rPr>
                <w:rFonts w:ascii="仿宋" w:hAnsi="仿宋" w:eastAsia="仿宋" w:cs="仿宋"/>
                <w:color w:val="auto"/>
                <w:sz w:val="24"/>
                <w:highlight w:val="none"/>
                <w:lang w:val="en-GB"/>
              </w:rPr>
            </w:pPr>
          </w:p>
        </w:tc>
        <w:tc>
          <w:tcPr>
            <w:tcW w:w="1461" w:type="pct"/>
            <w:tcBorders>
              <w:top w:val="single" w:color="auto" w:sz="4" w:space="0"/>
              <w:left w:val="single" w:color="auto" w:sz="4" w:space="0"/>
              <w:right w:val="single" w:color="auto" w:sz="4" w:space="0"/>
            </w:tcBorders>
            <w:vAlign w:val="center"/>
          </w:tcPr>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三维模型数据</w:t>
            </w:r>
          </w:p>
        </w:tc>
        <w:tc>
          <w:tcPr>
            <w:tcW w:w="538" w:type="pc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OBJ</w:t>
            </w:r>
          </w:p>
        </w:tc>
        <w:tc>
          <w:tcPr>
            <w:tcW w:w="517" w:type="pc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40" w:type="pc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光盘</w:t>
            </w:r>
          </w:p>
        </w:tc>
        <w:tc>
          <w:tcPr>
            <w:tcW w:w="388" w:type="pct"/>
            <w:tcBorders>
              <w:top w:val="single" w:color="auto" w:sz="4" w:space="0"/>
              <w:left w:val="single" w:color="auto" w:sz="4" w:space="0"/>
            </w:tcBorders>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07" w:hRule="atLeast"/>
          <w:jc w:val="center"/>
        </w:trPr>
        <w:tc>
          <w:tcPr>
            <w:tcW w:w="453" w:type="pct"/>
            <w:vMerge w:val="restart"/>
            <w:tcBorders>
              <w:top w:val="single" w:color="auto" w:sz="4" w:space="0"/>
              <w:right w:val="single" w:color="auto" w:sz="4" w:space="0"/>
            </w:tcBorders>
            <w:vAlign w:val="center"/>
          </w:tcPr>
          <w:p>
            <w:pPr>
              <w:jc w:val="center"/>
              <w:rPr>
                <w:rFonts w:ascii="仿宋" w:hAnsi="仿宋" w:eastAsia="仿宋" w:cs="仿宋"/>
                <w:color w:val="auto"/>
                <w:sz w:val="24"/>
                <w:highlight w:val="none"/>
                <w:lang w:val="en-GB"/>
              </w:rPr>
            </w:pPr>
            <w:r>
              <w:rPr>
                <w:rFonts w:hint="eastAsia" w:ascii="仿宋" w:hAnsi="仿宋" w:eastAsia="仿宋" w:cs="仿宋"/>
                <w:color w:val="auto"/>
                <w:sz w:val="24"/>
                <w:highlight w:val="none"/>
                <w:lang w:val="en-GB"/>
              </w:rPr>
              <w:t>2</w:t>
            </w:r>
          </w:p>
        </w:tc>
        <w:tc>
          <w:tcPr>
            <w:tcW w:w="703" w:type="pct"/>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lang w:val="en-GB"/>
              </w:rPr>
            </w:pPr>
            <w:r>
              <w:rPr>
                <w:rFonts w:hint="eastAsia" w:ascii="仿宋" w:hAnsi="仿宋" w:eastAsia="仿宋" w:cs="仿宋"/>
                <w:color w:val="auto"/>
                <w:sz w:val="24"/>
                <w:highlight w:val="none"/>
                <w:lang w:val="en-GB"/>
              </w:rPr>
              <w:t>图件成果</w:t>
            </w:r>
          </w:p>
        </w:tc>
        <w:tc>
          <w:tcPr>
            <w:tcW w:w="146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普查单元分布图</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DWG</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27" w:hRule="atLeast"/>
          <w:jc w:val="center"/>
        </w:trPr>
        <w:tc>
          <w:tcPr>
            <w:tcW w:w="453" w:type="pct"/>
            <w:vMerge w:val="continue"/>
            <w:tcBorders>
              <w:right w:val="single" w:color="auto" w:sz="4" w:space="0"/>
            </w:tcBorders>
            <w:vAlign w:val="center"/>
          </w:tcPr>
          <w:p>
            <w:pPr>
              <w:jc w:val="center"/>
              <w:rPr>
                <w:rFonts w:ascii="仿宋" w:hAnsi="仿宋" w:eastAsia="仿宋" w:cs="仿宋"/>
                <w:color w:val="auto"/>
                <w:sz w:val="24"/>
                <w:highlight w:val="none"/>
                <w:lang w:val="en-GB"/>
              </w:rPr>
            </w:pPr>
          </w:p>
        </w:tc>
        <w:tc>
          <w:tcPr>
            <w:tcW w:w="703" w:type="pct"/>
            <w:vMerge w:val="continue"/>
            <w:tcBorders>
              <w:left w:val="single" w:color="auto" w:sz="4" w:space="0"/>
              <w:right w:val="single" w:color="auto" w:sz="4" w:space="0"/>
            </w:tcBorders>
            <w:vAlign w:val="center"/>
          </w:tcPr>
          <w:p>
            <w:pPr>
              <w:jc w:val="center"/>
              <w:rPr>
                <w:rFonts w:ascii="仿宋" w:hAnsi="仿宋" w:eastAsia="仿宋" w:cs="仿宋"/>
                <w:color w:val="auto"/>
                <w:sz w:val="24"/>
                <w:highlight w:val="none"/>
                <w:lang w:val="en-GB"/>
              </w:rPr>
            </w:pPr>
          </w:p>
        </w:tc>
        <w:tc>
          <w:tcPr>
            <w:tcW w:w="146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地下管线分布图</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DWG</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44" w:hRule="atLeast"/>
          <w:jc w:val="center"/>
        </w:trPr>
        <w:tc>
          <w:tcPr>
            <w:tcW w:w="453" w:type="pct"/>
            <w:vMerge w:val="restart"/>
            <w:tcBorders>
              <w:top w:val="single" w:color="auto" w:sz="4" w:space="0"/>
              <w:right w:val="single" w:color="auto" w:sz="4" w:space="0"/>
            </w:tcBorders>
            <w:vAlign w:val="center"/>
          </w:tcPr>
          <w:p>
            <w:pPr>
              <w:jc w:val="center"/>
              <w:rPr>
                <w:rFonts w:ascii="仿宋" w:hAnsi="仿宋" w:eastAsia="仿宋" w:cs="仿宋"/>
                <w:color w:val="auto"/>
                <w:sz w:val="24"/>
                <w:highlight w:val="none"/>
                <w:lang w:val="en-GB"/>
              </w:rPr>
            </w:pPr>
            <w:r>
              <w:rPr>
                <w:rFonts w:hint="eastAsia" w:ascii="仿宋" w:hAnsi="仿宋" w:eastAsia="仿宋" w:cs="仿宋"/>
                <w:color w:val="auto"/>
                <w:sz w:val="24"/>
                <w:highlight w:val="none"/>
                <w:lang w:val="en-GB"/>
              </w:rPr>
              <w:t>3</w:t>
            </w:r>
          </w:p>
        </w:tc>
        <w:tc>
          <w:tcPr>
            <w:tcW w:w="703" w:type="pct"/>
            <w:vMerge w:val="restar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lang w:val="en-GB"/>
              </w:rPr>
            </w:pPr>
            <w:r>
              <w:rPr>
                <w:rFonts w:hint="eastAsia" w:ascii="仿宋" w:hAnsi="仿宋" w:eastAsia="仿宋" w:cs="仿宋"/>
                <w:color w:val="auto"/>
                <w:sz w:val="24"/>
                <w:highlight w:val="none"/>
                <w:lang w:val="en-GB"/>
              </w:rPr>
              <w:t>文档成果</w:t>
            </w:r>
          </w:p>
        </w:tc>
        <w:tc>
          <w:tcPr>
            <w:tcW w:w="1461" w:type="pct"/>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技术设计书</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PDF</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纸质/光盘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281" w:hRule="atLeast"/>
          <w:jc w:val="center"/>
        </w:trPr>
        <w:tc>
          <w:tcPr>
            <w:tcW w:w="453" w:type="pct"/>
            <w:vMerge w:val="continue"/>
            <w:tcBorders>
              <w:right w:val="single" w:color="auto" w:sz="4" w:space="0"/>
            </w:tcBorders>
            <w:vAlign w:val="center"/>
          </w:tcPr>
          <w:p>
            <w:pPr>
              <w:jc w:val="center"/>
              <w:rPr>
                <w:rFonts w:ascii="仿宋" w:hAnsi="仿宋" w:eastAsia="仿宋" w:cs="仿宋"/>
                <w:color w:val="auto"/>
                <w:sz w:val="24"/>
                <w:highlight w:val="none"/>
                <w:lang w:val="en-GB"/>
              </w:rPr>
            </w:pPr>
          </w:p>
        </w:tc>
        <w:tc>
          <w:tcPr>
            <w:tcW w:w="703" w:type="pct"/>
            <w:vMerge w:val="continue"/>
            <w:tcBorders>
              <w:left w:val="single" w:color="auto" w:sz="4" w:space="0"/>
              <w:right w:val="single" w:color="auto" w:sz="4" w:space="0"/>
            </w:tcBorders>
            <w:vAlign w:val="center"/>
          </w:tcPr>
          <w:p>
            <w:pPr>
              <w:jc w:val="center"/>
              <w:rPr>
                <w:rFonts w:ascii="仿宋" w:hAnsi="仿宋" w:eastAsia="仿宋" w:cs="仿宋"/>
                <w:color w:val="auto"/>
                <w:sz w:val="24"/>
                <w:highlight w:val="none"/>
                <w:lang w:val="en-GB"/>
              </w:rPr>
            </w:pPr>
          </w:p>
        </w:tc>
        <w:tc>
          <w:tcPr>
            <w:tcW w:w="1461" w:type="pct"/>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技术总结</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PDF</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纸质/光盘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71" w:hRule="atLeast"/>
          <w:jc w:val="center"/>
        </w:trPr>
        <w:tc>
          <w:tcPr>
            <w:tcW w:w="453" w:type="pct"/>
            <w:vMerge w:val="continue"/>
            <w:tcBorders>
              <w:right w:val="single" w:color="auto" w:sz="4" w:space="0"/>
            </w:tcBorders>
            <w:vAlign w:val="center"/>
          </w:tcPr>
          <w:p>
            <w:pPr>
              <w:jc w:val="center"/>
              <w:rPr>
                <w:rFonts w:ascii="仿宋" w:hAnsi="仿宋" w:eastAsia="仿宋" w:cs="仿宋"/>
                <w:color w:val="auto"/>
                <w:sz w:val="24"/>
                <w:highlight w:val="none"/>
                <w:lang w:val="en-GB"/>
              </w:rPr>
            </w:pPr>
          </w:p>
        </w:tc>
        <w:tc>
          <w:tcPr>
            <w:tcW w:w="703" w:type="pct"/>
            <w:vMerge w:val="continue"/>
            <w:tcBorders>
              <w:left w:val="single" w:color="auto" w:sz="4" w:space="0"/>
              <w:right w:val="single" w:color="auto" w:sz="4" w:space="0"/>
            </w:tcBorders>
            <w:vAlign w:val="center"/>
          </w:tcPr>
          <w:p>
            <w:pPr>
              <w:jc w:val="center"/>
              <w:rPr>
                <w:rFonts w:ascii="仿宋" w:hAnsi="仿宋" w:eastAsia="仿宋" w:cs="仿宋"/>
                <w:color w:val="auto"/>
                <w:sz w:val="24"/>
                <w:highlight w:val="none"/>
                <w:lang w:val="en-GB"/>
              </w:rPr>
            </w:pPr>
          </w:p>
        </w:tc>
        <w:tc>
          <w:tcPr>
            <w:tcW w:w="1461" w:type="pct"/>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质量检验报告</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PDF</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纸质/光盘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420" w:hRule="atLeast"/>
          <w:jc w:val="center"/>
        </w:trPr>
        <w:tc>
          <w:tcPr>
            <w:tcW w:w="453" w:type="pct"/>
            <w:vMerge w:val="continue"/>
            <w:tcBorders>
              <w:bottom w:val="single" w:color="auto" w:sz="4" w:space="0"/>
              <w:right w:val="single" w:color="auto" w:sz="4" w:space="0"/>
            </w:tcBorders>
            <w:vAlign w:val="center"/>
          </w:tcPr>
          <w:p>
            <w:pPr>
              <w:jc w:val="center"/>
              <w:rPr>
                <w:rFonts w:ascii="仿宋" w:hAnsi="仿宋" w:eastAsia="仿宋" w:cs="仿宋"/>
                <w:color w:val="auto"/>
                <w:sz w:val="24"/>
                <w:highlight w:val="none"/>
                <w:lang w:val="en-GB"/>
              </w:rPr>
            </w:pPr>
          </w:p>
        </w:tc>
        <w:tc>
          <w:tcPr>
            <w:tcW w:w="703" w:type="pct"/>
            <w:vMerge w:val="continue"/>
            <w:tcBorders>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lang w:val="en-GB"/>
              </w:rPr>
            </w:pPr>
          </w:p>
        </w:tc>
        <w:tc>
          <w:tcPr>
            <w:tcW w:w="1461" w:type="pct"/>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验收意见</w:t>
            </w:r>
          </w:p>
        </w:tc>
        <w:tc>
          <w:tcPr>
            <w:tcW w:w="53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PDF</w:t>
            </w:r>
          </w:p>
        </w:tc>
        <w:tc>
          <w:tcPr>
            <w:tcW w:w="51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40"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纸质/光盘</w:t>
            </w:r>
          </w:p>
        </w:tc>
        <w:tc>
          <w:tcPr>
            <w:tcW w:w="388" w:type="pct"/>
            <w:tcBorders>
              <w:top w:val="single" w:color="auto" w:sz="4" w:space="0"/>
              <w:left w:val="single" w:color="auto" w:sz="4" w:space="0"/>
              <w:bottom w:val="single" w:color="auto" w:sz="4" w:space="0"/>
            </w:tcBorders>
            <w:vAlign w:val="center"/>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851" w:hRule="atLeast"/>
          <w:jc w:val="center"/>
        </w:trPr>
        <w:tc>
          <w:tcPr>
            <w:tcW w:w="453" w:type="pct"/>
            <w:tcBorders>
              <w:top w:val="single" w:color="auto" w:sz="4" w:space="0"/>
              <w:right w:val="single" w:color="auto" w:sz="4" w:space="0"/>
            </w:tcBorders>
            <w:vAlign w:val="center"/>
          </w:tcPr>
          <w:p>
            <w:pPr>
              <w:jc w:val="center"/>
              <w:rPr>
                <w:rFonts w:ascii="仿宋" w:hAnsi="仿宋" w:eastAsia="仿宋" w:cs="仿宋"/>
                <w:color w:val="auto"/>
                <w:sz w:val="24"/>
                <w:highlight w:val="none"/>
                <w:lang w:val="en-GB"/>
              </w:rPr>
            </w:pPr>
            <w:r>
              <w:rPr>
                <w:rFonts w:hint="eastAsia" w:ascii="仿宋" w:hAnsi="仿宋" w:eastAsia="仿宋" w:cs="仿宋"/>
                <w:color w:val="auto"/>
                <w:sz w:val="24"/>
                <w:highlight w:val="none"/>
                <w:lang w:val="en-GB"/>
              </w:rPr>
              <w:t>5</w:t>
            </w:r>
          </w:p>
        </w:tc>
        <w:tc>
          <w:tcPr>
            <w:tcW w:w="703" w:type="pc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lang w:val="en-GB"/>
              </w:rPr>
            </w:pPr>
            <w:r>
              <w:rPr>
                <w:rFonts w:hint="eastAsia" w:ascii="仿宋" w:hAnsi="仿宋" w:eastAsia="仿宋" w:cs="仿宋"/>
                <w:color w:val="auto"/>
                <w:sz w:val="24"/>
                <w:highlight w:val="none"/>
                <w:lang w:val="en-GB"/>
              </w:rPr>
              <w:t>其他材料</w:t>
            </w:r>
          </w:p>
        </w:tc>
        <w:tc>
          <w:tcPr>
            <w:tcW w:w="1461" w:type="pct"/>
            <w:tcBorders>
              <w:top w:val="single" w:color="auto" w:sz="4" w:space="0"/>
              <w:left w:val="single" w:color="auto" w:sz="4" w:space="0"/>
              <w:right w:val="single" w:color="auto" w:sz="4" w:space="0"/>
            </w:tcBorders>
            <w:vAlign w:val="center"/>
          </w:tcPr>
          <w:p>
            <w:pPr>
              <w:jc w:val="left"/>
              <w:rPr>
                <w:rFonts w:ascii="仿宋" w:hAnsi="仿宋" w:eastAsia="仿宋" w:cs="仿宋"/>
                <w:color w:val="auto"/>
                <w:sz w:val="24"/>
                <w:highlight w:val="none"/>
              </w:rPr>
            </w:pPr>
            <w:r>
              <w:rPr>
                <w:rFonts w:hint="eastAsia" w:ascii="仿宋" w:hAnsi="仿宋" w:eastAsia="仿宋" w:cs="仿宋"/>
                <w:color w:val="auto"/>
                <w:sz w:val="24"/>
                <w:highlight w:val="none"/>
              </w:rPr>
              <w:t>资料移交清单及其它必要资料的电子文档</w:t>
            </w:r>
          </w:p>
        </w:tc>
        <w:tc>
          <w:tcPr>
            <w:tcW w:w="538" w:type="pc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PDF</w:t>
            </w:r>
          </w:p>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/JPG等</w:t>
            </w:r>
          </w:p>
        </w:tc>
        <w:tc>
          <w:tcPr>
            <w:tcW w:w="517" w:type="pc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40" w:type="pct"/>
            <w:tcBorders>
              <w:top w:val="single" w:color="auto" w:sz="4" w:space="0"/>
              <w:left w:val="single" w:color="auto" w:sz="4" w:space="0"/>
              <w:right w:val="single" w:color="auto" w:sz="4" w:space="0"/>
            </w:tcBorders>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纸质/光盘</w:t>
            </w:r>
          </w:p>
        </w:tc>
        <w:tc>
          <w:tcPr>
            <w:tcW w:w="388" w:type="pct"/>
            <w:tcBorders>
              <w:top w:val="single" w:color="auto" w:sz="4" w:space="0"/>
              <w:left w:val="single" w:color="auto" w:sz="4" w:space="0"/>
            </w:tcBorders>
            <w:vAlign w:val="center"/>
          </w:tcPr>
          <w:p>
            <w:pPr>
              <w:jc w:val="center"/>
              <w:rPr>
                <w:rFonts w:ascii="仿宋" w:hAnsi="仿宋" w:eastAsia="仿宋" w:cs="仿宋"/>
                <w:color w:val="auto"/>
                <w:sz w:val="24"/>
                <w:highlight w:val="none"/>
              </w:rPr>
            </w:pPr>
          </w:p>
        </w:tc>
      </w:tr>
    </w:tbl>
    <w:p>
      <w:pPr>
        <w:pStyle w:val="59"/>
        <w:spacing w:before="0" w:after="0" w:line="360" w:lineRule="auto"/>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五、安全要求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中标供应商必须按规定程序和安全文明服务有关要求进行实施，承担服务过程中的各种意外其责任由中标供应商承担采购人不承担任何责任。</w:t>
      </w:r>
    </w:p>
    <w:p>
      <w:pPr>
        <w:rPr>
          <w:rFonts w:ascii="仿宋" w:hAnsi="仿宋" w:eastAsia="仿宋" w:cs="仿宋"/>
          <w:color w:val="auto"/>
          <w:sz w:val="24"/>
          <w:highlight w:val="none"/>
        </w:rPr>
      </w:pPr>
    </w:p>
    <w:p>
      <w:pPr>
        <w:pStyle w:val="59"/>
        <w:spacing w:before="0" w:after="0" w:line="360" w:lineRule="auto"/>
        <w:jc w:val="both"/>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六、商务要求</w:t>
      </w:r>
    </w:p>
    <w:p>
      <w:pPr>
        <w:spacing w:line="360" w:lineRule="auto"/>
        <w:ind w:firstLine="482" w:firstLineChars="200"/>
        <w:outlineLvl w:val="1"/>
        <w:rPr>
          <w:rFonts w:ascii="仿宋" w:hAnsi="仿宋" w:eastAsia="仿宋" w:cs="仿宋"/>
          <w:b/>
          <w:bCs/>
          <w:color w:val="auto"/>
          <w:sz w:val="24"/>
          <w:highlight w:val="none"/>
        </w:rPr>
      </w:pPr>
      <w:r>
        <w:rPr>
          <w:rFonts w:hint="eastAsia" w:ascii="仿宋" w:hAnsi="仿宋" w:eastAsia="仿宋" w:cs="仿宋"/>
          <w:b/>
          <w:bCs/>
          <w:color w:val="auto"/>
          <w:sz w:val="24"/>
          <w:highlight w:val="none"/>
        </w:rPr>
        <w:t>1、服务期限</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自合同签订之日起至项目完成验收、提交成果等工作。</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2024年9月</w:t>
      </w:r>
      <w:r>
        <w:rPr>
          <w:rFonts w:hint="eastAsia" w:ascii="仿宋" w:hAnsi="仿宋" w:eastAsia="仿宋" w:cs="仿宋"/>
          <w:color w:val="auto"/>
          <w:sz w:val="24"/>
          <w:highlight w:val="none"/>
          <w:lang w:val="en-US" w:eastAsia="zh-CN"/>
        </w:rPr>
        <w:t>20日</w:t>
      </w:r>
      <w:r>
        <w:rPr>
          <w:rFonts w:hint="eastAsia" w:ascii="仿宋" w:hAnsi="仿宋" w:eastAsia="仿宋" w:cs="仿宋"/>
          <w:color w:val="auto"/>
          <w:sz w:val="24"/>
          <w:highlight w:val="none"/>
        </w:rPr>
        <w:t>前完成项目地下管线、地下通道三维建模及普查区外地下管线普查与接边；2024年11月底前完成质检及采购人组织的项目整体验收并完成成果汇交工作。</w:t>
      </w:r>
    </w:p>
    <w:p>
      <w:pPr>
        <w:spacing w:line="360" w:lineRule="auto"/>
        <w:ind w:firstLine="482" w:firstLineChars="200"/>
        <w:outlineLvl w:val="1"/>
        <w:rPr>
          <w:rFonts w:ascii="仿宋" w:hAnsi="仿宋" w:eastAsia="仿宋" w:cs="仿宋"/>
          <w:b/>
          <w:bCs/>
          <w:color w:val="auto"/>
          <w:sz w:val="24"/>
          <w:highlight w:val="none"/>
        </w:rPr>
      </w:pPr>
      <w:r>
        <w:rPr>
          <w:rFonts w:hint="eastAsia" w:ascii="仿宋" w:hAnsi="仿宋" w:eastAsia="仿宋" w:cs="仿宋"/>
          <w:b/>
          <w:bCs/>
          <w:color w:val="auto"/>
          <w:sz w:val="24"/>
          <w:highlight w:val="none"/>
        </w:rPr>
        <w:t>2、数量调整</w:t>
      </w:r>
    </w:p>
    <w:p>
      <w:pPr>
        <w:pStyle w:val="182"/>
        <w:tabs>
          <w:tab w:val="left" w:pos="0"/>
        </w:tabs>
        <w:spacing w:before="0" w:line="460" w:lineRule="exact"/>
        <w:ind w:firstLine="480"/>
        <w:rPr>
          <w:rFonts w:ascii="仿宋" w:hAnsi="仿宋" w:eastAsia="仿宋" w:cs="仿宋"/>
          <w:color w:val="auto"/>
          <w:kern w:val="0"/>
          <w:szCs w:val="24"/>
          <w:highlight w:val="none"/>
        </w:rPr>
      </w:pPr>
      <w:r>
        <w:rPr>
          <w:rFonts w:hint="eastAsia" w:ascii="仿宋" w:hAnsi="仿宋" w:eastAsia="仿宋" w:cs="仿宋"/>
          <w:color w:val="auto"/>
          <w:szCs w:val="24"/>
          <w:highlight w:val="none"/>
        </w:rPr>
        <w:t>采购人保留在签约时微调部分服务的权力，</w:t>
      </w:r>
      <w:r>
        <w:rPr>
          <w:rFonts w:hint="eastAsia" w:ascii="仿宋" w:hAnsi="仿宋" w:eastAsia="仿宋" w:cs="仿宋"/>
          <w:color w:val="auto"/>
          <w:kern w:val="0"/>
          <w:szCs w:val="24"/>
          <w:highlight w:val="none"/>
        </w:rPr>
        <w:t>中标价一次性包死，结算时不再调整。</w:t>
      </w:r>
    </w:p>
    <w:p>
      <w:pPr>
        <w:spacing w:line="360" w:lineRule="auto"/>
        <w:ind w:firstLine="482" w:firstLineChars="200"/>
        <w:outlineLvl w:val="1"/>
        <w:rPr>
          <w:rFonts w:ascii="仿宋" w:hAnsi="仿宋" w:eastAsia="仿宋" w:cs="仿宋"/>
          <w:b/>
          <w:bCs/>
          <w:color w:val="auto"/>
          <w:sz w:val="24"/>
          <w:highlight w:val="none"/>
        </w:rPr>
      </w:pPr>
      <w:r>
        <w:rPr>
          <w:rFonts w:hint="eastAsia" w:ascii="仿宋" w:hAnsi="仿宋" w:eastAsia="仿宋" w:cs="仿宋"/>
          <w:b/>
          <w:bCs/>
          <w:color w:val="auto"/>
          <w:sz w:val="24"/>
          <w:highlight w:val="none"/>
        </w:rPr>
        <w:t>3、售后服务</w:t>
      </w:r>
    </w:p>
    <w:p>
      <w:pPr>
        <w:pStyle w:val="182"/>
        <w:tabs>
          <w:tab w:val="left" w:pos="0"/>
        </w:tabs>
        <w:spacing w:before="0" w:line="46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本项目验收完成后，中标人还需提供完整可行的售后服务，售后服务内容包括做好数据汇交，协助采购人进行数据更新维护，用户在使用过程中疑难问题的及时响应。</w:t>
      </w:r>
      <w:r>
        <w:rPr>
          <w:rFonts w:hint="eastAsia" w:ascii="仿宋" w:hAnsi="仿宋" w:eastAsia="仿宋" w:cs="仿宋"/>
          <w:color w:val="auto"/>
          <w:kern w:val="0"/>
          <w:szCs w:val="24"/>
          <w:highlight w:val="none"/>
        </w:rPr>
        <w:t>提供5*8小时的维护，提供7*24小时应急处理。</w:t>
      </w:r>
    </w:p>
    <w:p>
      <w:pPr>
        <w:spacing w:line="360" w:lineRule="auto"/>
        <w:ind w:firstLine="482" w:firstLineChars="200"/>
        <w:outlineLvl w:val="1"/>
        <w:rPr>
          <w:rFonts w:ascii="仿宋" w:hAnsi="仿宋" w:eastAsia="仿宋" w:cs="仿宋"/>
          <w:b/>
          <w:bCs/>
          <w:color w:val="auto"/>
          <w:sz w:val="24"/>
          <w:highlight w:val="none"/>
        </w:rPr>
      </w:pPr>
      <w:r>
        <w:rPr>
          <w:rFonts w:hint="eastAsia" w:ascii="仿宋" w:hAnsi="仿宋" w:eastAsia="仿宋" w:cs="仿宋"/>
          <w:b/>
          <w:bCs/>
          <w:color w:val="auto"/>
          <w:sz w:val="24"/>
          <w:highlight w:val="none"/>
        </w:rPr>
        <w:t>4、支付方式</w:t>
      </w:r>
    </w:p>
    <w:p>
      <w:pPr>
        <w:pStyle w:val="182"/>
        <w:tabs>
          <w:tab w:val="left" w:pos="0"/>
        </w:tabs>
        <w:spacing w:before="0" w:line="460" w:lineRule="exact"/>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合同签订后支付合同总价的30%；完成项目地下管线、地下通道三维建模及普查区外地下管线普查与接边后支付合同总价的40%；项目通过质检和验收并提交所有成果后支付合同总价的30%。</w:t>
      </w:r>
    </w:p>
    <w:p>
      <w:pPr>
        <w:tabs>
          <w:tab w:val="left" w:pos="3870"/>
          <w:tab w:val="left" w:pos="4085"/>
        </w:tabs>
        <w:autoSpaceDE w:val="0"/>
        <w:autoSpaceDN w:val="0"/>
        <w:adjustRightInd w:val="0"/>
        <w:spacing w:line="440" w:lineRule="exact"/>
        <w:ind w:left="180" w:hanging="180" w:hangingChars="75"/>
        <w:jc w:val="left"/>
        <w:rPr>
          <w:rFonts w:ascii="仿宋" w:hAnsi="仿宋" w:eastAsia="仿宋" w:cs="仿宋"/>
          <w:color w:val="auto"/>
          <w:sz w:val="24"/>
          <w:highlight w:val="none"/>
        </w:rPr>
      </w:pPr>
    </w:p>
    <w:bookmarkEnd w:id="5"/>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（货物类）</w:t>
      </w:r>
    </w:p>
    <w:p>
      <w:pPr>
        <w:pStyle w:val="311"/>
        <w:ind w:left="0" w:leftChars="0" w:firstLine="0" w:firstLineChars="0"/>
        <w:rPr>
          <w:rFonts w:ascii="仿宋_GB2312" w:hAnsi="仿宋" w:eastAsia="仿宋_GB2312" w:cs="仿宋"/>
          <w:color w:val="auto"/>
          <w:szCs w:val="24"/>
          <w:highlight w:val="none"/>
        </w:rPr>
      </w:pPr>
    </w:p>
    <w:p>
      <w:pPr>
        <w:pStyle w:val="311"/>
        <w:jc w:val="center"/>
        <w:rPr>
          <w:rFonts w:ascii="仿宋_GB2312" w:hAnsi="仿宋" w:eastAsia="仿宋_GB2312" w:cs="仿宋"/>
          <w:color w:val="auto"/>
          <w:szCs w:val="24"/>
          <w:highlight w:val="none"/>
        </w:rPr>
      </w:pPr>
    </w:p>
    <w:p>
      <w:pPr>
        <w:pStyle w:val="311"/>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pStyle w:val="311"/>
        <w:rPr>
          <w:rFonts w:ascii="仿宋_GB2312" w:hAnsi="仿宋" w:eastAsia="仿宋_GB2312" w:cs="仿宋"/>
          <w:color w:val="auto"/>
          <w:szCs w:val="24"/>
          <w:highlight w:val="none"/>
        </w:rPr>
      </w:pPr>
    </w:p>
    <w:p>
      <w:pPr>
        <w:pStyle w:val="311"/>
        <w:rPr>
          <w:rFonts w:ascii="仿宋_GB2312" w:hAnsi="仿宋" w:eastAsia="仿宋_GB2312" w:cs="仿宋"/>
          <w:color w:val="auto"/>
          <w:szCs w:val="24"/>
          <w:highlight w:val="none"/>
        </w:rPr>
      </w:pP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10"/>
        <w:spacing w:before="120" w:line="22" w:lineRule="atLeast"/>
        <w:rPr>
          <w:rFonts w:hAnsi="仿宋" w:cs="仿宋"/>
          <w:color w:val="auto"/>
          <w:szCs w:val="24"/>
          <w:highlight w:val="none"/>
        </w:rPr>
      </w:pPr>
    </w:p>
    <w:p>
      <w:pPr>
        <w:pStyle w:val="310"/>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4" w:type="default"/>
          <w:footerReference r:id="rId5" w:type="default"/>
          <w:pgSz w:w="11907" w:h="16840"/>
          <w:pgMar w:top="1814" w:right="1474" w:bottom="1814" w:left="1474" w:header="851" w:footer="851" w:gutter="0"/>
          <w:cols w:space="720" w:num="1"/>
          <w:titlePg/>
          <w:docGrid w:linePitch="286" w:charSpace="0"/>
        </w:sectPr>
      </w:pP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（项目名称、编号）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w:t>
      </w:r>
      <w:r>
        <w:rPr>
          <w:rFonts w:hint="eastAsia" w:ascii="仿宋_GB2312" w:hAnsi="仿宋" w:eastAsia="仿宋_GB2312" w:cs="仿宋"/>
          <w:color w:val="auto"/>
          <w:sz w:val="24"/>
          <w:highlight w:val="none"/>
        </w:rPr>
        <w:t>为该项目中标或者成交供应商。现于中标或者成交通知书发出之日起10个工作日内，按照采购文件等确定的事项签订本合同。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560" w:lineRule="exact"/>
        <w:ind w:firstLine="482" w:firstLineChars="200"/>
        <w:outlineLvl w:val="0"/>
        <w:rPr>
          <w:rFonts w:ascii="仿宋_GB2312" w:hAnsi="仿宋" w:eastAsia="仿宋_GB2312" w:cs="仿宋"/>
          <w:b/>
          <w:color w:val="auto"/>
          <w:sz w:val="24"/>
          <w:highlight w:val="none"/>
        </w:rPr>
      </w:pPr>
      <w:bookmarkStart w:id="81" w:name="_Toc2232"/>
      <w:bookmarkStart w:id="82" w:name="_Toc3029"/>
      <w:bookmarkStart w:id="83" w:name="_Toc24059"/>
      <w:r>
        <w:rPr>
          <w:rFonts w:hint="eastAsia" w:ascii="仿宋_GB2312" w:hAnsi="仿宋" w:eastAsia="仿宋_GB2312" w:cs="仿宋"/>
          <w:b/>
          <w:color w:val="auto"/>
          <w:sz w:val="24"/>
          <w:highlight w:val="none"/>
        </w:rPr>
        <w:t>1.1 合同组成部分</w:t>
      </w:r>
      <w:bookmarkEnd w:id="81"/>
      <w:bookmarkEnd w:id="82"/>
      <w:bookmarkEnd w:id="8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560" w:lineRule="exact"/>
        <w:ind w:firstLine="482" w:firstLineChars="200"/>
        <w:outlineLvl w:val="0"/>
        <w:rPr>
          <w:rFonts w:ascii="仿宋_GB2312" w:hAnsi="仿宋" w:eastAsia="仿宋_GB2312" w:cs="仿宋"/>
          <w:b/>
          <w:color w:val="auto"/>
          <w:sz w:val="24"/>
          <w:highlight w:val="none"/>
        </w:rPr>
      </w:pPr>
      <w:bookmarkStart w:id="84" w:name="_Toc21295"/>
      <w:bookmarkStart w:id="85" w:name="_Toc24300"/>
      <w:bookmarkStart w:id="86" w:name="_Toc27126"/>
      <w:r>
        <w:rPr>
          <w:rFonts w:hint="eastAsia" w:ascii="仿宋_GB2312" w:hAnsi="仿宋" w:eastAsia="仿宋_GB2312" w:cs="仿宋"/>
          <w:b/>
          <w:color w:val="auto"/>
          <w:sz w:val="24"/>
          <w:highlight w:val="none"/>
        </w:rPr>
        <w:t>1.2 货物</w:t>
      </w:r>
      <w:bookmarkEnd w:id="84"/>
      <w:bookmarkEnd w:id="85"/>
      <w:bookmarkEnd w:id="86"/>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货物质量：</w:t>
      </w:r>
      <w:r>
        <w:rPr>
          <w:rFonts w:hint="eastAsia" w:ascii="仿宋_GB2312" w:hAnsi="仿宋" w:eastAsia="仿宋_GB2312" w:cs="仿宋"/>
          <w:color w:val="auto"/>
          <w:sz w:val="24"/>
          <w:highlight w:val="none"/>
          <w:u w:val="single"/>
        </w:rPr>
        <w:t>　　　　　　　　　                      　      ；</w:t>
      </w:r>
    </w:p>
    <w:p>
      <w:pPr>
        <w:spacing w:line="560" w:lineRule="exact"/>
        <w:ind w:firstLine="482" w:firstLineChars="200"/>
        <w:outlineLvl w:val="0"/>
        <w:rPr>
          <w:rFonts w:ascii="仿宋_GB2312" w:hAnsi="仿宋" w:eastAsia="仿宋_GB2312" w:cs="仿宋"/>
          <w:b/>
          <w:color w:val="auto"/>
          <w:sz w:val="24"/>
          <w:highlight w:val="none"/>
        </w:rPr>
      </w:pPr>
      <w:bookmarkStart w:id="87" w:name="_Toc21551"/>
      <w:bookmarkStart w:id="88" w:name="_Toc21631"/>
      <w:bookmarkStart w:id="89" w:name="_Toc23292"/>
      <w:r>
        <w:rPr>
          <w:rFonts w:hint="eastAsia" w:ascii="仿宋_GB2312" w:hAnsi="仿宋" w:eastAsia="仿宋_GB2312" w:cs="仿宋"/>
          <w:b/>
          <w:color w:val="auto"/>
          <w:sz w:val="24"/>
          <w:highlight w:val="none"/>
        </w:rPr>
        <w:t>1.3 价款</w:t>
      </w:r>
      <w:bookmarkEnd w:id="87"/>
      <w:bookmarkEnd w:id="88"/>
      <w:bookmarkEnd w:id="8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09"/>
              <w:spacing w:line="560" w:lineRule="exact"/>
              <w:ind w:firstLine="200"/>
              <w:jc w:val="center"/>
              <w:rPr>
                <w:rFonts w:ascii="仿宋_GB2312" w:hAnsi="仿宋" w:eastAsia="仿宋_GB2312" w:cs="仿宋"/>
                <w:color w:val="auto"/>
                <w:sz w:val="24"/>
                <w:szCs w:val="24"/>
                <w:highlight w:val="none"/>
              </w:rPr>
            </w:pPr>
          </w:p>
        </w:tc>
      </w:tr>
    </w:tbl>
    <w:p>
      <w:pPr>
        <w:pStyle w:val="312"/>
        <w:spacing w:before="0" w:beforeAutospacing="0" w:after="0" w:afterAutospacing="0" w:line="360" w:lineRule="auto"/>
        <w:ind w:firstLine="480"/>
        <w:rPr>
          <w:rFonts w:ascii="仿宋_GB2312" w:hAnsi="仿宋" w:eastAsia="仿宋_GB2312" w:cs="仿宋"/>
          <w:b/>
          <w:color w:val="auto"/>
          <w:highlight w:val="none"/>
        </w:rPr>
      </w:pPr>
      <w:bookmarkStart w:id="90" w:name="_Toc10340"/>
      <w:bookmarkStart w:id="91" w:name="_Toc1814"/>
      <w:bookmarkStart w:id="92" w:name="_Toc22618"/>
      <w:r>
        <w:rPr>
          <w:rFonts w:hint="eastAsia" w:ascii="仿宋_GB2312" w:hAnsi="仿宋" w:eastAsia="仿宋_GB2312" w:cs="仿宋"/>
          <w:b/>
          <w:color w:val="auto"/>
          <w:highlight w:val="none"/>
        </w:rPr>
        <w:t>1.4履约保证金</w:t>
      </w:r>
    </w:p>
    <w:p>
      <w:pPr>
        <w:pStyle w:val="312"/>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56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rPr>
        <w:t>1.4.4 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56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90"/>
      <w:bookmarkEnd w:id="91"/>
      <w:bookmarkEnd w:id="92"/>
      <w:r>
        <w:rPr>
          <w:rFonts w:hint="eastAsia" w:ascii="仿宋_GB2312" w:hAnsi="仿宋" w:eastAsia="仿宋_GB2312" w:cs="仿宋"/>
          <w:b/>
          <w:color w:val="auto"/>
          <w:sz w:val="24"/>
          <w:highlight w:val="none"/>
        </w:rPr>
        <w:t>预付款</w:t>
      </w:r>
    </w:p>
    <w:p>
      <w:pPr>
        <w:pStyle w:val="312"/>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56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2"/>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pacing w:before="0" w:beforeAutospacing="0" w:after="0" w:afterAutospacing="0" w:line="360" w:lineRule="auto"/>
        <w:ind w:firstLine="48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2"/>
        <w:spacing w:before="0" w:beforeAutospacing="0" w:after="0" w:afterAutospacing="0" w:line="360" w:lineRule="auto"/>
        <w:ind w:firstLine="48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2"/>
        <w:spacing w:before="0" w:beforeAutospacing="0" w:after="0" w:afterAutospacing="0" w:line="360" w:lineRule="auto"/>
        <w:ind w:firstLine="48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93" w:name="_Toc19304"/>
      <w:bookmarkStart w:id="94" w:name="_Toc32071"/>
      <w:bookmarkStart w:id="95" w:name="_Toc2846"/>
      <w:r>
        <w:rPr>
          <w:rFonts w:hint="eastAsia" w:ascii="仿宋_GB2312" w:hAnsi="仿宋" w:eastAsia="仿宋_GB2312" w:cs="仿宋"/>
          <w:b/>
          <w:color w:val="auto"/>
          <w:sz w:val="24"/>
          <w:highlight w:val="none"/>
        </w:rPr>
        <w:t>1.7货物交付期限、地点和方式</w:t>
      </w:r>
      <w:bookmarkEnd w:id="93"/>
      <w:bookmarkEnd w:id="94"/>
      <w:bookmarkEnd w:id="95"/>
    </w:p>
    <w:p>
      <w:pPr>
        <w:spacing w:line="56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96" w:name="_Toc19554"/>
      <w:bookmarkStart w:id="97" w:name="_Toc27250"/>
      <w:bookmarkStart w:id="98" w:name="_Toc21423"/>
      <w:r>
        <w:rPr>
          <w:rFonts w:hint="eastAsia" w:ascii="仿宋_GB2312" w:hAnsi="仿宋" w:eastAsia="仿宋_GB2312" w:cs="仿宋"/>
          <w:b/>
          <w:color w:val="auto"/>
          <w:sz w:val="24"/>
          <w:highlight w:val="none"/>
        </w:rPr>
        <w:t>1.8违约责任</w:t>
      </w:r>
      <w:bookmarkEnd w:id="96"/>
      <w:bookmarkEnd w:id="97"/>
      <w:bookmarkEnd w:id="9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1.8.6违约责任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p>
      <w:pPr>
        <w:spacing w:line="560" w:lineRule="exact"/>
        <w:ind w:firstLine="482" w:firstLineChars="200"/>
        <w:outlineLvl w:val="0"/>
        <w:rPr>
          <w:rFonts w:ascii="仿宋_GB2312" w:hAnsi="仿宋" w:eastAsia="仿宋_GB2312" w:cs="仿宋"/>
          <w:b/>
          <w:color w:val="auto"/>
          <w:sz w:val="24"/>
          <w:highlight w:val="none"/>
        </w:rPr>
      </w:pPr>
      <w:bookmarkStart w:id="99" w:name="_Toc15583"/>
      <w:bookmarkStart w:id="100" w:name="_Toc28375"/>
      <w:bookmarkStart w:id="101" w:name="_Toc16021"/>
      <w:r>
        <w:rPr>
          <w:rFonts w:hint="eastAsia" w:ascii="仿宋_GB2312" w:hAnsi="仿宋" w:eastAsia="仿宋_GB2312" w:cs="仿宋"/>
          <w:b/>
          <w:color w:val="auto"/>
          <w:sz w:val="24"/>
          <w:highlight w:val="none"/>
        </w:rPr>
        <w:t>1.9合同争议的解决</w:t>
      </w:r>
      <w:bookmarkEnd w:id="99"/>
      <w:bookmarkEnd w:id="100"/>
      <w:bookmarkEnd w:id="101"/>
    </w:p>
    <w:p>
      <w:pPr>
        <w:spacing w:line="560" w:lineRule="exact"/>
        <w:ind w:left="-61" w:leftChars="-29" w:right="-420" w:rightChars="-200" w:firstLine="240" w:firstLineChars="1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_GB2312" w:hAnsi="仿宋" w:eastAsia="仿宋_GB2312" w:cs="仿宋"/>
          <w:b/>
          <w:i/>
          <w:color w:val="auto"/>
          <w:sz w:val="24"/>
          <w:highlight w:val="none"/>
          <w:u w:val="single"/>
        </w:rPr>
        <w:t xml:space="preserve">      </w:t>
      </w:r>
      <w:r>
        <w:rPr>
          <w:rFonts w:hint="eastAsia" w:ascii="仿宋_GB2312" w:hAnsi="仿宋" w:eastAsia="仿宋_GB2312" w:cs="仿宋"/>
          <w:color w:val="auto"/>
          <w:sz w:val="24"/>
          <w:highlight w:val="none"/>
        </w:rPr>
        <w:t>条款规定的方式解决：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 将争议提交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仲裁委员会依申请仲裁时其现行有效的仲裁规则裁决；</w:t>
      </w:r>
    </w:p>
    <w:p>
      <w:pPr>
        <w:spacing w:line="560" w:lineRule="exact"/>
        <w:ind w:left="-420" w:leftChars="-200" w:right="-420" w:rightChars="-200" w:firstLine="840" w:firstLineChars="3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 向</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人民法院起诉。</w:t>
      </w:r>
    </w:p>
    <w:p>
      <w:pPr>
        <w:spacing w:line="560" w:lineRule="exact"/>
        <w:ind w:firstLine="482" w:firstLineChars="200"/>
        <w:outlineLvl w:val="0"/>
        <w:rPr>
          <w:rFonts w:ascii="仿宋_GB2312" w:hAnsi="仿宋" w:eastAsia="仿宋_GB2312" w:cs="仿宋"/>
          <w:b/>
          <w:color w:val="auto"/>
          <w:sz w:val="24"/>
          <w:highlight w:val="none"/>
        </w:rPr>
      </w:pPr>
      <w:bookmarkStart w:id="102" w:name="_Toc7245"/>
      <w:bookmarkStart w:id="103" w:name="_Toc15322"/>
      <w:bookmarkStart w:id="104" w:name="_Toc11173"/>
      <w:r>
        <w:rPr>
          <w:rFonts w:hint="eastAsia" w:ascii="仿宋_GB2312" w:hAnsi="仿宋" w:eastAsia="仿宋_GB2312" w:cs="仿宋"/>
          <w:b/>
          <w:color w:val="auto"/>
          <w:sz w:val="24"/>
          <w:highlight w:val="none"/>
        </w:rPr>
        <w:t>2.0 合同生效</w:t>
      </w:r>
      <w:bookmarkEnd w:id="102"/>
      <w:bookmarkEnd w:id="103"/>
      <w:bookmarkEnd w:id="104"/>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本合同自双方当事人盖章签字时生效。</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560" w:lineRule="exact"/>
        <w:rPr>
          <w:rFonts w:ascii="仿宋_GB2312" w:hAnsi="仿宋" w:eastAsia="仿宋_GB2312" w:cs="仿宋"/>
          <w:color w:val="auto"/>
          <w:sz w:val="24"/>
          <w:highlight w:val="none"/>
          <w:lang w:val="zh-CN"/>
        </w:rPr>
      </w:pP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或授权代表（签字）: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56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5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pStyle w:val="311"/>
        <w:spacing w:line="560" w:lineRule="exact"/>
        <w:ind w:firstLine="482"/>
        <w:jc w:val="center"/>
        <w:rPr>
          <w:rFonts w:ascii="仿宋_GB2312" w:hAnsi="仿宋" w:eastAsia="仿宋_GB2312" w:cs="仿宋"/>
          <w:b/>
          <w:color w:val="auto"/>
          <w:szCs w:val="24"/>
          <w:highlight w:val="none"/>
        </w:rPr>
      </w:pPr>
    </w:p>
    <w:p>
      <w:pPr>
        <w:pStyle w:val="311"/>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105" w:name="_Ref467379195"/>
      <w:bookmarkStart w:id="106" w:name="_Ref467379225"/>
      <w:bookmarkStart w:id="107" w:name="_Ref467378404"/>
      <w:bookmarkStart w:id="108" w:name="_Ref467379205"/>
      <w:bookmarkStart w:id="109" w:name="_Toc16917"/>
      <w:bookmarkStart w:id="110" w:name="_Ref467379101"/>
      <w:bookmarkStart w:id="111" w:name="_Toc279701240"/>
      <w:bookmarkStart w:id="112" w:name="_Toc28763"/>
      <w:bookmarkStart w:id="113" w:name="_Ref467379214"/>
      <w:bookmarkStart w:id="114" w:name="_Ref467379094"/>
      <w:bookmarkStart w:id="115" w:name="_Ref467378463"/>
      <w:bookmarkStart w:id="116" w:name="_Ref467379109"/>
      <w:bookmarkStart w:id="117" w:name="_Toc19614"/>
      <w:bookmarkStart w:id="118" w:name="_Toc259093669"/>
      <w:bookmarkStart w:id="119" w:name="_Toc487900349"/>
      <w:bookmarkStart w:id="120" w:name="_Ref467378499"/>
      <w:r>
        <w:rPr>
          <w:rFonts w:hint="eastAsia" w:ascii="仿宋_GB2312" w:hAnsi="仿宋" w:eastAsia="仿宋_GB2312" w:cs="仿宋"/>
          <w:b/>
          <w:color w:val="auto"/>
          <w:sz w:val="24"/>
          <w:highlight w:val="none"/>
        </w:rPr>
        <w:t>2.1 定义</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s="仿宋"/>
          <w:color w:val="auto"/>
          <w:sz w:val="24"/>
          <w:highlight w:val="none"/>
        </w:rPr>
      </w:pPr>
      <w:bookmarkStart w:id="121" w:name="_Ref467378840"/>
      <w:r>
        <w:rPr>
          <w:rFonts w:hint="eastAsia" w:ascii="仿宋_GB2312" w:hAnsi="仿宋" w:eastAsia="仿宋_GB2312" w:cs="仿宋"/>
          <w:color w:val="auto"/>
          <w:sz w:val="24"/>
          <w:highlight w:val="none"/>
        </w:rPr>
        <w:t>2.1.4 “甲方”系指与中标或成交供应商签署合同的采购人</w:t>
      </w:r>
      <w:bookmarkEnd w:id="121"/>
      <w:r>
        <w:rPr>
          <w:rFonts w:hint="eastAsia" w:ascii="仿宋_GB2312" w:hAnsi="仿宋" w:eastAsia="仿宋_GB2312" w:cs="仿宋"/>
          <w:color w:val="auto"/>
          <w:sz w:val="24"/>
          <w:highlight w:val="none"/>
        </w:rPr>
        <w:t>；采购人委托采购代理机构代表其与乙方签订合同的，采购人的授权委托书作为合同附件。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bookmarkStart w:id="122" w:name="_Ref467379400"/>
      <w:r>
        <w:rPr>
          <w:rFonts w:hint="eastAsia" w:ascii="仿宋_GB2312" w:hAnsi="仿宋" w:eastAsia="仿宋_GB2312" w:cs="仿宋"/>
          <w:color w:val="auto"/>
          <w:sz w:val="24"/>
          <w:highlight w:val="none"/>
        </w:rPr>
        <w:t>2.1.5 “乙方”系指根据合同约定交付货物的中标或成交供应商</w:t>
      </w:r>
      <w:bookmarkEnd w:id="122"/>
      <w:r>
        <w:rPr>
          <w:rFonts w:hint="eastAsia" w:ascii="仿宋_GB2312" w:hAnsi="仿宋" w:eastAsia="仿宋_GB2312"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bookmarkStart w:id="123" w:name="_Ref467379436"/>
      <w:r>
        <w:rPr>
          <w:rFonts w:hint="eastAsia" w:ascii="仿宋_GB2312" w:hAnsi="仿宋" w:eastAsia="仿宋_GB2312" w:cs="仿宋"/>
          <w:color w:val="auto"/>
          <w:sz w:val="24"/>
          <w:highlight w:val="none"/>
        </w:rPr>
        <w:t>2.1.6 “现场”系指合同约定货物将要运至或者安装的地点。</w:t>
      </w:r>
      <w:bookmarkEnd w:id="123"/>
    </w:p>
    <w:p>
      <w:pPr>
        <w:spacing w:line="560" w:lineRule="exact"/>
        <w:ind w:firstLine="482" w:firstLineChars="200"/>
        <w:outlineLvl w:val="0"/>
        <w:rPr>
          <w:rFonts w:ascii="仿宋_GB2312" w:hAnsi="仿宋" w:eastAsia="仿宋_GB2312" w:cs="仿宋"/>
          <w:b/>
          <w:color w:val="auto"/>
          <w:sz w:val="24"/>
          <w:highlight w:val="none"/>
        </w:rPr>
      </w:pPr>
      <w:bookmarkStart w:id="124" w:name="_Toc32504"/>
      <w:bookmarkStart w:id="125" w:name="_Toc279701241"/>
      <w:bookmarkStart w:id="126" w:name="_Toc27635"/>
      <w:bookmarkStart w:id="127" w:name="_Toc259093670"/>
      <w:bookmarkStart w:id="128" w:name="_Toc13336"/>
      <w:bookmarkStart w:id="129" w:name="_Toc487900350"/>
      <w:r>
        <w:rPr>
          <w:rFonts w:hint="eastAsia" w:ascii="仿宋_GB2312" w:hAnsi="仿宋" w:eastAsia="仿宋_GB2312" w:cs="仿宋"/>
          <w:b/>
          <w:color w:val="auto"/>
          <w:sz w:val="24"/>
          <w:highlight w:val="none"/>
        </w:rPr>
        <w:t>2.2 技术规范</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130" w:name="_Toc279701242"/>
      <w:bookmarkStart w:id="131" w:name="_Toc487900351"/>
      <w:bookmarkStart w:id="132" w:name="_Toc259093671"/>
      <w:bookmarkStart w:id="133" w:name="_Toc27853"/>
      <w:bookmarkStart w:id="134" w:name="_Toc9829"/>
      <w:bookmarkStart w:id="135" w:name="_Toc31634"/>
      <w:r>
        <w:rPr>
          <w:rFonts w:hint="eastAsia" w:ascii="仿宋_GB2312" w:hAnsi="仿宋" w:eastAsia="仿宋_GB2312" w:cs="仿宋"/>
          <w:b/>
          <w:color w:val="auto"/>
          <w:sz w:val="24"/>
          <w:highlight w:val="none"/>
        </w:rPr>
        <w:t>2.3 知识产权</w:t>
      </w:r>
      <w:bookmarkEnd w:id="130"/>
      <w:bookmarkEnd w:id="131"/>
      <w:bookmarkEnd w:id="132"/>
      <w:bookmarkEnd w:id="133"/>
      <w:bookmarkEnd w:id="134"/>
      <w:bookmarkEnd w:id="13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2.3.2具有知识产权的计算机软件等货物的知识产权归属，详见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36" w:name="_Toc29149"/>
      <w:bookmarkStart w:id="137" w:name="_Toc4194"/>
      <w:bookmarkStart w:id="138" w:name="_Toc11932"/>
      <w:r>
        <w:rPr>
          <w:rFonts w:hint="eastAsia" w:ascii="仿宋_GB2312" w:hAnsi="仿宋" w:eastAsia="仿宋_GB2312" w:cs="仿宋"/>
          <w:b/>
          <w:color w:val="auto"/>
          <w:sz w:val="24"/>
          <w:highlight w:val="none"/>
        </w:rPr>
        <w:t>2.4 包装和装运</w:t>
      </w:r>
      <w:bookmarkEnd w:id="136"/>
      <w:bookmarkEnd w:id="137"/>
      <w:bookmarkEnd w:id="13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2.4.1除</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 装运货物的要求和通知，详见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39" w:name="_Toc279701245"/>
      <w:bookmarkStart w:id="140" w:name="_Ref467378591"/>
      <w:bookmarkStart w:id="141" w:name="_Toc259093674"/>
      <w:bookmarkStart w:id="142" w:name="_Ref467379536"/>
      <w:bookmarkStart w:id="143" w:name="_Toc487900354"/>
      <w:bookmarkStart w:id="144" w:name="_Ref467379527"/>
      <w:bookmarkStart w:id="145" w:name="_Ref467378541"/>
      <w:bookmarkStart w:id="146" w:name="_Ref467379542"/>
      <w:bookmarkStart w:id="147" w:name="_Toc30272"/>
      <w:bookmarkStart w:id="148" w:name="_Toc26182"/>
      <w:bookmarkStart w:id="149" w:name="_Toc19074"/>
      <w:r>
        <w:rPr>
          <w:rFonts w:hint="eastAsia" w:ascii="仿宋_GB2312" w:hAnsi="仿宋" w:eastAsia="仿宋_GB2312" w:cs="仿宋"/>
          <w:b/>
          <w:color w:val="auto"/>
          <w:sz w:val="24"/>
          <w:highlight w:val="none"/>
        </w:rPr>
        <w:t>2.</w:t>
      </w:r>
      <w:bookmarkEnd w:id="139"/>
      <w:bookmarkEnd w:id="140"/>
      <w:bookmarkEnd w:id="141"/>
      <w:bookmarkEnd w:id="142"/>
      <w:bookmarkEnd w:id="143"/>
      <w:bookmarkEnd w:id="144"/>
      <w:bookmarkEnd w:id="145"/>
      <w:bookmarkEnd w:id="146"/>
      <w:r>
        <w:rPr>
          <w:rFonts w:hint="eastAsia" w:ascii="仿宋_GB2312" w:hAnsi="仿宋" w:eastAsia="仿宋_GB2312" w:cs="仿宋"/>
          <w:b/>
          <w:color w:val="auto"/>
          <w:sz w:val="24"/>
          <w:highlight w:val="none"/>
        </w:rPr>
        <w:t>5 履约检查和问题反馈</w:t>
      </w:r>
      <w:bookmarkEnd w:id="147"/>
      <w:bookmarkEnd w:id="148"/>
      <w:bookmarkEnd w:id="149"/>
    </w:p>
    <w:p>
      <w:pPr>
        <w:spacing w:line="560" w:lineRule="exact"/>
        <w:ind w:firstLine="480" w:firstLineChars="200"/>
        <w:rPr>
          <w:rFonts w:ascii="仿宋_GB2312" w:hAnsi="仿宋" w:eastAsia="仿宋_GB2312" w:cs="仿宋"/>
          <w:color w:val="auto"/>
          <w:sz w:val="24"/>
          <w:highlight w:val="none"/>
        </w:rPr>
      </w:pPr>
      <w:bookmarkStart w:id="150" w:name="_Ref467379657"/>
      <w:r>
        <w:rPr>
          <w:rFonts w:hint="eastAsia" w:ascii="仿宋_GB2312" w:hAnsi="仿宋" w:eastAsia="仿宋_GB2312" w:cs="仿宋"/>
          <w:color w:val="auto"/>
          <w:sz w:val="24"/>
          <w:highlight w:val="none"/>
        </w:rPr>
        <w:t>2.5.1</w:t>
      </w:r>
      <w:bookmarkEnd w:id="150"/>
      <w:bookmarkStart w:id="151" w:name="_Toc186431854"/>
      <w:bookmarkStart w:id="152" w:name="_Ref467379793"/>
      <w:bookmarkStart w:id="153" w:name="_Toc279701247"/>
      <w:bookmarkStart w:id="154" w:name="_Toc259093676"/>
      <w:bookmarkStart w:id="155" w:name="_Ref467379807"/>
      <w:bookmarkStart w:id="156" w:name="_Toc487900357"/>
      <w:r>
        <w:rPr>
          <w:rFonts w:hint="eastAsia" w:ascii="仿宋_GB2312" w:hAnsi="仿宋" w:eastAsia="仿宋_GB2312"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2.5.2 合同履行期间，甲方有权将履行过程中出现的问题反馈给乙方，双方当事人应以书面形式约定需要完善和改进的内容</w:t>
      </w:r>
      <w:bookmarkEnd w:id="151"/>
      <w:bookmarkStart w:id="157" w:name="_Toc186431855"/>
      <w:r>
        <w:rPr>
          <w:rFonts w:hint="eastAsia" w:ascii="仿宋_GB2312" w:hAnsi="仿宋" w:eastAsia="仿宋_GB2312" w:cs="仿宋"/>
          <w:color w:val="auto"/>
          <w:sz w:val="24"/>
          <w:highlight w:val="none"/>
        </w:rPr>
        <w:t>。</w:t>
      </w:r>
    </w:p>
    <w:bookmarkEnd w:id="152"/>
    <w:bookmarkEnd w:id="153"/>
    <w:bookmarkEnd w:id="154"/>
    <w:bookmarkEnd w:id="155"/>
    <w:bookmarkEnd w:id="156"/>
    <w:bookmarkEnd w:id="157"/>
    <w:p>
      <w:pPr>
        <w:spacing w:line="560" w:lineRule="exact"/>
        <w:ind w:firstLine="482" w:firstLineChars="200"/>
        <w:outlineLvl w:val="0"/>
        <w:rPr>
          <w:rFonts w:ascii="仿宋_GB2312" w:hAnsi="仿宋" w:eastAsia="仿宋_GB2312" w:cs="仿宋"/>
          <w:b/>
          <w:color w:val="auto"/>
          <w:sz w:val="24"/>
          <w:highlight w:val="none"/>
        </w:rPr>
      </w:pPr>
      <w:bookmarkStart w:id="158" w:name="_Ref467379923"/>
      <w:bookmarkStart w:id="159" w:name="_Ref467379863"/>
      <w:bookmarkStart w:id="160" w:name="_Ref467379852"/>
      <w:bookmarkStart w:id="161" w:name="_Toc487900358"/>
      <w:bookmarkStart w:id="162" w:name="_Toc259093677"/>
      <w:bookmarkStart w:id="163" w:name="_Toc279701248"/>
      <w:bookmarkStart w:id="164" w:name="_Toc3225"/>
      <w:bookmarkStart w:id="165" w:name="_Toc774"/>
      <w:bookmarkStart w:id="166" w:name="_Toc16110"/>
      <w:r>
        <w:rPr>
          <w:rFonts w:hint="eastAsia" w:ascii="仿宋_GB2312" w:hAnsi="仿宋" w:eastAsia="仿宋_GB2312" w:cs="仿宋"/>
          <w:b/>
          <w:color w:val="auto"/>
          <w:sz w:val="24"/>
          <w:highlight w:val="none"/>
        </w:rPr>
        <w:t>2.6 技术资料</w:t>
      </w:r>
      <w:bookmarkEnd w:id="158"/>
      <w:bookmarkEnd w:id="159"/>
      <w:bookmarkEnd w:id="160"/>
      <w:bookmarkEnd w:id="161"/>
      <w:bookmarkEnd w:id="162"/>
      <w:bookmarkEnd w:id="163"/>
      <w:r>
        <w:rPr>
          <w:rFonts w:hint="eastAsia" w:ascii="仿宋_GB2312" w:hAnsi="仿宋" w:eastAsia="仿宋_GB2312" w:cs="仿宋"/>
          <w:b/>
          <w:color w:val="auto"/>
          <w:sz w:val="24"/>
          <w:highlight w:val="none"/>
        </w:rPr>
        <w:t>和保密义务</w:t>
      </w:r>
      <w:bookmarkEnd w:id="164"/>
      <w:bookmarkEnd w:id="165"/>
      <w:bookmarkEnd w:id="16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167" w:name="_Toc7860"/>
      <w:r>
        <w:rPr>
          <w:rFonts w:hint="eastAsia" w:ascii="仿宋_GB2312" w:hAnsi="仿宋" w:eastAsia="仿宋_GB2312" w:cs="仿宋"/>
          <w:b/>
          <w:color w:val="auto"/>
          <w:sz w:val="24"/>
          <w:highlight w:val="none"/>
        </w:rPr>
        <w:t>2.7 质量保证</w:t>
      </w:r>
      <w:bookmarkEnd w:id="16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168" w:name="_Toc17244"/>
      <w:bookmarkStart w:id="169" w:name="_Toc279701252"/>
      <w:bookmarkStart w:id="170" w:name="_Toc259093681"/>
      <w:bookmarkStart w:id="171" w:name="_Toc487900362"/>
      <w:r>
        <w:rPr>
          <w:rFonts w:hint="eastAsia" w:ascii="仿宋_GB2312" w:hAnsi="仿宋" w:eastAsia="仿宋_GB2312" w:cs="仿宋"/>
          <w:b/>
          <w:color w:val="auto"/>
          <w:sz w:val="24"/>
          <w:highlight w:val="none"/>
        </w:rPr>
        <w:t>2.8 货物的风险负担</w:t>
      </w:r>
      <w:bookmarkEnd w:id="168"/>
    </w:p>
    <w:p>
      <w:pPr>
        <w:spacing w:line="560" w:lineRule="exact"/>
        <w:ind w:firstLine="480" w:firstLineChars="200"/>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货物或者在途货物或者交付给第一承运人后的货物毁损、灭失的风险负担详见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72" w:name="_Toc14055"/>
      <w:r>
        <w:rPr>
          <w:rFonts w:hint="eastAsia" w:ascii="仿宋_GB2312" w:hAnsi="仿宋" w:eastAsia="仿宋_GB2312" w:cs="仿宋"/>
          <w:b/>
          <w:color w:val="auto"/>
          <w:sz w:val="24"/>
          <w:highlight w:val="none"/>
        </w:rPr>
        <w:t>2.9 延迟交货</w:t>
      </w:r>
      <w:bookmarkEnd w:id="169"/>
      <w:bookmarkEnd w:id="170"/>
      <w:bookmarkEnd w:id="171"/>
      <w:bookmarkEnd w:id="17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cs="仿宋"/>
          <w:b/>
          <w:color w:val="auto"/>
          <w:sz w:val="24"/>
          <w:highlight w:val="none"/>
        </w:rPr>
      </w:pPr>
      <w:bookmarkStart w:id="173" w:name="_Toc7502"/>
      <w:bookmarkStart w:id="174" w:name="_Toc279701254"/>
      <w:bookmarkStart w:id="175" w:name="_Toc487900364"/>
      <w:bookmarkStart w:id="176" w:name="_Toc259093683"/>
      <w:bookmarkStart w:id="177" w:name="_Ref467378121"/>
      <w:r>
        <w:rPr>
          <w:rFonts w:hint="eastAsia" w:ascii="仿宋_GB2312" w:hAnsi="仿宋" w:eastAsia="仿宋_GB2312" w:cs="仿宋"/>
          <w:b/>
          <w:color w:val="auto"/>
          <w:sz w:val="24"/>
          <w:highlight w:val="none"/>
        </w:rPr>
        <w:t>2.10 合同变更</w:t>
      </w:r>
      <w:bookmarkEnd w:id="17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78" w:name="_Toc259093688"/>
      <w:bookmarkStart w:id="179" w:name="_Toc279701259"/>
      <w:bookmarkStart w:id="180" w:name="_Toc487900369"/>
    </w:p>
    <w:p>
      <w:pPr>
        <w:spacing w:line="560" w:lineRule="exact"/>
        <w:ind w:firstLine="482" w:firstLineChars="200"/>
        <w:outlineLvl w:val="0"/>
        <w:rPr>
          <w:rFonts w:ascii="仿宋_GB2312" w:hAnsi="仿宋" w:eastAsia="仿宋_GB2312" w:cs="仿宋"/>
          <w:b/>
          <w:color w:val="auto"/>
          <w:sz w:val="24"/>
          <w:highlight w:val="none"/>
        </w:rPr>
      </w:pPr>
      <w:bookmarkStart w:id="181" w:name="_Toc15237"/>
      <w:bookmarkStart w:id="182" w:name="_Toc10366"/>
      <w:bookmarkStart w:id="183" w:name="_Toc22955"/>
      <w:r>
        <w:rPr>
          <w:rFonts w:hint="eastAsia" w:ascii="仿宋_GB2312" w:hAnsi="仿宋" w:eastAsia="仿宋_GB2312" w:cs="仿宋"/>
          <w:b/>
          <w:color w:val="auto"/>
          <w:sz w:val="24"/>
          <w:highlight w:val="none"/>
        </w:rPr>
        <w:t>2.11 合同转让</w:t>
      </w:r>
      <w:bookmarkEnd w:id="178"/>
      <w:bookmarkEnd w:id="179"/>
      <w:bookmarkEnd w:id="180"/>
      <w:r>
        <w:rPr>
          <w:rFonts w:hint="eastAsia" w:ascii="仿宋_GB2312" w:hAnsi="仿宋" w:eastAsia="仿宋_GB2312" w:cs="仿宋"/>
          <w:b/>
          <w:color w:val="auto"/>
          <w:sz w:val="24"/>
          <w:highlight w:val="none"/>
        </w:rPr>
        <w:t>和分包</w:t>
      </w:r>
      <w:bookmarkEnd w:id="181"/>
      <w:bookmarkEnd w:id="182"/>
      <w:bookmarkEnd w:id="18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2.11.2乙方采取分包方式履行合同的，甲方可直接向分包供应商支付款项。</w:t>
      </w:r>
    </w:p>
    <w:p>
      <w:pPr>
        <w:spacing w:line="560" w:lineRule="exact"/>
        <w:ind w:firstLine="482" w:firstLineChars="200"/>
        <w:outlineLvl w:val="0"/>
        <w:rPr>
          <w:rFonts w:ascii="仿宋_GB2312" w:hAnsi="仿宋" w:eastAsia="仿宋_GB2312" w:cs="仿宋"/>
          <w:b/>
          <w:color w:val="auto"/>
          <w:sz w:val="24"/>
          <w:highlight w:val="none"/>
        </w:rPr>
      </w:pPr>
      <w:bookmarkStart w:id="184" w:name="_Toc16508"/>
      <w:bookmarkStart w:id="185" w:name="_Toc14066"/>
      <w:bookmarkStart w:id="186" w:name="_Toc13566"/>
      <w:r>
        <w:rPr>
          <w:rFonts w:hint="eastAsia" w:ascii="仿宋_GB2312" w:hAnsi="仿宋" w:eastAsia="仿宋_GB2312" w:cs="仿宋"/>
          <w:b/>
          <w:color w:val="auto"/>
          <w:sz w:val="24"/>
          <w:highlight w:val="none"/>
        </w:rPr>
        <w:t>2.12 不可抗力</w:t>
      </w:r>
      <w:bookmarkEnd w:id="184"/>
      <w:bookmarkEnd w:id="185"/>
      <w:bookmarkEnd w:id="18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187" w:name="_Toc259093684"/>
      <w:bookmarkStart w:id="188" w:name="_Toc487900365"/>
      <w:bookmarkStart w:id="189" w:name="_Toc689"/>
      <w:bookmarkStart w:id="190" w:name="_Toc30676"/>
      <w:bookmarkStart w:id="191" w:name="_Toc6969"/>
      <w:bookmarkStart w:id="192" w:name="_Toc279701255"/>
      <w:r>
        <w:rPr>
          <w:rFonts w:hint="eastAsia" w:ascii="仿宋_GB2312" w:hAnsi="仿宋" w:eastAsia="仿宋_GB2312" w:cs="仿宋"/>
          <w:b/>
          <w:color w:val="auto"/>
          <w:sz w:val="24"/>
          <w:highlight w:val="none"/>
        </w:rPr>
        <w:t>2.13 税费</w:t>
      </w:r>
      <w:bookmarkEnd w:id="187"/>
      <w:bookmarkEnd w:id="188"/>
      <w:bookmarkEnd w:id="189"/>
      <w:bookmarkEnd w:id="190"/>
      <w:bookmarkEnd w:id="191"/>
      <w:bookmarkEnd w:id="19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w:t>
      </w:r>
    </w:p>
    <w:p>
      <w:pPr>
        <w:spacing w:line="560" w:lineRule="exact"/>
        <w:ind w:firstLine="482" w:firstLineChars="200"/>
        <w:outlineLvl w:val="0"/>
        <w:rPr>
          <w:rFonts w:ascii="仿宋_GB2312" w:hAnsi="仿宋" w:eastAsia="仿宋_GB2312" w:cs="仿宋"/>
          <w:b/>
          <w:color w:val="auto"/>
          <w:sz w:val="24"/>
          <w:highlight w:val="none"/>
        </w:rPr>
      </w:pPr>
      <w:bookmarkStart w:id="193" w:name="_Toc8298"/>
      <w:bookmarkStart w:id="194" w:name="_Toc16959"/>
      <w:bookmarkStart w:id="195" w:name="_Toc487900368"/>
      <w:bookmarkStart w:id="196" w:name="_Toc279701258"/>
      <w:bookmarkStart w:id="197" w:name="_Toc259093687"/>
      <w:bookmarkStart w:id="198" w:name="_Toc7102"/>
      <w:r>
        <w:rPr>
          <w:rFonts w:hint="eastAsia" w:ascii="仿宋_GB2312" w:hAnsi="仿宋" w:eastAsia="仿宋_GB2312" w:cs="仿宋"/>
          <w:b/>
          <w:color w:val="auto"/>
          <w:sz w:val="24"/>
          <w:highlight w:val="none"/>
        </w:rPr>
        <w:t>2.14乙方破产</w:t>
      </w:r>
      <w:bookmarkEnd w:id="193"/>
      <w:bookmarkEnd w:id="194"/>
      <w:bookmarkEnd w:id="195"/>
      <w:bookmarkEnd w:id="196"/>
      <w:bookmarkEnd w:id="197"/>
      <w:bookmarkEnd w:id="198"/>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99" w:name="_Toc15387"/>
      <w:bookmarkStart w:id="200" w:name="_Toc29333"/>
      <w:bookmarkStart w:id="201" w:name="_Toc6134"/>
      <w:r>
        <w:rPr>
          <w:rFonts w:hint="eastAsia" w:ascii="仿宋_GB2312" w:hAnsi="仿宋" w:eastAsia="仿宋_GB2312" w:cs="仿宋"/>
          <w:b/>
          <w:color w:val="auto"/>
          <w:sz w:val="24"/>
          <w:highlight w:val="none"/>
        </w:rPr>
        <w:t>2.15 合同中止、终止</w:t>
      </w:r>
      <w:bookmarkEnd w:id="199"/>
      <w:bookmarkEnd w:id="200"/>
      <w:bookmarkEnd w:id="20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202" w:name="_Toc6596"/>
      <w:bookmarkStart w:id="203" w:name="_Toc14563"/>
      <w:bookmarkStart w:id="204" w:name="_Toc1125"/>
      <w:r>
        <w:rPr>
          <w:rFonts w:hint="eastAsia" w:ascii="仿宋_GB2312" w:hAnsi="仿宋" w:eastAsia="仿宋_GB2312" w:cs="仿宋"/>
          <w:b/>
          <w:color w:val="auto"/>
          <w:sz w:val="24"/>
          <w:highlight w:val="none"/>
        </w:rPr>
        <w:t>2.16检验和验收</w:t>
      </w:r>
      <w:bookmarkEnd w:id="202"/>
      <w:bookmarkEnd w:id="203"/>
      <w:bookmarkEnd w:id="204"/>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bookmarkEnd w:id="174"/>
    <w:bookmarkEnd w:id="175"/>
    <w:bookmarkEnd w:id="176"/>
    <w:bookmarkEnd w:id="177"/>
    <w:p>
      <w:pPr>
        <w:spacing w:line="560" w:lineRule="exact"/>
        <w:ind w:firstLine="482" w:firstLineChars="200"/>
        <w:outlineLvl w:val="0"/>
        <w:rPr>
          <w:rFonts w:ascii="仿宋_GB2312" w:hAnsi="仿宋" w:eastAsia="仿宋_GB2312" w:cs="仿宋"/>
          <w:b/>
          <w:color w:val="auto"/>
          <w:sz w:val="24"/>
          <w:highlight w:val="none"/>
        </w:rPr>
      </w:pPr>
      <w:bookmarkStart w:id="205" w:name="_Toc259093690"/>
      <w:bookmarkStart w:id="206" w:name="_Toc279701261"/>
      <w:bookmarkStart w:id="207" w:name="_Toc487900371"/>
      <w:bookmarkStart w:id="208" w:name="_Toc25182"/>
      <w:bookmarkStart w:id="209" w:name="_Toc19604"/>
      <w:bookmarkStart w:id="210" w:name="_Toc11284"/>
      <w:r>
        <w:rPr>
          <w:rFonts w:hint="eastAsia" w:ascii="仿宋_GB2312" w:hAnsi="仿宋" w:eastAsia="仿宋_GB2312" w:cs="仿宋"/>
          <w:b/>
          <w:color w:val="auto"/>
          <w:sz w:val="24"/>
          <w:highlight w:val="none"/>
        </w:rPr>
        <w:t>2.17 通知</w:t>
      </w:r>
      <w:bookmarkEnd w:id="205"/>
      <w:bookmarkEnd w:id="206"/>
      <w:bookmarkEnd w:id="207"/>
      <w:r>
        <w:rPr>
          <w:rFonts w:hint="eastAsia" w:ascii="仿宋_GB2312" w:hAnsi="仿宋" w:eastAsia="仿宋_GB2312" w:cs="仿宋"/>
          <w:b/>
          <w:color w:val="auto"/>
          <w:sz w:val="24"/>
          <w:highlight w:val="none"/>
        </w:rPr>
        <w:t>和送达</w:t>
      </w:r>
      <w:bookmarkEnd w:id="208"/>
      <w:bookmarkEnd w:id="209"/>
      <w:bookmarkEnd w:id="210"/>
    </w:p>
    <w:p>
      <w:pPr>
        <w:spacing w:line="560" w:lineRule="exact"/>
        <w:ind w:firstLine="480" w:firstLineChars="200"/>
        <w:rPr>
          <w:rFonts w:ascii="仿宋_GB2312" w:hAnsi="仿宋" w:eastAsia="仿宋_GB2312" w:cs="仿宋"/>
          <w:color w:val="auto"/>
          <w:sz w:val="24"/>
          <w:highlight w:val="none"/>
        </w:rPr>
      </w:pPr>
      <w:bookmarkStart w:id="211" w:name="_Toc6698"/>
      <w:bookmarkStart w:id="212" w:name="_Toc3135"/>
      <w:bookmarkStart w:id="213" w:name="_Toc487900372"/>
      <w:bookmarkStart w:id="214" w:name="_Toc279701262"/>
      <w:bookmarkStart w:id="215" w:name="_Toc259093691"/>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bookmarkEnd w:id="211"/>
      <w:bookmarkEnd w:id="212"/>
    </w:p>
    <w:p>
      <w:pPr>
        <w:spacing w:line="560" w:lineRule="exact"/>
        <w:ind w:firstLine="480" w:firstLineChars="200"/>
        <w:rPr>
          <w:rFonts w:ascii="仿宋_GB2312" w:hAnsi="仿宋" w:eastAsia="仿宋_GB2312" w:cs="仿宋"/>
          <w:color w:val="auto"/>
          <w:sz w:val="24"/>
          <w:highlight w:val="none"/>
        </w:rPr>
      </w:pPr>
      <w:bookmarkStart w:id="216" w:name="_Toc23294"/>
      <w:bookmarkStart w:id="217" w:name="_Toc23128"/>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16"/>
      <w:bookmarkEnd w:id="217"/>
    </w:p>
    <w:p>
      <w:pPr>
        <w:spacing w:line="560" w:lineRule="exact"/>
        <w:ind w:firstLine="482" w:firstLineChars="200"/>
        <w:outlineLvl w:val="0"/>
        <w:rPr>
          <w:rFonts w:ascii="仿宋_GB2312" w:hAnsi="仿宋" w:eastAsia="仿宋_GB2312" w:cs="仿宋"/>
          <w:b/>
          <w:color w:val="auto"/>
          <w:sz w:val="24"/>
          <w:highlight w:val="none"/>
        </w:rPr>
      </w:pPr>
      <w:bookmarkStart w:id="218" w:name="_Toc18540"/>
      <w:bookmarkStart w:id="219" w:name="_Toc4355"/>
      <w:bookmarkStart w:id="220" w:name="_Toc30599"/>
      <w:r>
        <w:rPr>
          <w:rFonts w:hint="eastAsia" w:ascii="仿宋_GB2312" w:hAnsi="仿宋" w:eastAsia="仿宋_GB2312" w:cs="仿宋"/>
          <w:b/>
          <w:color w:val="auto"/>
          <w:sz w:val="24"/>
          <w:highlight w:val="none"/>
        </w:rPr>
        <w:t>2.18 计量单位</w:t>
      </w:r>
      <w:bookmarkEnd w:id="213"/>
      <w:bookmarkEnd w:id="214"/>
      <w:bookmarkEnd w:id="215"/>
      <w:bookmarkEnd w:id="218"/>
      <w:bookmarkEnd w:id="219"/>
      <w:bookmarkEnd w:id="22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221" w:name="_Toc259093692"/>
      <w:bookmarkStart w:id="222" w:name="_Toc12773"/>
      <w:bookmarkStart w:id="223" w:name="_Toc487900373"/>
      <w:bookmarkStart w:id="224" w:name="_Toc10330"/>
      <w:bookmarkStart w:id="225" w:name="_Toc18567"/>
      <w:bookmarkStart w:id="226" w:name="_Toc279701263"/>
      <w:r>
        <w:rPr>
          <w:rFonts w:hint="eastAsia" w:ascii="仿宋_GB2312" w:hAnsi="仿宋" w:eastAsia="仿宋_GB2312" w:cs="仿宋"/>
          <w:b/>
          <w:color w:val="auto"/>
          <w:sz w:val="24"/>
          <w:highlight w:val="none"/>
        </w:rPr>
        <w:t>2.19 合同使用的文字和适用的法律</w:t>
      </w:r>
      <w:bookmarkEnd w:id="221"/>
      <w:bookmarkEnd w:id="222"/>
      <w:bookmarkEnd w:id="223"/>
      <w:bookmarkEnd w:id="224"/>
      <w:bookmarkEnd w:id="225"/>
      <w:bookmarkEnd w:id="226"/>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227" w:name="_Toc14001"/>
      <w:bookmarkStart w:id="228" w:name="_Toc6885"/>
      <w:bookmarkStart w:id="229" w:name="_Toc19890"/>
      <w:r>
        <w:rPr>
          <w:rFonts w:hint="eastAsia" w:ascii="仿宋_GB2312" w:hAnsi="仿宋" w:eastAsia="仿宋_GB2312" w:cs="仿宋"/>
          <w:b/>
          <w:color w:val="auto"/>
          <w:sz w:val="24"/>
          <w:highlight w:val="none"/>
        </w:rPr>
        <w:t>2.20 合同份数</w:t>
      </w:r>
      <w:bookmarkEnd w:id="227"/>
      <w:bookmarkEnd w:id="228"/>
      <w:bookmarkEnd w:id="22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360" w:lineRule="auto"/>
        <w:ind w:firstLine="480" w:firstLineChars="200"/>
        <w:jc w:val="center"/>
        <w:outlineLvl w:val="0"/>
        <w:rPr>
          <w:rFonts w:ascii="仿宋_GB2312" w:hAnsi="仿宋" w:eastAsia="仿宋_GB2312" w:cs="仿宋"/>
          <w:b/>
          <w:color w:val="auto"/>
          <w:highlight w:val="none"/>
        </w:rPr>
      </w:pPr>
      <w:r>
        <w:rPr>
          <w:rFonts w:hint="eastAsia" w:ascii="仿宋_GB2312" w:hAnsi="仿宋" w:eastAsia="仿宋_GB2312" w:cs="仿宋"/>
          <w:color w:val="auto"/>
          <w:sz w:val="24"/>
          <w:highlight w:val="none"/>
        </w:rPr>
        <w:br w:type="page"/>
      </w:r>
      <w:r>
        <w:rPr>
          <w:rFonts w:hint="eastAsia" w:ascii="仿宋_GB2312" w:hAnsi="仿宋" w:eastAsia="仿宋_GB2312" w:cs="仿宋"/>
          <w:b/>
          <w:color w:val="auto"/>
          <w:sz w:val="32"/>
          <w:szCs w:val="20"/>
          <w:highlight w:val="none"/>
        </w:rPr>
        <w:t xml:space="preserve"> </w:t>
      </w:r>
      <w:r>
        <w:rPr>
          <w:rFonts w:hint="eastAsia" w:ascii="仿宋_GB2312" w:hAnsi="仿宋" w:eastAsia="仿宋_GB2312" w:cs="仿宋"/>
          <w:b/>
          <w:color w:val="auto"/>
          <w:sz w:val="24"/>
          <w:highlight w:val="none"/>
        </w:rPr>
        <w:t>第三部分  合同专用条款</w:t>
      </w:r>
    </w:p>
    <w:p>
      <w:pPr>
        <w:spacing w:line="560" w:lineRule="exac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76"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1.5.2 </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w:t>
            </w:r>
          </w:p>
        </w:tc>
        <w:tc>
          <w:tcPr>
            <w:tcW w:w="8176"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2.8 </w:t>
            </w:r>
          </w:p>
        </w:tc>
        <w:tc>
          <w:tcPr>
            <w:tcW w:w="8176"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2.12.4</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2.16.1</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2.16.3</w:t>
            </w:r>
          </w:p>
        </w:tc>
        <w:tc>
          <w:tcPr>
            <w:tcW w:w="8176"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2.20 </w:t>
            </w:r>
          </w:p>
        </w:tc>
        <w:tc>
          <w:tcPr>
            <w:tcW w:w="8176" w:type="dxa"/>
            <w:vAlign w:val="center"/>
          </w:tcPr>
          <w:p>
            <w:pPr>
              <w:spacing w:line="360" w:lineRule="auto"/>
              <w:rPr>
                <w:rFonts w:ascii="仿宋_GB2312" w:hAnsi="仿宋" w:eastAsia="仿宋_GB2312" w:cs="仿宋"/>
                <w:color w:val="auto"/>
                <w:sz w:val="24"/>
                <w:highlight w:val="none"/>
              </w:rPr>
            </w:pPr>
          </w:p>
        </w:tc>
      </w:tr>
    </w:tbl>
    <w:p>
      <w:pPr>
        <w:rPr>
          <w:rFonts w:ascii="仿宋_GB2312" w:hAnsi="仿宋" w:eastAsia="仿宋_GB2312" w:cs="仿宋"/>
          <w:color w:val="auto"/>
          <w:highlight w:val="none"/>
        </w:rPr>
      </w:pPr>
    </w:p>
    <w:p>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bookmarkEnd w:id="6"/>
    <w:bookmarkEnd w:id="7"/>
    <w:bookmarkEnd w:id="8"/>
    <w:bookmarkEnd w:id="9"/>
    <w:p>
      <w:pPr>
        <w:spacing w:line="440" w:lineRule="exact"/>
        <w:jc w:val="left"/>
        <w:rPr>
          <w:rFonts w:ascii="仿宋" w:hAnsi="仿宋" w:eastAsia="仿宋"/>
          <w:b/>
          <w:color w:val="auto"/>
          <w:sz w:val="24"/>
          <w:highlight w:val="none"/>
        </w:rPr>
      </w:pPr>
      <w:r>
        <w:rPr>
          <w:rFonts w:hint="eastAsia" w:ascii="仿宋" w:hAnsi="仿宋" w:eastAsia="仿宋"/>
          <w:b/>
          <w:color w:val="auto"/>
          <w:sz w:val="24"/>
          <w:highlight w:val="none"/>
        </w:rPr>
        <w:t>1、评标方法：</w:t>
      </w:r>
    </w:p>
    <w:p>
      <w:pPr>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00" w:lineRule="exact"/>
        <w:ind w:firstLine="472" w:firstLineChars="196"/>
        <w:jc w:val="left"/>
        <w:rPr>
          <w:rFonts w:ascii="仿宋" w:hAnsi="仿宋" w:eastAsia="仿宋"/>
          <w:b/>
          <w:color w:val="auto"/>
          <w:sz w:val="24"/>
          <w:highlight w:val="none"/>
        </w:rPr>
      </w:pPr>
      <w:r>
        <w:rPr>
          <w:rFonts w:hint="eastAsia" w:ascii="仿宋" w:hAnsi="仿宋" w:eastAsia="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 w:hAnsi="仿宋" w:eastAsia="仿宋"/>
          <w:b/>
          <w:color w:val="auto"/>
          <w:sz w:val="24"/>
          <w:highlight w:val="none"/>
        </w:rPr>
        <w:tab/>
      </w:r>
      <w:r>
        <w:rPr>
          <w:rFonts w:hint="eastAsia" w:ascii="仿宋" w:hAnsi="仿宋" w:eastAsia="仿宋"/>
          <w:b/>
          <w:color w:val="auto"/>
          <w:sz w:val="24"/>
          <w:highlight w:val="none"/>
        </w:rPr>
        <w:t>定一个投标人获得中标人推荐资格，招标文件未规定的采取随机抽取方式确定，其他同品牌投标人不作为中标候选人。</w:t>
      </w:r>
    </w:p>
    <w:p>
      <w:pPr>
        <w:spacing w:line="400" w:lineRule="exact"/>
        <w:ind w:firstLine="482" w:firstLineChars="200"/>
        <w:jc w:val="left"/>
        <w:rPr>
          <w:rFonts w:ascii="仿宋" w:hAnsi="仿宋" w:eastAsia="仿宋"/>
          <w:color w:val="auto"/>
          <w:sz w:val="24"/>
          <w:highlight w:val="none"/>
        </w:rPr>
      </w:pPr>
      <w:r>
        <w:rPr>
          <w:rFonts w:hint="eastAsia" w:ascii="仿宋" w:hAnsi="仿宋" w:eastAsia="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00" w:lineRule="exact"/>
        <w:jc w:val="left"/>
        <w:rPr>
          <w:rFonts w:ascii="仿宋" w:hAnsi="仿宋" w:eastAsia="仿宋"/>
          <w:color w:val="auto"/>
          <w:sz w:val="24"/>
          <w:highlight w:val="none"/>
        </w:rPr>
      </w:pPr>
      <w:r>
        <w:rPr>
          <w:rFonts w:hint="eastAsia" w:ascii="仿宋" w:hAnsi="仿宋" w:eastAsia="仿宋"/>
          <w:b/>
          <w:color w:val="auto"/>
          <w:sz w:val="24"/>
          <w:highlight w:val="none"/>
        </w:rPr>
        <w:t>2.评分标准：</w:t>
      </w:r>
      <w:r>
        <w:rPr>
          <w:rFonts w:hint="eastAsia" w:ascii="仿宋" w:hAnsi="仿宋" w:eastAsia="仿宋"/>
          <w:color w:val="auto"/>
          <w:sz w:val="24"/>
          <w:highlight w:val="none"/>
        </w:rPr>
        <w:t>共100分，其中商务技术分</w:t>
      </w:r>
      <w:r>
        <w:rPr>
          <w:rFonts w:ascii="仿宋" w:hAnsi="仿宋" w:eastAsia="仿宋"/>
          <w:color w:val="auto"/>
          <w:sz w:val="24"/>
          <w:highlight w:val="none"/>
        </w:rPr>
        <w:t>90</w:t>
      </w:r>
      <w:r>
        <w:rPr>
          <w:rFonts w:hint="eastAsia" w:ascii="仿宋" w:hAnsi="仿宋" w:eastAsia="仿宋"/>
          <w:color w:val="auto"/>
          <w:sz w:val="24"/>
          <w:highlight w:val="none"/>
        </w:rPr>
        <w:t>分，价格分</w:t>
      </w:r>
      <w:r>
        <w:rPr>
          <w:rFonts w:ascii="仿宋" w:hAnsi="仿宋" w:eastAsia="仿宋"/>
          <w:color w:val="auto"/>
          <w:sz w:val="24"/>
          <w:highlight w:val="none"/>
        </w:rPr>
        <w:t>10</w:t>
      </w:r>
      <w:r>
        <w:rPr>
          <w:rFonts w:hint="eastAsia" w:ascii="仿宋" w:hAnsi="仿宋" w:eastAsia="仿宋"/>
          <w:color w:val="auto"/>
          <w:sz w:val="24"/>
          <w:highlight w:val="none"/>
        </w:rPr>
        <w:t>分。评分依下述所列为评标打分依据，分值如下（计算分值时，按其算术平均值保留小数2位）。</w:t>
      </w:r>
    </w:p>
    <w:p>
      <w:pPr>
        <w:spacing w:line="440" w:lineRule="exact"/>
        <w:rPr>
          <w:rFonts w:ascii="仿宋" w:hAnsi="仿宋" w:eastAsia="仿宋"/>
          <w:b/>
          <w:bCs/>
          <w:iCs/>
          <w:color w:val="auto"/>
          <w:sz w:val="24"/>
          <w:highlight w:val="none"/>
        </w:rPr>
      </w:pPr>
      <w:r>
        <w:rPr>
          <w:rFonts w:hint="eastAsia" w:ascii="仿宋" w:hAnsi="仿宋" w:eastAsia="仿宋"/>
          <w:b/>
          <w:bCs/>
          <w:iCs/>
          <w:color w:val="auto"/>
          <w:sz w:val="24"/>
          <w:highlight w:val="none"/>
        </w:rPr>
        <w:t>2.1商务技术分（</w:t>
      </w:r>
      <w:r>
        <w:rPr>
          <w:rFonts w:ascii="仿宋" w:hAnsi="仿宋" w:eastAsia="仿宋"/>
          <w:b/>
          <w:bCs/>
          <w:iCs/>
          <w:color w:val="auto"/>
          <w:sz w:val="24"/>
          <w:highlight w:val="none"/>
        </w:rPr>
        <w:t>9</w:t>
      </w:r>
      <w:r>
        <w:rPr>
          <w:rFonts w:hint="eastAsia" w:ascii="仿宋" w:hAnsi="仿宋" w:eastAsia="仿宋"/>
          <w:b/>
          <w:bCs/>
          <w:iCs/>
          <w:color w:val="auto"/>
          <w:sz w:val="24"/>
          <w:highlight w:val="none"/>
        </w:rPr>
        <w:t>0分）</w:t>
      </w:r>
    </w:p>
    <w:tbl>
      <w:tblPr>
        <w:tblStyle w:val="63"/>
        <w:tblW w:w="91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255"/>
        <w:gridCol w:w="7072"/>
        <w:gridCol w:w="8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16" w:hRule="atLeast"/>
          <w:tblHeader/>
          <w:jc w:val="center"/>
        </w:trPr>
        <w:tc>
          <w:tcPr>
            <w:tcW w:w="1255" w:type="dxa"/>
            <w:vAlign w:val="center"/>
          </w:tcPr>
          <w:p>
            <w:pPr>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评分项目</w:t>
            </w:r>
          </w:p>
        </w:tc>
        <w:tc>
          <w:tcPr>
            <w:tcW w:w="7072" w:type="dxa"/>
            <w:vAlign w:val="center"/>
          </w:tcPr>
          <w:p>
            <w:pPr>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评分细则</w:t>
            </w:r>
          </w:p>
        </w:tc>
        <w:tc>
          <w:tcPr>
            <w:tcW w:w="805" w:type="dxa"/>
            <w:vAlign w:val="center"/>
          </w:tcPr>
          <w:p>
            <w:pPr>
              <w:spacing w:line="36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340" w:hRule="atLeast"/>
          <w:jc w:val="center"/>
        </w:trPr>
        <w:tc>
          <w:tcPr>
            <w:tcW w:w="1255" w:type="dxa"/>
            <w:vMerge w:val="restart"/>
            <w:vAlign w:val="center"/>
          </w:tcPr>
          <w:p>
            <w:pPr>
              <w:spacing w:line="3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资信及履约能力（11分）</w:t>
            </w:r>
          </w:p>
        </w:tc>
        <w:tc>
          <w:tcPr>
            <w:tcW w:w="7072" w:type="dxa"/>
            <w:vAlign w:val="center"/>
          </w:tcPr>
          <w:p>
            <w:pPr>
              <w:spacing w:line="36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2021年度以来（以颁发时间为准），投标人获省</w:t>
            </w:r>
            <w:r>
              <w:rPr>
                <w:rFonts w:hint="eastAsia" w:ascii="仿宋" w:hAnsi="仿宋" w:eastAsia="仿宋" w:cs="仿宋"/>
                <w:bCs/>
                <w:iCs/>
                <w:color w:val="auto"/>
                <w:sz w:val="24"/>
                <w:highlight w:val="none"/>
                <w:lang w:eastAsia="zh-CN"/>
              </w:rPr>
              <w:t>级测绘地理信息行业主管部门评定的</w:t>
            </w:r>
            <w:r>
              <w:rPr>
                <w:rFonts w:hint="eastAsia" w:ascii="仿宋" w:hAnsi="仿宋" w:eastAsia="仿宋" w:cs="仿宋"/>
                <w:bCs/>
                <w:iCs/>
                <w:color w:val="auto"/>
                <w:sz w:val="24"/>
                <w:highlight w:val="none"/>
              </w:rPr>
              <w:t>A级信用测绘资质单位的</w:t>
            </w:r>
            <w:r>
              <w:rPr>
                <w:rFonts w:hint="eastAsia" w:ascii="仿宋" w:hAnsi="仿宋" w:eastAsia="仿宋" w:cs="仿宋"/>
                <w:bCs/>
                <w:iCs/>
                <w:color w:val="auto"/>
                <w:sz w:val="24"/>
                <w:highlight w:val="none"/>
                <w:lang w:eastAsia="zh-CN"/>
              </w:rPr>
              <w:t>每个年度</w:t>
            </w:r>
            <w:r>
              <w:rPr>
                <w:rFonts w:hint="eastAsia" w:ascii="仿宋" w:hAnsi="仿宋" w:eastAsia="仿宋" w:cs="仿宋"/>
                <w:bCs/>
                <w:iCs/>
                <w:color w:val="auto"/>
                <w:sz w:val="24"/>
                <w:highlight w:val="none"/>
              </w:rPr>
              <w:t>得</w:t>
            </w:r>
            <w:r>
              <w:rPr>
                <w:rFonts w:ascii="仿宋" w:hAnsi="仿宋" w:eastAsia="仿宋" w:cs="仿宋"/>
                <w:bCs/>
                <w:iCs/>
                <w:color w:val="auto"/>
                <w:sz w:val="24"/>
                <w:highlight w:val="none"/>
              </w:rPr>
              <w:t>1</w:t>
            </w:r>
            <w:r>
              <w:rPr>
                <w:rFonts w:hint="eastAsia" w:ascii="仿宋" w:hAnsi="仿宋" w:eastAsia="仿宋" w:cs="仿宋"/>
                <w:bCs/>
                <w:iCs/>
                <w:color w:val="auto"/>
                <w:sz w:val="24"/>
                <w:highlight w:val="none"/>
              </w:rPr>
              <w:t>分，</w:t>
            </w:r>
            <w:r>
              <w:rPr>
                <w:rFonts w:hint="eastAsia" w:ascii="仿宋" w:hAnsi="仿宋" w:eastAsia="仿宋" w:cs="仿宋"/>
                <w:bCs/>
                <w:iCs/>
                <w:color w:val="auto"/>
                <w:sz w:val="24"/>
                <w:highlight w:val="none"/>
                <w:lang w:eastAsia="zh-CN"/>
              </w:rPr>
              <w:t>最高得</w:t>
            </w:r>
            <w:r>
              <w:rPr>
                <w:rFonts w:hint="eastAsia" w:ascii="仿宋" w:hAnsi="仿宋" w:eastAsia="仿宋" w:cs="仿宋"/>
                <w:bCs/>
                <w:iCs/>
                <w:color w:val="auto"/>
                <w:sz w:val="24"/>
                <w:highlight w:val="none"/>
                <w:lang w:val="en-US" w:eastAsia="zh-CN"/>
              </w:rPr>
              <w:t>3分</w:t>
            </w:r>
            <w:r>
              <w:rPr>
                <w:rFonts w:hint="eastAsia" w:ascii="仿宋" w:hAnsi="仿宋" w:eastAsia="仿宋" w:cs="仿宋"/>
                <w:bCs/>
                <w:iCs/>
                <w:color w:val="auto"/>
                <w:sz w:val="24"/>
                <w:highlight w:val="none"/>
              </w:rPr>
              <w:t>。</w:t>
            </w:r>
            <w:r>
              <w:rPr>
                <w:rFonts w:hint="eastAsia" w:ascii="仿宋" w:hAnsi="仿宋" w:eastAsia="仿宋" w:cs="仿宋"/>
                <w:b/>
                <w:color w:val="auto"/>
                <w:sz w:val="24"/>
                <w:highlight w:val="none"/>
              </w:rPr>
              <w:t>【投标文件中需提供相关证明材料扫描件或图片并加盖投标人公章，不提供的不得分。】</w:t>
            </w:r>
          </w:p>
        </w:tc>
        <w:tc>
          <w:tcPr>
            <w:tcW w:w="805" w:type="dxa"/>
            <w:vAlign w:val="center"/>
          </w:tcPr>
          <w:p>
            <w:pPr>
              <w:spacing w:line="360" w:lineRule="exact"/>
              <w:jc w:val="center"/>
              <w:rPr>
                <w:rFonts w:hint="eastAsia" w:ascii="仿宋" w:hAnsi="仿宋" w:eastAsia="仿宋" w:cs="仿宋"/>
                <w:bCs/>
                <w:iCs/>
                <w:color w:val="auto"/>
                <w:sz w:val="24"/>
                <w:highlight w:val="none"/>
                <w:lang w:eastAsia="zh-CN"/>
              </w:rPr>
            </w:pPr>
            <w:r>
              <w:rPr>
                <w:rFonts w:hint="eastAsia" w:ascii="仿宋" w:hAnsi="仿宋" w:eastAsia="仿宋" w:cs="仿宋"/>
                <w:bCs/>
                <w:iCs/>
                <w:color w:val="auto"/>
                <w:sz w:val="24"/>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490" w:hRule="atLeast"/>
          <w:jc w:val="center"/>
        </w:trPr>
        <w:tc>
          <w:tcPr>
            <w:tcW w:w="1255" w:type="dxa"/>
            <w:vMerge w:val="continue"/>
            <w:vAlign w:val="center"/>
          </w:tcPr>
          <w:p>
            <w:pPr>
              <w:spacing w:line="360" w:lineRule="exact"/>
              <w:jc w:val="center"/>
              <w:rPr>
                <w:rFonts w:ascii="仿宋" w:hAnsi="仿宋" w:eastAsia="仿宋" w:cs="仿宋"/>
                <w:bCs/>
                <w:color w:val="auto"/>
                <w:sz w:val="24"/>
                <w:highlight w:val="none"/>
              </w:rPr>
            </w:pPr>
          </w:p>
        </w:tc>
        <w:tc>
          <w:tcPr>
            <w:tcW w:w="7072" w:type="dxa"/>
            <w:vAlign w:val="center"/>
          </w:tcPr>
          <w:p>
            <w:pPr>
              <w:spacing w:line="36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人同时具有质量管理体系认证证书、环境管理体系认证证书、职业健康安全管理体系认证证书，且认证范围同时涵盖工程测量、地理信息系统工程的得2分，缺一项不得分。（证书必须在国家市场监督管理总局的全国认证认可信息公共服务平台上可以查询，否则不得分。）</w:t>
            </w:r>
          </w:p>
          <w:p>
            <w:pPr>
              <w:spacing w:line="360" w:lineRule="exact"/>
              <w:rPr>
                <w:rFonts w:ascii="仿宋" w:hAnsi="仿宋" w:eastAsia="仿宋" w:cs="仿宋"/>
                <w:bCs/>
                <w:iCs/>
                <w:color w:val="auto"/>
                <w:sz w:val="24"/>
                <w:highlight w:val="none"/>
              </w:rPr>
            </w:pPr>
            <w:r>
              <w:rPr>
                <w:rFonts w:hint="eastAsia" w:ascii="仿宋" w:hAnsi="仿宋" w:eastAsia="仿宋" w:cs="仿宋"/>
                <w:b/>
                <w:color w:val="auto"/>
                <w:sz w:val="24"/>
                <w:highlight w:val="none"/>
              </w:rPr>
              <w:t>【投标文件中需提供相关证书扫描件或图片并加盖投标人公章，不提供的不得分。】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754" w:hRule="atLeast"/>
          <w:jc w:val="center"/>
        </w:trPr>
        <w:tc>
          <w:tcPr>
            <w:tcW w:w="1255" w:type="dxa"/>
            <w:vMerge w:val="continue"/>
            <w:vAlign w:val="center"/>
          </w:tcPr>
          <w:p>
            <w:pPr>
              <w:spacing w:line="360" w:lineRule="exact"/>
              <w:jc w:val="center"/>
              <w:rPr>
                <w:rFonts w:ascii="仿宋" w:hAnsi="仿宋" w:eastAsia="仿宋" w:cs="仿宋"/>
                <w:bCs/>
                <w:color w:val="auto"/>
                <w:sz w:val="24"/>
                <w:highlight w:val="none"/>
              </w:rPr>
            </w:pPr>
          </w:p>
        </w:tc>
        <w:tc>
          <w:tcPr>
            <w:tcW w:w="7072" w:type="dxa"/>
            <w:tcBorders>
              <w:bottom w:val="single" w:color="auto" w:sz="4" w:space="0"/>
            </w:tcBorders>
            <w:vAlign w:val="center"/>
          </w:tcPr>
          <w:p>
            <w:pPr>
              <w:spacing w:line="360" w:lineRule="exact"/>
              <w:rPr>
                <w:rFonts w:ascii="仿宋" w:hAnsi="仿宋" w:eastAsia="仿宋" w:cs="仿宋"/>
                <w:bCs/>
                <w:iCs/>
                <w:color w:val="auto"/>
                <w:sz w:val="24"/>
                <w:highlight w:val="none"/>
              </w:rPr>
            </w:pPr>
            <w:bookmarkStart w:id="230" w:name="OLE_LINK6"/>
            <w:bookmarkEnd w:id="230"/>
            <w:r>
              <w:rPr>
                <w:rFonts w:hint="eastAsia" w:ascii="仿宋" w:hAnsi="仿宋" w:eastAsia="仿宋" w:cs="仿宋"/>
                <w:bCs/>
                <w:iCs/>
                <w:color w:val="auto"/>
                <w:sz w:val="24"/>
                <w:highlight w:val="none"/>
              </w:rPr>
              <w:t>2021年度以来作为第一完成人（即证书上排名第一的）获得过测绘项目省级及以上（包含学会、协会）测绘科学技术奖的，得3分，获得过测绘项目省级及以上（包含学会、协会）优秀测绘与地理信息工程奖的，得1.5分；同一类型奖项的内容仅就高奖项计取1次，本项最高得3分。</w:t>
            </w:r>
          </w:p>
          <w:p>
            <w:pPr>
              <w:spacing w:line="360" w:lineRule="exact"/>
              <w:rPr>
                <w:rFonts w:ascii="仿宋" w:hAnsi="仿宋" w:eastAsia="仿宋" w:cs="仿宋"/>
                <w:bCs/>
                <w:iCs/>
                <w:color w:val="auto"/>
                <w:sz w:val="24"/>
                <w:highlight w:val="none"/>
              </w:rPr>
            </w:pPr>
            <w:r>
              <w:rPr>
                <w:rFonts w:hint="eastAsia" w:ascii="仿宋" w:hAnsi="仿宋" w:eastAsia="仿宋" w:cs="仿宋"/>
                <w:b/>
                <w:color w:val="auto"/>
                <w:sz w:val="24"/>
                <w:highlight w:val="none"/>
              </w:rPr>
              <w:t>【投标文件中需提供相关证书扫描件或图片并加盖投标人电子公章，不提供的不得分。】</w:t>
            </w:r>
          </w:p>
        </w:tc>
        <w:tc>
          <w:tcPr>
            <w:tcW w:w="805" w:type="dxa"/>
            <w:tcBorders>
              <w:bottom w:val="single" w:color="auto" w:sz="4" w:space="0"/>
            </w:tcBorders>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33" w:hRule="atLeast"/>
          <w:jc w:val="center"/>
        </w:trPr>
        <w:tc>
          <w:tcPr>
            <w:tcW w:w="1255" w:type="dxa"/>
            <w:vMerge w:val="continue"/>
            <w:vAlign w:val="center"/>
          </w:tcPr>
          <w:p>
            <w:pPr>
              <w:spacing w:line="360" w:lineRule="exact"/>
              <w:jc w:val="center"/>
              <w:rPr>
                <w:rFonts w:ascii="仿宋" w:hAnsi="仿宋" w:eastAsia="仿宋" w:cs="仿宋"/>
                <w:bCs/>
                <w:color w:val="auto"/>
                <w:sz w:val="24"/>
                <w:highlight w:val="none"/>
              </w:rPr>
            </w:pPr>
          </w:p>
        </w:tc>
        <w:tc>
          <w:tcPr>
            <w:tcW w:w="7072" w:type="dxa"/>
            <w:tcBorders>
              <w:top w:val="single" w:color="auto" w:sz="4" w:space="0"/>
            </w:tcBorders>
            <w:vAlign w:val="center"/>
          </w:tcPr>
          <w:p>
            <w:pPr>
              <w:spacing w:line="360" w:lineRule="exact"/>
              <w:rPr>
                <w:rFonts w:ascii="仿宋" w:hAnsi="仿宋" w:eastAsia="仿宋" w:cs="仿宋"/>
                <w:bCs/>
                <w:iCs/>
                <w:color w:val="auto"/>
                <w:sz w:val="24"/>
                <w:highlight w:val="none"/>
              </w:rPr>
            </w:pPr>
            <w:r>
              <w:rPr>
                <w:rFonts w:hint="eastAsia" w:ascii="仿宋" w:hAnsi="仿宋" w:eastAsia="仿宋" w:cs="仿宋"/>
                <w:color w:val="auto"/>
                <w:sz w:val="24"/>
                <w:highlight w:val="none"/>
              </w:rPr>
              <w:t>投标人主编过地方实景三维建设技术规范的得3分；参编过测绘相关地方标准规范的得1分。</w:t>
            </w:r>
            <w:r>
              <w:rPr>
                <w:rFonts w:hint="eastAsia" w:ascii="仿宋" w:hAnsi="仿宋" w:eastAsia="仿宋" w:cs="仿宋"/>
                <w:bCs/>
                <w:iCs/>
                <w:color w:val="auto"/>
                <w:sz w:val="24"/>
                <w:highlight w:val="none"/>
              </w:rPr>
              <w:t>同一类型仅就高计取1次，本项最多</w:t>
            </w:r>
            <w:r>
              <w:rPr>
                <w:rFonts w:hint="eastAsia" w:ascii="仿宋" w:hAnsi="仿宋" w:eastAsia="仿宋" w:cs="仿宋"/>
                <w:bCs/>
                <w:color w:val="auto"/>
                <w:sz w:val="24"/>
                <w:highlight w:val="none"/>
              </w:rPr>
              <w:t>得3分。</w:t>
            </w:r>
          </w:p>
          <w:p>
            <w:pPr>
              <w:spacing w:line="360" w:lineRule="exact"/>
              <w:rPr>
                <w:rFonts w:ascii="仿宋" w:hAnsi="仿宋" w:eastAsia="仿宋" w:cs="仿宋"/>
                <w:bCs/>
                <w:iCs/>
                <w:color w:val="auto"/>
                <w:sz w:val="24"/>
                <w:highlight w:val="none"/>
              </w:rPr>
            </w:pPr>
            <w:r>
              <w:rPr>
                <w:rFonts w:hint="eastAsia" w:ascii="仿宋" w:hAnsi="仿宋" w:eastAsia="仿宋" w:cs="仿宋"/>
                <w:b/>
                <w:color w:val="auto"/>
                <w:sz w:val="24"/>
                <w:highlight w:val="none"/>
              </w:rPr>
              <w:t>【投标文件中需提供相关证明材料扫描件或图片并加盖投标人电子公章，不提供的不得分。】</w:t>
            </w:r>
          </w:p>
        </w:tc>
        <w:tc>
          <w:tcPr>
            <w:tcW w:w="805" w:type="dxa"/>
            <w:tcBorders>
              <w:top w:val="single" w:color="auto" w:sz="4" w:space="0"/>
            </w:tcBorders>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90" w:hRule="atLeast"/>
          <w:jc w:val="center"/>
        </w:trPr>
        <w:tc>
          <w:tcPr>
            <w:tcW w:w="1255" w:type="dxa"/>
            <w:vAlign w:val="center"/>
          </w:tcPr>
          <w:p>
            <w:pPr>
              <w:spacing w:line="360" w:lineRule="exact"/>
              <w:jc w:val="center"/>
              <w:rPr>
                <w:rFonts w:ascii="仿宋" w:hAnsi="仿宋" w:eastAsia="仿宋" w:cs="仿宋"/>
                <w:bCs/>
                <w:color w:val="auto"/>
                <w:sz w:val="24"/>
                <w:highlight w:val="none"/>
              </w:rPr>
            </w:pPr>
            <w:r>
              <w:rPr>
                <w:rFonts w:hint="eastAsia" w:ascii="仿宋" w:hAnsi="仿宋" w:eastAsia="仿宋" w:cs="仿宋"/>
                <w:color w:val="auto"/>
                <w:sz w:val="24"/>
                <w:highlight w:val="none"/>
              </w:rPr>
              <w:t>项目业绩（1分）</w:t>
            </w:r>
          </w:p>
        </w:tc>
        <w:tc>
          <w:tcPr>
            <w:tcW w:w="7072" w:type="dxa"/>
            <w:vAlign w:val="center"/>
          </w:tcPr>
          <w:p>
            <w:pPr>
              <w:spacing w:line="360" w:lineRule="exact"/>
              <w:rPr>
                <w:rFonts w:ascii="仿宋" w:hAnsi="仿宋" w:eastAsia="仿宋" w:cs="仿宋"/>
                <w:bCs/>
                <w:iCs/>
                <w:color w:val="auto"/>
                <w:sz w:val="24"/>
                <w:highlight w:val="none"/>
              </w:rPr>
            </w:pPr>
            <w:r>
              <w:rPr>
                <w:rFonts w:hint="eastAsia" w:ascii="仿宋" w:hAnsi="仿宋" w:eastAsia="仿宋" w:cs="仿宋"/>
                <w:color w:val="auto"/>
                <w:sz w:val="24"/>
                <w:highlight w:val="none"/>
              </w:rPr>
              <w:t>2021年度以来（以合同签订时间为准），投标人</w:t>
            </w:r>
            <w:r>
              <w:rPr>
                <w:rFonts w:hint="eastAsia" w:ascii="仿宋" w:hAnsi="仿宋" w:eastAsia="仿宋" w:cs="仿宋"/>
                <w:color w:val="auto"/>
                <w:sz w:val="24"/>
                <w:highlight w:val="none"/>
                <w:lang w:eastAsia="zh-CN"/>
              </w:rPr>
              <w:t>承担过</w:t>
            </w:r>
            <w:r>
              <w:rPr>
                <w:rFonts w:hint="eastAsia" w:ascii="仿宋" w:hAnsi="仿宋" w:eastAsia="仿宋" w:cs="仿宋"/>
                <w:color w:val="auto"/>
                <w:sz w:val="24"/>
                <w:highlight w:val="none"/>
              </w:rPr>
              <w:t>地市级及以上城市地下市政基础设施普查数据整合</w:t>
            </w:r>
            <w:r>
              <w:rPr>
                <w:rFonts w:hint="eastAsia" w:ascii="仿宋" w:hAnsi="仿宋" w:eastAsia="仿宋" w:cs="仿宋"/>
                <w:color w:val="auto"/>
                <w:sz w:val="24"/>
                <w:highlight w:val="none"/>
                <w:lang w:eastAsia="zh-CN"/>
              </w:rPr>
              <w:t>同类</w:t>
            </w:r>
            <w:r>
              <w:rPr>
                <w:rFonts w:hint="eastAsia" w:ascii="仿宋" w:hAnsi="仿宋" w:eastAsia="仿宋" w:cs="仿宋"/>
                <w:color w:val="auto"/>
                <w:sz w:val="24"/>
                <w:highlight w:val="none"/>
              </w:rPr>
              <w:t>项目的，每个合同得0.5分，本项最多得1分。</w:t>
            </w:r>
          </w:p>
          <w:p>
            <w:pPr>
              <w:spacing w:line="360" w:lineRule="exact"/>
              <w:rPr>
                <w:rFonts w:ascii="仿宋" w:hAnsi="仿宋" w:eastAsia="仿宋" w:cs="仿宋"/>
                <w:bCs/>
                <w:iCs/>
                <w:color w:val="auto"/>
                <w:sz w:val="24"/>
                <w:highlight w:val="none"/>
              </w:rPr>
            </w:pPr>
            <w:r>
              <w:rPr>
                <w:rFonts w:hint="eastAsia" w:ascii="仿宋" w:hAnsi="仿宋" w:eastAsia="仿宋" w:cs="仿宋"/>
                <w:b/>
                <w:color w:val="auto"/>
                <w:sz w:val="24"/>
                <w:highlight w:val="none"/>
              </w:rPr>
              <w:t>【投标文件中需提供相关合同扫描件或图片并加盖投标人公章，不提供的不得分。】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717" w:hRule="atLeast"/>
          <w:jc w:val="center"/>
        </w:trPr>
        <w:tc>
          <w:tcPr>
            <w:tcW w:w="1255" w:type="dxa"/>
            <w:tcBorders>
              <w:top w:val="single" w:color="auto" w:sz="4" w:space="0"/>
              <w:bottom w:val="single" w:color="auto" w:sz="4" w:space="0"/>
            </w:tcBorders>
            <w:vAlign w:val="center"/>
          </w:tcPr>
          <w:p>
            <w:pPr>
              <w:spacing w:line="3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项目人员配备</w:t>
            </w:r>
          </w:p>
          <w:p>
            <w:pPr>
              <w:spacing w:line="3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（10分）</w:t>
            </w:r>
          </w:p>
        </w:tc>
        <w:tc>
          <w:tcPr>
            <w:tcW w:w="7072" w:type="dxa"/>
            <w:vAlign w:val="center"/>
          </w:tcPr>
          <w:p>
            <w:pPr>
              <w:spacing w:line="36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1.拟派本项目团队的项目负责人同时具备注册测绘师资格和测绘类正高级工程师职称的得2分；同时具备注册测绘师资格和测绘类高级工程师职称的得1分，最多得2分。</w:t>
            </w:r>
          </w:p>
          <w:p>
            <w:pPr>
              <w:spacing w:line="36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2.拟派本项目团队成员中（除项目负责人外），具有注册测绘师职称的，每人得0.5分，最多得3分。</w:t>
            </w:r>
          </w:p>
          <w:p>
            <w:pPr>
              <w:spacing w:line="36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3.拟派本项目团队成员中（除项目负责人外），具有测绘类高级工程师及以上职称的，每人得0.5分，最多得3分。</w:t>
            </w:r>
          </w:p>
          <w:p>
            <w:pPr>
              <w:spacing w:line="36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4.项目组成员中具有涉密测绘成果管理人员岗位培训证书(有效期内)的，每有一人得0.5分，最多得1分；具有地理信息安全保密培训证书的，每有一人得0.5分，最多得1分。本项最多得2分。</w:t>
            </w:r>
          </w:p>
          <w:p>
            <w:pPr>
              <w:spacing w:line="360" w:lineRule="exact"/>
              <w:rPr>
                <w:rFonts w:ascii="仿宋" w:hAnsi="仿宋" w:eastAsia="仿宋" w:cs="仿宋"/>
                <w:bCs/>
                <w:iCs/>
                <w:color w:val="auto"/>
                <w:sz w:val="24"/>
                <w:highlight w:val="none"/>
                <w:lang w:val="zh-CN"/>
              </w:rPr>
            </w:pPr>
            <w:r>
              <w:rPr>
                <w:rFonts w:hint="eastAsia" w:ascii="仿宋" w:hAnsi="仿宋" w:eastAsia="仿宋" w:cs="仿宋"/>
                <w:b/>
                <w:color w:val="auto"/>
                <w:sz w:val="24"/>
                <w:highlight w:val="none"/>
              </w:rPr>
              <w:t>【投标文件中需提供以上人员的资格证书等相关证明资料和在本单位近3个月的缴纳社保证明，以上证明材料需加盖投标人公章，不提供不得分。】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827" w:hRule="atLeast"/>
          <w:jc w:val="center"/>
        </w:trPr>
        <w:tc>
          <w:tcPr>
            <w:tcW w:w="1255" w:type="dxa"/>
            <w:tcBorders>
              <w:top w:val="single" w:color="auto" w:sz="4" w:space="0"/>
            </w:tcBorders>
            <w:vAlign w:val="center"/>
          </w:tcPr>
          <w:p>
            <w:pPr>
              <w:spacing w:line="3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软硬件设备配备</w:t>
            </w:r>
          </w:p>
          <w:p>
            <w:pPr>
              <w:spacing w:line="3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（10分）</w:t>
            </w:r>
          </w:p>
        </w:tc>
        <w:tc>
          <w:tcPr>
            <w:tcW w:w="7072" w:type="dxa"/>
            <w:vAlign w:val="center"/>
          </w:tcPr>
          <w:p>
            <w:pPr>
              <w:spacing w:line="36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1.投标人须自有地质雷达，每提供一台得2分，最高得2分。</w:t>
            </w:r>
          </w:p>
          <w:p>
            <w:pPr>
              <w:spacing w:line="36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2.投标人须自有管道惯性定位陀螺仪，每提供一台得2分，最高得2分。</w:t>
            </w:r>
          </w:p>
          <w:p>
            <w:pPr>
              <w:spacing w:line="36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3.投标人须自有导向仪，每提供一台得2分，最高得2分。</w:t>
            </w:r>
          </w:p>
          <w:p>
            <w:pPr>
              <w:spacing w:line="36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4.投标人须自有超高密度电法仪，每提供一台得2分，最高得2分。</w:t>
            </w:r>
          </w:p>
          <w:p>
            <w:pPr>
              <w:spacing w:line="360" w:lineRule="exact"/>
              <w:rPr>
                <w:rFonts w:ascii="仿宋" w:hAnsi="仿宋" w:eastAsia="仿宋" w:cs="仿宋"/>
                <w:bCs/>
                <w:iCs/>
                <w:color w:val="auto"/>
                <w:sz w:val="24"/>
                <w:highlight w:val="none"/>
              </w:rPr>
            </w:pPr>
            <w:r>
              <w:rPr>
                <w:rFonts w:hint="eastAsia" w:ascii="仿宋" w:hAnsi="仿宋" w:eastAsia="仿宋" w:cs="仿宋"/>
                <w:bCs/>
                <w:iCs/>
                <w:color w:val="auto"/>
                <w:sz w:val="24"/>
                <w:highlight w:val="none"/>
              </w:rPr>
              <w:t>5.投标人须自有三维激光扫描仪，每提供一台得2分，最高得2分。</w:t>
            </w:r>
          </w:p>
          <w:p>
            <w:pPr>
              <w:spacing w:line="360" w:lineRule="exact"/>
              <w:rPr>
                <w:rFonts w:ascii="仿宋" w:hAnsi="仿宋" w:eastAsia="仿宋" w:cs="仿宋"/>
                <w:bCs/>
                <w:iCs/>
                <w:color w:val="auto"/>
                <w:sz w:val="24"/>
                <w:highlight w:val="none"/>
                <w:lang w:val="zh-CN"/>
              </w:rPr>
            </w:pPr>
            <w:r>
              <w:rPr>
                <w:rFonts w:hint="eastAsia" w:ascii="仿宋" w:hAnsi="仿宋" w:eastAsia="仿宋" w:cs="仿宋"/>
                <w:b/>
                <w:color w:val="auto"/>
                <w:sz w:val="24"/>
                <w:highlight w:val="none"/>
              </w:rPr>
              <w:t>【自有仪器以购置发票为准，须提供相关设备购置发票原件彩色扫描件或图片并加盖投标人公章，不提供不得分。】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068" w:hRule="atLeast"/>
          <w:jc w:val="center"/>
        </w:trPr>
        <w:tc>
          <w:tcPr>
            <w:tcW w:w="1255" w:type="dxa"/>
            <w:vMerge w:val="restart"/>
            <w:vAlign w:val="center"/>
          </w:tcPr>
          <w:p>
            <w:pPr>
              <w:spacing w:line="3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技术实施方案</w:t>
            </w:r>
          </w:p>
          <w:p>
            <w:pPr>
              <w:spacing w:line="3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（30）</w:t>
            </w:r>
          </w:p>
        </w:tc>
        <w:tc>
          <w:tcPr>
            <w:tcW w:w="7072" w:type="dxa"/>
            <w:vAlign w:val="center"/>
          </w:tcPr>
          <w:p>
            <w:pPr>
              <w:spacing w:line="3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根据投标人对本项目政策及需求的理解、资料收集及利用情况由评委横向比较，理解到位、分析完整的为优4.1-6分，理解、分析一般为良2.1-4分，一般0.1-2分，不提供不得分。本项最高得6分。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67" w:hRule="atLeast"/>
          <w:jc w:val="center"/>
        </w:trPr>
        <w:tc>
          <w:tcPr>
            <w:tcW w:w="1255" w:type="dxa"/>
            <w:vMerge w:val="continue"/>
            <w:vAlign w:val="center"/>
          </w:tcPr>
          <w:p>
            <w:pPr>
              <w:spacing w:line="360" w:lineRule="exact"/>
              <w:jc w:val="center"/>
              <w:rPr>
                <w:rFonts w:ascii="仿宋" w:hAnsi="仿宋" w:eastAsia="仿宋" w:cs="仿宋"/>
                <w:bCs/>
                <w:color w:val="auto"/>
                <w:sz w:val="24"/>
                <w:highlight w:val="none"/>
              </w:rPr>
            </w:pPr>
          </w:p>
        </w:tc>
        <w:tc>
          <w:tcPr>
            <w:tcW w:w="7072" w:type="dxa"/>
            <w:vAlign w:val="center"/>
          </w:tcPr>
          <w:p>
            <w:pPr>
              <w:spacing w:line="360" w:lineRule="exact"/>
              <w:rPr>
                <w:rFonts w:ascii="仿宋" w:hAnsi="仿宋" w:eastAsia="仿宋" w:cs="仿宋"/>
                <w:bCs/>
                <w:iCs/>
                <w:color w:val="auto"/>
                <w:sz w:val="24"/>
                <w:highlight w:val="none"/>
                <w:lang w:val="zh-CN"/>
              </w:rPr>
            </w:pPr>
            <w:r>
              <w:rPr>
                <w:rFonts w:hint="eastAsia" w:ascii="仿宋" w:hAnsi="仿宋" w:eastAsia="仿宋" w:cs="仿宋"/>
                <w:bCs/>
                <w:color w:val="auto"/>
                <w:sz w:val="24"/>
                <w:highlight w:val="none"/>
              </w:rPr>
              <w:t>根据投标人技术方案整体的先进性、完整性、科学性、针对性等由评委横向比较打分。优4.1-6分，良2.1-4分，一般0.1-2分，不提供不得分。本项最高得6分。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014" w:hRule="atLeast"/>
          <w:jc w:val="center"/>
        </w:trPr>
        <w:tc>
          <w:tcPr>
            <w:tcW w:w="1255" w:type="dxa"/>
            <w:vMerge w:val="continue"/>
            <w:vAlign w:val="center"/>
          </w:tcPr>
          <w:p>
            <w:pPr>
              <w:spacing w:line="360" w:lineRule="exact"/>
              <w:jc w:val="center"/>
              <w:rPr>
                <w:rFonts w:ascii="仿宋" w:hAnsi="仿宋" w:eastAsia="仿宋" w:cs="仿宋"/>
                <w:bCs/>
                <w:color w:val="auto"/>
                <w:sz w:val="24"/>
                <w:highlight w:val="none"/>
              </w:rPr>
            </w:pPr>
          </w:p>
        </w:tc>
        <w:tc>
          <w:tcPr>
            <w:tcW w:w="7072" w:type="dxa"/>
            <w:vAlign w:val="center"/>
          </w:tcPr>
          <w:p>
            <w:pPr>
              <w:spacing w:line="360" w:lineRule="exact"/>
              <w:rPr>
                <w:rFonts w:ascii="仿宋" w:hAnsi="仿宋" w:eastAsia="仿宋" w:cs="仿宋"/>
                <w:bCs/>
                <w:iCs/>
                <w:color w:val="auto"/>
                <w:sz w:val="24"/>
                <w:highlight w:val="none"/>
                <w:lang w:val="zh-CN"/>
              </w:rPr>
            </w:pPr>
            <w:r>
              <w:rPr>
                <w:rFonts w:hint="eastAsia" w:ascii="仿宋" w:hAnsi="仿宋" w:eastAsia="仿宋" w:cs="仿宋"/>
                <w:bCs/>
                <w:color w:val="auto"/>
                <w:sz w:val="24"/>
                <w:highlight w:val="none"/>
              </w:rPr>
              <w:t>根据投标人针对本项目的实施工序、技术方法等，由评委横向比较打分。优4.1-6分，良2.1-4分，一般0.1-2分，不提供不得分。本项最高得6分。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67" w:hRule="atLeast"/>
          <w:jc w:val="center"/>
        </w:trPr>
        <w:tc>
          <w:tcPr>
            <w:tcW w:w="1255" w:type="dxa"/>
            <w:vMerge w:val="continue"/>
            <w:vAlign w:val="center"/>
          </w:tcPr>
          <w:p>
            <w:pPr>
              <w:spacing w:line="360" w:lineRule="exact"/>
              <w:jc w:val="center"/>
              <w:rPr>
                <w:rFonts w:ascii="仿宋" w:hAnsi="仿宋" w:eastAsia="仿宋" w:cs="仿宋"/>
                <w:bCs/>
                <w:color w:val="auto"/>
                <w:sz w:val="24"/>
                <w:highlight w:val="none"/>
              </w:rPr>
            </w:pPr>
          </w:p>
        </w:tc>
        <w:tc>
          <w:tcPr>
            <w:tcW w:w="7072" w:type="dxa"/>
            <w:vAlign w:val="center"/>
          </w:tcPr>
          <w:p>
            <w:pPr>
              <w:spacing w:line="3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根据投标人对本项目重难点工作的理解分析、应对举措合理有效、符合实际等方案，由评委横向比较综合评分。优4.1-6分，良2.1-4分，一般0.1-2分，不提供不得分。本项最高得6分。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67" w:hRule="atLeast"/>
          <w:jc w:val="center"/>
        </w:trPr>
        <w:tc>
          <w:tcPr>
            <w:tcW w:w="1255" w:type="dxa"/>
            <w:vMerge w:val="continue"/>
            <w:vAlign w:val="center"/>
          </w:tcPr>
          <w:p>
            <w:pPr>
              <w:spacing w:line="360" w:lineRule="exact"/>
              <w:jc w:val="center"/>
              <w:rPr>
                <w:rFonts w:ascii="仿宋" w:hAnsi="仿宋" w:eastAsia="仿宋" w:cs="仿宋"/>
                <w:bCs/>
                <w:color w:val="auto"/>
                <w:sz w:val="24"/>
                <w:highlight w:val="none"/>
              </w:rPr>
            </w:pPr>
          </w:p>
        </w:tc>
        <w:tc>
          <w:tcPr>
            <w:tcW w:w="7072" w:type="dxa"/>
            <w:vAlign w:val="center"/>
          </w:tcPr>
          <w:p>
            <w:pPr>
              <w:spacing w:line="3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投标人针对本项目的项目管理制度、应急事件措施等，由评委横向比较打分。优4.1-6分，良2.1-4分，一般0.1-2分，不提供不得分。本项最高得6分。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73" w:hRule="atLeast"/>
          <w:jc w:val="center"/>
        </w:trPr>
        <w:tc>
          <w:tcPr>
            <w:tcW w:w="1255" w:type="dxa"/>
            <w:vMerge w:val="restart"/>
            <w:vAlign w:val="center"/>
          </w:tcPr>
          <w:p>
            <w:pPr>
              <w:spacing w:line="3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质量及进度保障</w:t>
            </w:r>
          </w:p>
          <w:p>
            <w:pPr>
              <w:spacing w:line="3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（10分）</w:t>
            </w:r>
          </w:p>
        </w:tc>
        <w:tc>
          <w:tcPr>
            <w:tcW w:w="7072" w:type="dxa"/>
            <w:vAlign w:val="center"/>
          </w:tcPr>
          <w:p>
            <w:pPr>
              <w:spacing w:line="360" w:lineRule="exact"/>
              <w:rPr>
                <w:rFonts w:ascii="仿宋" w:hAnsi="仿宋" w:eastAsia="仿宋" w:cs="仿宋"/>
                <w:color w:val="auto"/>
                <w:sz w:val="24"/>
                <w:highlight w:val="none"/>
              </w:rPr>
            </w:pPr>
            <w:r>
              <w:rPr>
                <w:rFonts w:hint="eastAsia" w:ascii="仿宋" w:hAnsi="仿宋" w:eastAsia="仿宋" w:cs="仿宋"/>
                <w:bCs/>
                <w:color w:val="auto"/>
                <w:sz w:val="24"/>
                <w:highlight w:val="none"/>
              </w:rPr>
              <w:t>根据投标人对本项目质量控制措施等方案的合理性、科学性、针对性，由评委横向比较打分。优4.1-5分，良2.1-4分，一般0.1-2分，不提供不得分。本项最高得5分。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401" w:hRule="atLeast"/>
          <w:jc w:val="center"/>
        </w:trPr>
        <w:tc>
          <w:tcPr>
            <w:tcW w:w="1255" w:type="dxa"/>
            <w:vMerge w:val="continue"/>
            <w:vAlign w:val="center"/>
          </w:tcPr>
          <w:p>
            <w:pPr>
              <w:spacing w:line="360" w:lineRule="exact"/>
              <w:jc w:val="center"/>
              <w:rPr>
                <w:rFonts w:ascii="仿宋" w:hAnsi="仿宋" w:eastAsia="仿宋" w:cs="仿宋"/>
                <w:bCs/>
                <w:color w:val="auto"/>
                <w:sz w:val="24"/>
                <w:highlight w:val="none"/>
              </w:rPr>
            </w:pPr>
          </w:p>
        </w:tc>
        <w:tc>
          <w:tcPr>
            <w:tcW w:w="7072" w:type="dxa"/>
            <w:vAlign w:val="center"/>
          </w:tcPr>
          <w:p>
            <w:pPr>
              <w:spacing w:line="360" w:lineRule="exact"/>
              <w:rPr>
                <w:rFonts w:ascii="仿宋" w:hAnsi="仿宋" w:eastAsia="仿宋" w:cs="仿宋"/>
                <w:bCs/>
                <w:iCs/>
                <w:color w:val="auto"/>
                <w:sz w:val="24"/>
                <w:highlight w:val="none"/>
                <w:lang w:val="zh-CN"/>
              </w:rPr>
            </w:pPr>
            <w:r>
              <w:rPr>
                <w:rFonts w:hint="eastAsia" w:ascii="仿宋" w:hAnsi="仿宋" w:eastAsia="仿宋" w:cs="仿宋"/>
                <w:bCs/>
                <w:color w:val="auto"/>
                <w:sz w:val="24"/>
                <w:highlight w:val="none"/>
              </w:rPr>
              <w:t>根据投标人对本项目工期进度计划、施工中进度编排、工期保障措施等方案的合理性、科学性、针对性，由评委横向比较。优4.1-5分，方案描述一般为良2.1-4分，一般0.1-2分，不提供不得分。本项最高得5分。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39" w:hRule="atLeast"/>
          <w:jc w:val="center"/>
        </w:trPr>
        <w:tc>
          <w:tcPr>
            <w:tcW w:w="1255" w:type="dxa"/>
            <w:vMerge w:val="restart"/>
            <w:vAlign w:val="center"/>
          </w:tcPr>
          <w:p>
            <w:pPr>
              <w:spacing w:line="3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安全及保密措施</w:t>
            </w:r>
          </w:p>
          <w:p>
            <w:pPr>
              <w:spacing w:line="3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（10分）</w:t>
            </w:r>
          </w:p>
        </w:tc>
        <w:tc>
          <w:tcPr>
            <w:tcW w:w="7072" w:type="dxa"/>
            <w:vAlign w:val="center"/>
          </w:tcPr>
          <w:p>
            <w:pPr>
              <w:spacing w:line="3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针对本项目的安全管理措施、文明施工措施等，由评委横向比较打分。优4.1-5分，方案描述一般为良2.1-4分，一般0.1-2分，不提供不得分。本项最高得5分。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139" w:hRule="atLeast"/>
          <w:jc w:val="center"/>
        </w:trPr>
        <w:tc>
          <w:tcPr>
            <w:tcW w:w="1255" w:type="dxa"/>
            <w:vMerge w:val="continue"/>
            <w:vAlign w:val="center"/>
          </w:tcPr>
          <w:p>
            <w:pPr>
              <w:spacing w:line="360" w:lineRule="exact"/>
              <w:jc w:val="center"/>
              <w:rPr>
                <w:rFonts w:ascii="仿宋" w:hAnsi="仿宋" w:eastAsia="仿宋" w:cs="仿宋"/>
                <w:bCs/>
                <w:color w:val="auto"/>
                <w:sz w:val="24"/>
                <w:highlight w:val="none"/>
              </w:rPr>
            </w:pPr>
          </w:p>
        </w:tc>
        <w:tc>
          <w:tcPr>
            <w:tcW w:w="7072" w:type="dxa"/>
            <w:vAlign w:val="center"/>
          </w:tcPr>
          <w:p>
            <w:pPr>
              <w:spacing w:line="360" w:lineRule="exact"/>
              <w:rPr>
                <w:rFonts w:ascii="仿宋" w:hAnsi="仿宋" w:eastAsia="仿宋" w:cs="仿宋"/>
                <w:bCs/>
                <w:color w:val="auto"/>
                <w:sz w:val="24"/>
                <w:highlight w:val="none"/>
              </w:rPr>
            </w:pPr>
            <w:r>
              <w:rPr>
                <w:rFonts w:hint="eastAsia" w:ascii="仿宋" w:hAnsi="仿宋" w:eastAsia="仿宋" w:cs="仿宋"/>
                <w:bCs/>
                <w:color w:val="auto"/>
                <w:sz w:val="24"/>
                <w:highlight w:val="none"/>
              </w:rPr>
              <w:t>针对本项目的保密措施、保密投入等，由评委横向比较打分。优4.1-5分，方案描述一般为良2.1-4分，一般0.1-2分，不提供不得分。本项最高得5分。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67" w:hRule="atLeast"/>
          <w:jc w:val="center"/>
        </w:trPr>
        <w:tc>
          <w:tcPr>
            <w:tcW w:w="1255" w:type="dxa"/>
            <w:vMerge w:val="restart"/>
            <w:vAlign w:val="center"/>
          </w:tcPr>
          <w:p>
            <w:pPr>
              <w:spacing w:line="360" w:lineRule="exact"/>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售后服务（8分）</w:t>
            </w:r>
          </w:p>
        </w:tc>
        <w:tc>
          <w:tcPr>
            <w:tcW w:w="7072" w:type="dxa"/>
            <w:vAlign w:val="center"/>
          </w:tcPr>
          <w:p>
            <w:pPr>
              <w:spacing w:line="360" w:lineRule="exact"/>
              <w:rPr>
                <w:rFonts w:ascii="仿宋" w:hAnsi="仿宋" w:eastAsia="仿宋" w:cs="仿宋"/>
                <w:color w:val="auto"/>
                <w:sz w:val="24"/>
                <w:highlight w:val="none"/>
              </w:rPr>
            </w:pPr>
            <w:r>
              <w:rPr>
                <w:rFonts w:hint="eastAsia" w:ascii="仿宋" w:hAnsi="仿宋" w:eastAsia="仿宋" w:cs="仿宋"/>
                <w:bCs/>
                <w:color w:val="auto"/>
                <w:sz w:val="24"/>
                <w:highlight w:val="none"/>
              </w:rPr>
              <w:t>投标人需提供完整可行的售后服务方案，从实际服务考虑由评委横向比较，服务方案完整、可行性强的为优4.1-6分，方案描述一般为良2.1-4分，一般0.1-2分，不提供不得分。本项最高得6分。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667" w:hRule="atLeast"/>
          <w:jc w:val="center"/>
        </w:trPr>
        <w:tc>
          <w:tcPr>
            <w:tcW w:w="1255" w:type="dxa"/>
            <w:vMerge w:val="continue"/>
            <w:vAlign w:val="center"/>
          </w:tcPr>
          <w:p>
            <w:pPr>
              <w:spacing w:line="360" w:lineRule="exact"/>
              <w:jc w:val="center"/>
              <w:rPr>
                <w:rFonts w:ascii="仿宋" w:hAnsi="仿宋" w:eastAsia="仿宋" w:cs="仿宋"/>
                <w:color w:val="auto"/>
                <w:sz w:val="24"/>
                <w:highlight w:val="none"/>
              </w:rPr>
            </w:pPr>
          </w:p>
        </w:tc>
        <w:tc>
          <w:tcPr>
            <w:tcW w:w="7072" w:type="dxa"/>
            <w:vAlign w:val="center"/>
          </w:tcPr>
          <w:p>
            <w:pPr>
              <w:spacing w:line="360" w:lineRule="exact"/>
              <w:rPr>
                <w:rFonts w:ascii="仿宋" w:hAnsi="仿宋" w:eastAsia="仿宋" w:cs="仿宋"/>
                <w:color w:val="auto"/>
                <w:sz w:val="24"/>
                <w:highlight w:val="none"/>
              </w:rPr>
            </w:pPr>
            <w:r>
              <w:rPr>
                <w:rFonts w:hint="eastAsia" w:ascii="仿宋" w:hAnsi="仿宋" w:eastAsia="仿宋" w:cs="仿宋"/>
                <w:bCs/>
                <w:color w:val="auto"/>
                <w:sz w:val="24"/>
                <w:highlight w:val="none"/>
              </w:rPr>
              <w:t>投标单位针对本项目设立的服务网点与采购人远近距离及响应时间，专家根据情况酌情打分。本项最高得2分。</w:t>
            </w:r>
          </w:p>
        </w:tc>
        <w:tc>
          <w:tcPr>
            <w:tcW w:w="805" w:type="dxa"/>
            <w:vAlign w:val="center"/>
          </w:tcPr>
          <w:p>
            <w:pPr>
              <w:spacing w:line="360" w:lineRule="exact"/>
              <w:jc w:val="center"/>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w:t>
            </w:r>
          </w:p>
        </w:tc>
      </w:tr>
    </w:tbl>
    <w:p>
      <w:pPr>
        <w:spacing w:line="360" w:lineRule="exact"/>
        <w:jc w:val="left"/>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hint="eastAsia" w:ascii="仿宋" w:hAnsi="仿宋" w:eastAsia="仿宋"/>
          <w:b/>
          <w:bCs/>
          <w:color w:val="auto"/>
          <w:sz w:val="24"/>
          <w:highlight w:val="none"/>
        </w:rPr>
        <w:t>减分：投标人的信誉情况：</w:t>
      </w:r>
      <w:r>
        <w:rPr>
          <w:rFonts w:hint="eastAsia" w:ascii="仿宋" w:hAnsi="仿宋" w:eastAsia="仿宋"/>
          <w:color w:val="auto"/>
          <w:sz w:val="24"/>
          <w:highlight w:val="none"/>
        </w:rPr>
        <w:t>政府采购领域中投标人在项目招标、投标和合同履约期间是否存在不良行为记录。</w:t>
      </w:r>
    </w:p>
    <w:p>
      <w:pPr>
        <w:spacing w:line="360" w:lineRule="exact"/>
        <w:jc w:val="left"/>
        <w:rPr>
          <w:rFonts w:ascii="仿宋" w:hAnsi="仿宋" w:eastAsia="仿宋"/>
          <w:color w:val="auto"/>
          <w:sz w:val="24"/>
          <w:highlight w:val="none"/>
        </w:rPr>
      </w:pPr>
      <w:r>
        <w:rPr>
          <w:rFonts w:hint="eastAsia" w:ascii="仿宋" w:hAnsi="仿宋" w:eastAsia="仿宋"/>
          <w:color w:val="auto"/>
          <w:sz w:val="24"/>
          <w:highlight w:val="none"/>
        </w:rPr>
        <w:t>● 投标人参加本次政府采购活动前三年内在浙江省范围内政府采购领域中受到不良行为记录处罚的每次扣1分。</w:t>
      </w:r>
    </w:p>
    <w:p>
      <w:pPr>
        <w:spacing w:line="360" w:lineRule="exact"/>
        <w:jc w:val="left"/>
        <w:rPr>
          <w:rFonts w:ascii="仿宋" w:hAnsi="仿宋" w:eastAsia="仿宋"/>
          <w:b/>
          <w:bCs/>
          <w:color w:val="auto"/>
          <w:sz w:val="24"/>
          <w:highlight w:val="none"/>
        </w:rPr>
      </w:pPr>
      <w:r>
        <w:rPr>
          <w:rFonts w:hint="eastAsia" w:ascii="仿宋" w:hAnsi="仿宋" w:eastAsia="仿宋"/>
          <w:b/>
          <w:bCs/>
          <w:color w:val="auto"/>
          <w:sz w:val="24"/>
          <w:highlight w:val="none"/>
        </w:rPr>
        <w:t>2.2价格分（</w:t>
      </w:r>
      <w:r>
        <w:rPr>
          <w:rFonts w:ascii="仿宋" w:hAnsi="仿宋" w:eastAsia="仿宋"/>
          <w:b/>
          <w:bCs/>
          <w:color w:val="auto"/>
          <w:sz w:val="24"/>
          <w:highlight w:val="none"/>
        </w:rPr>
        <w:t>10</w:t>
      </w:r>
      <w:r>
        <w:rPr>
          <w:rFonts w:hint="eastAsia" w:ascii="仿宋" w:hAnsi="仿宋" w:eastAsia="仿宋"/>
          <w:b/>
          <w:bCs/>
          <w:color w:val="auto"/>
          <w:sz w:val="24"/>
          <w:highlight w:val="none"/>
        </w:rPr>
        <w:t>分）</w:t>
      </w:r>
    </w:p>
    <w:p>
      <w:pPr>
        <w:spacing w:line="360" w:lineRule="exact"/>
        <w:jc w:val="left"/>
        <w:rPr>
          <w:rFonts w:ascii="仿宋" w:hAnsi="仿宋" w:eastAsia="仿宋"/>
          <w:color w:val="auto"/>
          <w:sz w:val="24"/>
          <w:highlight w:val="none"/>
        </w:rPr>
      </w:pPr>
      <w:r>
        <w:rPr>
          <w:rFonts w:hint="eastAsia" w:ascii="仿宋" w:hAnsi="仿宋" w:eastAsia="仿宋"/>
          <w:color w:val="auto"/>
          <w:sz w:val="24"/>
          <w:highlight w:val="none"/>
        </w:rPr>
        <w:t>2.2.1评标基准价：即满足招标文件要求且投标报价最低的报价为评标基准价，其价格分为满分。</w:t>
      </w:r>
    </w:p>
    <w:p>
      <w:pPr>
        <w:spacing w:line="360" w:lineRule="exact"/>
        <w:jc w:val="left"/>
        <w:rPr>
          <w:rFonts w:ascii="仿宋" w:hAnsi="仿宋" w:eastAsia="仿宋"/>
          <w:color w:val="auto"/>
          <w:sz w:val="24"/>
          <w:highlight w:val="none"/>
        </w:rPr>
      </w:pPr>
      <w:r>
        <w:rPr>
          <w:rFonts w:hint="eastAsia" w:ascii="仿宋" w:hAnsi="仿宋" w:eastAsia="仿宋"/>
          <w:color w:val="auto"/>
          <w:sz w:val="24"/>
          <w:highlight w:val="none"/>
        </w:rPr>
        <w:t>2.2.2其他投标人的价格分统一按照下列公式计算：</w:t>
      </w:r>
    </w:p>
    <w:p>
      <w:pPr>
        <w:spacing w:line="360" w:lineRule="exact"/>
        <w:jc w:val="left"/>
        <w:rPr>
          <w:rFonts w:ascii="仿宋" w:hAnsi="仿宋" w:eastAsia="仿宋"/>
          <w:color w:val="auto"/>
          <w:sz w:val="24"/>
          <w:highlight w:val="none"/>
        </w:rPr>
      </w:pPr>
      <w:r>
        <w:rPr>
          <w:rFonts w:hint="eastAsia" w:ascii="仿宋" w:hAnsi="仿宋" w:eastAsia="仿宋"/>
          <w:color w:val="auto"/>
          <w:sz w:val="24"/>
          <w:highlight w:val="none"/>
        </w:rPr>
        <w:t>投标报价得分=(评标基准价／投标报价)×价格权值×100</w:t>
      </w:r>
    </w:p>
    <w:p>
      <w:pPr>
        <w:spacing w:line="360" w:lineRule="exact"/>
        <w:jc w:val="left"/>
        <w:rPr>
          <w:color w:val="auto"/>
          <w:sz w:val="24"/>
          <w:highlight w:val="none"/>
        </w:rPr>
      </w:pPr>
      <w:r>
        <w:rPr>
          <w:rFonts w:hint="eastAsia" w:ascii="仿宋" w:hAnsi="仿宋" w:eastAsia="仿宋"/>
          <w:color w:val="auto"/>
          <w:sz w:val="24"/>
          <w:highlight w:val="none"/>
        </w:rPr>
        <w:t>即：投标报价得分=(评标基准价／投标报价)×</w:t>
      </w:r>
      <w:r>
        <w:rPr>
          <w:rFonts w:ascii="仿宋" w:hAnsi="仿宋" w:eastAsia="仿宋"/>
          <w:color w:val="auto"/>
          <w:sz w:val="24"/>
          <w:highlight w:val="none"/>
        </w:rPr>
        <w:t>1</w:t>
      </w:r>
      <w:r>
        <w:rPr>
          <w:rFonts w:hint="eastAsia" w:ascii="仿宋" w:hAnsi="仿宋" w:eastAsia="仿宋"/>
          <w:color w:val="auto"/>
          <w:sz w:val="24"/>
          <w:highlight w:val="none"/>
        </w:rPr>
        <w:t>0</w:t>
      </w: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adjustRightInd w:val="0"/>
        <w:snapToGrid w:val="0"/>
        <w:spacing w:line="360" w:lineRule="auto"/>
        <w:rPr>
          <w:rFonts w:ascii="仿宋_GB2312" w:hAnsi="仿宋" w:eastAsia="仿宋_GB2312" w:cs="仿宋"/>
          <w:color w:val="auto"/>
          <w:sz w:val="24"/>
          <w:highlight w:val="none"/>
        </w:rPr>
      </w:pPr>
    </w:p>
    <w:p>
      <w:pPr>
        <w:adjustRightInd w:val="0"/>
        <w:snapToGrid w:val="0"/>
        <w:spacing w:line="360" w:lineRule="auto"/>
        <w:rPr>
          <w:rFonts w:ascii="仿宋_GB2312" w:hAnsi="仿宋" w:eastAsia="仿宋_GB2312" w:cs="仿宋"/>
          <w:color w:val="auto"/>
          <w:sz w:val="24"/>
          <w:highlight w:val="none"/>
        </w:rPr>
      </w:pPr>
    </w:p>
    <w:p>
      <w:pPr>
        <w:adjustRightInd w:val="0"/>
        <w:snapToGrid w:val="0"/>
        <w:spacing w:line="360" w:lineRule="auto"/>
        <w:rPr>
          <w:rFonts w:ascii="仿宋_GB2312" w:hAnsi="仿宋" w:eastAsia="仿宋_GB2312" w:cs="仿宋"/>
          <w:color w:val="auto"/>
          <w:sz w:val="24"/>
          <w:highlight w:val="none"/>
        </w:rPr>
      </w:pPr>
    </w:p>
    <w:p>
      <w:pPr>
        <w:spacing w:line="360" w:lineRule="auto"/>
        <w:ind w:firstLine="480" w:firstLineChars="200"/>
        <w:outlineLvl w:val="0"/>
        <w:rPr>
          <w:rFonts w:ascii="仿宋_GB2312" w:hAnsi="仿宋_GB2312" w:eastAsia="仿宋_GB2312" w:cs="仿宋_GB2312"/>
          <w:color w:val="auto"/>
          <w:sz w:val="24"/>
          <w:highlight w:val="none"/>
        </w:rPr>
      </w:pPr>
    </w:p>
    <w:p>
      <w:pPr>
        <w:pStyle w:val="24"/>
        <w:spacing w:line="800" w:lineRule="atLeast"/>
        <w:ind w:left="0" w:leftChars="0"/>
        <w:rPr>
          <w:rFonts w:ascii="仿宋_GB2312" w:hAnsi="宋体" w:eastAsia="仿宋_GB2312"/>
          <w:b/>
          <w:color w:val="auto"/>
          <w:sz w:val="36"/>
          <w:szCs w:val="36"/>
          <w:highlight w:val="none"/>
        </w:rPr>
      </w:pPr>
    </w:p>
    <w:p>
      <w:pPr>
        <w:pStyle w:val="24"/>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绍兴市自然资源和规划局、浙江华诚工程管理有限公司：</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u w:val="single"/>
        </w:rPr>
        <w:t>绍兴市城市地下市政基础设施普查数据整合入库与建模</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1"/>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60" w:lineRule="auto"/>
        <w:jc w:val="center"/>
        <w:rPr>
          <w:rFonts w:ascii="仿宋_GB2312" w:hAnsi="仿宋" w:eastAsia="仿宋_GB2312" w:cs="仿宋"/>
          <w:color w:val="auto"/>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222"/>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534" w:firstLineChars="11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8"/>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rPr>
        <w:t>绍兴市自然资源和规划局、浙江华诚工程管理有限公司</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8"/>
        <w:spacing w:after="120" w:line="336" w:lineRule="auto"/>
        <w:ind w:firstLine="480"/>
        <w:rPr>
          <w:rFonts w:ascii="仿宋_GB2312" w:hAnsi="仿宋" w:eastAsia="仿宋_GB2312" w:cs="仿宋"/>
          <w:color w:val="auto"/>
          <w:szCs w:val="24"/>
          <w:highlight w:val="none"/>
        </w:rPr>
      </w:pPr>
    </w:p>
    <w:p>
      <w:pPr>
        <w:pStyle w:val="98"/>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rPr>
        <w:t>绍兴市自然资源和规划局、浙江华诚工程管理有限公司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rPr>
        <w:t>绍兴市城市地下市政基础设施普查数据整合入库与建模（招标编号:                 ）</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绍兴市自然资源和规划局、浙江华诚工程管理有限公司</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rPr>
        <w:t>绍兴市城市地下市政基础设施普查数据整合入库与建模（招标编号:            ）</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仿宋" w:eastAsia="仿宋_GB2312" w:cs="仿宋"/>
          <w:b/>
          <w:color w:val="auto"/>
          <w:sz w:val="30"/>
          <w:szCs w:val="30"/>
          <w:highlight w:val="non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绍兴市自然资源和规划局、浙江华诚工程管理有限公司</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3"/>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4pt;" o:ole="t" filled="f" o:preferrelative="t" stroked="f" coordsize="21600,21600">
            <v:path/>
            <v:fill on="f" focussize="0,0"/>
            <v:stroke on="f" joinstyle="miter"/>
            <v:imagedata r:id="rId14" o:title=""/>
            <o:lock v:ext="edit" aspectratio="t"/>
            <w10:wrap type="none"/>
            <w10:anchorlock/>
          </v:shape>
          <o:OLEObject Type="Embed" ProgID="Package" ShapeID="_x0000_i1025" DrawAspect="Content" ObjectID="_1468075725" r:id="rId13">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6" o:title=""/>
            <o:lock v:ext="edit" aspectratio="t"/>
            <w10:wrap type="none"/>
            <w10:anchorlock/>
          </v:shape>
          <o:OLEObject Type="Embed" ProgID="Package" ShapeID="_x0000_i1026" DrawAspect="Content" ObjectID="_1468075726" r:id="rId15">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1"/>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1"/>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1"/>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1"/>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1"/>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1"/>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6"/>
        <w:rPr>
          <w:rFonts w:ascii="仿宋_GB2312" w:eastAsia="仿宋_GB2312"/>
          <w:color w:val="auto"/>
          <w:highlight w:val="none"/>
        </w:rPr>
        <w:sectPr>
          <w:footerReference r:id="rId7" w:type="first"/>
          <w:footerReference r:id="rId6"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9" w:type="first"/>
          <w:footerReference r:id="rId8" w:type="default"/>
          <w:pgSz w:w="11906" w:h="16838"/>
          <w:pgMar w:top="1814" w:right="1474" w:bottom="1814" w:left="1474" w:header="851" w:footer="992" w:gutter="0"/>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绍兴市自然资源和规划局、浙江华诚工程管理有限公司</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rPr>
        <w:t>绍兴市城市地下市政基础设施普查数据整合入库与建模（招标编号:</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品牌（如果有）</w:t>
            </w:r>
          </w:p>
        </w:tc>
        <w:tc>
          <w:tcPr>
            <w:tcW w:w="3118"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规格型号</w:t>
            </w:r>
          </w:p>
        </w:tc>
        <w:tc>
          <w:tcPr>
            <w:tcW w:w="9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数量</w:t>
            </w:r>
          </w:p>
        </w:tc>
        <w:tc>
          <w:tcPr>
            <w:tcW w:w="155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单价</w:t>
            </w:r>
          </w:p>
        </w:tc>
        <w:tc>
          <w:tcPr>
            <w:tcW w:w="1984"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合计</w:t>
            </w:r>
          </w:p>
        </w:tc>
        <w:tc>
          <w:tcPr>
            <w:tcW w:w="3119"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3118" w:type="dxa"/>
            <w:vAlign w:val="center"/>
          </w:tcPr>
          <w:p>
            <w:pPr>
              <w:snapToGrid w:val="0"/>
              <w:spacing w:line="360" w:lineRule="auto"/>
              <w:jc w:val="center"/>
              <w:rPr>
                <w:rFonts w:ascii="仿宋_GB2312" w:hAnsi="仿宋" w:eastAsia="仿宋_GB2312" w:cs="仿宋"/>
                <w:color w:val="auto"/>
                <w:sz w:val="24"/>
                <w:highlight w:val="none"/>
              </w:rPr>
            </w:pPr>
          </w:p>
        </w:tc>
        <w:tc>
          <w:tcPr>
            <w:tcW w:w="993" w:type="dxa"/>
            <w:vAlign w:val="center"/>
          </w:tcPr>
          <w:p>
            <w:pPr>
              <w:snapToGrid w:val="0"/>
              <w:spacing w:line="360" w:lineRule="auto"/>
              <w:jc w:val="center"/>
              <w:rPr>
                <w:rFonts w:ascii="仿宋_GB2312" w:hAnsi="仿宋" w:eastAsia="仿宋_GB2312" w:cs="仿宋"/>
                <w:color w:val="auto"/>
                <w:sz w:val="24"/>
                <w:highlight w:val="none"/>
              </w:rPr>
            </w:pPr>
          </w:p>
        </w:tc>
        <w:tc>
          <w:tcPr>
            <w:tcW w:w="1559" w:type="dxa"/>
            <w:vAlign w:val="center"/>
          </w:tcPr>
          <w:p>
            <w:pPr>
              <w:spacing w:line="360" w:lineRule="auto"/>
              <w:jc w:val="center"/>
              <w:rPr>
                <w:rFonts w:ascii="仿宋_GB2312" w:hAnsi="仿宋" w:eastAsia="仿宋_GB2312" w:cs="仿宋"/>
                <w:color w:val="auto"/>
                <w:sz w:val="24"/>
                <w:highlight w:val="none"/>
              </w:rPr>
            </w:pPr>
          </w:p>
        </w:tc>
        <w:tc>
          <w:tcPr>
            <w:tcW w:w="1984" w:type="dxa"/>
            <w:vAlign w:val="center"/>
          </w:tcPr>
          <w:p>
            <w:pPr>
              <w:spacing w:line="360" w:lineRule="auto"/>
              <w:jc w:val="center"/>
              <w:rPr>
                <w:rFonts w:ascii="仿宋_GB2312" w:hAnsi="仿宋" w:eastAsia="仿宋_GB2312" w:cs="仿宋"/>
                <w:color w:val="auto"/>
                <w:sz w:val="24"/>
                <w:highlight w:val="none"/>
              </w:rPr>
            </w:pPr>
          </w:p>
        </w:tc>
        <w:tc>
          <w:tcPr>
            <w:tcW w:w="3119"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7655"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p>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9"/>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widowControl/>
        <w:spacing w:line="360" w:lineRule="auto"/>
        <w:ind w:firstLine="160" w:firstLineChars="50"/>
        <w:jc w:val="center"/>
        <w:rPr>
          <w:rFonts w:ascii="仿宋_GB2312" w:hAnsi="仿宋" w:eastAsia="仿宋_GB2312" w:cs="仿宋"/>
          <w:b/>
          <w:color w:val="auto"/>
          <w:sz w:val="24"/>
          <w:highlight w:val="none"/>
        </w:rPr>
      </w:pPr>
      <w:bookmarkStart w:id="231" w:name="_Toc465665161"/>
      <w:r>
        <w:rPr>
          <w:rFonts w:hint="eastAsia" w:ascii="仿宋_GB2312" w:hAnsi="仿宋" w:eastAsia="仿宋_GB2312" w:cs="仿宋"/>
          <w:color w:val="auto"/>
          <w:sz w:val="32"/>
          <w:szCs w:val="32"/>
          <w:highlight w:val="none"/>
        </w:rPr>
        <w:t>二、中小企业声明函</w:t>
      </w:r>
      <w:r>
        <w:rPr>
          <w:rFonts w:hint="eastAsia" w:ascii="仿宋_GB2312" w:hAnsi="仿宋" w:eastAsia="仿宋_GB2312" w:cs="仿宋"/>
          <w:b/>
          <w:bCs/>
          <w:color w:val="auto"/>
          <w:sz w:val="32"/>
          <w:szCs w:val="32"/>
          <w:highlight w:val="none"/>
        </w:rPr>
        <w:t>（如果有）</w:t>
      </w:r>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1"/>
        <w:rPr>
          <w:rFonts w:hAnsi="仿宋" w:cs="仿宋"/>
          <w:b/>
          <w:color w:val="auto"/>
          <w:highlight w:val="none"/>
        </w:rPr>
      </w:pPr>
    </w:p>
    <w:p>
      <w:pPr>
        <w:pStyle w:val="316"/>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1"/>
        <w:rPr>
          <w:rFonts w:hAnsi="仿宋" w:cs="仿宋"/>
          <w:b/>
          <w:color w:val="auto"/>
          <w:highlight w:val="none"/>
        </w:rPr>
      </w:pPr>
    </w:p>
    <w:p>
      <w:pPr>
        <w:pStyle w:val="316"/>
        <w:rPr>
          <w:rFonts w:ascii="仿宋_GB2312" w:eastAsia="仿宋_GB2312"/>
          <w:color w:val="auto"/>
          <w:highlight w:val="none"/>
        </w:rPr>
      </w:pPr>
    </w:p>
    <w:p>
      <w:pPr>
        <w:pStyle w:val="316"/>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2"/>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r>
        <w:rPr>
          <w:rFonts w:hint="eastAsia" w:ascii="仿宋_GB2312" w:hAnsi="仿宋" w:cs="仿宋"/>
          <w:color w:val="auto"/>
          <w:highlight w:val="none"/>
        </w:rPr>
        <w:t>附件</w:t>
      </w:r>
      <w:bookmarkEnd w:id="231"/>
    </w:p>
    <w:p>
      <w:pPr>
        <w:spacing w:line="360" w:lineRule="auto"/>
        <w:rPr>
          <w:rFonts w:ascii="仿宋_GB2312" w:hAnsi="仿宋" w:eastAsia="仿宋_GB2312" w:cs="仿宋"/>
          <w:b/>
          <w:color w:val="auto"/>
          <w:sz w:val="24"/>
          <w:highlight w:val="none"/>
        </w:rPr>
      </w:pPr>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240"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我方所使用的“××专用章”与法定名称章具有同等的法律效力，对使用“××专用章”的行为予以完全承认，并愿意承担相应责任。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1"/>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5080"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4445"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360" w:lineRule="auto"/>
        <w:ind w:firstLine="576"/>
        <w:rPr>
          <w:rFonts w:ascii="仿宋_GB2312" w:hAnsi="仿宋" w:eastAsia="仿宋_GB2312" w:cs="仿宋"/>
          <w:color w:val="auto"/>
          <w:kern w:val="0"/>
          <w:sz w:val="24"/>
          <w:highlight w:val="none"/>
          <w:lang w:val="zh-CN"/>
        </w:rPr>
      </w:pPr>
      <w:bookmarkStart w:id="232" w:name="_Hlk101134295"/>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bookmarkEnd w:id="232"/>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（联合体成员×,……）</w:t>
      </w:r>
      <w:r>
        <w:rPr>
          <w:rFonts w:hint="eastAsia" w:ascii="仿宋_GB2312" w:hAnsi="仿宋" w:eastAsia="仿宋_GB2312" w:cs="仿宋"/>
          <w:color w:val="auto"/>
          <w:kern w:val="0"/>
          <w:sz w:val="24"/>
          <w:highlight w:val="none"/>
        </w:rPr>
        <w:t>提供的全部货物由小微企业制造，其合同份额占到合同总金额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360" w:lineRule="auto"/>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360" w:lineRule="auto"/>
        <w:ind w:firstLine="576"/>
        <w:jc w:val="left"/>
        <w:rPr>
          <w:rFonts w:cs="仿宋"/>
          <w:color w:val="auto"/>
          <w:kern w:val="0"/>
          <w:sz w:val="24"/>
          <w:highlight w:val="none"/>
        </w:rPr>
      </w:pPr>
      <w:r>
        <w:rPr>
          <w:rFonts w:hint="eastAsia" w:cs="仿宋"/>
          <w:color w:val="auto"/>
          <w:kern w:val="0"/>
          <w:sz w:val="24"/>
          <w:highlight w:val="none"/>
        </w:rPr>
        <w:t>……</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360" w:lineRule="auto"/>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（分包供应商×,……）提供的货物全部由小微企业制造，</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360" w:lineRule="auto"/>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w:t>
      </w:r>
      <w:bookmarkStart w:id="233" w:name="_Hlk101133173"/>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%，其中小微企业合同金额达到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bookmarkEnd w:id="233"/>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360" w:lineRule="auto"/>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3" w:leftChars="273"/>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投标人名称(电子签名)：</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1"/>
        <w:rPr>
          <w:rFonts w:hAnsi="仿宋" w:cs="仿宋"/>
          <w:b/>
          <w:color w:val="auto"/>
          <w:spacing w:val="6"/>
          <w:sz w:val="32"/>
          <w:szCs w:val="32"/>
          <w:highlight w:val="none"/>
        </w:rPr>
      </w:pPr>
    </w:p>
    <w:p>
      <w:pPr>
        <w:pStyle w:val="316"/>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1"/>
        <w:rPr>
          <w:rFonts w:hAnsi="仿宋" w:cs="仿宋"/>
          <w:b/>
          <w:color w:val="auto"/>
          <w:spacing w:val="6"/>
          <w:sz w:val="32"/>
          <w:szCs w:val="32"/>
          <w:highlight w:val="none"/>
        </w:rPr>
      </w:pPr>
    </w:p>
    <w:p>
      <w:pPr>
        <w:pStyle w:val="316"/>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234" w:name="OLE_LINK13"/>
      <w:bookmarkStart w:id="235" w:name="OLE_LINK14"/>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残疾人福利性单位声明函</w:t>
      </w:r>
    </w:p>
    <w:bookmarkEnd w:id="234"/>
    <w:bookmarkEnd w:id="235"/>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 xml:space="preserve">的 </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 xml:space="preserve"> ，属于 </w:t>
      </w:r>
      <w:r>
        <w:rPr>
          <w:rFonts w:hint="eastAsia" w:ascii="仿宋_GB2312" w:hAnsi="仿宋" w:eastAsia="仿宋_GB2312" w:cs="仿宋"/>
          <w:color w:val="auto"/>
          <w:sz w:val="24"/>
          <w:highlight w:val="none"/>
          <w:u w:val="single"/>
        </w:rPr>
        <w:t>（采购文件中明确的所属行业）</w:t>
      </w:r>
      <w:r>
        <w:rPr>
          <w:rFonts w:hint="eastAsia" w:ascii="仿宋_GB2312" w:hAnsi="仿宋" w:eastAsia="仿宋_GB2312" w:cs="仿宋"/>
          <w:color w:val="auto"/>
          <w:sz w:val="24"/>
          <w:highlight w:val="none"/>
        </w:rPr>
        <w:t>行业 ；制造商为</w:t>
      </w:r>
      <w:r>
        <w:rPr>
          <w:rFonts w:hint="eastAsia" w:ascii="仿宋_GB2312" w:hAnsi="仿宋" w:eastAsia="仿宋_GB2312" w:cs="仿宋"/>
          <w:color w:val="auto"/>
          <w:sz w:val="24"/>
          <w:highlight w:val="none"/>
          <w:u w:val="single"/>
        </w:rPr>
        <w:t xml:space="preserve"> （企业名称）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w:t>
      </w:r>
      <w:r>
        <w:rPr>
          <w:rFonts w:hint="eastAsia" w:ascii="仿宋_GB2312" w:hAnsi="仿宋" w:eastAsia="仿宋_GB2312" w:cs="仿宋"/>
          <w:color w:val="auto"/>
          <w:sz w:val="24"/>
          <w:highlight w:val="none"/>
        </w:rPr>
        <w:t xml:space="preserve">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pacing w:line="360" w:lineRule="auto"/>
        <w:jc w:val="left"/>
        <w:rPr>
          <w:rFonts w:ascii="仿宋_GB2312" w:hAnsi="仿宋" w:eastAsia="仿宋_GB2312" w:cs="仿宋"/>
          <w:color w:val="auto"/>
          <w:sz w:val="18"/>
          <w:szCs w:val="18"/>
          <w:highlight w:val="none"/>
        </w:rPr>
      </w:pPr>
      <w:r>
        <w:rPr>
          <w:rFonts w:hint="eastAsia" w:ascii="仿宋_GB2312" w:hAnsi="仿宋" w:eastAsia="仿宋_GB2312"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bookmarkEnd w:id="236"/>
    <w:sectPr>
      <w:footerReference r:id="rId10" w:type="default"/>
      <w:footerReference r:id="rId11"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49"/>
        <w:snapToGrid w:val="0"/>
      </w:pPr>
      <w:r>
        <w:rPr>
          <w:rStyle w:val="80"/>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eastAsia="隶书"/>
      </w:rPr>
    </w:pPr>
    <w:r>
      <w:rPr>
        <w:rFonts w:hint="eastAsia"/>
      </w:rPr>
      <w:t>浙江华诚工程管理有限公司                                      招标文件招标编号:</w:t>
    </w:r>
    <w:r>
      <w:rPr>
        <w:rFonts w:hint="eastAsia" w:ascii="隶书" w:hAnsi="Arial" w:eastAsia="隶书" w:cs="Arial"/>
        <w:b/>
        <w:color w:val="000000" w:themeColor="text1"/>
        <w:spacing w:val="-12"/>
        <w:sz w:val="36"/>
        <w:szCs w:val="36"/>
        <w14:textFill>
          <w14:solidFill>
            <w14:schemeClr w14:val="tx1"/>
          </w14:solidFill>
        </w14:textFill>
      </w:rPr>
      <w:t xml:space="preserve"> </w:t>
    </w:r>
    <w:r>
      <w:rPr>
        <w:rFonts w:hint="eastAsia" w:eastAsia="隶书"/>
      </w:rPr>
      <w:t>HC2024-03-21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8A816"/>
    <w:multiLevelType w:val="singleLevel"/>
    <w:tmpl w:val="DB78A816"/>
    <w:lvl w:ilvl="0" w:tentative="0">
      <w:start w:val="1"/>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yNDk2ODE4YzI5MzRlZTJjOGM3MDlkZDg5NWFmM2E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55FE"/>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12E"/>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E6ECA"/>
    <w:rsid w:val="001F14C4"/>
    <w:rsid w:val="001F2767"/>
    <w:rsid w:val="001F429B"/>
    <w:rsid w:val="001F43C6"/>
    <w:rsid w:val="001F4C63"/>
    <w:rsid w:val="001F661E"/>
    <w:rsid w:val="001F7E31"/>
    <w:rsid w:val="00201062"/>
    <w:rsid w:val="0020236F"/>
    <w:rsid w:val="0020436B"/>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4907"/>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5B8C"/>
    <w:rsid w:val="00426003"/>
    <w:rsid w:val="00426CA3"/>
    <w:rsid w:val="00427B10"/>
    <w:rsid w:val="00430F45"/>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7A7"/>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56C8"/>
    <w:rsid w:val="006D629D"/>
    <w:rsid w:val="006E16EB"/>
    <w:rsid w:val="006E51D3"/>
    <w:rsid w:val="006E64A5"/>
    <w:rsid w:val="006E6C77"/>
    <w:rsid w:val="006E772C"/>
    <w:rsid w:val="006E797A"/>
    <w:rsid w:val="006F0A0C"/>
    <w:rsid w:val="006F1D8D"/>
    <w:rsid w:val="006F2510"/>
    <w:rsid w:val="006F3A0F"/>
    <w:rsid w:val="006F5BC6"/>
    <w:rsid w:val="007014C0"/>
    <w:rsid w:val="00702458"/>
    <w:rsid w:val="007040B6"/>
    <w:rsid w:val="007047D8"/>
    <w:rsid w:val="00707395"/>
    <w:rsid w:val="007109ED"/>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59CE"/>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2F81"/>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52AF"/>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1F79"/>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07B9"/>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6DAE"/>
    <w:rsid w:val="00AB738E"/>
    <w:rsid w:val="00AC1694"/>
    <w:rsid w:val="00AC2B19"/>
    <w:rsid w:val="00AC3A1C"/>
    <w:rsid w:val="00AC3D35"/>
    <w:rsid w:val="00AC4290"/>
    <w:rsid w:val="00AC4A89"/>
    <w:rsid w:val="00AC6CEC"/>
    <w:rsid w:val="00AC7411"/>
    <w:rsid w:val="00AD0DBF"/>
    <w:rsid w:val="00AD6ACB"/>
    <w:rsid w:val="00AE05FC"/>
    <w:rsid w:val="00AE1B40"/>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2D88"/>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D7EEA"/>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576DA"/>
    <w:rsid w:val="00E622B2"/>
    <w:rsid w:val="00E633B5"/>
    <w:rsid w:val="00E644CD"/>
    <w:rsid w:val="00E64DDA"/>
    <w:rsid w:val="00E65A9B"/>
    <w:rsid w:val="00E715C6"/>
    <w:rsid w:val="00E71D62"/>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3F46"/>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E7C72"/>
    <w:rsid w:val="00FF0866"/>
    <w:rsid w:val="00FF0CA9"/>
    <w:rsid w:val="00FF5317"/>
    <w:rsid w:val="00FF724C"/>
    <w:rsid w:val="00FF7BD2"/>
    <w:rsid w:val="02084847"/>
    <w:rsid w:val="0381349D"/>
    <w:rsid w:val="05625D32"/>
    <w:rsid w:val="12DB0BB8"/>
    <w:rsid w:val="14A74173"/>
    <w:rsid w:val="166C0651"/>
    <w:rsid w:val="18D413E4"/>
    <w:rsid w:val="194A001A"/>
    <w:rsid w:val="196B62E3"/>
    <w:rsid w:val="1EA8187B"/>
    <w:rsid w:val="216A31AD"/>
    <w:rsid w:val="23D02B29"/>
    <w:rsid w:val="27C34368"/>
    <w:rsid w:val="2815700C"/>
    <w:rsid w:val="2CA945A8"/>
    <w:rsid w:val="2EBC20B2"/>
    <w:rsid w:val="317F45BE"/>
    <w:rsid w:val="33145890"/>
    <w:rsid w:val="33A75022"/>
    <w:rsid w:val="342358B1"/>
    <w:rsid w:val="3AA363AF"/>
    <w:rsid w:val="3AD21334"/>
    <w:rsid w:val="3DE82D0D"/>
    <w:rsid w:val="3FE30F81"/>
    <w:rsid w:val="41395FB1"/>
    <w:rsid w:val="4282762B"/>
    <w:rsid w:val="44C33C6E"/>
    <w:rsid w:val="46C3245C"/>
    <w:rsid w:val="47121716"/>
    <w:rsid w:val="47E63F6F"/>
    <w:rsid w:val="494B4088"/>
    <w:rsid w:val="4BBF7AB0"/>
    <w:rsid w:val="4C613EDC"/>
    <w:rsid w:val="4C9C083E"/>
    <w:rsid w:val="4CDB14BA"/>
    <w:rsid w:val="4F034732"/>
    <w:rsid w:val="51482C1F"/>
    <w:rsid w:val="527F273C"/>
    <w:rsid w:val="52DC4E82"/>
    <w:rsid w:val="536B37E7"/>
    <w:rsid w:val="541608B3"/>
    <w:rsid w:val="554752F7"/>
    <w:rsid w:val="556F4EF0"/>
    <w:rsid w:val="64D95BE5"/>
    <w:rsid w:val="6BEB120D"/>
    <w:rsid w:val="6EDB63E4"/>
    <w:rsid w:val="6EF70F71"/>
    <w:rsid w:val="70102148"/>
    <w:rsid w:val="71630796"/>
    <w:rsid w:val="72B512E8"/>
    <w:rsid w:val="72E87C49"/>
    <w:rsid w:val="79940557"/>
    <w:rsid w:val="7DFBB8BB"/>
    <w:rsid w:val="AEBA6020"/>
    <w:rsid w:val="E4F35F40"/>
    <w:rsid w:val="EB921889"/>
    <w:rsid w:val="F75EB7A7"/>
    <w:rsid w:val="FCFA8C6D"/>
    <w:rsid w:val="FEDF0E3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1"/>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7"/>
    <w:qFormat/>
    <w:uiPriority w:val="0"/>
    <w:pPr>
      <w:keepNext/>
      <w:widowControl/>
      <w:numPr>
        <w:ilvl w:val="0"/>
        <w:numId w:val="4"/>
      </w:numPr>
      <w:jc w:val="left"/>
      <w:outlineLvl w:val="4"/>
    </w:pPr>
    <w:rPr>
      <w:kern w:val="0"/>
      <w:sz w:val="24"/>
      <w:szCs w:val="20"/>
    </w:rPr>
  </w:style>
  <w:style w:type="paragraph" w:styleId="8">
    <w:name w:val="heading 6"/>
    <w:basedOn w:val="1"/>
    <w:next w:val="1"/>
    <w:link w:val="88"/>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82"/>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100"/>
    <w:qFormat/>
    <w:uiPriority w:val="99"/>
    <w:pPr>
      <w:jc w:val="left"/>
    </w:pPr>
  </w:style>
  <w:style w:type="paragraph" w:styleId="20">
    <w:name w:val="Salutation"/>
    <w:basedOn w:val="1"/>
    <w:next w:val="1"/>
    <w:link w:val="317"/>
    <w:qFormat/>
    <w:uiPriority w:val="0"/>
    <w:pPr>
      <w:adjustRightInd w:val="0"/>
    </w:pPr>
    <w:rPr>
      <w:rFonts w:ascii="仿宋_GB2312" w:eastAsia="仿宋_GB2312"/>
      <w:sz w:val="28"/>
      <w:szCs w:val="20"/>
    </w:rPr>
  </w:style>
  <w:style w:type="paragraph" w:styleId="21">
    <w:name w:val="Body Text 3"/>
    <w:basedOn w:val="1"/>
    <w:link w:val="318"/>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3"/>
    <w:qFormat/>
    <w:uiPriority w:val="0"/>
    <w:pPr>
      <w:spacing w:line="360" w:lineRule="auto"/>
    </w:pPr>
    <w:rPr>
      <w:rFonts w:eastAsia="仿宋_GB2312"/>
      <w:sz w:val="28"/>
    </w:rPr>
  </w:style>
  <w:style w:type="paragraph" w:styleId="24">
    <w:name w:val="Body Text Indent"/>
    <w:basedOn w:val="1"/>
    <w:link w:val="94"/>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9"/>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1"/>
    <w:link w:val="92"/>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5"/>
    <w:qFormat/>
    <w:uiPriority w:val="0"/>
    <w:rPr>
      <w:rFonts w:ascii="楷体_GB2312" w:eastAsia="楷体_GB2312"/>
      <w:b/>
      <w:sz w:val="28"/>
      <w:szCs w:val="20"/>
    </w:rPr>
  </w:style>
  <w:style w:type="paragraph" w:styleId="36">
    <w:name w:val="Body Text Indent 2"/>
    <w:basedOn w:val="1"/>
    <w:link w:val="109"/>
    <w:qFormat/>
    <w:uiPriority w:val="0"/>
    <w:pPr>
      <w:spacing w:after="120" w:line="480" w:lineRule="auto"/>
      <w:ind w:left="420" w:leftChars="200"/>
    </w:pPr>
  </w:style>
  <w:style w:type="paragraph" w:styleId="37">
    <w:name w:val="endnote text"/>
    <w:basedOn w:val="1"/>
    <w:link w:val="320"/>
    <w:qFormat/>
    <w:uiPriority w:val="0"/>
    <w:pPr>
      <w:adjustRightInd w:val="0"/>
    </w:pPr>
    <w:rPr>
      <w:lang w:val="zh-CN"/>
    </w:rPr>
  </w:style>
  <w:style w:type="paragraph" w:styleId="38">
    <w:name w:val="Balloon Text"/>
    <w:basedOn w:val="1"/>
    <w:link w:val="227"/>
    <w:qFormat/>
    <w:uiPriority w:val="0"/>
    <w:rPr>
      <w:sz w:val="18"/>
      <w:szCs w:val="18"/>
    </w:rPr>
  </w:style>
  <w:style w:type="paragraph" w:styleId="39">
    <w:name w:val="footer"/>
    <w:basedOn w:val="1"/>
    <w:link w:val="97"/>
    <w:qFormat/>
    <w:uiPriority w:val="99"/>
    <w:pPr>
      <w:tabs>
        <w:tab w:val="center" w:pos="4153"/>
        <w:tab w:val="right" w:pos="8306"/>
      </w:tabs>
      <w:snapToGrid w:val="0"/>
      <w:jc w:val="left"/>
    </w:pPr>
    <w:rPr>
      <w:sz w:val="18"/>
      <w:szCs w:val="18"/>
    </w:rPr>
  </w:style>
  <w:style w:type="paragraph" w:styleId="40">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1"/>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5"/>
    <w:link w:val="323"/>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8"/>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1"/>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3"/>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0"/>
    <w:qFormat/>
    <w:uiPriority w:val="0"/>
    <w:pPr>
      <w:widowControl/>
      <w:spacing w:afterLines="50"/>
    </w:pPr>
    <w:rPr>
      <w:b/>
      <w:bCs/>
      <w:kern w:val="0"/>
      <w:sz w:val="24"/>
      <w:szCs w:val="20"/>
    </w:rPr>
  </w:style>
  <w:style w:type="paragraph" w:styleId="61">
    <w:name w:val="Body Text First Indent"/>
    <w:basedOn w:val="23"/>
    <w:link w:val="231"/>
    <w:qFormat/>
    <w:uiPriority w:val="0"/>
    <w:pPr>
      <w:spacing w:after="120" w:line="240" w:lineRule="auto"/>
      <w:ind w:firstLine="420" w:firstLineChars="100"/>
    </w:pPr>
    <w:rPr>
      <w:rFonts w:eastAsia="宋体"/>
      <w:sz w:val="21"/>
    </w:rPr>
  </w:style>
  <w:style w:type="paragraph" w:styleId="62">
    <w:name w:val="Body Text First Indent 2"/>
    <w:basedOn w:val="24"/>
    <w:link w:val="232"/>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styleId="80">
    <w:name w:val="footnote reference"/>
    <w:basedOn w:val="70"/>
    <w:semiHidden/>
    <w:unhideWhenUsed/>
    <w:qFormat/>
    <w:uiPriority w:val="0"/>
    <w:rPr>
      <w:vertAlign w:val="superscript"/>
    </w:rPr>
  </w:style>
  <w:style w:type="character" w:customStyle="1" w:styleId="81">
    <w:name w:val="标题 1 Char"/>
    <w:link w:val="2"/>
    <w:qFormat/>
    <w:uiPriority w:val="9"/>
    <w:rPr>
      <w:rFonts w:eastAsia="仿宋_GB2312"/>
      <w:b/>
      <w:kern w:val="44"/>
      <w:sz w:val="44"/>
      <w:lang w:val="en-US" w:eastAsia="zh-CN" w:bidi="ar-SA"/>
    </w:rPr>
  </w:style>
  <w:style w:type="character" w:customStyle="1" w:styleId="82">
    <w:name w:val="正文缩进 Char"/>
    <w:link w:val="5"/>
    <w:qFormat/>
    <w:uiPriority w:val="0"/>
    <w:rPr>
      <w:rFonts w:eastAsia="宋体"/>
      <w:kern w:val="2"/>
      <w:sz w:val="21"/>
      <w:szCs w:val="24"/>
      <w:lang w:val="en-US" w:eastAsia="zh-CN" w:bidi="ar-SA"/>
    </w:rPr>
  </w:style>
  <w:style w:type="paragraph" w:customStyle="1" w:styleId="83">
    <w:name w:val="_Style 15"/>
    <w:basedOn w:val="1"/>
    <w:qFormat/>
    <w:uiPriority w:val="0"/>
    <w:rPr>
      <w:rFonts w:ascii="Tahoma" w:hAnsi="Tahoma"/>
      <w:sz w:val="24"/>
      <w:szCs w:val="20"/>
    </w:rPr>
  </w:style>
  <w:style w:type="character" w:customStyle="1" w:styleId="84">
    <w:name w:val="标题 2 Char"/>
    <w:link w:val="3"/>
    <w:qFormat/>
    <w:uiPriority w:val="0"/>
    <w:rPr>
      <w:rFonts w:ascii="Arial" w:hAnsi="Arial" w:eastAsia="黑体"/>
      <w:b/>
      <w:kern w:val="2"/>
      <w:sz w:val="32"/>
      <w:lang w:val="en-US" w:eastAsia="zh-CN" w:bidi="ar-SA"/>
    </w:rPr>
  </w:style>
  <w:style w:type="character" w:customStyle="1" w:styleId="85">
    <w:name w:val="标题 3 Char"/>
    <w:link w:val="4"/>
    <w:qFormat/>
    <w:uiPriority w:val="0"/>
    <w:rPr>
      <w:rFonts w:eastAsia="仿宋_GB2312"/>
      <w:b/>
      <w:kern w:val="2"/>
      <w:sz w:val="32"/>
      <w:lang w:val="en-US" w:eastAsia="zh-CN" w:bidi="ar-SA"/>
    </w:rPr>
  </w:style>
  <w:style w:type="character" w:customStyle="1" w:styleId="86">
    <w:name w:val="标题 4 Char1"/>
    <w:link w:val="6"/>
    <w:qFormat/>
    <w:uiPriority w:val="9"/>
    <w:rPr>
      <w:rFonts w:ascii="Arial" w:hAnsi="Arial" w:eastAsia="黑体"/>
      <w:b/>
      <w:kern w:val="2"/>
      <w:sz w:val="28"/>
      <w:lang w:val="en-US" w:eastAsia="zh-CN" w:bidi="ar-SA"/>
    </w:rPr>
  </w:style>
  <w:style w:type="character" w:customStyle="1" w:styleId="87">
    <w:name w:val="标题 5 Char1"/>
    <w:link w:val="7"/>
    <w:qFormat/>
    <w:uiPriority w:val="0"/>
    <w:rPr>
      <w:rFonts w:eastAsia="宋体"/>
      <w:sz w:val="24"/>
      <w:lang w:val="en-US" w:eastAsia="zh-CN" w:bidi="ar-SA"/>
    </w:rPr>
  </w:style>
  <w:style w:type="character" w:customStyle="1" w:styleId="88">
    <w:name w:val="标题 6 Char1"/>
    <w:link w:val="8"/>
    <w:qFormat/>
    <w:uiPriority w:val="0"/>
    <w:rPr>
      <w:rFonts w:ascii="宋体" w:hAnsi="Arial" w:eastAsia="宋体"/>
      <w:sz w:val="24"/>
      <w:lang w:val="en-US" w:eastAsia="zh-CN" w:bidi="ar-SA"/>
    </w:rPr>
  </w:style>
  <w:style w:type="character" w:customStyle="1" w:styleId="89">
    <w:name w:val="标题 7 Char1"/>
    <w:link w:val="9"/>
    <w:qFormat/>
    <w:uiPriority w:val="0"/>
    <w:rPr>
      <w:rFonts w:ascii="宋体" w:hAnsi="Arial" w:eastAsia="宋体"/>
      <w:b/>
      <w:sz w:val="24"/>
      <w:lang w:val="en-US" w:eastAsia="zh-CN" w:bidi="ar-SA"/>
    </w:rPr>
  </w:style>
  <w:style w:type="character" w:customStyle="1" w:styleId="90">
    <w:name w:val="标题 8 Char1"/>
    <w:link w:val="10"/>
    <w:qFormat/>
    <w:uiPriority w:val="0"/>
    <w:rPr>
      <w:rFonts w:ascii="Arial" w:hAnsi="Arial" w:eastAsia="黑体"/>
      <w:sz w:val="24"/>
      <w:lang w:val="en-US" w:eastAsia="zh-CN" w:bidi="ar-SA"/>
    </w:rPr>
  </w:style>
  <w:style w:type="character" w:customStyle="1" w:styleId="91">
    <w:name w:val="标题 9 Char1"/>
    <w:link w:val="11"/>
    <w:qFormat/>
    <w:uiPriority w:val="0"/>
    <w:rPr>
      <w:rFonts w:ascii="Arial" w:hAnsi="Arial" w:eastAsia="黑体"/>
      <w:sz w:val="24"/>
      <w:lang w:val="en-US" w:eastAsia="zh-CN" w:bidi="ar-SA"/>
    </w:rPr>
  </w:style>
  <w:style w:type="character" w:customStyle="1" w:styleId="92">
    <w:name w:val="纯文本 Char"/>
    <w:link w:val="32"/>
    <w:qFormat/>
    <w:uiPriority w:val="0"/>
    <w:rPr>
      <w:rFonts w:ascii="宋体" w:hAnsi="Courier New" w:eastAsia="宋体"/>
      <w:kern w:val="2"/>
      <w:sz w:val="21"/>
      <w:lang w:val="en-US" w:eastAsia="zh-CN" w:bidi="ar-SA"/>
    </w:rPr>
  </w:style>
  <w:style w:type="paragraph" w:customStyle="1" w:styleId="93">
    <w:name w:val="表正文"/>
    <w:basedOn w:val="1"/>
    <w:next w:val="32"/>
    <w:qFormat/>
    <w:uiPriority w:val="0"/>
    <w:rPr>
      <w:rFonts w:ascii="宋体" w:hAnsi="Courier New"/>
      <w:szCs w:val="20"/>
    </w:rPr>
  </w:style>
  <w:style w:type="character" w:customStyle="1" w:styleId="94">
    <w:name w:val="正文文本缩进 Char"/>
    <w:link w:val="24"/>
    <w:qFormat/>
    <w:uiPriority w:val="0"/>
    <w:rPr>
      <w:rFonts w:eastAsia="宋体"/>
      <w:kern w:val="2"/>
      <w:sz w:val="21"/>
      <w:szCs w:val="24"/>
      <w:lang w:val="en-US" w:eastAsia="zh-CN" w:bidi="ar-SA"/>
    </w:rPr>
  </w:style>
  <w:style w:type="character" w:customStyle="1" w:styleId="95">
    <w:name w:val="日期 Char2"/>
    <w:link w:val="35"/>
    <w:qFormat/>
    <w:uiPriority w:val="0"/>
    <w:rPr>
      <w:rFonts w:ascii="楷体_GB2312" w:eastAsia="楷体_GB2312"/>
      <w:b/>
      <w:kern w:val="2"/>
      <w:sz w:val="28"/>
      <w:lang w:val="en-US" w:eastAsia="zh-CN" w:bidi="ar-SA"/>
    </w:rPr>
  </w:style>
  <w:style w:type="character" w:customStyle="1" w:styleId="96">
    <w:name w:val="页眉 Char1"/>
    <w:link w:val="40"/>
    <w:qFormat/>
    <w:uiPriority w:val="0"/>
    <w:rPr>
      <w:rFonts w:eastAsia="宋体"/>
      <w:kern w:val="2"/>
      <w:sz w:val="18"/>
      <w:szCs w:val="18"/>
      <w:lang w:val="en-US" w:eastAsia="zh-CN" w:bidi="ar-SA"/>
    </w:rPr>
  </w:style>
  <w:style w:type="character" w:customStyle="1" w:styleId="97">
    <w:name w:val="页脚 Char"/>
    <w:link w:val="39"/>
    <w:qFormat/>
    <w:locked/>
    <w:uiPriority w:val="0"/>
    <w:rPr>
      <w:rFonts w:eastAsia="宋体"/>
      <w:kern w:val="2"/>
      <w:sz w:val="18"/>
      <w:szCs w:val="18"/>
      <w:lang w:val="en-US" w:eastAsia="zh-CN" w:bidi="ar-SA"/>
    </w:rPr>
  </w:style>
  <w:style w:type="paragraph" w:customStyle="1" w:styleId="98">
    <w:name w:val="正文段"/>
    <w:basedOn w:val="1"/>
    <w:link w:val="99"/>
    <w:qFormat/>
    <w:uiPriority w:val="0"/>
    <w:pPr>
      <w:widowControl/>
      <w:snapToGrid w:val="0"/>
      <w:spacing w:afterLines="50"/>
      <w:ind w:firstLine="200" w:firstLineChars="200"/>
    </w:pPr>
    <w:rPr>
      <w:kern w:val="0"/>
      <w:sz w:val="24"/>
      <w:szCs w:val="20"/>
    </w:rPr>
  </w:style>
  <w:style w:type="character" w:customStyle="1" w:styleId="99">
    <w:name w:val="正文段 Char"/>
    <w:link w:val="98"/>
    <w:qFormat/>
    <w:uiPriority w:val="0"/>
    <w:rPr>
      <w:rFonts w:eastAsia="宋体"/>
      <w:sz w:val="24"/>
      <w:lang w:val="en-US" w:eastAsia="zh-CN" w:bidi="ar-SA"/>
    </w:rPr>
  </w:style>
  <w:style w:type="character" w:customStyle="1" w:styleId="100">
    <w:name w:val="批注文字 Char1"/>
    <w:link w:val="19"/>
    <w:qFormat/>
    <w:uiPriority w:val="0"/>
    <w:rPr>
      <w:rFonts w:eastAsia="宋体"/>
      <w:kern w:val="2"/>
      <w:sz w:val="21"/>
      <w:szCs w:val="24"/>
      <w:lang w:val="en-US" w:eastAsia="zh-CN" w:bidi="ar-SA"/>
    </w:rPr>
  </w:style>
  <w:style w:type="character" w:customStyle="1" w:styleId="101">
    <w:name w:val="正文文本 2 Char1"/>
    <w:link w:val="55"/>
    <w:qFormat/>
    <w:uiPriority w:val="0"/>
    <w:rPr>
      <w:rFonts w:ascii="隶书" w:eastAsia="隶书"/>
      <w:bCs/>
      <w:sz w:val="72"/>
      <w:szCs w:val="84"/>
      <w:lang w:val="en-US" w:eastAsia="zh-CN" w:bidi="ar-SA"/>
    </w:rPr>
  </w:style>
  <w:style w:type="paragraph" w:customStyle="1" w:styleId="102">
    <w:name w:val="Char"/>
    <w:basedOn w:val="1"/>
    <w:qFormat/>
    <w:uiPriority w:val="0"/>
    <w:rPr>
      <w:rFonts w:ascii="仿宋_GB2312" w:eastAsia="仿宋_GB2312"/>
      <w:b/>
      <w:sz w:val="32"/>
      <w:szCs w:val="32"/>
    </w:rPr>
  </w:style>
  <w:style w:type="paragraph" w:customStyle="1" w:styleId="103">
    <w:name w:val="Table Text"/>
    <w:link w:val="104"/>
    <w:qFormat/>
    <w:uiPriority w:val="0"/>
    <w:pPr>
      <w:snapToGrid w:val="0"/>
      <w:spacing w:before="80" w:after="80"/>
    </w:pPr>
    <w:rPr>
      <w:rFonts w:ascii="Arial" w:hAnsi="Arial" w:eastAsia="宋体" w:cs="Times New Roman"/>
      <w:sz w:val="18"/>
      <w:lang w:val="en-US" w:eastAsia="zh-CN" w:bidi="ar-SA"/>
    </w:rPr>
  </w:style>
  <w:style w:type="character" w:customStyle="1" w:styleId="104">
    <w:name w:val="Table Text Char1"/>
    <w:link w:val="103"/>
    <w:qFormat/>
    <w:uiPriority w:val="0"/>
    <w:rPr>
      <w:rFonts w:ascii="Arial" w:hAnsi="Arial"/>
      <w:sz w:val="18"/>
      <w:lang w:val="en-US" w:eastAsia="zh-CN" w:bidi="ar-SA"/>
    </w:rPr>
  </w:style>
  <w:style w:type="character" w:customStyle="1" w:styleId="105">
    <w:name w:val="正文（缩进2汉字） Char"/>
    <w:link w:val="106"/>
    <w:qFormat/>
    <w:uiPriority w:val="0"/>
    <w:rPr>
      <w:rFonts w:ascii="宋体"/>
      <w:kern w:val="2"/>
      <w:sz w:val="21"/>
      <w:lang w:bidi="ar-SA"/>
    </w:rPr>
  </w:style>
  <w:style w:type="paragraph" w:customStyle="1" w:styleId="106">
    <w:name w:val="正文（缩进2汉字）"/>
    <w:basedOn w:val="1"/>
    <w:link w:val="10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7">
    <w:name w:val="Char111"/>
    <w:basedOn w:val="1"/>
    <w:qFormat/>
    <w:uiPriority w:val="0"/>
    <w:pPr>
      <w:tabs>
        <w:tab w:val="left" w:pos="432"/>
      </w:tabs>
      <w:spacing w:beforeLines="50" w:afterLines="50"/>
      <w:ind w:left="432" w:hanging="432"/>
      <w:jc w:val="center"/>
    </w:pPr>
    <w:rPr>
      <w:sz w:val="24"/>
    </w:rPr>
  </w:style>
  <w:style w:type="paragraph" w:customStyle="1" w:styleId="108">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9">
    <w:name w:val="正文文本缩进 2 Char1"/>
    <w:link w:val="36"/>
    <w:qFormat/>
    <w:locked/>
    <w:uiPriority w:val="99"/>
    <w:rPr>
      <w:rFonts w:eastAsia="宋体"/>
      <w:kern w:val="2"/>
      <w:sz w:val="21"/>
      <w:szCs w:val="24"/>
      <w:lang w:val="en-US" w:eastAsia="zh-CN" w:bidi="ar-SA"/>
    </w:rPr>
  </w:style>
  <w:style w:type="paragraph" w:customStyle="1" w:styleId="110">
    <w:name w:val="缺省文本"/>
    <w:basedOn w:val="1"/>
    <w:qFormat/>
    <w:uiPriority w:val="0"/>
    <w:pPr>
      <w:autoSpaceDE w:val="0"/>
      <w:autoSpaceDN w:val="0"/>
      <w:adjustRightInd w:val="0"/>
      <w:jc w:val="left"/>
    </w:pPr>
    <w:rPr>
      <w:kern w:val="0"/>
      <w:sz w:val="24"/>
    </w:rPr>
  </w:style>
  <w:style w:type="paragraph" w:customStyle="1" w:styleId="111">
    <w:name w:val="WW-正文文字缩进 2"/>
    <w:basedOn w:val="1"/>
    <w:qFormat/>
    <w:uiPriority w:val="0"/>
    <w:pPr>
      <w:suppressAutoHyphens/>
      <w:ind w:firstLine="420"/>
    </w:pPr>
    <w:rPr>
      <w:kern w:val="1"/>
      <w:szCs w:val="20"/>
    </w:rPr>
  </w:style>
  <w:style w:type="paragraph" w:customStyle="1" w:styleId="112">
    <w:name w:val="默认段落字体 Para Char Char Char Char Char Char Char Char Char1 Char Char Char Char"/>
    <w:basedOn w:val="1"/>
    <w:qFormat/>
    <w:uiPriority w:val="0"/>
    <w:rPr>
      <w:rFonts w:ascii="Tahoma" w:hAnsi="Tahoma"/>
      <w:sz w:val="24"/>
      <w:szCs w:val="20"/>
    </w:rPr>
  </w:style>
  <w:style w:type="character" w:customStyle="1" w:styleId="113">
    <w:name w:val="正文文本 Char1"/>
    <w:link w:val="23"/>
    <w:qFormat/>
    <w:locked/>
    <w:uiPriority w:val="0"/>
    <w:rPr>
      <w:rFonts w:eastAsia="仿宋_GB2312"/>
      <w:kern w:val="2"/>
      <w:sz w:val="28"/>
      <w:szCs w:val="24"/>
      <w:lang w:val="en-US" w:eastAsia="zh-CN" w:bidi="ar-SA"/>
    </w:rPr>
  </w:style>
  <w:style w:type="paragraph" w:customStyle="1" w:styleId="114">
    <w:name w:val="项目排列"/>
    <w:basedOn w:val="1"/>
    <w:link w:val="115"/>
    <w:qFormat/>
    <w:uiPriority w:val="0"/>
    <w:pPr>
      <w:tabs>
        <w:tab w:val="left" w:pos="900"/>
      </w:tabs>
      <w:spacing w:beforeLines="50" w:afterLines="50" w:line="300" w:lineRule="auto"/>
      <w:ind w:left="900" w:hanging="420"/>
    </w:pPr>
    <w:rPr>
      <w:sz w:val="24"/>
    </w:rPr>
  </w:style>
  <w:style w:type="character" w:customStyle="1" w:styleId="115">
    <w:name w:val="项目排列 Char"/>
    <w:link w:val="114"/>
    <w:qFormat/>
    <w:uiPriority w:val="0"/>
    <w:rPr>
      <w:kern w:val="2"/>
      <w:sz w:val="24"/>
      <w:szCs w:val="24"/>
    </w:rPr>
  </w:style>
  <w:style w:type="character" w:customStyle="1" w:styleId="116">
    <w:name w:val="style21"/>
    <w:qFormat/>
    <w:uiPriority w:val="0"/>
    <w:rPr>
      <w:sz w:val="15"/>
      <w:szCs w:val="15"/>
    </w:rPr>
  </w:style>
  <w:style w:type="paragraph" w:customStyle="1" w:styleId="11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9">
    <w:name w:val="Char1"/>
    <w:basedOn w:val="1"/>
    <w:qFormat/>
    <w:uiPriority w:val="0"/>
    <w:rPr>
      <w:szCs w:val="20"/>
    </w:rPr>
  </w:style>
  <w:style w:type="paragraph" w:customStyle="1" w:styleId="120">
    <w:name w:val="列出段落1"/>
    <w:basedOn w:val="1"/>
    <w:qFormat/>
    <w:uiPriority w:val="0"/>
    <w:pPr>
      <w:ind w:firstLine="420" w:firstLineChars="200"/>
    </w:pPr>
    <w:rPr>
      <w:rFonts w:ascii="Calibri" w:hAnsi="Calibri"/>
      <w:szCs w:val="22"/>
    </w:rPr>
  </w:style>
  <w:style w:type="paragraph" w:customStyle="1" w:styleId="121">
    <w:name w:val="默认段落字体 Para Char Char Char Char"/>
    <w:basedOn w:val="1"/>
    <w:qFormat/>
    <w:uiPriority w:val="0"/>
  </w:style>
  <w:style w:type="paragraph" w:customStyle="1" w:styleId="122">
    <w:name w:val="Char Char Char1 Char Char Char1 Char Char Char Char"/>
    <w:basedOn w:val="1"/>
    <w:qFormat/>
    <w:uiPriority w:val="0"/>
  </w:style>
  <w:style w:type="character" w:customStyle="1" w:styleId="123">
    <w:name w:val="font1"/>
    <w:qFormat/>
    <w:uiPriority w:val="0"/>
    <w:rPr>
      <w:color w:val="999999"/>
      <w:sz w:val="18"/>
      <w:szCs w:val="18"/>
      <w:u w:val="none"/>
    </w:rPr>
  </w:style>
  <w:style w:type="paragraph" w:customStyle="1" w:styleId="12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Char Char Char Char Char Char Char Char Char Char"/>
    <w:basedOn w:val="1"/>
    <w:qFormat/>
    <w:uiPriority w:val="0"/>
    <w:rPr>
      <w:rFonts w:ascii="Tahoma" w:hAnsi="Tahoma"/>
      <w:sz w:val="24"/>
      <w:szCs w:val="20"/>
    </w:rPr>
  </w:style>
  <w:style w:type="character" w:customStyle="1" w:styleId="126">
    <w:name w:val="apple-style-span"/>
    <w:basedOn w:val="70"/>
    <w:qFormat/>
    <w:uiPriority w:val="0"/>
  </w:style>
  <w:style w:type="paragraph" w:customStyle="1" w:styleId="127">
    <w:name w:val="正文无缩进"/>
    <w:basedOn w:val="1"/>
    <w:link w:val="128"/>
    <w:qFormat/>
    <w:uiPriority w:val="0"/>
    <w:pPr>
      <w:spacing w:line="360" w:lineRule="auto"/>
    </w:pPr>
    <w:rPr>
      <w:rFonts w:ascii="宋体"/>
      <w:color w:val="000000"/>
      <w:sz w:val="24"/>
    </w:rPr>
  </w:style>
  <w:style w:type="character" w:customStyle="1" w:styleId="128">
    <w:name w:val="正文无缩进 Char"/>
    <w:link w:val="127"/>
    <w:qFormat/>
    <w:uiPriority w:val="0"/>
    <w:rPr>
      <w:rFonts w:ascii="宋体" w:eastAsia="宋体"/>
      <w:color w:val="000000"/>
      <w:kern w:val="2"/>
      <w:sz w:val="24"/>
      <w:szCs w:val="24"/>
      <w:lang w:val="en-US" w:eastAsia="zh-CN" w:bidi="ar-SA"/>
    </w:rPr>
  </w:style>
  <w:style w:type="paragraph" w:customStyle="1" w:styleId="12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0">
    <w:name w:val="ca-3"/>
    <w:basedOn w:val="70"/>
    <w:qFormat/>
    <w:uiPriority w:val="0"/>
  </w:style>
  <w:style w:type="paragraph" w:customStyle="1" w:styleId="13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2">
    <w:name w:val="表格 Char Char"/>
    <w:link w:val="133"/>
    <w:qFormat/>
    <w:locked/>
    <w:uiPriority w:val="0"/>
    <w:rPr>
      <w:rFonts w:ascii="宋体" w:hAnsi="宋体" w:eastAsia="宋体"/>
      <w:lang w:val="en-US" w:eastAsia="zh-CN" w:bidi="ar-SA"/>
    </w:rPr>
  </w:style>
  <w:style w:type="paragraph" w:customStyle="1" w:styleId="133">
    <w:name w:val="表格"/>
    <w:basedOn w:val="1"/>
    <w:link w:val="132"/>
    <w:qFormat/>
    <w:uiPriority w:val="0"/>
    <w:pPr>
      <w:snapToGrid w:val="0"/>
      <w:ind w:firstLine="42" w:firstLineChars="21"/>
    </w:pPr>
    <w:rPr>
      <w:rFonts w:ascii="宋体" w:hAnsi="宋体"/>
      <w:kern w:val="0"/>
      <w:sz w:val="20"/>
      <w:szCs w:val="20"/>
    </w:rPr>
  </w:style>
  <w:style w:type="paragraph" w:customStyle="1" w:styleId="13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5">
    <w:name w:val="Char Char1 Char Char Char Char Char Char"/>
    <w:basedOn w:val="1"/>
    <w:qFormat/>
    <w:uiPriority w:val="0"/>
    <w:pPr>
      <w:widowControl/>
      <w:spacing w:after="160" w:line="240" w:lineRule="exact"/>
      <w:jc w:val="left"/>
    </w:pPr>
  </w:style>
  <w:style w:type="character" w:customStyle="1" w:styleId="136">
    <w:name w:val="Char Char"/>
    <w:qFormat/>
    <w:uiPriority w:val="0"/>
    <w:rPr>
      <w:rFonts w:hint="eastAsia" w:ascii="宋体" w:hAnsi="Courier New" w:eastAsia="宋体"/>
      <w:kern w:val="2"/>
      <w:sz w:val="21"/>
      <w:lang w:val="en-US" w:eastAsia="zh-CN" w:bidi="ar-SA"/>
    </w:rPr>
  </w:style>
  <w:style w:type="character" w:customStyle="1" w:styleId="137">
    <w:name w:val="style51"/>
    <w:qFormat/>
    <w:uiPriority w:val="0"/>
    <w:rPr>
      <w:sz w:val="21"/>
      <w:szCs w:val="21"/>
    </w:rPr>
  </w:style>
  <w:style w:type="paragraph" w:customStyle="1" w:styleId="13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9">
    <w:name w:val="标准文本"/>
    <w:basedOn w:val="1"/>
    <w:link w:val="140"/>
    <w:qFormat/>
    <w:uiPriority w:val="0"/>
    <w:pPr>
      <w:spacing w:line="360" w:lineRule="auto"/>
      <w:ind w:firstLine="480" w:firstLineChars="200"/>
    </w:pPr>
    <w:rPr>
      <w:rFonts w:cs="宋体"/>
      <w:sz w:val="24"/>
      <w:szCs w:val="20"/>
    </w:rPr>
  </w:style>
  <w:style w:type="character" w:customStyle="1" w:styleId="140">
    <w:name w:val="标准文本 Char"/>
    <w:link w:val="139"/>
    <w:qFormat/>
    <w:uiPriority w:val="0"/>
    <w:rPr>
      <w:rFonts w:eastAsia="宋体" w:cs="宋体"/>
      <w:kern w:val="2"/>
      <w:sz w:val="24"/>
      <w:lang w:val="en-US" w:eastAsia="zh-CN" w:bidi="ar-SA"/>
    </w:rPr>
  </w:style>
  <w:style w:type="paragraph" w:customStyle="1" w:styleId="141">
    <w:name w:val="Default"/>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5"/>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99"/>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9"/>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0"/>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2"/>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99"/>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0"/>
    <w:link w:val="38"/>
    <w:qFormat/>
    <w:uiPriority w:val="0"/>
    <w:rPr>
      <w:kern w:val="2"/>
      <w:sz w:val="18"/>
      <w:szCs w:val="18"/>
    </w:rPr>
  </w:style>
  <w:style w:type="character" w:customStyle="1" w:styleId="228">
    <w:name w:val="正文文本缩进 3 Char"/>
    <w:basedOn w:val="70"/>
    <w:link w:val="52"/>
    <w:qFormat/>
    <w:uiPriority w:val="0"/>
    <w:rPr>
      <w:kern w:val="2"/>
      <w:sz w:val="16"/>
      <w:szCs w:val="16"/>
    </w:rPr>
  </w:style>
  <w:style w:type="character" w:customStyle="1" w:styleId="229">
    <w:name w:val="HTML 预设格式 Char"/>
    <w:basedOn w:val="70"/>
    <w:link w:val="57"/>
    <w:qFormat/>
    <w:uiPriority w:val="0"/>
    <w:rPr>
      <w:rFonts w:ascii="黑体" w:hAnsi="Courier New" w:eastAsia="黑体" w:cs="Courier New"/>
    </w:rPr>
  </w:style>
  <w:style w:type="character" w:customStyle="1" w:styleId="230">
    <w:name w:val="批注主题 Char"/>
    <w:basedOn w:val="197"/>
    <w:link w:val="60"/>
    <w:qFormat/>
    <w:uiPriority w:val="0"/>
    <w:rPr>
      <w:rFonts w:eastAsia="宋体"/>
      <w:b/>
      <w:bCs/>
      <w:kern w:val="2"/>
      <w:sz w:val="24"/>
      <w:szCs w:val="24"/>
      <w:lang w:val="en-US" w:eastAsia="zh-CN" w:bidi="ar-SA"/>
    </w:rPr>
  </w:style>
  <w:style w:type="character" w:customStyle="1" w:styleId="231">
    <w:name w:val="正文首行缩进 Char"/>
    <w:basedOn w:val="192"/>
    <w:link w:val="61"/>
    <w:qFormat/>
    <w:uiPriority w:val="0"/>
    <w:rPr>
      <w:rFonts w:eastAsia="仿宋_GB2312"/>
      <w:kern w:val="2"/>
      <w:sz w:val="21"/>
      <w:szCs w:val="24"/>
      <w:lang w:val="en-US" w:eastAsia="zh-CN" w:bidi="ar-SA"/>
    </w:rPr>
  </w:style>
  <w:style w:type="character" w:customStyle="1" w:styleId="232">
    <w:name w:val="正文首行缩进 2 Char"/>
    <w:basedOn w:val="94"/>
    <w:link w:val="62"/>
    <w:qFormat/>
    <w:uiPriority w:val="0"/>
    <w:rPr>
      <w:rFonts w:eastAsia="宋体"/>
      <w:kern w:val="2"/>
      <w:sz w:val="21"/>
      <w:szCs w:val="24"/>
      <w:lang w:val="en-US" w:eastAsia="zh-CN" w:bidi="ar-SA"/>
    </w:rPr>
  </w:style>
  <w:style w:type="paragraph" w:customStyle="1" w:styleId="233">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0"/>
    <w:pPr>
      <w:spacing w:line="440" w:lineRule="exact"/>
      <w:ind w:firstLine="420" w:firstLineChars="200"/>
    </w:pPr>
    <w:rPr>
      <w:rFonts w:eastAsia="仿宋_GB2312"/>
      <w:sz w:val="24"/>
    </w:rPr>
  </w:style>
  <w:style w:type="paragraph" w:customStyle="1" w:styleId="28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0"/>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1"/>
    <w:qFormat/>
    <w:uiPriority w:val="0"/>
    <w:rPr>
      <w:color w:val="000000"/>
      <w:sz w:val="24"/>
      <w:szCs w:val="24"/>
    </w:rPr>
  </w:style>
  <w:style w:type="paragraph" w:customStyle="1" w:styleId="316">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Char"/>
    <w:basedOn w:val="70"/>
    <w:link w:val="20"/>
    <w:qFormat/>
    <w:uiPriority w:val="0"/>
    <w:rPr>
      <w:rFonts w:ascii="仿宋_GB2312" w:eastAsia="仿宋_GB2312"/>
      <w:kern w:val="2"/>
      <w:sz w:val="28"/>
    </w:rPr>
  </w:style>
  <w:style w:type="character" w:customStyle="1" w:styleId="318">
    <w:name w:val="正文文本 3 Char"/>
    <w:basedOn w:val="70"/>
    <w:link w:val="21"/>
    <w:qFormat/>
    <w:uiPriority w:val="0"/>
    <w:rPr>
      <w:kern w:val="2"/>
      <w:sz w:val="21"/>
    </w:rPr>
  </w:style>
  <w:style w:type="character" w:customStyle="1" w:styleId="319">
    <w:name w:val="HTML 地址 Char"/>
    <w:basedOn w:val="70"/>
    <w:link w:val="29"/>
    <w:qFormat/>
    <w:uiPriority w:val="0"/>
    <w:rPr>
      <w:rFonts w:ascii="宋体" w:hAnsi="宋体"/>
      <w:i/>
      <w:iCs/>
      <w:sz w:val="24"/>
      <w:szCs w:val="24"/>
    </w:rPr>
  </w:style>
  <w:style w:type="character" w:customStyle="1" w:styleId="320">
    <w:name w:val="尾注文本 Char"/>
    <w:basedOn w:val="70"/>
    <w:link w:val="37"/>
    <w:qFormat/>
    <w:uiPriority w:val="0"/>
    <w:rPr>
      <w:kern w:val="2"/>
      <w:sz w:val="21"/>
      <w:szCs w:val="24"/>
      <w:lang w:val="zh-CN"/>
    </w:rPr>
  </w:style>
  <w:style w:type="character" w:customStyle="1" w:styleId="321">
    <w:name w:val="签名 Char"/>
    <w:basedOn w:val="70"/>
    <w:link w:val="41"/>
    <w:qFormat/>
    <w:uiPriority w:val="0"/>
    <w:rPr>
      <w:rFonts w:eastAsia="仿宋_GB2312"/>
      <w:sz w:val="24"/>
    </w:rPr>
  </w:style>
  <w:style w:type="character" w:customStyle="1" w:styleId="322">
    <w:name w:val="副标题 Char"/>
    <w:basedOn w:val="70"/>
    <w:link w:val="46"/>
    <w:qFormat/>
    <w:uiPriority w:val="0"/>
    <w:rPr>
      <w:rFonts w:ascii="Arial" w:hAnsi="Arial" w:eastAsia="隶书"/>
      <w:b/>
      <w:bCs/>
      <w:kern w:val="28"/>
      <w:sz w:val="44"/>
      <w:szCs w:val="32"/>
    </w:rPr>
  </w:style>
  <w:style w:type="character" w:customStyle="1" w:styleId="323">
    <w:name w:val="脚注文本 Char"/>
    <w:basedOn w:val="70"/>
    <w:link w:val="49"/>
    <w:qFormat/>
    <w:uiPriority w:val="0"/>
    <w:rPr>
      <w:rFonts w:ascii="Calibri"/>
      <w:color w:val="0000FF"/>
      <w:sz w:val="21"/>
    </w:rPr>
  </w:style>
  <w:style w:type="character" w:customStyle="1" w:styleId="324">
    <w:name w:val="表格非标题文字 Char"/>
    <w:link w:val="325"/>
    <w:qFormat/>
    <w:uiPriority w:val="0"/>
    <w:rPr>
      <w:rFonts w:ascii="Futura Bk" w:hAnsi="Futura Bk"/>
      <w:kern w:val="2"/>
      <w:sz w:val="18"/>
      <w:szCs w:val="21"/>
    </w:rPr>
  </w:style>
  <w:style w:type="paragraph" w:customStyle="1" w:styleId="325">
    <w:name w:val="表格非标题文字"/>
    <w:link w:val="32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qFormat/>
    <w:uiPriority w:val="0"/>
    <w:rPr>
      <w:rFonts w:ascii="宋体" w:hAnsi="宋体"/>
      <w:sz w:val="24"/>
    </w:rPr>
  </w:style>
  <w:style w:type="paragraph" w:customStyle="1" w:styleId="327">
    <w:name w:val="*正文"/>
    <w:basedOn w:val="1"/>
    <w:link w:val="326"/>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qFormat/>
    <w:uiPriority w:val="0"/>
    <w:rPr>
      <w:rFonts w:eastAsia="宋体"/>
      <w:kern w:val="2"/>
      <w:sz w:val="21"/>
      <w:szCs w:val="24"/>
      <w:lang w:val="en-US" w:eastAsia="zh-CN" w:bidi="ar-SA"/>
    </w:rPr>
  </w:style>
  <w:style w:type="character" w:customStyle="1" w:styleId="329">
    <w:name w:val="Char Char6"/>
    <w:qFormat/>
    <w:uiPriority w:val="0"/>
    <w:rPr>
      <w:rFonts w:eastAsia="宋体"/>
      <w:kern w:val="2"/>
      <w:sz w:val="21"/>
      <w:szCs w:val="24"/>
      <w:lang w:val="en-US" w:eastAsia="zh-CN" w:bidi="ar-SA"/>
    </w:rPr>
  </w:style>
  <w:style w:type="character" w:customStyle="1" w:styleId="330">
    <w:name w:val="正文首行缩进 Char1"/>
    <w:qFormat/>
    <w:uiPriority w:val="0"/>
    <w:rPr>
      <w:rFonts w:ascii="宋体" w:hAnsi="Times New Roman" w:eastAsia="宋体" w:cs="Times New Roman"/>
      <w:snapToGrid w:val="0"/>
      <w:kern w:val="2"/>
      <w:sz w:val="24"/>
      <w:szCs w:val="21"/>
      <w:lang w:val="zh-CN"/>
    </w:rPr>
  </w:style>
  <w:style w:type="character" w:customStyle="1" w:styleId="331">
    <w:name w:val="Char Char28"/>
    <w:qFormat/>
    <w:uiPriority w:val="6"/>
    <w:rPr>
      <w:rFonts w:ascii="仿宋_GB2312" w:hAnsi="仿宋_GB2312" w:eastAsia="仿宋_GB2312"/>
      <w:kern w:val="1"/>
      <w:sz w:val="28"/>
    </w:rPr>
  </w:style>
  <w:style w:type="character" w:customStyle="1" w:styleId="3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qFormat/>
    <w:uiPriority w:val="6"/>
    <w:rPr>
      <w:rFonts w:ascii="Times New Roman" w:hAnsi="Times New Roman" w:eastAsia="黑体" w:cs="Times New Roman"/>
      <w:b/>
      <w:kern w:val="0"/>
      <w:sz w:val="24"/>
      <w:szCs w:val="24"/>
    </w:rPr>
  </w:style>
  <w:style w:type="character" w:customStyle="1" w:styleId="334">
    <w:name w:val="U_正文 Char"/>
    <w:link w:val="335"/>
    <w:qFormat/>
    <w:uiPriority w:val="0"/>
    <w:rPr>
      <w:sz w:val="24"/>
      <w:szCs w:val="24"/>
    </w:rPr>
  </w:style>
  <w:style w:type="paragraph" w:customStyle="1" w:styleId="335">
    <w:name w:val="U_正文"/>
    <w:basedOn w:val="1"/>
    <w:link w:val="334"/>
    <w:qFormat/>
    <w:uiPriority w:val="0"/>
    <w:pPr>
      <w:spacing w:beforeLines="20" w:afterLines="20" w:line="300" w:lineRule="auto"/>
      <w:ind w:firstLine="200" w:firstLineChars="200"/>
    </w:pPr>
    <w:rPr>
      <w:kern w:val="0"/>
      <w:sz w:val="24"/>
    </w:rPr>
  </w:style>
  <w:style w:type="character" w:customStyle="1" w:styleId="336">
    <w:name w:val="HTML 地址 Char1"/>
    <w:qFormat/>
    <w:uiPriority w:val="0"/>
    <w:rPr>
      <w:rFonts w:ascii="Times New Roman" w:hAnsi="Times New Roman" w:eastAsia="宋体" w:cs="Times New Roman"/>
      <w:i/>
      <w:iCs/>
      <w:szCs w:val="24"/>
    </w:rPr>
  </w:style>
  <w:style w:type="character" w:customStyle="1" w:styleId="337">
    <w:name w:val="批注主题 Char1"/>
    <w:qFormat/>
    <w:uiPriority w:val="0"/>
    <w:rPr>
      <w:b/>
      <w:bCs/>
      <w:kern w:val="2"/>
      <w:sz w:val="21"/>
      <w:szCs w:val="24"/>
    </w:rPr>
  </w:style>
  <w:style w:type="character" w:customStyle="1" w:styleId="338">
    <w:name w:val="Char Char51"/>
    <w:qFormat/>
    <w:uiPriority w:val="0"/>
    <w:rPr>
      <w:rFonts w:ascii="宋体" w:hAnsi="Courier New" w:eastAsia="宋体"/>
      <w:kern w:val="2"/>
      <w:sz w:val="21"/>
      <w:lang w:val="en-US" w:eastAsia="zh-CN"/>
    </w:rPr>
  </w:style>
  <w:style w:type="character" w:customStyle="1" w:styleId="339">
    <w:name w:val="表正文 Char"/>
    <w:qFormat/>
    <w:uiPriority w:val="0"/>
    <w:rPr>
      <w:rFonts w:ascii="宋体" w:eastAsia="宋体"/>
      <w:snapToGrid w:val="0"/>
      <w:color w:val="000000"/>
      <w:kern w:val="28"/>
      <w:sz w:val="28"/>
      <w:lang w:val="en-US" w:eastAsia="zh-CN" w:bidi="ar-SA"/>
    </w:rPr>
  </w:style>
  <w:style w:type="character" w:customStyle="1" w:styleId="340">
    <w:name w:val="Char Char34"/>
    <w:qFormat/>
    <w:uiPriority w:val="6"/>
    <w:rPr>
      <w:b/>
      <w:kern w:val="1"/>
      <w:sz w:val="28"/>
      <w:szCs w:val="28"/>
    </w:rPr>
  </w:style>
  <w:style w:type="character" w:customStyle="1" w:styleId="341">
    <w:name w:val="哈哈正文 Char"/>
    <w:link w:val="342"/>
    <w:qFormat/>
    <w:uiPriority w:val="0"/>
    <w:rPr>
      <w:rFonts w:ascii="宋体" w:hAnsi="宋体"/>
      <w:kern w:val="2"/>
      <w:sz w:val="24"/>
    </w:rPr>
  </w:style>
  <w:style w:type="paragraph" w:customStyle="1" w:styleId="342">
    <w:name w:val="哈哈正文"/>
    <w:basedOn w:val="1"/>
    <w:link w:val="341"/>
    <w:qFormat/>
    <w:uiPriority w:val="0"/>
    <w:pPr>
      <w:spacing w:line="360" w:lineRule="auto"/>
      <w:ind w:firstLine="200" w:firstLineChars="200"/>
    </w:pPr>
    <w:rPr>
      <w:rFonts w:ascii="宋体" w:hAnsi="宋体"/>
      <w:sz w:val="24"/>
      <w:szCs w:val="20"/>
    </w:rPr>
  </w:style>
  <w:style w:type="character" w:customStyle="1" w:styleId="343">
    <w:name w:val="txt"/>
    <w:qFormat/>
    <w:uiPriority w:val="0"/>
    <w:rPr>
      <w:rFonts w:ascii="仿宋_GB2312" w:eastAsia="微软雅黑"/>
      <w:b/>
      <w:kern w:val="2"/>
      <w:sz w:val="32"/>
      <w:szCs w:val="32"/>
      <w:lang w:val="en-US" w:eastAsia="zh-CN" w:bidi="ar-SA"/>
    </w:rPr>
  </w:style>
  <w:style w:type="character" w:customStyle="1" w:styleId="344">
    <w:name w:val="二级标题 Char Char"/>
    <w:qFormat/>
    <w:uiPriority w:val="0"/>
    <w:rPr>
      <w:rFonts w:ascii="宋体" w:hAnsi="宋体" w:eastAsia="宋体"/>
      <w:b/>
      <w:snapToGrid w:val="0"/>
      <w:kern w:val="2"/>
      <w:sz w:val="24"/>
      <w:szCs w:val="24"/>
      <w:lang w:val="en-US" w:eastAsia="zh-CN" w:bidi="ar-SA"/>
    </w:rPr>
  </w:style>
  <w:style w:type="character" w:customStyle="1" w:styleId="345">
    <w:name w:val="Char Char32"/>
    <w:qFormat/>
    <w:uiPriority w:val="6"/>
    <w:rPr>
      <w:b/>
      <w:kern w:val="1"/>
      <w:sz w:val="24"/>
      <w:szCs w:val="24"/>
    </w:rPr>
  </w:style>
  <w:style w:type="character" w:customStyle="1" w:styleId="346">
    <w:name w:val="PI Char1"/>
    <w:qFormat/>
    <w:uiPriority w:val="0"/>
    <w:rPr>
      <w:rFonts w:ascii="宋体" w:hAnsi="宋体"/>
      <w:kern w:val="2"/>
      <w:sz w:val="24"/>
      <w:szCs w:val="24"/>
    </w:rPr>
  </w:style>
  <w:style w:type="character" w:customStyle="1" w:styleId="347">
    <w:name w:val="tw4winTerm"/>
    <w:qFormat/>
    <w:uiPriority w:val="0"/>
    <w:rPr>
      <w:color w:val="0000FF"/>
    </w:rPr>
  </w:style>
  <w:style w:type="character" w:customStyle="1" w:styleId="348">
    <w:name w:val="Footer Char_349d8ccd-87a8-4174-b318-483ee852d82b"/>
    <w:qFormat/>
    <w:uiPriority w:val="0"/>
    <w:rPr>
      <w:rFonts w:eastAsia="宋体"/>
      <w:kern w:val="2"/>
      <w:sz w:val="18"/>
      <w:lang w:val="en-US" w:eastAsia="zh-CN" w:bidi="ar-SA"/>
    </w:rPr>
  </w:style>
  <w:style w:type="character" w:customStyle="1" w:styleId="349">
    <w:name w:val="普通文字 Char Char1"/>
    <w:qFormat/>
    <w:uiPriority w:val="0"/>
    <w:rPr>
      <w:rFonts w:ascii="宋体" w:hAnsi="Courier New"/>
      <w:kern w:val="2"/>
      <w:sz w:val="21"/>
    </w:rPr>
  </w:style>
  <w:style w:type="character" w:customStyle="1" w:styleId="350">
    <w:name w:val="Char Char101"/>
    <w:qFormat/>
    <w:uiPriority w:val="6"/>
    <w:rPr>
      <w:rFonts w:ascii="宋体" w:hAnsi="宋体"/>
      <w:kern w:val="2"/>
      <w:sz w:val="21"/>
      <w:szCs w:val="24"/>
      <w:lang w:val="en-US" w:eastAsia="zh-CN"/>
    </w:rPr>
  </w:style>
  <w:style w:type="character" w:customStyle="1" w:styleId="351">
    <w:name w:val="链接"/>
    <w:qFormat/>
    <w:uiPriority w:val="0"/>
    <w:rPr>
      <w:color w:val="0000FF"/>
      <w:sz w:val="21"/>
      <w:szCs w:val="21"/>
      <w:u w:val="single"/>
    </w:rPr>
  </w:style>
  <w:style w:type="character" w:customStyle="1" w:styleId="352">
    <w:name w:val="h4 Char"/>
    <w:qFormat/>
    <w:uiPriority w:val="0"/>
    <w:rPr>
      <w:rFonts w:ascii="Arial" w:hAnsi="Arial" w:eastAsia="黑体"/>
      <w:b/>
      <w:bCs/>
      <w:kern w:val="2"/>
      <w:sz w:val="28"/>
      <w:szCs w:val="28"/>
      <w:lang w:val="zh-CN" w:eastAsia="zh-CN" w:bidi="ar-SA"/>
    </w:rPr>
  </w:style>
  <w:style w:type="character" w:customStyle="1" w:styleId="353">
    <w:name w:val="5正文 Char"/>
    <w:link w:val="354"/>
    <w:qFormat/>
    <w:uiPriority w:val="0"/>
    <w:rPr>
      <w:rFonts w:ascii="仿宋_GB2312" w:hAnsi="微软雅黑" w:eastAsia="仿宋_GB2312"/>
      <w:sz w:val="28"/>
      <w:szCs w:val="21"/>
    </w:rPr>
  </w:style>
  <w:style w:type="paragraph" w:customStyle="1" w:styleId="354">
    <w:name w:val="5正文"/>
    <w:basedOn w:val="1"/>
    <w:link w:val="353"/>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qFormat/>
    <w:uiPriority w:val="9"/>
    <w:rPr>
      <w:b/>
      <w:bCs/>
      <w:kern w:val="2"/>
      <w:sz w:val="32"/>
      <w:szCs w:val="32"/>
    </w:rPr>
  </w:style>
  <w:style w:type="character" w:customStyle="1" w:styleId="356">
    <w:name w:val="样式6 Char"/>
    <w:qFormat/>
    <w:uiPriority w:val="0"/>
    <w:rPr>
      <w:rFonts w:ascii="仿宋_GB2312" w:hAnsi="宋体" w:eastAsia="仿宋_GB2312"/>
      <w:b/>
      <w:bCs/>
      <w:kern w:val="2"/>
      <w:sz w:val="24"/>
      <w:szCs w:val="24"/>
      <w:lang w:val="en-US" w:eastAsia="zh-CN" w:bidi="ar-SA"/>
    </w:rPr>
  </w:style>
  <w:style w:type="character" w:customStyle="1" w:styleId="357">
    <w:name w:val="Char Char14"/>
    <w:qFormat/>
    <w:uiPriority w:val="6"/>
    <w:rPr>
      <w:rFonts w:ascii="黑体" w:hAnsi="黑体" w:eastAsia="黑体"/>
    </w:rPr>
  </w:style>
  <w:style w:type="character" w:customStyle="1" w:styleId="358">
    <w:name w:val="Heading 2 Hidden Char"/>
    <w:qFormat/>
    <w:uiPriority w:val="0"/>
    <w:rPr>
      <w:rFonts w:ascii="仿宋_GB2312" w:eastAsia="仿宋_GB2312"/>
      <w:b/>
      <w:bCs/>
      <w:kern w:val="2"/>
      <w:sz w:val="24"/>
      <w:szCs w:val="24"/>
      <w:lang w:val="zh-CN" w:eastAsia="zh-CN" w:bidi="ar-SA"/>
    </w:rPr>
  </w:style>
  <w:style w:type="character" w:customStyle="1" w:styleId="359">
    <w:name w:val="表正文 Char1"/>
    <w:qFormat/>
    <w:uiPriority w:val="0"/>
    <w:rPr>
      <w:rFonts w:ascii="宋体" w:eastAsia="宋体"/>
      <w:snapToGrid w:val="0"/>
      <w:color w:val="000000"/>
      <w:kern w:val="28"/>
      <w:sz w:val="28"/>
    </w:rPr>
  </w:style>
  <w:style w:type="character" w:customStyle="1" w:styleId="360">
    <w:name w:val="blue1"/>
    <w:basedOn w:val="70"/>
    <w:qFormat/>
    <w:uiPriority w:val="0"/>
    <w:rPr>
      <w:rFonts w:ascii="Arial" w:hAnsi="Arial" w:eastAsia="黑体" w:cs="Arial"/>
      <w:snapToGrid w:val="0"/>
      <w:kern w:val="0"/>
      <w:szCs w:val="21"/>
    </w:rPr>
  </w:style>
  <w:style w:type="character" w:customStyle="1" w:styleId="361">
    <w:name w:val="标书1 Char"/>
    <w:qFormat/>
    <w:uiPriority w:val="0"/>
    <w:rPr>
      <w:rFonts w:eastAsia="宋体"/>
      <w:b/>
      <w:bCs/>
      <w:kern w:val="44"/>
      <w:sz w:val="44"/>
      <w:szCs w:val="44"/>
      <w:lang w:val="en-US" w:eastAsia="zh-CN" w:bidi="ar-SA"/>
    </w:rPr>
  </w:style>
  <w:style w:type="character" w:customStyle="1" w:styleId="362">
    <w:name w:val="样式5 Char"/>
    <w:qFormat/>
    <w:uiPriority w:val="0"/>
    <w:rPr>
      <w:rFonts w:ascii="仿宋_GB2312" w:hAnsi="仿宋" w:eastAsia="仿宋_GB2312"/>
      <w:kern w:val="2"/>
      <w:sz w:val="24"/>
      <w:szCs w:val="24"/>
    </w:rPr>
  </w:style>
  <w:style w:type="character" w:customStyle="1" w:styleId="363">
    <w:name w:val="样式4 Char"/>
    <w:qFormat/>
    <w:uiPriority w:val="0"/>
    <w:rPr>
      <w:rFonts w:ascii="仿宋_GB2312" w:hAnsi="仿宋" w:eastAsia="仿宋_GB2312"/>
      <w:b/>
      <w:kern w:val="2"/>
      <w:sz w:val="32"/>
      <w:szCs w:val="32"/>
      <w:lang w:bidi="ar-SA"/>
    </w:rPr>
  </w:style>
  <w:style w:type="character" w:customStyle="1" w:styleId="364">
    <w:name w:val="插图说明 Char"/>
    <w:qFormat/>
    <w:uiPriority w:val="0"/>
    <w:rPr>
      <w:rFonts w:eastAsia="黑体"/>
      <w:sz w:val="24"/>
      <w:lang w:val="en-US" w:eastAsia="zh-CN"/>
    </w:rPr>
  </w:style>
  <w:style w:type="character" w:customStyle="1" w:styleId="365">
    <w:name w:val="Char Char24"/>
    <w:qFormat/>
    <w:uiPriority w:val="6"/>
    <w:rPr>
      <w:kern w:val="1"/>
      <w:sz w:val="21"/>
    </w:rPr>
  </w:style>
  <w:style w:type="character" w:customStyle="1" w:styleId="366">
    <w:name w:val="普通文字 Char1 Char"/>
    <w:qFormat/>
    <w:uiPriority w:val="0"/>
    <w:rPr>
      <w:rFonts w:ascii="宋体" w:hAnsi="Courier New" w:eastAsia="宋体"/>
      <w:kern w:val="2"/>
      <w:sz w:val="21"/>
      <w:szCs w:val="24"/>
      <w:lang w:val="en-US" w:eastAsia="zh-CN" w:bidi="ar-SA"/>
    </w:rPr>
  </w:style>
  <w:style w:type="character" w:customStyle="1" w:styleId="367">
    <w:name w:val="h3 Char1"/>
    <w:qFormat/>
    <w:uiPriority w:val="0"/>
    <w:rPr>
      <w:rFonts w:eastAsia="宋体"/>
      <w:b/>
      <w:bCs/>
      <w:kern w:val="2"/>
      <w:sz w:val="32"/>
      <w:szCs w:val="32"/>
      <w:lang w:bidi="ar-SA"/>
    </w:rPr>
  </w:style>
  <w:style w:type="character" w:customStyle="1" w:styleId="368">
    <w:name w:val="标题 Char1"/>
    <w:qFormat/>
    <w:uiPriority w:val="0"/>
    <w:rPr>
      <w:rFonts w:ascii="Cambria" w:hAnsi="Cambria" w:eastAsia="宋体" w:cs="Times New Roman"/>
      <w:b/>
      <w:bCs/>
      <w:sz w:val="32"/>
      <w:szCs w:val="32"/>
      <w:lang w:bidi="ar-SA"/>
    </w:rPr>
  </w:style>
  <w:style w:type="character" w:customStyle="1" w:styleId="369">
    <w:name w:val="gf正文1 Char"/>
    <w:qFormat/>
    <w:uiPriority w:val="0"/>
    <w:rPr>
      <w:rFonts w:ascii="宋体" w:hAnsi="宋体" w:eastAsia="宋体" w:cs="宋体"/>
      <w:kern w:val="2"/>
      <w:sz w:val="24"/>
      <w:szCs w:val="24"/>
      <w:lang w:val="en-US" w:eastAsia="zh-CN" w:bidi="ar-SA"/>
    </w:rPr>
  </w:style>
  <w:style w:type="character" w:customStyle="1" w:styleId="370">
    <w:name w:val="正文文本缩进 Char1"/>
    <w:qFormat/>
    <w:uiPriority w:val="0"/>
    <w:rPr>
      <w:rFonts w:ascii="Calibri" w:hAnsi="Calibri"/>
      <w:sz w:val="28"/>
    </w:rPr>
  </w:style>
  <w:style w:type="character" w:customStyle="1" w:styleId="371">
    <w:name w:val="No Spacing Char"/>
    <w:link w:val="372"/>
    <w:qFormat/>
    <w:uiPriority w:val="1"/>
    <w:rPr>
      <w:sz w:val="22"/>
      <w:szCs w:val="22"/>
    </w:rPr>
  </w:style>
  <w:style w:type="paragraph" w:customStyle="1" w:styleId="372">
    <w:name w:val="无间隔1"/>
    <w:link w:val="371"/>
    <w:qFormat/>
    <w:uiPriority w:val="1"/>
    <w:rPr>
      <w:rFonts w:ascii="Times New Roman" w:hAnsi="Times New Roman" w:eastAsia="宋体" w:cs="Times New Roman"/>
      <w:sz w:val="22"/>
      <w:szCs w:val="22"/>
      <w:lang w:val="en-US" w:eastAsia="zh-CN" w:bidi="ar-SA"/>
    </w:rPr>
  </w:style>
  <w:style w:type="character" w:customStyle="1" w:styleId="373">
    <w:name w:val="样式7 Char"/>
    <w:qFormat/>
    <w:uiPriority w:val="0"/>
    <w:rPr>
      <w:rFonts w:ascii="仿宋_GB2312" w:hAnsi="仿宋" w:eastAsia="仿宋_GB2312"/>
      <w:b/>
      <w:kern w:val="2"/>
      <w:sz w:val="24"/>
      <w:szCs w:val="24"/>
    </w:rPr>
  </w:style>
  <w:style w:type="character" w:customStyle="1" w:styleId="374">
    <w:name w:val="font12gray1"/>
    <w:qFormat/>
    <w:uiPriority w:val="0"/>
    <w:rPr>
      <w:rFonts w:ascii="仿宋_GB2312" w:eastAsia="微软雅黑"/>
      <w:b/>
      <w:spacing w:val="300"/>
      <w:kern w:val="2"/>
      <w:sz w:val="18"/>
      <w:szCs w:val="18"/>
      <w:lang w:val="en-US" w:eastAsia="zh-CN" w:bidi="ar-SA"/>
    </w:rPr>
  </w:style>
  <w:style w:type="character" w:customStyle="1" w:styleId="375">
    <w:name w:val="表名 Char"/>
    <w:qFormat/>
    <w:uiPriority w:val="0"/>
    <w:rPr>
      <w:rFonts w:eastAsia="宋体"/>
      <w:b/>
      <w:bCs/>
      <w:kern w:val="2"/>
      <w:sz w:val="24"/>
      <w:szCs w:val="24"/>
      <w:lang w:val="en-US" w:eastAsia="zh-CN" w:bidi="ar-SA"/>
    </w:rPr>
  </w:style>
  <w:style w:type="character" w:customStyle="1" w:styleId="376">
    <w:name w:val="Document Map Char"/>
    <w:qFormat/>
    <w:uiPriority w:val="0"/>
    <w:rPr>
      <w:rFonts w:eastAsia="宋体"/>
      <w:kern w:val="2"/>
      <w:sz w:val="21"/>
      <w:szCs w:val="24"/>
      <w:lang w:val="en-US" w:eastAsia="zh-CN" w:bidi="ar-SA"/>
    </w:rPr>
  </w:style>
  <w:style w:type="character" w:customStyle="1" w:styleId="377">
    <w:name w:val="纯文本 Char_0"/>
    <w:link w:val="378"/>
    <w:qFormat/>
    <w:uiPriority w:val="0"/>
    <w:rPr>
      <w:rFonts w:ascii="宋体" w:hAnsi="Courier New"/>
      <w:kern w:val="2"/>
      <w:sz w:val="21"/>
      <w:szCs w:val="21"/>
    </w:rPr>
  </w:style>
  <w:style w:type="paragraph" w:customStyle="1" w:styleId="378">
    <w:name w:val="纯文本_0_0"/>
    <w:basedOn w:val="379"/>
    <w:link w:val="377"/>
    <w:qFormat/>
    <w:uiPriority w:val="0"/>
    <w:rPr>
      <w:rFonts w:ascii="宋体" w:hAnsi="Courier New"/>
      <w:szCs w:val="21"/>
    </w:rPr>
  </w:style>
  <w:style w:type="paragraph" w:customStyle="1" w:styleId="37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qFormat/>
    <w:uiPriority w:val="0"/>
    <w:rPr>
      <w:rFonts w:eastAsia="宋体"/>
      <w:kern w:val="2"/>
      <w:sz w:val="18"/>
      <w:szCs w:val="18"/>
      <w:lang w:val="en-US" w:eastAsia="zh-CN" w:bidi="ar-SA"/>
    </w:rPr>
  </w:style>
  <w:style w:type="character" w:customStyle="1" w:styleId="381">
    <w:name w:val="正文 项目2 Char"/>
    <w:basedOn w:val="382"/>
    <w:qFormat/>
    <w:uiPriority w:val="0"/>
    <w:rPr>
      <w:rFonts w:ascii="仿宋_GB2312" w:hAnsi="仿宋_GB2312" w:eastAsia="仿宋_GB2312"/>
      <w:kern w:val="2"/>
      <w:sz w:val="24"/>
      <w:lang w:bidi="ar-SA"/>
    </w:rPr>
  </w:style>
  <w:style w:type="character" w:customStyle="1" w:styleId="382">
    <w:name w:val="正文 项目 Char"/>
    <w:qFormat/>
    <w:uiPriority w:val="0"/>
    <w:rPr>
      <w:rFonts w:ascii="仿宋_GB2312" w:hAnsi="仿宋_GB2312" w:eastAsia="仿宋_GB2312"/>
      <w:kern w:val="2"/>
      <w:sz w:val="24"/>
      <w:lang w:bidi="ar-SA"/>
    </w:rPr>
  </w:style>
  <w:style w:type="character" w:customStyle="1" w:styleId="383">
    <w:name w:val="h Char Char1"/>
    <w:qFormat/>
    <w:uiPriority w:val="0"/>
    <w:rPr>
      <w:rFonts w:eastAsia="宋体"/>
      <w:kern w:val="2"/>
      <w:sz w:val="18"/>
      <w:szCs w:val="18"/>
      <w:lang w:val="en-US" w:eastAsia="zh-CN" w:bidi="ar-SA"/>
    </w:rPr>
  </w:style>
  <w:style w:type="character" w:customStyle="1" w:styleId="384">
    <w:name w:val="px14"/>
    <w:qFormat/>
    <w:uiPriority w:val="0"/>
    <w:rPr>
      <w:rFonts w:ascii="仿宋_GB2312" w:eastAsia="微软雅黑" w:cs="Times New Roman"/>
      <w:b/>
      <w:kern w:val="2"/>
      <w:sz w:val="32"/>
      <w:szCs w:val="32"/>
      <w:lang w:val="en-US" w:eastAsia="zh-CN" w:bidi="ar-SA"/>
    </w:rPr>
  </w:style>
  <w:style w:type="character" w:customStyle="1" w:styleId="385">
    <w:name w:val="HTML 预设格式 Char1"/>
    <w:qFormat/>
    <w:uiPriority w:val="0"/>
    <w:rPr>
      <w:rFonts w:ascii="Courier New" w:hAnsi="Courier New" w:eastAsia="宋体" w:cs="Courier New"/>
      <w:sz w:val="20"/>
      <w:szCs w:val="20"/>
    </w:rPr>
  </w:style>
  <w:style w:type="character" w:customStyle="1" w:styleId="386">
    <w:name w:val="普通文字 Char1"/>
    <w:qFormat/>
    <w:uiPriority w:val="0"/>
    <w:rPr>
      <w:rFonts w:ascii="宋体" w:hAnsi="Courier New" w:eastAsia="宋体"/>
      <w:kern w:val="2"/>
      <w:sz w:val="21"/>
      <w:lang w:val="en-US" w:eastAsia="zh-CN"/>
    </w:rPr>
  </w:style>
  <w:style w:type="character" w:customStyle="1" w:styleId="387">
    <w:name w:val="hei16b1"/>
    <w:qFormat/>
    <w:uiPriority w:val="0"/>
    <w:rPr>
      <w:rFonts w:hint="default" w:ascii="Arial" w:hAnsi="Arial" w:cs="Arial"/>
      <w:b/>
      <w:bCs/>
      <w:color w:val="000000"/>
      <w:sz w:val="24"/>
      <w:szCs w:val="24"/>
    </w:rPr>
  </w:style>
  <w:style w:type="character" w:customStyle="1" w:styleId="388">
    <w:name w:val="正文（绿盟科技） Char"/>
    <w:link w:val="389"/>
    <w:qFormat/>
    <w:uiPriority w:val="0"/>
    <w:rPr>
      <w:rFonts w:ascii="Arial" w:hAnsi="Arial"/>
      <w:sz w:val="21"/>
      <w:szCs w:val="21"/>
    </w:rPr>
  </w:style>
  <w:style w:type="paragraph" w:customStyle="1" w:styleId="389">
    <w:name w:val="正文（绿盟科技）"/>
    <w:link w:val="388"/>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qFormat/>
    <w:uiPriority w:val="6"/>
    <w:rPr>
      <w:rFonts w:ascii="宋体" w:hAnsi="宋体"/>
      <w:i/>
      <w:sz w:val="24"/>
      <w:szCs w:val="24"/>
    </w:rPr>
  </w:style>
  <w:style w:type="character" w:customStyle="1" w:styleId="391">
    <w:name w:val="标题 2 字符"/>
    <w:qFormat/>
    <w:uiPriority w:val="1"/>
    <w:rPr>
      <w:rFonts w:ascii="仿宋_GB2312" w:hAnsi="Times New Roman" w:eastAsia="仿宋_GB2312" w:cs="Times New Roman"/>
      <w:b/>
      <w:kern w:val="2"/>
      <w:sz w:val="24"/>
      <w:lang w:val="zh-CN"/>
    </w:rPr>
  </w:style>
  <w:style w:type="character" w:customStyle="1" w:styleId="392">
    <w:name w:val="Char Char72"/>
    <w:qFormat/>
    <w:uiPriority w:val="0"/>
    <w:rPr>
      <w:rFonts w:eastAsia="宋体"/>
      <w:kern w:val="2"/>
      <w:sz w:val="21"/>
      <w:szCs w:val="24"/>
      <w:lang w:val="en-US" w:eastAsia="zh-CN" w:bidi="ar-SA"/>
    </w:rPr>
  </w:style>
  <w:style w:type="character" w:customStyle="1" w:styleId="393">
    <w:name w:val="正文文本缩进 Char2"/>
    <w:qFormat/>
    <w:uiPriority w:val="0"/>
    <w:rPr>
      <w:rFonts w:ascii="Times New Roman" w:hAnsi="Times New Roman" w:eastAsia="宋体" w:cs="Times New Roman"/>
      <w:snapToGrid w:val="0"/>
      <w:kern w:val="0"/>
      <w:szCs w:val="24"/>
    </w:rPr>
  </w:style>
  <w:style w:type="character" w:customStyle="1" w:styleId="394">
    <w:name w:val="样式2 Char"/>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qFormat/>
    <w:uiPriority w:val="0"/>
    <w:rPr>
      <w:sz w:val="32"/>
    </w:rPr>
  </w:style>
  <w:style w:type="paragraph" w:customStyle="1" w:styleId="396">
    <w:name w:val="表格名称"/>
    <w:basedOn w:val="3"/>
    <w:link w:val="395"/>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qFormat/>
    <w:uiPriority w:val="0"/>
    <w:rPr>
      <w:rFonts w:eastAsia="宋体"/>
      <w:b/>
      <w:sz w:val="24"/>
      <w:lang w:val="en-GB" w:eastAsia="zh-CN" w:bidi="ar-SA"/>
    </w:rPr>
  </w:style>
  <w:style w:type="character" w:customStyle="1" w:styleId="398">
    <w:name w:val="c7 style3"/>
    <w:qFormat/>
    <w:uiPriority w:val="0"/>
  </w:style>
  <w:style w:type="character" w:customStyle="1" w:styleId="399">
    <w:name w:val="正文文本 3 Char1"/>
    <w:qFormat/>
    <w:uiPriority w:val="99"/>
    <w:rPr>
      <w:rFonts w:ascii="Times New Roman" w:hAnsi="Times New Roman" w:eastAsia="宋体" w:cs="Times New Roman"/>
      <w:sz w:val="16"/>
      <w:szCs w:val="16"/>
    </w:rPr>
  </w:style>
  <w:style w:type="character" w:customStyle="1" w:styleId="400">
    <w:name w:val="tw4winInternal"/>
    <w:qFormat/>
    <w:uiPriority w:val="0"/>
    <w:rPr>
      <w:rFonts w:ascii="Courier New" w:hAnsi="Courier New" w:cs="Courier New"/>
      <w:color w:val="FF0000"/>
      <w:lang w:val="en-US" w:eastAsia="zh-CN"/>
    </w:rPr>
  </w:style>
  <w:style w:type="character" w:customStyle="1" w:styleId="401">
    <w:name w:val="shadow11"/>
    <w:qFormat/>
    <w:uiPriority w:val="0"/>
    <w:rPr>
      <w:color w:val="000000"/>
      <w:sz w:val="21"/>
    </w:rPr>
  </w:style>
  <w:style w:type="character" w:customStyle="1" w:styleId="402">
    <w:name w:val="正文非缩进 Char3"/>
    <w:qFormat/>
    <w:uiPriority w:val="0"/>
    <w:rPr>
      <w:rFonts w:ascii="宋体" w:eastAsia="宋体"/>
      <w:snapToGrid w:val="0"/>
      <w:color w:val="000000"/>
      <w:kern w:val="28"/>
      <w:sz w:val="28"/>
      <w:lang w:val="en-US" w:eastAsia="zh-CN" w:bidi="ar-SA"/>
    </w:rPr>
  </w:style>
  <w:style w:type="character" w:customStyle="1" w:styleId="403">
    <w:name w:val="签名 Char1"/>
    <w:qFormat/>
    <w:uiPriority w:val="0"/>
    <w:rPr>
      <w:rFonts w:ascii="Times New Roman" w:hAnsi="Times New Roman" w:eastAsia="宋体" w:cs="Times New Roman"/>
      <w:szCs w:val="24"/>
    </w:rPr>
  </w:style>
  <w:style w:type="character" w:customStyle="1" w:styleId="404">
    <w:name w:val="Char Char18"/>
    <w:qFormat/>
    <w:uiPriority w:val="6"/>
    <w:rPr>
      <w:rFonts w:ascii="宋体" w:hAnsi="宋体"/>
      <w:sz w:val="28"/>
    </w:rPr>
  </w:style>
  <w:style w:type="character" w:customStyle="1" w:styleId="405">
    <w:name w:val="Char Char22"/>
    <w:qFormat/>
    <w:uiPriority w:val="6"/>
    <w:rPr>
      <w:rFonts w:ascii="宋体" w:hAnsi="宋体"/>
      <w:kern w:val="1"/>
      <w:sz w:val="24"/>
      <w:szCs w:val="24"/>
    </w:rPr>
  </w:style>
  <w:style w:type="character" w:customStyle="1" w:styleId="406">
    <w:name w:val="pt141"/>
    <w:qFormat/>
    <w:uiPriority w:val="0"/>
    <w:rPr>
      <w:color w:val="330066"/>
      <w:sz w:val="22"/>
      <w:szCs w:val="22"/>
    </w:rPr>
  </w:style>
  <w:style w:type="character" w:customStyle="1" w:styleId="407">
    <w:name w:val="Char Char611"/>
    <w:qFormat/>
    <w:uiPriority w:val="0"/>
    <w:rPr>
      <w:rFonts w:eastAsia="宋体"/>
      <w:kern w:val="2"/>
      <w:sz w:val="21"/>
      <w:szCs w:val="24"/>
      <w:lang w:val="en-US" w:eastAsia="zh-CN" w:bidi="ar-SA"/>
    </w:rPr>
  </w:style>
  <w:style w:type="character" w:customStyle="1" w:styleId="408">
    <w:name w:val="highlight1"/>
    <w:qFormat/>
    <w:uiPriority w:val="0"/>
    <w:rPr>
      <w:rFonts w:ascii="仿宋_GB2312" w:eastAsia="微软雅黑"/>
      <w:b/>
      <w:kern w:val="2"/>
      <w:sz w:val="23"/>
      <w:szCs w:val="23"/>
      <w:lang w:val="en-US" w:eastAsia="zh-CN" w:bidi="ar-SA"/>
    </w:rPr>
  </w:style>
  <w:style w:type="character" w:customStyle="1" w:styleId="409">
    <w:name w:val="my正文 Char"/>
    <w:link w:val="410"/>
    <w:qFormat/>
    <w:uiPriority w:val="0"/>
    <w:rPr>
      <w:rFonts w:ascii="Tahoma" w:hAnsi="Tahoma"/>
      <w:sz w:val="24"/>
      <w:szCs w:val="24"/>
    </w:rPr>
  </w:style>
  <w:style w:type="paragraph" w:customStyle="1" w:styleId="410">
    <w:name w:val="my正文"/>
    <w:basedOn w:val="1"/>
    <w:link w:val="409"/>
    <w:qFormat/>
    <w:uiPriority w:val="0"/>
    <w:pPr>
      <w:spacing w:line="360" w:lineRule="auto"/>
      <w:ind w:firstLine="480" w:firstLineChars="200"/>
    </w:pPr>
    <w:rPr>
      <w:rFonts w:ascii="Tahoma" w:hAnsi="Tahoma"/>
      <w:kern w:val="0"/>
      <w:sz w:val="24"/>
    </w:rPr>
  </w:style>
  <w:style w:type="character" w:customStyle="1" w:styleId="411">
    <w:name w:val="正文缩进 Char2"/>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qFormat/>
    <w:uiPriority w:val="0"/>
    <w:rPr>
      <w:color w:val="0000FF"/>
      <w:sz w:val="21"/>
    </w:rPr>
  </w:style>
  <w:style w:type="character" w:customStyle="1" w:styleId="413">
    <w:name w:val="FA正文 Char Char"/>
    <w:qFormat/>
    <w:uiPriority w:val="0"/>
    <w:rPr>
      <w:rFonts w:hAnsi="宋体"/>
      <w:kern w:val="2"/>
      <w:sz w:val="24"/>
      <w:lang w:bidi="ar-SA"/>
    </w:rPr>
  </w:style>
  <w:style w:type="character" w:customStyle="1" w:styleId="414">
    <w:name w:val="纯文本 字符"/>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qFormat/>
    <w:uiPriority w:val="0"/>
    <w:rPr>
      <w:rFonts w:ascii="宋体" w:hAnsi="宋体"/>
      <w:b/>
      <w:bCs/>
      <w:sz w:val="28"/>
    </w:rPr>
  </w:style>
  <w:style w:type="paragraph" w:customStyle="1" w:styleId="416">
    <w:name w:val="3级"/>
    <w:basedOn w:val="417"/>
    <w:link w:val="415"/>
    <w:qFormat/>
    <w:uiPriority w:val="0"/>
    <w:pPr>
      <w:ind w:left="0" w:right="466" w:firstLine="288"/>
    </w:pPr>
    <w:rPr>
      <w:rFonts w:hAnsi="宋体"/>
      <w:snapToGrid/>
    </w:rPr>
  </w:style>
  <w:style w:type="paragraph" w:customStyle="1" w:styleId="417">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qFormat/>
    <w:uiPriority w:val="0"/>
    <w:rPr>
      <w:rFonts w:ascii="仿宋_GB2312" w:eastAsia="微软雅黑"/>
      <w:b/>
      <w:kern w:val="2"/>
      <w:sz w:val="32"/>
      <w:szCs w:val="32"/>
      <w:lang w:val="en-US" w:eastAsia="zh-CN" w:bidi="ar-SA"/>
    </w:rPr>
  </w:style>
  <w:style w:type="character" w:customStyle="1" w:styleId="419">
    <w:name w:val="文档结构图 Char1"/>
    <w:qFormat/>
    <w:uiPriority w:val="0"/>
    <w:rPr>
      <w:kern w:val="2"/>
      <w:sz w:val="21"/>
      <w:szCs w:val="24"/>
      <w:shd w:val="clear" w:color="auto" w:fill="000080"/>
    </w:rPr>
  </w:style>
  <w:style w:type="character" w:customStyle="1" w:styleId="420">
    <w:name w:val="H6 Char"/>
    <w:qFormat/>
    <w:uiPriority w:val="0"/>
    <w:rPr>
      <w:rFonts w:ascii="Arial" w:hAnsi="Arial" w:eastAsia="黑体"/>
      <w:b/>
      <w:bCs/>
      <w:kern w:val="2"/>
      <w:sz w:val="24"/>
      <w:szCs w:val="24"/>
    </w:rPr>
  </w:style>
  <w:style w:type="character" w:customStyle="1" w:styleId="421">
    <w:name w:val="Char Char91"/>
    <w:qFormat/>
    <w:uiPriority w:val="0"/>
    <w:rPr>
      <w:rFonts w:eastAsia="宋体"/>
      <w:kern w:val="2"/>
      <w:sz w:val="18"/>
      <w:szCs w:val="18"/>
      <w:lang w:val="en-US" w:eastAsia="zh-CN" w:bidi="ar-SA"/>
    </w:rPr>
  </w:style>
  <w:style w:type="character" w:customStyle="1" w:styleId="422">
    <w:name w:val="副标题 Char1"/>
    <w:qFormat/>
    <w:uiPriority w:val="0"/>
    <w:rPr>
      <w:rFonts w:ascii="Cambria" w:hAnsi="Cambria" w:eastAsia="宋体" w:cs="Times New Roman"/>
      <w:b/>
      <w:bCs/>
      <w:snapToGrid w:val="0"/>
      <w:kern w:val="28"/>
      <w:sz w:val="32"/>
      <w:szCs w:val="32"/>
    </w:rPr>
  </w:style>
  <w:style w:type="character" w:customStyle="1" w:styleId="42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qFormat/>
    <w:uiPriority w:val="0"/>
    <w:rPr>
      <w:rFonts w:eastAsia="宋体"/>
      <w:b/>
      <w:bCs/>
      <w:kern w:val="2"/>
      <w:sz w:val="21"/>
      <w:szCs w:val="24"/>
      <w:lang w:val="en-US" w:eastAsia="zh-CN" w:bidi="ar-SA"/>
    </w:rPr>
  </w:style>
  <w:style w:type="character" w:customStyle="1" w:styleId="425">
    <w:name w:val="maywed421"/>
    <w:qFormat/>
    <w:uiPriority w:val="0"/>
    <w:rPr>
      <w:color w:val="366FB6"/>
      <w:u w:val="none"/>
    </w:rPr>
  </w:style>
  <w:style w:type="character" w:customStyle="1" w:styleId="426">
    <w:name w:val="Char Char102"/>
    <w:qFormat/>
    <w:uiPriority w:val="0"/>
    <w:rPr>
      <w:rFonts w:ascii="宋体" w:hAnsi="宋体"/>
      <w:kern w:val="2"/>
      <w:sz w:val="21"/>
      <w:szCs w:val="24"/>
      <w:lang w:val="en-US" w:eastAsia="zh-CN"/>
    </w:rPr>
  </w:style>
  <w:style w:type="character" w:customStyle="1" w:styleId="427">
    <w:name w:val="md"/>
    <w:basedOn w:val="70"/>
    <w:qFormat/>
    <w:uiPriority w:val="0"/>
    <w:rPr>
      <w:rFonts w:ascii="Arial" w:hAnsi="Arial" w:eastAsia="黑体" w:cs="Arial"/>
      <w:snapToGrid w:val="0"/>
      <w:kern w:val="0"/>
      <w:szCs w:val="21"/>
    </w:rPr>
  </w:style>
  <w:style w:type="character" w:customStyle="1" w:styleId="428">
    <w:name w:val="big1"/>
    <w:qFormat/>
    <w:uiPriority w:val="0"/>
    <w:rPr>
      <w:rFonts w:hint="eastAsia" w:ascii="宋体" w:hAnsi="宋体" w:eastAsia="宋体"/>
      <w:color w:val="333333"/>
      <w:sz w:val="22"/>
      <w:szCs w:val="22"/>
    </w:rPr>
  </w:style>
  <w:style w:type="character" w:customStyle="1" w:styleId="429">
    <w:name w:val="Char Char311"/>
    <w:qFormat/>
    <w:uiPriority w:val="0"/>
    <w:rPr>
      <w:rFonts w:eastAsia="宋体"/>
      <w:kern w:val="2"/>
      <w:sz w:val="21"/>
      <w:szCs w:val="24"/>
      <w:lang w:val="en-US" w:eastAsia="zh-CN" w:bidi="ar-SA"/>
    </w:rPr>
  </w:style>
  <w:style w:type="character" w:customStyle="1" w:styleId="430">
    <w:name w:val="Char Char81"/>
    <w:qFormat/>
    <w:uiPriority w:val="6"/>
    <w:rPr>
      <w:rFonts w:eastAsia="宋体"/>
      <w:b/>
      <w:sz w:val="24"/>
      <w:lang w:val="en-GB" w:eastAsia="zh-CN"/>
    </w:rPr>
  </w:style>
  <w:style w:type="character" w:customStyle="1" w:styleId="431">
    <w:name w:val="样式3 Char"/>
    <w:basedOn w:val="394"/>
    <w:qFormat/>
    <w:uiPriority w:val="0"/>
    <w:rPr>
      <w:rFonts w:ascii="仿宋_GB2312" w:hAnsi="仿宋" w:eastAsia="仿宋_GB2312" w:cs="仿宋_GB2312"/>
      <w:sz w:val="32"/>
      <w:szCs w:val="30"/>
      <w:lang w:val="zh-CN"/>
    </w:rPr>
  </w:style>
  <w:style w:type="character" w:customStyle="1" w:styleId="432">
    <w:name w:val="正文首行缩进 2 Char1"/>
    <w:qFormat/>
    <w:uiPriority w:val="0"/>
    <w:rPr>
      <w:rFonts w:ascii="Times New Roman" w:hAnsi="Times New Roman" w:eastAsia="宋体" w:cs="Times New Roman"/>
      <w:kern w:val="2"/>
      <w:sz w:val="24"/>
      <w:szCs w:val="24"/>
    </w:rPr>
  </w:style>
  <w:style w:type="character" w:customStyle="1" w:styleId="433">
    <w:name w:val="副标题 Char2"/>
    <w:qFormat/>
    <w:uiPriority w:val="0"/>
    <w:rPr>
      <w:rFonts w:ascii="Cambria" w:hAnsi="Cambria" w:eastAsia="宋体" w:cs="Times New Roman"/>
      <w:b/>
      <w:bCs/>
      <w:snapToGrid w:val="0"/>
      <w:kern w:val="28"/>
      <w:sz w:val="32"/>
      <w:szCs w:val="32"/>
    </w:rPr>
  </w:style>
  <w:style w:type="character" w:customStyle="1" w:styleId="434">
    <w:name w:val="标题4-dyf Char"/>
    <w:link w:val="435"/>
    <w:qFormat/>
    <w:uiPriority w:val="0"/>
    <w:rPr>
      <w:rFonts w:ascii="Cambria" w:hAnsi="Cambria"/>
      <w:b/>
      <w:bCs/>
      <w:color w:val="000000"/>
      <w:kern w:val="2"/>
      <w:sz w:val="21"/>
      <w:szCs w:val="21"/>
    </w:rPr>
  </w:style>
  <w:style w:type="paragraph" w:customStyle="1" w:styleId="435">
    <w:name w:val="标题4-dyf"/>
    <w:basedOn w:val="6"/>
    <w:link w:val="434"/>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qFormat/>
    <w:uiPriority w:val="0"/>
    <w:rPr>
      <w:rFonts w:ascii="宋体" w:hAnsi="宋体" w:eastAsia="宋体"/>
      <w:color w:val="333333"/>
      <w:sz w:val="21"/>
      <w:szCs w:val="21"/>
      <w:u w:val="none"/>
    </w:rPr>
  </w:style>
  <w:style w:type="character" w:customStyle="1" w:styleId="437">
    <w:name w:val="冯 Char"/>
    <w:link w:val="438"/>
    <w:qFormat/>
    <w:uiPriority w:val="0"/>
    <w:rPr>
      <w:rFonts w:ascii="宋体" w:hAnsi="宋体"/>
      <w:color w:val="000000"/>
      <w:sz w:val="24"/>
      <w:szCs w:val="24"/>
    </w:rPr>
  </w:style>
  <w:style w:type="paragraph" w:customStyle="1" w:styleId="438">
    <w:name w:val="冯"/>
    <w:basedOn w:val="1"/>
    <w:link w:val="437"/>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qFormat/>
    <w:uiPriority w:val="0"/>
    <w:rPr>
      <w:rFonts w:eastAsia="宋体"/>
      <w:kern w:val="2"/>
      <w:sz w:val="18"/>
      <w:szCs w:val="18"/>
      <w:lang w:val="en-US" w:eastAsia="zh-CN" w:bidi="ar-SA"/>
    </w:rPr>
  </w:style>
  <w:style w:type="character" w:customStyle="1" w:styleId="440">
    <w:name w:val="普通文字 Char3"/>
    <w:qFormat/>
    <w:uiPriority w:val="0"/>
    <w:rPr>
      <w:rFonts w:ascii="宋体" w:hAnsi="Courier New" w:eastAsia="宋体"/>
      <w:kern w:val="2"/>
      <w:sz w:val="21"/>
      <w:lang w:val="en-US" w:eastAsia="zh-CN" w:bidi="ar-SA"/>
    </w:rPr>
  </w:style>
  <w:style w:type="character" w:customStyle="1" w:styleId="441">
    <w:name w:val="公文正文 Char"/>
    <w:qFormat/>
    <w:uiPriority w:val="0"/>
    <w:rPr>
      <w:rFonts w:ascii="仿宋_GB2312" w:eastAsia="仿宋_GB2312"/>
      <w:kern w:val="2"/>
      <w:sz w:val="24"/>
      <w:szCs w:val="24"/>
      <w:lang w:val="en-US" w:eastAsia="zh-CN" w:bidi="ar-SA"/>
    </w:rPr>
  </w:style>
  <w:style w:type="character" w:customStyle="1" w:styleId="442">
    <w:name w:val="正文首行缩进 Char Char Char Char Char"/>
    <w:qFormat/>
    <w:uiPriority w:val="0"/>
    <w:rPr>
      <w:rFonts w:ascii="宋体"/>
      <w:kern w:val="2"/>
      <w:sz w:val="24"/>
      <w:lang w:val="zh-CN"/>
    </w:rPr>
  </w:style>
  <w:style w:type="character" w:customStyle="1" w:styleId="443">
    <w:name w:val="PI Char"/>
    <w:qFormat/>
    <w:uiPriority w:val="0"/>
    <w:rPr>
      <w:rFonts w:ascii="宋体" w:hAnsi="宋体" w:eastAsia="宋体"/>
      <w:kern w:val="2"/>
      <w:sz w:val="24"/>
      <w:szCs w:val="24"/>
      <w:lang w:val="en-US" w:eastAsia="zh-CN" w:bidi="ar-SA"/>
    </w:rPr>
  </w:style>
  <w:style w:type="character" w:customStyle="1" w:styleId="444">
    <w:name w:val="style91"/>
    <w:qFormat/>
    <w:uiPriority w:val="0"/>
    <w:rPr>
      <w:color w:val="333333"/>
    </w:rPr>
  </w:style>
  <w:style w:type="character" w:customStyle="1" w:styleId="445">
    <w:name w:val="列出段落 Char2"/>
    <w:qFormat/>
    <w:uiPriority w:val="34"/>
    <w:rPr>
      <w:rFonts w:ascii="Calibri" w:hAnsi="Calibri"/>
      <w:kern w:val="2"/>
      <w:sz w:val="28"/>
    </w:rPr>
  </w:style>
  <w:style w:type="character" w:customStyle="1" w:styleId="446">
    <w:name w:val="mdeck"/>
    <w:qFormat/>
    <w:uiPriority w:val="0"/>
    <w:rPr>
      <w:rFonts w:ascii="仿宋_GB2312" w:eastAsia="微软雅黑"/>
      <w:b/>
      <w:kern w:val="2"/>
      <w:sz w:val="32"/>
      <w:szCs w:val="32"/>
      <w:lang w:val="en-US" w:eastAsia="zh-CN" w:bidi="ar-SA"/>
    </w:rPr>
  </w:style>
  <w:style w:type="character" w:customStyle="1" w:styleId="447">
    <w:name w:val="unnamed11"/>
    <w:qFormat/>
    <w:uiPriority w:val="0"/>
    <w:rPr>
      <w:sz w:val="20"/>
      <w:szCs w:val="20"/>
    </w:rPr>
  </w:style>
  <w:style w:type="character" w:customStyle="1" w:styleId="448">
    <w:name w:val="正文文本 Char2"/>
    <w:qFormat/>
    <w:uiPriority w:val="99"/>
    <w:rPr>
      <w:rFonts w:ascii="Times New Roman" w:hAnsi="Times New Roman" w:eastAsia="宋体" w:cs="Times New Roman"/>
      <w:snapToGrid w:val="0"/>
      <w:kern w:val="0"/>
      <w:szCs w:val="24"/>
    </w:rPr>
  </w:style>
  <w:style w:type="character" w:customStyle="1" w:styleId="449">
    <w:name w:val="标书正文格式 Char"/>
    <w:qFormat/>
    <w:uiPriority w:val="0"/>
    <w:rPr>
      <w:rFonts w:eastAsia="楷体_GB2312"/>
      <w:kern w:val="2"/>
      <w:sz w:val="24"/>
      <w:szCs w:val="24"/>
      <w:lang w:bidi="ar-SA"/>
    </w:rPr>
  </w:style>
  <w:style w:type="character" w:customStyle="1" w:styleId="450">
    <w:name w:val="ca-131"/>
    <w:qFormat/>
    <w:uiPriority w:val="0"/>
    <w:rPr>
      <w:rFonts w:hint="eastAsia" w:ascii="仿宋_GB2312" w:eastAsia="仿宋_GB2312"/>
      <w:b/>
      <w:bCs/>
      <w:color w:val="000000"/>
      <w:spacing w:val="-20"/>
      <w:sz w:val="24"/>
      <w:szCs w:val="24"/>
    </w:rPr>
  </w:style>
  <w:style w:type="character" w:customStyle="1" w:styleId="451">
    <w:name w:val="tw4winMark"/>
    <w:qFormat/>
    <w:uiPriority w:val="0"/>
    <w:rPr>
      <w:rFonts w:ascii="Courier New" w:hAnsi="Courier New" w:cs="Courier New"/>
      <w:vanish/>
      <w:color w:val="800080"/>
      <w:sz w:val="24"/>
      <w:szCs w:val="24"/>
      <w:vertAlign w:val="subscript"/>
    </w:rPr>
  </w:style>
  <w:style w:type="character" w:customStyle="1" w:styleId="452">
    <w:name w:val="正文样式 Char"/>
    <w:link w:val="453"/>
    <w:qFormat/>
    <w:uiPriority w:val="0"/>
    <w:rPr>
      <w:rFonts w:ascii="Calibri" w:hAnsi="Calibri"/>
      <w:sz w:val="24"/>
      <w:szCs w:val="24"/>
    </w:rPr>
  </w:style>
  <w:style w:type="paragraph" w:customStyle="1" w:styleId="453">
    <w:name w:val="正文样式"/>
    <w:basedOn w:val="1"/>
    <w:link w:val="452"/>
    <w:qFormat/>
    <w:uiPriority w:val="0"/>
    <w:pPr>
      <w:spacing w:line="360" w:lineRule="auto"/>
      <w:ind w:firstLine="480" w:firstLineChars="200"/>
    </w:pPr>
    <w:rPr>
      <w:rFonts w:ascii="Calibri" w:hAnsi="Calibri"/>
      <w:kern w:val="0"/>
      <w:sz w:val="24"/>
    </w:rPr>
  </w:style>
  <w:style w:type="character" w:customStyle="1" w:styleId="454">
    <w:name w:val="表正文 Char3"/>
    <w:qFormat/>
    <w:uiPriority w:val="0"/>
    <w:rPr>
      <w:rFonts w:eastAsia="宋体"/>
    </w:rPr>
  </w:style>
  <w:style w:type="character" w:customStyle="1" w:styleId="455">
    <w:name w:val="正文 编号 Char"/>
    <w:qFormat/>
    <w:uiPriority w:val="0"/>
    <w:rPr>
      <w:rFonts w:ascii="仿宋_GB2312" w:hAnsi="仿宋_GB2312" w:eastAsia="仿宋_GB2312"/>
      <w:kern w:val="2"/>
      <w:sz w:val="24"/>
      <w:lang w:bidi="ar-SA"/>
    </w:rPr>
  </w:style>
  <w:style w:type="character" w:customStyle="1" w:styleId="456">
    <w:name w:val="question-title2"/>
    <w:qFormat/>
    <w:uiPriority w:val="6"/>
    <w:rPr>
      <w:rFonts w:ascii="Arial" w:hAnsi="Arial" w:eastAsia="黑体" w:cs="Arial"/>
      <w:snapToGrid w:val="0"/>
      <w:kern w:val="0"/>
      <w:szCs w:val="21"/>
    </w:rPr>
  </w:style>
  <w:style w:type="character" w:customStyle="1" w:styleId="457">
    <w:name w:val="gf正文1 Char Char"/>
    <w:link w:val="458"/>
    <w:qFormat/>
    <w:uiPriority w:val="0"/>
    <w:rPr>
      <w:rFonts w:ascii="宋体" w:hAnsi="宋体" w:cs="宋体"/>
      <w:kern w:val="2"/>
      <w:sz w:val="24"/>
      <w:szCs w:val="24"/>
    </w:rPr>
  </w:style>
  <w:style w:type="paragraph" w:customStyle="1" w:styleId="458">
    <w:name w:val="gf正文1"/>
    <w:basedOn w:val="1"/>
    <w:link w:val="457"/>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qFormat/>
    <w:uiPriority w:val="6"/>
    <w:rPr>
      <w:rFonts w:ascii="宋体" w:hAnsi="宋体"/>
      <w:kern w:val="1"/>
      <w:sz w:val="21"/>
    </w:rPr>
  </w:style>
  <w:style w:type="character" w:customStyle="1" w:styleId="460">
    <w:name w:val="正文缩进 Char3"/>
    <w:qFormat/>
    <w:uiPriority w:val="0"/>
    <w:rPr>
      <w:rFonts w:ascii="宋体" w:eastAsia="宋体"/>
      <w:snapToGrid w:val="0"/>
      <w:color w:val="000000"/>
      <w:kern w:val="28"/>
      <w:sz w:val="28"/>
      <w:lang w:val="en-US" w:eastAsia="zh-CN" w:bidi="ar-SA"/>
    </w:rPr>
  </w:style>
  <w:style w:type="character" w:customStyle="1" w:styleId="461">
    <w:name w:val="列出段落 Char1"/>
    <w:link w:val="462"/>
    <w:qFormat/>
    <w:uiPriority w:val="0"/>
    <w:rPr>
      <w:rFonts w:ascii="Calibri" w:hAnsi="Calibri"/>
      <w:sz w:val="24"/>
      <w:lang w:eastAsia="en-US"/>
    </w:rPr>
  </w:style>
  <w:style w:type="paragraph" w:customStyle="1" w:styleId="462">
    <w:name w:val="列表1"/>
    <w:basedOn w:val="1"/>
    <w:next w:val="120"/>
    <w:link w:val="461"/>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qFormat/>
    <w:uiPriority w:val="0"/>
    <w:rPr>
      <w:rFonts w:eastAsia="宋体"/>
      <w:kern w:val="2"/>
      <w:sz w:val="21"/>
      <w:lang w:val="en-US" w:eastAsia="zh-CN" w:bidi="ar-SA"/>
    </w:rPr>
  </w:style>
  <w:style w:type="character" w:customStyle="1" w:styleId="464">
    <w:name w:val="列表段落 字符"/>
    <w:qFormat/>
    <w:uiPriority w:val="99"/>
  </w:style>
  <w:style w:type="character" w:customStyle="1" w:styleId="465">
    <w:name w:val="Ò³Ã¼ Char Char1"/>
    <w:qFormat/>
    <w:uiPriority w:val="0"/>
    <w:rPr>
      <w:rFonts w:eastAsia="宋体"/>
      <w:kern w:val="2"/>
      <w:sz w:val="18"/>
      <w:szCs w:val="18"/>
      <w:lang w:val="en-US" w:eastAsia="zh-CN" w:bidi="ar-SA"/>
    </w:rPr>
  </w:style>
  <w:style w:type="character" w:customStyle="1" w:styleId="466">
    <w:name w:val="方案正文 Char"/>
    <w:qFormat/>
    <w:uiPriority w:val="0"/>
    <w:rPr>
      <w:rFonts w:ascii="仿宋_GB2312" w:eastAsia="仿宋_GB2312"/>
      <w:b/>
      <w:color w:val="000000"/>
      <w:kern w:val="2"/>
      <w:sz w:val="24"/>
      <w:lang w:val="en-US" w:eastAsia="zh-CN" w:bidi="ar-SA"/>
    </w:rPr>
  </w:style>
  <w:style w:type="character" w:customStyle="1" w:styleId="467">
    <w:name w:val="Char Char30"/>
    <w:qFormat/>
    <w:uiPriority w:val="6"/>
    <w:rPr>
      <w:rFonts w:ascii="Arial" w:hAnsi="Arial" w:eastAsia="黑体"/>
      <w:kern w:val="1"/>
      <w:sz w:val="21"/>
      <w:szCs w:val="21"/>
    </w:rPr>
  </w:style>
  <w:style w:type="character" w:customStyle="1" w:styleId="468">
    <w:name w:val="正文文本缩进 Char3"/>
    <w:qFormat/>
    <w:uiPriority w:val="0"/>
    <w:rPr>
      <w:rFonts w:ascii="宋体" w:hAnsi="宋体"/>
      <w:kern w:val="2"/>
      <w:sz w:val="24"/>
      <w:szCs w:val="24"/>
    </w:rPr>
  </w:style>
  <w:style w:type="character" w:customStyle="1" w:styleId="469">
    <w:name w:val="Char Char20"/>
    <w:qFormat/>
    <w:uiPriority w:val="6"/>
    <w:rPr>
      <w:kern w:val="1"/>
      <w:sz w:val="24"/>
    </w:rPr>
  </w:style>
  <w:style w:type="character" w:customStyle="1" w:styleId="470">
    <w:name w:val="tw4winExternal"/>
    <w:qFormat/>
    <w:uiPriority w:val="0"/>
    <w:rPr>
      <w:rFonts w:ascii="Courier New" w:hAnsi="Courier New" w:cs="Courier New"/>
      <w:color w:val="808080"/>
      <w:lang w:val="en-US" w:eastAsia="zh-CN"/>
    </w:rPr>
  </w:style>
  <w:style w:type="character" w:customStyle="1" w:styleId="471">
    <w:name w:val="批注文字 Char2"/>
    <w:qFormat/>
    <w:uiPriority w:val="99"/>
    <w:rPr>
      <w:rFonts w:ascii="Times New Roman" w:hAnsi="Times New Roman" w:eastAsia="宋体" w:cs="Times New Roman"/>
      <w:snapToGrid w:val="0"/>
      <w:kern w:val="0"/>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message1"/>
    <w:qFormat/>
    <w:uiPriority w:val="0"/>
    <w:rPr>
      <w:rFonts w:hint="default" w:ascii="Tahoma" w:hAnsi="Tahoma" w:cs="Tahoma"/>
      <w:sz w:val="18"/>
      <w:szCs w:val="18"/>
    </w:rPr>
  </w:style>
  <w:style w:type="character" w:customStyle="1" w:styleId="474">
    <w:name w:val="Char Char23"/>
    <w:qFormat/>
    <w:uiPriority w:val="6"/>
    <w:rPr>
      <w:color w:val="0000FF"/>
      <w:sz w:val="21"/>
    </w:rPr>
  </w:style>
  <w:style w:type="character" w:customStyle="1" w:styleId="475">
    <w:name w:val="批注框文本 字符"/>
    <w:qFormat/>
    <w:uiPriority w:val="0"/>
    <w:rPr>
      <w:rFonts w:ascii="Arial" w:hAnsi="Arial" w:eastAsia="黑体" w:cs="Arial"/>
      <w:snapToGrid w:val="0"/>
      <w:kern w:val="0"/>
      <w:sz w:val="18"/>
      <w:szCs w:val="18"/>
    </w:rPr>
  </w:style>
  <w:style w:type="character" w:customStyle="1" w:styleId="476">
    <w:name w:val="纯文本 Char2"/>
    <w:qFormat/>
    <w:uiPriority w:val="99"/>
    <w:rPr>
      <w:rFonts w:ascii="宋体" w:hAnsi="Courier New" w:eastAsia="宋体" w:cs="Courier New"/>
    </w:rPr>
  </w:style>
  <w:style w:type="character" w:customStyle="1" w:styleId="477">
    <w:name w:val="Char Char25"/>
    <w:qFormat/>
    <w:uiPriority w:val="6"/>
    <w:rPr>
      <w:rFonts w:ascii="宋体" w:hAnsi="宋体"/>
      <w:kern w:val="1"/>
      <w:sz w:val="24"/>
      <w:lang w:val="zh-CN"/>
    </w:rPr>
  </w:style>
  <w:style w:type="character" w:customStyle="1" w:styleId="478">
    <w:name w:val="Char Char411"/>
    <w:qFormat/>
    <w:uiPriority w:val="0"/>
    <w:rPr>
      <w:rFonts w:eastAsia="宋体"/>
      <w:b/>
      <w:sz w:val="24"/>
      <w:lang w:val="en-GB" w:eastAsia="zh-CN" w:bidi="ar-SA"/>
    </w:rPr>
  </w:style>
  <w:style w:type="character" w:customStyle="1" w:styleId="4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0">
    <w:name w:val="此正文 Char"/>
    <w:link w:val="481"/>
    <w:qFormat/>
    <w:uiPriority w:val="0"/>
    <w:rPr>
      <w:kern w:val="2"/>
      <w:sz w:val="24"/>
      <w:szCs w:val="24"/>
    </w:rPr>
  </w:style>
  <w:style w:type="paragraph" w:customStyle="1" w:styleId="481">
    <w:name w:val="此正文"/>
    <w:basedOn w:val="1"/>
    <w:link w:val="480"/>
    <w:qFormat/>
    <w:uiPriority w:val="0"/>
    <w:pPr>
      <w:spacing w:line="360" w:lineRule="auto"/>
      <w:ind w:firstLine="200" w:firstLineChars="200"/>
    </w:pPr>
    <w:rPr>
      <w:sz w:val="24"/>
    </w:rPr>
  </w:style>
  <w:style w:type="character" w:customStyle="1" w:styleId="482">
    <w:name w:val="Char Char2"/>
    <w:qFormat/>
    <w:uiPriority w:val="0"/>
    <w:rPr>
      <w:rFonts w:eastAsia="宋体"/>
      <w:b/>
      <w:bCs/>
      <w:kern w:val="2"/>
      <w:sz w:val="21"/>
      <w:szCs w:val="24"/>
      <w:lang w:val="en-US" w:eastAsia="zh-CN" w:bidi="ar-SA"/>
    </w:rPr>
  </w:style>
  <w:style w:type="character" w:customStyle="1" w:styleId="483">
    <w:name w:val="Footer-Even Char1"/>
    <w:qFormat/>
    <w:uiPriority w:val="0"/>
    <w:rPr>
      <w:rFonts w:eastAsia="宋体"/>
      <w:kern w:val="2"/>
      <w:sz w:val="18"/>
      <w:szCs w:val="18"/>
      <w:lang w:val="en-US" w:eastAsia="zh-CN" w:bidi="ar-SA"/>
    </w:rPr>
  </w:style>
  <w:style w:type="character" w:customStyle="1" w:styleId="484">
    <w:name w:val="Char Char29"/>
    <w:qFormat/>
    <w:uiPriority w:val="6"/>
    <w:rPr>
      <w:rFonts w:ascii="Arial" w:hAnsi="Arial" w:eastAsia="微软雅黑"/>
      <w:b/>
      <w:kern w:val="1"/>
      <w:sz w:val="44"/>
      <w:szCs w:val="32"/>
      <w:lang w:val="en-US" w:eastAsia="zh-CN" w:bidi="ar-SA"/>
    </w:rPr>
  </w:style>
  <w:style w:type="character" w:customStyle="1" w:styleId="485">
    <w:name w:val="标题 Char2"/>
    <w:qFormat/>
    <w:uiPriority w:val="10"/>
    <w:rPr>
      <w:b/>
      <w:sz w:val="24"/>
      <w:lang w:val="en-GB"/>
    </w:rPr>
  </w:style>
  <w:style w:type="character" w:customStyle="1" w:styleId="486">
    <w:name w:val="font81"/>
    <w:qFormat/>
    <w:uiPriority w:val="0"/>
    <w:rPr>
      <w:rFonts w:ascii="微软雅黑" w:hAnsi="微软雅黑" w:eastAsia="微软雅黑" w:cs="微软雅黑"/>
      <w:color w:val="000000"/>
      <w:sz w:val="20"/>
      <w:szCs w:val="20"/>
      <w:u w:val="none"/>
    </w:rPr>
  </w:style>
  <w:style w:type="character" w:customStyle="1" w:styleId="487">
    <w:name w:val="Char Char312"/>
    <w:qFormat/>
    <w:uiPriority w:val="0"/>
    <w:rPr>
      <w:rFonts w:ascii="Times New Roman" w:hAnsi="Times New Roman" w:eastAsia="宋体" w:cs="Times New Roman"/>
      <w:b/>
      <w:kern w:val="2"/>
      <w:sz w:val="32"/>
      <w:szCs w:val="24"/>
      <w:lang w:val="en-US" w:eastAsia="zh-CN" w:bidi="ar-SA"/>
    </w:rPr>
  </w:style>
  <w:style w:type="character" w:customStyle="1" w:styleId="488">
    <w:name w:val="t21"/>
    <w:qFormat/>
    <w:uiPriority w:val="0"/>
    <w:rPr>
      <w:rFonts w:ascii="仿宋_GB2312" w:eastAsia="微软雅黑"/>
      <w:b/>
      <w:kern w:val="2"/>
      <w:sz w:val="23"/>
      <w:szCs w:val="23"/>
      <w:lang w:val="en-US" w:eastAsia="zh-CN" w:bidi="ar-SA"/>
    </w:rPr>
  </w:style>
  <w:style w:type="character" w:customStyle="1" w:styleId="489">
    <w:name w:val="样式8 Char"/>
    <w:qFormat/>
    <w:uiPriority w:val="0"/>
    <w:rPr>
      <w:rFonts w:ascii="仿宋_GB2312" w:hAnsi="宋体" w:eastAsia="仿宋_GB2312"/>
      <w:b/>
      <w:bCs/>
      <w:kern w:val="2"/>
      <w:sz w:val="24"/>
      <w:szCs w:val="24"/>
    </w:rPr>
  </w:style>
  <w:style w:type="character" w:customStyle="1" w:styleId="490">
    <w:name w:val="正文文本 字符1"/>
    <w:qFormat/>
    <w:uiPriority w:val="0"/>
    <w:rPr>
      <w:rFonts w:ascii="Calibri" w:hAnsi="Calibri" w:eastAsia="黑体" w:cs="Arial"/>
      <w:snapToGrid w:val="0"/>
      <w:kern w:val="2"/>
      <w:sz w:val="28"/>
      <w:szCs w:val="21"/>
    </w:rPr>
  </w:style>
  <w:style w:type="character" w:customStyle="1" w:styleId="491">
    <w:name w:val="带编号样式 Char"/>
    <w:qFormat/>
    <w:uiPriority w:val="0"/>
    <w:rPr>
      <w:rFonts w:ascii="仿宋_GB2312" w:eastAsia="仿宋_GB2312"/>
      <w:color w:val="000000"/>
      <w:sz w:val="24"/>
      <w:lang w:bidi="ar-SA"/>
    </w:rPr>
  </w:style>
  <w:style w:type="character" w:customStyle="1" w:styleId="492">
    <w:name w:val="unnamed31"/>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qFormat/>
    <w:uiPriority w:val="0"/>
    <w:rPr>
      <w:rFonts w:ascii="宋体" w:eastAsia="宋体"/>
      <w:kern w:val="2"/>
      <w:sz w:val="24"/>
      <w:szCs w:val="24"/>
      <w:lang w:val="zh-CN" w:bidi="ar-SA"/>
    </w:rPr>
  </w:style>
  <w:style w:type="character" w:customStyle="1" w:styleId="494">
    <w:name w:val="文本正文 Char Char"/>
    <w:qFormat/>
    <w:uiPriority w:val="0"/>
    <w:rPr>
      <w:sz w:val="24"/>
      <w:lang w:bidi="ar-SA"/>
    </w:rPr>
  </w:style>
  <w:style w:type="character" w:customStyle="1" w:styleId="495">
    <w:name w:val="正文缩进 字符"/>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qFormat/>
    <w:uiPriority w:val="0"/>
    <w:pPr>
      <w:tabs>
        <w:tab w:val="left" w:pos="2356"/>
      </w:tabs>
    </w:pPr>
    <w:rPr>
      <w:lang w:val="en-US"/>
    </w:rPr>
  </w:style>
  <w:style w:type="paragraph" w:customStyle="1" w:styleId="498">
    <w:name w:val="样式 标题 4h4H4Fab-4T5Ref Heading 1rh1Heading sqlsect 1.2.3...."/>
    <w:basedOn w:val="6"/>
    <w:link w:val="578"/>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qFormat/>
    <w:uiPriority w:val="0"/>
    <w:rPr>
      <w:rFonts w:ascii="宋体" w:eastAsia="宋体"/>
      <w:snapToGrid w:val="0"/>
      <w:color w:val="000000"/>
      <w:kern w:val="28"/>
      <w:sz w:val="28"/>
      <w:lang w:val="en-US" w:eastAsia="zh-CN" w:bidi="ar-SA"/>
    </w:rPr>
  </w:style>
  <w:style w:type="character" w:customStyle="1" w:styleId="500">
    <w:name w:val="Char Char5"/>
    <w:qFormat/>
    <w:uiPriority w:val="0"/>
    <w:rPr>
      <w:rFonts w:ascii="宋体" w:hAnsi="Courier New" w:eastAsia="宋体"/>
      <w:kern w:val="2"/>
      <w:sz w:val="21"/>
      <w:lang w:val="en-US" w:eastAsia="zh-CN"/>
    </w:rPr>
  </w:style>
  <w:style w:type="character" w:customStyle="1" w:styleId="501">
    <w:name w:val="称呼 Char1"/>
    <w:qFormat/>
    <w:uiPriority w:val="0"/>
    <w:rPr>
      <w:rFonts w:ascii="Times New Roman" w:hAnsi="Times New Roman" w:eastAsia="宋体" w:cs="Times New Roman"/>
      <w:szCs w:val="24"/>
    </w:rPr>
  </w:style>
  <w:style w:type="character" w:customStyle="1" w:styleId="502">
    <w:name w:val="正文1 Char"/>
    <w:qFormat/>
    <w:uiPriority w:val="0"/>
    <w:rPr>
      <w:rFonts w:ascii="宋体" w:eastAsia="宋体"/>
      <w:snapToGrid w:val="0"/>
      <w:color w:val="000000"/>
      <w:kern w:val="28"/>
      <w:sz w:val="28"/>
      <w:lang w:val="en-US" w:eastAsia="zh-CN" w:bidi="ar-SA"/>
    </w:rPr>
  </w:style>
  <w:style w:type="character" w:customStyle="1" w:styleId="503">
    <w:name w:val="正文缩进 Char1"/>
    <w:qFormat/>
    <w:uiPriority w:val="0"/>
    <w:rPr>
      <w:rFonts w:ascii="宋体" w:eastAsia="宋体"/>
      <w:snapToGrid w:val="0"/>
      <w:color w:val="000000"/>
      <w:kern w:val="28"/>
      <w:sz w:val="28"/>
      <w:lang w:val="en-US" w:eastAsia="zh-CN" w:bidi="ar-SA"/>
    </w:rPr>
  </w:style>
  <w:style w:type="character" w:customStyle="1" w:styleId="504">
    <w:name w:val="Char Char26"/>
    <w:qFormat/>
    <w:uiPriority w:val="6"/>
    <w:rPr>
      <w:kern w:val="1"/>
      <w:sz w:val="21"/>
      <w:szCs w:val="24"/>
    </w:rPr>
  </w:style>
  <w:style w:type="character" w:customStyle="1" w:styleId="505">
    <w:name w:val="Item List Char"/>
    <w:link w:val="506"/>
    <w:qFormat/>
    <w:uiPriority w:val="0"/>
    <w:rPr>
      <w:rFonts w:ascii="Arial"/>
      <w:bCs/>
      <w:sz w:val="21"/>
      <w:szCs w:val="21"/>
    </w:rPr>
  </w:style>
  <w:style w:type="paragraph" w:customStyle="1" w:styleId="506">
    <w:name w:val="Item List"/>
    <w:link w:val="50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qFormat/>
    <w:uiPriority w:val="0"/>
    <w:rPr>
      <w:rFonts w:ascii="Times New Roman" w:hAnsi="Times New Roman" w:eastAsia="宋体" w:cs="Times New Roman"/>
      <w:sz w:val="18"/>
      <w:szCs w:val="18"/>
    </w:rPr>
  </w:style>
  <w:style w:type="character" w:customStyle="1" w:styleId="508">
    <w:name w:val="h3 Char"/>
    <w:qFormat/>
    <w:uiPriority w:val="0"/>
    <w:rPr>
      <w:rFonts w:eastAsia="宋体"/>
      <w:b/>
      <w:kern w:val="2"/>
      <w:sz w:val="32"/>
      <w:lang w:val="en-US" w:eastAsia="zh-CN" w:bidi="ar-SA"/>
    </w:rPr>
  </w:style>
  <w:style w:type="character" w:customStyle="1" w:styleId="509">
    <w:name w:val="dandyren_title1"/>
    <w:qFormat/>
    <w:uiPriority w:val="0"/>
    <w:rPr>
      <w:b/>
      <w:bCs/>
      <w:color w:val="FF6633"/>
      <w:sz w:val="18"/>
      <w:szCs w:val="18"/>
    </w:rPr>
  </w:style>
  <w:style w:type="character" w:customStyle="1" w:styleId="510">
    <w:name w:val="Char Char31"/>
    <w:qFormat/>
    <w:uiPriority w:val="6"/>
    <w:rPr>
      <w:rFonts w:ascii="Arial" w:hAnsi="Arial" w:eastAsia="黑体"/>
      <w:kern w:val="1"/>
      <w:sz w:val="24"/>
      <w:szCs w:val="24"/>
    </w:rPr>
  </w:style>
  <w:style w:type="character" w:customStyle="1" w:styleId="511">
    <w:name w:val="h Char1"/>
    <w:qFormat/>
    <w:uiPriority w:val="0"/>
    <w:rPr>
      <w:sz w:val="18"/>
      <w:szCs w:val="18"/>
    </w:rPr>
  </w:style>
  <w:style w:type="character" w:customStyle="1" w:styleId="512">
    <w:name w:val="solutionfonts"/>
    <w:qFormat/>
    <w:uiPriority w:val="0"/>
  </w:style>
  <w:style w:type="character" w:customStyle="1" w:styleId="513">
    <w:name w:val="标题 4 Char2"/>
    <w:qFormat/>
    <w:uiPriority w:val="9"/>
    <w:rPr>
      <w:rFonts w:ascii="Arial" w:hAnsi="Arial" w:eastAsia="黑体"/>
      <w:b/>
      <w:bCs/>
      <w:kern w:val="2"/>
      <w:sz w:val="28"/>
      <w:szCs w:val="28"/>
      <w:lang w:val="zh-CN"/>
    </w:rPr>
  </w:style>
  <w:style w:type="character" w:customStyle="1" w:styleId="514">
    <w:name w:val="首行缩进 Char"/>
    <w:qFormat/>
    <w:uiPriority w:val="0"/>
    <w:rPr>
      <w:rFonts w:ascii="宋体" w:eastAsia="宋体"/>
      <w:kern w:val="2"/>
      <w:sz w:val="24"/>
      <w:lang w:val="en-US" w:eastAsia="zh-CN" w:bidi="ar-SA"/>
    </w:rPr>
  </w:style>
  <w:style w:type="character" w:customStyle="1" w:styleId="515">
    <w:name w:val="Char Char52"/>
    <w:qFormat/>
    <w:uiPriority w:val="0"/>
    <w:rPr>
      <w:rFonts w:ascii="宋体" w:hAnsi="Courier New" w:eastAsia="宋体"/>
      <w:kern w:val="2"/>
      <w:sz w:val="21"/>
      <w:lang w:val="en-US" w:eastAsia="zh-CN"/>
    </w:rPr>
  </w:style>
  <w:style w:type="character" w:customStyle="1" w:styleId="516">
    <w:name w:val="font31"/>
    <w:qFormat/>
    <w:uiPriority w:val="0"/>
    <w:rPr>
      <w:rFonts w:hint="eastAsia" w:ascii="仿宋" w:hAnsi="仿宋" w:eastAsia="仿宋" w:cs="仿宋"/>
      <w:color w:val="000000"/>
      <w:sz w:val="20"/>
      <w:szCs w:val="20"/>
      <w:u w:val="none"/>
    </w:rPr>
  </w:style>
  <w:style w:type="character" w:customStyle="1" w:styleId="517">
    <w:name w:val="正文说明 Char"/>
    <w:link w:val="518"/>
    <w:qFormat/>
    <w:uiPriority w:val="0"/>
    <w:rPr>
      <w:sz w:val="24"/>
      <w:szCs w:val="24"/>
    </w:rPr>
  </w:style>
  <w:style w:type="paragraph" w:customStyle="1" w:styleId="518">
    <w:name w:val="正文说明"/>
    <w:basedOn w:val="1"/>
    <w:link w:val="517"/>
    <w:qFormat/>
    <w:uiPriority w:val="0"/>
    <w:pPr>
      <w:spacing w:line="360" w:lineRule="auto"/>
    </w:pPr>
    <w:rPr>
      <w:kern w:val="0"/>
      <w:sz w:val="24"/>
    </w:rPr>
  </w:style>
  <w:style w:type="character" w:customStyle="1" w:styleId="519">
    <w:name w:val="脚注文本 Char1"/>
    <w:qFormat/>
    <w:uiPriority w:val="0"/>
    <w:rPr>
      <w:rFonts w:ascii="Times New Roman" w:hAnsi="Times New Roman" w:eastAsia="宋体" w:cs="Times New Roman"/>
      <w:sz w:val="18"/>
      <w:szCs w:val="18"/>
    </w:rPr>
  </w:style>
  <w:style w:type="character" w:customStyle="1" w:styleId="520">
    <w:name w:val="Char Char1211"/>
    <w:qFormat/>
    <w:uiPriority w:val="0"/>
    <w:rPr>
      <w:rFonts w:ascii="仿宋_GB2312" w:eastAsia="仿宋_GB2312"/>
      <w:b/>
      <w:bCs/>
      <w:kern w:val="2"/>
      <w:sz w:val="24"/>
      <w:szCs w:val="24"/>
      <w:lang w:val="zh-CN" w:eastAsia="zh-CN" w:bidi="ar-SA"/>
    </w:rPr>
  </w:style>
  <w:style w:type="character" w:customStyle="1" w:styleId="521">
    <w:name w:val="Char Char35"/>
    <w:qFormat/>
    <w:uiPriority w:val="6"/>
    <w:rPr>
      <w:rFonts w:ascii="Arial" w:hAnsi="Arial" w:eastAsia="黑体"/>
      <w:b/>
      <w:kern w:val="1"/>
      <w:sz w:val="28"/>
      <w:szCs w:val="28"/>
      <w:lang w:val="zh-CN"/>
    </w:rPr>
  </w:style>
  <w:style w:type="character" w:customStyle="1" w:styleId="522">
    <w:name w:val="纯文本 Char Char Char"/>
    <w:qFormat/>
    <w:uiPriority w:val="0"/>
    <w:rPr>
      <w:rFonts w:ascii="宋体" w:hAnsi="Courier New" w:eastAsia="宋体"/>
      <w:kern w:val="2"/>
      <w:sz w:val="21"/>
      <w:lang w:val="en-US" w:eastAsia="zh-CN" w:bidi="ar-SA"/>
    </w:rPr>
  </w:style>
  <w:style w:type="character" w:customStyle="1" w:styleId="523">
    <w:name w:val="Table Text Char"/>
    <w:qFormat/>
    <w:uiPriority w:val="0"/>
    <w:rPr>
      <w:sz w:val="24"/>
      <w:szCs w:val="24"/>
    </w:rPr>
  </w:style>
  <w:style w:type="character" w:customStyle="1" w:styleId="524">
    <w:name w:val="正文1 Char1"/>
    <w:qFormat/>
    <w:uiPriority w:val="0"/>
    <w:rPr>
      <w:rFonts w:ascii="仿宋_GB2312" w:hAnsi="Courier New" w:eastAsia="仿宋_GB2312"/>
      <w:kern w:val="28"/>
      <w:sz w:val="24"/>
      <w:szCs w:val="24"/>
      <w:lang w:val="en-US" w:eastAsia="zh-CN"/>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Bold"/>
    <w:qFormat/>
    <w:uiPriority w:val="0"/>
    <w:rPr>
      <w:rFonts w:ascii="Arial" w:hAnsi="Arial" w:eastAsia="黑体" w:cs="Times New Roman"/>
      <w:b/>
      <w:kern w:val="2"/>
      <w:sz w:val="32"/>
      <w:szCs w:val="32"/>
      <w:lang w:val="en-US" w:eastAsia="zh-CN" w:bidi="ar-SA"/>
    </w:rPr>
  </w:style>
  <w:style w:type="character" w:customStyle="1" w:styleId="527">
    <w:name w:val="hui3"/>
    <w:qFormat/>
    <w:uiPriority w:val="0"/>
    <w:rPr>
      <w:color w:val="333333"/>
    </w:rPr>
  </w:style>
  <w:style w:type="character" w:customStyle="1" w:styleId="528">
    <w:name w:val="Char Char17"/>
    <w:qFormat/>
    <w:uiPriority w:val="6"/>
    <w:rPr>
      <w:rFonts w:eastAsia="仿宋_GB2312"/>
      <w:sz w:val="24"/>
    </w:rPr>
  </w:style>
  <w:style w:type="character" w:customStyle="1" w:styleId="529">
    <w:name w:val="标题 4 字符"/>
    <w:qFormat/>
    <w:uiPriority w:val="9"/>
    <w:rPr>
      <w:rFonts w:ascii="等线 Light" w:hAnsi="等线 Light" w:eastAsia="等线 Light" w:cs="Times New Roman"/>
      <w:b/>
      <w:bCs/>
      <w:snapToGrid w:val="0"/>
      <w:kern w:val="0"/>
      <w:sz w:val="28"/>
      <w:szCs w:val="28"/>
    </w:rPr>
  </w:style>
  <w:style w:type="character" w:customStyle="1" w:styleId="530">
    <w:name w:val="Char Char37"/>
    <w:qFormat/>
    <w:uiPriority w:val="6"/>
    <w:rPr>
      <w:b/>
      <w:kern w:val="1"/>
      <w:sz w:val="44"/>
      <w:szCs w:val="44"/>
    </w:rPr>
  </w:style>
  <w:style w:type="character" w:customStyle="1" w:styleId="531">
    <w:name w:val="正文文本缩进 3 Char1"/>
    <w:qFormat/>
    <w:uiPriority w:val="99"/>
    <w:rPr>
      <w:rFonts w:ascii="Times New Roman" w:hAnsi="Times New Roman" w:eastAsia="宋体" w:cs="Times New Roman"/>
      <w:sz w:val="16"/>
      <w:szCs w:val="16"/>
    </w:rPr>
  </w:style>
  <w:style w:type="character" w:customStyle="1" w:styleId="532">
    <w:name w:val="公文正文 Char Char"/>
    <w:link w:val="533"/>
    <w:qFormat/>
    <w:uiPriority w:val="0"/>
    <w:rPr>
      <w:rFonts w:ascii="仿宋_GB2312" w:eastAsia="仿宋_GB2312"/>
      <w:kern w:val="2"/>
      <w:sz w:val="24"/>
      <w:szCs w:val="24"/>
    </w:rPr>
  </w:style>
  <w:style w:type="paragraph" w:customStyle="1" w:styleId="533">
    <w:name w:val="公文正文"/>
    <w:basedOn w:val="1"/>
    <w:link w:val="532"/>
    <w:qFormat/>
    <w:uiPriority w:val="0"/>
    <w:pPr>
      <w:spacing w:before="156" w:line="360" w:lineRule="auto"/>
      <w:ind w:firstLine="360" w:firstLineChars="200"/>
    </w:pPr>
    <w:rPr>
      <w:rFonts w:ascii="仿宋_GB2312" w:eastAsia="仿宋_GB2312"/>
      <w:sz w:val="24"/>
    </w:rPr>
  </w:style>
  <w:style w:type="character" w:customStyle="1" w:styleId="534">
    <w:name w:val="标题 1 Char Char"/>
    <w:qFormat/>
    <w:uiPriority w:val="0"/>
    <w:rPr>
      <w:rFonts w:hint="eastAsia" w:ascii="宋体" w:hAnsi="宋体" w:eastAsia="宋体"/>
      <w:b/>
      <w:spacing w:val="-2"/>
      <w:sz w:val="24"/>
      <w:lang w:val="en-US" w:eastAsia="zh-CN" w:bidi="ar-SA"/>
    </w:rPr>
  </w:style>
  <w:style w:type="character" w:customStyle="1" w:styleId="535">
    <w:name w:val="标书表格字体格式 Char"/>
    <w:qFormat/>
    <w:uiPriority w:val="0"/>
    <w:rPr>
      <w:kern w:val="2"/>
      <w:sz w:val="21"/>
      <w:szCs w:val="24"/>
      <w:lang w:bidi="ar-SA"/>
    </w:rPr>
  </w:style>
  <w:style w:type="character" w:customStyle="1" w:styleId="536">
    <w:name w:val="tw4winError"/>
    <w:qFormat/>
    <w:uiPriority w:val="0"/>
    <w:rPr>
      <w:rFonts w:ascii="Courier New" w:hAnsi="Courier New" w:cs="Courier New"/>
      <w:color w:val="00FF00"/>
      <w:sz w:val="40"/>
      <w:szCs w:val="40"/>
    </w:rPr>
  </w:style>
  <w:style w:type="character" w:customStyle="1" w:styleId="537">
    <w:name w:val="Body Text(ch) Char Char"/>
    <w:qFormat/>
    <w:uiPriority w:val="0"/>
    <w:rPr>
      <w:rFonts w:ascii="宋体"/>
      <w:kern w:val="2"/>
      <w:sz w:val="24"/>
      <w:szCs w:val="21"/>
      <w:lang w:val="zh-CN"/>
    </w:rPr>
  </w:style>
  <w:style w:type="character" w:customStyle="1" w:styleId="538">
    <w:name w:val="正文首行缩进两字 Char"/>
    <w:qFormat/>
    <w:uiPriority w:val="0"/>
    <w:rPr>
      <w:sz w:val="24"/>
      <w:szCs w:val="24"/>
      <w:lang w:val="en-US" w:eastAsia="zh-CN" w:bidi="ar-SA"/>
    </w:rPr>
  </w:style>
  <w:style w:type="character" w:customStyle="1" w:styleId="539">
    <w:name w:val="文档结构图 字符1"/>
    <w:qFormat/>
    <w:uiPriority w:val="0"/>
    <w:rPr>
      <w:rFonts w:ascii="宋体" w:hAnsi="Calibri" w:eastAsia="黑体" w:cs="Arial"/>
      <w:snapToGrid w:val="0"/>
      <w:kern w:val="2"/>
      <w:sz w:val="18"/>
      <w:szCs w:val="18"/>
    </w:rPr>
  </w:style>
  <w:style w:type="character" w:customStyle="1" w:styleId="540">
    <w:name w:val="content"/>
    <w:qFormat/>
    <w:uiPriority w:val="0"/>
  </w:style>
  <w:style w:type="character" w:customStyle="1" w:styleId="541">
    <w:name w:val="tw4winPopup"/>
    <w:qFormat/>
    <w:uiPriority w:val="0"/>
    <w:rPr>
      <w:rFonts w:ascii="Courier New" w:hAnsi="Courier New" w:cs="Courier New"/>
      <w:color w:val="008000"/>
      <w:lang w:val="en-US" w:eastAsia="zh-CN"/>
    </w:rPr>
  </w:style>
  <w:style w:type="character" w:customStyle="1" w:styleId="542">
    <w:name w:val="标准正文格式 Char"/>
    <w:qFormat/>
    <w:uiPriority w:val="0"/>
    <w:rPr>
      <w:rFonts w:ascii="宋体" w:eastAsia="仿宋_GB2312" w:cs="宋体"/>
      <w:color w:val="000000"/>
      <w:sz w:val="24"/>
      <w:lang w:val="en-US" w:eastAsia="zh-CN" w:bidi="ar-SA"/>
    </w:rPr>
  </w:style>
  <w:style w:type="character" w:customStyle="1" w:styleId="543">
    <w:name w:val="Char Char212"/>
    <w:qFormat/>
    <w:uiPriority w:val="0"/>
    <w:rPr>
      <w:rFonts w:eastAsia="宋体"/>
      <w:b/>
      <w:bCs/>
      <w:kern w:val="2"/>
      <w:sz w:val="21"/>
      <w:szCs w:val="24"/>
      <w:lang w:val="en-US" w:eastAsia="zh-CN" w:bidi="ar-SA"/>
    </w:rPr>
  </w:style>
  <w:style w:type="character" w:customStyle="1" w:styleId="544">
    <w:name w:val="zbggmain style9"/>
    <w:qFormat/>
    <w:uiPriority w:val="0"/>
  </w:style>
  <w:style w:type="character" w:customStyle="1" w:styleId="545">
    <w:name w:val="Char Char16"/>
    <w:qFormat/>
    <w:uiPriority w:val="6"/>
    <w:rPr>
      <w:kern w:val="1"/>
      <w:sz w:val="18"/>
      <w:szCs w:val="18"/>
    </w:rPr>
  </w:style>
  <w:style w:type="character" w:customStyle="1" w:styleId="546">
    <w:name w:val="Char Char82"/>
    <w:qFormat/>
    <w:uiPriority w:val="0"/>
    <w:rPr>
      <w:rFonts w:eastAsia="宋体"/>
      <w:b/>
      <w:sz w:val="24"/>
      <w:lang w:val="en-GB" w:eastAsia="zh-CN"/>
    </w:rPr>
  </w:style>
  <w:style w:type="character" w:customStyle="1" w:styleId="547">
    <w:name w:val="页眉 字符"/>
    <w:qFormat/>
    <w:uiPriority w:val="99"/>
    <w:rPr>
      <w:kern w:val="2"/>
      <w:sz w:val="18"/>
      <w:szCs w:val="18"/>
    </w:rPr>
  </w:style>
  <w:style w:type="character" w:customStyle="1" w:styleId="548">
    <w:name w:val="Char Char33"/>
    <w:qFormat/>
    <w:uiPriority w:val="6"/>
    <w:rPr>
      <w:rFonts w:ascii="Arial" w:hAnsi="Arial" w:eastAsia="黑体"/>
      <w:b/>
      <w:kern w:val="1"/>
      <w:sz w:val="24"/>
      <w:szCs w:val="24"/>
    </w:rPr>
  </w:style>
  <w:style w:type="character" w:customStyle="1" w:styleId="549">
    <w:name w:val="b11_01b Char"/>
    <w:link w:val="550"/>
    <w:qFormat/>
    <w:uiPriority w:val="0"/>
    <w:rPr>
      <w:rFonts w:ascii="Verdana" w:hAnsi="Verdana"/>
      <w:b/>
      <w:bCs/>
      <w:color w:val="4A82CA"/>
      <w:sz w:val="17"/>
      <w:szCs w:val="17"/>
    </w:rPr>
  </w:style>
  <w:style w:type="paragraph" w:customStyle="1" w:styleId="550">
    <w:name w:val="b11_01b"/>
    <w:basedOn w:val="1"/>
    <w:next w:val="1"/>
    <w:link w:val="549"/>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qFormat/>
    <w:uiPriority w:val="6"/>
    <w:rPr>
      <w:rFonts w:ascii="仿宋_GB2312" w:eastAsia="仿宋_GB2312"/>
      <w:b/>
      <w:bCs/>
      <w:kern w:val="2"/>
      <w:sz w:val="24"/>
      <w:szCs w:val="24"/>
      <w:lang w:val="zh-CN" w:eastAsia="zh-CN" w:bidi="ar-SA"/>
    </w:rPr>
  </w:style>
  <w:style w:type="character" w:customStyle="1" w:styleId="552">
    <w:name w:val="Footer-Even Char"/>
    <w:qFormat/>
    <w:uiPriority w:val="0"/>
    <w:rPr>
      <w:rFonts w:eastAsia="宋体"/>
      <w:kern w:val="2"/>
      <w:sz w:val="18"/>
      <w:lang w:val="en-US" w:eastAsia="zh-CN" w:bidi="ar-SA"/>
    </w:rPr>
  </w:style>
  <w:style w:type="character" w:customStyle="1" w:styleId="553">
    <w:name w:val="Char Char36"/>
    <w:qFormat/>
    <w:uiPriority w:val="6"/>
    <w:rPr>
      <w:rFonts w:ascii="仿宋_GB2312" w:hAnsi="仿宋_GB2312" w:eastAsia="仿宋_GB2312" w:cs="Arial"/>
      <w:b/>
      <w:kern w:val="1"/>
      <w:sz w:val="32"/>
      <w:szCs w:val="32"/>
      <w:lang w:val="zh-CN" w:eastAsia="zh-CN" w:bidi="ar-SA"/>
    </w:rPr>
  </w:style>
  <w:style w:type="character" w:customStyle="1" w:styleId="554">
    <w:name w:val="Char Char61"/>
    <w:qFormat/>
    <w:uiPriority w:val="6"/>
    <w:rPr>
      <w:rFonts w:eastAsia="宋体"/>
      <w:kern w:val="2"/>
      <w:sz w:val="21"/>
      <w:szCs w:val="24"/>
      <w:lang w:val="en-US" w:eastAsia="zh-CN" w:bidi="ar-SA"/>
    </w:rPr>
  </w:style>
  <w:style w:type="character" w:customStyle="1" w:styleId="555">
    <w:name w:val="正文文字缩进 2 Char Char"/>
    <w:qFormat/>
    <w:uiPriority w:val="0"/>
    <w:rPr>
      <w:rFonts w:ascii="宋体"/>
      <w:sz w:val="28"/>
    </w:rPr>
  </w:style>
  <w:style w:type="character" w:customStyle="1" w:styleId="556">
    <w:name w:val="f141"/>
    <w:qFormat/>
    <w:uiPriority w:val="0"/>
    <w:rPr>
      <w:rFonts w:ascii="Tahoma" w:hAnsi="Tahoma" w:eastAsia="宋体"/>
      <w:b/>
      <w:kern w:val="2"/>
      <w:sz w:val="21"/>
      <w:szCs w:val="21"/>
      <w:lang w:val="en-US" w:eastAsia="zh-CN" w:bidi="ar-SA"/>
    </w:rPr>
  </w:style>
  <w:style w:type="character" w:customStyle="1" w:styleId="557">
    <w:name w:val="段落 Char Char"/>
    <w:link w:val="558"/>
    <w:qFormat/>
    <w:uiPriority w:val="0"/>
    <w:rPr>
      <w:rFonts w:ascii="宋体" w:hAnsi="宋体"/>
      <w:sz w:val="24"/>
    </w:rPr>
  </w:style>
  <w:style w:type="paragraph" w:customStyle="1" w:styleId="558">
    <w:name w:val="段落"/>
    <w:basedOn w:val="1"/>
    <w:link w:val="557"/>
    <w:qFormat/>
    <w:uiPriority w:val="0"/>
    <w:pPr>
      <w:spacing w:line="360" w:lineRule="auto"/>
      <w:ind w:firstLine="480" w:firstLineChars="200"/>
    </w:pPr>
    <w:rPr>
      <w:rFonts w:ascii="宋体" w:hAnsi="宋体"/>
      <w:kern w:val="0"/>
      <w:sz w:val="24"/>
      <w:szCs w:val="20"/>
    </w:rPr>
  </w:style>
  <w:style w:type="character" w:customStyle="1" w:styleId="559">
    <w:name w:val="标题 3 Char2"/>
    <w:qFormat/>
    <w:uiPriority w:val="0"/>
    <w:rPr>
      <w:rFonts w:eastAsia="宋体"/>
      <w:b/>
      <w:bCs/>
      <w:kern w:val="2"/>
      <w:sz w:val="32"/>
      <w:szCs w:val="32"/>
      <w:lang w:val="en-US" w:eastAsia="zh-CN" w:bidi="ar-SA"/>
    </w:rPr>
  </w:style>
  <w:style w:type="character" w:customStyle="1" w:styleId="560">
    <w:name w:val="apple-converted-space"/>
    <w:qFormat/>
    <w:uiPriority w:val="0"/>
  </w:style>
  <w:style w:type="character" w:customStyle="1" w:styleId="561">
    <w:name w:val="Char Char41"/>
    <w:qFormat/>
    <w:uiPriority w:val="0"/>
    <w:rPr>
      <w:rFonts w:eastAsia="宋体"/>
      <w:b/>
      <w:sz w:val="24"/>
      <w:lang w:val="en-GB" w:eastAsia="zh-CN" w:bidi="ar-SA"/>
    </w:rPr>
  </w:style>
  <w:style w:type="character" w:customStyle="1" w:styleId="562">
    <w:name w:val="large1"/>
    <w:qFormat/>
    <w:uiPriority w:val="0"/>
    <w:rPr>
      <w:rFonts w:hint="eastAsia" w:ascii="宋体" w:hAnsi="宋体" w:eastAsia="宋体"/>
      <w:sz w:val="21"/>
      <w:szCs w:val="21"/>
    </w:rPr>
  </w:style>
  <w:style w:type="character" w:customStyle="1" w:styleId="563">
    <w:name w:val="Char Char13"/>
    <w:qFormat/>
    <w:uiPriority w:val="6"/>
    <w:rPr>
      <w:rFonts w:ascii="宋体" w:hAnsi="宋体"/>
      <w:kern w:val="1"/>
      <w:sz w:val="21"/>
      <w:szCs w:val="24"/>
    </w:rPr>
  </w:style>
  <w:style w:type="character" w:customStyle="1" w:styleId="564">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qFormat/>
    <w:uiPriority w:val="0"/>
    <w:rPr>
      <w:rFonts w:ascii="宋体" w:hAnsi="宋体"/>
      <w:kern w:val="2"/>
      <w:sz w:val="24"/>
      <w:szCs w:val="22"/>
    </w:rPr>
  </w:style>
  <w:style w:type="paragraph" w:customStyle="1" w:styleId="566">
    <w:name w:val="冯广丽"/>
    <w:basedOn w:val="1"/>
    <w:link w:val="565"/>
    <w:qFormat/>
    <w:uiPriority w:val="0"/>
    <w:pPr>
      <w:spacing w:line="360" w:lineRule="auto"/>
      <w:ind w:firstLine="480" w:firstLineChars="200"/>
    </w:pPr>
    <w:rPr>
      <w:rFonts w:ascii="宋体" w:hAnsi="宋体"/>
      <w:sz w:val="24"/>
      <w:szCs w:val="22"/>
    </w:rPr>
  </w:style>
  <w:style w:type="character" w:customStyle="1" w:styleId="567">
    <w:name w:val="批注文字 字符"/>
    <w:qFormat/>
    <w:uiPriority w:val="0"/>
    <w:rPr>
      <w:rFonts w:ascii="Arial" w:hAnsi="Arial" w:eastAsia="黑体" w:cs="Arial"/>
      <w:snapToGrid w:val="0"/>
      <w:kern w:val="0"/>
      <w:szCs w:val="21"/>
    </w:rPr>
  </w:style>
  <w:style w:type="character" w:customStyle="1" w:styleId="568">
    <w:name w:val="Char Char161"/>
    <w:qFormat/>
    <w:uiPriority w:val="0"/>
    <w:rPr>
      <w:rFonts w:eastAsia="宋体"/>
      <w:b/>
      <w:kern w:val="2"/>
      <w:sz w:val="32"/>
      <w:lang w:val="en-US" w:eastAsia="zh-CN"/>
    </w:rPr>
  </w:style>
  <w:style w:type="character" w:customStyle="1" w:styleId="569">
    <w:name w:val="javascript"/>
    <w:qFormat/>
    <w:uiPriority w:val="0"/>
  </w:style>
  <w:style w:type="character" w:customStyle="1" w:styleId="570">
    <w:name w:val="图名 Char"/>
    <w:qFormat/>
    <w:uiPriority w:val="0"/>
    <w:rPr>
      <w:rFonts w:ascii="Arial" w:hAnsi="Arial" w:eastAsia="黑体"/>
      <w:kern w:val="2"/>
      <w:sz w:val="24"/>
      <w:szCs w:val="24"/>
      <w:lang w:val="en-US" w:eastAsia="zh-CN" w:bidi="ar-SA"/>
    </w:rPr>
  </w:style>
  <w:style w:type="character" w:customStyle="1" w:styleId="571">
    <w:name w:val="Used by Word for text of Help footnotes Char Char"/>
    <w:qFormat/>
    <w:uiPriority w:val="0"/>
    <w:rPr>
      <w:rFonts w:ascii="Times New Roman" w:hAnsi="Times New Roman" w:eastAsia="宋体" w:cs="Times New Roman"/>
      <w:sz w:val="20"/>
      <w:szCs w:val="20"/>
    </w:rPr>
  </w:style>
  <w:style w:type="character" w:customStyle="1" w:styleId="572">
    <w:name w:val="编号，小四 Char"/>
    <w:link w:val="573"/>
    <w:qFormat/>
    <w:uiPriority w:val="0"/>
    <w:rPr>
      <w:rFonts w:ascii="Arial" w:hAnsi="Arial"/>
      <w:sz w:val="24"/>
    </w:rPr>
  </w:style>
  <w:style w:type="paragraph" w:customStyle="1" w:styleId="573">
    <w:name w:val="编号，小四"/>
    <w:basedOn w:val="1"/>
    <w:link w:val="572"/>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qFormat/>
    <w:uiPriority w:val="99"/>
    <w:rPr>
      <w:rFonts w:ascii="宋体" w:eastAsia="宋体" w:cs="宋体"/>
      <w:color w:val="000000"/>
      <w:sz w:val="14"/>
      <w:szCs w:val="14"/>
    </w:rPr>
  </w:style>
  <w:style w:type="character" w:customStyle="1" w:styleId="575">
    <w:name w:val="标题 2 Char Char"/>
    <w:qFormat/>
    <w:uiPriority w:val="0"/>
    <w:rPr>
      <w:rFonts w:ascii="楷体_GB2312" w:hAnsi="Arial" w:eastAsia="楷体_GB2312"/>
      <w:b/>
      <w:bCs/>
      <w:kern w:val="2"/>
      <w:sz w:val="24"/>
      <w:szCs w:val="32"/>
      <w:lang w:val="en-US" w:eastAsia="zh-CN" w:bidi="ar-SA"/>
    </w:rPr>
  </w:style>
  <w:style w:type="character" w:customStyle="1" w:styleId="576">
    <w:name w:val="未用 Char"/>
    <w:qFormat/>
    <w:uiPriority w:val="0"/>
    <w:rPr>
      <w:rFonts w:ascii="Arial" w:hAnsi="Arial" w:eastAsia="黑体"/>
      <w:kern w:val="2"/>
      <w:sz w:val="21"/>
      <w:szCs w:val="21"/>
      <w:lang w:val="en-US" w:eastAsia="zh-CN" w:bidi="ar-SA"/>
    </w:rPr>
  </w:style>
  <w:style w:type="character" w:customStyle="1" w:styleId="577">
    <w:name w:val="myp1111"/>
    <w:qFormat/>
    <w:uiPriority w:val="0"/>
    <w:rPr>
      <w:rFonts w:hint="default" w:ascii="ˎ̥" w:hAnsi="ˎ̥"/>
      <w:color w:val="000000"/>
      <w:sz w:val="20"/>
      <w:szCs w:val="20"/>
      <w:u w:val="none"/>
    </w:rPr>
  </w:style>
  <w:style w:type="character" w:customStyle="1" w:styleId="578">
    <w:name w:val="样式 标题 4h4H4Fab-4T5Ref Heading 1rh1Heading sqlsect 1.2.3.... Char"/>
    <w:link w:val="498"/>
    <w:qFormat/>
    <w:uiPriority w:val="0"/>
    <w:rPr>
      <w:rFonts w:ascii="微软雅黑" w:hAnsi="微软雅黑" w:eastAsia="微软雅黑"/>
      <w:b/>
      <w:bCs/>
      <w:kern w:val="2"/>
      <w:sz w:val="24"/>
      <w:szCs w:val="28"/>
      <w:lang w:val="zh-CN"/>
    </w:rPr>
  </w:style>
  <w:style w:type="character" w:customStyle="1" w:styleId="579">
    <w:name w:val="h Char Char"/>
    <w:qFormat/>
    <w:uiPriority w:val="0"/>
    <w:rPr>
      <w:rFonts w:eastAsia="宋体"/>
      <w:kern w:val="2"/>
      <w:sz w:val="18"/>
      <w:lang w:val="en-US" w:eastAsia="zh-CN" w:bidi="ar-SA"/>
    </w:rPr>
  </w:style>
  <w:style w:type="character" w:customStyle="1" w:styleId="580">
    <w:name w:val="仿宋正文 Char"/>
    <w:link w:val="581"/>
    <w:qFormat/>
    <w:uiPriority w:val="0"/>
    <w:rPr>
      <w:rFonts w:ascii="仿宋_GB2312" w:eastAsia="仿宋_GB2312"/>
      <w:kern w:val="2"/>
      <w:sz w:val="24"/>
    </w:rPr>
  </w:style>
  <w:style w:type="paragraph" w:customStyle="1" w:styleId="581">
    <w:name w:val="仿宋正文"/>
    <w:basedOn w:val="1"/>
    <w:link w:val="580"/>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qFormat/>
    <w:uiPriority w:val="0"/>
    <w:rPr>
      <w:rFonts w:ascii="宋体" w:eastAsia="宋体"/>
      <w:kern w:val="2"/>
      <w:sz w:val="24"/>
      <w:lang w:val="zh-CN" w:bidi="ar-SA"/>
    </w:rPr>
  </w:style>
  <w:style w:type="character" w:customStyle="1" w:styleId="583">
    <w:name w:val="样式 宋体"/>
    <w:qFormat/>
    <w:uiPriority w:val="0"/>
    <w:rPr>
      <w:rFonts w:ascii="宋体" w:hAnsi="宋体"/>
      <w:sz w:val="24"/>
    </w:rPr>
  </w:style>
  <w:style w:type="character" w:customStyle="1" w:styleId="584">
    <w:name w:val="tw4winJump"/>
    <w:qFormat/>
    <w:uiPriority w:val="0"/>
    <w:rPr>
      <w:rFonts w:ascii="Courier New" w:hAnsi="Courier New" w:cs="Courier New"/>
      <w:color w:val="008080"/>
      <w:lang w:val="en-US" w:eastAsia="zh-CN"/>
    </w:rPr>
  </w:style>
  <w:style w:type="character" w:customStyle="1" w:styleId="585">
    <w:name w:val="标题 1 字符"/>
    <w:qFormat/>
    <w:uiPriority w:val="9"/>
    <w:rPr>
      <w:rFonts w:ascii="Arial" w:hAnsi="Arial" w:eastAsia="黑体" w:cs="Arial"/>
      <w:b/>
      <w:bCs/>
      <w:snapToGrid w:val="0"/>
      <w:kern w:val="44"/>
      <w:sz w:val="44"/>
      <w:szCs w:val="44"/>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621"/>
    <w:qFormat/>
    <w:uiPriority w:val="0"/>
    <w:pPr>
      <w:tabs>
        <w:tab w:val="left" w:pos="2790"/>
        <w:tab w:val="left" w:pos="4230"/>
      </w:tabs>
      <w:spacing w:beforeLines="100"/>
      <w:jc w:val="left"/>
    </w:pPr>
  </w:style>
  <w:style w:type="paragraph" w:customStyle="1" w:styleId="621">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3">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qFormat/>
    <w:uiPriority w:val="0"/>
    <w:pPr>
      <w:spacing w:before="156" w:line="360" w:lineRule="auto"/>
      <w:ind w:firstLine="510" w:firstLineChars="200"/>
    </w:pPr>
    <w:rPr>
      <w:sz w:val="24"/>
      <w:szCs w:val="20"/>
    </w:rPr>
  </w:style>
  <w:style w:type="paragraph" w:customStyle="1" w:styleId="627">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30">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1">
    <w:name w:val="6级标题"/>
    <w:basedOn w:val="632"/>
    <w:qFormat/>
    <w:uiPriority w:val="0"/>
    <w:pPr>
      <w:keepNext/>
      <w:tabs>
        <w:tab w:val="left" w:pos="360"/>
      </w:tabs>
      <w:outlineLvl w:val="5"/>
    </w:pPr>
  </w:style>
  <w:style w:type="paragraph" w:customStyle="1" w:styleId="632">
    <w:name w:val="5级标题"/>
    <w:basedOn w:val="63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0"/>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qFormat/>
    <w:uiPriority w:val="0"/>
    <w:pPr>
      <w:ind w:left="420" w:leftChars="200"/>
      <w:jc w:val="left"/>
    </w:pPr>
    <w:rPr>
      <w:sz w:val="28"/>
      <w:szCs w:val="20"/>
      <w:lang w:eastAsia="zh-TW"/>
    </w:rPr>
  </w:style>
  <w:style w:type="paragraph" w:customStyle="1" w:styleId="635">
    <w:name w:val="Char2 Char Char"/>
    <w:basedOn w:val="1"/>
    <w:qFormat/>
    <w:uiPriority w:val="0"/>
    <w:rPr>
      <w:rFonts w:ascii="Tahoma" w:hAnsi="Tahoma"/>
      <w:sz w:val="24"/>
      <w:szCs w:val="20"/>
    </w:rPr>
  </w:style>
  <w:style w:type="paragraph" w:customStyle="1" w:styleId="636">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qFormat/>
    <w:uiPriority w:val="0"/>
    <w:pPr>
      <w:adjustRightInd w:val="0"/>
    </w:pPr>
    <w:rPr>
      <w:szCs w:val="22"/>
    </w:rPr>
  </w:style>
  <w:style w:type="paragraph" w:customStyle="1" w:styleId="63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1">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qFormat/>
    <w:uiPriority w:val="0"/>
  </w:style>
  <w:style w:type="paragraph" w:customStyle="1" w:styleId="645">
    <w:name w:val="Char5"/>
    <w:basedOn w:val="1"/>
    <w:qFormat/>
    <w:uiPriority w:val="0"/>
    <w:pPr>
      <w:adjustRightInd w:val="0"/>
    </w:pPr>
    <w:rPr>
      <w:rFonts w:ascii="仿宋_GB2312" w:eastAsia="仿宋_GB2312"/>
      <w:b/>
      <w:sz w:val="32"/>
      <w:szCs w:val="32"/>
    </w:rPr>
  </w:style>
  <w:style w:type="paragraph" w:customStyle="1" w:styleId="646">
    <w:name w:val="彩色列表 - 强调文字颜色 12"/>
    <w:basedOn w:val="1"/>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8">
    <w:name w:val="Char2"/>
    <w:basedOn w:val="1"/>
    <w:qFormat/>
    <w:uiPriority w:val="0"/>
    <w:pPr>
      <w:adjustRightInd w:val="0"/>
    </w:pPr>
    <w:rPr>
      <w:rFonts w:ascii="仿宋_GB2312" w:eastAsia="仿宋_GB2312"/>
      <w:b/>
      <w:sz w:val="32"/>
      <w:szCs w:val="32"/>
    </w:rPr>
  </w:style>
  <w:style w:type="paragraph" w:customStyle="1" w:styleId="649">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qFormat/>
    <w:uiPriority w:val="0"/>
    <w:pPr>
      <w:adjustRightInd w:val="0"/>
      <w:spacing w:line="360" w:lineRule="auto"/>
      <w:ind w:firstLine="480" w:firstLineChars="200"/>
    </w:pPr>
    <w:rPr>
      <w:rFonts w:hAnsi="宋体"/>
      <w:sz w:val="24"/>
      <w:szCs w:val="20"/>
    </w:rPr>
  </w:style>
  <w:style w:type="paragraph" w:customStyle="1" w:styleId="651">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qFormat/>
    <w:uiPriority w:val="0"/>
    <w:pPr>
      <w:adjustRightInd w:val="0"/>
    </w:pPr>
    <w:rPr>
      <w:rFonts w:ascii="仿宋_GB2312" w:eastAsia="仿宋_GB2312"/>
      <w:b/>
      <w:sz w:val="32"/>
      <w:szCs w:val="32"/>
    </w:rPr>
  </w:style>
  <w:style w:type="paragraph" w:customStyle="1" w:styleId="653">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qFormat/>
    <w:uiPriority w:val="0"/>
    <w:pPr>
      <w:adjustRightInd w:val="0"/>
    </w:pPr>
    <w:rPr>
      <w:rFonts w:ascii="仿宋_GB2312" w:eastAsia="仿宋_GB2312"/>
      <w:b/>
      <w:sz w:val="32"/>
      <w:szCs w:val="32"/>
    </w:rPr>
  </w:style>
  <w:style w:type="paragraph" w:customStyle="1" w:styleId="656">
    <w:name w:val="Char2 Char Char Char1"/>
    <w:basedOn w:val="1"/>
    <w:qFormat/>
    <w:uiPriority w:val="6"/>
    <w:pPr>
      <w:adjustRightInd w:val="0"/>
    </w:pPr>
    <w:rPr>
      <w:rFonts w:ascii="仿宋_GB2312" w:eastAsia="仿宋_GB2312"/>
      <w:b/>
      <w:sz w:val="32"/>
      <w:szCs w:val="32"/>
    </w:rPr>
  </w:style>
  <w:style w:type="paragraph" w:customStyle="1" w:styleId="657">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qFormat/>
    <w:uiPriority w:val="0"/>
    <w:pPr>
      <w:snapToGrid w:val="0"/>
      <w:spacing w:line="300" w:lineRule="auto"/>
    </w:pPr>
    <w:rPr>
      <w:rFonts w:eastAsia="仿宋"/>
      <w:szCs w:val="21"/>
    </w:rPr>
  </w:style>
  <w:style w:type="paragraph" w:customStyle="1" w:styleId="664">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qFormat/>
    <w:uiPriority w:val="6"/>
    <w:rPr>
      <w:rFonts w:ascii="Tahoma" w:hAnsi="Tahoma"/>
      <w:sz w:val="24"/>
      <w:szCs w:val="20"/>
    </w:rPr>
  </w:style>
  <w:style w:type="paragraph" w:customStyle="1" w:styleId="666">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5"/>
    <w:qFormat/>
    <w:uiPriority w:val="0"/>
    <w:pPr>
      <w:ind w:firstLine="200" w:firstLineChars="200"/>
    </w:pPr>
    <w:rPr>
      <w:rFonts w:ascii="Arial" w:hAnsi="Arial"/>
      <w:spacing w:val="-5"/>
      <w:kern w:val="0"/>
      <w:sz w:val="24"/>
      <w:szCs w:val="20"/>
    </w:rPr>
  </w:style>
  <w:style w:type="paragraph" w:customStyle="1" w:styleId="66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qFormat/>
    <w:uiPriority w:val="0"/>
    <w:pPr>
      <w:spacing w:line="360" w:lineRule="auto"/>
      <w:ind w:firstLine="482"/>
    </w:pPr>
    <w:rPr>
      <w:rFonts w:cs="宋体"/>
      <w:sz w:val="24"/>
      <w:szCs w:val="20"/>
    </w:rPr>
  </w:style>
  <w:style w:type="paragraph" w:customStyle="1" w:styleId="671">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qFormat/>
    <w:uiPriority w:val="0"/>
    <w:pPr>
      <w:ind w:firstLine="420" w:firstLineChars="200"/>
    </w:pPr>
    <w:rPr>
      <w:rFonts w:eastAsia="仿宋_GB2312"/>
      <w:sz w:val="28"/>
    </w:rPr>
  </w:style>
  <w:style w:type="paragraph" w:customStyle="1" w:styleId="673">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qFormat/>
    <w:uiPriority w:val="0"/>
    <w:pPr>
      <w:ind w:firstLine="200" w:firstLineChars="200"/>
      <w:jc w:val="right"/>
    </w:pPr>
  </w:style>
  <w:style w:type="paragraph" w:customStyle="1" w:styleId="676">
    <w:name w:val="Char Char11 Char Char Char Char Char Char Char Char Char"/>
    <w:basedOn w:val="1"/>
    <w:qFormat/>
    <w:uiPriority w:val="0"/>
    <w:pPr>
      <w:adjustRightInd w:val="0"/>
      <w:spacing w:line="360" w:lineRule="auto"/>
    </w:pPr>
    <w:rPr>
      <w:szCs w:val="20"/>
    </w:rPr>
  </w:style>
  <w:style w:type="paragraph" w:customStyle="1" w:styleId="677">
    <w:name w:val="正文1.25"/>
    <w:basedOn w:val="1"/>
    <w:qFormat/>
    <w:uiPriority w:val="0"/>
    <w:pPr>
      <w:spacing w:line="300" w:lineRule="auto"/>
      <w:ind w:firstLine="480" w:firstLineChars="200"/>
    </w:pPr>
    <w:rPr>
      <w:sz w:val="24"/>
      <w:szCs w:val="20"/>
    </w:rPr>
  </w:style>
  <w:style w:type="paragraph" w:customStyle="1" w:styleId="678">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qFormat/>
    <w:uiPriority w:val="0"/>
    <w:pPr>
      <w:adjustRightInd w:val="0"/>
    </w:pPr>
    <w:rPr>
      <w:rFonts w:eastAsia="仿宋_GB2312"/>
      <w:sz w:val="28"/>
      <w:szCs w:val="20"/>
    </w:rPr>
  </w:style>
  <w:style w:type="paragraph" w:customStyle="1" w:styleId="682">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qFormat/>
    <w:uiPriority w:val="0"/>
    <w:pPr>
      <w:ind w:firstLine="420" w:firstLineChars="200"/>
    </w:pPr>
    <w:rPr>
      <w:rFonts w:ascii="Calibri" w:hAnsi="Calibri"/>
      <w:szCs w:val="22"/>
    </w:rPr>
  </w:style>
  <w:style w:type="paragraph" w:customStyle="1" w:styleId="684">
    <w:name w:val="加粗正文"/>
    <w:basedOn w:val="1"/>
    <w:qFormat/>
    <w:uiPriority w:val="0"/>
    <w:pPr>
      <w:spacing w:beforeLines="50" w:afterLines="50" w:line="360" w:lineRule="auto"/>
      <w:ind w:firstLine="422" w:firstLineChars="200"/>
    </w:pPr>
    <w:rPr>
      <w:b/>
      <w:bCs/>
      <w:szCs w:val="21"/>
    </w:rPr>
  </w:style>
  <w:style w:type="paragraph" w:customStyle="1" w:styleId="685">
    <w:name w:val="正文6"/>
    <w:basedOn w:val="1"/>
    <w:qFormat/>
    <w:uiPriority w:val="0"/>
    <w:pPr>
      <w:tabs>
        <w:tab w:val="left" w:pos="0"/>
        <w:tab w:val="left" w:pos="703"/>
      </w:tabs>
      <w:spacing w:before="60" w:after="60" w:line="360" w:lineRule="auto"/>
      <w:ind w:left="600" w:leftChars="600"/>
    </w:pPr>
    <w:rPr>
      <w:sz w:val="28"/>
    </w:rPr>
  </w:style>
  <w:style w:type="paragraph" w:customStyle="1" w:styleId="6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9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141"/>
    <w:next w:val="141"/>
    <w:qFormat/>
    <w:uiPriority w:val="0"/>
    <w:pPr>
      <w:spacing w:after="68"/>
    </w:pPr>
    <w:rPr>
      <w:rFonts w:ascii="FHLHE E+ Futura Bk" w:eastAsia="FHLHE E+ Futura Bk"/>
      <w:color w:val="auto"/>
    </w:rPr>
  </w:style>
  <w:style w:type="paragraph" w:customStyle="1" w:styleId="692">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141"/>
    <w:next w:val="141"/>
    <w:qFormat/>
    <w:uiPriority w:val="0"/>
    <w:rPr>
      <w:rFonts w:ascii="宋体"/>
      <w:color w:val="auto"/>
    </w:rPr>
  </w:style>
  <w:style w:type="paragraph" w:customStyle="1" w:styleId="69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7">
    <w:name w:val="Char Char111"/>
    <w:basedOn w:val="1"/>
    <w:qFormat/>
    <w:uiPriority w:val="0"/>
    <w:pPr>
      <w:adjustRightInd w:val="0"/>
      <w:spacing w:line="360" w:lineRule="auto"/>
    </w:pPr>
    <w:rPr>
      <w:szCs w:val="20"/>
    </w:rPr>
  </w:style>
  <w:style w:type="paragraph" w:customStyle="1" w:styleId="698">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qFormat/>
    <w:uiPriority w:val="0"/>
    <w:pPr>
      <w:spacing w:line="360" w:lineRule="auto"/>
      <w:ind w:firstLine="200" w:firstLineChars="200"/>
    </w:pPr>
    <w:rPr>
      <w:rFonts w:ascii="宋体" w:hAnsi="Calibri"/>
      <w:sz w:val="24"/>
    </w:rPr>
  </w:style>
  <w:style w:type="paragraph" w:customStyle="1" w:styleId="700">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3">
    <w:name w:val="_正文段落"/>
    <w:basedOn w:val="1"/>
    <w:qFormat/>
    <w:uiPriority w:val="0"/>
    <w:pPr>
      <w:ind w:firstLine="560"/>
    </w:pPr>
    <w:rPr>
      <w:rFonts w:ascii="仿宋_GB2312" w:hAnsi="仿宋" w:eastAsia="仿宋_GB2312"/>
      <w:kern w:val="0"/>
      <w:sz w:val="28"/>
      <w:szCs w:val="28"/>
    </w:rPr>
  </w:style>
  <w:style w:type="paragraph" w:customStyle="1" w:styleId="714">
    <w:name w:val="列出段落4"/>
    <w:basedOn w:val="1"/>
    <w:qFormat/>
    <w:uiPriority w:val="0"/>
    <w:pPr>
      <w:spacing w:line="360" w:lineRule="auto"/>
      <w:ind w:firstLine="420" w:firstLineChars="200"/>
    </w:pPr>
    <w:rPr>
      <w:rFonts w:ascii="Calibri" w:hAnsi="Calibri"/>
      <w:sz w:val="24"/>
      <w:szCs w:val="22"/>
    </w:rPr>
  </w:style>
  <w:style w:type="paragraph" w:customStyle="1" w:styleId="71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qFormat/>
    <w:uiPriority w:val="0"/>
    <w:pPr>
      <w:adjustRightInd w:val="0"/>
    </w:pPr>
    <w:rPr>
      <w:szCs w:val="20"/>
    </w:rPr>
  </w:style>
  <w:style w:type="paragraph" w:customStyle="1" w:styleId="720">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qFormat/>
    <w:uiPriority w:val="0"/>
    <w:pPr>
      <w:adjustRightInd w:val="0"/>
    </w:pPr>
    <w:rPr>
      <w:rFonts w:ascii="Tahoma" w:hAnsi="Tahoma"/>
      <w:sz w:val="24"/>
      <w:szCs w:val="20"/>
    </w:rPr>
  </w:style>
  <w:style w:type="paragraph" w:customStyle="1" w:styleId="722">
    <w:name w:val="标题五"/>
    <w:basedOn w:val="1"/>
    <w:qFormat/>
    <w:uiPriority w:val="0"/>
    <w:pPr>
      <w:spacing w:beforeLines="50" w:line="360" w:lineRule="auto"/>
    </w:pPr>
    <w:rPr>
      <w:b/>
      <w:sz w:val="24"/>
    </w:rPr>
  </w:style>
  <w:style w:type="paragraph" w:customStyle="1" w:styleId="723">
    <w:name w:val="Char Char1101"/>
    <w:basedOn w:val="1"/>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qFormat/>
    <w:uiPriority w:val="0"/>
    <w:pPr>
      <w:tabs>
        <w:tab w:val="left" w:pos="360"/>
      </w:tabs>
      <w:adjustRightInd w:val="0"/>
    </w:pPr>
    <w:rPr>
      <w:sz w:val="24"/>
      <w:szCs w:val="20"/>
    </w:rPr>
  </w:style>
  <w:style w:type="paragraph" w:customStyle="1" w:styleId="725">
    <w:name w:val="Char Char Char Char Char Char Char"/>
    <w:basedOn w:val="1"/>
    <w:qFormat/>
    <w:uiPriority w:val="0"/>
    <w:pPr>
      <w:adjustRightInd w:val="0"/>
    </w:pPr>
    <w:rPr>
      <w:rFonts w:ascii="仿宋_GB2312" w:eastAsia="仿宋_GB2312"/>
      <w:b/>
      <w:sz w:val="32"/>
      <w:szCs w:val="32"/>
    </w:rPr>
  </w:style>
  <w:style w:type="paragraph" w:customStyle="1" w:styleId="726">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qFormat/>
    <w:uiPriority w:val="0"/>
    <w:rPr>
      <w:sz w:val="18"/>
      <w:szCs w:val="20"/>
    </w:rPr>
  </w:style>
  <w:style w:type="paragraph" w:customStyle="1" w:styleId="731">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3">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6">
    <w:name w:val="文档正文"/>
    <w:basedOn w:val="1"/>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8">
    <w:name w:val="规划正文"/>
    <w:basedOn w:val="1"/>
    <w:qFormat/>
    <w:uiPriority w:val="0"/>
    <w:pPr>
      <w:spacing w:beforeLines="100" w:line="360" w:lineRule="auto"/>
      <w:jc w:val="left"/>
    </w:pPr>
    <w:rPr>
      <w:rFonts w:ascii="Arial" w:hAnsi="Arial" w:eastAsia="仿宋_GB2312"/>
      <w:bCs/>
      <w:sz w:val="28"/>
    </w:rPr>
  </w:style>
  <w:style w:type="paragraph" w:customStyle="1" w:styleId="739">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qFormat/>
    <w:uiPriority w:val="7"/>
    <w:rPr>
      <w:rFonts w:ascii="宋体" w:hAnsi="Courier New"/>
    </w:rPr>
  </w:style>
  <w:style w:type="paragraph" w:customStyle="1" w:styleId="741">
    <w:name w:val="Char3"/>
    <w:basedOn w:val="1"/>
    <w:qFormat/>
    <w:uiPriority w:val="0"/>
    <w:rPr>
      <w:rFonts w:ascii="仿宋_GB2312" w:eastAsia="仿宋_GB2312"/>
      <w:b/>
      <w:sz w:val="32"/>
      <w:szCs w:val="32"/>
    </w:rPr>
  </w:style>
  <w:style w:type="paragraph" w:customStyle="1" w:styleId="74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qFormat/>
    <w:uiPriority w:val="0"/>
    <w:pPr>
      <w:widowControl/>
      <w:spacing w:after="160" w:line="240" w:lineRule="exact"/>
      <w:jc w:val="left"/>
    </w:pPr>
    <w:rPr>
      <w:szCs w:val="20"/>
    </w:rPr>
  </w:style>
  <w:style w:type="paragraph" w:customStyle="1" w:styleId="750">
    <w:name w:val="表格标题2"/>
    <w:basedOn w:val="751"/>
    <w:qFormat/>
    <w:uiPriority w:val="0"/>
    <w:rPr>
      <w:b/>
    </w:rPr>
  </w:style>
  <w:style w:type="paragraph" w:customStyle="1" w:styleId="751">
    <w:name w:val="表格内文"/>
    <w:basedOn w:val="1"/>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qFormat/>
    <w:uiPriority w:val="0"/>
    <w:pPr>
      <w:adjustRightInd w:val="0"/>
    </w:pPr>
    <w:rPr>
      <w:rFonts w:ascii="仿宋_GB2312" w:eastAsia="仿宋_GB2312"/>
      <w:b/>
      <w:sz w:val="32"/>
      <w:szCs w:val="32"/>
    </w:rPr>
  </w:style>
  <w:style w:type="paragraph" w:customStyle="1" w:styleId="75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qFormat/>
    <w:uiPriority w:val="0"/>
    <w:pPr>
      <w:adjustRightInd w:val="0"/>
      <w:spacing w:line="360" w:lineRule="auto"/>
    </w:pPr>
    <w:rPr>
      <w:szCs w:val="20"/>
    </w:rPr>
  </w:style>
  <w:style w:type="paragraph" w:customStyle="1" w:styleId="756">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qFormat/>
    <w:uiPriority w:val="0"/>
    <w:pPr>
      <w:spacing w:before="60" w:after="60" w:line="360" w:lineRule="auto"/>
      <w:ind w:firstLine="200" w:firstLineChars="200"/>
    </w:pPr>
    <w:rPr>
      <w:sz w:val="28"/>
      <w:szCs w:val="20"/>
    </w:rPr>
  </w:style>
  <w:style w:type="paragraph" w:customStyle="1" w:styleId="758">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qFormat/>
    <w:uiPriority w:val="0"/>
    <w:pPr>
      <w:adjustRightInd w:val="0"/>
      <w:spacing w:line="360" w:lineRule="auto"/>
      <w:ind w:firstLine="200" w:firstLineChars="200"/>
    </w:pPr>
    <w:rPr>
      <w:kern w:val="0"/>
      <w:sz w:val="24"/>
      <w:szCs w:val="20"/>
    </w:rPr>
  </w:style>
  <w:style w:type="paragraph" w:customStyle="1" w:styleId="761">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qFormat/>
    <w:uiPriority w:val="0"/>
    <w:pPr>
      <w:spacing w:line="300" w:lineRule="auto"/>
      <w:jc w:val="center"/>
    </w:pPr>
  </w:style>
  <w:style w:type="paragraph" w:customStyle="1" w:styleId="765">
    <w:name w:val="_Style 6"/>
    <w:basedOn w:val="1"/>
    <w:qFormat/>
    <w:uiPriority w:val="34"/>
    <w:pPr>
      <w:ind w:firstLine="420" w:firstLineChars="200"/>
    </w:pPr>
    <w:rPr>
      <w:rFonts w:eastAsia="仿宋_GB2312"/>
      <w:sz w:val="28"/>
    </w:rPr>
  </w:style>
  <w:style w:type="paragraph" w:customStyle="1" w:styleId="766">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qFormat/>
    <w:uiPriority w:val="0"/>
    <w:pPr>
      <w:adjustRightInd w:val="0"/>
    </w:pPr>
    <w:rPr>
      <w:rFonts w:ascii="仿宋_GB2312" w:eastAsia="仿宋_GB2312"/>
      <w:b/>
      <w:sz w:val="32"/>
      <w:szCs w:val="20"/>
    </w:rPr>
  </w:style>
  <w:style w:type="paragraph" w:customStyle="1" w:styleId="775">
    <w:name w:val="大汉方案正文"/>
    <w:basedOn w:val="1"/>
    <w:qFormat/>
    <w:uiPriority w:val="0"/>
    <w:pPr>
      <w:spacing w:line="360" w:lineRule="auto"/>
      <w:ind w:firstLine="200" w:firstLineChars="200"/>
    </w:pPr>
    <w:rPr>
      <w:rFonts w:ascii="Arial" w:hAnsi="Arial"/>
      <w:sz w:val="24"/>
      <w:szCs w:val="20"/>
    </w:rPr>
  </w:style>
  <w:style w:type="paragraph" w:customStyle="1" w:styleId="776">
    <w:name w:val="Char1 Char Char Char1"/>
    <w:basedOn w:val="1"/>
    <w:qFormat/>
    <w:uiPriority w:val="0"/>
    <w:pPr>
      <w:ind w:firstLine="200" w:firstLineChars="200"/>
    </w:pPr>
    <w:rPr>
      <w:rFonts w:ascii="Tahoma" w:hAnsi="Tahoma"/>
      <w:sz w:val="24"/>
      <w:szCs w:val="20"/>
    </w:rPr>
  </w:style>
  <w:style w:type="paragraph" w:customStyle="1" w:styleId="777">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80">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qFormat/>
    <w:uiPriority w:val="0"/>
    <w:rPr>
      <w:rFonts w:ascii="Tahoma" w:hAnsi="Tahoma"/>
      <w:sz w:val="24"/>
      <w:szCs w:val="20"/>
    </w:rPr>
  </w:style>
  <w:style w:type="paragraph" w:customStyle="1" w:styleId="783">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qFormat/>
    <w:uiPriority w:val="0"/>
    <w:pPr>
      <w:tabs>
        <w:tab w:val="left" w:pos="1260"/>
        <w:tab w:val="left" w:pos="1680"/>
        <w:tab w:val="left" w:pos="2100"/>
      </w:tabs>
      <w:ind w:left="0"/>
      <w:outlineLvl w:val="3"/>
    </w:pPr>
  </w:style>
  <w:style w:type="paragraph" w:customStyle="1" w:styleId="786">
    <w:name w:val="一级条标题"/>
    <w:basedOn w:val="787"/>
    <w:next w:val="162"/>
    <w:qFormat/>
    <w:uiPriority w:val="0"/>
    <w:pPr>
      <w:tabs>
        <w:tab w:val="left" w:pos="1260"/>
        <w:tab w:val="left" w:pos="1680"/>
      </w:tabs>
      <w:ind w:left="1680"/>
      <w:outlineLvl w:val="2"/>
    </w:pPr>
  </w:style>
  <w:style w:type="paragraph" w:customStyle="1" w:styleId="787">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qFormat/>
    <w:uiPriority w:val="0"/>
    <w:pPr>
      <w:tabs>
        <w:tab w:val="left" w:pos="840"/>
      </w:tabs>
      <w:spacing w:after="0"/>
      <w:ind w:left="900"/>
    </w:pPr>
  </w:style>
  <w:style w:type="paragraph" w:customStyle="1" w:styleId="794">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qFormat/>
    <w:uiPriority w:val="0"/>
    <w:pPr>
      <w:tabs>
        <w:tab w:val="left" w:pos="703"/>
      </w:tabs>
      <w:spacing w:line="360" w:lineRule="auto"/>
      <w:ind w:left="703"/>
      <w:jc w:val="center"/>
    </w:pPr>
  </w:style>
  <w:style w:type="paragraph" w:customStyle="1" w:styleId="79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qFormat/>
    <w:uiPriority w:val="0"/>
    <w:pPr>
      <w:jc w:val="left"/>
      <w:outlineLvl w:val="1"/>
    </w:pPr>
    <w:rPr>
      <w:rFonts w:ascii="Times New Roman" w:hAnsi="Times New Roman" w:eastAsia="仿宋"/>
      <w:sz w:val="30"/>
    </w:rPr>
  </w:style>
  <w:style w:type="paragraph" w:customStyle="1" w:styleId="801">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qFormat/>
    <w:uiPriority w:val="0"/>
    <w:pPr>
      <w:tabs>
        <w:tab w:val="left" w:pos="840"/>
      </w:tabs>
      <w:ind w:left="840" w:hanging="420"/>
    </w:pPr>
  </w:style>
  <w:style w:type="paragraph" w:customStyle="1" w:styleId="807">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qFormat/>
    <w:uiPriority w:val="6"/>
    <w:pPr>
      <w:adjustRightInd w:val="0"/>
      <w:spacing w:line="360" w:lineRule="auto"/>
    </w:pPr>
    <w:rPr>
      <w:szCs w:val="20"/>
    </w:rPr>
  </w:style>
  <w:style w:type="paragraph" w:customStyle="1" w:styleId="815">
    <w:name w:val="金宏发行正文 Char"/>
    <w:basedOn w:val="1"/>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qFormat/>
    <w:uiPriority w:val="6"/>
    <w:pPr>
      <w:adjustRightInd w:val="0"/>
    </w:pPr>
    <w:rPr>
      <w:rFonts w:ascii="仿宋_GB2312" w:eastAsia="仿宋_GB2312"/>
      <w:b/>
      <w:sz w:val="32"/>
      <w:szCs w:val="32"/>
    </w:rPr>
  </w:style>
  <w:style w:type="paragraph" w:customStyle="1" w:styleId="82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qFormat/>
    <w:uiPriority w:val="0"/>
    <w:pPr>
      <w:widowControl/>
      <w:spacing w:after="160" w:line="240" w:lineRule="exact"/>
      <w:jc w:val="left"/>
    </w:pPr>
    <w:rPr>
      <w:szCs w:val="20"/>
    </w:rPr>
  </w:style>
  <w:style w:type="paragraph" w:customStyle="1" w:styleId="826">
    <w:name w:val="Char Char1121"/>
    <w:basedOn w:val="1"/>
    <w:qFormat/>
    <w:uiPriority w:val="0"/>
    <w:pPr>
      <w:adjustRightInd w:val="0"/>
      <w:spacing w:line="360" w:lineRule="auto"/>
    </w:pPr>
    <w:rPr>
      <w:szCs w:val="20"/>
    </w:rPr>
  </w:style>
  <w:style w:type="paragraph" w:customStyle="1" w:styleId="827">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qFormat/>
    <w:uiPriority w:val="0"/>
    <w:rPr>
      <w:rFonts w:ascii="Times New Roman" w:hAnsi="Times New Roman" w:eastAsia="宋体" w:cs="Times New Roman"/>
      <w:lang w:val="en-US" w:eastAsia="en-US" w:bidi="ar-SA"/>
    </w:rPr>
  </w:style>
  <w:style w:type="paragraph" w:customStyle="1" w:styleId="830">
    <w:name w:val="带编号样式"/>
    <w:basedOn w:val="760"/>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6"/>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qFormat/>
    <w:uiPriority w:val="0"/>
    <w:pPr>
      <w:adjustRightInd w:val="0"/>
    </w:pPr>
    <w:rPr>
      <w:rFonts w:ascii="Tahoma" w:hAnsi="Tahoma"/>
      <w:sz w:val="24"/>
      <w:szCs w:val="20"/>
    </w:rPr>
  </w:style>
  <w:style w:type="paragraph" w:customStyle="1" w:styleId="855">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6">
    <w:name w:val="正文（标题三）"/>
    <w:basedOn w:val="1"/>
    <w:qFormat/>
    <w:uiPriority w:val="0"/>
    <w:pPr>
      <w:adjustRightInd w:val="0"/>
      <w:spacing w:line="360" w:lineRule="auto"/>
      <w:ind w:firstLine="200" w:firstLineChars="200"/>
    </w:pPr>
    <w:rPr>
      <w:sz w:val="24"/>
    </w:rPr>
  </w:style>
  <w:style w:type="paragraph" w:customStyle="1" w:styleId="857">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qFormat/>
    <w:uiPriority w:val="0"/>
    <w:pPr>
      <w:ind w:firstLine="200" w:firstLineChars="200"/>
    </w:pPr>
    <w:rPr>
      <w:rFonts w:ascii="Tahoma" w:hAnsi="Tahoma"/>
      <w:sz w:val="24"/>
      <w:szCs w:val="20"/>
    </w:rPr>
  </w:style>
  <w:style w:type="paragraph" w:customStyle="1" w:styleId="862">
    <w:name w:val="_标题2"/>
    <w:basedOn w:val="834"/>
    <w:next w:val="834"/>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qFormat/>
    <w:uiPriority w:val="34"/>
    <w:pPr>
      <w:ind w:firstLine="420" w:firstLineChars="200"/>
    </w:pPr>
    <w:rPr>
      <w:rFonts w:eastAsia="仿宋_GB2312"/>
      <w:sz w:val="28"/>
    </w:rPr>
  </w:style>
  <w:style w:type="paragraph" w:customStyle="1" w:styleId="876">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4">
    <w:name w:val="表文字"/>
    <w:qFormat/>
    <w:uiPriority w:val="0"/>
    <w:rPr>
      <w:rFonts w:ascii="宋体" w:hAnsi="Times New Roman" w:eastAsia="宋体" w:cs="Times New Roman"/>
      <w:kern w:val="2"/>
      <w:lang w:val="en-US" w:eastAsia="zh-CN" w:bidi="ar-SA"/>
    </w:rPr>
  </w:style>
  <w:style w:type="paragraph" w:customStyle="1" w:styleId="885">
    <w:name w:val="MM Title"/>
    <w:basedOn w:val="59"/>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4">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qFormat/>
    <w:uiPriority w:val="0"/>
    <w:pPr>
      <w:adjustRightInd w:val="0"/>
    </w:pPr>
    <w:rPr>
      <w:rFonts w:ascii="仿宋_GB2312" w:eastAsia="仿宋_GB2312"/>
      <w:b/>
      <w:sz w:val="32"/>
      <w:szCs w:val="32"/>
    </w:rPr>
  </w:style>
  <w:style w:type="paragraph" w:customStyle="1" w:styleId="896">
    <w:name w:val="标题3"/>
    <w:basedOn w:val="4"/>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qFormat/>
    <w:uiPriority w:val="0"/>
    <w:pPr>
      <w:ind w:firstLine="200" w:firstLineChars="200"/>
    </w:pPr>
    <w:rPr>
      <w:rFonts w:ascii="Tahoma" w:hAnsi="Tahoma"/>
      <w:sz w:val="24"/>
      <w:szCs w:val="20"/>
    </w:rPr>
  </w:style>
  <w:style w:type="paragraph" w:customStyle="1" w:styleId="900">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2"/>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qFormat/>
    <w:uiPriority w:val="0"/>
    <w:pPr>
      <w:adjustRightInd w:val="0"/>
    </w:pPr>
    <w:rPr>
      <w:rFonts w:ascii="仿宋_GB2312" w:eastAsia="仿宋_GB2312"/>
      <w:b/>
      <w:sz w:val="32"/>
      <w:szCs w:val="32"/>
    </w:rPr>
  </w:style>
  <w:style w:type="paragraph" w:customStyle="1" w:styleId="906">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qFormat/>
    <w:uiPriority w:val="0"/>
  </w:style>
  <w:style w:type="paragraph" w:customStyle="1" w:styleId="912">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qFormat/>
    <w:uiPriority w:val="0"/>
    <w:pPr>
      <w:spacing w:line="360" w:lineRule="auto"/>
      <w:ind w:firstLine="480" w:firstLineChars="200"/>
    </w:pPr>
    <w:rPr>
      <w:sz w:val="24"/>
      <w:szCs w:val="20"/>
    </w:rPr>
  </w:style>
  <w:style w:type="paragraph" w:customStyle="1" w:styleId="915">
    <w:name w:val="P1"/>
    <w:basedOn w:val="1"/>
    <w:qFormat/>
    <w:uiPriority w:val="0"/>
    <w:pPr>
      <w:spacing w:line="288" w:lineRule="auto"/>
      <w:ind w:firstLine="425" w:firstLineChars="200"/>
    </w:pPr>
  </w:style>
  <w:style w:type="paragraph" w:customStyle="1" w:styleId="916">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qFormat/>
    <w:uiPriority w:val="6"/>
    <w:pPr>
      <w:adjustRightInd w:val="0"/>
      <w:spacing w:line="360" w:lineRule="auto"/>
    </w:pPr>
    <w:rPr>
      <w:szCs w:val="20"/>
    </w:rPr>
  </w:style>
  <w:style w:type="paragraph" w:customStyle="1" w:styleId="918">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qFormat/>
    <w:uiPriority w:val="0"/>
    <w:pPr>
      <w:widowControl/>
      <w:spacing w:after="160" w:line="240" w:lineRule="exact"/>
      <w:jc w:val="left"/>
    </w:pPr>
  </w:style>
  <w:style w:type="paragraph" w:customStyle="1" w:styleId="928">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qFormat/>
    <w:uiPriority w:val="0"/>
    <w:pPr>
      <w:ind w:firstLine="200" w:firstLineChars="200"/>
    </w:pPr>
    <w:rPr>
      <w:rFonts w:ascii="Tahoma" w:hAnsi="Tahoma"/>
      <w:sz w:val="24"/>
      <w:szCs w:val="20"/>
    </w:rPr>
  </w:style>
  <w:style w:type="paragraph" w:customStyle="1" w:styleId="937">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qFormat/>
    <w:uiPriority w:val="0"/>
    <w:pPr>
      <w:tabs>
        <w:tab w:val="left" w:pos="1260"/>
      </w:tabs>
      <w:ind w:left="1260" w:hanging="420"/>
    </w:pPr>
  </w:style>
  <w:style w:type="paragraph" w:customStyle="1" w:styleId="941">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qFormat/>
    <w:uiPriority w:val="0"/>
    <w:rPr>
      <w:rFonts w:ascii="仿宋_GB2312" w:eastAsia="仿宋_GB2312"/>
      <w:b/>
      <w:sz w:val="32"/>
      <w:szCs w:val="32"/>
    </w:rPr>
  </w:style>
  <w:style w:type="paragraph" w:customStyle="1" w:styleId="954">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qFormat/>
    <w:uiPriority w:val="0"/>
    <w:pPr>
      <w:ind w:firstLine="200" w:firstLineChars="200"/>
    </w:pPr>
    <w:rPr>
      <w:rFonts w:ascii="仿宋_GB2312" w:eastAsia="仿宋_GB2312"/>
      <w:b/>
      <w:sz w:val="32"/>
      <w:szCs w:val="32"/>
    </w:rPr>
  </w:style>
  <w:style w:type="paragraph" w:customStyle="1" w:styleId="957">
    <w:name w:val="列表段落1"/>
    <w:basedOn w:val="1"/>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18"/>
    <w:qFormat/>
    <w:uiPriority w:val="0"/>
    <w:pPr>
      <w:adjustRightInd w:val="0"/>
      <w:snapToGrid w:val="0"/>
      <w:spacing w:line="360" w:lineRule="auto"/>
    </w:pPr>
  </w:style>
  <w:style w:type="paragraph" w:customStyle="1" w:styleId="966">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0"/>
    <w:qFormat/>
    <w:uiPriority w:val="34"/>
    <w:pPr>
      <w:spacing w:line="360" w:lineRule="auto"/>
      <w:ind w:firstLine="200" w:firstLineChars="200"/>
    </w:pPr>
    <w:rPr>
      <w:rFonts w:ascii="Calibri" w:hAnsi="Calibri"/>
      <w:sz w:val="28"/>
      <w:szCs w:val="20"/>
    </w:rPr>
  </w:style>
  <w:style w:type="paragraph" w:customStyle="1" w:styleId="969">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qFormat/>
    <w:uiPriority w:val="0"/>
    <w:pPr>
      <w:outlineLvl w:val="2"/>
    </w:pPr>
  </w:style>
  <w:style w:type="paragraph" w:customStyle="1" w:styleId="973">
    <w:name w:val="Char1 Char Char Char3"/>
    <w:basedOn w:val="1"/>
    <w:qFormat/>
    <w:uiPriority w:val="0"/>
    <w:pPr>
      <w:ind w:firstLine="200" w:firstLineChars="200"/>
    </w:pPr>
    <w:rPr>
      <w:rFonts w:ascii="Tahoma" w:hAnsi="Tahoma"/>
      <w:sz w:val="24"/>
      <w:szCs w:val="20"/>
    </w:rPr>
  </w:style>
  <w:style w:type="paragraph" w:customStyle="1" w:styleId="974">
    <w:name w:val="GP正文(首行缩进)"/>
    <w:basedOn w:val="1"/>
    <w:qFormat/>
    <w:uiPriority w:val="0"/>
    <w:pPr>
      <w:spacing w:line="360" w:lineRule="auto"/>
      <w:ind w:firstLine="200" w:firstLineChars="200"/>
    </w:pPr>
    <w:rPr>
      <w:rFonts w:eastAsia="仿宋_GB2312"/>
      <w:sz w:val="28"/>
      <w:szCs w:val="21"/>
    </w:rPr>
  </w:style>
  <w:style w:type="paragraph" w:customStyle="1" w:styleId="975">
    <w:name w:val="MM Empty"/>
    <w:basedOn w:val="1"/>
    <w:qFormat/>
    <w:uiPriority w:val="0"/>
  </w:style>
  <w:style w:type="paragraph" w:customStyle="1" w:styleId="976">
    <w:name w:val="Char24"/>
    <w:basedOn w:val="1"/>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qFormat/>
    <w:uiPriority w:val="0"/>
    <w:pPr>
      <w:tabs>
        <w:tab w:val="left" w:pos="785"/>
      </w:tabs>
      <w:spacing w:beforeLines="10" w:afterLines="10" w:line="300" w:lineRule="auto"/>
    </w:pPr>
    <w:rPr>
      <w:sz w:val="24"/>
    </w:rPr>
  </w:style>
  <w:style w:type="paragraph" w:customStyle="1" w:styleId="979">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qFormat/>
    <w:uiPriority w:val="34"/>
    <w:pPr>
      <w:ind w:firstLine="420" w:firstLineChars="200"/>
    </w:pPr>
    <w:rPr>
      <w:rFonts w:eastAsia="仿宋_GB2312"/>
      <w:sz w:val="28"/>
    </w:rPr>
  </w:style>
  <w:style w:type="paragraph" w:customStyle="1" w:styleId="982">
    <w:name w:val="表格 内容"/>
    <w:basedOn w:val="847"/>
    <w:qFormat/>
    <w:uiPriority w:val="0"/>
    <w:rPr>
      <w:b w:val="0"/>
      <w:sz w:val="20"/>
    </w:rPr>
  </w:style>
  <w:style w:type="paragraph" w:customStyle="1" w:styleId="983">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qFormat/>
    <w:uiPriority w:val="0"/>
    <w:pPr>
      <w:tabs>
        <w:tab w:val="left" w:pos="780"/>
      </w:tabs>
      <w:spacing w:line="360" w:lineRule="auto"/>
      <w:ind w:left="200" w:leftChars="200" w:firstLine="200" w:firstLineChars="200"/>
    </w:pPr>
    <w:rPr>
      <w:sz w:val="24"/>
    </w:rPr>
  </w:style>
  <w:style w:type="paragraph" w:customStyle="1" w:styleId="985">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8">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qFormat/>
    <w:uiPriority w:val="34"/>
    <w:pPr>
      <w:ind w:firstLine="420" w:firstLineChars="200"/>
    </w:pPr>
    <w:rPr>
      <w:rFonts w:eastAsia="仿宋_GB2312"/>
      <w:sz w:val="28"/>
    </w:rPr>
  </w:style>
  <w:style w:type="paragraph" w:customStyle="1" w:styleId="995">
    <w:name w:val="正文样式 首行缩进:  0.74 厘米"/>
    <w:basedOn w:val="1"/>
    <w:qFormat/>
    <w:uiPriority w:val="0"/>
    <w:pPr>
      <w:spacing w:beforeLines="50" w:line="360" w:lineRule="auto"/>
      <w:ind w:firstLine="420"/>
    </w:pPr>
    <w:rPr>
      <w:rFonts w:cs="宋体"/>
      <w:sz w:val="24"/>
      <w:szCs w:val="20"/>
    </w:rPr>
  </w:style>
  <w:style w:type="paragraph" w:customStyle="1" w:styleId="9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qFormat/>
    <w:uiPriority w:val="6"/>
    <w:pPr>
      <w:widowControl/>
      <w:adjustRightInd w:val="0"/>
      <w:spacing w:after="160" w:line="240" w:lineRule="exact"/>
      <w:jc w:val="left"/>
    </w:pPr>
    <w:rPr>
      <w:rFonts w:eastAsia="仿宋_GB2312"/>
      <w:sz w:val="28"/>
    </w:rPr>
  </w:style>
  <w:style w:type="paragraph" w:customStyle="1" w:styleId="1000">
    <w:name w:val="正文 图"/>
    <w:basedOn w:val="605"/>
    <w:qFormat/>
    <w:uiPriority w:val="0"/>
    <w:pPr>
      <w:adjustRightInd/>
      <w:spacing w:before="0"/>
      <w:ind w:firstLine="0"/>
      <w:jc w:val="center"/>
    </w:pPr>
    <w:rPr>
      <w:rFonts w:ascii="微软雅黑" w:hAnsi="微软雅黑"/>
    </w:rPr>
  </w:style>
  <w:style w:type="paragraph" w:customStyle="1" w:styleId="1001">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qFormat/>
    <w:uiPriority w:val="0"/>
    <w:pPr>
      <w:ind w:left="0"/>
    </w:pPr>
  </w:style>
  <w:style w:type="paragraph" w:customStyle="1" w:styleId="10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qFormat/>
    <w:uiPriority w:val="0"/>
    <w:pPr>
      <w:spacing w:line="360" w:lineRule="auto"/>
      <w:ind w:firstLine="480"/>
    </w:pPr>
    <w:rPr>
      <w:sz w:val="24"/>
    </w:rPr>
  </w:style>
  <w:style w:type="table" w:customStyle="1" w:styleId="1005">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1">
    <w:name w:val="交叉引用"/>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qFormat/>
    <w:uiPriority w:val="0"/>
    <w:rPr>
      <w:rFonts w:ascii="宋体" w:eastAsia="宋体"/>
      <w:snapToGrid w:val="0"/>
      <w:color w:val="000000"/>
      <w:kern w:val="28"/>
      <w:sz w:val="28"/>
      <w:lang w:val="en-US" w:eastAsia="zh-CN" w:bidi="ar-SA"/>
    </w:rPr>
  </w:style>
  <w:style w:type="character" w:customStyle="1" w:styleId="1013">
    <w:name w:val="页脚 字符1"/>
    <w:qFormat/>
    <w:uiPriority w:val="99"/>
    <w:rPr>
      <w:kern w:val="2"/>
      <w:sz w:val="18"/>
      <w:szCs w:val="18"/>
    </w:rPr>
  </w:style>
  <w:style w:type="character" w:customStyle="1" w:styleId="1014">
    <w:name w:val="页眉 字符1"/>
    <w:qFormat/>
    <w:uiPriority w:val="99"/>
    <w:rPr>
      <w:kern w:val="2"/>
      <w:sz w:val="18"/>
      <w:szCs w:val="18"/>
    </w:rPr>
  </w:style>
  <w:style w:type="character" w:customStyle="1" w:styleId="1015">
    <w:name w:val="无间隔 Char"/>
    <w:link w:val="638"/>
    <w:qFormat/>
    <w:uiPriority w:val="0"/>
    <w:rPr>
      <w:kern w:val="2"/>
      <w:sz w:val="21"/>
      <w:szCs w:val="22"/>
    </w:rPr>
  </w:style>
  <w:style w:type="character" w:customStyle="1" w:styleId="1016">
    <w:name w:val="标准文本 Char Char"/>
    <w:qFormat/>
    <w:uiPriority w:val="0"/>
    <w:rPr>
      <w:rFonts w:cs="宋体"/>
      <w:kern w:val="2"/>
      <w:sz w:val="24"/>
    </w:rPr>
  </w:style>
  <w:style w:type="character" w:customStyle="1" w:styleId="1017">
    <w:name w:val="Char Char213"/>
    <w:qFormat/>
    <w:uiPriority w:val="0"/>
    <w:rPr>
      <w:rFonts w:eastAsia="Century Gothic"/>
      <w:b/>
      <w:bCs/>
      <w:kern w:val="44"/>
      <w:sz w:val="32"/>
      <w:szCs w:val="44"/>
      <w:lang w:val="en-US" w:eastAsia="zh-CN" w:bidi="ar-SA"/>
    </w:rPr>
  </w:style>
  <w:style w:type="character" w:customStyle="1" w:styleId="1018">
    <w:name w:val="15"/>
    <w:qFormat/>
    <w:uiPriority w:val="0"/>
    <w:rPr>
      <w:rFonts w:hint="default" w:ascii="Calibri" w:hAnsi="Calibri"/>
      <w:color w:val="0000FF"/>
      <w:u w:val="single"/>
    </w:rPr>
  </w:style>
  <w:style w:type="character" w:customStyle="1" w:styleId="1019">
    <w:name w:val="16"/>
    <w:qFormat/>
    <w:uiPriority w:val="0"/>
    <w:rPr>
      <w:rFonts w:hint="eastAsia" w:ascii="宋体" w:hAnsi="宋体" w:eastAsia="宋体"/>
      <w:color w:val="000000"/>
      <w:sz w:val="20"/>
      <w:szCs w:val="20"/>
    </w:rPr>
  </w:style>
  <w:style w:type="character" w:customStyle="1" w:styleId="1020">
    <w:name w:val="edui-unclickable"/>
    <w:qFormat/>
    <w:uiPriority w:val="0"/>
    <w:rPr>
      <w:color w:val="808080"/>
    </w:rPr>
  </w:style>
  <w:style w:type="character" w:customStyle="1" w:styleId="1021">
    <w:name w:val="正文文本缩进 字符"/>
    <w:qFormat/>
    <w:uiPriority w:val="0"/>
    <w:rPr>
      <w:rFonts w:ascii="Century Gothic" w:hAnsi="Century Gothic" w:eastAsia="Century Gothic"/>
      <w:kern w:val="2"/>
      <w:sz w:val="24"/>
      <w:lang w:val="en-US" w:eastAsia="zh-CN" w:bidi="ar-SA"/>
    </w:rPr>
  </w:style>
  <w:style w:type="character" w:customStyle="1" w:styleId="1022">
    <w:name w:val="正文文本 2 字符"/>
    <w:qFormat/>
    <w:uiPriority w:val="0"/>
    <w:rPr>
      <w:rFonts w:ascii="Arial" w:hAnsi="Arial" w:eastAsia="宋体"/>
      <w:kern w:val="2"/>
      <w:sz w:val="24"/>
      <w:szCs w:val="24"/>
      <w:lang w:val="en-US" w:eastAsia="zh-CN" w:bidi="ar-SA"/>
    </w:rPr>
  </w:style>
  <w:style w:type="character" w:customStyle="1" w:styleId="1023">
    <w:name w:val="edui-clickable2"/>
    <w:qFormat/>
    <w:uiPriority w:val="0"/>
    <w:rPr>
      <w:color w:val="0000FF"/>
      <w:u w:val="single"/>
    </w:rPr>
  </w:style>
  <w:style w:type="character" w:customStyle="1" w:styleId="1024">
    <w:name w:val="style1"/>
    <w:qFormat/>
    <w:uiPriority w:val="0"/>
    <w:rPr>
      <w:rFonts w:ascii="Arial" w:hAnsi="Arial" w:eastAsia="黑体" w:cs="Arial"/>
      <w:snapToGrid w:val="0"/>
      <w:kern w:val="0"/>
      <w:szCs w:val="21"/>
    </w:rPr>
  </w:style>
  <w:style w:type="character" w:customStyle="1" w:styleId="1025">
    <w:name w:val="zbggtop11 style5"/>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0"/>
    <w:qFormat/>
    <w:uiPriority w:val="34"/>
    <w:pPr>
      <w:ind w:firstLine="420" w:firstLineChars="200"/>
    </w:pPr>
  </w:style>
  <w:style w:type="paragraph" w:customStyle="1" w:styleId="102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qFormat/>
    <w:uiPriority w:val="0"/>
    <w:pPr>
      <w:snapToGrid w:val="0"/>
      <w:jc w:val="left"/>
    </w:pPr>
    <w:rPr>
      <w:rFonts w:ascii="Century Gothic" w:hAnsi="楷体_GB2312" w:eastAsia="Century Gothic"/>
      <w:szCs w:val="20"/>
    </w:rPr>
  </w:style>
  <w:style w:type="paragraph" w:customStyle="1" w:styleId="103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qFormat/>
    <w:uiPriority w:val="0"/>
    <w:pPr>
      <w:jc w:val="left"/>
    </w:pPr>
    <w:rPr>
      <w:rFonts w:ascii="Calibri" w:hAnsi="Calibri"/>
      <w:kern w:val="0"/>
      <w:sz w:val="22"/>
      <w:szCs w:val="22"/>
      <w:lang w:eastAsia="en-US"/>
    </w:rPr>
  </w:style>
  <w:style w:type="paragraph" w:customStyle="1" w:styleId="103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0"/>
    <w:qFormat/>
    <w:uiPriority w:val="0"/>
    <w:rPr>
      <w:color w:val="000000"/>
      <w:shd w:val="clear" w:color="auto" w:fill="EFD200"/>
    </w:rPr>
  </w:style>
  <w:style w:type="character" w:customStyle="1" w:styleId="1037">
    <w:name w:val="font71"/>
    <w:qFormat/>
    <w:uiPriority w:val="0"/>
    <w:rPr>
      <w:rFonts w:hint="eastAsia" w:ascii="宋体" w:hAnsi="宋体" w:eastAsia="宋体" w:cs="宋体"/>
      <w:color w:val="000000"/>
      <w:sz w:val="22"/>
      <w:szCs w:val="22"/>
      <w:u w:val="none"/>
    </w:rPr>
  </w:style>
  <w:style w:type="character" w:customStyle="1" w:styleId="1038">
    <w:name w:val="font91"/>
    <w:qFormat/>
    <w:uiPriority w:val="0"/>
    <w:rPr>
      <w:rFonts w:hint="eastAsia" w:ascii="仿宋" w:hAnsi="仿宋" w:eastAsia="仿宋" w:cs="仿宋"/>
      <w:color w:val="000000"/>
      <w:sz w:val="22"/>
      <w:szCs w:val="22"/>
      <w:u w:val="none"/>
    </w:rPr>
  </w:style>
  <w:style w:type="paragraph" w:customStyle="1" w:styleId="1039">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89</Pages>
  <Words>45012</Words>
  <Characters>13038</Characters>
  <Lines>108</Lines>
  <Paragraphs>115</Paragraphs>
  <TotalTime>67</TotalTime>
  <ScaleCrop>false</ScaleCrop>
  <LinksUpToDate>false</LinksUpToDate>
  <CharactersWithSpaces>57935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2023-07-30T08:58:00Z</dcterms:created>
  <dc:creator>USER</dc:creator>
  <cp:lastModifiedBy>pc</cp:lastModifiedBy>
  <cp:lastPrinted>2024-01-18T16:18:00Z</cp:lastPrinted>
  <dcterms:modified xsi:type="dcterms:W3CDTF">2024-04-19T08:31:14Z</dcterms:modified>
  <dc:title>绍兴文理学院计算机机房设备及录播系统供货项目</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85A6C58AC820479A9E9193EDF5445254_13</vt:lpwstr>
  </property>
</Properties>
</file>