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sz w:val="44"/>
        </w:rPr>
      </w:pPr>
      <w:r>
        <w:rPr>
          <w:rFonts w:hint="eastAsia" w:ascii="隶书" w:hAnsi="Arial" w:eastAsia="隶书" w:cs="Arial"/>
          <w:b/>
          <w:spacing w:val="-12"/>
          <w:sz w:val="48"/>
          <w:szCs w:val="48"/>
        </w:rPr>
        <w:t>绍兴文理学院学生公寓家具采购项目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color w:val="auto"/>
          <w:sz w:val="44"/>
        </w:rPr>
      </w:pPr>
      <w:r>
        <w:rPr>
          <w:rFonts w:hint="eastAsia" w:ascii="隶书" w:eastAsia="隶书"/>
          <w:color w:val="auto"/>
          <w:sz w:val="44"/>
        </w:rPr>
        <w:t>（电子交易）</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highlight w:val="none"/>
        </w:rPr>
      </w:pPr>
      <w:r>
        <w:rPr>
          <w:rFonts w:hint="eastAsia" w:ascii="隶书" w:eastAsia="隶书"/>
          <w:b/>
          <w:sz w:val="28"/>
          <w:szCs w:val="28"/>
          <w:highlight w:val="none"/>
        </w:rPr>
        <w:t xml:space="preserve">招标编号:CGSHZJ-2023-N000832  </w:t>
      </w:r>
    </w:p>
    <w:p>
      <w:pPr>
        <w:jc w:val="center"/>
        <w:rPr>
          <w:rFonts w:ascii="隶书" w:eastAsia="隶书"/>
          <w:b/>
          <w:sz w:val="28"/>
          <w:szCs w:val="28"/>
          <w:highlight w:val="none"/>
        </w:rPr>
      </w:pP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ascii="隶书" w:hAnsi="宋体" w:eastAsia="隶书"/>
                <w:sz w:val="28"/>
                <w:szCs w:val="28"/>
                <w:highlight w:val="none"/>
              </w:rPr>
            </w:pPr>
            <w:r>
              <w:rPr>
                <w:rFonts w:hint="eastAsia" w:ascii="隶书" w:hAnsi="宋体" w:eastAsia="隶书"/>
                <w:sz w:val="28"/>
                <w:szCs w:val="28"/>
                <w:highlight w:val="none"/>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1"/>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2"/>
              </w:rPr>
              <w:t>监督单</w:t>
            </w:r>
            <w:r>
              <w:rPr>
                <w:rFonts w:hint="eastAsia" w:ascii="隶书" w:hAnsi="宋体" w:eastAsia="隶书"/>
                <w:spacing w:val="1"/>
                <w:kern w:val="0"/>
                <w:sz w:val="28"/>
                <w:szCs w:val="28"/>
                <w:highlight w:val="none"/>
                <w:fitText w:val="1680" w:id="2"/>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sz w:val="28"/>
                <w:szCs w:val="28"/>
                <w:highlight w:val="none"/>
              </w:rPr>
            </w:pP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二○二三年</w:t>
            </w:r>
            <w:r>
              <w:rPr>
                <w:rFonts w:hint="eastAsia" w:ascii="隶书" w:eastAsia="隶书"/>
                <w:sz w:val="28"/>
                <w:szCs w:val="28"/>
                <w:highlight w:val="none"/>
                <w:lang w:val="en-US" w:eastAsia="zh-CN"/>
              </w:rPr>
              <w:t>四</w:t>
            </w:r>
            <w:r>
              <w:rPr>
                <w:rFonts w:hint="eastAsia" w:ascii="隶书" w:eastAsia="隶书"/>
                <w:sz w:val="28"/>
                <w:szCs w:val="28"/>
                <w:highlight w:val="none"/>
              </w:rPr>
              <w:t>月</w:t>
            </w:r>
          </w:p>
        </w:tc>
      </w:tr>
    </w:tbl>
    <w:p>
      <w:pPr>
        <w:pageBreakBefore/>
        <w:jc w:val="center"/>
        <w:rPr>
          <w:rFonts w:ascii="仿宋_GB2312" w:eastAsia="仿宋_GB2312"/>
          <w:b/>
          <w:sz w:val="44"/>
          <w:szCs w:val="44"/>
          <w:highlight w:val="none"/>
        </w:rPr>
      </w:pPr>
      <w:r>
        <w:rPr>
          <w:rFonts w:hint="eastAsia" w:ascii="仿宋_GB2312" w:eastAsia="仿宋_GB2312"/>
          <w:b/>
          <w:sz w:val="44"/>
          <w:szCs w:val="44"/>
          <w:highlight w:val="none"/>
        </w:rPr>
        <w:t xml:space="preserve">  </w:t>
      </w:r>
    </w:p>
    <w:p>
      <w:pPr>
        <w:jc w:val="center"/>
        <w:rPr>
          <w:rFonts w:ascii="仿宋_GB2312" w:eastAsia="仿宋_GB2312"/>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仿宋_GB2312" w:eastAsia="仿宋_GB2312"/>
          <w:b/>
          <w:sz w:val="44"/>
          <w:szCs w:val="44"/>
          <w:highlight w:val="none"/>
        </w:rPr>
      </w:pPr>
    </w:p>
    <w:p>
      <w:pPr>
        <w:jc w:val="center"/>
        <w:rPr>
          <w:rFonts w:ascii="仿宋_GB2312" w:eastAsia="仿宋_GB2312"/>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_GB2312" w:eastAsia="仿宋_GB2312"/>
                <w:highlight w:val="none"/>
              </w:rPr>
            </w:pPr>
            <w:r>
              <w:rPr>
                <w:rFonts w:hint="eastAsia" w:ascii="仿宋_GB2312" w:hAnsi="新宋体" w:eastAsia="仿宋_GB2312"/>
                <w:highlight w:val="none"/>
              </w:rPr>
              <w:br w:type="page"/>
            </w:r>
          </w:p>
          <w:tbl>
            <w:tblPr>
              <w:tblStyle w:val="42"/>
              <w:tblW w:w="8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8055" w:type="dxa"/>
                </w:tcPr>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绍兴文理学院学生公寓家具采购项目的潜在投标人应在</w:t>
                  </w:r>
                  <w:r>
                    <w:rPr>
                      <w:rStyle w:val="277"/>
                      <w:rFonts w:hint="eastAsia" w:ascii="仿宋_GB2312" w:hAnsi="仿宋" w:eastAsia="仿宋_GB2312"/>
                      <w:sz w:val="27"/>
                      <w:szCs w:val="27"/>
                      <w:highlight w:val="none"/>
                    </w:rPr>
                    <w:t>https://www.zcygov.cn</w:t>
                  </w:r>
                  <w:r>
                    <w:rPr>
                      <w:rFonts w:hint="eastAsia" w:ascii="仿宋_GB2312" w:hAnsi="新宋体" w:eastAsia="仿宋_GB2312"/>
                      <w:szCs w:val="24"/>
                      <w:highlight w:val="none"/>
                    </w:rPr>
                    <w:t>获取（下载）招标文件，并于2023年</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日 09:00（北京时间）前递交（上传）投标文件。</w:t>
                  </w:r>
                </w:p>
              </w:tc>
            </w:tr>
          </w:tbl>
          <w:p>
            <w:pPr>
              <w:pStyle w:val="68"/>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一、项目基本情况</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项目编号：</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项目名称：绍兴文理学院学生公寓家具采购项目</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预算金额（元）：6620860</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最高限价（元）：6620860</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采购需求：</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标项名称:绍兴文理学院学生公寓家具采购项目</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 6620860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简要规格描述或项目基本概况介绍、用途：详见采购文件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备注：无</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合同履约期限：按双方合同约定条款执行。</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w:t>
            </w:r>
            <w:r>
              <w:rPr>
                <w:rFonts w:hint="eastAsia" w:ascii="仿宋_GB2312" w:hAnsi="新宋体" w:eastAsia="仿宋_GB2312"/>
                <w:szCs w:val="24"/>
                <w:highlight w:val="none"/>
                <w:lang w:val="en-US" w:eastAsia="zh-CN"/>
              </w:rPr>
              <w:t>否</w:t>
            </w:r>
            <w:bookmarkStart w:id="172" w:name="_GoBack"/>
            <w:bookmarkEnd w:id="172"/>
            <w:r>
              <w:rPr>
                <w:rFonts w:hint="eastAsia" w:ascii="仿宋_GB2312" w:hAnsi="新宋体" w:eastAsia="仿宋_GB2312"/>
                <w:szCs w:val="24"/>
                <w:highlight w:val="none"/>
              </w:rPr>
              <w:t>）接受联合体投标。</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二、申请人的资格要求：</w:t>
            </w:r>
          </w:p>
          <w:p>
            <w:pPr>
              <w:pStyle w:val="68"/>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68"/>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98128946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128946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69"/>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70"/>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71"/>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6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6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三、获取招标文件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时间：/至2023年</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日，每天上午00:00至12:00 ，下午12:00至23:59（北京时间，线上获取法定节假日均可，线下获取文件法定节假日除外）</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地点（网址）：</w:t>
            </w:r>
            <w:r>
              <w:rPr>
                <w:rFonts w:hint="eastAsia" w:ascii="仿宋_GB2312" w:hAnsi="新宋体" w:eastAsia="仿宋_GB2312" w:cs="Arial"/>
                <w:bCs/>
                <w:highlight w:val="none"/>
              </w:rPr>
              <w:t>http://www.zcygov.cn/</w:t>
            </w:r>
            <w:r>
              <w:rPr>
                <w:rFonts w:hint="eastAsia"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方式：</w:t>
            </w:r>
            <w:r>
              <w:rPr>
                <w:rFonts w:hint="eastAsia" w:ascii="仿宋_GB2312" w:hAnsi="新宋体" w:eastAsia="仿宋_GB2312" w:cs="Arial"/>
                <w:bCs/>
                <w:highlight w:val="none"/>
              </w:rPr>
              <w:t>供应商登陆政采云平台http://www.zcygov.cn/，在线申请获取采购文件（进入“项目采购”应用，在获取采购文件菜单中选择项目，申请获取采购文件）。</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售价（元）：0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四、提交投标文件截止时间、开标时间和地点</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提交投标文件截止时间：2023年</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日 09:00（北京时间）</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hint="eastAsia" w:ascii="仿宋_GB2312" w:hAnsi="新宋体" w:eastAsia="仿宋_GB2312" w:cs="Arial"/>
                <w:bCs/>
                <w:highlight w:val="none"/>
              </w:rPr>
              <w:t>http://www.zcygov.cn/</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开标时间：2023年</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日 09:00</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开标地点（网址）：绍兴市迪荡新城惠利街20号鼎盛时代大厦四楼绍兴市公共资源交易中心</w:t>
            </w:r>
            <w:r>
              <w:rPr>
                <w:rFonts w:hint="eastAsia" w:ascii="仿宋_GB2312" w:hAnsi="新宋体" w:eastAsia="仿宋_GB2312"/>
                <w:szCs w:val="24"/>
                <w:highlight w:val="none"/>
                <w:lang w:val="en-US" w:eastAsia="zh-CN"/>
              </w:rPr>
              <w:t>415</w:t>
            </w:r>
            <w:r>
              <w:rPr>
                <w:rFonts w:hint="eastAsia" w:ascii="仿宋_GB2312" w:hAnsi="新宋体" w:eastAsia="仿宋_GB2312"/>
                <w:szCs w:val="24"/>
                <w:highlight w:val="none"/>
              </w:rPr>
              <w:t>室，在政府采购云平台（www.zcygov.cn）上开启响应文件。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五、公告期限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六、其他补充事宜</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hint="eastAsia" w:ascii="仿宋_GB2312" w:hAnsi="仿宋" w:eastAsia="仿宋_GB2312"/>
                <w:highlight w:val="none"/>
              </w:rPr>
              <w:t>电子招投标的说明：</w:t>
            </w:r>
            <w:r>
              <w:rPr>
                <w:rFonts w:hint="eastAsia" w:ascii="仿宋_GB2312" w:hAnsi="仿宋" w:eastAsia="仿宋_GB2312" w:cs="仿宋_GB2312"/>
                <w:highlight w:val="none"/>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highlight w:val="none"/>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highlight w:val="none"/>
              </w:rPr>
              <w:t>⑧投标文件的传输递交：投标人在投标截止时间前将加密的投标文件上传至政府采购云平台；</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七、对本次采购提出询问、质疑、投诉，请按以下方式联系</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1.采购人信息</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名称：绍兴文理学院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地址：浙江省绍兴市越城区环城西路508号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项目联系人（询问）：聂玉冰</w:t>
            </w:r>
          </w:p>
          <w:p>
            <w:pPr>
              <w:pStyle w:val="6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项目联系方式（询问）：0575-88342889 </w:t>
            </w:r>
          </w:p>
          <w:p>
            <w:pPr>
              <w:pStyle w:val="6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质疑联系人：蒋梦圆 </w:t>
            </w:r>
          </w:p>
          <w:p>
            <w:pPr>
              <w:pStyle w:val="6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质疑联系方式：13757592529</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2.采购代理机构信息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名称：绍兴市鼎正建设工程咨询有限公司       </w:t>
            </w:r>
          </w:p>
          <w:p>
            <w:pPr>
              <w:pStyle w:val="68"/>
              <w:spacing w:afterLines="0" w:line="440" w:lineRule="exact"/>
              <w:ind w:firstLine="480"/>
              <w:rPr>
                <w:rFonts w:hint="eastAsia" w:ascii="仿宋_GB2312" w:hAnsi="新宋体" w:eastAsia="仿宋_GB2312"/>
                <w:szCs w:val="24"/>
                <w:highlight w:val="none"/>
                <w:lang w:val="en-US" w:eastAsia="zh-CN"/>
              </w:rPr>
            </w:pPr>
            <w:r>
              <w:rPr>
                <w:rFonts w:hint="eastAsia" w:ascii="仿宋_GB2312" w:hAnsi="新宋体" w:eastAsia="仿宋_GB2312"/>
                <w:szCs w:val="24"/>
                <w:highlight w:val="none"/>
              </w:rPr>
              <w:t>地址：绍兴市二环北路80号1#楼南</w:t>
            </w:r>
            <w:r>
              <w:rPr>
                <w:rFonts w:hint="eastAsia" w:ascii="仿宋_GB2312" w:hAnsi="新宋体" w:eastAsia="仿宋_GB2312"/>
                <w:szCs w:val="24"/>
                <w:highlight w:val="none"/>
                <w:lang w:val="en-US" w:eastAsia="zh-CN"/>
              </w:rPr>
              <w:t>四楼</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项目联系人（询问）：夏建挺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项目联系方式（询问）：15005856979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质疑联系人：张捷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质疑联系方式：0575-85176866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3.同级政府采购监督管理部门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传真：0575-85209697       </w:t>
            </w:r>
          </w:p>
          <w:p>
            <w:pPr>
              <w:pStyle w:val="68"/>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：吴滟      </w:t>
            </w:r>
          </w:p>
          <w:p>
            <w:pPr>
              <w:pStyle w:val="68"/>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监督投诉电话：0575-85209645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hint="eastAsia"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sdt>
              <w:sdtPr>
                <w:rPr>
                  <w:rFonts w:hint="eastAsia" w:ascii="仿宋_GB2312" w:hAnsi="仿宋" w:eastAsia="仿宋_GB2312" w:cs="Arial"/>
                  <w:color w:val="auto"/>
                  <w:kern w:val="0"/>
                  <w:sz w:val="24"/>
                  <w:highlight w:val="none"/>
                </w:rPr>
                <w:id w:val="98128946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hint="eastAsia" w:ascii="仿宋_GB2312" w:hAnsi="仿宋" w:eastAsia="仿宋_GB2312" w:cs="Arial"/>
                <w:color w:val="auto"/>
                <w:kern w:val="0"/>
                <w:sz w:val="24"/>
                <w:highlight w:val="none"/>
              </w:rPr>
              <w:sym w:font="Wingdings" w:char="F0FE"/>
            </w:r>
            <w:r>
              <w:rPr>
                <w:rFonts w:hint="eastAsia" w:ascii="仿宋_GB2312" w:hAnsi="仿宋" w:eastAsia="仿宋_GB2312" w:cs="Arial"/>
                <w:color w:val="auto"/>
                <w:kern w:val="0"/>
                <w:sz w:val="24"/>
                <w:highlight w:val="none"/>
              </w:rPr>
              <w:t xml:space="preserve"> 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_GB2312" w:hAnsi="仿宋" w:eastAsia="仿宋_GB2312" w:cs="仿宋_GB2312"/>
                <w:b/>
                <w:sz w:val="24"/>
                <w:highlight w:val="none"/>
              </w:rPr>
            </w:pPr>
            <w:r>
              <w:rPr>
                <w:rFonts w:hint="eastAsia" w:ascii="仿宋_GB2312" w:hAnsi="仿宋" w:eastAsia="仿宋_GB2312"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263220618"/>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94006690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72"/>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B组织，</w:t>
            </w:r>
            <w:r>
              <w:rPr>
                <w:rFonts w:hint="eastAsia" w:ascii="仿宋_GB2312" w:hAnsi="仿宋" w:eastAsia="仿宋_GB2312"/>
                <w:sz w:val="24"/>
                <w:highlight w:val="none"/>
              </w:rPr>
              <w:t>时间：</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hint="eastAsia"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740788832"/>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单椅</w:t>
            </w:r>
            <w:r>
              <w:rPr>
                <w:rFonts w:hint="eastAsia" w:ascii="仿宋_GB2312" w:hAnsi="仿宋" w:eastAsia="仿宋_GB2312"/>
                <w:sz w:val="24"/>
                <w:highlight w:val="none"/>
                <w:u w:val="single"/>
                <w:lang w:eastAsia="zh-CN"/>
              </w:rPr>
              <w:t>、</w:t>
            </w:r>
            <w:r>
              <w:rPr>
                <w:rFonts w:hint="eastAsia" w:ascii="仿宋_GB2312" w:hAnsi="仿宋" w:eastAsia="仿宋_GB2312"/>
                <w:sz w:val="24"/>
                <w:highlight w:val="none"/>
                <w:u w:val="single"/>
              </w:rPr>
              <w:t>入户四门衣柜</w:t>
            </w:r>
            <w:r>
              <w:rPr>
                <w:rFonts w:hint="eastAsia" w:ascii="仿宋_GB2312" w:hAnsi="仿宋" w:eastAsia="仿宋_GB2312"/>
                <w:sz w:val="24"/>
                <w:highlight w:val="none"/>
                <w:u w:val="single"/>
                <w:lang w:eastAsia="zh-CN"/>
              </w:rPr>
              <w:t>、</w:t>
            </w:r>
            <w:r>
              <w:rPr>
                <w:rFonts w:hint="eastAsia" w:ascii="仿宋_GB2312" w:hAnsi="仿宋" w:eastAsia="仿宋_GB2312"/>
                <w:sz w:val="24"/>
                <w:highlight w:val="none"/>
                <w:u w:val="single"/>
              </w:rPr>
              <w:t>公寓床2型</w:t>
            </w:r>
            <w:r>
              <w:rPr>
                <w:rFonts w:hint="eastAsia" w:ascii="仿宋_GB2312" w:hAnsi="仿宋" w:eastAsia="仿宋_GB2312"/>
                <w:sz w:val="24"/>
                <w:highlight w:val="none"/>
                <w:u w:val="single"/>
                <w:lang w:eastAsia="zh-CN"/>
              </w:rPr>
              <w:t>、</w:t>
            </w:r>
            <w:r>
              <w:rPr>
                <w:rFonts w:hint="eastAsia" w:ascii="仿宋_GB2312" w:hAnsi="仿宋" w:eastAsia="仿宋_GB2312"/>
                <w:sz w:val="24"/>
                <w:highlight w:val="none"/>
                <w:u w:val="single"/>
              </w:rPr>
              <w:t xml:space="preserve">边柜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详见配置需求和评标办法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color w:val="auto"/>
                <w:sz w:val="24"/>
                <w:highlight w:val="none"/>
                <w:u w:val="single"/>
              </w:rPr>
              <w:t xml:space="preserve">2023年 </w:t>
            </w:r>
            <w:r>
              <w:rPr>
                <w:rFonts w:hint="eastAsia" w:ascii="仿宋_GB2312" w:hAnsi="仿宋" w:eastAsia="仿宋_GB2312"/>
                <w:color w:val="auto"/>
                <w:sz w:val="24"/>
                <w:highlight w:val="none"/>
                <w:u w:val="single"/>
                <w:lang w:val="en-US" w:eastAsia="zh-CN"/>
              </w:rPr>
              <w:t>5</w:t>
            </w:r>
            <w:r>
              <w:rPr>
                <w:rFonts w:hint="eastAsia" w:ascii="仿宋_GB2312" w:hAnsi="仿宋" w:eastAsia="仿宋_GB2312"/>
                <w:color w:val="auto"/>
                <w:sz w:val="24"/>
                <w:highlight w:val="none"/>
                <w:u w:val="single"/>
              </w:rPr>
              <w:t xml:space="preserve">月 </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日 09:00（北京时间）</w:t>
            </w:r>
            <w:r>
              <w:rPr>
                <w:rFonts w:hint="eastAsia" w:ascii="仿宋_GB2312" w:hAnsi="仿宋" w:eastAsia="仿宋_GB2312"/>
                <w:color w:val="auto"/>
                <w:sz w:val="24"/>
                <w:highlight w:val="none"/>
                <w:u w:val="single"/>
                <w:lang w:val="en-US" w:eastAsia="zh-CN"/>
              </w:rPr>
              <w:t>前</w:t>
            </w:r>
            <w:r>
              <w:rPr>
                <w:rFonts w:hint="eastAsia" w:ascii="仿宋_GB2312" w:hAnsi="仿宋" w:eastAsia="仿宋_GB2312"/>
                <w:color w:val="auto"/>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绍兴文理学院河西体育馆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曹伟杰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15967508602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2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2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20" w:lineRule="exact"/>
              <w:rPr>
                <w:rFonts w:ascii="仿宋_GB2312" w:hAnsi="宋体" w:eastAsia="仿宋_GB2312"/>
                <w:b/>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p>
            <w:pPr>
              <w:spacing w:line="420" w:lineRule="exac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在评标时安排每个投标人进行</w:t>
            </w:r>
            <w:r>
              <w:rPr>
                <w:rFonts w:hint="eastAsia" w:ascii="仿宋_GB2312" w:hAnsi="仿宋" w:eastAsia="仿宋_GB2312"/>
                <w:kern w:val="0"/>
                <w:sz w:val="24"/>
                <w:highlight w:val="none"/>
              </w:rPr>
              <w:t>方案讲解演示</w:t>
            </w:r>
            <w:r>
              <w:rPr>
                <w:rFonts w:hint="eastAsia" w:ascii="仿宋_GB2312" w:hAnsi="仿宋" w:eastAsia="仿宋_GB2312" w:cs="仿宋_GB2312"/>
                <w:kern w:val="0"/>
                <w:sz w:val="24"/>
                <w:highlight w:val="none"/>
                <w:lang w:val="zh-CN"/>
              </w:rPr>
              <w:t>，讲解</w:t>
            </w:r>
            <w:r>
              <w:rPr>
                <w:rFonts w:hint="eastAsia" w:ascii="仿宋_GB2312" w:hAnsi="仿宋" w:eastAsia="仿宋_GB2312" w:cs="仿宋_GB2312"/>
                <w:sz w:val="24"/>
                <w:highlight w:val="none"/>
              </w:rPr>
              <w:t>演示结束</w:t>
            </w:r>
            <w:r>
              <w:rPr>
                <w:rFonts w:hint="eastAsia" w:ascii="仿宋_GB2312" w:hAnsi="仿宋" w:eastAsia="仿宋_GB2312" w:cs="仿宋_GB2312"/>
                <w:kern w:val="0"/>
                <w:sz w:val="24"/>
                <w:highlight w:val="none"/>
                <w:lang w:val="zh-CN"/>
              </w:rPr>
              <w:t>后按要求解答评标委员会的提问。</w:t>
            </w:r>
          </w:p>
          <w:p>
            <w:pPr>
              <w:spacing w:line="420" w:lineRule="exact"/>
              <w:rPr>
                <w:rFonts w:ascii="仿宋_GB2312" w:hAnsi="仿宋_GB2312" w:eastAsia="仿宋_GB2312" w:cs="仿宋_GB2312"/>
                <w:sz w:val="24"/>
                <w:highlight w:val="none"/>
              </w:rPr>
            </w:pPr>
            <w:r>
              <w:rPr>
                <w:rFonts w:hint="eastAsia" w:ascii="仿宋_GB2312" w:hAnsi="仿宋" w:eastAsia="仿宋_GB2312" w:cs="仿宋_GB2312"/>
                <w:b/>
                <w:kern w:val="0"/>
                <w:sz w:val="24"/>
                <w:highlight w:val="none"/>
                <w:lang w:val="zh-CN"/>
              </w:rPr>
              <w:t>讲解演示设备：</w:t>
            </w:r>
            <w:r>
              <w:rPr>
                <w:rFonts w:hint="eastAsia" w:ascii="仿宋_GB2312" w:hAnsi="仿宋" w:eastAsia="仿宋_GB2312" w:cs="仿宋_GB2312"/>
                <w:kern w:val="0"/>
                <w:sz w:val="24"/>
                <w:highlight w:val="none"/>
                <w:lang w:val="zh-CN"/>
              </w:rPr>
              <w:t>讲解</w:t>
            </w:r>
            <w:r>
              <w:rPr>
                <w:rFonts w:hint="eastAsia" w:ascii="仿宋_GB2312" w:hAnsi="仿宋_GB2312" w:eastAsia="仿宋_GB2312" w:cs="仿宋_GB2312"/>
                <w:sz w:val="24"/>
                <w:highlight w:val="none"/>
              </w:rPr>
              <w:t>演示所需设备由投标人自行准备。</w:t>
            </w:r>
          </w:p>
          <w:p>
            <w:pPr>
              <w:spacing w:line="420" w:lineRule="exact"/>
              <w:rPr>
                <w:rFonts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讲解演示时间：</w:t>
            </w:r>
            <w:r>
              <w:rPr>
                <w:rFonts w:hint="eastAsia" w:ascii="仿宋_GB2312" w:hAnsi="仿宋" w:eastAsia="仿宋_GB2312" w:cs="仿宋_GB2312"/>
                <w:kern w:val="0"/>
                <w:sz w:val="24"/>
                <w:highlight w:val="none"/>
                <w:lang w:val="zh-CN"/>
              </w:rPr>
              <w:t>每个投标人讲解演示前的调试准备时间不超过15分钟，讲解演示时间不超过15分钟，</w:t>
            </w:r>
            <w:r>
              <w:rPr>
                <w:rFonts w:hint="eastAsia" w:ascii="仿宋_GB2312" w:hAnsi="仿宋_GB2312" w:eastAsia="仿宋_GB2312" w:cs="仿宋_GB2312"/>
                <w:sz w:val="24"/>
                <w:highlight w:val="none"/>
              </w:rPr>
              <w:t>不包含评标委员会提问解答时间。</w:t>
            </w:r>
          </w:p>
          <w:p>
            <w:pPr>
              <w:spacing w:line="420" w:lineRule="exact"/>
              <w:rPr>
                <w:rFonts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讲解演示次序：</w:t>
            </w:r>
            <w:r>
              <w:rPr>
                <w:rFonts w:hint="eastAsia" w:ascii="仿宋_GB2312" w:hAnsi="仿宋" w:eastAsia="仿宋_GB2312" w:cs="仿宋_GB2312"/>
                <w:kern w:val="0"/>
                <w:sz w:val="24"/>
                <w:highlight w:val="none"/>
                <w:lang w:val="zh-CN"/>
              </w:rPr>
              <w:t>以政采云平台中</w:t>
            </w:r>
            <w:r>
              <w:rPr>
                <w:rFonts w:hint="eastAsia" w:ascii="仿宋_GB2312" w:hAnsi="仿宋" w:eastAsia="仿宋_GB2312" w:cs="Arial"/>
                <w:bCs/>
                <w:sz w:val="24"/>
                <w:highlight w:val="none"/>
              </w:rPr>
              <w:t>投标</w:t>
            </w:r>
            <w:r>
              <w:rPr>
                <w:rFonts w:hint="eastAsia" w:ascii="仿宋_GB2312" w:hAnsi="仿宋" w:eastAsia="仿宋_GB2312" w:cs="仿宋_GB2312"/>
                <w:kern w:val="0"/>
                <w:sz w:val="24"/>
                <w:highlight w:val="none"/>
                <w:lang w:val="zh-CN"/>
              </w:rPr>
              <w:t>文件解密时间的先后顺序为准。</w:t>
            </w:r>
          </w:p>
          <w:p>
            <w:pPr>
              <w:spacing w:line="420" w:lineRule="exact"/>
              <w:ind w:firstLine="1200" w:firstLineChars="5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20" w:lineRule="exact"/>
              <w:rPr>
                <w:rFonts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讲解演示途径：</w:t>
            </w:r>
            <w:r>
              <w:rPr>
                <w:rFonts w:hint="eastAsia" w:ascii="仿宋_GB2312" w:hAnsi="仿宋" w:eastAsia="仿宋_GB2312" w:cs="仿宋_GB2312"/>
                <w:kern w:val="0"/>
                <w:sz w:val="24"/>
                <w:highlight w:val="none"/>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20" w:lineRule="exact"/>
              <w:rPr>
                <w:rFonts w:ascii="仿宋_GB2312" w:hAnsi="宋体" w:eastAsia="仿宋_GB2312"/>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0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400" w:lineRule="exact"/>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75181343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0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83321284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5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spacing w:line="400" w:lineRule="exact"/>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40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公寓床1型、单椅、入户四门衣柜、公寓床2型、边柜、公寓床3型、单人床、双门衣柜  </w:t>
            </w:r>
            <w:r>
              <w:rPr>
                <w:rFonts w:hint="eastAsia" w:ascii="仿宋_GB2312" w:hAnsi="仿宋" w:eastAsia="仿宋_GB2312"/>
                <w:sz w:val="24"/>
                <w:highlight w:val="none"/>
              </w:rPr>
              <w:t>。</w:t>
            </w:r>
          </w:p>
          <w:p>
            <w:pPr>
              <w:snapToGrid w:val="0"/>
              <w:spacing w:line="40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98128946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spacing w:line="400" w:lineRule="exact"/>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400" w:lineRule="exact"/>
              <w:rPr>
                <w:rFonts w:ascii="仿宋_GB2312" w:eastAsia="仿宋_GB2312"/>
                <w:highlight w:val="none"/>
              </w:rPr>
            </w:pPr>
            <w:r>
              <w:rPr>
                <w:rFonts w:hint="eastAsia" w:ascii="仿宋_GB2312" w:hAnsi="仿宋" w:eastAsia="仿宋_GB2312" w:cs="Arial"/>
                <w:kern w:val="0"/>
                <w:sz w:val="24"/>
                <w:highlight w:val="none"/>
              </w:rPr>
              <w:t>（1）标的：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工业  </w:t>
            </w:r>
            <w:r>
              <w:rPr>
                <w:rFonts w:hint="eastAsia" w:ascii="仿宋_GB2312" w:hAnsi="仿宋" w:eastAsia="仿宋_GB2312" w:cs="Arial"/>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13</w:t>
            </w:r>
          </w:p>
        </w:tc>
        <w:tc>
          <w:tcPr>
            <w:tcW w:w="855" w:type="dxa"/>
            <w:vMerge w:val="restart"/>
            <w:vAlign w:val="center"/>
          </w:tcPr>
          <w:p>
            <w:pPr>
              <w:snapToGrid w:val="0"/>
              <w:spacing w:line="40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0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信用信息查询渠道及截止时间：</w:t>
            </w:r>
            <w:r>
              <w:rPr>
                <w:rFonts w:hint="eastAsia" w:ascii="仿宋_GB2312" w:hAnsi="宋体" w:eastAsia="仿宋_GB2312"/>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_GB2312" w:hAnsi="宋体" w:eastAsia="仿宋_GB2312"/>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ascii="仿宋_GB2312" w:hAnsi="宋体" w:eastAsia="仿宋_GB2312"/>
                <w:sz w:val="24"/>
                <w:highlight w:val="none"/>
              </w:rPr>
            </w:pPr>
          </w:p>
        </w:tc>
        <w:tc>
          <w:tcPr>
            <w:tcW w:w="855" w:type="dxa"/>
            <w:vMerge w:val="continue"/>
            <w:vAlign w:val="center"/>
          </w:tcPr>
          <w:p>
            <w:pPr>
              <w:snapToGrid w:val="0"/>
              <w:spacing w:line="400" w:lineRule="exact"/>
              <w:rPr>
                <w:rFonts w:ascii="仿宋_GB2312" w:hAnsi="仿宋_GB2312" w:eastAsia="仿宋_GB2312" w:cs="仿宋_GB2312"/>
                <w:b/>
                <w:sz w:val="24"/>
                <w:highlight w:val="none"/>
              </w:rPr>
            </w:pPr>
          </w:p>
        </w:tc>
        <w:tc>
          <w:tcPr>
            <w:tcW w:w="7515" w:type="dxa"/>
            <w:vAlign w:val="center"/>
          </w:tcPr>
          <w:p>
            <w:pPr>
              <w:snapToGrid w:val="0"/>
              <w:spacing w:line="40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信用信息查询记录和证据留存的具体方式：</w:t>
            </w:r>
            <w:r>
              <w:rPr>
                <w:rFonts w:hint="eastAsia" w:ascii="仿宋_GB2312" w:hAnsi="宋体" w:eastAsia="仿宋_GB2312"/>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ascii="仿宋_GB2312" w:hAnsi="宋体" w:eastAsia="仿宋_GB2312"/>
                <w:sz w:val="24"/>
                <w:highlight w:val="none"/>
              </w:rPr>
            </w:pPr>
          </w:p>
        </w:tc>
        <w:tc>
          <w:tcPr>
            <w:tcW w:w="855" w:type="dxa"/>
            <w:vMerge w:val="continue"/>
            <w:vAlign w:val="center"/>
          </w:tcPr>
          <w:p>
            <w:pPr>
              <w:snapToGrid w:val="0"/>
              <w:spacing w:line="400" w:lineRule="exact"/>
              <w:rPr>
                <w:rFonts w:ascii="仿宋_GB2312" w:hAnsi="仿宋_GB2312" w:eastAsia="仿宋_GB2312" w:cs="仿宋_GB2312"/>
                <w:b/>
                <w:sz w:val="24"/>
                <w:highlight w:val="none"/>
              </w:rPr>
            </w:pPr>
          </w:p>
        </w:tc>
        <w:tc>
          <w:tcPr>
            <w:tcW w:w="7515" w:type="dxa"/>
            <w:vAlign w:val="center"/>
          </w:tcPr>
          <w:p>
            <w:pPr>
              <w:snapToGrid w:val="0"/>
              <w:spacing w:line="400" w:lineRule="exact"/>
              <w:rPr>
                <w:rFonts w:ascii="仿宋_GB2312" w:hAnsi="宋体" w:eastAsia="仿宋_GB2312"/>
                <w:sz w:val="24"/>
                <w:highlight w:val="none"/>
              </w:rPr>
            </w:pPr>
            <w:r>
              <w:rPr>
                <w:rFonts w:hint="eastAsia" w:ascii="仿宋_GB2312" w:hAnsi="宋体" w:eastAsia="仿宋_GB2312"/>
                <w:b/>
                <w:sz w:val="24"/>
                <w:highlight w:val="none"/>
              </w:rPr>
              <w:t>信用信息的使用规则：</w:t>
            </w:r>
            <w:r>
              <w:rPr>
                <w:rFonts w:hint="eastAsia" w:ascii="仿宋_GB2312" w:hAnsi="宋体" w:eastAsia="仿宋_GB2312"/>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ascii="仿宋_GB2312" w:hAnsi="仿宋_GB2312" w:eastAsia="仿宋_GB2312" w:cs="仿宋_GB2312"/>
                <w:b/>
                <w:sz w:val="24"/>
                <w:highlight w:val="none"/>
              </w:rPr>
            </w:pPr>
            <w:r>
              <w:rPr>
                <w:rFonts w:hint="eastAsia" w:ascii="仿宋_GB2312" w:hAnsi="宋体" w:eastAsia="仿宋_GB23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0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开标时间后30分钟内供应商可以登录“政采云”平台，用“项目采购-开标评标”功能进行解密投标文件。若供应商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0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0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ascii="仿宋_GB2312" w:hAnsi="宋体" w:eastAsia="仿宋_GB2312"/>
                <w:sz w:val="24"/>
                <w:highlight w:val="none"/>
              </w:rPr>
            </w:pPr>
          </w:p>
        </w:tc>
        <w:tc>
          <w:tcPr>
            <w:tcW w:w="8370" w:type="dxa"/>
            <w:gridSpan w:val="2"/>
            <w:vAlign w:val="center"/>
          </w:tcPr>
          <w:p>
            <w:pPr>
              <w:adjustRightInd w:val="0"/>
              <w:spacing w:line="40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00" w:lineRule="exact"/>
              <w:rPr>
                <w:rFonts w:ascii="仿宋_GB2312" w:hAnsi="宋体" w:eastAsia="仿宋_GB2312" w:cs="宋体"/>
                <w:b/>
                <w:sz w:val="24"/>
                <w:highlight w:val="none"/>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ascii="仿宋_GB2312" w:hAnsi="宋体" w:eastAsia="仿宋_GB2312"/>
                <w:sz w:val="24"/>
                <w:highlight w:val="none"/>
              </w:rPr>
            </w:pPr>
            <w:r>
              <w:rPr>
                <w:rFonts w:hint="eastAsia" w:ascii="仿宋_GB2312" w:hAnsi="宋体" w:eastAsia="仿宋_GB2312"/>
                <w:sz w:val="24"/>
                <w:highlight w:val="none"/>
              </w:rPr>
              <w:t>19</w:t>
            </w:r>
          </w:p>
        </w:tc>
        <w:tc>
          <w:tcPr>
            <w:tcW w:w="8370" w:type="dxa"/>
            <w:gridSpan w:val="2"/>
            <w:vAlign w:val="center"/>
          </w:tcPr>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中标人须向采购代理机构按如下标准和规定交纳代理服务费，并在投标报价中自行考虑：</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（1）以中标通知中确定的中标总金额作为代理服务费的计算基数，具体比例参照《国家计委关于印发&lt;招标代理服务收费管理暂行办法&gt;的通知》（计价格[2002]1980号）规定的标准的20%进行收费。</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（2）代理服务费的交纳方式：</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用银行支票、汇票、电汇、现金等付款方式直接交纳代理服务费。</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公司名称：绍兴市鼎正建设工程咨询有限公司</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账号:0915000828327300010</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开户银行: 绍兴银行城中支行</w:t>
            </w:r>
          </w:p>
          <w:p>
            <w:pPr>
              <w:spacing w:line="40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一、总则</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 项目说明</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定义</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2.1政府采购当事人及监管部门</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2.1.1“采购人”系指采购公告中载明的本项目的采购人，即绍兴文理学院（合同中的甲方）。</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2.1.2“采购代理机构”系指采购公告中载明的本项目的集中采购机构，即绍兴市鼎正建设工程咨询有限公司。</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highlight w:val="none"/>
        </w:rPr>
      </w:pPr>
      <w:r>
        <w:rPr>
          <w:rFonts w:hint="eastAsia" w:ascii="仿宋_GB2312" w:hAnsi="仿宋_GB2312" w:eastAsia="仿宋_GB2312" w:cs="仿宋_GB2312"/>
          <w:sz w:val="24"/>
          <w:highlight w:val="none"/>
        </w:rPr>
        <w:t>2.1.4“监督单位”系指政府采购法定义监督管理部门，即绍兴市财政局。</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2.5“授权代表”系指法定代表人的被授权委托人。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hint="eastAsia" w:ascii="仿宋_GB2312" w:hAnsi="Wingdings" w:eastAsia="仿宋_GB2312" w:cs="Arial"/>
              <w:kern w:val="0"/>
              <w:sz w:val="24"/>
              <w:highlight w:val="none"/>
            </w:rPr>
            <w:t></w:t>
          </w:r>
        </w:sdtContent>
      </w:sdt>
      <w:r>
        <w:rPr>
          <w:rFonts w:hint="eastAsia" w:ascii="仿宋_GB2312" w:hAnsi="仿宋" w:eastAsia="仿宋_GB2312"/>
          <w:sz w:val="24"/>
          <w:highlight w:val="none"/>
        </w:rPr>
        <w:t>” 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sz w:val="24"/>
          <w:highlight w:val="none"/>
        </w:rPr>
        <w:t>”系指不适用本项目的要求。</w:t>
      </w:r>
    </w:p>
    <w:p>
      <w:pPr>
        <w:snapToGrid w:val="0"/>
        <w:spacing w:line="440" w:lineRule="exact"/>
        <w:jc w:val="left"/>
        <w:rPr>
          <w:rFonts w:ascii="仿宋_GB2312" w:hAnsi="宋体" w:eastAsia="仿宋_GB2312"/>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修缮、装修类项目采购建材的，采购人应将绿色建筑和绿色建材性能、指标等作为实质性条件纳入招标文件和合同。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_GB2312" w:hAnsi="宋体" w:eastAsia="仿宋_GB2312"/>
          <w:sz w:val="24"/>
          <w:highlight w:val="none"/>
        </w:rPr>
      </w:pPr>
      <w:r>
        <w:rPr>
          <w:rFonts w:hint="eastAsia" w:ascii="仿宋_GB2312" w:hAnsi="宋体" w:eastAsia="仿宋_GB2312"/>
          <w:b/>
          <w:sz w:val="36"/>
          <w:szCs w:val="36"/>
          <w:highlight w:val="none"/>
        </w:rPr>
        <w:t>二、招标文件</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1．招标方式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 本次招标采用</w:t>
      </w:r>
      <w:r>
        <w:rPr>
          <w:rFonts w:hint="eastAsia" w:ascii="仿宋_GB2312" w:hAnsi="宋体" w:eastAsia="仿宋_GB2312"/>
          <w:b/>
          <w:kern w:val="0"/>
          <w:sz w:val="24"/>
          <w:highlight w:val="none"/>
        </w:rPr>
        <w:t>公开招标</w:t>
      </w:r>
      <w:r>
        <w:rPr>
          <w:rFonts w:hint="eastAsia" w:ascii="仿宋_GB2312" w:hAnsi="宋体" w:eastAsia="仿宋_GB2312"/>
          <w:sz w:val="24"/>
          <w:highlight w:val="none"/>
        </w:rPr>
        <w:t>方式进行。</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sz w:val="24"/>
          <w:highlight w:val="none"/>
        </w:rPr>
      </w:pPr>
      <w:r>
        <w:rPr>
          <w:rFonts w:hint="eastAsia" w:ascii="仿宋_GB2312" w:hAnsi="宋体" w:eastAsia="仿宋_GB2312"/>
          <w:b/>
          <w:sz w:val="24"/>
          <w:highlight w:val="none"/>
        </w:rPr>
        <w:t>2.授权委托</w:t>
      </w:r>
    </w:p>
    <w:p>
      <w:pPr>
        <w:pStyle w:val="13"/>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投标费用</w:t>
      </w:r>
    </w:p>
    <w:p>
      <w:pPr>
        <w:spacing w:line="440" w:lineRule="exact"/>
        <w:ind w:firstLine="480" w:firstLineChars="200"/>
        <w:jc w:val="left"/>
        <w:rPr>
          <w:rFonts w:hint="eastAsia" w:ascii="仿宋_GB2312" w:hAnsi="宋体" w:eastAsia="仿宋_GB2312"/>
          <w:bCs/>
          <w:color w:val="auto"/>
          <w:sz w:val="24"/>
          <w:highlight w:val="none"/>
        </w:rPr>
      </w:pPr>
      <w:r>
        <w:rPr>
          <w:rFonts w:hint="eastAsia" w:ascii="仿宋_GB2312" w:hAnsi="宋体" w:eastAsia="仿宋_GB2312"/>
          <w:bCs/>
          <w:sz w:val="24"/>
          <w:highlight w:val="none"/>
        </w:rPr>
        <w:t>投标人应自行承担编制投标文件及参加本次投标所涉及的一切费用。不管投标结果如何，招标人对上述费用不负任何责任。</w:t>
      </w:r>
      <w:r>
        <w:rPr>
          <w:rFonts w:hint="eastAsia" w:ascii="仿宋_GB2312" w:hAnsi="宋体" w:eastAsia="仿宋_GB2312"/>
          <w:bCs/>
          <w:color w:val="auto"/>
          <w:sz w:val="24"/>
          <w:highlight w:val="none"/>
        </w:rPr>
        <w:t>投标人须向采购代理机构交纳代理服务费，具体详见供应商须知前附表。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 招标文件的修改</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4.1 </w:t>
      </w:r>
      <w:r>
        <w:rPr>
          <w:rFonts w:hint="eastAsia" w:ascii="仿宋_GB2312" w:hAnsi="宋体" w:eastAsia="仿宋_GB2312"/>
          <w:bCs/>
          <w:sz w:val="24"/>
          <w:highlight w:val="none"/>
        </w:rPr>
        <w:t>招标文件包括本招标文件及所有的招标答疑记录（澄清、修改）和发出的补充通知</w:t>
      </w:r>
      <w:r>
        <w:rPr>
          <w:rFonts w:hint="eastAsia" w:ascii="仿宋_GB2312" w:hAnsi="宋体" w:eastAsia="仿宋_GB2312"/>
          <w:sz w:val="24"/>
          <w:highlight w:val="none"/>
        </w:rPr>
        <w:t>。</w:t>
      </w:r>
    </w:p>
    <w:p>
      <w:pPr>
        <w:pStyle w:val="13"/>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4.3招标文件的修改</w:t>
      </w:r>
    </w:p>
    <w:p>
      <w:pPr>
        <w:pStyle w:val="13"/>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5.参考品牌</w:t>
      </w:r>
    </w:p>
    <w:p>
      <w:pPr>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三、投标文件</w:t>
      </w:r>
    </w:p>
    <w:p>
      <w:pPr>
        <w:numPr>
          <w:ilvl w:val="0"/>
          <w:numId w:val="6"/>
        </w:num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投标文件的语言、计量单位、形式及效力</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1.4不按招标文件的要求提供的投标文件可能导致被拒绝。</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1.5投标文件的形式和效力</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1.5.2投标文件的效力：</w:t>
      </w:r>
    </w:p>
    <w:p>
      <w:pPr>
        <w:snapToGrid w:val="0"/>
        <w:spacing w:line="440" w:lineRule="exact"/>
        <w:ind w:firstLine="472" w:firstLineChars="196"/>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投标文件的组成</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投标文件由“报价文件资料”、“商务技术（资信）文件资料”两部分组成，</w:t>
      </w:r>
      <w:r>
        <w:rPr>
          <w:rFonts w:hint="eastAsia" w:ascii="仿宋_GB2312" w:hAnsi="仿宋" w:eastAsia="仿宋_GB2312"/>
          <w:sz w:val="24"/>
          <w:highlight w:val="none"/>
        </w:rPr>
        <w:t>其中</w:t>
      </w:r>
      <w:r>
        <w:rPr>
          <w:rFonts w:hint="eastAsia" w:ascii="仿宋_GB2312" w:hAnsi="仿宋" w:eastAsia="仿宋_GB2312"/>
          <w:b/>
          <w:sz w:val="24"/>
          <w:highlight w:val="none"/>
        </w:rPr>
        <w:t>电子投标文件中所须加盖公章部分均应采用电子签章。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2.1.1投标响应函（格式见第六部分附件）；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2.1.2开标一览表（格式见第六部分附件）；</w:t>
      </w:r>
    </w:p>
    <w:p>
      <w:pPr>
        <w:pStyle w:val="23"/>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2.1.3中小企业声明函（如有，格式见第六部分附件）；</w:t>
      </w:r>
    </w:p>
    <w:p>
      <w:pPr>
        <w:pStyle w:val="23"/>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 “商务技术（资信）文件资料”应包括以下内容（正本用原件）：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2.2.1法定代表人授权委托书(格式见第六部分附件)；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2.2.2授权代表社保证明（格式见第六部分附件）；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rPr>
          <w:rFonts w:ascii="仿宋_GB2312" w:hAnsi="仿宋_GB2312" w:eastAsia="仿宋_GB2312" w:cs="仿宋_GB2312"/>
          <w:kern w:val="0"/>
          <w:sz w:val="24"/>
          <w:highlight w:val="none"/>
        </w:rPr>
      </w:pPr>
      <w:r>
        <w:rPr>
          <w:rFonts w:hint="eastAsia" w:ascii="仿宋_GB2312" w:hAnsi="宋体" w:eastAsia="仿宋_GB2312"/>
          <w:sz w:val="24"/>
          <w:highlight w:val="none"/>
        </w:rPr>
        <w:t>2.2.4</w:t>
      </w:r>
      <w:r>
        <w:rPr>
          <w:rFonts w:hint="eastAsia" w:ascii="仿宋_GB2312" w:hAnsi="Arial" w:eastAsia="仿宋_GB2312" w:cs="Arial"/>
          <w:kern w:val="0"/>
          <w:sz w:val="24"/>
          <w:highlight w:val="none"/>
        </w:rPr>
        <w:t>供应商基本资格条件</w:t>
      </w:r>
      <w:r>
        <w:rPr>
          <w:rFonts w:hint="eastAsia" w:ascii="仿宋_GB2312" w:hAnsi="仿宋_GB2312" w:eastAsia="仿宋_GB2312" w:cs="仿宋_GB2312"/>
          <w:sz w:val="24"/>
          <w:highlight w:val="none"/>
        </w:rPr>
        <w:t>书面承诺函（</w:t>
      </w:r>
      <w:r>
        <w:rPr>
          <w:rFonts w:hint="eastAsia" w:ascii="仿宋_GB2312" w:hAnsi="宋体" w:eastAsia="仿宋_GB2312"/>
          <w:sz w:val="24"/>
          <w:highlight w:val="none"/>
        </w:rPr>
        <w:t>格式见第六部分附件</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2"/>
        <w:snapToGrid w:val="0"/>
        <w:spacing w:line="440" w:lineRule="exact"/>
        <w:rPr>
          <w:rFonts w:ascii="仿宋_GB2312" w:hAnsi="仿宋_GB2312" w:eastAsia="仿宋_GB2312" w:cs="仿宋_GB2312"/>
          <w:sz w:val="24"/>
          <w:highlight w:val="none"/>
          <w:lang w:val="zh-CN"/>
        </w:rPr>
      </w:pPr>
      <w:bookmarkStart w:id="1" w:name="_Hlt68072998"/>
      <w:bookmarkEnd w:id="1"/>
      <w:bookmarkStart w:id="2" w:name="_Hlt68403820"/>
      <w:bookmarkEnd w:id="2"/>
      <w:bookmarkStart w:id="3" w:name="_Hlt68073093"/>
      <w:bookmarkEnd w:id="3"/>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仿宋" w:eastAsia="仿宋_GB2312" w:cs="仿宋_GB2312"/>
          <w:sz w:val="24"/>
          <w:highlight w:val="none"/>
        </w:rPr>
        <w:t>本项目如需采购政府强制采购的节能产品的或</w:t>
      </w:r>
      <w:r>
        <w:rPr>
          <w:rFonts w:hint="eastAsia" w:ascii="仿宋_GB2312" w:hAnsi="仿宋" w:eastAsia="仿宋_GB2312"/>
          <w:sz w:val="24"/>
          <w:highlight w:val="none"/>
        </w:rPr>
        <w:t>投标人提供的产品是环境标志产品，</w:t>
      </w:r>
      <w:r>
        <w:rPr>
          <w:rFonts w:hint="eastAsia" w:ascii="仿宋_GB2312" w:hAnsi="仿宋" w:eastAsia="仿宋_GB2312"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2.2.9</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2.2.11项目验收之前、验收之后的维护方案；针对本项目的维护方案，并明示服务承诺可能涉及的前提设定和费用，否则将被认为是无条件和免费的。承诺质保期内均提供免费上门服务；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2.2.14</w:t>
      </w:r>
      <w:r>
        <w:rPr>
          <w:rFonts w:hint="eastAsia" w:ascii="仿宋_GB2312" w:hAnsi="仿宋_GB2312" w:eastAsia="仿宋_GB2312" w:cs="仿宋_GB2312"/>
          <w:kern w:val="0"/>
          <w:sz w:val="24"/>
          <w:highlight w:val="none"/>
          <w:lang w:val="zh-CN"/>
        </w:rPr>
        <w:t xml:space="preserve">培训计划（如有）； </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2.2.15验收方案；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2.2.16</w:t>
      </w:r>
      <w:r>
        <w:rPr>
          <w:rFonts w:hint="eastAsia" w:ascii="仿宋_GB2312" w:hAnsi="仿宋_GB2312" w:eastAsia="仿宋_GB2312" w:cs="仿宋_GB2312"/>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2.2.17廉政承诺书</w:t>
      </w:r>
      <w:r>
        <w:rPr>
          <w:rFonts w:hint="eastAsia" w:ascii="仿宋_GB2312" w:hAnsi="宋体" w:eastAsia="仿宋_GB2312"/>
          <w:sz w:val="24"/>
          <w:highlight w:val="none"/>
        </w:rPr>
        <w:t>（格式见第六部分附件）；</w:t>
      </w:r>
    </w:p>
    <w:p>
      <w:pPr>
        <w:pStyle w:val="19"/>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2.2.18联合协议（如有）；</w:t>
      </w:r>
    </w:p>
    <w:p>
      <w:pPr>
        <w:pStyle w:val="19"/>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2.2.19分包意向协议（如有）；</w:t>
      </w:r>
    </w:p>
    <w:p>
      <w:pPr>
        <w:pStyle w:val="19"/>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2.2.20中小企业声明函（如有）；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2.2.21</w:t>
      </w:r>
      <w:r>
        <w:rPr>
          <w:rFonts w:hint="eastAsia" w:ascii="仿宋_GB2312" w:hAnsi="宋体" w:eastAsia="仿宋_GB2312"/>
          <w:sz w:val="24"/>
          <w:highlight w:val="none"/>
          <w:u w:val="wave"/>
        </w:rPr>
        <w:t>未尽事宜请各投标单位按评分标准和相对应标项相关要求制作</w:t>
      </w:r>
      <w:r>
        <w:rPr>
          <w:rFonts w:hint="eastAsia" w:ascii="仿宋_GB2312" w:hAnsi="宋体" w:eastAsia="仿宋_GB2312"/>
          <w:sz w:val="24"/>
          <w:highlight w:val="none"/>
        </w:rPr>
        <w:t>；</w:t>
      </w:r>
    </w:p>
    <w:p>
      <w:pPr>
        <w:pStyle w:val="19"/>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highlight w:val="none"/>
        </w:rPr>
      </w:pPr>
      <w:r>
        <w:rPr>
          <w:rFonts w:hint="eastAsia" w:ascii="仿宋_GB2312" w:hAnsi="宋体" w:eastAsia="仿宋_GB2312"/>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投标报价</w:t>
      </w:r>
    </w:p>
    <w:p>
      <w:pPr>
        <w:pStyle w:val="22"/>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3.1投标人应按招标文件中《开标一览表》等附表要求填写。</w:t>
      </w:r>
    </w:p>
    <w:p>
      <w:pPr>
        <w:pStyle w:val="22"/>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w:t>
      </w:r>
      <w:r>
        <w:rPr>
          <w:rFonts w:hint="eastAsia" w:ascii="仿宋_GB2312" w:hAnsi="宋体" w:eastAsia="仿宋_GB2312"/>
          <w:b/>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highlight w:val="none"/>
        </w:rPr>
      </w:pPr>
      <w:r>
        <w:rPr>
          <w:rFonts w:hint="eastAsia" w:ascii="仿宋_GB2312" w:hAnsi="宋体" w:eastAsia="仿宋_GB2312"/>
          <w:b/>
          <w:szCs w:val="24"/>
          <w:highlight w:val="none"/>
        </w:rPr>
        <w:t>4.投标文件的有效期</w:t>
      </w:r>
    </w:p>
    <w:p>
      <w:pPr>
        <w:pStyle w:val="13"/>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4.1</w:t>
      </w:r>
      <w:r>
        <w:rPr>
          <w:rFonts w:hint="eastAsia" w:ascii="仿宋_GB2312" w:hAnsi="仿宋" w:eastAsia="仿宋_GB2312" w:cs="仿宋_GB2312"/>
          <w:highlight w:val="none"/>
        </w:rPr>
        <w:t>投标有效期为从提交投标文件的截止之日起90天。</w:t>
      </w:r>
      <w:r>
        <w:rPr>
          <w:rFonts w:hint="eastAsia" w:ascii="仿宋_GB2312" w:hAnsi="仿宋" w:eastAsia="仿宋_GB2312" w:cs="仿宋_GB2312"/>
          <w:b/>
          <w:highlight w:val="none"/>
        </w:rPr>
        <w:t>投标人的投标文件中承</w:t>
      </w:r>
      <w:r>
        <w:rPr>
          <w:rFonts w:hint="eastAsia" w:ascii="仿宋_GB2312" w:hAnsi="仿宋" w:eastAsia="仿宋_GB2312" w:cs="仿宋_GB2312"/>
          <w:b/>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5.投标文件的规定</w:t>
      </w:r>
    </w:p>
    <w:p>
      <w:pPr>
        <w:pStyle w:val="22"/>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5.2投标文件须按附件格式要求进行电子签章，投标人应写全称。</w:t>
      </w:r>
    </w:p>
    <w:p>
      <w:pPr>
        <w:pStyle w:val="22"/>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5.4投标文件因字迹潦草或表达不清所引起的后果由投标人负责。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highlight w:val="none"/>
        </w:rPr>
      </w:pPr>
      <w:r>
        <w:rPr>
          <w:rFonts w:hint="eastAsia" w:ascii="仿宋_GB2312" w:hAnsi="宋体" w:eastAsia="仿宋_GB2312"/>
          <w:b/>
          <w:sz w:val="24"/>
          <w:highlight w:val="none"/>
        </w:rPr>
        <w:t>6</w:t>
      </w:r>
      <w:r>
        <w:rPr>
          <w:rFonts w:hint="eastAsia" w:ascii="仿宋_GB2312" w:hAnsi="仿宋" w:eastAsia="仿宋_GB2312" w:cs="仿宋_GB2312"/>
          <w:b/>
          <w:sz w:val="24"/>
          <w:highlight w:val="none"/>
        </w:rPr>
        <w:t>.投标文件的提交</w:t>
      </w:r>
    </w:p>
    <w:p>
      <w:pPr>
        <w:snapToGrid w:val="0"/>
        <w:spacing w:line="440" w:lineRule="exact"/>
        <w:ind w:firstLine="480" w:firstLineChars="200"/>
        <w:rPr>
          <w:rFonts w:ascii="仿宋_GB2312" w:eastAsia="仿宋_GB2312"/>
          <w:b/>
          <w:sz w:val="24"/>
          <w:highlight w:val="none"/>
        </w:rPr>
      </w:pP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rPr>
          <w:rFonts w:ascii="仿宋_GB2312" w:hAnsi="宋体" w:eastAsia="仿宋_GB2312"/>
          <w:b/>
          <w:kern w:val="0"/>
          <w:sz w:val="24"/>
          <w:highlight w:val="none"/>
        </w:rPr>
      </w:pPr>
      <w:r>
        <w:rPr>
          <w:rFonts w:hint="eastAsia" w:ascii="仿宋_GB2312" w:hAnsi="宋体" w:eastAsia="仿宋_GB2312"/>
          <w:b/>
          <w:sz w:val="24"/>
          <w:highlight w:val="none"/>
        </w:rPr>
        <w:t>7．</w:t>
      </w:r>
      <w:r>
        <w:rPr>
          <w:rFonts w:hint="eastAsia" w:ascii="仿宋_GB2312" w:hAnsi="宋体" w:eastAsia="仿宋_GB2312"/>
          <w:b/>
          <w:kern w:val="0"/>
          <w:sz w:val="24"/>
          <w:highlight w:val="none"/>
        </w:rPr>
        <w:t>投标文件的补充和修改</w:t>
      </w:r>
    </w:p>
    <w:p>
      <w:pPr>
        <w:spacing w:line="440" w:lineRule="exact"/>
        <w:ind w:firstLine="480" w:firstLineChars="200"/>
        <w:jc w:val="left"/>
        <w:rPr>
          <w:rFonts w:ascii="仿宋_GB2312" w:hAnsi="宋体" w:eastAsia="仿宋_GB2312"/>
          <w:kern w:val="0"/>
          <w:sz w:val="24"/>
          <w:highlight w:val="none"/>
        </w:rPr>
      </w:pPr>
      <w:r>
        <w:rPr>
          <w:rFonts w:hint="eastAsia" w:ascii="仿宋_GB2312" w:hAnsi="宋体" w:eastAsia="仿宋_GB2312"/>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highlight w:val="none"/>
        </w:rPr>
      </w:pPr>
      <w:r>
        <w:rPr>
          <w:rFonts w:hint="eastAsia" w:ascii="仿宋_GB2312" w:eastAsia="仿宋_GB2312"/>
          <w:b/>
          <w:sz w:val="32"/>
          <w:szCs w:val="32"/>
          <w:highlight w:val="none"/>
        </w:rPr>
        <w:t>四、开标和评标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1．电子招投标开标及评审程序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1.1投标截止时间后，主持人宣布开标会开始。</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1.3评标委员会对资格和商务技术响应文件进行评审。</w:t>
      </w:r>
    </w:p>
    <w:p>
      <w:pPr>
        <w:snapToGrid w:val="0"/>
        <w:spacing w:line="440" w:lineRule="exact"/>
        <w:jc w:val="left"/>
        <w:rPr>
          <w:rFonts w:ascii="仿宋_GB2312" w:eastAsia="仿宋_GB2312"/>
          <w:sz w:val="24"/>
          <w:highlight w:val="none"/>
        </w:rPr>
      </w:pPr>
      <w:r>
        <w:rPr>
          <w:rFonts w:hint="eastAsia" w:ascii="仿宋_GB2312" w:hAnsi="宋体" w:eastAsia="仿宋_GB2312"/>
          <w:sz w:val="24"/>
          <w:highlight w:val="none"/>
        </w:rPr>
        <w:t>1.4主持人宣布商务技术得分及</w:t>
      </w:r>
      <w:r>
        <w:rPr>
          <w:rFonts w:hint="eastAsia" w:ascii="仿宋_GB2312" w:eastAsia="仿宋_GB2312"/>
          <w:sz w:val="24"/>
          <w:highlight w:val="none"/>
        </w:rPr>
        <w:t>无效（废）投标情形</w:t>
      </w:r>
      <w:r>
        <w:rPr>
          <w:rFonts w:hint="eastAsia" w:ascii="仿宋_GB2312" w:hAnsi="宋体" w:eastAsia="仿宋_GB2312"/>
          <w:sz w:val="24"/>
          <w:highlight w:val="none"/>
        </w:rPr>
        <w:t>（如有），</w:t>
      </w:r>
      <w:r>
        <w:rPr>
          <w:rFonts w:hint="eastAsia" w:ascii="仿宋_GB2312" w:hAnsi="Arial" w:eastAsia="仿宋_GB2312" w:cs="Arial"/>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sz w:val="24"/>
          <w:highlight w:val="none"/>
        </w:rPr>
      </w:pPr>
      <w:r>
        <w:rPr>
          <w:rFonts w:hint="eastAsia" w:ascii="仿宋_GB2312" w:eastAsia="仿宋_GB2312"/>
          <w:sz w:val="24"/>
          <w:highlight w:val="none"/>
        </w:rPr>
        <w:t>1.5</w:t>
      </w:r>
      <w:r>
        <w:rPr>
          <w:rFonts w:hint="eastAsia" w:ascii="仿宋_GB2312" w:hAnsi="宋体" w:eastAsia="仿宋_GB2312"/>
          <w:sz w:val="24"/>
          <w:highlight w:val="none"/>
        </w:rPr>
        <w:t>启封</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1.6评标委员会对投标文件</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1.7主持人公布评标结果。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2.1电子交易平台发生故障而无法登录访问的；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2.2电子交易平台应用或数据库出现错误，不能进行正常操作的；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2.3电子交易平台发现严重安全漏洞，有潜在泄密危险的；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2.4病毒发作导致不能进行正常操作的；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2.5其他无法保证电子交易的公平、公正和安全的情况。</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3．评标</w:t>
      </w:r>
    </w:p>
    <w:p>
      <w:pPr>
        <w:spacing w:line="440" w:lineRule="exact"/>
        <w:jc w:val="left"/>
        <w:rPr>
          <w:rFonts w:ascii="仿宋_GB2312" w:hAnsi="宋体" w:eastAsia="仿宋_GB2312" w:cs="宋体"/>
          <w:sz w:val="24"/>
          <w:highlight w:val="none"/>
        </w:rPr>
      </w:pPr>
      <w:r>
        <w:rPr>
          <w:rFonts w:hint="eastAsia" w:ascii="仿宋_GB2312" w:hAnsi="宋体" w:eastAsia="仿宋_GB2312"/>
          <w:sz w:val="24"/>
          <w:highlight w:val="none"/>
        </w:rPr>
        <w:t>3.1</w:t>
      </w:r>
      <w:r>
        <w:rPr>
          <w:rFonts w:hint="eastAsia" w:ascii="仿宋_GB2312" w:hAnsi="宋体" w:eastAsia="仿宋_GB2312" w:cs="宋体"/>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3.3评标委员会负责对投标人资格的最终审定。</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供应商通过政采云平台交换的数据电文必须进行电子签章。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3.6评</w:t>
      </w:r>
      <w:r>
        <w:rPr>
          <w:rFonts w:hint="eastAsia" w:ascii="仿宋_GB2312" w:hAnsi="宋体" w:eastAsia="仿宋_GB2312"/>
          <w:sz w:val="24"/>
          <w:highlight w:val="none"/>
        </w:rPr>
        <w:t>标委员会</w:t>
      </w:r>
      <w:r>
        <w:rPr>
          <w:rFonts w:hint="eastAsia" w:ascii="仿宋_GB2312" w:hAnsi="宋体" w:eastAsia="仿宋_GB2312"/>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cs="宋体"/>
          <w:sz w:val="24"/>
          <w:highlight w:val="none"/>
        </w:rPr>
        <w:t>3.7评标委员会不向落标方解释落标的原因。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4．投标文件的初审鉴定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4.1资格性审查</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4.2符合性审查</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highlight w:val="none"/>
        </w:rPr>
      </w:pPr>
      <w:r>
        <w:rPr>
          <w:rFonts w:hint="eastAsia" w:ascii="仿宋_GB2312" w:hAnsi="宋体" w:eastAsia="仿宋_GB2312"/>
          <w:b/>
          <w:kern w:val="0"/>
          <w:sz w:val="24"/>
          <w:highlight w:val="none"/>
        </w:rPr>
        <w:t xml:space="preserve">5. </w:t>
      </w:r>
      <w:r>
        <w:rPr>
          <w:rFonts w:hint="eastAsia" w:ascii="仿宋_GB2312" w:hAnsi="宋体" w:eastAsia="仿宋_GB2312" w:cs="宋体"/>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sz w:val="24"/>
          <w:highlight w:val="none"/>
        </w:rPr>
      </w:pPr>
      <w:r>
        <w:rPr>
          <w:rFonts w:hint="eastAsia" w:ascii="仿宋_GB2312" w:hAnsi="宋体" w:eastAsia="仿宋_GB2312" w:cs="宋体"/>
          <w:b/>
          <w:sz w:val="24"/>
          <w:highlight w:val="none"/>
        </w:rPr>
        <w:t>6.投标文件的评审、比较和否决</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6.1评标委员会将对在实质上响应招标文件要求的投标文件进行评估和比较。</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highlight w:val="none"/>
        </w:rPr>
        <w:t>不得超过投标文件的范围或者改变投标文件的实质性内容。</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6.8评</w:t>
      </w:r>
      <w:r>
        <w:rPr>
          <w:rFonts w:hint="eastAsia" w:ascii="仿宋_GB2312" w:hAnsi="宋体" w:eastAsia="仿宋_GB2312" w:cs="宋体"/>
          <w:color w:val="auto"/>
          <w:sz w:val="24"/>
          <w:highlight w:val="none"/>
        </w:rPr>
        <w:t>标委员会依据招标文件规定的评标标准和方法，对投标文件进行评审和比较后，向本</w:t>
      </w:r>
      <w:r>
        <w:rPr>
          <w:rFonts w:hint="eastAsia" w:ascii="仿宋_GB2312" w:hAnsi="宋体" w:eastAsia="仿宋_GB2312" w:cs="宋体"/>
          <w:color w:val="auto"/>
          <w:sz w:val="24"/>
          <w:highlight w:val="none"/>
          <w:lang w:val="en-US" w:eastAsia="zh-CN"/>
        </w:rPr>
        <w:t>公司</w:t>
      </w:r>
      <w:r>
        <w:rPr>
          <w:rFonts w:hint="eastAsia" w:ascii="仿宋_GB2312" w:hAnsi="宋体" w:eastAsia="仿宋_GB2312" w:cs="宋体"/>
          <w:color w:val="auto"/>
          <w:sz w:val="24"/>
          <w:highlight w:val="none"/>
        </w:rPr>
        <w:t>提供书</w:t>
      </w:r>
      <w:r>
        <w:rPr>
          <w:rFonts w:hint="eastAsia" w:ascii="仿宋_GB2312" w:hAnsi="宋体" w:eastAsia="仿宋_GB2312" w:cs="宋体"/>
          <w:sz w:val="24"/>
          <w:highlight w:val="none"/>
        </w:rPr>
        <w:t>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highlight w:val="none"/>
        </w:rPr>
      </w:pPr>
      <w:r>
        <w:rPr>
          <w:rFonts w:hint="eastAsia" w:ascii="仿宋_GB2312" w:hAnsi="宋体" w:eastAsia="仿宋_GB2312"/>
          <w:b/>
          <w:highlight w:val="none"/>
        </w:rPr>
        <w:t>7.投标文件的澄清</w:t>
      </w:r>
    </w:p>
    <w:p>
      <w:pPr>
        <w:pStyle w:val="13"/>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2"/>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highlight w:val="none"/>
        </w:rPr>
      </w:pPr>
      <w:r>
        <w:rPr>
          <w:rFonts w:hint="eastAsia" w:ascii="仿宋_GB2312" w:hAnsi="仿宋" w:eastAsia="仿宋_GB2312" w:cs="仿宋_GB2312"/>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sz w:val="24"/>
          <w:highlight w:val="none"/>
        </w:rPr>
      </w:pPr>
      <w:r>
        <w:rPr>
          <w:rFonts w:hint="eastAsia" w:ascii="仿宋_GB2312" w:hAnsi="宋体" w:eastAsia="仿宋_GB2312"/>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8.22有下列情形之一的，属于恶意串通，其投标无效：</w:t>
      </w:r>
    </w:p>
    <w:p>
      <w:pPr>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rPr>
        <w:t>8.22.1</w:t>
      </w:r>
      <w:r>
        <w:rPr>
          <w:rFonts w:hint="eastAsia" w:ascii="仿宋_GB2312" w:hAnsi="仿宋" w:eastAsia="仿宋_GB2312" w:cs="仿宋_GB2312"/>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仿宋_GB2312" w:eastAsia="仿宋_GB2312" w:cs="仿宋_GB2312"/>
          <w:b/>
          <w:sz w:val="24"/>
          <w:szCs w:val="21"/>
          <w:highlight w:val="none"/>
        </w:rPr>
        <w:t>8.23</w:t>
      </w:r>
      <w:r>
        <w:rPr>
          <w:rFonts w:hint="eastAsia" w:ascii="仿宋_GB2312" w:hAnsi="宋体" w:eastAsia="仿宋_GB2312"/>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8.24投标文件出现不是唯一的、有选择性投标报价的；</w:t>
      </w:r>
    </w:p>
    <w:p>
      <w:pPr>
        <w:spacing w:line="440" w:lineRule="exact"/>
        <w:rPr>
          <w:rFonts w:ascii="仿宋_GB2312" w:eastAsia="仿宋_GB2312"/>
          <w:highlight w:val="none"/>
        </w:rPr>
      </w:pPr>
      <w:r>
        <w:rPr>
          <w:rFonts w:hint="eastAsia" w:ascii="仿宋_GB2312" w:eastAsia="仿宋_GB2312"/>
          <w:b/>
          <w:sz w:val="24"/>
          <w:highlight w:val="none"/>
        </w:rPr>
        <w:t>8.25</w:t>
      </w:r>
      <w:r>
        <w:rPr>
          <w:rFonts w:hint="eastAsia" w:ascii="仿宋_GB2312" w:hAnsi="宋体" w:eastAsia="仿宋_GB2312"/>
          <w:b/>
          <w:sz w:val="24"/>
          <w:highlight w:val="none"/>
        </w:rPr>
        <w:t>其他违反法律、法规的情形。</w:t>
      </w:r>
    </w:p>
    <w:p>
      <w:pPr>
        <w:snapToGrid w:val="0"/>
        <w:spacing w:line="440" w:lineRule="exact"/>
        <w:rPr>
          <w:rFonts w:ascii="仿宋_GB2312" w:hAnsi="宋体" w:eastAsia="仿宋_GB2312"/>
          <w:b/>
          <w:kern w:val="0"/>
          <w:sz w:val="24"/>
          <w:highlight w:val="none"/>
        </w:rPr>
      </w:pPr>
      <w:r>
        <w:rPr>
          <w:rFonts w:hint="eastAsia" w:ascii="仿宋_GB2312" w:hAnsi="宋体" w:eastAsia="仿宋_GB2312"/>
          <w:b/>
          <w:kern w:val="0"/>
          <w:sz w:val="24"/>
          <w:highlight w:val="none"/>
        </w:rPr>
        <w:t>9. 评标过程保密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9.1</w:t>
      </w:r>
      <w:r>
        <w:rPr>
          <w:rFonts w:hint="eastAsia" w:ascii="仿宋_GB2312" w:hAnsi="仿宋"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9.2 在评标期间，投标人企图影响招标人或</w:t>
      </w:r>
      <w:r>
        <w:rPr>
          <w:rFonts w:hint="eastAsia" w:ascii="仿宋_GB2312" w:hAnsi="宋体" w:eastAsia="仿宋_GB2312"/>
          <w:sz w:val="24"/>
          <w:highlight w:val="none"/>
        </w:rPr>
        <w:t>评标委员会</w:t>
      </w:r>
      <w:r>
        <w:rPr>
          <w:rFonts w:hint="eastAsia" w:ascii="仿宋_GB2312" w:hAnsi="宋体" w:eastAsia="仿宋_GB2312"/>
          <w:kern w:val="0"/>
          <w:sz w:val="24"/>
          <w:highlight w:val="none"/>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highlight w:val="none"/>
        </w:rPr>
      </w:pPr>
      <w:bookmarkStart w:id="4" w:name="_Toc84325929"/>
      <w:bookmarkStart w:id="5" w:name="_Toc81372953"/>
      <w:bookmarkStart w:id="6" w:name="_Toc81372776"/>
      <w:r>
        <w:rPr>
          <w:rFonts w:hint="eastAsia" w:ascii="仿宋_GB2312" w:hAnsi="宋体" w:eastAsia="仿宋_GB2312"/>
          <w:b/>
          <w:sz w:val="36"/>
          <w:szCs w:val="36"/>
          <w:highlight w:val="none"/>
        </w:rPr>
        <w:t>五、授予合同</w:t>
      </w:r>
    </w:p>
    <w:p>
      <w:pPr>
        <w:pStyle w:val="13"/>
        <w:tabs>
          <w:tab w:val="clear" w:pos="454"/>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1.中标条件</w:t>
      </w:r>
    </w:p>
    <w:p>
      <w:pPr>
        <w:pStyle w:val="13"/>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1.4投标人能够提供质量技术、商务经济占综合优势的系统及服务。</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2.中标确认</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2.3采购人应在确认中标人前再次对资格条件和相关证件材料进一步查验核实。</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3．中标通知</w:t>
      </w:r>
    </w:p>
    <w:p>
      <w:pPr>
        <w:pStyle w:val="152"/>
        <w:tabs>
          <w:tab w:val="left" w:pos="0"/>
        </w:tabs>
        <w:spacing w:before="0" w:line="440" w:lineRule="exact"/>
        <w:ind w:firstLine="0" w:firstLineChars="0"/>
        <w:rPr>
          <w:rFonts w:ascii="仿宋_GB2312" w:hAnsi="宋体" w:eastAsia="仿宋_GB2312"/>
          <w:szCs w:val="24"/>
          <w:highlight w:val="none"/>
        </w:rPr>
      </w:pPr>
      <w:r>
        <w:rPr>
          <w:rFonts w:hint="eastAsia" w:ascii="仿宋_GB2312" w:hAnsi="宋体" w:eastAsia="仿宋_GB2312"/>
          <w:szCs w:val="24"/>
          <w:highlight w:val="none"/>
        </w:rPr>
        <w:t>3.1</w:t>
      </w:r>
      <w:r>
        <w:rPr>
          <w:rFonts w:hint="eastAsia" w:ascii="仿宋_GB2312" w:hAnsi="Helvetica" w:eastAsia="仿宋_GB2312" w:cs="Helvetica"/>
          <w:kern w:val="0"/>
          <w:highlight w:val="none"/>
        </w:rPr>
        <w:t>采购代理机构</w:t>
      </w:r>
      <w:r>
        <w:rPr>
          <w:rFonts w:hint="eastAsia" w:ascii="仿宋_GB2312" w:hAnsi="宋体" w:eastAsia="仿宋_GB2312"/>
          <w:highlight w:val="none"/>
        </w:rPr>
        <w:t>对中标结果在指定媒体</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ascii="仿宋_GB2312" w:hAnsi="Helvetica" w:eastAsia="仿宋_GB2312"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eastAsia="仿宋_GB2312"/>
          <w:color w:val="auto"/>
          <w:highlight w:val="none"/>
        </w:rPr>
        <w:t>http://ggb.sx.gov.cn</w:t>
      </w:r>
      <w:r>
        <w:rPr>
          <w:rStyle w:val="49"/>
          <w:rFonts w:hint="eastAsia" w:ascii="仿宋_GB2312" w:eastAsia="仿宋_GB2312"/>
          <w:color w:val="auto"/>
          <w:highlight w:val="none"/>
        </w:rPr>
        <w:fldChar w:fldCharType="end"/>
      </w:r>
      <w:r>
        <w:rPr>
          <w:rFonts w:hint="eastAsia" w:ascii="仿宋_GB2312" w:hAnsi="Helvetica" w:eastAsia="仿宋_GB2312" w:cs="Helvetica"/>
          <w:kern w:val="0"/>
          <w:highlight w:val="none"/>
        </w:rPr>
        <w:t>）发布中标公告，中标公告期限为1个工作日。</w:t>
      </w:r>
    </w:p>
    <w:p>
      <w:pPr>
        <w:tabs>
          <w:tab w:val="left" w:pos="0"/>
        </w:tabs>
        <w:spacing w:line="440" w:lineRule="exact"/>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3.2采购机构通过政采云平台向中标供应商签发中标通知书。请中标供应商自行登录政采云平台下载并打印中标通知书。在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4.2项目验收结束后，采购人应及时退还履约保证金。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4.3供应商以银行、保险公司出具保函形式提交履约保证金的，采购人不得拒收。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4.4政府采购货物和服务项目不得收取质量保证金。</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5．合同签订及备案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5.1中标人应当在中标通知书发出之日起30天内与采购人签订合同，自采购合同签订之日起</w:t>
      </w:r>
      <w:r>
        <w:rPr>
          <w:rFonts w:hint="eastAsia" w:ascii="仿宋_GB2312" w:hAnsi="宋体" w:eastAsia="仿宋_GB2312"/>
          <w:b/>
          <w:sz w:val="24"/>
          <w:highlight w:val="none"/>
        </w:rPr>
        <w:t>3个工作日内</w:t>
      </w:r>
      <w:r>
        <w:rPr>
          <w:rFonts w:hint="eastAsia" w:ascii="仿宋_GB2312" w:hAnsi="宋体" w:eastAsia="仿宋_GB2312"/>
          <w:sz w:val="24"/>
          <w:highlight w:val="none"/>
        </w:rPr>
        <w:t>，通过电子交易平台进行备案。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6.验收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售后服务考核</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六、质疑与投诉</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1.供应商询问</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2.供应商质疑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（2）对采购过程提出质疑的，质疑期限为各采购程序环节结束之日起计算。</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（4）供应商应在法定质疑期内一次性提出针对同一采购程序环节的质疑。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（2）被质疑采购项目名称、编号及采购内容；</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（3）具体、明确的质疑事项和与质疑事项相关的请求</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（4）事实依据；</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（5）必要的法律依据；</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（6）认为自己合法权益受到损害或可能受到损害的相关证据材料；</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（7）提出质疑的日期。</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hint="eastAsia" w:ascii="仿宋_GB2312" w:hAnsi="仿宋" w:eastAsia="仿宋_GB2312"/>
          <w:sz w:val="24"/>
          <w:highlight w:val="none"/>
        </w:rPr>
        <w:tab/>
      </w:r>
      <w:r>
        <w:rPr>
          <w:rFonts w:hint="eastAsia" w:ascii="仿宋_GB2312" w:hAnsi="仿宋" w:eastAsia="仿宋_GB2312"/>
          <w:sz w:val="24"/>
          <w:highlight w:val="none"/>
        </w:rPr>
        <w:t>原则上由采购人回复的质疑：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（1）对采购文件中特定资格条件、采购需求、评分办法提出的质疑；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（2）对采购过程中有关现场考察或开标前答疑会事项提出的质疑。</w:t>
      </w:r>
    </w:p>
    <w:p>
      <w:pPr>
        <w:pStyle w:val="22"/>
        <w:spacing w:line="360" w:lineRule="auto"/>
        <w:ind w:firstLine="720" w:firstLineChars="300"/>
        <w:rPr>
          <w:rFonts w:ascii="仿宋_GB2312" w:hAnsi="仿宋" w:eastAsia="仿宋_GB2312"/>
          <w:sz w:val="24"/>
          <w:highlight w:val="none"/>
        </w:rPr>
      </w:pPr>
      <w:r>
        <w:rPr>
          <w:rFonts w:hint="eastAsia" w:ascii="仿宋_GB2312" w:hAnsi="仿宋" w:eastAsia="仿宋_GB2312"/>
          <w:sz w:val="24"/>
          <w:highlight w:val="none"/>
        </w:rPr>
        <w:t>原则上由采购代理机构回复的质疑：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（3）对采购结果提出的质疑。</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highlight w:val="none"/>
        </w:rPr>
      </w:pPr>
      <w:r>
        <w:rPr>
          <w:rFonts w:hint="eastAsia" w:ascii="仿宋_GB2312" w:hAnsi="宋体" w:eastAsia="仿宋_GB2312" w:cs="宋体"/>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8"/>
        <w:widowControl w:val="0"/>
        <w:spacing w:afterLines="0" w:line="40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68"/>
        <w:widowControl w:val="0"/>
        <w:spacing w:afterLines="0" w:line="40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8"/>
        <w:widowControl w:val="0"/>
        <w:spacing w:afterLines="0" w:line="40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0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8"/>
        <w:widowControl w:val="0"/>
        <w:spacing w:afterLines="0" w:line="40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8"/>
        <w:widowControl w:val="0"/>
        <w:spacing w:afterLines="0" w:line="40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8"/>
        <w:widowControl w:val="0"/>
        <w:spacing w:afterLines="0" w:line="40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19"/>
        <w:widowControl w:val="0"/>
        <w:tabs>
          <w:tab w:val="clear" w:pos="482"/>
        </w:tabs>
        <w:spacing w:afterLines="0" w:line="40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19"/>
        <w:widowControl w:val="0"/>
        <w:tabs>
          <w:tab w:val="clear" w:pos="482"/>
        </w:tabs>
        <w:spacing w:afterLines="0" w:line="40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19"/>
        <w:widowControl w:val="0"/>
        <w:tabs>
          <w:tab w:val="clear" w:pos="482"/>
        </w:tabs>
        <w:spacing w:afterLines="0" w:line="40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19"/>
        <w:widowControl w:val="0"/>
        <w:tabs>
          <w:tab w:val="clear" w:pos="482"/>
        </w:tabs>
        <w:spacing w:afterLines="0" w:line="40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19"/>
        <w:widowControl w:val="0"/>
        <w:tabs>
          <w:tab w:val="clear" w:pos="482"/>
        </w:tabs>
        <w:spacing w:afterLines="0" w:line="40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4"/>
        <w:spacing w:line="40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0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0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0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0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bookmarkStart w:id="7" w:name="_Toc151354173"/>
      <w:bookmarkStart w:id="8" w:name="_Toc81372787"/>
      <w:bookmarkStart w:id="9" w:name="_Toc80157775"/>
      <w:bookmarkStart w:id="10" w:name="_Toc84325981"/>
      <w:bookmarkStart w:id="11" w:name="_Toc81372964"/>
      <w:r>
        <w:rPr>
          <w:rFonts w:hint="eastAsia" w:ascii="仿宋_GB2312" w:hAnsi="宋体" w:eastAsia="仿宋_GB2312"/>
          <w:b/>
          <w:sz w:val="24"/>
          <w:highlight w:val="none"/>
        </w:rPr>
        <w:t>8.招标项目设备名称及数量：</w:t>
      </w:r>
    </w:p>
    <w:p>
      <w:pPr>
        <w:spacing w:line="440" w:lineRule="exact"/>
        <w:ind w:right="420"/>
        <w:rPr>
          <w:rFonts w:ascii="仿宋_GB2312" w:hAnsi="新宋体" w:eastAsia="仿宋_GB2312" w:cs="Arial"/>
          <w:b/>
          <w:bCs/>
          <w:sz w:val="24"/>
          <w:highlight w:val="none"/>
          <w:bdr w:val="single" w:color="auto" w:sz="4" w:space="0"/>
        </w:rPr>
      </w:pPr>
    </w:p>
    <w:p>
      <w:pPr>
        <w:spacing w:line="400" w:lineRule="exact"/>
        <w:ind w:firstLine="482" w:firstLineChars="200"/>
        <w:rPr>
          <w:rFonts w:ascii="仿宋_GB2312" w:hAnsi="新宋体" w:eastAsia="仿宋_GB2312" w:cs="Arial"/>
          <w:b/>
          <w:bCs/>
          <w:sz w:val="24"/>
          <w:highlight w:val="none"/>
        </w:rPr>
      </w:pPr>
      <w:r>
        <w:rPr>
          <w:rFonts w:hint="eastAsia" w:ascii="仿宋_GB2312" w:hAnsi="新宋体" w:eastAsia="仿宋_GB2312" w:cs="Arial"/>
          <w:b/>
          <w:bCs/>
          <w:sz w:val="24"/>
          <w:highlight w:val="none"/>
          <w:bdr w:val="single" w:color="auto" w:sz="4" w:space="0"/>
        </w:rPr>
        <w:t>01标</w:t>
      </w:r>
      <w:bookmarkStart w:id="12" w:name="_Toc32678"/>
      <w:bookmarkStart w:id="13" w:name="_Toc7206"/>
      <w:r>
        <w:rPr>
          <w:rFonts w:hint="eastAsia" w:ascii="仿宋_GB2312" w:hAnsi="新宋体" w:eastAsia="仿宋_GB2312" w:cs="Arial"/>
          <w:b/>
          <w:bCs/>
          <w:sz w:val="24"/>
          <w:highlight w:val="none"/>
        </w:rPr>
        <w:t>绍兴文理学院学生公寓家具采购项目</w:t>
      </w:r>
      <w:bookmarkEnd w:id="12"/>
      <w:bookmarkEnd w:id="13"/>
    </w:p>
    <w:tbl>
      <w:tblPr>
        <w:tblStyle w:val="42"/>
        <w:tblpPr w:leftFromText="180" w:rightFromText="180" w:vertAnchor="text" w:horzAnchor="page" w:tblpX="1105" w:tblpY="1917"/>
        <w:tblOverlap w:val="never"/>
        <w:tblW w:w="9540" w:type="dxa"/>
        <w:jc w:val="center"/>
        <w:tblLayout w:type="fixed"/>
        <w:tblCellMar>
          <w:top w:w="0" w:type="dxa"/>
          <w:left w:w="108" w:type="dxa"/>
          <w:bottom w:w="0" w:type="dxa"/>
          <w:right w:w="108" w:type="dxa"/>
        </w:tblCellMar>
      </w:tblPr>
      <w:tblGrid>
        <w:gridCol w:w="700"/>
        <w:gridCol w:w="660"/>
        <w:gridCol w:w="1720"/>
        <w:gridCol w:w="980"/>
        <w:gridCol w:w="620"/>
        <w:gridCol w:w="520"/>
        <w:gridCol w:w="3800"/>
        <w:gridCol w:w="540"/>
      </w:tblGrid>
      <w:tr>
        <w:tblPrEx>
          <w:tblCellMar>
            <w:top w:w="0" w:type="dxa"/>
            <w:left w:w="108" w:type="dxa"/>
            <w:bottom w:w="0" w:type="dxa"/>
            <w:right w:w="108" w:type="dxa"/>
          </w:tblCellMar>
        </w:tblPrEx>
        <w:trPr>
          <w:trHeight w:val="90" w:hRule="atLeast"/>
          <w:jc w:val="center"/>
        </w:trPr>
        <w:tc>
          <w:tcPr>
            <w:tcW w:w="9540" w:type="dxa"/>
            <w:gridSpan w:val="8"/>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宿舍家具配置参数及报价清单</w:t>
            </w:r>
          </w:p>
        </w:tc>
      </w:tr>
      <w:tr>
        <w:tblPrEx>
          <w:tblCellMar>
            <w:top w:w="0" w:type="dxa"/>
            <w:left w:w="108" w:type="dxa"/>
            <w:bottom w:w="0" w:type="dxa"/>
            <w:right w:w="108" w:type="dxa"/>
          </w:tblCellMar>
        </w:tblPrEx>
        <w:trPr>
          <w:trHeight w:val="5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序号</w:t>
            </w:r>
          </w:p>
        </w:tc>
        <w:tc>
          <w:tcPr>
            <w:tcW w:w="66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产品名称</w:t>
            </w:r>
          </w:p>
        </w:tc>
        <w:tc>
          <w:tcPr>
            <w:tcW w:w="172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 xml:space="preserve"> 参考图片</w:t>
            </w:r>
          </w:p>
        </w:tc>
        <w:tc>
          <w:tcPr>
            <w:tcW w:w="98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规格尺寸</w:t>
            </w:r>
          </w:p>
        </w:tc>
        <w:tc>
          <w:tcPr>
            <w:tcW w:w="62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数量</w:t>
            </w:r>
          </w:p>
        </w:tc>
        <w:tc>
          <w:tcPr>
            <w:tcW w:w="52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单位</w:t>
            </w:r>
          </w:p>
        </w:tc>
        <w:tc>
          <w:tcPr>
            <w:tcW w:w="3800"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黑体" w:hAnsi="宋体" w:eastAsia="黑体" w:cs="黑体"/>
                <w:b/>
                <w:bCs/>
                <w:color w:val="000000"/>
                <w:sz w:val="20"/>
                <w:szCs w:val="20"/>
                <w:highlight w:val="none"/>
              </w:rPr>
            </w:pPr>
            <w:r>
              <w:rPr>
                <w:rFonts w:hint="eastAsia" w:ascii="黑体" w:hAnsi="宋体" w:eastAsia="黑体" w:cs="黑体"/>
                <w:b/>
                <w:bCs/>
                <w:color w:val="000000"/>
                <w:kern w:val="0"/>
                <w:sz w:val="20"/>
                <w:szCs w:val="20"/>
                <w:highlight w:val="none"/>
                <w:lang w:bidi="ar"/>
              </w:rPr>
              <w:t>材质说明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备注</w:t>
            </w:r>
          </w:p>
        </w:tc>
      </w:tr>
      <w:tr>
        <w:tblPrEx>
          <w:tblCellMar>
            <w:top w:w="0" w:type="dxa"/>
            <w:left w:w="108" w:type="dxa"/>
            <w:bottom w:w="0" w:type="dxa"/>
            <w:right w:w="108" w:type="dxa"/>
          </w:tblCellMar>
        </w:tblPrEx>
        <w:trPr>
          <w:trHeight w:val="2345"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公寓床1型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1312" behindDoc="0" locked="0" layoutInCell="1" allowOverlap="1">
                  <wp:simplePos x="0" y="0"/>
                  <wp:positionH relativeFrom="column">
                    <wp:posOffset>34925</wp:posOffset>
                  </wp:positionH>
                  <wp:positionV relativeFrom="paragraph">
                    <wp:posOffset>2694305</wp:posOffset>
                  </wp:positionV>
                  <wp:extent cx="995045" cy="639445"/>
                  <wp:effectExtent l="0" t="0" r="8255" b="8255"/>
                  <wp:wrapNone/>
                  <wp:docPr id="19" name="图片_1"/>
                  <wp:cNvGraphicFramePr/>
                  <a:graphic xmlns:a="http://schemas.openxmlformats.org/drawingml/2006/main">
                    <a:graphicData uri="http://schemas.openxmlformats.org/drawingml/2006/picture">
                      <pic:pic xmlns:pic="http://schemas.openxmlformats.org/drawingml/2006/picture">
                        <pic:nvPicPr>
                          <pic:cNvPr id="19" name="图片_1"/>
                          <pic:cNvPicPr/>
                        </pic:nvPicPr>
                        <pic:blipFill>
                          <a:blip r:embed="rId10"/>
                          <a:stretch>
                            <a:fillRect/>
                          </a:stretch>
                        </pic:blipFill>
                        <pic:spPr>
                          <a:xfrm>
                            <a:off x="0" y="0"/>
                            <a:ext cx="995045" cy="639445"/>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4500*900*2280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300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组</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黑体" w:hAnsi="宋体" w:eastAsia="黑体" w:cs="黑体"/>
                <w:color w:val="000000"/>
                <w:kern w:val="0"/>
                <w:sz w:val="20"/>
                <w:szCs w:val="20"/>
                <w:highlight w:val="none"/>
                <w:lang w:bidi="ar"/>
              </w:rPr>
            </w:pPr>
            <w:r>
              <w:rPr>
                <w:rFonts w:hint="eastAsia" w:ascii="黑体" w:hAnsi="宋体" w:eastAsia="黑体" w:cs="黑体"/>
                <w:color w:val="000000"/>
                <w:kern w:val="0"/>
                <w:sz w:val="20"/>
                <w:szCs w:val="20"/>
                <w:highlight w:val="none"/>
                <w:lang w:bidi="ar"/>
              </w:rPr>
              <w:t>1.钢架：床架立脚主管采用65*65*26*1.0L型冷轧钢管，床框采用20*80*1.2mm及20*30*1.2mm矩形冷轧管组合而成；床架与床框采用双层卡扣式连接；蚊帐架采用30*20*1.2矩形冷轧钢管制作；样品一侧需裸露卡扣结构，另一侧需加盖塑料装饰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2.床板：18mm三聚氰胺实木颗粒板，同色封边，床板上开椭圆型透气孔，PP孔饰件密封；</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爬梯：内爬梯采用25*25*1.2mm冷轧方管焊接主体框架，踏板及门板整体采用18mm三聚氰胺实木颗粒板，侧板采用25mm三聚氰胺实木颗粒板，爬梯上三层采用上翻式柜门，踏板前端增加铝型材镶嵌PVC防滑条喷塑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4.床头板：床头侧板采用16MM三聚氰胺板。</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5.上铺护栏：护栏采用25*25*19*8*1.0内凹异形冷轧钢管，保证安全高度≥350mm，内部采用18mm三聚氰胺实木颗粒板做上下分色处理；后护栏板采用18mm三聚氰胺实木颗粒板.同色封边集成组装；</w:t>
            </w:r>
          </w:p>
          <w:p>
            <w:pPr>
              <w:widowControl/>
              <w:jc w:val="left"/>
              <w:textAlignment w:val="center"/>
              <w:rPr>
                <w:rFonts w:hint="eastAsia" w:ascii="黑体" w:hAnsi="宋体" w:eastAsia="黑体" w:cs="黑体"/>
                <w:color w:val="000000"/>
                <w:kern w:val="0"/>
                <w:sz w:val="20"/>
                <w:szCs w:val="20"/>
                <w:highlight w:val="none"/>
                <w:lang w:bidi="ar"/>
              </w:rPr>
            </w:pPr>
            <w:r>
              <w:rPr>
                <w:rFonts w:hint="eastAsia" w:ascii="黑体" w:hAnsi="宋体" w:eastAsia="黑体" w:cs="黑体"/>
                <w:color w:val="000000"/>
                <w:kern w:val="0"/>
                <w:sz w:val="20"/>
                <w:szCs w:val="20"/>
                <w:highlight w:val="none"/>
                <w:lang w:bidi="ar"/>
              </w:rPr>
              <w:t>▲前护栏板与护栏管钢架卡槽内置连接，无螺丝连接，前护栏管底座采用铝铸件增大强度。</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6.衣柜：衣柜采用斜切面造型（俯视为钻石造型），衣柜板整体采用16mm三聚氰胺实木颗粒板，衣柜最大可放入30寸行李箱；夹层板用16mm三聚氰胺实木颗粒板，同色封边集成组装；挖手+锁扣一体式设计，装锁后，锁悬挂于挖槽中，不容易磕碰，更加安全；</w:t>
            </w:r>
          </w:p>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▲衣柜拉手为PP材质嵌入式设计，流畅线条，整体性效果佳。</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7.床上装饰板：采用1.0mm厚度冷轧钢板制作，表面冲孔工艺</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8.书桌：采用16mm三聚氰胺实木颗粒板，上柜门板采用16mm厚三聚氰胺实木颗粒板，同色封边集成组装；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9.五金件：铰链及导轨采用“KAV”“FGV”或“DTC”同档次及以上配件；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所有板材要求需达到E0级国家标准。要求表面双贴德国夏特、富美家、威盛亚或同档次品牌三聚氰胺纸，钢架焊接均采用二氧化碳气体保护焊，表面经去油、除锈、硅烷工艺处理后静电喷塑。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四人间</w:t>
            </w:r>
          </w:p>
        </w:tc>
      </w:tr>
      <w:tr>
        <w:tblPrEx>
          <w:tblCellMar>
            <w:top w:w="0" w:type="dxa"/>
            <w:left w:w="108" w:type="dxa"/>
            <w:bottom w:w="0" w:type="dxa"/>
            <w:right w:w="108" w:type="dxa"/>
          </w:tblCellMar>
        </w:tblPrEx>
        <w:trPr>
          <w:trHeight w:val="31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单椅</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2336" behindDoc="0" locked="0" layoutInCell="1" allowOverlap="1">
                  <wp:simplePos x="0" y="0"/>
                  <wp:positionH relativeFrom="column">
                    <wp:posOffset>226695</wp:posOffset>
                  </wp:positionH>
                  <wp:positionV relativeFrom="paragraph">
                    <wp:posOffset>364490</wp:posOffset>
                  </wp:positionV>
                  <wp:extent cx="749300" cy="975360"/>
                  <wp:effectExtent l="0" t="0" r="0" b="2540"/>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1"/>
                          <a:stretch>
                            <a:fillRect/>
                          </a:stretch>
                        </pic:blipFill>
                        <pic:spPr>
                          <a:xfrm>
                            <a:off x="0" y="0"/>
                            <a:ext cx="749300" cy="975360"/>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500*490*800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1620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张</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 xml:space="preserve">1.椅面：使用改性PP材料混入加强纤维，经模具一次注塑成型，独具匠心的椅背设计，提供舒适安全背部支撑。椅面边缘厚度≥4MM,椅面座深：≥390MM。椅面带有腰靠，腰靠尺寸：305*120mm，腰靠边缘渐薄设计，边缘尺寸：≥2MM。 （四色可选） </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2.脚套：主体选用尼龙（PA)材料制作，与地面接触面采用毛毡软性材料，具有优质的耐磨性和保护地面的特点，前端脚套尺寸：40*43MM，后脚垫尺寸：85*100*33MM。</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3.钢架：椅脚采用φ32*1.8mm圆管；椅面固定管采用φ25*1.5mm圆管，弯管焊接加工。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通用</w:t>
            </w:r>
          </w:p>
        </w:tc>
      </w:tr>
      <w:tr>
        <w:tblPrEx>
          <w:tblCellMar>
            <w:top w:w="0" w:type="dxa"/>
            <w:left w:w="108" w:type="dxa"/>
            <w:bottom w:w="0" w:type="dxa"/>
            <w:right w:w="108" w:type="dxa"/>
          </w:tblCellMar>
        </w:tblPrEx>
        <w:trPr>
          <w:trHeight w:val="39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入户四门衣柜</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sz w:val="20"/>
                <w:szCs w:val="20"/>
                <w:highlight w:val="none"/>
                <w:lang w:eastAsia="zh-CN"/>
              </w:rPr>
              <w:drawing>
                <wp:inline distT="0" distB="0" distL="114300" distR="114300">
                  <wp:extent cx="1001395" cy="1071245"/>
                  <wp:effectExtent l="0" t="0" r="1905" b="8255"/>
                  <wp:docPr id="3" name="图片 3" descr="cd6ac86e4c9974a60b543d022ed8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6ac86e4c9974a60b543d022ed8f9e"/>
                          <pic:cNvPicPr>
                            <a:picLocks noChangeAspect="1"/>
                          </pic:cNvPicPr>
                        </pic:nvPicPr>
                        <pic:blipFill>
                          <a:blip r:embed="rId12"/>
                          <a:stretch>
                            <a:fillRect/>
                          </a:stretch>
                        </pic:blipFill>
                        <pic:spPr>
                          <a:xfrm>
                            <a:off x="0" y="0"/>
                            <a:ext cx="1001395" cy="1071245"/>
                          </a:xfrm>
                          <a:prstGeom prst="rect">
                            <a:avLst/>
                          </a:prstGeom>
                        </pic:spPr>
                      </pic:pic>
                    </a:graphicData>
                  </a:graphic>
                </wp:inline>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2400*600*1600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150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个</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1.柜体：整体采用18mm厚三聚氰胺实木颗粒板制作，背板采用9mm中纤板制作，挂衣杆底座采用ABS材料，不锈钢挂衣标杆或铝合金挂衣杆尺寸</w:t>
            </w:r>
            <w:r>
              <w:rPr>
                <w:rFonts w:ascii="Calibri" w:hAnsi="Calibri" w:eastAsia="黑体" w:cs="Calibri"/>
                <w:color w:val="000000"/>
                <w:kern w:val="0"/>
                <w:sz w:val="20"/>
                <w:szCs w:val="20"/>
                <w:highlight w:val="none"/>
                <w:lang w:bidi="ar"/>
              </w:rPr>
              <w:t>φ</w:t>
            </w:r>
            <w:r>
              <w:rPr>
                <w:rFonts w:hint="eastAsia" w:ascii="黑体" w:hAnsi="宋体" w:eastAsia="黑体" w:cs="黑体"/>
                <w:color w:val="000000"/>
                <w:kern w:val="0"/>
                <w:sz w:val="20"/>
                <w:szCs w:val="20"/>
                <w:highlight w:val="none"/>
                <w:lang w:bidi="ar"/>
              </w:rPr>
              <w:t>22mm厚度1mm或30*18mm，上圆（R6）下方。</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2.底座：采用25*25*1.2mm方形冷轧钢管和</w:t>
            </w:r>
            <w:r>
              <w:rPr>
                <w:rFonts w:ascii="Calibri" w:hAnsi="Calibri" w:eastAsia="黑体" w:cs="Calibri"/>
                <w:color w:val="000000"/>
                <w:kern w:val="0"/>
                <w:sz w:val="20"/>
                <w:szCs w:val="20"/>
                <w:highlight w:val="none"/>
                <w:lang w:bidi="ar"/>
              </w:rPr>
              <w:t>φ</w:t>
            </w:r>
            <w:r>
              <w:rPr>
                <w:rFonts w:hint="eastAsia" w:ascii="黑体" w:hAnsi="宋体" w:eastAsia="黑体" w:cs="黑体"/>
                <w:color w:val="000000"/>
                <w:kern w:val="0"/>
                <w:sz w:val="20"/>
                <w:szCs w:val="20"/>
                <w:highlight w:val="none"/>
                <w:lang w:bidi="ar"/>
              </w:rPr>
              <w:t>19*1.2mm圆形冷轧钢管制作；</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五金件：铰链及导轨采用“KAV”“FGV”或“DTC”同档次及以上配件；拉手采用采用铝、塑复合长腰形短拉手，多色可选，拉手底座规格：100*40*23.2mm，拉手盖规格：84*24*15mm，不得采用金属焊接件，以防学生存取物品易刮伤。</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所有板材要求需达到E0级国家标准。要求表面双贴德国夏特、富美家、威盛亚或同档次品牌三聚氰胺纸，钢架焊接均采用二氧化碳气体保护焊，表面经去油、除锈、硅烷工艺处理后静电喷塑。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四人间</w:t>
            </w:r>
          </w:p>
        </w:tc>
      </w:tr>
      <w:tr>
        <w:tblPrEx>
          <w:tblCellMar>
            <w:top w:w="0" w:type="dxa"/>
            <w:left w:w="108" w:type="dxa"/>
            <w:bottom w:w="0" w:type="dxa"/>
            <w:right w:w="108" w:type="dxa"/>
          </w:tblCellMar>
        </w:tblPrEx>
        <w:trPr>
          <w:trHeight w:val="818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公寓床2型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3360" behindDoc="0" locked="0" layoutInCell="1" allowOverlap="1">
                  <wp:simplePos x="0" y="0"/>
                  <wp:positionH relativeFrom="column">
                    <wp:posOffset>20320</wp:posOffset>
                  </wp:positionH>
                  <wp:positionV relativeFrom="paragraph">
                    <wp:posOffset>2202180</wp:posOffset>
                  </wp:positionV>
                  <wp:extent cx="1082040" cy="1475105"/>
                  <wp:effectExtent l="0" t="0" r="10160" b="10795"/>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13"/>
                          <a:stretch>
                            <a:fillRect/>
                          </a:stretch>
                        </pic:blipFill>
                        <pic:spPr>
                          <a:xfrm>
                            <a:off x="0" y="0"/>
                            <a:ext cx="1082040" cy="1475105"/>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2500*900*2280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960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张</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黑体" w:hAnsi="宋体" w:eastAsia="黑体" w:cs="黑体"/>
                <w:color w:val="000000"/>
                <w:kern w:val="0"/>
                <w:sz w:val="20"/>
                <w:szCs w:val="20"/>
                <w:highlight w:val="none"/>
                <w:lang w:bidi="ar"/>
              </w:rPr>
            </w:pPr>
            <w:r>
              <w:rPr>
                <w:rFonts w:hint="eastAsia" w:ascii="黑体" w:hAnsi="宋体" w:eastAsia="黑体" w:cs="黑体"/>
                <w:color w:val="000000"/>
                <w:kern w:val="0"/>
                <w:sz w:val="20"/>
                <w:szCs w:val="20"/>
                <w:highlight w:val="none"/>
                <w:lang w:bidi="ar"/>
              </w:rPr>
              <w:t>1.钢架：床架立脚主管采用65*65*26*1.0L型冷轧钢管，床框采用20*80*1.2mm及20*30*1.2mm矩形冷轧管组合而成；蚊帐架采用30*20*1.2矩形冷轧钢管制作；床架与床框采用双层卡扣式连接；样品一侧需裸露卡扣结构，另一侧需加盖塑料装饰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2.床板：18mm三聚氰胺实木颗粒板，同色封边，床板上开椭圆型透气孔，PP孔饰件密封；</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爬梯：内爬梯采用25*25*1.2mm冷轧方管焊接主体框架，踏板及门板整体采用18mm三聚氰胺实木颗粒板，侧板采用25mm三聚氰胺实木颗粒板，爬梯上三层采用上翻式柜门，踏板前端增加铝型材镶嵌PVC防滑条喷塑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4.床头板：床头侧板采用16MM三聚氰胺板。</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5.上铺护栏：护栏采用25*25*19*8*1.0内凹异形冷轧钢管，保证安全高度≥350mm，内部采用18mm三聚氰胺实木颗粒板做上下分色处理；后护栏板采用18mm三聚氰胺实木颗粒板.同色封边集成组装；</w:t>
            </w:r>
          </w:p>
          <w:p>
            <w:pPr>
              <w:widowControl/>
              <w:jc w:val="left"/>
              <w:textAlignment w:val="center"/>
              <w:rPr>
                <w:rFonts w:hint="eastAsia" w:ascii="黑体" w:hAnsi="宋体" w:eastAsia="黑体" w:cs="黑体"/>
                <w:color w:val="000000"/>
                <w:kern w:val="0"/>
                <w:sz w:val="20"/>
                <w:szCs w:val="20"/>
                <w:highlight w:val="none"/>
                <w:lang w:bidi="ar"/>
              </w:rPr>
            </w:pPr>
            <w:r>
              <w:rPr>
                <w:rFonts w:hint="eastAsia" w:ascii="黑体" w:hAnsi="宋体" w:eastAsia="黑体" w:cs="黑体"/>
                <w:color w:val="000000"/>
                <w:kern w:val="0"/>
                <w:sz w:val="20"/>
                <w:szCs w:val="20"/>
                <w:highlight w:val="none"/>
                <w:lang w:bidi="ar"/>
              </w:rPr>
              <w:t>▲前护栏板与护栏管钢架卡槽内置连接，无螺丝连接，前护栏管底座采用铝铸件增大强度。</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6.衣柜：衣柜采用斜切面造型（俯视为钻石造型），衣柜板整体采用16mm三聚氰胺实木颗粒板，衣柜最大可放入30寸行李箱；夹层板用16mm三聚氰胺实木颗粒板，同色封边集成组装；挖手+锁扣一体式设计，装锁后，锁悬挂于挖槽中，不容易磕碰，更加安全；</w:t>
            </w:r>
          </w:p>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▲衣柜拉手为PP材质嵌入式设计，流畅线条，整体性效果佳。</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7.床上装饰板：采用1.0mm厚度冷轧钢板制作，表面冲孔工艺</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8.书桌：采用16mm三聚氰胺实木颗粒板，上柜门板采用16mm厚三聚氰胺实木颗粒板，同色封边集成组装；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9.五金件：铰链及导轨采用“KAV”“FGV”或“DTC”同档次及以上配件；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所有板材要求需达到E0级国家标准。要求表面双贴德国夏特、富美家、威盛亚或同档次品牌三聚氰胺纸，钢架焊接均采用二氧化碳气体保护焊，表面经去油、除锈、硅烷工艺处理后静电喷塑。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highlight w:val="none"/>
              </w:rPr>
            </w:pPr>
            <w:r>
              <w:rPr>
                <w:rFonts w:hint="eastAsia" w:ascii="等线" w:hAnsi="等线" w:eastAsia="等线" w:cs="等线"/>
                <w:color w:val="000000"/>
                <w:kern w:val="0"/>
                <w:sz w:val="20"/>
                <w:szCs w:val="20"/>
                <w:highlight w:val="none"/>
                <w:lang w:bidi="ar"/>
              </w:rPr>
              <w:t>双人间</w:t>
            </w:r>
          </w:p>
        </w:tc>
      </w:tr>
      <w:tr>
        <w:tblPrEx>
          <w:tblCellMar>
            <w:top w:w="0" w:type="dxa"/>
            <w:left w:w="108" w:type="dxa"/>
            <w:bottom w:w="0" w:type="dxa"/>
            <w:right w:w="108" w:type="dxa"/>
          </w:tblCellMar>
        </w:tblPrEx>
        <w:trPr>
          <w:trHeight w:val="338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边柜</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4384" behindDoc="0" locked="0" layoutInCell="1" allowOverlap="1">
                  <wp:simplePos x="0" y="0"/>
                  <wp:positionH relativeFrom="column">
                    <wp:posOffset>264795</wp:posOffset>
                  </wp:positionH>
                  <wp:positionV relativeFrom="paragraph">
                    <wp:posOffset>153670</wp:posOffset>
                  </wp:positionV>
                  <wp:extent cx="643255" cy="1926590"/>
                  <wp:effectExtent l="0" t="0" r="4445" b="3810"/>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14"/>
                          <a:stretch>
                            <a:fillRect/>
                          </a:stretch>
                        </pic:blipFill>
                        <pic:spPr>
                          <a:xfrm>
                            <a:off x="0" y="0"/>
                            <a:ext cx="643255" cy="1926590"/>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600*600*2280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980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个</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柜体：整体采用18mm厚三聚氰胺实木颗粒板制作，背板采用9mm中纤板制作，挂衣杆底座采用ABS材料，不锈钢挂衣标杆或铝合金挂衣杆尺寸φ22mm厚度1mm或30*18mm，上圆（R6）下方。柜体下部分放置行李箱，做空格柜处理。</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五金件：铰链采用“KAV”“FGV”或“DTC”同档次及以上配件；拉手采用采用铝、塑复合长腰形短拉手，多色可选，拉手底座规格：100*40*23.2mm，拉手盖规格：84*24*15mm，不得采用金属焊接件，以防学生存取物品易刮伤。</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highlight w:val="none"/>
              </w:rPr>
            </w:pPr>
            <w:r>
              <w:rPr>
                <w:rFonts w:hint="eastAsia" w:ascii="等线" w:hAnsi="等线" w:eastAsia="等线" w:cs="等线"/>
                <w:color w:val="000000"/>
                <w:kern w:val="0"/>
                <w:sz w:val="20"/>
                <w:szCs w:val="20"/>
                <w:highlight w:val="none"/>
                <w:lang w:bidi="ar"/>
              </w:rPr>
              <w:t>双人间</w:t>
            </w:r>
          </w:p>
        </w:tc>
      </w:tr>
      <w:tr>
        <w:tblPrEx>
          <w:tblCellMar>
            <w:top w:w="0" w:type="dxa"/>
            <w:left w:w="108" w:type="dxa"/>
            <w:bottom w:w="0" w:type="dxa"/>
            <w:right w:w="108" w:type="dxa"/>
          </w:tblCellMar>
        </w:tblPrEx>
        <w:trPr>
          <w:trHeight w:val="5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公寓床3型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5408" behindDoc="0" locked="0" layoutInCell="1" allowOverlap="1">
                  <wp:simplePos x="0" y="0"/>
                  <wp:positionH relativeFrom="column">
                    <wp:posOffset>10160</wp:posOffset>
                  </wp:positionH>
                  <wp:positionV relativeFrom="paragraph">
                    <wp:posOffset>2002155</wp:posOffset>
                  </wp:positionV>
                  <wp:extent cx="1049655" cy="1306195"/>
                  <wp:effectExtent l="0" t="0" r="4445" b="1905"/>
                  <wp:wrapNone/>
                  <wp:docPr id="24" name="图片_7"/>
                  <wp:cNvGraphicFramePr/>
                  <a:graphic xmlns:a="http://schemas.openxmlformats.org/drawingml/2006/main">
                    <a:graphicData uri="http://schemas.openxmlformats.org/drawingml/2006/picture">
                      <pic:pic xmlns:pic="http://schemas.openxmlformats.org/drawingml/2006/picture">
                        <pic:nvPicPr>
                          <pic:cNvPr id="24" name="图片_7"/>
                          <pic:cNvPicPr/>
                        </pic:nvPicPr>
                        <pic:blipFill>
                          <a:blip r:embed="rId15"/>
                          <a:stretch>
                            <a:fillRect/>
                          </a:stretch>
                        </pic:blipFill>
                        <pic:spPr>
                          <a:xfrm>
                            <a:off x="0" y="0"/>
                            <a:ext cx="1049655" cy="1306195"/>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2500*900*2280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张</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黑体" w:hAnsi="宋体" w:eastAsia="黑体" w:cs="黑体"/>
                <w:color w:val="000000"/>
                <w:kern w:val="0"/>
                <w:sz w:val="20"/>
                <w:szCs w:val="20"/>
                <w:highlight w:val="none"/>
                <w:lang w:bidi="ar"/>
              </w:rPr>
            </w:pPr>
            <w:r>
              <w:rPr>
                <w:rFonts w:hint="eastAsia" w:ascii="黑体" w:hAnsi="宋体" w:eastAsia="黑体" w:cs="黑体"/>
                <w:color w:val="000000"/>
                <w:kern w:val="0"/>
                <w:sz w:val="20"/>
                <w:szCs w:val="20"/>
                <w:highlight w:val="none"/>
                <w:lang w:bidi="ar"/>
              </w:rPr>
              <w:t>1.钢架：床架立脚主管采用65*65*26*1.0L型冷轧钢管，床框采用20*80*1.2mm及20*30*1.2mm矩形冷轧管组合而成；蚊帐架采用30*20*1.2矩形冷轧钢管制作；床架与床框采用双层卡扣式连接；样品一侧需裸露卡扣结构，另一侧需加盖塑料装饰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2.床板：18mm三聚氰胺实木颗粒板，同色封边，床板上开椭圆型透气孔，PP孔饰件密封；</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爬梯：内爬梯采用25*25*1.2mm冷轧方管焊接主体框架，踏板及门板整体采用18mm三聚氰胺实木颗粒板，侧板采用25mm三聚氰胺实木颗粒板，爬梯上三层采用上翻式柜门，踏板前端增加铝型材镶嵌PVC防滑条喷塑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4.床头板：床头侧板采用16MM三聚氰胺板。</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5.上铺护栏：护栏采用25*25*19*8*1.0内凹异形冷轧钢管，保证安全高度≥350mm，内部采用18mm三聚氰胺实木颗粒板做上下分色处理；后护栏板采用18mm三聚氰胺实木颗粒板.同色封边集成组装；</w:t>
            </w:r>
          </w:p>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▲护栏板与护栏管钢架卡槽内置连接，无螺丝连接，前护栏管底座采用铝铸件增大强度。</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6.床上装饰板：采用1.0mm厚度冷轧钢板制作，表面冲孔工艺</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7.书桌：采用16mm三聚氰胺实木颗粒板，上柜门板采用16mm厚三聚氰胺实木颗粒板，同色封边集成组装；</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8.五金件：铰链及导轨采用“KAV”“FGV”或“DTC”同档次及以上配件；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所有板材要求需达到E0级国家标准。要求表面双贴德国夏特、富美家、威盛亚或同档次品牌三聚氰胺纸，钢架焊接均采用二氧化碳气体保护焊，表面经去油、除锈、硅烷工艺处理后静电喷塑。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highlight w:val="none"/>
              </w:rPr>
            </w:pPr>
            <w:r>
              <w:rPr>
                <w:rFonts w:hint="eastAsia" w:ascii="等线" w:hAnsi="等线" w:eastAsia="等线" w:cs="等线"/>
                <w:color w:val="000000"/>
                <w:kern w:val="0"/>
                <w:sz w:val="20"/>
                <w:szCs w:val="20"/>
                <w:highlight w:val="none"/>
                <w:lang w:bidi="ar"/>
              </w:rPr>
              <w:t>无障碍房</w:t>
            </w:r>
          </w:p>
        </w:tc>
      </w:tr>
      <w:tr>
        <w:tblPrEx>
          <w:tblCellMar>
            <w:top w:w="0" w:type="dxa"/>
            <w:left w:w="108" w:type="dxa"/>
            <w:bottom w:w="0" w:type="dxa"/>
            <w:right w:w="108" w:type="dxa"/>
          </w:tblCellMar>
        </w:tblPrEx>
        <w:trPr>
          <w:trHeight w:val="31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单人床</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p>
          <w:p>
            <w:pPr>
              <w:widowControl/>
              <w:jc w:val="center"/>
              <w:textAlignment w:val="center"/>
              <w:rPr>
                <w:rFonts w:ascii="黑体" w:hAnsi="宋体" w:eastAsia="黑体" w:cs="黑体"/>
                <w:color w:val="000000"/>
                <w:sz w:val="20"/>
                <w:szCs w:val="20"/>
                <w:highlight w:val="none"/>
              </w:rPr>
            </w:pPr>
          </w:p>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6432" behindDoc="0" locked="0" layoutInCell="1" allowOverlap="1">
                  <wp:simplePos x="0" y="0"/>
                  <wp:positionH relativeFrom="column">
                    <wp:posOffset>-63500</wp:posOffset>
                  </wp:positionH>
                  <wp:positionV relativeFrom="paragraph">
                    <wp:posOffset>259715</wp:posOffset>
                  </wp:positionV>
                  <wp:extent cx="1036955" cy="989965"/>
                  <wp:effectExtent l="0" t="0" r="14605" b="635"/>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16"/>
                          <a:stretch>
                            <a:fillRect/>
                          </a:stretch>
                        </pic:blipFill>
                        <pic:spPr>
                          <a:xfrm>
                            <a:off x="0" y="0"/>
                            <a:ext cx="1036955" cy="989965"/>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2100*900*1000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张</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1.床整体采用三聚氰胺实木颗粒板，板厚≥18mm，板材采用1.5mm同色PVC封边，其中床靠板及围板32mm厚，同色封边，床板上开椭圆型透气孔，PP孔饰件密封。其余板材18mm厚，抽屉底板9mm厚。</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2.床下抽屉隐藏式外挖拉手，中间放置行李箱推拉盒，采用钢架制作；</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3.五金件：铰链及导轨采用“KAV”“FGV”或“DTC”同档次及以上配件；</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所有板材要求需达到E0级国家标准。要求表面双贴德国夏特、富美家、威盛亚或同档次品牌三聚氰胺纸，钢架焊接均采用二氧化碳气体保护焊，表面经去油、除锈、硅烷工艺处理后静电喷塑。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highlight w:val="none"/>
              </w:rPr>
            </w:pPr>
            <w:r>
              <w:rPr>
                <w:rFonts w:hint="eastAsia" w:ascii="等线" w:hAnsi="等线" w:eastAsia="等线" w:cs="等线"/>
                <w:color w:val="000000"/>
                <w:kern w:val="0"/>
                <w:sz w:val="20"/>
                <w:szCs w:val="20"/>
                <w:highlight w:val="none"/>
                <w:lang w:bidi="ar"/>
              </w:rPr>
              <w:t>无障碍房</w:t>
            </w:r>
          </w:p>
        </w:tc>
      </w:tr>
      <w:tr>
        <w:tblPrEx>
          <w:tblCellMar>
            <w:top w:w="0" w:type="dxa"/>
            <w:left w:w="108" w:type="dxa"/>
            <w:bottom w:w="0" w:type="dxa"/>
            <w:right w:w="108" w:type="dxa"/>
          </w:tblCellMar>
        </w:tblPrEx>
        <w:trPr>
          <w:trHeight w:val="312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双门衣柜</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p>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bdr w:val="single" w:color="000000" w:sz="4" w:space="0"/>
              </w:rPr>
              <w:drawing>
                <wp:anchor distT="0" distB="0" distL="114300" distR="114300" simplePos="0" relativeHeight="251667456" behindDoc="0" locked="0" layoutInCell="1" allowOverlap="1">
                  <wp:simplePos x="0" y="0"/>
                  <wp:positionH relativeFrom="column">
                    <wp:posOffset>-6350</wp:posOffset>
                  </wp:positionH>
                  <wp:positionV relativeFrom="paragraph">
                    <wp:posOffset>218440</wp:posOffset>
                  </wp:positionV>
                  <wp:extent cx="914400" cy="1532255"/>
                  <wp:effectExtent l="0" t="0" r="0" b="6985"/>
                  <wp:wrapNone/>
                  <wp:docPr id="18" name="图片_11"/>
                  <wp:cNvGraphicFramePr/>
                  <a:graphic xmlns:a="http://schemas.openxmlformats.org/drawingml/2006/main">
                    <a:graphicData uri="http://schemas.openxmlformats.org/drawingml/2006/picture">
                      <pic:pic xmlns:pic="http://schemas.openxmlformats.org/drawingml/2006/picture">
                        <pic:nvPicPr>
                          <pic:cNvPr id="18" name="图片_11"/>
                          <pic:cNvPicPr/>
                        </pic:nvPicPr>
                        <pic:blipFill>
                          <a:blip r:embed="rId17"/>
                          <a:stretch>
                            <a:fillRect/>
                          </a:stretch>
                        </pic:blipFill>
                        <pic:spPr>
                          <a:xfrm>
                            <a:off x="0" y="0"/>
                            <a:ext cx="914400" cy="1532255"/>
                          </a:xfrm>
                          <a:prstGeom prst="rect">
                            <a:avLst/>
                          </a:prstGeom>
                          <a:noFill/>
                          <a:ln>
                            <a:noFill/>
                          </a:ln>
                        </pic:spPr>
                      </pic:pic>
                    </a:graphicData>
                  </a:graphic>
                </wp:anchor>
              </w:draw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900*600*2000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个</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sz w:val="20"/>
                <w:szCs w:val="20"/>
                <w:highlight w:val="none"/>
              </w:rPr>
            </w:pPr>
            <w:r>
              <w:rPr>
                <w:rFonts w:hint="eastAsia" w:ascii="黑体" w:hAnsi="宋体" w:eastAsia="黑体" w:cs="黑体"/>
                <w:color w:val="000000"/>
                <w:kern w:val="0"/>
                <w:sz w:val="20"/>
                <w:szCs w:val="20"/>
                <w:highlight w:val="none"/>
                <w:lang w:bidi="ar"/>
              </w:rPr>
              <w:t>1.柜体：整体采用18mm厚三聚氰胺实木颗粒板制作，背板采用9mm中纤板制作，挂衣杆底座采用ABS材料，不锈钢挂衣标杆或铝合金挂衣杆尺寸</w:t>
            </w:r>
            <w:r>
              <w:rPr>
                <w:rFonts w:ascii="Calibri" w:hAnsi="Calibri" w:eastAsia="黑体" w:cs="Calibri"/>
                <w:color w:val="000000"/>
                <w:kern w:val="0"/>
                <w:sz w:val="20"/>
                <w:szCs w:val="20"/>
                <w:highlight w:val="none"/>
                <w:lang w:bidi="ar"/>
              </w:rPr>
              <w:t>φ</w:t>
            </w:r>
            <w:r>
              <w:rPr>
                <w:rFonts w:hint="eastAsia" w:ascii="黑体" w:hAnsi="宋体" w:eastAsia="黑体" w:cs="黑体"/>
                <w:color w:val="000000"/>
                <w:kern w:val="0"/>
                <w:sz w:val="20"/>
                <w:szCs w:val="20"/>
                <w:highlight w:val="none"/>
                <w:lang w:bidi="ar"/>
              </w:rPr>
              <w:t>22mm厚度1mm或30*18mm，上圆（R6）下方。</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2.五金件：铰链采用“KAV”“FGV”或“DTC”同档次及以上配件；拉手采用采用铝、塑复合长腰形短拉手，多色可选，拉手底座规格：100*40*23.2mm，拉手盖规格：84*24*15mm，不得采用金属焊接件，以防学生存取物品易刮伤。</w:t>
            </w:r>
            <w:r>
              <w:rPr>
                <w:rFonts w:hint="eastAsia" w:ascii="黑体" w:hAnsi="宋体" w:eastAsia="黑体" w:cs="黑体"/>
                <w:color w:val="000000"/>
                <w:kern w:val="0"/>
                <w:sz w:val="20"/>
                <w:szCs w:val="20"/>
                <w:highlight w:val="none"/>
                <w:lang w:bidi="ar"/>
              </w:rPr>
              <w:br w:type="textWrapping"/>
            </w:r>
            <w:r>
              <w:rPr>
                <w:rFonts w:hint="eastAsia" w:ascii="黑体" w:hAnsi="宋体" w:eastAsia="黑体" w:cs="黑体"/>
                <w:color w:val="000000"/>
                <w:kern w:val="0"/>
                <w:sz w:val="20"/>
                <w:szCs w:val="20"/>
                <w:highlight w:val="none"/>
                <w:lang w:bidi="ar"/>
              </w:rPr>
              <w:t>所有板材要求需达到E0级国家标准。要求表面双贴德国夏特、富美家、威盛亚或同档次品牌三聚氰胺纸。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0"/>
                <w:szCs w:val="20"/>
                <w:highlight w:val="none"/>
              </w:rPr>
            </w:pPr>
            <w:r>
              <w:rPr>
                <w:rFonts w:hint="eastAsia" w:ascii="等线" w:hAnsi="等线" w:eastAsia="等线" w:cs="等线"/>
                <w:color w:val="000000"/>
                <w:kern w:val="0"/>
                <w:sz w:val="20"/>
                <w:szCs w:val="20"/>
                <w:highlight w:val="none"/>
                <w:lang w:bidi="ar"/>
              </w:rPr>
              <w:t>无障碍房</w:t>
            </w:r>
          </w:p>
        </w:tc>
      </w:tr>
    </w:tbl>
    <w:p>
      <w:pPr>
        <w:spacing w:line="440" w:lineRule="exact"/>
        <w:rPr>
          <w:rFonts w:ascii="仿宋_GB2312" w:hAnsi="新宋体" w:eastAsia="仿宋_GB2312" w:cs="Arial"/>
          <w:b/>
          <w:bCs/>
          <w:sz w:val="24"/>
          <w:highlight w:val="none"/>
        </w:rPr>
      </w:pPr>
      <w:r>
        <w:rPr>
          <w:rFonts w:hint="eastAsia" w:ascii="仿宋_GB2312" w:hAnsi="新宋体" w:eastAsia="仿宋_GB2312" w:cs="Arial"/>
          <w:b/>
          <w:bCs/>
          <w:sz w:val="24"/>
          <w:highlight w:val="none"/>
        </w:rPr>
        <w:t>二、样品要求</w:t>
      </w:r>
    </w:p>
    <w:p>
      <w:pPr>
        <w:tabs>
          <w:tab w:val="left" w:pos="3870"/>
          <w:tab w:val="left" w:pos="4085"/>
        </w:tabs>
        <w:snapToGrid w:val="0"/>
        <w:spacing w:line="400" w:lineRule="exact"/>
        <w:ind w:firstLine="480" w:firstLineChars="200"/>
        <w:jc w:val="left"/>
        <w:rPr>
          <w:rFonts w:ascii="仿宋_GB2312"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投标人必须提供与技术需求相符的样品：</w:t>
      </w:r>
    </w:p>
    <w:tbl>
      <w:tblPr>
        <w:tblStyle w:val="4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073"/>
        <w:gridCol w:w="2916"/>
        <w:gridCol w:w="1152"/>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bottom w:val="single" w:color="auto" w:sz="4" w:space="0"/>
            </w:tcBorders>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序号</w:t>
            </w:r>
          </w:p>
        </w:tc>
        <w:tc>
          <w:tcPr>
            <w:tcW w:w="2073" w:type="dxa"/>
            <w:tcBorders>
              <w:bottom w:val="single" w:color="auto" w:sz="4" w:space="0"/>
            </w:tcBorders>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样品名称</w:t>
            </w:r>
          </w:p>
        </w:tc>
        <w:tc>
          <w:tcPr>
            <w:tcW w:w="2916" w:type="dxa"/>
            <w:tcBorders>
              <w:bottom w:val="single" w:color="auto" w:sz="4" w:space="0"/>
            </w:tcBorders>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规格(mm)</w:t>
            </w:r>
          </w:p>
        </w:tc>
        <w:tc>
          <w:tcPr>
            <w:tcW w:w="1152" w:type="dxa"/>
            <w:tcBorders>
              <w:bottom w:val="single" w:color="auto" w:sz="4" w:space="0"/>
            </w:tcBorders>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数量</w:t>
            </w:r>
          </w:p>
        </w:tc>
        <w:tc>
          <w:tcPr>
            <w:tcW w:w="1991" w:type="dxa"/>
            <w:tcBorders>
              <w:bottom w:val="single" w:color="auto" w:sz="4" w:space="0"/>
            </w:tcBorders>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1</w:t>
            </w:r>
          </w:p>
        </w:tc>
        <w:tc>
          <w:tcPr>
            <w:tcW w:w="2073" w:type="dxa"/>
            <w:vAlign w:val="center"/>
          </w:tcPr>
          <w:p>
            <w:pPr>
              <w:spacing w:line="360" w:lineRule="exact"/>
              <w:ind w:firstLine="42"/>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单椅</w:t>
            </w:r>
          </w:p>
        </w:tc>
        <w:tc>
          <w:tcPr>
            <w:tcW w:w="2916"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详见家具清单序号2</w:t>
            </w:r>
          </w:p>
        </w:tc>
        <w:tc>
          <w:tcPr>
            <w:tcW w:w="1152"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1把</w:t>
            </w:r>
          </w:p>
        </w:tc>
        <w:tc>
          <w:tcPr>
            <w:tcW w:w="1991" w:type="dxa"/>
            <w:vMerge w:val="restart"/>
            <w:vAlign w:val="center"/>
          </w:tcPr>
          <w:p>
            <w:pPr>
              <w:adjustRightInd w:val="0"/>
              <w:snapToGrid w:val="0"/>
              <w:spacing w:line="360" w:lineRule="exact"/>
              <w:rPr>
                <w:rFonts w:hint="default" w:ascii="仿宋_GB2312" w:hAnsi="ˎ̥" w:eastAsia="仿宋_GB2312" w:cs="宋体"/>
                <w:color w:val="000000" w:themeColor="text1"/>
                <w:kern w:val="0"/>
                <w:sz w:val="24"/>
                <w:szCs w:val="21"/>
                <w:highlight w:val="none"/>
                <w:lang w:val="en-US" w:eastAsia="zh-CN"/>
                <w14:textFill>
                  <w14:solidFill>
                    <w14:schemeClr w14:val="tx1"/>
                  </w14:solidFill>
                </w14:textFill>
              </w:rPr>
            </w:pPr>
            <w:r>
              <w:rPr>
                <w:rFonts w:hint="eastAsia" w:ascii="仿宋_GB2312" w:hAnsi="仿宋" w:eastAsia="仿宋_GB2312"/>
                <w:b/>
                <w:bCs/>
                <w:color w:val="auto"/>
                <w:sz w:val="24"/>
                <w:highlight w:val="none"/>
                <w:u w:val="none"/>
                <w:lang w:val="en-US" w:eastAsia="zh-CN"/>
              </w:rPr>
              <w:t>招标人将对样品进行现场重新编号，样品上不得出现投标人名称</w:t>
            </w:r>
            <w:r>
              <w:rPr>
                <w:rFonts w:hint="eastAsia" w:ascii="仿宋_GB2312" w:hAnsi="仿宋" w:eastAsia="仿宋_GB2312"/>
                <w:b/>
                <w:bCs/>
                <w:color w:val="auto"/>
                <w:sz w:val="24"/>
                <w:highlight w:val="none"/>
                <w:u w:val="none"/>
                <w:lang w:eastAsia="zh-CN"/>
              </w:rPr>
              <w:t>，</w:t>
            </w:r>
            <w:r>
              <w:rPr>
                <w:rFonts w:hint="eastAsia" w:ascii="仿宋_GB2312" w:hAnsi="ˎ̥" w:eastAsia="仿宋_GB2312" w:cs="宋体"/>
                <w:b/>
                <w:bCs/>
                <w:color w:val="auto"/>
                <w:kern w:val="0"/>
                <w:sz w:val="24"/>
                <w:szCs w:val="21"/>
                <w:highlight w:val="none"/>
                <w:u w:val="none"/>
              </w:rPr>
              <w:t>各样品材料的制造商、品牌、材质说明及技术指标</w:t>
            </w:r>
            <w:r>
              <w:rPr>
                <w:rFonts w:hint="eastAsia" w:ascii="仿宋_GB2312" w:hAnsi="ˎ̥" w:eastAsia="仿宋_GB2312" w:cs="宋体"/>
                <w:b/>
                <w:bCs/>
                <w:color w:val="auto"/>
                <w:kern w:val="0"/>
                <w:sz w:val="24"/>
                <w:szCs w:val="21"/>
                <w:highlight w:val="none"/>
                <w:u w:val="none"/>
                <w:lang w:val="en-US" w:eastAsia="zh-CN"/>
              </w:rPr>
              <w:t>单独密封提交招标人，并在封口处加盖单位公章。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2</w:t>
            </w:r>
          </w:p>
        </w:tc>
        <w:tc>
          <w:tcPr>
            <w:tcW w:w="2073" w:type="dxa"/>
            <w:vAlign w:val="center"/>
          </w:tcPr>
          <w:p>
            <w:pPr>
              <w:spacing w:line="360" w:lineRule="exact"/>
              <w:ind w:firstLine="42"/>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入户四门衣柜</w:t>
            </w:r>
          </w:p>
        </w:tc>
        <w:tc>
          <w:tcPr>
            <w:tcW w:w="2916"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详见家具清单序号3</w:t>
            </w:r>
          </w:p>
        </w:tc>
        <w:tc>
          <w:tcPr>
            <w:tcW w:w="1152"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1个</w:t>
            </w:r>
          </w:p>
        </w:tc>
        <w:tc>
          <w:tcPr>
            <w:tcW w:w="1991" w:type="dxa"/>
            <w:vMerge w:val="continue"/>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5"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3</w:t>
            </w:r>
          </w:p>
        </w:tc>
        <w:tc>
          <w:tcPr>
            <w:tcW w:w="2073" w:type="dxa"/>
            <w:vAlign w:val="center"/>
          </w:tcPr>
          <w:p>
            <w:pPr>
              <w:spacing w:line="360" w:lineRule="exact"/>
              <w:ind w:firstLine="42"/>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公寓床2型</w:t>
            </w:r>
          </w:p>
        </w:tc>
        <w:tc>
          <w:tcPr>
            <w:tcW w:w="2916"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详见家具清单序号4</w:t>
            </w:r>
          </w:p>
        </w:tc>
        <w:tc>
          <w:tcPr>
            <w:tcW w:w="1152"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1张</w:t>
            </w:r>
          </w:p>
        </w:tc>
        <w:tc>
          <w:tcPr>
            <w:tcW w:w="1991" w:type="dxa"/>
            <w:vMerge w:val="continue"/>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4</w:t>
            </w:r>
          </w:p>
        </w:tc>
        <w:tc>
          <w:tcPr>
            <w:tcW w:w="2073" w:type="dxa"/>
            <w:vAlign w:val="center"/>
          </w:tcPr>
          <w:p>
            <w:pPr>
              <w:spacing w:line="360" w:lineRule="exact"/>
              <w:ind w:firstLine="42"/>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边柜</w:t>
            </w:r>
          </w:p>
        </w:tc>
        <w:tc>
          <w:tcPr>
            <w:tcW w:w="2916"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详见家具清单序号5</w:t>
            </w:r>
          </w:p>
        </w:tc>
        <w:tc>
          <w:tcPr>
            <w:tcW w:w="1152" w:type="dxa"/>
            <w:vAlign w:val="center"/>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r>
              <w:rPr>
                <w:rFonts w:hint="eastAsia" w:ascii="仿宋_GB2312" w:hAnsi="ˎ̥" w:eastAsia="仿宋_GB2312" w:cs="宋体"/>
                <w:color w:val="000000" w:themeColor="text1"/>
                <w:kern w:val="0"/>
                <w:sz w:val="24"/>
                <w:szCs w:val="21"/>
                <w:highlight w:val="none"/>
                <w14:textFill>
                  <w14:solidFill>
                    <w14:schemeClr w14:val="tx1"/>
                  </w14:solidFill>
                </w14:textFill>
              </w:rPr>
              <w:t>1个</w:t>
            </w:r>
          </w:p>
        </w:tc>
        <w:tc>
          <w:tcPr>
            <w:tcW w:w="1991" w:type="dxa"/>
            <w:vMerge w:val="continue"/>
          </w:tcPr>
          <w:p>
            <w:pPr>
              <w:adjustRightInd w:val="0"/>
              <w:snapToGrid w:val="0"/>
              <w:spacing w:line="360" w:lineRule="exact"/>
              <w:jc w:val="center"/>
              <w:rPr>
                <w:rFonts w:ascii="仿宋_GB2312" w:hAnsi="ˎ̥" w:eastAsia="仿宋_GB2312" w:cs="宋体"/>
                <w:color w:val="000000" w:themeColor="text1"/>
                <w:kern w:val="0"/>
                <w:sz w:val="24"/>
                <w:szCs w:val="21"/>
                <w:highlight w:val="none"/>
                <w14:textFill>
                  <w14:solidFill>
                    <w14:schemeClr w14:val="tx1"/>
                  </w14:solidFill>
                </w14:textFill>
              </w:rPr>
            </w:pPr>
          </w:p>
        </w:tc>
      </w:tr>
    </w:tbl>
    <w:p>
      <w:pPr>
        <w:autoSpaceDE w:val="0"/>
        <w:autoSpaceDN w:val="0"/>
        <w:adjustRightInd w:val="0"/>
        <w:spacing w:line="440" w:lineRule="exact"/>
        <w:ind w:firstLine="480" w:firstLineChars="200"/>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投标人需</w:t>
      </w:r>
      <w:r>
        <w:rPr>
          <w:rFonts w:hint="eastAsia" w:ascii="仿宋_GB2312" w:hAnsi="宋体" w:eastAsia="仿宋_GB2312"/>
          <w:color w:val="000000" w:themeColor="text1"/>
          <w:sz w:val="24"/>
          <w:highlight w:val="none"/>
          <w:lang w:val="en-US" w:eastAsia="zh-CN"/>
          <w14:textFill>
            <w14:solidFill>
              <w14:schemeClr w14:val="tx1"/>
            </w14:solidFill>
          </w14:textFill>
        </w:rPr>
        <w:t>按招标文件要求</w:t>
      </w:r>
      <w:r>
        <w:rPr>
          <w:rFonts w:hint="eastAsia" w:ascii="仿宋_GB2312" w:hAnsi="宋体" w:eastAsia="仿宋_GB2312"/>
          <w:color w:val="000000" w:themeColor="text1"/>
          <w:sz w:val="24"/>
          <w:highlight w:val="none"/>
          <w14:textFill>
            <w14:solidFill>
              <w14:schemeClr w14:val="tx1"/>
            </w14:solidFill>
          </w14:textFill>
        </w:rPr>
        <w:t>将样品送至</w:t>
      </w:r>
      <w:r>
        <w:rPr>
          <w:rFonts w:hint="eastAsia" w:ascii="仿宋_GB2312" w:hAnsi="宋体" w:eastAsia="仿宋_GB2312"/>
          <w:color w:val="0000FF"/>
          <w:sz w:val="24"/>
          <w:highlight w:val="none"/>
        </w:rPr>
        <w:t>绍兴文理学院河西体育馆</w:t>
      </w:r>
      <w:r>
        <w:rPr>
          <w:rFonts w:hint="eastAsia" w:ascii="仿宋_GB2312" w:hAnsi="宋体" w:eastAsia="仿宋_GB2312"/>
          <w:color w:val="000000" w:themeColor="text1"/>
          <w:sz w:val="24"/>
          <w:highlight w:val="none"/>
          <w14:textFill>
            <w14:solidFill>
              <w14:schemeClr w14:val="tx1"/>
            </w14:solidFill>
          </w14:textFill>
        </w:rPr>
        <w:t>，联系人：</w:t>
      </w:r>
      <w:r>
        <w:rPr>
          <w:rFonts w:hint="eastAsia" w:ascii="仿宋_GB2312" w:hAnsi="宋体" w:eastAsia="仿宋_GB2312"/>
          <w:color w:val="000000" w:themeColor="text1"/>
          <w:sz w:val="24"/>
          <w:highlight w:val="none"/>
          <w:lang w:val="en-US" w:eastAsia="zh-CN"/>
          <w14:textFill>
            <w14:solidFill>
              <w14:schemeClr w14:val="tx1"/>
            </w14:solidFill>
          </w14:textFill>
        </w:rPr>
        <w:t>曹伟杰</w:t>
      </w:r>
      <w:r>
        <w:rPr>
          <w:rFonts w:hint="eastAsia" w:ascii="仿宋_GB2312" w:hAnsi="宋体" w:eastAsia="仿宋_GB2312"/>
          <w:color w:val="000000" w:themeColor="text1"/>
          <w:sz w:val="24"/>
          <w:highlight w:val="none"/>
          <w14:textFill>
            <w14:solidFill>
              <w14:schemeClr w14:val="tx1"/>
            </w14:solidFill>
          </w14:textFill>
        </w:rPr>
        <w:t>，电话：</w:t>
      </w:r>
      <w:r>
        <w:rPr>
          <w:rFonts w:hint="eastAsia" w:ascii="仿宋_GB2312" w:hAnsi="宋体" w:eastAsia="仿宋_GB2312"/>
          <w:color w:val="000000" w:themeColor="text1"/>
          <w:sz w:val="24"/>
          <w:highlight w:val="none"/>
          <w:lang w:val="en-US" w:eastAsia="zh-CN"/>
          <w14:textFill>
            <w14:solidFill>
              <w14:schemeClr w14:val="tx1"/>
            </w14:solidFill>
          </w14:textFill>
        </w:rPr>
        <w:t>15967508602</w:t>
      </w:r>
      <w:r>
        <w:rPr>
          <w:rFonts w:hint="eastAsia" w:ascii="仿宋_GB2312" w:hAnsi="宋体" w:eastAsia="仿宋_GB2312"/>
          <w:color w:val="000000" w:themeColor="text1"/>
          <w:sz w:val="24"/>
          <w:highlight w:val="none"/>
          <w14:textFill>
            <w14:solidFill>
              <w14:schemeClr w14:val="tx1"/>
            </w14:solidFill>
          </w14:textFill>
        </w:rPr>
        <w:t>，本项目评审结束后，预中标人投标样品送采购人处封存和中标后验收用。未中标人样品，请自行处理，采购人及采购代理机构不负责保管，如发生损坏和遗失自行负责。</w:t>
      </w:r>
    </w:p>
    <w:p>
      <w:pPr>
        <w:spacing w:line="440" w:lineRule="exact"/>
        <w:ind w:firstLine="482" w:firstLineChars="200"/>
        <w:rPr>
          <w:rFonts w:ascii="仿宋_GB2312" w:hAnsi="新宋体" w:eastAsia="仿宋_GB2312" w:cs="Arial"/>
          <w:b/>
          <w:bCs/>
          <w:sz w:val="24"/>
          <w:highlight w:val="none"/>
        </w:rPr>
      </w:pPr>
      <w:r>
        <w:rPr>
          <w:rFonts w:hint="eastAsia" w:ascii="仿宋_GB2312" w:hAnsi="新宋体" w:eastAsia="仿宋_GB2312" w:cs="Arial"/>
          <w:b/>
          <w:bCs/>
          <w:sz w:val="24"/>
          <w:highlight w:val="none"/>
        </w:rPr>
        <w:t>三、项目技术方案要求</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(一)招标产品技术规范</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1.金属家具制作工艺规范</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（1）焊接要求：焊接处应无脱焊、虚焊、焊穿，焊渣，夹渣；气孔、焊瘤、咬边、焊接处平滑，焊缝应修整光滑。</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2）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2.家具整体质量要求</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（1）外形尺寸偏差：产品外形宽、深高的尺寸极限偏差为±1mm，其他产品为±0.5mm。</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2）安全要求：①突出物：产品不应有危险突出物。如果存在危险突出物，则应用合适的方式对其加以保护。如，将末端弯曲或加上保护帽或罩以有效增加可能与皮肤接触的面积。保护帽或罩在保护件拉力试验测试时，不应脱落。②孔及间隙：产品刚性材料上，深度超过10mm的孔及间隙，其直径或间隙应小于6mm或大于等于12mm；产品可接触的活动部位间的间隙应小于5mm或大于等于12mm。</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 xml:space="preserve">3.相关标准和要求 </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（1）主要技术要求：GB/T3325-1995金属家具类。</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（2）漆膜理化性能：金属件GB1730硬度；GB1732冲击强度；GB1720附着力；GB1763耐腐蚀。</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（3）防火性能要求：投标产品应符合GB50222-2015规定的一类高层民用建筑中的有关活动家具和装饰织物的防火等级要求。</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（4）质量检验：整体家具应达到国家规定的A级标准：GB/T1951.2-1994 金属家具质量。</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（5）本招标文件中未包括的标准和规范以及非现行的标准和规范，投标人应提供现行的标准和规范的名称及标准号。</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（6）投标人的产品其主材及配件等必须符合招标文件技术要求，技术要求中没有注明品牌及产地的、投标人必须在投标文件上注明。</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（7）所有家具的颜色在合同签订后由采购人看样确定。</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（8）深化设计费用投标单位在投标时综合考虑，中标后不再另行支付此项费用。</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（9）深化设计时允许对招标清单内的家具尺寸根据不同房间大小做优化调整，投标单位需在报价时做综合考虑，中标后单价不得调整。</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（10）采购人有权对招标清单内所有家具的数量进行增加或减少，增加或减少后，单价不变，中标人不得以任何理由拒绝，否则视为违约。</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4.实物照片或效果图</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投标人在投标时必须根据招标文件中要求，提供家具实物效果图，作为中标后验收的依据。</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5.其他要求</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（1）任何合理化建议或技术偏离，可专列章节说明，供招标人评标时参考。</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2）该部分技术要求（规格）书只是对产品的一些原则性要求，并不是详尽的要求，投标人有责任对设计符合技术规范、标准负责。中标人应对投标内容所涉及的知识产权承担责任，并负责保护招标人的利益不受任何损害。一切由于文字、商标、专利等引起的任何纠纷、诉讼和费用均由投标人承担全部责任，与招标人无关。如因此给招标人造成损失的，投标人应向招标人承担全额赔偿责任。</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（3）所有家具的颜色在合同签订后由采购方看样确定。</w:t>
      </w:r>
    </w:p>
    <w:p>
      <w:pPr>
        <w:spacing w:before="120" w:beforeLines="50" w:line="440" w:lineRule="exact"/>
        <w:ind w:right="420" w:firstLine="480" w:firstLineChars="200"/>
        <w:rPr>
          <w:rFonts w:ascii="仿宋_GB2312" w:hAnsi="新宋体" w:eastAsia="仿宋_GB2312" w:cs="Arial"/>
          <w:bCs/>
          <w:sz w:val="24"/>
          <w:highlight w:val="none"/>
        </w:rPr>
      </w:pPr>
      <w:r>
        <w:rPr>
          <w:rFonts w:hint="eastAsia" w:ascii="仿宋_GB2312" w:hAnsi="新宋体" w:eastAsia="仿宋_GB2312" w:cs="Arial"/>
          <w:bCs/>
          <w:sz w:val="24"/>
          <w:highlight w:val="none"/>
        </w:rPr>
        <w:t>（4）中标人提供的货物，必须符合招标文件及其投标文件规定的要求，如有不符，采购人可以无条件退货，造成的损失由中标人承担。</w:t>
      </w:r>
    </w:p>
    <w:p>
      <w:pPr>
        <w:spacing w:line="440" w:lineRule="exact"/>
        <w:ind w:firstLine="482" w:firstLineChars="200"/>
        <w:rPr>
          <w:rFonts w:ascii="仿宋_GB2312" w:hAnsi="新宋体" w:eastAsia="仿宋_GB2312" w:cs="Arial"/>
          <w:b/>
          <w:bCs/>
          <w:sz w:val="24"/>
          <w:highlight w:val="none"/>
        </w:rPr>
      </w:pPr>
      <w:bookmarkStart w:id="14" w:name="_Toc8760737"/>
      <w:r>
        <w:rPr>
          <w:rFonts w:hint="eastAsia" w:ascii="仿宋_GB2312" w:hAnsi="新宋体" w:eastAsia="仿宋_GB2312" w:cs="Arial"/>
          <w:b/>
          <w:bCs/>
          <w:sz w:val="24"/>
          <w:highlight w:val="none"/>
        </w:rPr>
        <w:t>四、交货时间、地点要求</w:t>
      </w:r>
    </w:p>
    <w:p>
      <w:pPr>
        <w:spacing w:line="440" w:lineRule="exact"/>
        <w:ind w:firstLine="480" w:firstLineChars="200"/>
        <w:rPr>
          <w:rFonts w:ascii="仿宋_GB2312" w:hAnsi="宋体" w:eastAsia="仿宋_GB2312" w:cs="宋体"/>
          <w:sz w:val="24"/>
          <w:highlight w:val="none"/>
        </w:rPr>
      </w:pPr>
      <w:r>
        <w:rPr>
          <w:rFonts w:hint="eastAsia" w:ascii="仿宋_GB2312" w:hAnsi="宋体" w:eastAsia="仿宋_GB2312" w:cs="宋体"/>
          <w:sz w:val="24"/>
          <w:highlight w:val="none"/>
        </w:rPr>
        <w:t>1.中标单位在中标通知书发出7个工作日内按招标文件和中标供应商投标文件的约定，在绍兴文理学院由法定代表人或授权委托人与采购人签订书面合同，中标单位未在规定时间内签订合同，一切后果由中标单位承担。</w:t>
      </w:r>
    </w:p>
    <w:p>
      <w:pPr>
        <w:spacing w:line="440" w:lineRule="exact"/>
        <w:ind w:firstLine="480" w:firstLineChars="200"/>
        <w:rPr>
          <w:rFonts w:ascii="仿宋_GB2312" w:hAnsi="宋体" w:eastAsia="仿宋_GB2312" w:cs="宋体"/>
          <w:sz w:val="24"/>
          <w:highlight w:val="none"/>
        </w:rPr>
      </w:pPr>
      <w:r>
        <w:rPr>
          <w:rFonts w:hint="eastAsia" w:ascii="仿宋_GB2312" w:hAnsi="宋体" w:eastAsia="仿宋_GB2312" w:cs="宋体"/>
          <w:sz w:val="24"/>
          <w:highlight w:val="none"/>
        </w:rPr>
        <w:t>2.交货地点、交货方式：采购人指定地点，中标人负责运至现场安装调试，安装调试验收合格前的所有材料的运输、保管、保险均由中标人负责，由此产生的一切费用由中标单位负责。</w:t>
      </w:r>
    </w:p>
    <w:p>
      <w:pPr>
        <w:spacing w:line="440" w:lineRule="exact"/>
        <w:ind w:firstLine="480" w:firstLineChars="200"/>
        <w:rPr>
          <w:rFonts w:ascii="仿宋_GB2312" w:hAnsi="宋体" w:eastAsia="仿宋_GB2312" w:cs="宋体"/>
          <w:sz w:val="24"/>
          <w:highlight w:val="none"/>
        </w:rPr>
      </w:pPr>
      <w:r>
        <w:rPr>
          <w:rFonts w:hint="eastAsia" w:ascii="仿宋_GB2312" w:hAnsi="宋体" w:eastAsia="仿宋_GB2312" w:cs="宋体"/>
          <w:sz w:val="24"/>
          <w:highlight w:val="none"/>
        </w:rPr>
        <w:t>3.交货期：中标单位必须在8月20日前在指定地点完成家具的安装和调试，并将施工垃圾清理完毕。若不能及时供货安装，一切后果由中标单位承担。</w:t>
      </w:r>
    </w:p>
    <w:bookmarkEnd w:id="14"/>
    <w:p>
      <w:pPr>
        <w:spacing w:line="440" w:lineRule="exact"/>
        <w:ind w:firstLine="482" w:firstLineChars="200"/>
        <w:rPr>
          <w:rFonts w:ascii="仿宋_GB2312" w:eastAsia="仿宋_GB2312"/>
          <w:sz w:val="24"/>
          <w:highlight w:val="none"/>
        </w:rPr>
      </w:pPr>
      <w:r>
        <w:rPr>
          <w:rFonts w:hint="eastAsia" w:ascii="仿宋_GB2312" w:hAnsi="新宋体" w:eastAsia="仿宋_GB2312" w:cs="Arial"/>
          <w:b/>
          <w:bCs/>
          <w:sz w:val="24"/>
          <w:highlight w:val="none"/>
        </w:rPr>
        <w:t>五、付款说明</w:t>
      </w:r>
    </w:p>
    <w:p>
      <w:pPr>
        <w:spacing w:line="440" w:lineRule="exact"/>
        <w:ind w:firstLine="480" w:firstLineChars="200"/>
        <w:rPr>
          <w:rFonts w:ascii="仿宋_GB2312" w:hAnsi="宋体" w:eastAsia="仿宋_GB2312" w:cs="宋体"/>
          <w:sz w:val="24"/>
          <w:highlight w:val="none"/>
        </w:rPr>
      </w:pPr>
      <w:r>
        <w:rPr>
          <w:rFonts w:hint="eastAsia" w:ascii="仿宋_GB2312" w:eastAsia="仿宋_GB2312"/>
          <w:sz w:val="24"/>
          <w:highlight w:val="none"/>
        </w:rPr>
        <w:t>付款方式：</w:t>
      </w:r>
      <w:r>
        <w:rPr>
          <w:rFonts w:hint="eastAsia" w:ascii="仿宋_GB2312" w:hAnsi="宋体" w:eastAsia="仿宋_GB2312" w:cs="宋体"/>
          <w:sz w:val="24"/>
          <w:highlight w:val="none"/>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2" w:firstLineChars="200"/>
        <w:rPr>
          <w:rFonts w:ascii="仿宋_GB2312" w:hAnsi="宋体" w:eastAsia="仿宋_GB2312"/>
          <w:b/>
          <w:bCs/>
          <w:color w:val="000000" w:themeColor="text1"/>
          <w:sz w:val="28"/>
          <w:szCs w:val="28"/>
          <w:highlight w:val="none"/>
          <w14:textFill>
            <w14:solidFill>
              <w14:schemeClr w14:val="tx1"/>
            </w14:solidFill>
          </w14:textFill>
        </w:rPr>
      </w:pPr>
      <w:r>
        <w:rPr>
          <w:rFonts w:hint="eastAsia" w:ascii="仿宋_GB2312" w:hAnsi="新宋体" w:eastAsia="仿宋_GB2312" w:cs="Arial"/>
          <w:b/>
          <w:bCs/>
          <w:sz w:val="24"/>
          <w:highlight w:val="none"/>
        </w:rPr>
        <w:t>六、其它相关要求及说明</w:t>
      </w:r>
    </w:p>
    <w:p>
      <w:pPr>
        <w:pStyle w:val="68"/>
        <w:widowControl w:val="0"/>
        <w:spacing w:afterLines="0" w:line="440" w:lineRule="exact"/>
        <w:ind w:firstLine="482"/>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1.安装及调试、</w:t>
      </w:r>
      <w:r>
        <w:rPr>
          <w:rFonts w:hint="eastAsia" w:ascii="仿宋_GB2312" w:hAnsi="宋体" w:eastAsia="仿宋_GB2312"/>
          <w:b/>
          <w:color w:val="000000" w:themeColor="text1"/>
          <w:highlight w:val="none"/>
          <w14:textFill>
            <w14:solidFill>
              <w14:schemeClr w14:val="tx1"/>
            </w14:solidFill>
          </w14:textFill>
        </w:rPr>
        <w:t>第三方检测、</w:t>
      </w:r>
      <w:r>
        <w:rPr>
          <w:rFonts w:hint="eastAsia" w:ascii="仿宋_GB2312" w:hAnsi="宋体" w:eastAsia="仿宋_GB2312"/>
          <w:b/>
          <w:color w:val="000000" w:themeColor="text1"/>
          <w:szCs w:val="24"/>
          <w:highlight w:val="none"/>
          <w14:textFill>
            <w14:solidFill>
              <w14:schemeClr w14:val="tx1"/>
            </w14:solidFill>
          </w14:textFill>
        </w:rPr>
        <w:t>验收</w:t>
      </w:r>
    </w:p>
    <w:p>
      <w:pPr>
        <w:pStyle w:val="68"/>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中标人应派经招标人认可的有经验和能力、具有相应资质的技术人员，负责家具安装工作，在安装期间应充分了解进度要求，解决安装中出现的技术问题。</w:t>
      </w:r>
    </w:p>
    <w:p>
      <w:pPr>
        <w:tabs>
          <w:tab w:val="left" w:pos="1365"/>
        </w:tabs>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1.1中标人负责家具的安装、调试。</w:t>
      </w:r>
    </w:p>
    <w:p>
      <w:pPr>
        <w:tabs>
          <w:tab w:val="left" w:pos="1365"/>
        </w:tabs>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1.2调试所需专用工具设施物料由中标人自备、自费运到现场，完工后自费搬走。</w:t>
      </w:r>
    </w:p>
    <w:p>
      <w:pPr>
        <w:tabs>
          <w:tab w:val="left" w:pos="1365"/>
        </w:tabs>
        <w:spacing w:line="440" w:lineRule="exact"/>
        <w:ind w:firstLine="480" w:firstLineChars="200"/>
        <w:jc w:val="left"/>
        <w:rPr>
          <w:rFonts w:ascii="仿宋_GB2312" w:hAnsi="宋体" w:eastAsia="仿宋_GB2312"/>
          <w:bCs/>
          <w:iCs/>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1.3安装完成后，进行调试、验收。验</w:t>
      </w:r>
      <w:r>
        <w:rPr>
          <w:rFonts w:hint="eastAsia" w:ascii="仿宋_GB2312" w:hAnsi="宋体" w:eastAsia="仿宋_GB2312"/>
          <w:bCs/>
          <w:iCs/>
          <w:color w:val="000000" w:themeColor="text1"/>
          <w:sz w:val="24"/>
          <w:highlight w:val="none"/>
          <w14:textFill>
            <w14:solidFill>
              <w14:schemeClr w14:val="tx1"/>
            </w14:solidFill>
          </w14:textFill>
        </w:rPr>
        <w:t>收按</w:t>
      </w:r>
      <w:r>
        <w:rPr>
          <w:rFonts w:hint="eastAsia" w:ascii="仿宋_GB2312" w:hAnsi="宋体" w:eastAsia="仿宋_GB2312"/>
          <w:color w:val="000000" w:themeColor="text1"/>
          <w:sz w:val="24"/>
          <w:highlight w:val="none"/>
          <w14:textFill>
            <w14:solidFill>
              <w14:schemeClr w14:val="tx1"/>
            </w14:solidFill>
          </w14:textFill>
        </w:rPr>
        <w:t>国家有关规范标准（国家无验收规范标准的按双方合同规定的要求）进行</w:t>
      </w:r>
      <w:r>
        <w:rPr>
          <w:rFonts w:hint="eastAsia" w:ascii="仿宋_GB2312" w:hAnsi="宋体" w:eastAsia="仿宋_GB2312"/>
          <w:bCs/>
          <w:iCs/>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14:textFill>
            <w14:solidFill>
              <w14:schemeClr w14:val="tx1"/>
            </w14:solidFill>
          </w14:textFill>
        </w:rPr>
        <w:t>且须通过具备相关资质的第三方检测机构检测，出具检测报告，费用由中标人支付。</w:t>
      </w:r>
    </w:p>
    <w:p>
      <w:pPr>
        <w:tabs>
          <w:tab w:val="left" w:pos="1365"/>
        </w:tabs>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1.4家具的安装、调试等各项工作由中标人负责，但必须在招标人指定人员的参与下进行。在实际实施前必须先经招标人同意方可进行。调试的原始记录须经各方签字后作为验收的文件之一。</w:t>
      </w:r>
    </w:p>
    <w:p>
      <w:pPr>
        <w:autoSpaceDE w:val="0"/>
        <w:autoSpaceDN w:val="0"/>
        <w:adjustRightIn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5</w:t>
      </w:r>
      <w:r>
        <w:rPr>
          <w:rFonts w:hint="eastAsia" w:ascii="仿宋_GB2312" w:hAnsi="宋体" w:eastAsia="仿宋_GB2312"/>
          <w:color w:val="000000" w:themeColor="text1"/>
          <w:sz w:val="24"/>
          <w:highlight w:val="none"/>
          <w14:textFill>
            <w14:solidFill>
              <w14:schemeClr w14:val="tx1"/>
            </w14:solidFill>
          </w14:textFill>
        </w:rPr>
        <w:t>所有的招标货物应按照国家有关技术标准在制造厂检查和试验合格，以表明其安全性能及材料和结构的完整性。招标人将委派质量技术监督局人员至工厂现场进行抽检，投标人应把招标人至工厂检验费用计入产品总价，该费用包含于投标总价中。</w:t>
      </w:r>
    </w:p>
    <w:p>
      <w:pPr>
        <w:pStyle w:val="19"/>
        <w:widowControl w:val="0"/>
        <w:tabs>
          <w:tab w:val="clear" w:pos="482"/>
        </w:tabs>
        <w:spacing w:afterLines="0" w:line="440" w:lineRule="exact"/>
        <w:ind w:left="0" w:firstLine="482" w:firstLineChars="20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2.售后服务</w:t>
      </w:r>
    </w:p>
    <w:p>
      <w:pPr>
        <w:pStyle w:val="4"/>
        <w:spacing w:after="120" w:line="440" w:lineRule="exact"/>
        <w:ind w:firstLine="48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2.1投标人须提供经调试、验收合格后至少3年的质保期(投标人可根据自身实力作出更长时间的质保承诺)。在此期间，投标人应免费处理因质量发生的故障，并进行正常保养。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2.2中标人必须有可靠的售后服务保障，能提供正常的技术、备品备件服务。中标人在接到招标人通知后，6小时内派人赴现场解决质量问题。24小时内不能修复的，则无偿提供备件或备用零件供采购人使用。</w:t>
      </w:r>
    </w:p>
    <w:p>
      <w:pPr>
        <w:snapToGrid w:val="0"/>
        <w:spacing w:line="440" w:lineRule="exact"/>
        <w:ind w:firstLine="482" w:firstLineChars="200"/>
        <w:jc w:val="left"/>
        <w:rPr>
          <w:rFonts w:ascii="仿宋_GB2312" w:hAnsi="宋体" w:eastAsia="仿宋_GB2312"/>
          <w:b/>
          <w:color w:val="000000" w:themeColor="text1"/>
          <w:kern w:val="0"/>
          <w:sz w:val="24"/>
          <w:highlight w:val="none"/>
          <w:u w:val="wav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3.服务要求</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3.1保修期内，如出现故障，中标人在接到电话6小时内到达采购人指定地点，</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3.2中标人提供的货物，必须符合招标文件及其投标文件规定的要求，如有不符，采购人可以无条件退货，造成的损失由中标人承担。</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3.3中标人、供货人名称必须一致，否则作违约处理，其履约保证金不予退还。</w:t>
      </w:r>
    </w:p>
    <w:p>
      <w:pPr>
        <w:autoSpaceDE w:val="0"/>
        <w:autoSpaceDN w:val="0"/>
        <w:adjustRightInd w:val="0"/>
        <w:spacing w:line="440" w:lineRule="exact"/>
        <w:ind w:firstLine="480" w:firstLineChars="20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3.4中标人必须按照招标文件及其投标文件规定的时间要求完成供货和施工，如未按期完成，由中标单位按照中标总价的10%进行赔偿，因此造成的任何损失和损伤，一切责任由中标单位负责。</w:t>
      </w:r>
    </w:p>
    <w:p>
      <w:pPr>
        <w:snapToGrid w:val="0"/>
        <w:spacing w:line="440" w:lineRule="exact"/>
        <w:ind w:firstLine="482" w:firstLineChars="200"/>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4.项目实施人员费用</w:t>
      </w:r>
    </w:p>
    <w:p>
      <w:pPr>
        <w:snapToGrid w:val="0"/>
        <w:spacing w:line="440" w:lineRule="exact"/>
        <w:ind w:firstLine="480" w:firstLineChars="200"/>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中标人应自行承担选派专业人员的住宿、就餐和交通等费用。</w:t>
      </w:r>
    </w:p>
    <w:bookmarkEnd w:id="7"/>
    <w:p>
      <w:pPr>
        <w:pStyle w:val="22"/>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仿宋_GB2312" w:hAnsi="楷体" w:eastAsia="仿宋_GB2312"/>
          <w:sz w:val="24"/>
          <w:highlight w:val="none"/>
        </w:rPr>
      </w:pPr>
    </w:p>
    <w:p>
      <w:pPr>
        <w:rPr>
          <w:rFonts w:ascii="仿宋_GB2312" w:hAnsi="楷体" w:eastAsia="仿宋_GB2312"/>
          <w:sz w:val="24"/>
          <w:highlight w:val="none"/>
          <w:u w:val="single"/>
        </w:rPr>
      </w:pPr>
      <w:r>
        <w:rPr>
          <w:rFonts w:hint="eastAsia" w:ascii="仿宋_GB2312" w:hAnsi="楷体" w:eastAsia="仿宋_GB2312"/>
          <w:sz w:val="24"/>
          <w:highlight w:val="none"/>
        </w:rPr>
        <w:t>合同编号：</w:t>
      </w:r>
      <w:r>
        <w:rPr>
          <w:rFonts w:hint="eastAsia" w:ascii="仿宋_GB2312" w:hAnsi="楷体" w:eastAsia="仿宋_GB2312"/>
          <w:sz w:val="24"/>
          <w:highlight w:val="none"/>
          <w:u w:val="single"/>
        </w:rPr>
        <w:t xml:space="preserve">           </w:t>
      </w:r>
    </w:p>
    <w:p>
      <w:pPr>
        <w:spacing w:line="480" w:lineRule="auto"/>
        <w:jc w:val="center"/>
        <w:rPr>
          <w:rFonts w:ascii="仿宋_GB2312" w:hAnsi="楷体" w:eastAsia="仿宋_GB2312"/>
          <w:b/>
          <w:sz w:val="28"/>
          <w:szCs w:val="28"/>
          <w:highlight w:val="none"/>
        </w:rPr>
      </w:pPr>
    </w:p>
    <w:p>
      <w:pPr>
        <w:spacing w:line="480" w:lineRule="auto"/>
        <w:jc w:val="center"/>
        <w:rPr>
          <w:rFonts w:ascii="仿宋_GB2312" w:hAnsi="仿宋" w:eastAsia="仿宋_GB2312"/>
          <w:b/>
          <w:sz w:val="24"/>
          <w:highlight w:val="none"/>
        </w:rPr>
      </w:pPr>
    </w:p>
    <w:p>
      <w:pPr>
        <w:spacing w:line="480" w:lineRule="auto"/>
        <w:jc w:val="center"/>
        <w:rPr>
          <w:rFonts w:ascii="仿宋_GB2312" w:hAnsi="仿宋" w:eastAsia="仿宋_GB2312"/>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81"/>
        <w:rPr>
          <w:rFonts w:ascii="仿宋_GB2312" w:hAnsi="仿宋" w:eastAsia="仿宋_GB2312"/>
          <w:szCs w:val="24"/>
          <w:highlight w:val="none"/>
        </w:rPr>
      </w:pPr>
    </w:p>
    <w:p>
      <w:pPr>
        <w:pStyle w:val="281"/>
        <w:rPr>
          <w:rFonts w:ascii="仿宋_GB2312" w:hAnsi="仿宋" w:eastAsia="仿宋_GB2312"/>
          <w:szCs w:val="24"/>
          <w:highlight w:val="none"/>
        </w:rPr>
      </w:pPr>
    </w:p>
    <w:p>
      <w:pPr>
        <w:pStyle w:val="281"/>
        <w:jc w:val="center"/>
        <w:rPr>
          <w:rFonts w:ascii="仿宋_GB2312" w:hAnsi="仿宋" w:eastAsia="仿宋_GB2312"/>
          <w:szCs w:val="24"/>
          <w:highlight w:val="none"/>
        </w:rPr>
      </w:pPr>
    </w:p>
    <w:p>
      <w:pPr>
        <w:pStyle w:val="281"/>
        <w:ind w:firstLine="2843" w:firstLineChars="1180"/>
        <w:rPr>
          <w:rFonts w:ascii="仿宋_GB2312" w:hAnsi="仿宋" w:eastAsia="仿宋_GB2312"/>
          <w:b/>
          <w:szCs w:val="24"/>
          <w:highlight w:val="none"/>
        </w:rPr>
      </w:pPr>
      <w:r>
        <w:rPr>
          <w:rFonts w:hint="eastAsia" w:ascii="仿宋_GB2312" w:hAnsi="仿宋" w:eastAsia="仿宋_GB2312"/>
          <w:b/>
          <w:szCs w:val="24"/>
          <w:highlight w:val="none"/>
        </w:rPr>
        <w:t>第一部分   合同书</w:t>
      </w:r>
    </w:p>
    <w:p>
      <w:pPr>
        <w:pStyle w:val="281"/>
        <w:rPr>
          <w:rFonts w:ascii="仿宋_GB2312" w:hAnsi="仿宋" w:eastAsia="仿宋_GB2312"/>
          <w:szCs w:val="24"/>
          <w:highlight w:val="none"/>
        </w:rPr>
      </w:pPr>
    </w:p>
    <w:p>
      <w:pPr>
        <w:pStyle w:val="281"/>
        <w:rPr>
          <w:rFonts w:ascii="仿宋_GB2312" w:hAnsi="仿宋" w:eastAsia="仿宋_GB2312"/>
          <w:szCs w:val="24"/>
          <w:highlight w:val="none"/>
        </w:rPr>
      </w:pPr>
    </w:p>
    <w:p>
      <w:pPr>
        <w:spacing w:before="120" w:line="22" w:lineRule="atLeast"/>
        <w:rPr>
          <w:rFonts w:ascii="仿宋_GB2312" w:hAnsi="仿宋" w:eastAsia="仿宋_GB2312"/>
          <w:sz w:val="24"/>
          <w:highlight w:val="none"/>
        </w:rPr>
      </w:pPr>
    </w:p>
    <w:p>
      <w:pPr>
        <w:spacing w:before="120" w:line="22" w:lineRule="atLeast"/>
        <w:ind w:left="960"/>
        <w:rPr>
          <w:rFonts w:ascii="仿宋_GB2312" w:hAnsi="仿宋" w:eastAsia="仿宋_GB2312"/>
          <w:sz w:val="24"/>
          <w:highlight w:val="none"/>
        </w:rPr>
      </w:pPr>
      <w:r>
        <w:rPr>
          <w:rFonts w:hint="eastAsia" w:ascii="仿宋_GB2312" w:hAnsi="仿宋" w:eastAsia="仿宋_GB2312"/>
          <w:sz w:val="24"/>
          <w:highlight w:val="none"/>
        </w:rPr>
        <w:t>项目名称：</w:t>
      </w:r>
      <w:r>
        <w:rPr>
          <w:rFonts w:hint="eastAsia" w:ascii="仿宋_GB2312" w:hAnsi="仿宋" w:eastAsia="仿宋_GB2312"/>
          <w:sz w:val="24"/>
          <w:highlight w:val="none"/>
          <w:u w:val="single"/>
        </w:rPr>
        <w:t xml:space="preserve">                                   </w:t>
      </w:r>
    </w:p>
    <w:p>
      <w:pPr>
        <w:pStyle w:val="280"/>
        <w:spacing w:before="120" w:line="22" w:lineRule="atLeast"/>
        <w:rPr>
          <w:rFonts w:hAnsi="仿宋"/>
          <w:szCs w:val="24"/>
          <w:highlight w:val="none"/>
        </w:rPr>
      </w:pPr>
    </w:p>
    <w:p>
      <w:pPr>
        <w:pStyle w:val="280"/>
        <w:spacing w:before="120" w:line="22" w:lineRule="atLeast"/>
        <w:rPr>
          <w:rFonts w:hAnsi="仿宋"/>
          <w:szCs w:val="24"/>
          <w:highlight w:val="none"/>
        </w:rPr>
      </w:pPr>
    </w:p>
    <w:p>
      <w:pPr>
        <w:rPr>
          <w:rFonts w:ascii="仿宋_GB2312" w:hAnsi="仿宋" w:eastAsia="仿宋_GB2312"/>
          <w:sz w:val="24"/>
          <w:highlight w:val="none"/>
        </w:rPr>
      </w:pPr>
    </w:p>
    <w:p>
      <w:pPr>
        <w:spacing w:before="120" w:line="22" w:lineRule="atLeast"/>
        <w:ind w:left="960"/>
        <w:rPr>
          <w:rFonts w:ascii="仿宋_GB2312" w:hAnsi="仿宋" w:eastAsia="仿宋_GB2312"/>
          <w:sz w:val="24"/>
          <w:highlight w:val="none"/>
          <w:u w:val="single"/>
        </w:rPr>
      </w:pPr>
      <w:r>
        <w:rPr>
          <w:rFonts w:hint="eastAsia" w:ascii="仿宋_GB2312" w:hAnsi="仿宋" w:eastAsia="仿宋_GB2312"/>
          <w:sz w:val="24"/>
          <w:highlight w:val="none"/>
        </w:rPr>
        <w:t>甲方：</w:t>
      </w:r>
      <w:r>
        <w:rPr>
          <w:rFonts w:hint="eastAsia" w:ascii="仿宋_GB2312" w:hAnsi="仿宋" w:eastAsia="仿宋_GB2312"/>
          <w:sz w:val="24"/>
          <w:highlight w:val="none"/>
          <w:u w:val="single"/>
        </w:rPr>
        <w:t xml:space="preserve">                                       </w:t>
      </w:r>
    </w:p>
    <w:p>
      <w:pPr>
        <w:spacing w:before="120" w:line="22" w:lineRule="atLeast"/>
        <w:rPr>
          <w:rFonts w:ascii="仿宋_GB2312" w:hAnsi="仿宋" w:eastAsia="仿宋_GB2312"/>
          <w:sz w:val="24"/>
          <w:highlight w:val="none"/>
        </w:rPr>
      </w:pPr>
    </w:p>
    <w:p>
      <w:pPr>
        <w:spacing w:before="120" w:line="22" w:lineRule="atLeast"/>
        <w:ind w:left="960"/>
        <w:rPr>
          <w:rFonts w:ascii="仿宋_GB2312" w:hAnsi="仿宋" w:eastAsia="仿宋_GB2312"/>
          <w:sz w:val="24"/>
          <w:highlight w:val="none"/>
          <w:u w:val="single"/>
        </w:rPr>
      </w:pPr>
      <w:r>
        <w:rPr>
          <w:rFonts w:hint="eastAsia" w:ascii="仿宋_GB2312" w:hAnsi="仿宋" w:eastAsia="仿宋_GB2312"/>
          <w:sz w:val="24"/>
          <w:highlight w:val="none"/>
        </w:rPr>
        <w:t>乙方：</w:t>
      </w:r>
      <w:r>
        <w:rPr>
          <w:rFonts w:hint="eastAsia" w:ascii="仿宋_GB2312" w:hAnsi="仿宋" w:eastAsia="仿宋_GB2312"/>
          <w:sz w:val="24"/>
          <w:highlight w:val="none"/>
          <w:u w:val="single"/>
        </w:rPr>
        <w:t xml:space="preserve">                                       </w:t>
      </w:r>
    </w:p>
    <w:p>
      <w:pPr>
        <w:spacing w:before="120" w:line="22" w:lineRule="atLeast"/>
        <w:rPr>
          <w:rFonts w:ascii="仿宋_GB2312" w:hAnsi="仿宋" w:eastAsia="仿宋_GB2312"/>
          <w:sz w:val="24"/>
          <w:highlight w:val="none"/>
        </w:rPr>
      </w:pPr>
    </w:p>
    <w:p>
      <w:pPr>
        <w:spacing w:before="120" w:line="22" w:lineRule="atLeast"/>
        <w:ind w:firstLine="960" w:firstLineChars="400"/>
        <w:rPr>
          <w:rFonts w:ascii="仿宋_GB2312" w:hAnsi="仿宋" w:eastAsia="仿宋_GB2312"/>
          <w:sz w:val="24"/>
          <w:highlight w:val="none"/>
          <w:u w:val="single"/>
        </w:rPr>
      </w:pPr>
      <w:r>
        <w:rPr>
          <w:rFonts w:hint="eastAsia" w:ascii="仿宋_GB2312" w:hAnsi="仿宋" w:eastAsia="仿宋_GB2312"/>
          <w:sz w:val="24"/>
          <w:highlight w:val="none"/>
        </w:rPr>
        <w:t>签订地：</w:t>
      </w:r>
      <w:r>
        <w:rPr>
          <w:rFonts w:hint="eastAsia" w:ascii="仿宋_GB2312" w:hAnsi="仿宋" w:eastAsia="仿宋_GB2312"/>
          <w:sz w:val="24"/>
          <w:highlight w:val="none"/>
          <w:u w:val="single"/>
        </w:rPr>
        <w:t xml:space="preserve">                                     </w:t>
      </w:r>
    </w:p>
    <w:p>
      <w:pPr>
        <w:spacing w:before="120" w:line="22" w:lineRule="atLeast"/>
        <w:rPr>
          <w:rFonts w:ascii="仿宋_GB2312" w:hAnsi="仿宋" w:eastAsia="仿宋_GB2312"/>
          <w:sz w:val="24"/>
          <w:highlight w:val="none"/>
        </w:rPr>
      </w:pPr>
    </w:p>
    <w:p>
      <w:pPr>
        <w:spacing w:before="120" w:line="22" w:lineRule="atLeast"/>
        <w:ind w:firstLine="960" w:firstLineChars="400"/>
        <w:rPr>
          <w:rFonts w:ascii="仿宋_GB2312" w:hAnsi="仿宋" w:eastAsia="仿宋_GB2312"/>
          <w:sz w:val="24"/>
          <w:highlight w:val="none"/>
          <w:u w:val="single"/>
        </w:rPr>
      </w:pPr>
      <w:r>
        <w:rPr>
          <w:rFonts w:hint="eastAsia" w:ascii="仿宋_GB2312" w:hAnsi="仿宋" w:eastAsia="仿宋_GB2312"/>
          <w:sz w:val="24"/>
          <w:highlight w:val="none"/>
        </w:rPr>
        <w:t>签订日期：</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年</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月</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日</w:t>
      </w:r>
    </w:p>
    <w:p>
      <w:pPr>
        <w:widowControl/>
        <w:jc w:val="left"/>
        <w:rPr>
          <w:rFonts w:ascii="仿宋_GB2312" w:hAnsi="仿宋" w:eastAsia="仿宋_GB2312"/>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u w:val="single"/>
          <w:lang w:val="zh-CN"/>
        </w:rPr>
        <w:t xml:space="preserve">        </w:t>
      </w:r>
      <w:r>
        <w:rPr>
          <w:rFonts w:hint="eastAsia" w:ascii="仿宋_GB2312" w:hAnsi="仿宋" w:eastAsia="仿宋_GB2312"/>
          <w:sz w:val="24"/>
          <w:highlight w:val="none"/>
          <w:lang w:val="zh-CN"/>
        </w:rPr>
        <w:t>年</w:t>
      </w:r>
      <w:r>
        <w:rPr>
          <w:rFonts w:hint="eastAsia" w:ascii="仿宋_GB2312" w:hAnsi="仿宋" w:eastAsia="仿宋_GB2312"/>
          <w:sz w:val="24"/>
          <w:highlight w:val="none"/>
          <w:u w:val="single"/>
          <w:lang w:val="zh-CN"/>
        </w:rPr>
        <w:t xml:space="preserve">    </w:t>
      </w:r>
      <w:r>
        <w:rPr>
          <w:rFonts w:hint="eastAsia" w:ascii="仿宋_GB2312" w:hAnsi="仿宋" w:eastAsia="仿宋_GB2312"/>
          <w:sz w:val="24"/>
          <w:highlight w:val="none"/>
          <w:lang w:val="zh-CN"/>
        </w:rPr>
        <w:t>月</w:t>
      </w:r>
      <w:r>
        <w:rPr>
          <w:rFonts w:hint="eastAsia" w:ascii="仿宋_GB2312" w:hAnsi="仿宋" w:eastAsia="仿宋_GB2312"/>
          <w:sz w:val="24"/>
          <w:highlight w:val="none"/>
          <w:u w:val="single"/>
          <w:lang w:val="zh-CN"/>
        </w:rPr>
        <w:t xml:space="preserve">    </w:t>
      </w:r>
      <w:r>
        <w:rPr>
          <w:rFonts w:hint="eastAsia" w:ascii="仿宋_GB2312" w:hAnsi="仿宋" w:eastAsia="仿宋_GB2312"/>
          <w:sz w:val="24"/>
          <w:highlight w:val="none"/>
          <w:lang w:val="zh-CN"/>
        </w:rPr>
        <w:t>日</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（采购人）   </w:t>
      </w:r>
      <w:r>
        <w:rPr>
          <w:rFonts w:hint="eastAsia" w:ascii="仿宋_GB2312" w:hAnsi="仿宋" w:eastAsia="仿宋_GB2312"/>
          <w:sz w:val="24"/>
          <w:highlight w:val="none"/>
        </w:rPr>
        <w:t>以</w:t>
      </w:r>
      <w:r>
        <w:rPr>
          <w:rFonts w:hint="eastAsia" w:ascii="仿宋_GB2312" w:hAnsi="仿宋" w:eastAsia="仿宋_GB2312"/>
          <w:sz w:val="24"/>
          <w:highlight w:val="none"/>
          <w:u w:val="single"/>
        </w:rPr>
        <w:t xml:space="preserve">   （政府采购方式）  </w:t>
      </w:r>
      <w:r>
        <w:rPr>
          <w:rFonts w:hint="eastAsia" w:ascii="仿宋_GB2312" w:hAnsi="仿宋" w:eastAsia="仿宋_GB2312"/>
          <w:sz w:val="24"/>
          <w:highlight w:val="none"/>
        </w:rPr>
        <w:t>对</w:t>
      </w:r>
      <w:r>
        <w:rPr>
          <w:rFonts w:hint="eastAsia" w:ascii="仿宋_GB2312" w:hAnsi="仿宋" w:eastAsia="仿宋_GB2312"/>
          <w:sz w:val="24"/>
          <w:highlight w:val="none"/>
          <w:u w:val="single"/>
        </w:rPr>
        <w:t xml:space="preserve">   （同前页项目名称）   </w:t>
      </w:r>
      <w:r>
        <w:rPr>
          <w:rFonts w:hint="eastAsia" w:ascii="仿宋_GB2312" w:hAnsi="仿宋" w:eastAsia="仿宋_GB2312"/>
          <w:sz w:val="24"/>
          <w:highlight w:val="none"/>
        </w:rPr>
        <w:t>项目进行了采购。经</w:t>
      </w:r>
      <w:r>
        <w:rPr>
          <w:rFonts w:hint="eastAsia" w:ascii="仿宋_GB2312" w:hAnsi="仿宋" w:eastAsia="仿宋_GB2312"/>
          <w:sz w:val="24"/>
          <w:highlight w:val="none"/>
          <w:u w:val="single"/>
        </w:rPr>
        <w:t xml:space="preserve">   （相关评定主体名称）   </w:t>
      </w:r>
      <w:r>
        <w:rPr>
          <w:rFonts w:hint="eastAsia" w:ascii="仿宋_GB2312" w:hAnsi="仿宋" w:eastAsia="仿宋_GB2312"/>
          <w:sz w:val="24"/>
          <w:highlight w:val="none"/>
        </w:rPr>
        <w:t>评定，</w:t>
      </w:r>
      <w:r>
        <w:rPr>
          <w:rFonts w:hint="eastAsia" w:ascii="仿宋_GB2312" w:hAnsi="仿宋" w:eastAsia="仿宋_GB2312"/>
          <w:sz w:val="24"/>
          <w:highlight w:val="none"/>
          <w:u w:val="single"/>
        </w:rPr>
        <w:t xml:space="preserve">   （中标供应商名称）</w:t>
      </w:r>
      <w:r>
        <w:rPr>
          <w:rFonts w:hint="eastAsia" w:ascii="仿宋_GB2312" w:hAnsi="仿宋" w:eastAsia="仿宋_GB2312"/>
          <w:sz w:val="24"/>
          <w:highlight w:val="none"/>
        </w:rPr>
        <w:t>为该项目中标供应商。现于中标通知书发出之日起三十日内，按照采购文件确定的事项签订本合同。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sz w:val="24"/>
          <w:highlight w:val="none"/>
          <w:u w:val="single"/>
        </w:rPr>
        <w:t xml:space="preserve">   （采购人）   </w:t>
      </w:r>
      <w:r>
        <w:rPr>
          <w:rFonts w:hint="eastAsia" w:ascii="仿宋_GB2312" w:hAnsi="仿宋" w:eastAsia="仿宋_GB2312"/>
          <w:sz w:val="24"/>
          <w:highlight w:val="none"/>
          <w:lang w:val="zh-CN"/>
        </w:rPr>
        <w:t>(以下简称：甲方)和</w:t>
      </w:r>
      <w:r>
        <w:rPr>
          <w:rFonts w:hint="eastAsia" w:ascii="仿宋_GB2312" w:hAnsi="仿宋" w:eastAsia="仿宋_GB2312"/>
          <w:sz w:val="24"/>
          <w:highlight w:val="none"/>
          <w:u w:val="single"/>
        </w:rPr>
        <w:t xml:space="preserve">   （中标供应商名称）   </w:t>
      </w:r>
      <w:r>
        <w:rPr>
          <w:rFonts w:hint="eastAsia" w:ascii="仿宋_GB2312" w:hAnsi="仿宋" w:eastAsia="仿宋_GB2312"/>
          <w:sz w:val="24"/>
          <w:highlight w:val="none"/>
          <w:lang w:val="zh-CN"/>
        </w:rPr>
        <w:t>(以下简称：乙方)协商一致，约定以下合同</w:t>
      </w:r>
      <w:r>
        <w:rPr>
          <w:rFonts w:hint="eastAsia" w:ascii="仿宋_GB2312" w:hAnsi="仿宋" w:eastAsia="仿宋_GB2312"/>
          <w:sz w:val="24"/>
          <w:highlight w:val="none"/>
        </w:rPr>
        <w:t>条款，以兹共同遵守、全面履行。</w:t>
      </w:r>
    </w:p>
    <w:p>
      <w:pPr>
        <w:spacing w:line="560" w:lineRule="exact"/>
        <w:ind w:firstLine="482" w:firstLineChars="200"/>
        <w:outlineLvl w:val="0"/>
        <w:rPr>
          <w:rFonts w:ascii="仿宋_GB2312" w:hAnsi="仿宋" w:eastAsia="仿宋_GB2312"/>
          <w:b/>
          <w:sz w:val="24"/>
          <w:highlight w:val="none"/>
        </w:rPr>
      </w:pPr>
      <w:bookmarkStart w:id="15" w:name="_Toc24059"/>
      <w:bookmarkStart w:id="16" w:name="_Toc2232"/>
      <w:bookmarkStart w:id="17" w:name="_Toc3029"/>
      <w:r>
        <w:rPr>
          <w:rFonts w:hint="eastAsia" w:ascii="仿宋_GB2312" w:hAnsi="仿宋" w:eastAsia="仿宋_GB2312"/>
          <w:b/>
          <w:sz w:val="24"/>
          <w:highlight w:val="none"/>
        </w:rPr>
        <w:t>1.1 合同组成部分</w:t>
      </w:r>
      <w:bookmarkEnd w:id="15"/>
      <w:bookmarkEnd w:id="16"/>
      <w:bookmarkEnd w:id="17"/>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1.1.1 本合同及其补充合同、变更协议；</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1.1.2 中标通知书；</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1.1.3 投标文件（含澄清或者说明文件）；</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1.1.4 招标文件（含澄清或者修改文件）；</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1.1.5 其他相关采购文件。</w:t>
      </w:r>
    </w:p>
    <w:p>
      <w:pPr>
        <w:spacing w:line="560" w:lineRule="exact"/>
        <w:ind w:firstLine="482" w:firstLineChars="200"/>
        <w:outlineLvl w:val="0"/>
        <w:rPr>
          <w:rFonts w:ascii="仿宋_GB2312" w:hAnsi="仿宋" w:eastAsia="仿宋_GB2312"/>
          <w:b/>
          <w:sz w:val="24"/>
          <w:highlight w:val="none"/>
        </w:rPr>
      </w:pPr>
      <w:bookmarkStart w:id="18" w:name="_Toc27126"/>
      <w:bookmarkStart w:id="19" w:name="_Toc21295"/>
      <w:bookmarkStart w:id="20" w:name="_Toc24300"/>
      <w:r>
        <w:rPr>
          <w:rFonts w:hint="eastAsia" w:ascii="仿宋_GB2312" w:hAnsi="仿宋" w:eastAsia="仿宋_GB2312"/>
          <w:b/>
          <w:sz w:val="24"/>
          <w:highlight w:val="none"/>
        </w:rPr>
        <w:t>1.2 货物</w:t>
      </w:r>
      <w:bookmarkEnd w:id="18"/>
      <w:bookmarkEnd w:id="19"/>
      <w:bookmarkEnd w:id="20"/>
    </w:p>
    <w:p>
      <w:pPr>
        <w:spacing w:line="560" w:lineRule="exact"/>
        <w:ind w:firstLine="480" w:firstLineChars="200"/>
        <w:rPr>
          <w:rFonts w:ascii="仿宋_GB2312" w:hAnsi="仿宋" w:eastAsia="仿宋_GB2312"/>
          <w:sz w:val="24"/>
          <w:highlight w:val="none"/>
          <w:u w:val="single"/>
        </w:rPr>
      </w:pPr>
      <w:r>
        <w:rPr>
          <w:rFonts w:hint="eastAsia" w:ascii="仿宋_GB2312" w:hAnsi="仿宋" w:eastAsia="仿宋_GB2312"/>
          <w:sz w:val="24"/>
          <w:highlight w:val="none"/>
        </w:rPr>
        <w:t>1.2.1 货物名称：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pacing w:line="560" w:lineRule="exact"/>
        <w:ind w:firstLine="480" w:firstLineChars="200"/>
        <w:rPr>
          <w:rFonts w:ascii="仿宋_GB2312" w:hAnsi="仿宋" w:eastAsia="仿宋_GB2312"/>
          <w:sz w:val="24"/>
          <w:highlight w:val="none"/>
          <w:u w:val="single"/>
        </w:rPr>
      </w:pPr>
      <w:r>
        <w:rPr>
          <w:rFonts w:hint="eastAsia" w:ascii="仿宋_GB2312" w:hAnsi="仿宋" w:eastAsia="仿宋_GB2312"/>
          <w:sz w:val="24"/>
          <w:highlight w:val="none"/>
        </w:rPr>
        <w:t>1.2.2 货物数量：</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1.2.3 货物质量：</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pacing w:line="560" w:lineRule="exact"/>
        <w:ind w:firstLine="482" w:firstLineChars="200"/>
        <w:outlineLvl w:val="0"/>
        <w:rPr>
          <w:rFonts w:ascii="仿宋_GB2312" w:hAnsi="仿宋" w:eastAsia="仿宋_GB2312"/>
          <w:b/>
          <w:sz w:val="24"/>
          <w:highlight w:val="none"/>
        </w:rPr>
      </w:pPr>
      <w:bookmarkStart w:id="21" w:name="_Toc21551"/>
      <w:bookmarkStart w:id="22" w:name="_Toc21631"/>
      <w:bookmarkStart w:id="23" w:name="_Toc23292"/>
      <w:r>
        <w:rPr>
          <w:rFonts w:hint="eastAsia" w:ascii="仿宋_GB2312" w:hAnsi="仿宋" w:eastAsia="仿宋_GB2312"/>
          <w:b/>
          <w:sz w:val="24"/>
          <w:highlight w:val="none"/>
        </w:rPr>
        <w:t>1.3 价款</w:t>
      </w:r>
      <w:bookmarkEnd w:id="21"/>
      <w:bookmarkEnd w:id="22"/>
      <w:bookmarkEnd w:id="23"/>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本合同总价为：￥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元（大写：</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元人民币）。</w:t>
      </w:r>
    </w:p>
    <w:p>
      <w:pPr>
        <w:spacing w:line="560" w:lineRule="exact"/>
        <w:ind w:firstLine="480" w:firstLineChars="200"/>
        <w:rPr>
          <w:rFonts w:ascii="仿宋_GB2312" w:hAnsi="仿宋" w:eastAsia="仿宋_GB2312"/>
          <w:sz w:val="24"/>
          <w:highlight w:val="none"/>
          <w:u w:val="single"/>
        </w:rPr>
      </w:pPr>
      <w:r>
        <w:rPr>
          <w:rFonts w:hint="eastAsia" w:ascii="仿宋_GB2312" w:hAnsi="仿宋" w:eastAsia="仿宋_GB2312"/>
          <w:sz w:val="24"/>
          <w:highlight w:val="none"/>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highlight w:val="none"/>
              </w:rPr>
            </w:pPr>
            <w:r>
              <w:rPr>
                <w:rFonts w:hint="eastAsia" w:ascii="仿宋_GB2312" w:hAnsi="仿宋" w:eastAsia="仿宋_GB2312"/>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r>
              <w:rPr>
                <w:rFonts w:hint="eastAsia" w:ascii="仿宋_GB2312" w:hAnsi="仿宋" w:eastAsia="仿宋_GB2312"/>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highlight w:val="none"/>
              </w:rPr>
            </w:pPr>
            <w:r>
              <w:rPr>
                <w:rFonts w:hint="eastAsia" w:ascii="仿宋_GB2312" w:hAnsi="仿宋" w:eastAsia="仿宋_GB231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r>
              <w:rPr>
                <w:rFonts w:hint="eastAsia" w:ascii="仿宋_GB2312" w:hAnsi="仿宋" w:eastAsia="仿宋_GB2312"/>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highlight w:val="none"/>
              </w:rPr>
            </w:pPr>
          </w:p>
        </w:tc>
      </w:tr>
    </w:tbl>
    <w:p>
      <w:pPr>
        <w:spacing w:line="440" w:lineRule="exact"/>
        <w:ind w:firstLine="482" w:firstLineChars="200"/>
        <w:outlineLvl w:val="0"/>
        <w:rPr>
          <w:rFonts w:ascii="仿宋_GB2312" w:hAnsi="仿宋" w:eastAsia="仿宋_GB2312"/>
          <w:b/>
          <w:sz w:val="24"/>
          <w:highlight w:val="none"/>
        </w:rPr>
      </w:pPr>
      <w:bookmarkStart w:id="24" w:name="_Toc22618"/>
      <w:bookmarkStart w:id="25" w:name="_Toc10340"/>
      <w:bookmarkStart w:id="26" w:name="_Toc1814"/>
      <w:r>
        <w:rPr>
          <w:rFonts w:hint="eastAsia" w:ascii="仿宋_GB2312" w:hAnsi="仿宋" w:eastAsia="仿宋_GB2312"/>
          <w:b/>
          <w:sz w:val="24"/>
          <w:highlight w:val="none"/>
        </w:rPr>
        <w:t>1.4 付款</w:t>
      </w:r>
      <w:bookmarkEnd w:id="24"/>
      <w:bookmarkEnd w:id="25"/>
      <w:bookmarkEnd w:id="26"/>
      <w:r>
        <w:rPr>
          <w:rFonts w:hint="eastAsia" w:ascii="仿宋_GB2312" w:hAnsi="仿宋" w:eastAsia="仿宋_GB2312"/>
          <w:b/>
          <w:sz w:val="24"/>
          <w:highlight w:val="none"/>
        </w:rPr>
        <w:t>方式、时间和条件</w:t>
      </w:r>
    </w:p>
    <w:p>
      <w:pPr>
        <w:pStyle w:val="282"/>
        <w:spacing w:before="0" w:beforeAutospacing="0" w:after="0" w:afterAutospacing="0" w:line="440" w:lineRule="exact"/>
        <w:ind w:firstLine="480"/>
        <w:rPr>
          <w:rFonts w:ascii="仿宋_GB2312" w:hAnsi="仿宋" w:eastAsia="仿宋_GB2312" w:cs="Times New Roman"/>
          <w:highlight w:val="none"/>
        </w:rPr>
      </w:pPr>
      <w:r>
        <w:rPr>
          <w:rFonts w:hint="eastAsia" w:ascii="仿宋_GB2312" w:hAnsi="仿宋" w:eastAsia="仿宋_GB2312" w:cs="Times New Roman"/>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_GB2312" w:hAnsi="仿宋" w:eastAsia="仿宋_GB2312"/>
          <w:sz w:val="24"/>
          <w:highlight w:val="none"/>
        </w:rPr>
      </w:pPr>
      <w:r>
        <w:rPr>
          <w:rFonts w:hint="eastAsia" w:ascii="仿宋_GB2312" w:hAnsi="仿宋" w:eastAsia="仿宋_GB2312"/>
          <w:sz w:val="24"/>
          <w:highlight w:val="none"/>
        </w:rPr>
        <w:t>1.4.4资金支付的方式、时间和条件详见</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440" w:lineRule="exact"/>
        <w:ind w:firstLine="482" w:firstLineChars="200"/>
        <w:outlineLvl w:val="0"/>
        <w:rPr>
          <w:rFonts w:ascii="仿宋_GB2312" w:hAnsi="仿宋" w:eastAsia="仿宋_GB2312"/>
          <w:b/>
          <w:sz w:val="24"/>
          <w:highlight w:val="none"/>
        </w:rPr>
      </w:pPr>
      <w:bookmarkStart w:id="27" w:name="_Toc2846"/>
      <w:bookmarkStart w:id="28" w:name="_Toc19304"/>
      <w:bookmarkStart w:id="29" w:name="_Toc32071"/>
      <w:r>
        <w:rPr>
          <w:rFonts w:hint="eastAsia" w:ascii="仿宋_GB2312" w:hAnsi="仿宋" w:eastAsia="仿宋_GB2312"/>
          <w:b/>
          <w:sz w:val="24"/>
          <w:highlight w:val="none"/>
        </w:rPr>
        <w:t>1.5 货物交付期限、地点和方式</w:t>
      </w:r>
      <w:bookmarkEnd w:id="27"/>
      <w:bookmarkEnd w:id="28"/>
      <w:bookmarkEnd w:id="29"/>
    </w:p>
    <w:p>
      <w:pPr>
        <w:spacing w:line="440" w:lineRule="exact"/>
        <w:ind w:firstLine="480" w:firstLineChars="200"/>
        <w:rPr>
          <w:rFonts w:ascii="仿宋_GB2312" w:hAnsi="仿宋" w:eastAsia="仿宋_GB2312"/>
          <w:sz w:val="24"/>
          <w:highlight w:val="none"/>
          <w:u w:val="single"/>
        </w:rPr>
      </w:pPr>
      <w:r>
        <w:rPr>
          <w:rFonts w:hint="eastAsia" w:ascii="仿宋_GB2312" w:hAnsi="仿宋" w:eastAsia="仿宋_GB2312"/>
          <w:sz w:val="24"/>
          <w:highlight w:val="none"/>
        </w:rPr>
        <w:t>1.5.1 交付期限：详见</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1.5.2 交付地点：</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1.5.3 交付方式：</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560" w:lineRule="exact"/>
        <w:ind w:firstLine="482" w:firstLineChars="200"/>
        <w:outlineLvl w:val="0"/>
        <w:rPr>
          <w:rFonts w:ascii="仿宋_GB2312" w:hAnsi="仿宋" w:eastAsia="仿宋_GB2312"/>
          <w:b/>
          <w:sz w:val="24"/>
          <w:highlight w:val="none"/>
        </w:rPr>
      </w:pPr>
      <w:bookmarkStart w:id="30" w:name="_Toc19554"/>
      <w:bookmarkStart w:id="31" w:name="_Toc27250"/>
      <w:bookmarkStart w:id="32" w:name="_Toc21423"/>
      <w:r>
        <w:rPr>
          <w:rFonts w:hint="eastAsia" w:ascii="仿宋_GB2312" w:hAnsi="仿宋" w:eastAsia="仿宋_GB2312"/>
          <w:b/>
          <w:sz w:val="24"/>
          <w:highlight w:val="none"/>
        </w:rPr>
        <w:t>1.6 违约责任</w:t>
      </w:r>
      <w:bookmarkEnd w:id="30"/>
      <w:bookmarkEnd w:id="31"/>
      <w:bookmarkEnd w:id="32"/>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%计算，最高限额为本合同总价的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1.6.2 除不可抗力外，如果甲方没有按照本合同约定的付款方式付款，那么乙方可要求甲方支付违约金，违约金按每迟延付款一日的应付而未付款的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%计算，最高限额为本合同总价的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_GB2312" w:eastAsia="仿宋_GB2312"/>
          <w:highlight w:val="none"/>
        </w:rPr>
      </w:pPr>
      <w:r>
        <w:rPr>
          <w:rFonts w:hint="eastAsia" w:ascii="仿宋_GB2312" w:hAnsi="仿宋" w:eastAsia="仿宋_GB2312"/>
          <w:sz w:val="24"/>
          <w:highlight w:val="none"/>
        </w:rPr>
        <w:t>1.6.7违约责任</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另有约定的，从其约定。</w:t>
      </w:r>
    </w:p>
    <w:p>
      <w:pPr>
        <w:spacing w:line="560" w:lineRule="exact"/>
        <w:ind w:firstLine="482" w:firstLineChars="200"/>
        <w:outlineLvl w:val="0"/>
        <w:rPr>
          <w:rFonts w:ascii="仿宋_GB2312" w:hAnsi="仿宋" w:eastAsia="仿宋_GB2312"/>
          <w:b/>
          <w:sz w:val="24"/>
          <w:highlight w:val="none"/>
        </w:rPr>
      </w:pPr>
      <w:bookmarkStart w:id="33" w:name="_Toc15583"/>
      <w:bookmarkStart w:id="34" w:name="_Toc28375"/>
      <w:bookmarkStart w:id="35" w:name="_Toc16021"/>
      <w:r>
        <w:rPr>
          <w:rFonts w:hint="eastAsia" w:ascii="仿宋_GB2312" w:hAnsi="仿宋" w:eastAsia="仿宋_GB2312"/>
          <w:b/>
          <w:sz w:val="24"/>
          <w:highlight w:val="none"/>
        </w:rPr>
        <w:t>1.7 合同争议的解决</w:t>
      </w:r>
      <w:bookmarkEnd w:id="33"/>
      <w:bookmarkEnd w:id="34"/>
      <w:bookmarkEnd w:id="35"/>
    </w:p>
    <w:p>
      <w:pPr>
        <w:spacing w:line="560" w:lineRule="exact"/>
        <w:ind w:left="-61" w:leftChars="-29" w:right="-420" w:rightChars="-200" w:firstLine="240" w:firstLineChars="100"/>
        <w:rPr>
          <w:rFonts w:ascii="仿宋_GB2312" w:hAnsi="仿宋" w:eastAsia="仿宋_GB2312"/>
          <w:sz w:val="24"/>
          <w:highlight w:val="none"/>
        </w:rPr>
      </w:pPr>
      <w:r>
        <w:rPr>
          <w:rFonts w:hint="eastAsia" w:ascii="仿宋_GB2312" w:hAnsi="仿宋" w:eastAsia="仿宋_GB2312"/>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b/>
          <w:i/>
          <w:sz w:val="24"/>
          <w:highlight w:val="none"/>
          <w:u w:val="single"/>
        </w:rPr>
        <w:t xml:space="preserve"> 合同专用条款  </w:t>
      </w:r>
      <w:r>
        <w:rPr>
          <w:rFonts w:hint="eastAsia" w:ascii="仿宋_GB2312" w:hAnsi="仿宋" w:eastAsia="仿宋_GB2312"/>
          <w:sz w:val="24"/>
          <w:highlight w:val="none"/>
        </w:rPr>
        <w:t>条款规定的方式解决：</w:t>
      </w:r>
    </w:p>
    <w:p>
      <w:pPr>
        <w:spacing w:line="560" w:lineRule="exact"/>
        <w:ind w:left="-420" w:leftChars="-200" w:right="-420" w:rightChars="-200" w:firstLine="600" w:firstLineChars="250"/>
        <w:rPr>
          <w:rFonts w:ascii="仿宋_GB2312" w:hAnsi="仿宋" w:eastAsia="仿宋_GB2312"/>
          <w:sz w:val="24"/>
          <w:highlight w:val="none"/>
        </w:rPr>
      </w:pPr>
      <w:r>
        <w:rPr>
          <w:rFonts w:hint="eastAsia" w:ascii="仿宋_GB2312" w:hAnsi="仿宋" w:eastAsia="仿宋_GB2312"/>
          <w:sz w:val="24"/>
          <w:highlight w:val="none"/>
        </w:rPr>
        <w:t>1.7.1 将争议提交</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仲裁委员会依申请仲裁时其现行有效的仲裁规则裁决；</w:t>
      </w:r>
    </w:p>
    <w:p>
      <w:pPr>
        <w:spacing w:line="560" w:lineRule="exact"/>
        <w:ind w:left="-420" w:leftChars="-200" w:right="-420" w:rightChars="-200" w:firstLine="600" w:firstLineChars="250"/>
        <w:rPr>
          <w:rFonts w:ascii="仿宋_GB2312" w:hAnsi="仿宋" w:eastAsia="仿宋_GB2312"/>
          <w:sz w:val="24"/>
          <w:highlight w:val="none"/>
        </w:rPr>
      </w:pPr>
      <w:r>
        <w:rPr>
          <w:rFonts w:hint="eastAsia" w:ascii="仿宋_GB2312" w:hAnsi="仿宋" w:eastAsia="仿宋_GB2312"/>
          <w:sz w:val="24"/>
          <w:highlight w:val="none"/>
        </w:rPr>
        <w:t>1.7.2 向</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人民法院起诉。</w:t>
      </w:r>
    </w:p>
    <w:p>
      <w:pPr>
        <w:spacing w:line="560" w:lineRule="exact"/>
        <w:ind w:firstLine="482" w:firstLineChars="200"/>
        <w:outlineLvl w:val="0"/>
        <w:rPr>
          <w:rFonts w:ascii="仿宋_GB2312" w:hAnsi="仿宋" w:eastAsia="仿宋_GB2312"/>
          <w:b/>
          <w:sz w:val="24"/>
          <w:highlight w:val="none"/>
        </w:rPr>
      </w:pPr>
      <w:bookmarkStart w:id="36" w:name="_Toc15322"/>
      <w:bookmarkStart w:id="37" w:name="_Toc11173"/>
      <w:bookmarkStart w:id="38" w:name="_Toc7245"/>
      <w:r>
        <w:rPr>
          <w:rFonts w:hint="eastAsia" w:ascii="仿宋_GB2312" w:hAnsi="仿宋" w:eastAsia="仿宋_GB2312"/>
          <w:b/>
          <w:sz w:val="24"/>
          <w:highlight w:val="none"/>
        </w:rPr>
        <w:t>1.8 合同生效</w:t>
      </w:r>
      <w:bookmarkEnd w:id="36"/>
      <w:bookmarkEnd w:id="37"/>
      <w:bookmarkEnd w:id="38"/>
    </w:p>
    <w:p>
      <w:pPr>
        <w:spacing w:line="560" w:lineRule="exact"/>
        <w:ind w:firstLine="480" w:firstLineChars="200"/>
        <w:rPr>
          <w:rFonts w:ascii="仿宋_GB2312" w:hAnsi="仿宋" w:eastAsia="仿宋_GB2312"/>
          <w:b/>
          <w:sz w:val="24"/>
          <w:highlight w:val="none"/>
        </w:rPr>
      </w:pPr>
      <w:r>
        <w:rPr>
          <w:rFonts w:hint="eastAsia" w:ascii="仿宋_GB2312" w:hAnsi="仿宋" w:eastAsia="仿宋_GB2312"/>
          <w:sz w:val="24"/>
          <w:highlight w:val="none"/>
        </w:rPr>
        <w:t>本合同自双方当事人盖章或者签字时生效。</w:t>
      </w:r>
    </w:p>
    <w:p>
      <w:pPr>
        <w:autoSpaceDE w:val="0"/>
        <w:autoSpaceDN w:val="0"/>
        <w:spacing w:line="240" w:lineRule="exact"/>
        <w:rPr>
          <w:rFonts w:ascii="仿宋_GB2312" w:hAnsi="仿宋" w:eastAsia="仿宋_GB2312"/>
          <w:sz w:val="24"/>
          <w:highlight w:val="none"/>
          <w:lang w:val="zh-CN"/>
        </w:rPr>
      </w:pP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b/>
          <w:sz w:val="24"/>
          <w:highlight w:val="none"/>
          <w:lang w:val="zh-CN"/>
        </w:rPr>
        <w:t>甲方</w:t>
      </w:r>
      <w:r>
        <w:rPr>
          <w:rFonts w:hint="eastAsia" w:ascii="仿宋_GB2312" w:hAnsi="仿宋" w:eastAsia="仿宋_GB2312"/>
          <w:sz w:val="24"/>
          <w:highlight w:val="none"/>
          <w:lang w:val="zh-CN"/>
        </w:rPr>
        <w:t xml:space="preserve">：                             </w:t>
      </w:r>
      <w:r>
        <w:rPr>
          <w:rFonts w:hint="eastAsia" w:ascii="仿宋_GB2312" w:hAnsi="仿宋" w:eastAsia="仿宋_GB2312"/>
          <w:b/>
          <w:sz w:val="24"/>
          <w:highlight w:val="none"/>
          <w:lang w:val="zh-CN"/>
        </w:rPr>
        <w:t xml:space="preserve">      乙方</w:t>
      </w:r>
      <w:r>
        <w:rPr>
          <w:rFonts w:hint="eastAsia" w:ascii="仿宋_GB2312" w:hAnsi="仿宋" w:eastAsia="仿宋_GB2312"/>
          <w:sz w:val="24"/>
          <w:highlight w:val="none"/>
          <w:lang w:val="zh-CN"/>
        </w:rPr>
        <w:t>：</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统一社会信用代码：                        统一社会信用代码或身份证号码：</w:t>
      </w:r>
    </w:p>
    <w:p>
      <w:pPr>
        <w:autoSpaceDE w:val="0"/>
        <w:autoSpaceDN w:val="0"/>
        <w:spacing w:line="240" w:lineRule="exact"/>
        <w:rPr>
          <w:rFonts w:ascii="仿宋_GB2312" w:hAnsi="仿宋" w:eastAsia="仿宋_GB2312"/>
          <w:sz w:val="24"/>
          <w:highlight w:val="none"/>
          <w:lang w:val="zh-CN"/>
        </w:rPr>
      </w:pP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住所：                                   住所：</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法定代表人或                             法定代表人</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 xml:space="preserve">授权代表（签字）：                        或授权代表（签字）: </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联系人：                                 联系人：</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约定送达地址：                           约定送达地址：</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邮政编码：                               邮政编码：</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 xml:space="preserve">电话:                                    电话: </w:t>
      </w:r>
    </w:p>
    <w:p>
      <w:pPr>
        <w:autoSpaceDE w:val="0"/>
        <w:autoSpaceDN w:val="0"/>
        <w:spacing w:line="560" w:lineRule="exact"/>
        <w:rPr>
          <w:rFonts w:ascii="仿宋_GB2312" w:hAnsi="仿宋" w:eastAsia="仿宋_GB2312"/>
          <w:sz w:val="24"/>
          <w:highlight w:val="none"/>
          <w:lang w:val="zh-CN"/>
        </w:rPr>
      </w:pPr>
      <w:r>
        <w:rPr>
          <w:rFonts w:hint="eastAsia" w:ascii="仿宋_GB2312" w:hAnsi="仿宋" w:eastAsia="仿宋_GB2312"/>
          <w:sz w:val="24"/>
          <w:highlight w:val="none"/>
          <w:lang w:val="zh-CN"/>
        </w:rPr>
        <w:t>传真:                                    传真:</w:t>
      </w:r>
    </w:p>
    <w:p>
      <w:pPr>
        <w:autoSpaceDE w:val="0"/>
        <w:autoSpaceDN w:val="0"/>
        <w:spacing w:line="560" w:lineRule="exact"/>
        <w:rPr>
          <w:rFonts w:ascii="仿宋_GB2312" w:hAnsi="仿宋" w:eastAsia="仿宋_GB2312"/>
          <w:sz w:val="24"/>
          <w:highlight w:val="none"/>
        </w:rPr>
      </w:pPr>
      <w:r>
        <w:rPr>
          <w:rFonts w:hint="eastAsia" w:ascii="仿宋_GB2312" w:hAnsi="仿宋" w:eastAsia="仿宋_GB2312"/>
          <w:sz w:val="24"/>
          <w:highlight w:val="none"/>
          <w:lang w:val="zh-CN"/>
        </w:rPr>
        <w:t>电子邮箱：                               电子邮箱：</w:t>
      </w:r>
    </w:p>
    <w:p>
      <w:pPr>
        <w:autoSpaceDE w:val="0"/>
        <w:autoSpaceDN w:val="0"/>
        <w:spacing w:line="560" w:lineRule="exact"/>
        <w:rPr>
          <w:rFonts w:ascii="仿宋_GB2312" w:hAnsi="仿宋" w:eastAsia="仿宋_GB2312"/>
          <w:sz w:val="24"/>
          <w:highlight w:val="none"/>
        </w:rPr>
      </w:pPr>
      <w:r>
        <w:rPr>
          <w:rFonts w:hint="eastAsia" w:ascii="仿宋_GB2312" w:hAnsi="仿宋" w:eastAsia="仿宋_GB2312"/>
          <w:sz w:val="24"/>
          <w:highlight w:val="none"/>
        </w:rPr>
        <w:t xml:space="preserve">开户银行：                               开户银行： </w:t>
      </w:r>
    </w:p>
    <w:p>
      <w:pPr>
        <w:autoSpaceDE w:val="0"/>
        <w:autoSpaceDN w:val="0"/>
        <w:spacing w:line="560" w:lineRule="exact"/>
        <w:rPr>
          <w:rFonts w:ascii="仿宋_GB2312" w:hAnsi="仿宋" w:eastAsia="仿宋_GB2312"/>
          <w:sz w:val="24"/>
          <w:highlight w:val="none"/>
        </w:rPr>
      </w:pPr>
      <w:r>
        <w:rPr>
          <w:rFonts w:hint="eastAsia" w:ascii="仿宋_GB2312" w:hAnsi="仿宋" w:eastAsia="仿宋_GB2312"/>
          <w:sz w:val="24"/>
          <w:highlight w:val="none"/>
        </w:rPr>
        <w:t xml:space="preserve">开户名称：                               开户名称： </w:t>
      </w:r>
    </w:p>
    <w:p>
      <w:pPr>
        <w:autoSpaceDE w:val="0"/>
        <w:autoSpaceDN w:val="0"/>
        <w:spacing w:line="560" w:lineRule="exact"/>
        <w:rPr>
          <w:rFonts w:ascii="仿宋_GB2312" w:hAnsi="仿宋" w:eastAsia="仿宋_GB2312"/>
          <w:sz w:val="24"/>
          <w:highlight w:val="none"/>
        </w:rPr>
      </w:pPr>
      <w:r>
        <w:rPr>
          <w:rFonts w:hint="eastAsia" w:ascii="仿宋_GB2312" w:hAnsi="仿宋" w:eastAsia="仿宋_GB2312"/>
          <w:sz w:val="24"/>
          <w:highlight w:val="none"/>
        </w:rPr>
        <w:t>开户账号：</w:t>
      </w:r>
      <w:r>
        <w:rPr>
          <w:rFonts w:hint="eastAsia" w:ascii="仿宋_GB2312" w:hAnsi="仿宋" w:eastAsia="仿宋_GB2312"/>
          <w:sz w:val="24"/>
          <w:highlight w:val="none"/>
          <w:lang w:val="zh-CN"/>
        </w:rPr>
        <w:t xml:space="preserve">                               </w:t>
      </w:r>
      <w:r>
        <w:rPr>
          <w:rFonts w:hint="eastAsia" w:ascii="仿宋_GB2312" w:hAnsi="仿宋" w:eastAsia="仿宋_GB2312"/>
          <w:sz w:val="24"/>
          <w:highlight w:val="none"/>
        </w:rPr>
        <w:t>开户账号：</w:t>
      </w:r>
    </w:p>
    <w:p>
      <w:pPr>
        <w:widowControl/>
        <w:spacing w:line="560" w:lineRule="exact"/>
        <w:jc w:val="left"/>
        <w:rPr>
          <w:rFonts w:ascii="仿宋_GB2312" w:hAnsi="仿宋" w:eastAsia="仿宋_GB2312"/>
          <w:b/>
          <w:sz w:val="24"/>
          <w:highlight w:val="none"/>
        </w:rPr>
      </w:pPr>
      <w:bookmarkStart w:id="39" w:name="_Toc331685783"/>
    </w:p>
    <w:p>
      <w:pPr>
        <w:pStyle w:val="281"/>
        <w:pageBreakBefore/>
        <w:spacing w:line="560" w:lineRule="exact"/>
        <w:ind w:firstLine="723"/>
        <w:jc w:val="center"/>
        <w:rPr>
          <w:rFonts w:ascii="仿宋_GB2312" w:hAnsi="仿宋" w:eastAsia="仿宋_GB2312"/>
          <w:b/>
          <w:sz w:val="36"/>
          <w:szCs w:val="36"/>
          <w:highlight w:val="none"/>
        </w:rPr>
      </w:pPr>
      <w:r>
        <w:rPr>
          <w:rFonts w:hint="eastAsia" w:ascii="仿宋_GB2312" w:hAnsi="仿宋" w:eastAsia="仿宋_GB2312"/>
          <w:b/>
          <w:sz w:val="36"/>
          <w:szCs w:val="36"/>
          <w:highlight w:val="none"/>
        </w:rPr>
        <w:t>第二部分 合同一般条款</w:t>
      </w:r>
      <w:bookmarkEnd w:id="39"/>
    </w:p>
    <w:p>
      <w:pPr>
        <w:spacing w:line="560" w:lineRule="exact"/>
        <w:ind w:firstLine="482" w:firstLineChars="200"/>
        <w:outlineLvl w:val="0"/>
        <w:rPr>
          <w:rFonts w:ascii="仿宋_GB2312" w:hAnsi="仿宋" w:eastAsia="仿宋_GB2312"/>
          <w:b/>
          <w:sz w:val="24"/>
          <w:highlight w:val="none"/>
        </w:rPr>
      </w:pPr>
      <w:bookmarkStart w:id="40" w:name="_Ref467379109"/>
      <w:bookmarkStart w:id="41" w:name="_Toc28763"/>
      <w:bookmarkStart w:id="42" w:name="_Ref467379094"/>
      <w:bookmarkStart w:id="43" w:name="_Ref467379205"/>
      <w:bookmarkStart w:id="44" w:name="_Toc19614"/>
      <w:bookmarkStart w:id="45" w:name="_Ref467379225"/>
      <w:bookmarkStart w:id="46" w:name="_Toc487900349"/>
      <w:bookmarkStart w:id="47" w:name="_Ref467378499"/>
      <w:bookmarkStart w:id="48" w:name="_Ref467379101"/>
      <w:bookmarkStart w:id="49" w:name="_Ref467378463"/>
      <w:bookmarkStart w:id="50" w:name="_Ref467378404"/>
      <w:bookmarkStart w:id="51" w:name="_Ref467379214"/>
      <w:bookmarkStart w:id="52" w:name="_Ref467379195"/>
      <w:bookmarkStart w:id="53" w:name="_Toc16917"/>
      <w:bookmarkStart w:id="54" w:name="_Toc279701240"/>
      <w:bookmarkStart w:id="55" w:name="_Toc259093669"/>
      <w:r>
        <w:rPr>
          <w:rFonts w:hint="eastAsia" w:ascii="仿宋_GB2312" w:hAnsi="仿宋" w:eastAsia="仿宋_GB2312"/>
          <w:b/>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本合同中的下列词语应按以下内容进行解释：</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sz w:val="24"/>
          <w:highlight w:val="none"/>
        </w:rPr>
      </w:pPr>
      <w:bookmarkStart w:id="56" w:name="_Ref467378840"/>
      <w:r>
        <w:rPr>
          <w:rFonts w:hint="eastAsia" w:ascii="仿宋_GB2312" w:hAnsi="仿宋" w:eastAsia="仿宋_GB2312"/>
          <w:sz w:val="24"/>
          <w:highlight w:val="none"/>
        </w:rPr>
        <w:t>2.1.4 “甲方”系指与中标供应商签署合同的采购人</w:t>
      </w:r>
      <w:bookmarkEnd w:id="56"/>
      <w:r>
        <w:rPr>
          <w:rFonts w:hint="eastAsia" w:ascii="仿宋_GB2312" w:hAnsi="仿宋" w:eastAsia="仿宋_GB2312"/>
          <w:sz w:val="24"/>
          <w:highlight w:val="none"/>
        </w:rPr>
        <w:t>。</w:t>
      </w:r>
    </w:p>
    <w:p>
      <w:pPr>
        <w:spacing w:line="560" w:lineRule="exact"/>
        <w:ind w:firstLine="480" w:firstLineChars="200"/>
        <w:rPr>
          <w:rFonts w:ascii="仿宋_GB2312" w:hAnsi="仿宋" w:eastAsia="仿宋_GB2312"/>
          <w:sz w:val="24"/>
          <w:highlight w:val="none"/>
        </w:rPr>
      </w:pPr>
      <w:bookmarkStart w:id="57" w:name="_Ref467379400"/>
      <w:r>
        <w:rPr>
          <w:rFonts w:hint="eastAsia" w:ascii="仿宋_GB2312" w:hAnsi="仿宋" w:eastAsia="仿宋_GB2312"/>
          <w:sz w:val="24"/>
          <w:highlight w:val="none"/>
        </w:rPr>
        <w:t>2.1.5 “乙方”系指根据合同约定交付货物的中标供应商</w:t>
      </w:r>
      <w:bookmarkEnd w:id="57"/>
      <w:r>
        <w:rPr>
          <w:rFonts w:hint="eastAsia" w:ascii="仿宋_GB2312" w:hAnsi="仿宋" w:eastAsia="仿宋_GB2312"/>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highlight w:val="none"/>
        </w:rPr>
      </w:pPr>
      <w:bookmarkStart w:id="58" w:name="_Ref467379436"/>
      <w:r>
        <w:rPr>
          <w:rFonts w:hint="eastAsia" w:ascii="仿宋_GB2312" w:hAnsi="仿宋" w:eastAsia="仿宋_GB2312"/>
          <w:sz w:val="24"/>
          <w:highlight w:val="none"/>
        </w:rPr>
        <w:t>2.1.6 “现场”系指合同约定货物将要运至或者安装的地点。</w:t>
      </w:r>
      <w:bookmarkEnd w:id="58"/>
    </w:p>
    <w:p>
      <w:pPr>
        <w:spacing w:line="560" w:lineRule="exact"/>
        <w:ind w:firstLine="482" w:firstLineChars="200"/>
        <w:outlineLvl w:val="0"/>
        <w:rPr>
          <w:rFonts w:ascii="仿宋_GB2312" w:hAnsi="仿宋" w:eastAsia="仿宋_GB2312"/>
          <w:b/>
          <w:sz w:val="24"/>
          <w:highlight w:val="none"/>
        </w:rPr>
      </w:pPr>
      <w:bookmarkStart w:id="59" w:name="_Toc279701241"/>
      <w:bookmarkStart w:id="60" w:name="_Toc13336"/>
      <w:bookmarkStart w:id="61" w:name="_Toc32504"/>
      <w:bookmarkStart w:id="62" w:name="_Toc259093670"/>
      <w:bookmarkStart w:id="63" w:name="_Toc487900350"/>
      <w:bookmarkStart w:id="64" w:name="_Toc27635"/>
      <w:r>
        <w:rPr>
          <w:rFonts w:hint="eastAsia" w:ascii="仿宋_GB2312" w:hAnsi="仿宋" w:eastAsia="仿宋_GB2312"/>
          <w:b/>
          <w:sz w:val="24"/>
          <w:highlight w:val="none"/>
        </w:rPr>
        <w:t>2.2 技术规范</w:t>
      </w:r>
      <w:bookmarkEnd w:id="59"/>
      <w:bookmarkEnd w:id="60"/>
      <w:bookmarkEnd w:id="61"/>
      <w:bookmarkEnd w:id="62"/>
      <w:bookmarkEnd w:id="63"/>
      <w:bookmarkEnd w:id="64"/>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sz w:val="24"/>
          <w:highlight w:val="none"/>
        </w:rPr>
      </w:pPr>
      <w:bookmarkStart w:id="65" w:name="_Toc31634"/>
      <w:bookmarkStart w:id="66" w:name="_Toc259093671"/>
      <w:bookmarkStart w:id="67" w:name="_Toc27853"/>
      <w:bookmarkStart w:id="68" w:name="_Toc487900351"/>
      <w:bookmarkStart w:id="69" w:name="_Toc279701242"/>
      <w:bookmarkStart w:id="70" w:name="_Toc9829"/>
      <w:r>
        <w:rPr>
          <w:rFonts w:hint="eastAsia" w:ascii="仿宋_GB2312" w:hAnsi="仿宋" w:eastAsia="仿宋_GB2312"/>
          <w:b/>
          <w:sz w:val="24"/>
          <w:highlight w:val="none"/>
        </w:rPr>
        <w:t>2.3 知识产权</w:t>
      </w:r>
      <w:bookmarkEnd w:id="65"/>
      <w:bookmarkEnd w:id="66"/>
      <w:bookmarkEnd w:id="67"/>
      <w:bookmarkEnd w:id="68"/>
      <w:bookmarkEnd w:id="69"/>
      <w:bookmarkEnd w:id="70"/>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2.3.2具有知识产权的计算机软件等货物的知识产权归属，详见</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560" w:lineRule="exact"/>
        <w:ind w:firstLine="482" w:firstLineChars="200"/>
        <w:outlineLvl w:val="0"/>
        <w:rPr>
          <w:rFonts w:ascii="仿宋_GB2312" w:hAnsi="仿宋" w:eastAsia="仿宋_GB2312"/>
          <w:b/>
          <w:sz w:val="24"/>
          <w:highlight w:val="none"/>
        </w:rPr>
      </w:pPr>
      <w:bookmarkStart w:id="71" w:name="_Toc11932"/>
      <w:bookmarkStart w:id="72" w:name="_Toc29149"/>
      <w:bookmarkStart w:id="73" w:name="_Toc4194"/>
      <w:r>
        <w:rPr>
          <w:rFonts w:hint="eastAsia" w:ascii="仿宋_GB2312" w:hAnsi="仿宋" w:eastAsia="仿宋_GB2312"/>
          <w:b/>
          <w:sz w:val="24"/>
          <w:highlight w:val="none"/>
        </w:rPr>
        <w:t>2.4 包装和装运</w:t>
      </w:r>
      <w:bookmarkEnd w:id="71"/>
      <w:bookmarkEnd w:id="72"/>
      <w:bookmarkEnd w:id="73"/>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2.4.1除</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2.4.2 装运货物的要求和通知，详见</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560" w:lineRule="exact"/>
        <w:ind w:firstLine="482" w:firstLineChars="200"/>
        <w:outlineLvl w:val="0"/>
        <w:rPr>
          <w:rFonts w:ascii="仿宋_GB2312" w:hAnsi="仿宋" w:eastAsia="仿宋_GB2312"/>
          <w:b/>
          <w:sz w:val="24"/>
          <w:highlight w:val="none"/>
        </w:rPr>
      </w:pPr>
      <w:bookmarkStart w:id="74" w:name="_Ref467378591"/>
      <w:bookmarkStart w:id="75" w:name="_Toc487900354"/>
      <w:bookmarkStart w:id="76" w:name="_Toc279701245"/>
      <w:bookmarkStart w:id="77" w:name="_Ref467379527"/>
      <w:bookmarkStart w:id="78" w:name="_Ref467379542"/>
      <w:bookmarkStart w:id="79" w:name="_Toc259093674"/>
      <w:bookmarkStart w:id="80" w:name="_Ref467378541"/>
      <w:bookmarkStart w:id="81" w:name="_Ref467379536"/>
      <w:bookmarkStart w:id="82" w:name="_Toc19074"/>
      <w:bookmarkStart w:id="83" w:name="_Toc26182"/>
      <w:bookmarkStart w:id="84" w:name="_Toc30272"/>
      <w:r>
        <w:rPr>
          <w:rFonts w:hint="eastAsia" w:ascii="仿宋_GB2312" w:hAnsi="仿宋" w:eastAsia="仿宋_GB2312"/>
          <w:b/>
          <w:sz w:val="24"/>
          <w:highlight w:val="none"/>
        </w:rPr>
        <w:t>2.</w:t>
      </w:r>
      <w:bookmarkEnd w:id="74"/>
      <w:bookmarkEnd w:id="75"/>
      <w:bookmarkEnd w:id="76"/>
      <w:bookmarkEnd w:id="77"/>
      <w:bookmarkEnd w:id="78"/>
      <w:bookmarkEnd w:id="79"/>
      <w:bookmarkEnd w:id="80"/>
      <w:bookmarkEnd w:id="81"/>
      <w:r>
        <w:rPr>
          <w:rFonts w:hint="eastAsia" w:ascii="仿宋_GB2312" w:hAnsi="仿宋" w:eastAsia="仿宋_GB2312"/>
          <w:b/>
          <w:sz w:val="24"/>
          <w:highlight w:val="none"/>
        </w:rPr>
        <w:t>5 履约检查和问题反馈</w:t>
      </w:r>
      <w:bookmarkEnd w:id="82"/>
      <w:bookmarkEnd w:id="83"/>
      <w:bookmarkEnd w:id="84"/>
    </w:p>
    <w:p>
      <w:pPr>
        <w:spacing w:line="560" w:lineRule="exact"/>
        <w:ind w:firstLine="480" w:firstLineChars="200"/>
        <w:rPr>
          <w:rFonts w:ascii="仿宋_GB2312" w:hAnsi="仿宋" w:eastAsia="仿宋_GB2312"/>
          <w:sz w:val="24"/>
          <w:highlight w:val="none"/>
        </w:rPr>
      </w:pPr>
      <w:bookmarkStart w:id="85" w:name="_Ref467379657"/>
      <w:r>
        <w:rPr>
          <w:rFonts w:hint="eastAsia" w:ascii="仿宋_GB2312" w:hAnsi="仿宋" w:eastAsia="仿宋_GB2312"/>
          <w:sz w:val="24"/>
          <w:highlight w:val="none"/>
        </w:rPr>
        <w:t>2.5.1</w:t>
      </w:r>
      <w:bookmarkEnd w:id="85"/>
      <w:bookmarkStart w:id="86" w:name="_Toc186431854"/>
      <w:bookmarkStart w:id="87" w:name="_Toc487900357"/>
      <w:bookmarkStart w:id="88" w:name="_Ref467379807"/>
      <w:bookmarkStart w:id="89" w:name="_Toc259093676"/>
      <w:bookmarkStart w:id="90" w:name="_Toc279701247"/>
      <w:bookmarkStart w:id="91" w:name="_Ref467379793"/>
      <w:r>
        <w:rPr>
          <w:rFonts w:hint="eastAsia" w:ascii="仿宋_GB2312" w:hAnsi="仿宋" w:eastAsia="仿宋_GB2312"/>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仿宋_GB2312" w:hAnsi="仿宋" w:eastAsia="仿宋_GB2312"/>
          <w:sz w:val="24"/>
          <w:highlight w:val="none"/>
        </w:rPr>
        <w:t>。</w:t>
      </w:r>
    </w:p>
    <w:bookmarkEnd w:id="87"/>
    <w:bookmarkEnd w:id="88"/>
    <w:bookmarkEnd w:id="89"/>
    <w:bookmarkEnd w:id="90"/>
    <w:bookmarkEnd w:id="91"/>
    <w:bookmarkEnd w:id="92"/>
    <w:p>
      <w:pPr>
        <w:spacing w:line="560" w:lineRule="exact"/>
        <w:ind w:firstLine="482" w:firstLineChars="200"/>
        <w:outlineLvl w:val="0"/>
        <w:rPr>
          <w:rFonts w:ascii="仿宋_GB2312" w:hAnsi="仿宋" w:eastAsia="仿宋_GB2312"/>
          <w:b/>
          <w:sz w:val="24"/>
          <w:highlight w:val="none"/>
        </w:rPr>
      </w:pPr>
      <w:bookmarkStart w:id="93" w:name="_Toc279701248"/>
      <w:bookmarkStart w:id="94" w:name="_Ref467379863"/>
      <w:bookmarkStart w:id="95" w:name="_Toc487900358"/>
      <w:bookmarkStart w:id="96" w:name="_Ref467379923"/>
      <w:bookmarkStart w:id="97" w:name="_Ref467379852"/>
      <w:bookmarkStart w:id="98" w:name="_Toc259093677"/>
      <w:bookmarkStart w:id="99" w:name="_Toc16110"/>
      <w:bookmarkStart w:id="100" w:name="_Toc774"/>
      <w:bookmarkStart w:id="101" w:name="_Toc3225"/>
      <w:r>
        <w:rPr>
          <w:rFonts w:hint="eastAsia" w:ascii="仿宋_GB2312" w:hAnsi="仿宋" w:eastAsia="仿宋_GB2312"/>
          <w:b/>
          <w:sz w:val="24"/>
          <w:highlight w:val="none"/>
        </w:rPr>
        <w:t>2.6 技术资料</w:t>
      </w:r>
      <w:bookmarkEnd w:id="93"/>
      <w:bookmarkEnd w:id="94"/>
      <w:bookmarkEnd w:id="95"/>
      <w:bookmarkEnd w:id="96"/>
      <w:bookmarkEnd w:id="97"/>
      <w:bookmarkEnd w:id="98"/>
      <w:r>
        <w:rPr>
          <w:rFonts w:hint="eastAsia" w:ascii="仿宋_GB2312" w:hAnsi="仿宋" w:eastAsia="仿宋_GB2312"/>
          <w:b/>
          <w:sz w:val="24"/>
          <w:highlight w:val="none"/>
        </w:rPr>
        <w:t>和保密义务</w:t>
      </w:r>
      <w:bookmarkEnd w:id="99"/>
      <w:bookmarkEnd w:id="100"/>
      <w:bookmarkEnd w:id="101"/>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2.6.2 乙方有义务妥善保管和保护由甲方提供的前款信息和资料等；</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highlight w:val="none"/>
        </w:rPr>
      </w:pPr>
      <w:bookmarkStart w:id="102" w:name="_Toc7860"/>
      <w:r>
        <w:rPr>
          <w:rFonts w:hint="eastAsia" w:ascii="仿宋_GB2312" w:hAnsi="仿宋" w:eastAsia="仿宋_GB2312"/>
          <w:b/>
          <w:sz w:val="24"/>
          <w:highlight w:val="none"/>
        </w:rPr>
        <w:t>2.7 质量保证</w:t>
      </w:r>
      <w:bookmarkEnd w:id="102"/>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highlight w:val="none"/>
        </w:rPr>
      </w:pPr>
      <w:bookmarkStart w:id="103" w:name="_Toc17244"/>
      <w:bookmarkStart w:id="104" w:name="_Toc259093681"/>
      <w:bookmarkStart w:id="105" w:name="_Toc279701252"/>
      <w:bookmarkStart w:id="106" w:name="_Toc487900362"/>
      <w:r>
        <w:rPr>
          <w:rFonts w:hint="eastAsia" w:ascii="仿宋_GB2312" w:hAnsi="仿宋" w:eastAsia="仿宋_GB2312"/>
          <w:b/>
          <w:sz w:val="24"/>
          <w:highlight w:val="none"/>
        </w:rPr>
        <w:t>2.8 货物的风险负担</w:t>
      </w:r>
      <w:bookmarkEnd w:id="103"/>
    </w:p>
    <w:p>
      <w:pPr>
        <w:spacing w:line="560" w:lineRule="exact"/>
        <w:ind w:firstLine="480" w:firstLineChars="200"/>
        <w:rPr>
          <w:rFonts w:ascii="仿宋_GB2312" w:hAnsi="仿宋" w:eastAsia="仿宋_GB2312"/>
          <w:b/>
          <w:sz w:val="24"/>
          <w:highlight w:val="none"/>
        </w:rPr>
      </w:pPr>
      <w:r>
        <w:rPr>
          <w:rFonts w:hint="eastAsia" w:ascii="仿宋_GB2312" w:hAnsi="仿宋" w:eastAsia="仿宋_GB2312"/>
          <w:sz w:val="24"/>
          <w:highlight w:val="none"/>
        </w:rPr>
        <w:t>货物或者在途货物或者交付给第一承运人后的货物毁损、灭失的风险负担详见</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w:t>
      </w:r>
    </w:p>
    <w:p>
      <w:pPr>
        <w:spacing w:line="560" w:lineRule="exact"/>
        <w:ind w:firstLine="482" w:firstLineChars="200"/>
        <w:outlineLvl w:val="0"/>
        <w:rPr>
          <w:rFonts w:ascii="仿宋_GB2312" w:hAnsi="仿宋" w:eastAsia="仿宋_GB2312"/>
          <w:b/>
          <w:sz w:val="24"/>
          <w:highlight w:val="none"/>
        </w:rPr>
      </w:pPr>
      <w:bookmarkStart w:id="107" w:name="_Toc14055"/>
      <w:r>
        <w:rPr>
          <w:rFonts w:hint="eastAsia" w:ascii="仿宋_GB2312" w:hAnsi="仿宋" w:eastAsia="仿宋_GB2312"/>
          <w:b/>
          <w:sz w:val="24"/>
          <w:highlight w:val="none"/>
        </w:rPr>
        <w:t>2.9 延迟交货</w:t>
      </w:r>
      <w:bookmarkEnd w:id="104"/>
      <w:bookmarkEnd w:id="105"/>
      <w:bookmarkEnd w:id="106"/>
      <w:bookmarkEnd w:id="107"/>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sz w:val="24"/>
          <w:highlight w:val="none"/>
        </w:rPr>
      </w:pPr>
      <w:bookmarkStart w:id="108" w:name="_Toc7502"/>
      <w:bookmarkStart w:id="109" w:name="_Toc487900364"/>
      <w:bookmarkStart w:id="110" w:name="_Toc279701254"/>
      <w:bookmarkStart w:id="111" w:name="_Toc259093683"/>
      <w:bookmarkStart w:id="112" w:name="_Ref467378121"/>
      <w:r>
        <w:rPr>
          <w:rFonts w:hint="eastAsia" w:ascii="仿宋_GB2312" w:hAnsi="仿宋" w:eastAsia="仿宋_GB2312"/>
          <w:b/>
          <w:sz w:val="24"/>
          <w:highlight w:val="none"/>
        </w:rPr>
        <w:t>2.10 合同变更</w:t>
      </w:r>
      <w:bookmarkEnd w:id="108"/>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279701259"/>
      <w:bookmarkStart w:id="114" w:name="_Toc259093688"/>
      <w:bookmarkStart w:id="115" w:name="_Toc487900369"/>
    </w:p>
    <w:p>
      <w:pPr>
        <w:spacing w:line="560" w:lineRule="exact"/>
        <w:ind w:firstLine="482" w:firstLineChars="200"/>
        <w:outlineLvl w:val="0"/>
        <w:rPr>
          <w:rFonts w:ascii="仿宋_GB2312" w:hAnsi="仿宋" w:eastAsia="仿宋_GB2312"/>
          <w:b/>
          <w:sz w:val="24"/>
          <w:highlight w:val="none"/>
        </w:rPr>
      </w:pPr>
      <w:bookmarkStart w:id="116" w:name="_Toc10366"/>
      <w:bookmarkStart w:id="117" w:name="_Toc15237"/>
      <w:bookmarkStart w:id="118" w:name="_Toc22955"/>
      <w:r>
        <w:rPr>
          <w:rFonts w:hint="eastAsia" w:ascii="仿宋_GB2312" w:hAnsi="仿宋" w:eastAsia="仿宋_GB2312"/>
          <w:b/>
          <w:sz w:val="24"/>
          <w:highlight w:val="none"/>
        </w:rPr>
        <w:t>2.11 合同转让</w:t>
      </w:r>
      <w:bookmarkEnd w:id="113"/>
      <w:bookmarkEnd w:id="114"/>
      <w:bookmarkEnd w:id="115"/>
      <w:r>
        <w:rPr>
          <w:rFonts w:hint="eastAsia" w:ascii="仿宋_GB2312" w:hAnsi="仿宋" w:eastAsia="仿宋_GB2312"/>
          <w:b/>
          <w:sz w:val="24"/>
          <w:highlight w:val="none"/>
        </w:rPr>
        <w:t>和分包</w:t>
      </w:r>
      <w:bookmarkEnd w:id="116"/>
      <w:bookmarkEnd w:id="117"/>
      <w:bookmarkEnd w:id="118"/>
      <w:r>
        <w:rPr>
          <w:rFonts w:hint="eastAsia" w:ascii="仿宋_GB2312" w:hAnsi="仿宋" w:eastAsia="仿宋_GB2312"/>
          <w:b/>
          <w:sz w:val="24"/>
          <w:highlight w:val="none"/>
        </w:rPr>
        <w:t>（如有）</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highlight w:val="none"/>
        </w:rPr>
      </w:pPr>
      <w:bookmarkStart w:id="119" w:name="_Toc14066"/>
      <w:bookmarkStart w:id="120" w:name="_Toc13566"/>
      <w:bookmarkStart w:id="121" w:name="_Toc16508"/>
      <w:r>
        <w:rPr>
          <w:rFonts w:hint="eastAsia" w:ascii="仿宋_GB2312" w:hAnsi="仿宋" w:eastAsia="仿宋_GB2312"/>
          <w:b/>
          <w:sz w:val="24"/>
          <w:highlight w:val="none"/>
        </w:rPr>
        <w:t>2.12 不可抗力</w:t>
      </w:r>
      <w:bookmarkEnd w:id="119"/>
      <w:bookmarkEnd w:id="120"/>
      <w:bookmarkEnd w:id="121"/>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2.12.2 因不可抗力致使不能实现合同目的的，当事人可以解除合同；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2.12.3 因不可抗力致使合同有变更必要的，双方当事人应在</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约定时间内以书面形式变更合同；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2.12.4受不可抗力影响的一方在不可抗力发生后，应在</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约定时间内以书面形式通知对方当事人，并在</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b/>
          <w:sz w:val="24"/>
          <w:highlight w:val="none"/>
        </w:rPr>
      </w:pPr>
      <w:bookmarkStart w:id="122" w:name="_Toc487900365"/>
      <w:bookmarkStart w:id="123" w:name="_Toc689"/>
      <w:bookmarkStart w:id="124" w:name="_Toc30676"/>
      <w:bookmarkStart w:id="125" w:name="_Toc259093684"/>
      <w:bookmarkStart w:id="126" w:name="_Toc6969"/>
      <w:bookmarkStart w:id="127" w:name="_Toc279701255"/>
      <w:r>
        <w:rPr>
          <w:rFonts w:hint="eastAsia" w:ascii="仿宋_GB2312" w:hAnsi="仿宋" w:eastAsia="仿宋_GB2312"/>
          <w:b/>
          <w:sz w:val="24"/>
          <w:highlight w:val="none"/>
        </w:rPr>
        <w:t>2.13 税费</w:t>
      </w:r>
      <w:bookmarkEnd w:id="122"/>
      <w:bookmarkEnd w:id="123"/>
      <w:bookmarkEnd w:id="124"/>
      <w:bookmarkEnd w:id="125"/>
      <w:bookmarkEnd w:id="126"/>
      <w:bookmarkEnd w:id="127"/>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b/>
          <w:sz w:val="24"/>
          <w:highlight w:val="none"/>
        </w:rPr>
      </w:pPr>
      <w:bookmarkStart w:id="128" w:name="_Toc16959"/>
      <w:bookmarkStart w:id="129" w:name="_Toc279701258"/>
      <w:bookmarkStart w:id="130" w:name="_Toc7102"/>
      <w:bookmarkStart w:id="131" w:name="_Toc8298"/>
      <w:bookmarkStart w:id="132" w:name="_Toc487900368"/>
      <w:bookmarkStart w:id="133" w:name="_Toc259093687"/>
      <w:r>
        <w:rPr>
          <w:rFonts w:hint="eastAsia" w:ascii="仿宋_GB2312" w:hAnsi="仿宋" w:eastAsia="仿宋_GB2312"/>
          <w:b/>
          <w:sz w:val="24"/>
          <w:highlight w:val="none"/>
        </w:rPr>
        <w:t>2.14乙方破产</w:t>
      </w:r>
      <w:bookmarkEnd w:id="128"/>
      <w:bookmarkEnd w:id="129"/>
      <w:bookmarkEnd w:id="130"/>
      <w:bookmarkEnd w:id="131"/>
      <w:bookmarkEnd w:id="132"/>
      <w:bookmarkEnd w:id="133"/>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highlight w:val="none"/>
        </w:rPr>
      </w:pPr>
      <w:bookmarkStart w:id="134" w:name="_Toc29333"/>
      <w:bookmarkStart w:id="135" w:name="_Toc15387"/>
      <w:bookmarkStart w:id="136" w:name="_Toc6134"/>
      <w:r>
        <w:rPr>
          <w:rFonts w:hint="eastAsia" w:ascii="仿宋_GB2312" w:hAnsi="仿宋" w:eastAsia="仿宋_GB2312"/>
          <w:b/>
          <w:sz w:val="24"/>
          <w:highlight w:val="none"/>
        </w:rPr>
        <w:t>2.15 合同中止、终止</w:t>
      </w:r>
      <w:bookmarkEnd w:id="134"/>
      <w:bookmarkEnd w:id="135"/>
      <w:bookmarkEnd w:id="136"/>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2.15.1 双方当事人不得擅自中止或者终止合同；</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highlight w:val="none"/>
        </w:rPr>
      </w:pPr>
      <w:bookmarkStart w:id="137" w:name="_Toc1125"/>
      <w:bookmarkStart w:id="138" w:name="_Toc14563"/>
      <w:bookmarkStart w:id="139" w:name="_Toc6596"/>
      <w:r>
        <w:rPr>
          <w:rFonts w:hint="eastAsia" w:ascii="仿宋_GB2312" w:hAnsi="仿宋" w:eastAsia="仿宋_GB2312"/>
          <w:b/>
          <w:sz w:val="24"/>
          <w:highlight w:val="none"/>
        </w:rPr>
        <w:t>2.16检验和验收</w:t>
      </w:r>
      <w:bookmarkEnd w:id="137"/>
      <w:bookmarkEnd w:id="138"/>
      <w:bookmarkEnd w:id="139"/>
    </w:p>
    <w:p>
      <w:pPr>
        <w:tabs>
          <w:tab w:val="left" w:pos="360"/>
          <w:tab w:val="left" w:pos="540"/>
          <w:tab w:val="left" w:pos="1080"/>
        </w:tabs>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2.16.1货物交付前，乙方应对货物的质量、数量等方面进行详细、全面的检验，并向甲方出具证明货物符合合同约定的文件；货物交付时，乙方在</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2.16.3 检验和验收标准、程序等具体内容以及前述验收书的效力详见</w:t>
      </w:r>
      <w:r>
        <w:rPr>
          <w:rFonts w:hint="eastAsia" w:ascii="仿宋_GB2312" w:hAnsi="仿宋" w:eastAsia="仿宋_GB2312"/>
          <w:b/>
          <w:i/>
          <w:sz w:val="24"/>
          <w:highlight w:val="none"/>
          <w:u w:val="single"/>
        </w:rPr>
        <w:t>合同专用条款</w:t>
      </w:r>
      <w:r>
        <w:rPr>
          <w:rFonts w:hint="eastAsia" w:ascii="仿宋_GB2312" w:hAnsi="仿宋" w:eastAsia="仿宋_GB2312"/>
          <w:i/>
          <w:sz w:val="24"/>
          <w:highlight w:val="none"/>
        </w:rPr>
        <w:t>。</w:t>
      </w:r>
    </w:p>
    <w:bookmarkEnd w:id="109"/>
    <w:bookmarkEnd w:id="110"/>
    <w:bookmarkEnd w:id="111"/>
    <w:bookmarkEnd w:id="112"/>
    <w:p>
      <w:pPr>
        <w:spacing w:line="560" w:lineRule="exact"/>
        <w:ind w:firstLine="482" w:firstLineChars="200"/>
        <w:outlineLvl w:val="0"/>
        <w:rPr>
          <w:rFonts w:ascii="仿宋_GB2312" w:hAnsi="仿宋" w:eastAsia="仿宋_GB2312"/>
          <w:b/>
          <w:sz w:val="24"/>
          <w:highlight w:val="none"/>
        </w:rPr>
      </w:pPr>
      <w:bookmarkStart w:id="140" w:name="_Toc259093690"/>
      <w:bookmarkStart w:id="141" w:name="_Toc487900371"/>
      <w:bookmarkStart w:id="142" w:name="_Toc279701261"/>
      <w:bookmarkStart w:id="143" w:name="_Toc11284"/>
      <w:bookmarkStart w:id="144" w:name="_Toc25182"/>
      <w:bookmarkStart w:id="145" w:name="_Toc19604"/>
      <w:r>
        <w:rPr>
          <w:rFonts w:hint="eastAsia" w:ascii="仿宋_GB2312" w:hAnsi="仿宋" w:eastAsia="仿宋_GB2312"/>
          <w:b/>
          <w:sz w:val="24"/>
          <w:highlight w:val="none"/>
        </w:rPr>
        <w:t>2.17 通知</w:t>
      </w:r>
      <w:bookmarkEnd w:id="140"/>
      <w:bookmarkEnd w:id="141"/>
      <w:bookmarkEnd w:id="142"/>
      <w:r>
        <w:rPr>
          <w:rFonts w:hint="eastAsia" w:ascii="仿宋_GB2312" w:hAnsi="仿宋" w:eastAsia="仿宋_GB2312"/>
          <w:b/>
          <w:sz w:val="24"/>
          <w:highlight w:val="none"/>
        </w:rPr>
        <w:t>和送达</w:t>
      </w:r>
      <w:bookmarkEnd w:id="143"/>
      <w:bookmarkEnd w:id="144"/>
      <w:bookmarkEnd w:id="145"/>
    </w:p>
    <w:p>
      <w:pPr>
        <w:spacing w:line="560" w:lineRule="exact"/>
        <w:ind w:firstLine="480" w:firstLineChars="200"/>
        <w:rPr>
          <w:rFonts w:ascii="仿宋_GB2312" w:hAnsi="仿宋" w:eastAsia="仿宋_GB2312"/>
          <w:sz w:val="24"/>
          <w:highlight w:val="none"/>
        </w:rPr>
      </w:pPr>
      <w:bookmarkStart w:id="146" w:name="_Toc6698"/>
      <w:bookmarkStart w:id="147" w:name="_Toc3135"/>
      <w:bookmarkStart w:id="148" w:name="_Toc259093691"/>
      <w:bookmarkStart w:id="149" w:name="_Toc487900372"/>
      <w:bookmarkStart w:id="150" w:name="_Toc279701262"/>
      <w:r>
        <w:rPr>
          <w:rFonts w:hint="eastAsia" w:ascii="仿宋_GB2312" w:hAnsi="仿宋" w:eastAsia="仿宋_GB2312"/>
          <w:sz w:val="24"/>
          <w:highlight w:val="none"/>
        </w:rPr>
        <w:t xml:space="preserve">2.17.1任何一方因履行合同而以合同第一部分尾部所列明的传真或电子邮件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发出的所有通知、文件、材料，均视为已向对方当事人送达；任何一方变更上述送达方式或者地址的，应于</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_GB2312" w:hAnsi="仿宋" w:eastAsia="仿宋_GB2312"/>
          <w:sz w:val="24"/>
          <w:highlight w:val="none"/>
        </w:rPr>
      </w:pPr>
      <w:bookmarkStart w:id="151" w:name="_Toc23294"/>
      <w:bookmarkStart w:id="152" w:name="_Toc23128"/>
      <w:r>
        <w:rPr>
          <w:rFonts w:hint="eastAsia" w:ascii="仿宋_GB2312" w:hAnsi="仿宋" w:eastAsia="仿宋_GB2312"/>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_GB2312" w:hAnsi="仿宋" w:eastAsia="仿宋_GB2312"/>
          <w:b/>
          <w:sz w:val="24"/>
          <w:highlight w:val="none"/>
        </w:rPr>
      </w:pPr>
      <w:bookmarkStart w:id="153" w:name="_Toc30599"/>
      <w:bookmarkStart w:id="154" w:name="_Toc4355"/>
      <w:bookmarkStart w:id="155" w:name="_Toc18540"/>
      <w:r>
        <w:rPr>
          <w:rFonts w:hint="eastAsia" w:ascii="仿宋_GB2312" w:hAnsi="仿宋" w:eastAsia="仿宋_GB2312"/>
          <w:b/>
          <w:sz w:val="24"/>
          <w:highlight w:val="none"/>
        </w:rPr>
        <w:t>2.18 计量单位</w:t>
      </w:r>
      <w:bookmarkEnd w:id="148"/>
      <w:bookmarkEnd w:id="149"/>
      <w:bookmarkEnd w:id="150"/>
      <w:bookmarkEnd w:id="153"/>
      <w:bookmarkEnd w:id="154"/>
      <w:bookmarkEnd w:id="155"/>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highlight w:val="none"/>
        </w:rPr>
      </w:pPr>
      <w:bookmarkStart w:id="156" w:name="_Toc12773"/>
      <w:bookmarkStart w:id="157" w:name="_Toc279701263"/>
      <w:bookmarkStart w:id="158" w:name="_Toc10330"/>
      <w:bookmarkStart w:id="159" w:name="_Toc259093692"/>
      <w:bookmarkStart w:id="160" w:name="_Toc487900373"/>
      <w:bookmarkStart w:id="161" w:name="_Toc18567"/>
      <w:r>
        <w:rPr>
          <w:rFonts w:hint="eastAsia" w:ascii="仿宋_GB2312" w:hAnsi="仿宋" w:eastAsia="仿宋_GB2312"/>
          <w:b/>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2.19.1 合同使用汉语书就、变更和解释；</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2.19.2 合同适用中华人民共和国法律。</w:t>
      </w:r>
    </w:p>
    <w:p>
      <w:pPr>
        <w:spacing w:line="560" w:lineRule="exact"/>
        <w:ind w:firstLine="482" w:firstLineChars="200"/>
        <w:outlineLvl w:val="0"/>
        <w:rPr>
          <w:rFonts w:ascii="仿宋_GB2312" w:hAnsi="仿宋" w:eastAsia="仿宋_GB2312"/>
          <w:b/>
          <w:sz w:val="24"/>
          <w:highlight w:val="none"/>
        </w:rPr>
      </w:pPr>
      <w:bookmarkStart w:id="162" w:name="_Toc12004"/>
      <w:bookmarkStart w:id="163" w:name="_Toc16673"/>
      <w:bookmarkStart w:id="164" w:name="_Toc3148"/>
      <w:bookmarkStart w:id="165" w:name="_Toc279701264"/>
      <w:bookmarkStart w:id="166" w:name="_Toc259093693"/>
      <w:bookmarkStart w:id="167" w:name="_Toc487900374"/>
      <w:r>
        <w:rPr>
          <w:rFonts w:hint="eastAsia" w:ascii="仿宋_GB2312" w:hAnsi="仿宋" w:eastAsia="仿宋_GB2312"/>
          <w:b/>
          <w:sz w:val="24"/>
          <w:highlight w:val="none"/>
        </w:rPr>
        <w:t>2.20 履约保证金</w:t>
      </w:r>
      <w:bookmarkEnd w:id="162"/>
      <w:bookmarkEnd w:id="163"/>
      <w:bookmarkEnd w:id="164"/>
      <w:bookmarkEnd w:id="165"/>
      <w:bookmarkEnd w:id="166"/>
    </w:p>
    <w:p>
      <w:pPr>
        <w:pStyle w:val="282"/>
        <w:spacing w:before="0" w:beforeAutospacing="0" w:after="0" w:afterAutospacing="0" w:line="360" w:lineRule="auto"/>
        <w:ind w:firstLine="420"/>
        <w:rPr>
          <w:rFonts w:ascii="仿宋_GB2312" w:hAnsi="仿宋" w:eastAsia="仿宋_GB2312"/>
          <w:highlight w:val="none"/>
        </w:rPr>
      </w:pPr>
      <w:r>
        <w:rPr>
          <w:rFonts w:hint="eastAsia" w:ascii="仿宋_GB2312" w:hAnsi="仿宋" w:eastAsia="仿宋_GB2312"/>
          <w:highlight w:val="none"/>
        </w:rPr>
        <w:t>2.20.1 采购文件要求乙方提交履约保证金的，乙方应按</w:t>
      </w:r>
      <w:r>
        <w:rPr>
          <w:rFonts w:hint="eastAsia" w:ascii="仿宋_GB2312" w:hAnsi="仿宋" w:eastAsia="仿宋_GB2312"/>
          <w:b/>
          <w:i/>
          <w:highlight w:val="none"/>
          <w:u w:val="single"/>
        </w:rPr>
        <w:t>合同专用条款</w:t>
      </w:r>
      <w:r>
        <w:rPr>
          <w:rFonts w:hint="eastAsia" w:ascii="仿宋_GB2312" w:hAnsi="仿宋" w:eastAsia="仿宋_GB2312"/>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2.20.2  履约保证金在</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约定期间内不予退还。乙方在前述约定期间届满前能履行完合同约定义务事项的，甲方在前述约定期间届满之日起</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个工作日内，按</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约定的方式将履约保证金退还乙方，逾期退还的，乙方可要求甲方支付违约金，违约金按每迟延退还一日的应退还而未退还金额的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%计算，最高限额为本合同履约保证金的</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xml:space="preserve">%； </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highlight w:val="none"/>
        </w:rPr>
      </w:pPr>
      <w:r>
        <w:rPr>
          <w:rFonts w:hint="eastAsia" w:ascii="仿宋_GB2312" w:hAnsi="仿宋" w:eastAsia="仿宋_GB2312"/>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_GB2312" w:hAnsi="仿宋" w:eastAsia="仿宋_GB2312"/>
          <w:b/>
          <w:sz w:val="24"/>
          <w:highlight w:val="none"/>
        </w:rPr>
      </w:pPr>
      <w:bookmarkStart w:id="168" w:name="_Toc6885"/>
      <w:bookmarkStart w:id="169" w:name="_Toc19890"/>
      <w:bookmarkStart w:id="170" w:name="_Toc14001"/>
      <w:r>
        <w:rPr>
          <w:rFonts w:hint="eastAsia" w:ascii="仿宋_GB2312" w:hAnsi="仿宋" w:eastAsia="仿宋_GB2312"/>
          <w:b/>
          <w:sz w:val="24"/>
          <w:highlight w:val="none"/>
        </w:rPr>
        <w:t>2.22合同份数</w:t>
      </w:r>
      <w:bookmarkEnd w:id="168"/>
      <w:bookmarkEnd w:id="169"/>
      <w:bookmarkEnd w:id="170"/>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合同份数按</w:t>
      </w:r>
      <w:r>
        <w:rPr>
          <w:rFonts w:hint="eastAsia" w:ascii="仿宋_GB2312" w:hAnsi="仿宋" w:eastAsia="仿宋_GB2312"/>
          <w:b/>
          <w:i/>
          <w:sz w:val="24"/>
          <w:highlight w:val="none"/>
          <w:u w:val="single"/>
        </w:rPr>
        <w:t>合同专用条款</w:t>
      </w:r>
      <w:r>
        <w:rPr>
          <w:rFonts w:hint="eastAsia" w:ascii="仿宋_GB2312" w:hAnsi="仿宋" w:eastAsia="仿宋_GB2312"/>
          <w:sz w:val="24"/>
          <w:highlight w:val="none"/>
        </w:rPr>
        <w:t>规定，每份均具有同等法律效力。</w:t>
      </w:r>
    </w:p>
    <w:p>
      <w:pPr>
        <w:spacing w:line="56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281"/>
        <w:spacing w:line="560" w:lineRule="exact"/>
        <w:jc w:val="center"/>
        <w:rPr>
          <w:rFonts w:ascii="仿宋_GB2312" w:hAnsi="仿宋" w:eastAsia="仿宋_GB2312"/>
          <w:b/>
          <w:szCs w:val="24"/>
          <w:highlight w:val="none"/>
        </w:rPr>
      </w:pPr>
      <w:r>
        <w:rPr>
          <w:rFonts w:hint="eastAsia" w:ascii="仿宋_GB2312" w:hAnsi="仿宋" w:eastAsia="仿宋_GB2312" w:cstheme="minorBidi"/>
          <w:kern w:val="0"/>
          <w:szCs w:val="24"/>
          <w:highlight w:val="none"/>
        </w:rPr>
        <w:br w:type="page"/>
      </w:r>
      <w:bookmarkStart w:id="171" w:name="_Toc331685784"/>
      <w:r>
        <w:rPr>
          <w:rFonts w:hint="eastAsia" w:ascii="仿宋_GB2312" w:hAnsi="仿宋" w:eastAsia="仿宋_GB2312"/>
          <w:b/>
          <w:szCs w:val="24"/>
          <w:highlight w:val="none"/>
        </w:rPr>
        <w:t xml:space="preserve"> </w:t>
      </w:r>
      <w:bookmarkEnd w:id="171"/>
      <w:r>
        <w:rPr>
          <w:rFonts w:hint="eastAsia" w:ascii="仿宋_GB2312" w:hAnsi="仿宋" w:eastAsia="仿宋_GB2312"/>
          <w:b/>
          <w:szCs w:val="24"/>
          <w:highlight w:val="none"/>
        </w:rPr>
        <w:t>第三部分  合同专用条款</w:t>
      </w:r>
    </w:p>
    <w:p>
      <w:pPr>
        <w:spacing w:line="560" w:lineRule="exact"/>
        <w:ind w:left="-420" w:leftChars="-200" w:right="-420" w:rightChars="-200" w:firstLine="480" w:firstLineChars="200"/>
        <w:rPr>
          <w:rFonts w:ascii="仿宋_GB2312" w:eastAsia="仿宋_GB2312"/>
          <w:highlight w:val="none"/>
        </w:rPr>
      </w:pPr>
      <w:r>
        <w:rPr>
          <w:rFonts w:hint="eastAsia" w:ascii="仿宋_GB2312" w:hAnsi="仿宋" w:eastAsia="仿宋_GB2312"/>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8275" w:type="dxa"/>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1.4.4</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1.5.1 </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1.5.2</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1.5.3 </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1.6.7</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1.7</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1.7.1</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1.7.2</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2.3.2</w:t>
            </w:r>
          </w:p>
        </w:tc>
        <w:tc>
          <w:tcPr>
            <w:tcW w:w="8275" w:type="dxa"/>
            <w:vAlign w:val="center"/>
          </w:tcPr>
          <w:p>
            <w:pPr>
              <w:spacing w:line="360" w:lineRule="auto"/>
              <w:ind w:left="-420" w:leftChars="-200" w:right="-420" w:rightChars="-200" w:firstLine="480" w:firstLineChars="200"/>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2.4.1</w:t>
            </w:r>
          </w:p>
        </w:tc>
        <w:tc>
          <w:tcPr>
            <w:tcW w:w="8275" w:type="dxa"/>
            <w:vAlign w:val="center"/>
          </w:tcPr>
          <w:p>
            <w:pPr>
              <w:spacing w:line="360" w:lineRule="auto"/>
              <w:ind w:left="-420" w:leftChars="-200" w:right="-420" w:rightChars="-200" w:firstLine="480" w:firstLineChars="200"/>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2.4.2</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2.8 </w:t>
            </w:r>
          </w:p>
        </w:tc>
        <w:tc>
          <w:tcPr>
            <w:tcW w:w="8275" w:type="dxa"/>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2.12.3</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2.12.4</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2.16.1</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2.16.3</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2.20.1</w:t>
            </w:r>
          </w:p>
        </w:tc>
        <w:tc>
          <w:tcPr>
            <w:tcW w:w="8275" w:type="dxa"/>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2.20.2 </w:t>
            </w:r>
          </w:p>
        </w:tc>
        <w:tc>
          <w:tcPr>
            <w:tcW w:w="8275" w:type="dxa"/>
            <w:vAlign w:val="center"/>
          </w:tcPr>
          <w:p>
            <w:pPr>
              <w:spacing w:line="360" w:lineRule="auto"/>
              <w:rPr>
                <w:rFonts w:ascii="仿宋_GB2312" w:hAnsi="仿宋" w:eastAsia="仿宋_GB2312"/>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sz w:val="24"/>
                <w:highlight w:val="none"/>
              </w:rPr>
            </w:pPr>
            <w:r>
              <w:rPr>
                <w:rFonts w:hint="eastAsia" w:ascii="仿宋_GB2312" w:hAnsi="仿宋" w:eastAsia="仿宋_GB2312"/>
                <w:sz w:val="24"/>
                <w:highlight w:val="none"/>
              </w:rPr>
              <w:t xml:space="preserve">2.22 </w:t>
            </w:r>
          </w:p>
        </w:tc>
        <w:tc>
          <w:tcPr>
            <w:tcW w:w="8275" w:type="dxa"/>
            <w:vAlign w:val="center"/>
          </w:tcPr>
          <w:p>
            <w:pPr>
              <w:spacing w:line="360" w:lineRule="auto"/>
              <w:rPr>
                <w:rFonts w:ascii="仿宋_GB2312" w:hAnsi="仿宋" w:eastAsia="仿宋_GB2312"/>
                <w:sz w:val="24"/>
                <w:highlight w:val="none"/>
              </w:rPr>
            </w:pPr>
          </w:p>
        </w:tc>
      </w:tr>
    </w:tbl>
    <w:p>
      <w:pPr>
        <w:spacing w:line="360" w:lineRule="auto"/>
        <w:ind w:left="-420" w:leftChars="-200" w:right="-420" w:rightChars="-200" w:firstLine="480" w:firstLineChars="200"/>
        <w:rPr>
          <w:rFonts w:ascii="仿宋_GB2312" w:hAnsi="仿宋" w:eastAsia="仿宋_GB2312"/>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2"/>
        <w:spacing w:line="800" w:lineRule="exact"/>
        <w:ind w:firstLine="723"/>
        <w:jc w:val="center"/>
        <w:rPr>
          <w:rFonts w:ascii="仿宋_GB2312" w:hAnsi="宋体" w:eastAsia="仿宋_GB2312"/>
          <w:b/>
          <w:sz w:val="36"/>
          <w:szCs w:val="36"/>
          <w:highlight w:val="none"/>
        </w:rPr>
      </w:pPr>
    </w:p>
    <w:p>
      <w:pPr>
        <w:pStyle w:val="22"/>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2.1商务技术分（70分）</w:t>
      </w:r>
    </w:p>
    <w:p>
      <w:pPr>
        <w:autoSpaceDE w:val="0"/>
        <w:autoSpaceDN w:val="0"/>
        <w:adjustRightInd w:val="0"/>
        <w:spacing w:line="440" w:lineRule="exact"/>
        <w:ind w:firstLine="480" w:firstLineChars="200"/>
        <w:jc w:val="left"/>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样品提供要求：</w:t>
      </w:r>
    </w:p>
    <w:p>
      <w:pPr>
        <w:autoSpaceDE w:val="0"/>
        <w:autoSpaceDN w:val="0"/>
        <w:adjustRightInd w:val="0"/>
        <w:spacing w:line="440" w:lineRule="exact"/>
        <w:ind w:firstLine="480" w:firstLineChars="200"/>
        <w:jc w:val="left"/>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（1）时间要求：2023年</w:t>
      </w:r>
      <w:r>
        <w:rPr>
          <w:rFonts w:hint="eastAsia" w:ascii="仿宋_GB2312" w:eastAsia="仿宋_GB2312"/>
          <w:color w:val="000000" w:themeColor="text1"/>
          <w:kern w:val="0"/>
          <w:sz w:val="24"/>
          <w:highlight w:val="none"/>
          <w:lang w:val="en-US" w:eastAsia="zh-CN"/>
          <w14:textFill>
            <w14:solidFill>
              <w14:schemeClr w14:val="tx1"/>
            </w14:solidFill>
          </w14:textFill>
        </w:rPr>
        <w:t>5</w:t>
      </w:r>
      <w:r>
        <w:rPr>
          <w:rFonts w:hint="eastAsia" w:ascii="仿宋_GB2312" w:eastAsia="仿宋_GB2312"/>
          <w:color w:val="000000" w:themeColor="text1"/>
          <w:kern w:val="0"/>
          <w:sz w:val="24"/>
          <w:highlight w:val="none"/>
          <w14:textFill>
            <w14:solidFill>
              <w14:schemeClr w14:val="tx1"/>
            </w14:solidFill>
          </w14:textFill>
        </w:rPr>
        <w:t>月</w:t>
      </w:r>
      <w:r>
        <w:rPr>
          <w:rFonts w:hint="eastAsia" w:ascii="仿宋_GB2312" w:eastAsia="仿宋_GB2312"/>
          <w:color w:val="000000" w:themeColor="text1"/>
          <w:kern w:val="0"/>
          <w:sz w:val="24"/>
          <w:highlight w:val="none"/>
          <w:lang w:val="en-US" w:eastAsia="zh-CN"/>
          <w14:textFill>
            <w14:solidFill>
              <w14:schemeClr w14:val="tx1"/>
            </w14:solidFill>
          </w14:textFill>
        </w:rPr>
        <w:t>9</w:t>
      </w:r>
      <w:r>
        <w:rPr>
          <w:rFonts w:hint="eastAsia" w:ascii="仿宋_GB2312" w:eastAsia="仿宋_GB2312"/>
          <w:color w:val="000000" w:themeColor="text1"/>
          <w:kern w:val="0"/>
          <w:sz w:val="24"/>
          <w:highlight w:val="none"/>
          <w14:textFill>
            <w14:solidFill>
              <w14:schemeClr w14:val="tx1"/>
            </w14:solidFill>
          </w14:textFill>
        </w:rPr>
        <w:t>日</w:t>
      </w:r>
      <w:r>
        <w:rPr>
          <w:rFonts w:hint="eastAsia" w:ascii="仿宋_GB2312" w:eastAsia="仿宋_GB2312"/>
          <w:color w:val="000000" w:themeColor="text1"/>
          <w:kern w:val="0"/>
          <w:sz w:val="24"/>
          <w:highlight w:val="none"/>
          <w:lang w:val="en-US" w:eastAsia="zh-CN"/>
          <w14:textFill>
            <w14:solidFill>
              <w14:schemeClr w14:val="tx1"/>
            </w14:solidFill>
          </w14:textFill>
        </w:rPr>
        <w:t>9:00</w:t>
      </w:r>
      <w:r>
        <w:rPr>
          <w:rFonts w:hint="eastAsia" w:ascii="仿宋_GB2312" w:eastAsia="仿宋_GB2312"/>
          <w:color w:val="000000" w:themeColor="text1"/>
          <w:kern w:val="0"/>
          <w:sz w:val="24"/>
          <w:highlight w:val="none"/>
          <w14:textFill>
            <w14:solidFill>
              <w14:schemeClr w14:val="tx1"/>
            </w14:solidFill>
          </w14:textFill>
        </w:rPr>
        <w:t>时前；</w:t>
      </w:r>
    </w:p>
    <w:p>
      <w:pPr>
        <w:autoSpaceDE w:val="0"/>
        <w:autoSpaceDN w:val="0"/>
        <w:adjustRightInd w:val="0"/>
        <w:spacing w:line="440" w:lineRule="exact"/>
        <w:ind w:firstLine="480" w:firstLineChars="200"/>
        <w:jc w:val="left"/>
        <w:rPr>
          <w:rFonts w:ascii="仿宋_GB2312" w:eastAsia="仿宋_GB2312"/>
          <w:color w:val="auto"/>
          <w:kern w:val="0"/>
          <w:sz w:val="24"/>
          <w:highlight w:val="none"/>
        </w:rPr>
      </w:pPr>
      <w:r>
        <w:rPr>
          <w:rFonts w:hint="eastAsia" w:ascii="仿宋_GB2312" w:eastAsia="仿宋_GB2312"/>
          <w:color w:val="000000" w:themeColor="text1"/>
          <w:kern w:val="0"/>
          <w:sz w:val="24"/>
          <w:highlight w:val="none"/>
          <w14:textFill>
            <w14:solidFill>
              <w14:schemeClr w14:val="tx1"/>
            </w14:solidFill>
          </w14:textFill>
        </w:rPr>
        <w:t>（2）样品送达地点：</w:t>
      </w:r>
      <w:r>
        <w:rPr>
          <w:rFonts w:hint="eastAsia" w:ascii="仿宋_GB2312" w:hAnsi="宋体" w:eastAsia="仿宋_GB2312"/>
          <w:color w:val="auto"/>
          <w:sz w:val="24"/>
          <w:highlight w:val="none"/>
          <w:u w:val="single"/>
        </w:rPr>
        <w:t>绍兴文理学院河东国际教育组团学生公寓</w:t>
      </w:r>
      <w:r>
        <w:rPr>
          <w:rFonts w:hint="eastAsia" w:ascii="仿宋_GB2312" w:eastAsia="仿宋_GB2312"/>
          <w:color w:val="auto"/>
          <w:kern w:val="0"/>
          <w:sz w:val="24"/>
          <w:highlight w:val="none"/>
        </w:rPr>
        <w:t xml:space="preserve"> </w:t>
      </w:r>
      <w:r>
        <w:rPr>
          <w:rFonts w:hint="eastAsia" w:ascii="仿宋_GB2312" w:hAnsi="宋体" w:eastAsia="仿宋_GB2312"/>
          <w:color w:val="auto"/>
          <w:sz w:val="24"/>
          <w:highlight w:val="none"/>
        </w:rPr>
        <w:t>，联系人：</w:t>
      </w:r>
      <w:r>
        <w:rPr>
          <w:rFonts w:hint="eastAsia" w:ascii="仿宋_GB2312" w:hAnsi="仿宋" w:eastAsia="仿宋_GB2312"/>
          <w:sz w:val="24"/>
          <w:highlight w:val="none"/>
          <w:u w:val="single"/>
        </w:rPr>
        <w:t xml:space="preserve">曹伟杰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15967508602  </w:t>
      </w:r>
    </w:p>
    <w:p>
      <w:pPr>
        <w:spacing w:line="440" w:lineRule="exact"/>
        <w:ind w:firstLine="480" w:firstLineChars="200"/>
        <w:rPr>
          <w:rFonts w:ascii="仿宋_GB2312" w:hAnsi="宋体" w:eastAsia="仿宋_GB2312"/>
          <w:b/>
          <w:bCs/>
          <w:iCs/>
          <w:color w:val="000000" w:themeColor="text1"/>
          <w:sz w:val="24"/>
          <w:highlight w:val="none"/>
          <w14:textFill>
            <w14:solidFill>
              <w14:schemeClr w14:val="tx1"/>
            </w14:solidFill>
          </w14:textFill>
        </w:rPr>
      </w:pPr>
      <w:r>
        <w:rPr>
          <w:rFonts w:hint="eastAsia" w:ascii="仿宋_GB2312" w:eastAsia="仿宋_GB2312"/>
          <w:color w:val="auto"/>
          <w:kern w:val="0"/>
          <w:sz w:val="24"/>
          <w:highlight w:val="none"/>
        </w:rPr>
        <w:t>（3）其他：中标人样品不予退还，由采购人带回作为验收的参考；未中标人样品开标结束后请自行带回，采购人不予保</w:t>
      </w:r>
      <w:r>
        <w:rPr>
          <w:rFonts w:hint="eastAsia" w:ascii="仿宋_GB2312" w:eastAsia="仿宋_GB2312"/>
          <w:color w:val="000000" w:themeColor="text1"/>
          <w:kern w:val="0"/>
          <w:sz w:val="24"/>
          <w:highlight w:val="none"/>
          <w14:textFill>
            <w14:solidFill>
              <w14:schemeClr w14:val="tx1"/>
            </w14:solidFill>
          </w14:textFill>
        </w:rPr>
        <w:t>管。</w:t>
      </w:r>
    </w:p>
    <w:tbl>
      <w:tblPr>
        <w:tblStyle w:val="42"/>
        <w:tblpPr w:leftFromText="180" w:rightFromText="180" w:vertAnchor="text" w:horzAnchor="page" w:tblpX="1526" w:tblpY="347"/>
        <w:tblOverlap w:val="never"/>
        <w:tblW w:w="8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988"/>
        <w:gridCol w:w="767"/>
        <w:gridCol w:w="6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序号</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评分项</w:t>
            </w:r>
          </w:p>
        </w:tc>
        <w:tc>
          <w:tcPr>
            <w:tcW w:w="767" w:type="dxa"/>
            <w:vAlign w:val="center"/>
          </w:tcPr>
          <w:p>
            <w:pPr>
              <w:spacing w:line="276" w:lineRule="auto"/>
              <w:jc w:val="center"/>
              <w:outlineLvl w:val="0"/>
              <w:rPr>
                <w:rFonts w:ascii="仿宋" w:hAnsi="仿宋" w:eastAsia="仿宋" w:cs="仿宋"/>
                <w:sz w:val="24"/>
                <w:highlight w:val="none"/>
                <w:lang w:val="zh-TW"/>
              </w:rPr>
            </w:pPr>
            <w:r>
              <w:rPr>
                <w:rFonts w:hint="eastAsia" w:ascii="仿宋" w:hAnsi="仿宋" w:eastAsia="仿宋" w:cs="仿宋"/>
                <w:sz w:val="24"/>
                <w:highlight w:val="none"/>
                <w:lang w:val="zh-TW"/>
              </w:rPr>
              <w:t>分值</w:t>
            </w:r>
          </w:p>
        </w:tc>
        <w:tc>
          <w:tcPr>
            <w:tcW w:w="611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1</w:t>
            </w:r>
          </w:p>
        </w:tc>
        <w:tc>
          <w:tcPr>
            <w:tcW w:w="988" w:type="dxa"/>
            <w:vAlign w:val="center"/>
          </w:tcPr>
          <w:p>
            <w:pPr>
              <w:spacing w:line="276" w:lineRule="auto"/>
              <w:jc w:val="center"/>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体系认证</w:t>
            </w:r>
          </w:p>
        </w:tc>
        <w:tc>
          <w:tcPr>
            <w:tcW w:w="767" w:type="dxa"/>
            <w:vAlign w:val="center"/>
          </w:tcPr>
          <w:p>
            <w:pPr>
              <w:spacing w:line="276" w:lineRule="auto"/>
              <w:jc w:val="center"/>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TW" w:eastAsia="zh-TW"/>
              </w:rPr>
              <w:t>分</w:t>
            </w:r>
          </w:p>
        </w:tc>
        <w:tc>
          <w:tcPr>
            <w:tcW w:w="6115" w:type="dxa"/>
            <w:vAlign w:val="center"/>
          </w:tcPr>
          <w:p>
            <w:pPr>
              <w:numPr>
                <w:ilvl w:val="0"/>
                <w:numId w:val="7"/>
              </w:num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投标人具有CNAS标识的：质量管理体系认证证书、环境管理体系认证证书、职业健康与安全管理体系认证证书，且覆盖的范围包含“钢木家具、木质家具、金属家具、钢塑家具的设计开发、组装、销售、安装”证书需在有效期内每个得</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TW" w:eastAsia="zh-TW"/>
              </w:rPr>
              <w:t>分，</w:t>
            </w:r>
            <w:r>
              <w:rPr>
                <w:rFonts w:hint="eastAsia" w:ascii="仿宋" w:hAnsi="仿宋" w:eastAsia="仿宋" w:cs="仿宋"/>
                <w:color w:val="auto"/>
                <w:sz w:val="24"/>
                <w:highlight w:val="none"/>
              </w:rPr>
              <w:t>最多得3</w:t>
            </w:r>
            <w:r>
              <w:rPr>
                <w:rFonts w:hint="eastAsia" w:ascii="仿宋" w:hAnsi="仿宋" w:eastAsia="仿宋" w:cs="仿宋"/>
                <w:color w:val="auto"/>
                <w:sz w:val="24"/>
                <w:highlight w:val="none"/>
                <w:lang w:val="zh-TW" w:eastAsia="zh-TW"/>
              </w:rPr>
              <w:t>分</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lang w:val="zh-TW" w:eastAsia="zh-TW"/>
              </w:rPr>
              <w:t>（覆盖范围家具品类缺项不得分。）</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zh-TW" w:eastAsia="zh-TW"/>
              </w:rPr>
              <w:t>投标文件提供相关证书复印件加盖投标人公章，未提供不得分。</w:t>
            </w:r>
          </w:p>
          <w:p>
            <w:pPr>
              <w:numPr>
                <w:ilvl w:val="0"/>
                <w:numId w:val="7"/>
              </w:num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投标人具有有效期内的CQC中国环保产品认证证书：产品名称包含金属家具</w:t>
            </w:r>
            <w:r>
              <w:rPr>
                <w:rFonts w:hint="eastAsia" w:ascii="仿宋" w:hAnsi="仿宋" w:eastAsia="仿宋" w:cs="仿宋"/>
                <w:color w:val="auto"/>
                <w:sz w:val="24"/>
                <w:highlight w:val="none"/>
                <w:lang w:val="zh-TW"/>
              </w:rPr>
              <w:t>、其他</w:t>
            </w:r>
            <w:r>
              <w:rPr>
                <w:rFonts w:hint="eastAsia" w:ascii="仿宋" w:hAnsi="仿宋" w:eastAsia="仿宋" w:cs="仿宋"/>
                <w:color w:val="auto"/>
                <w:sz w:val="24"/>
                <w:highlight w:val="none"/>
                <w:lang w:val="zh-TW" w:eastAsia="zh-TW"/>
              </w:rPr>
              <w:t>家具。得1分。(缺项不得分)</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zh-TW" w:eastAsia="zh-TW"/>
              </w:rPr>
              <w:t>投标文件提供相关证书复印件加盖投标人公章，未提供不得分。</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TW" w:eastAsia="zh-TW"/>
              </w:rPr>
              <w:t>投标人具有有效期内的CEC家具产品环保卫士认证证书，</w:t>
            </w:r>
            <w:r>
              <w:rPr>
                <w:rFonts w:hint="eastAsia" w:ascii="仿宋" w:hAnsi="仿宋" w:eastAsia="仿宋" w:cs="仿宋"/>
                <w:color w:val="auto"/>
                <w:sz w:val="24"/>
                <w:highlight w:val="none"/>
              </w:rPr>
              <w:t>认证单元包含金属家具，其他家具。（金属家具</w:t>
            </w:r>
            <w:r>
              <w:rPr>
                <w:rFonts w:hint="eastAsia" w:ascii="仿宋" w:hAnsi="仿宋" w:eastAsia="仿宋" w:cs="仿宋"/>
                <w:color w:val="auto"/>
                <w:sz w:val="24"/>
                <w:highlight w:val="none"/>
                <w:lang w:val="zh-TW" w:eastAsia="zh-TW"/>
              </w:rPr>
              <w:t>认证产品类别包含钢木床类，产品名称包含学生公寓组合床或学生多功能组合公寓床</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rPr>
              <w:t>钢塑桌类，其他家具产品名称包含钢塑结合课桌）；</w:t>
            </w:r>
            <w:r>
              <w:rPr>
                <w:rFonts w:hint="eastAsia" w:ascii="仿宋" w:hAnsi="仿宋" w:eastAsia="仿宋" w:cs="仿宋"/>
                <w:color w:val="auto"/>
                <w:sz w:val="24"/>
                <w:highlight w:val="none"/>
                <w:lang w:val="zh-TW" w:eastAsia="zh-TW"/>
              </w:rPr>
              <w:t>满足得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TW" w:eastAsia="zh-TW"/>
              </w:rPr>
              <w:t>分，否则不得分。</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zh-TW" w:eastAsia="zh-TW"/>
              </w:rPr>
              <w:t>投标文件提供相关证书复印件加盖投标人公章，未提供不得分。</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TW" w:eastAsia="zh-TW"/>
              </w:rPr>
              <w:t>投标人具有有效期内的中国环境标志产品认证证书：认证单元包含钢木家具，金属家具，其他家具。钢木家具产品类别包含钢木台、桌类，钢木质柜类，钢木床类，金属骨架为主的椅凳类；金属家具产品类别包含钢台、桌类，金属质柜类，金属骨架为主的椅凳类，金属质架类；其他家具产品类别包含钢塑台、桌类，钢塑椅凳类，钢塑床类。得</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TW" w:eastAsia="zh-TW"/>
              </w:rPr>
              <w:t>分.（缺</w:t>
            </w:r>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val="zh-TW" w:eastAsia="zh-TW"/>
              </w:rPr>
              <w:t>项</w:t>
            </w:r>
            <w:r>
              <w:rPr>
                <w:rFonts w:hint="eastAsia" w:ascii="仿宋" w:hAnsi="仿宋" w:eastAsia="仿宋" w:cs="仿宋"/>
                <w:color w:val="auto"/>
                <w:sz w:val="24"/>
                <w:highlight w:val="none"/>
              </w:rPr>
              <w:t>扣0.5分。</w:t>
            </w:r>
            <w:r>
              <w:rPr>
                <w:rFonts w:hint="eastAsia" w:ascii="仿宋" w:hAnsi="仿宋" w:eastAsia="仿宋" w:cs="仿宋"/>
                <w:color w:val="auto"/>
                <w:sz w:val="24"/>
                <w:highlight w:val="none"/>
                <w:lang w:val="zh-TW" w:eastAsia="zh-TW"/>
              </w:rPr>
              <w:t>）</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zh-TW" w:eastAsia="zh-TW"/>
              </w:rPr>
              <w:t>投标文件提供相关证书复印件加盖投标人公章，未提供不得分。</w:t>
            </w:r>
          </w:p>
          <w:p>
            <w:pPr>
              <w:spacing w:line="276" w:lineRule="auto"/>
              <w:jc w:val="left"/>
              <w:outlineLvl w:val="0"/>
              <w:rPr>
                <w:rFonts w:ascii="仿宋" w:hAnsi="仿宋" w:eastAsia="仿宋" w:cs="仿宋"/>
                <w:color w:val="auto"/>
                <w:sz w:val="24"/>
                <w:highlight w:val="none"/>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2</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同类项目业绩</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3</w:t>
            </w:r>
            <w:r>
              <w:rPr>
                <w:rFonts w:hint="eastAsia" w:ascii="仿宋" w:hAnsi="仿宋" w:eastAsia="仿宋" w:cs="仿宋"/>
                <w:sz w:val="24"/>
                <w:highlight w:val="none"/>
                <w:lang w:val="zh-TW" w:eastAsia="zh-TW"/>
              </w:rPr>
              <w:t>分</w:t>
            </w:r>
          </w:p>
        </w:tc>
        <w:tc>
          <w:tcPr>
            <w:tcW w:w="6115" w:type="dxa"/>
            <w:vAlign w:val="center"/>
          </w:tcPr>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rPr>
              <w:t>投标人</w:t>
            </w:r>
            <w:r>
              <w:rPr>
                <w:rFonts w:hint="eastAsia" w:ascii="仿宋" w:hAnsi="仿宋" w:eastAsia="仿宋" w:cs="仿宋"/>
                <w:sz w:val="24"/>
                <w:highlight w:val="none"/>
                <w:lang w:val="zh-TW" w:eastAsia="zh-TW"/>
              </w:rPr>
              <w:t>2020年1月至今(以合同签订时间为准 ) 的同类</w:t>
            </w:r>
            <w:r>
              <w:rPr>
                <w:rFonts w:hint="eastAsia" w:ascii="仿宋" w:hAnsi="仿宋" w:eastAsia="仿宋" w:cs="仿宋"/>
                <w:sz w:val="24"/>
                <w:highlight w:val="none"/>
                <w:lang w:val="zh-TW"/>
              </w:rPr>
              <w:t>家具业绩</w:t>
            </w:r>
            <w:r>
              <w:rPr>
                <w:rFonts w:hint="eastAsia" w:ascii="仿宋" w:hAnsi="仿宋" w:eastAsia="仿宋" w:cs="仿宋"/>
                <w:sz w:val="24"/>
                <w:highlight w:val="none"/>
                <w:lang w:val="zh-TW" w:eastAsia="zh-TW"/>
              </w:rPr>
              <w:t>案例，每个</w:t>
            </w:r>
            <w:r>
              <w:rPr>
                <w:rFonts w:hint="eastAsia" w:ascii="仿宋" w:hAnsi="仿宋" w:eastAsia="仿宋" w:cs="仿宋"/>
                <w:sz w:val="24"/>
                <w:highlight w:val="none"/>
              </w:rPr>
              <w:t>业绩</w:t>
            </w:r>
            <w:r>
              <w:rPr>
                <w:rFonts w:hint="eastAsia" w:ascii="仿宋" w:hAnsi="仿宋" w:eastAsia="仿宋" w:cs="仿宋"/>
                <w:sz w:val="24"/>
                <w:highlight w:val="none"/>
                <w:lang w:val="zh-TW" w:eastAsia="zh-TW"/>
              </w:rPr>
              <w:t>需提供合同 、发票和验收报告，每个</w:t>
            </w:r>
            <w:r>
              <w:rPr>
                <w:rFonts w:hint="eastAsia" w:ascii="仿宋" w:hAnsi="仿宋" w:eastAsia="仿宋" w:cs="仿宋"/>
                <w:sz w:val="24"/>
                <w:highlight w:val="none"/>
              </w:rPr>
              <w:t>业绩</w:t>
            </w:r>
            <w:r>
              <w:rPr>
                <w:rFonts w:hint="eastAsia" w:ascii="仿宋" w:hAnsi="仿宋" w:eastAsia="仿宋" w:cs="仿宋"/>
                <w:sz w:val="24"/>
                <w:highlight w:val="none"/>
                <w:lang w:val="zh-TW" w:eastAsia="zh-TW"/>
              </w:rPr>
              <w:t>得</w:t>
            </w:r>
            <w:r>
              <w:rPr>
                <w:rFonts w:hint="eastAsia" w:ascii="仿宋" w:hAnsi="仿宋" w:eastAsia="仿宋" w:cs="仿宋"/>
                <w:sz w:val="24"/>
                <w:highlight w:val="none"/>
              </w:rPr>
              <w:t>1</w:t>
            </w:r>
            <w:r>
              <w:rPr>
                <w:rFonts w:hint="eastAsia" w:ascii="仿宋" w:hAnsi="仿宋" w:eastAsia="仿宋" w:cs="仿宋"/>
                <w:sz w:val="24"/>
                <w:highlight w:val="none"/>
                <w:lang w:val="zh-TW" w:eastAsia="zh-TW"/>
              </w:rPr>
              <w:t>分， 最高得</w:t>
            </w:r>
            <w:r>
              <w:rPr>
                <w:rFonts w:hint="eastAsia" w:ascii="仿宋" w:hAnsi="仿宋" w:eastAsia="仿宋" w:cs="仿宋"/>
                <w:sz w:val="24"/>
                <w:highlight w:val="none"/>
              </w:rPr>
              <w:t>3</w:t>
            </w:r>
            <w:r>
              <w:rPr>
                <w:rFonts w:hint="eastAsia" w:ascii="仿宋" w:hAnsi="仿宋" w:eastAsia="仿宋" w:cs="仿宋"/>
                <w:sz w:val="24"/>
                <w:highlight w:val="none"/>
                <w:lang w:val="zh-TW" w:eastAsia="zh-TW"/>
              </w:rPr>
              <w:t xml:space="preserve">分 </w:t>
            </w:r>
            <w:r>
              <w:rPr>
                <w:rFonts w:hint="eastAsia" w:ascii="仿宋" w:hAnsi="仿宋" w:eastAsia="仿宋" w:cs="仿宋"/>
                <w:sz w:val="24"/>
                <w:highlight w:val="none"/>
                <w:lang w:val="zh-TW"/>
              </w:rPr>
              <w:t>。</w:t>
            </w:r>
            <w:r>
              <w:rPr>
                <w:rFonts w:hint="eastAsia" w:ascii="仿宋" w:hAnsi="仿宋" w:eastAsia="仿宋" w:cs="仿宋"/>
                <w:sz w:val="24"/>
                <w:highlight w:val="none"/>
                <w:lang w:val="zh-TW" w:eastAsia="zh-TW"/>
              </w:rPr>
              <w:t>(同类</w:t>
            </w:r>
            <w:r>
              <w:rPr>
                <w:rFonts w:hint="eastAsia" w:ascii="仿宋" w:hAnsi="仿宋" w:eastAsia="仿宋" w:cs="仿宋"/>
                <w:sz w:val="24"/>
                <w:highlight w:val="none"/>
              </w:rPr>
              <w:t>业绩</w:t>
            </w:r>
            <w:r>
              <w:rPr>
                <w:rFonts w:hint="eastAsia" w:ascii="仿宋" w:hAnsi="仿宋" w:eastAsia="仿宋" w:cs="仿宋"/>
                <w:sz w:val="24"/>
                <w:highlight w:val="none"/>
                <w:lang w:val="zh-TW" w:eastAsia="zh-TW"/>
              </w:rPr>
              <w:t>是指与采购标的同品类的产品</w:t>
            </w:r>
            <w:r>
              <w:rPr>
                <w:rFonts w:hint="eastAsia" w:ascii="仿宋" w:hAnsi="仿宋" w:eastAsia="仿宋" w:cs="仿宋"/>
                <w:sz w:val="24"/>
                <w:highlight w:val="none"/>
              </w:rPr>
              <w:t>业绩</w:t>
            </w:r>
            <w:r>
              <w:rPr>
                <w:rFonts w:hint="eastAsia" w:ascii="仿宋" w:hAnsi="仿宋" w:eastAsia="仿宋" w:cs="仿宋"/>
                <w:sz w:val="24"/>
                <w:highlight w:val="none"/>
                <w:lang w:val="zh-TW" w:eastAsia="zh-TW"/>
              </w:rPr>
              <w:t>) 。</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rPr>
              <w:t>注：</w:t>
            </w:r>
            <w:r>
              <w:rPr>
                <w:rFonts w:hint="eastAsia" w:ascii="仿宋" w:hAnsi="仿宋" w:eastAsia="仿宋" w:cs="仿宋"/>
                <w:sz w:val="24"/>
                <w:highlight w:val="none"/>
                <w:lang w:val="zh-TW" w:eastAsia="zh-TW"/>
              </w:rPr>
              <w:t>投标文件中提供合同</w:t>
            </w:r>
            <w:r>
              <w:rPr>
                <w:rFonts w:hint="eastAsia" w:ascii="仿宋" w:hAnsi="仿宋" w:eastAsia="仿宋" w:cs="仿宋"/>
                <w:sz w:val="24"/>
                <w:highlight w:val="none"/>
                <w:lang w:val="zh-TW"/>
              </w:rPr>
              <w:t>、</w:t>
            </w:r>
            <w:r>
              <w:rPr>
                <w:rFonts w:hint="eastAsia" w:ascii="仿宋" w:hAnsi="仿宋" w:eastAsia="仿宋" w:cs="仿宋"/>
                <w:sz w:val="24"/>
                <w:highlight w:val="none"/>
                <w:lang w:val="zh-TW" w:eastAsia="zh-TW"/>
              </w:rPr>
              <w:t>发票和验收报告</w:t>
            </w:r>
            <w:r>
              <w:rPr>
                <w:rFonts w:hint="eastAsia" w:ascii="仿宋" w:hAnsi="仿宋" w:eastAsia="仿宋" w:cs="仿宋"/>
                <w:sz w:val="24"/>
                <w:highlight w:val="none"/>
                <w:lang w:val="zh-TW"/>
              </w:rPr>
              <w:t>的</w:t>
            </w:r>
            <w:r>
              <w:rPr>
                <w:rFonts w:hint="eastAsia" w:ascii="仿宋" w:hAnsi="仿宋" w:eastAsia="仿宋" w:cs="仿宋"/>
                <w:sz w:val="24"/>
                <w:highlight w:val="none"/>
                <w:lang w:val="zh-TW" w:eastAsia="zh-TW"/>
              </w:rPr>
              <w:t>复印件加盖投标人公章，未提供不得分。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3</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专利</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3分</w:t>
            </w:r>
          </w:p>
        </w:tc>
        <w:tc>
          <w:tcPr>
            <w:tcW w:w="6115" w:type="dxa"/>
            <w:vAlign w:val="center"/>
          </w:tcPr>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与</w:t>
            </w:r>
            <w:r>
              <w:rPr>
                <w:rFonts w:hint="eastAsia" w:ascii="仿宋" w:hAnsi="仿宋" w:eastAsia="仿宋" w:cs="仿宋"/>
                <w:sz w:val="24"/>
                <w:highlight w:val="none"/>
                <w:lang w:val="zh-TW"/>
              </w:rPr>
              <w:t>本项目物品（公寓床、单椅、入户四门衣柜、边柜、单人床、双门衣柜）</w:t>
            </w:r>
            <w:r>
              <w:rPr>
                <w:rFonts w:hint="eastAsia" w:ascii="仿宋" w:hAnsi="仿宋" w:eastAsia="仿宋" w:cs="仿宋"/>
                <w:sz w:val="24"/>
                <w:highlight w:val="none"/>
                <w:lang w:val="zh-TW" w:eastAsia="zh-TW"/>
              </w:rPr>
              <w:t>相关的外观 、结构、工艺及技术专利 (发明、实用新型、外观设计得分不同，专利须在保护期内) ：每项发明专利得</w:t>
            </w:r>
            <w:r>
              <w:rPr>
                <w:rFonts w:hint="eastAsia" w:ascii="仿宋" w:hAnsi="仿宋" w:eastAsia="仿宋" w:cs="仿宋"/>
                <w:sz w:val="24"/>
                <w:highlight w:val="none"/>
              </w:rPr>
              <w:t>1</w:t>
            </w:r>
            <w:r>
              <w:rPr>
                <w:rFonts w:hint="eastAsia" w:ascii="仿宋" w:hAnsi="仿宋" w:eastAsia="仿宋" w:cs="仿宋"/>
                <w:sz w:val="24"/>
                <w:highlight w:val="none"/>
                <w:lang w:val="zh-TW" w:eastAsia="zh-TW"/>
              </w:rPr>
              <w:t>分，最高得</w:t>
            </w:r>
            <w:r>
              <w:rPr>
                <w:rFonts w:hint="eastAsia" w:ascii="仿宋" w:hAnsi="仿宋" w:eastAsia="仿宋" w:cs="仿宋"/>
                <w:sz w:val="24"/>
                <w:highlight w:val="none"/>
                <w:lang w:val="zh-TW"/>
              </w:rPr>
              <w:t>1</w:t>
            </w:r>
            <w:r>
              <w:rPr>
                <w:rFonts w:hint="eastAsia" w:ascii="仿宋" w:hAnsi="仿宋" w:eastAsia="仿宋" w:cs="仿宋"/>
                <w:sz w:val="24"/>
                <w:highlight w:val="none"/>
                <w:lang w:val="zh-TW" w:eastAsia="zh-TW"/>
              </w:rPr>
              <w:t>分；每项实用新型专利得0.5分，最高得1分；每项外观专利得0.25分，最高得</w:t>
            </w:r>
            <w:r>
              <w:rPr>
                <w:rFonts w:hint="eastAsia" w:ascii="仿宋" w:hAnsi="仿宋" w:eastAsia="仿宋" w:cs="仿宋"/>
                <w:sz w:val="24"/>
                <w:highlight w:val="none"/>
                <w:lang w:val="zh-TW"/>
              </w:rPr>
              <w:t>1</w:t>
            </w:r>
            <w:r>
              <w:rPr>
                <w:rFonts w:hint="eastAsia" w:ascii="仿宋" w:hAnsi="仿宋" w:eastAsia="仿宋" w:cs="仿宋"/>
                <w:sz w:val="24"/>
                <w:highlight w:val="none"/>
                <w:lang w:val="zh-TW" w:eastAsia="zh-TW"/>
              </w:rPr>
              <w:t>分。提供专利证书复印件 ，本项目合计最高得 3分。</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rPr>
              <w:t>注：</w:t>
            </w:r>
            <w:r>
              <w:rPr>
                <w:rFonts w:hint="eastAsia" w:ascii="仿宋" w:hAnsi="仿宋" w:eastAsia="仿宋" w:cs="仿宋"/>
                <w:sz w:val="24"/>
                <w:highlight w:val="none"/>
                <w:lang w:val="zh-TW" w:eastAsia="zh-TW"/>
              </w:rPr>
              <w:t>投标文件提供相关</w:t>
            </w:r>
            <w:r>
              <w:rPr>
                <w:rFonts w:hint="eastAsia" w:ascii="仿宋" w:hAnsi="仿宋" w:eastAsia="仿宋" w:cs="仿宋"/>
                <w:sz w:val="24"/>
                <w:highlight w:val="none"/>
              </w:rPr>
              <w:t>专利</w:t>
            </w:r>
            <w:r>
              <w:rPr>
                <w:rFonts w:hint="eastAsia" w:ascii="仿宋" w:hAnsi="仿宋" w:eastAsia="仿宋" w:cs="仿宋"/>
                <w:sz w:val="24"/>
                <w:highlight w:val="none"/>
                <w:lang w:val="zh-TW" w:eastAsia="zh-TW"/>
              </w:rPr>
              <w:t>证书复印件加盖投标人公章，未提供不得分。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4</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成品检测报告</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5分</w:t>
            </w:r>
          </w:p>
        </w:tc>
        <w:tc>
          <w:tcPr>
            <w:tcW w:w="6115" w:type="dxa"/>
            <w:vAlign w:val="center"/>
          </w:tcPr>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投标人提供（招标公告公布截止前一年内），具备CMA资格的第三方检测机构出具的“公寓组合床”及“学生公寓椅”的成品检测报告:</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 xml:space="preserve">①公寓组合床：依据QB/T2741-2013、GB/T </w:t>
            </w:r>
            <w:r>
              <w:rPr>
                <w:rFonts w:hint="eastAsia" w:ascii="仿宋" w:hAnsi="仿宋" w:eastAsia="仿宋" w:cs="仿宋"/>
                <w:sz w:val="24"/>
                <w:highlight w:val="none"/>
                <w:lang w:val="zh-TW"/>
              </w:rPr>
              <w:t>10357.1-2013</w:t>
            </w:r>
            <w:r>
              <w:rPr>
                <w:rFonts w:hint="eastAsia" w:ascii="仿宋" w:hAnsi="仿宋" w:eastAsia="仿宋" w:cs="仿宋"/>
                <w:sz w:val="24"/>
                <w:highlight w:val="none"/>
                <w:lang w:val="zh-TW" w:eastAsia="zh-TW"/>
              </w:rPr>
              <w:t>、GB</w:t>
            </w:r>
            <w:r>
              <w:rPr>
                <w:rFonts w:hint="eastAsia" w:ascii="仿宋" w:hAnsi="仿宋" w:eastAsia="仿宋" w:cs="仿宋"/>
                <w:sz w:val="24"/>
                <w:highlight w:val="none"/>
                <w:lang w:val="zh-TW"/>
              </w:rPr>
              <w:t>/T10357.5-2011</w:t>
            </w:r>
            <w:r>
              <w:rPr>
                <w:rFonts w:hint="eastAsia" w:ascii="仿宋" w:hAnsi="仿宋" w:eastAsia="仿宋" w:cs="仿宋"/>
                <w:sz w:val="24"/>
                <w:highlight w:val="none"/>
                <w:lang w:val="zh-TW" w:eastAsia="zh-TW"/>
              </w:rPr>
              <w:t>、GB/T</w:t>
            </w:r>
            <w:r>
              <w:rPr>
                <w:rFonts w:hint="eastAsia" w:ascii="仿宋" w:hAnsi="仿宋" w:eastAsia="仿宋" w:cs="仿宋"/>
                <w:sz w:val="24"/>
                <w:highlight w:val="none"/>
                <w:lang w:val="zh-TW"/>
              </w:rPr>
              <w:t>10357.6-2013</w:t>
            </w:r>
            <w:r>
              <w:rPr>
                <w:rFonts w:hint="eastAsia" w:ascii="仿宋" w:hAnsi="仿宋" w:eastAsia="仿宋" w:cs="仿宋"/>
                <w:sz w:val="24"/>
                <w:highlight w:val="none"/>
                <w:lang w:val="zh-TW" w:eastAsia="zh-TW"/>
              </w:rPr>
              <w:t>、GB/T</w:t>
            </w:r>
            <w:r>
              <w:rPr>
                <w:rFonts w:hint="eastAsia" w:ascii="仿宋" w:hAnsi="仿宋" w:eastAsia="仿宋" w:cs="仿宋"/>
                <w:sz w:val="24"/>
                <w:highlight w:val="none"/>
                <w:lang w:val="zh-TW"/>
              </w:rPr>
              <w:t xml:space="preserve"> 24430.2-2009</w:t>
            </w:r>
            <w:r>
              <w:rPr>
                <w:rFonts w:hint="eastAsia" w:ascii="仿宋" w:hAnsi="仿宋" w:eastAsia="仿宋" w:cs="仿宋"/>
                <w:sz w:val="24"/>
                <w:highlight w:val="none"/>
                <w:lang w:val="zh-TW" w:eastAsia="zh-TW"/>
              </w:rPr>
              <w:t>、GB</w:t>
            </w:r>
            <w:r>
              <w:rPr>
                <w:rFonts w:hint="eastAsia" w:ascii="仿宋" w:hAnsi="仿宋" w:eastAsia="仿宋" w:cs="仿宋"/>
                <w:sz w:val="24"/>
                <w:highlight w:val="none"/>
                <w:lang w:val="zh-TW"/>
              </w:rPr>
              <w:t>28481-2012</w:t>
            </w:r>
            <w:r>
              <w:rPr>
                <w:rFonts w:hint="eastAsia" w:ascii="仿宋" w:hAnsi="仿宋" w:eastAsia="仿宋" w:cs="仿宋"/>
                <w:sz w:val="24"/>
                <w:highlight w:val="none"/>
                <w:lang w:val="zh-TW" w:eastAsia="zh-TW"/>
              </w:rPr>
              <w:t>、</w:t>
            </w:r>
            <w:r>
              <w:rPr>
                <w:rFonts w:hint="eastAsia" w:ascii="仿宋" w:hAnsi="仿宋" w:eastAsia="仿宋" w:cs="仿宋"/>
                <w:sz w:val="24"/>
                <w:highlight w:val="none"/>
                <w:lang w:val="zh-TW"/>
              </w:rPr>
              <w:t>G</w:t>
            </w:r>
            <w:r>
              <w:rPr>
                <w:rFonts w:hint="eastAsia" w:ascii="仿宋" w:hAnsi="仿宋" w:eastAsia="仿宋" w:cs="仿宋"/>
                <w:sz w:val="24"/>
                <w:highlight w:val="none"/>
                <w:lang w:val="zh-TW" w:eastAsia="zh-TW"/>
              </w:rPr>
              <w:t>B</w:t>
            </w:r>
            <w:r>
              <w:rPr>
                <w:rFonts w:hint="eastAsia" w:ascii="仿宋" w:hAnsi="仿宋" w:eastAsia="仿宋" w:cs="仿宋"/>
                <w:sz w:val="24"/>
                <w:highlight w:val="none"/>
                <w:lang w:val="zh-TW"/>
              </w:rPr>
              <w:t>6675.4-2014</w:t>
            </w:r>
            <w:r>
              <w:rPr>
                <w:rFonts w:hint="eastAsia" w:ascii="仿宋" w:hAnsi="仿宋" w:eastAsia="仿宋" w:cs="仿宋"/>
                <w:sz w:val="24"/>
                <w:highlight w:val="none"/>
                <w:lang w:val="zh-TW" w:eastAsia="zh-TW"/>
              </w:rPr>
              <w:t>，提供成品检测报告，检测项目至少包括:包含形状和位置公差、外观、理化性能、力学性能、有害物质限量、可迁移元素等；检测结果：木制件表面涂层</w:t>
            </w:r>
            <w:r>
              <w:rPr>
                <w:rFonts w:hint="eastAsia" w:ascii="仿宋" w:hAnsi="仿宋" w:eastAsia="仿宋" w:cs="仿宋"/>
                <w:sz w:val="24"/>
                <w:highlight w:val="none"/>
                <w:lang w:val="zh-TW"/>
              </w:rPr>
              <w:t>/覆面材料耐液性、耐湿性、耐干热、耐磨均不低于1级；可迁移元素未检出，甲醛释放量≤0.2mg/L，邻苯二甲酸酯未检出；其余适用的检测项目均符合要求。</w:t>
            </w:r>
            <w:r>
              <w:rPr>
                <w:rFonts w:hint="eastAsia" w:ascii="仿宋" w:hAnsi="仿宋" w:eastAsia="仿宋" w:cs="仿宋"/>
                <w:sz w:val="24"/>
                <w:highlight w:val="none"/>
                <w:lang w:val="zh-TW" w:eastAsia="zh-TW"/>
              </w:rPr>
              <w:t>全部满足的得3分，缺项不得分；</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②学生公寓椅：依据</w:t>
            </w:r>
            <w:r>
              <w:rPr>
                <w:rFonts w:hint="eastAsia" w:ascii="仿宋" w:hAnsi="仿宋" w:eastAsia="仿宋" w:cs="仿宋"/>
                <w:sz w:val="24"/>
                <w:highlight w:val="none"/>
                <w:lang w:val="zh-TW"/>
              </w:rPr>
              <w:t>QB/T2741-2013</w:t>
            </w:r>
            <w:r>
              <w:rPr>
                <w:rFonts w:hint="eastAsia" w:ascii="仿宋" w:hAnsi="仿宋" w:eastAsia="仿宋" w:cs="仿宋"/>
                <w:sz w:val="24"/>
                <w:highlight w:val="none"/>
                <w:lang w:val="zh-TW" w:eastAsia="zh-TW"/>
              </w:rPr>
              <w:t>、</w:t>
            </w:r>
            <w:r>
              <w:rPr>
                <w:rFonts w:hint="eastAsia" w:ascii="仿宋" w:hAnsi="仿宋" w:eastAsia="仿宋" w:cs="仿宋"/>
                <w:sz w:val="24"/>
                <w:highlight w:val="none"/>
                <w:lang w:val="zh-TW"/>
              </w:rPr>
              <w:t>GB 18580-2017</w:t>
            </w:r>
            <w:r>
              <w:rPr>
                <w:rFonts w:hint="eastAsia" w:ascii="仿宋" w:hAnsi="仿宋" w:eastAsia="仿宋" w:cs="仿宋"/>
                <w:sz w:val="24"/>
                <w:highlight w:val="none"/>
                <w:lang w:val="zh-TW" w:eastAsia="zh-TW"/>
              </w:rPr>
              <w:t>、</w:t>
            </w:r>
            <w:r>
              <w:rPr>
                <w:rFonts w:hint="eastAsia" w:ascii="仿宋" w:hAnsi="仿宋" w:eastAsia="仿宋" w:cs="仿宋"/>
                <w:sz w:val="24"/>
                <w:highlight w:val="none"/>
                <w:lang w:val="zh-TW"/>
              </w:rPr>
              <w:t>GB/T35607-2017</w:t>
            </w:r>
            <w:r>
              <w:rPr>
                <w:rFonts w:hint="eastAsia" w:ascii="仿宋" w:hAnsi="仿宋" w:eastAsia="仿宋" w:cs="仿宋"/>
                <w:sz w:val="24"/>
                <w:highlight w:val="none"/>
                <w:lang w:val="zh-TW" w:eastAsia="zh-TW"/>
              </w:rPr>
              <w:t>提供成品检测报告，检测项目至少包括：包含形状和位置公差、外观、理化性能、安装、甲醛释放量、总挥发性有机物（</w:t>
            </w:r>
            <w:r>
              <w:rPr>
                <w:rFonts w:hint="eastAsia" w:ascii="仿宋" w:hAnsi="仿宋" w:eastAsia="仿宋" w:cs="仿宋"/>
                <w:sz w:val="24"/>
                <w:highlight w:val="none"/>
                <w:lang w:val="zh-TW"/>
              </w:rPr>
              <w:t>TVOC）、家具涂层可迁移元素；检测结果：木制件表面涂层/覆面材料耐液性、耐湿热、耐干热、耐磨、抗冲击均不低于1级，家具涂层可迁移元素未检出，甲醛释放量≤0.017mg/m³,TVOC≤0.22mg/m³，其余适用的检测项目均符合要求。</w:t>
            </w:r>
            <w:r>
              <w:rPr>
                <w:rFonts w:hint="eastAsia" w:ascii="仿宋" w:hAnsi="仿宋" w:eastAsia="仿宋" w:cs="仿宋"/>
                <w:sz w:val="24"/>
                <w:highlight w:val="none"/>
                <w:lang w:val="zh-TW" w:eastAsia="zh-TW"/>
              </w:rPr>
              <w:t>全部满足的得2分，缺项不得分。</w:t>
            </w:r>
          </w:p>
          <w:p>
            <w:pPr>
              <w:spacing w:line="276" w:lineRule="auto"/>
              <w:jc w:val="left"/>
              <w:outlineLvl w:val="0"/>
              <w:rPr>
                <w:rFonts w:ascii="仿宋" w:hAnsi="仿宋" w:eastAsia="仿宋" w:cs="仿宋"/>
                <w:sz w:val="24"/>
                <w:highlight w:val="none"/>
              </w:rPr>
            </w:pPr>
            <w:r>
              <w:rPr>
                <w:rFonts w:hint="eastAsia" w:ascii="仿宋" w:hAnsi="仿宋" w:eastAsia="仿宋" w:cs="仿宋"/>
                <w:sz w:val="24"/>
                <w:highlight w:val="none"/>
              </w:rPr>
              <w:t>注：投标文件提供相关检测报告复印件加盖投标人公章，（</w:t>
            </w:r>
            <w:r>
              <w:rPr>
                <w:rFonts w:hint="eastAsia" w:ascii="仿宋" w:hAnsi="仿宋" w:eastAsia="仿宋" w:cs="仿宋"/>
                <w:sz w:val="24"/>
                <w:highlight w:val="none"/>
                <w:lang w:val="zh-TW" w:eastAsia="zh-TW"/>
              </w:rPr>
              <w:t>以上</w:t>
            </w:r>
            <w:r>
              <w:rPr>
                <w:rFonts w:hint="eastAsia" w:ascii="仿宋" w:hAnsi="仿宋" w:eastAsia="仿宋" w:cs="仿宋"/>
                <w:sz w:val="24"/>
                <w:highlight w:val="none"/>
                <w:lang w:val="zh-TW"/>
              </w:rPr>
              <w:t>成品</w:t>
            </w:r>
            <w:r>
              <w:rPr>
                <w:rFonts w:hint="eastAsia" w:ascii="仿宋" w:hAnsi="仿宋" w:eastAsia="仿宋" w:cs="仿宋"/>
                <w:sz w:val="24"/>
                <w:highlight w:val="none"/>
                <w:lang w:val="zh-TW" w:eastAsia="zh-TW"/>
              </w:rPr>
              <w:t>检测报告</w:t>
            </w:r>
            <w:r>
              <w:rPr>
                <w:rFonts w:hint="eastAsia" w:ascii="仿宋" w:hAnsi="仿宋" w:eastAsia="仿宋" w:cs="仿宋"/>
                <w:sz w:val="24"/>
                <w:highlight w:val="none"/>
                <w:lang w:val="zh-TW"/>
              </w:rPr>
              <w:t>、</w:t>
            </w:r>
            <w:r>
              <w:rPr>
                <w:rFonts w:hint="eastAsia" w:ascii="仿宋" w:hAnsi="仿宋" w:eastAsia="仿宋" w:cs="仿宋"/>
                <w:sz w:val="24"/>
                <w:highlight w:val="none"/>
                <w:lang w:val="zh-TW" w:eastAsia="zh-TW"/>
              </w:rPr>
              <w:t>检测结果要求均需符合上述说明，且必须提供该检测报告在国家市场监督管理总局网站的查询页面截图</w:t>
            </w:r>
            <w:r>
              <w:rPr>
                <w:rFonts w:hint="eastAsia" w:ascii="仿宋" w:hAnsi="仿宋" w:eastAsia="仿宋" w:cs="仿宋"/>
                <w:sz w:val="24"/>
                <w:highlight w:val="none"/>
                <w:lang w:val="zh-TW"/>
              </w:rPr>
              <w:t>）</w:t>
            </w:r>
            <w:r>
              <w:rPr>
                <w:rFonts w:hint="eastAsia" w:ascii="仿宋" w:hAnsi="仿宋" w:eastAsia="仿宋" w:cs="仿宋"/>
                <w:sz w:val="24"/>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5</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原材料检测报告</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10</w:t>
            </w:r>
            <w:r>
              <w:rPr>
                <w:rFonts w:hint="eastAsia" w:ascii="仿宋" w:hAnsi="仿宋" w:eastAsia="仿宋" w:cs="仿宋"/>
                <w:sz w:val="24"/>
                <w:highlight w:val="none"/>
                <w:lang w:val="zh-TW" w:eastAsia="zh-TW"/>
              </w:rPr>
              <w:t>分</w:t>
            </w:r>
          </w:p>
        </w:tc>
        <w:tc>
          <w:tcPr>
            <w:tcW w:w="6115" w:type="dxa"/>
            <w:vAlign w:val="center"/>
          </w:tcPr>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投标人提供（招标公告公布截止前一年内），具备CMA资格的第三方检测机构出具的三聚氰胺饰面刨花板、钢管、铝铸件、五金连接件（阻尼铰链）、胶粘剂、塑料件、转接件等的原材料检测报告:</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1.三聚氰胺饰面刨花板:要求提供第三方检测报告佐证，检测依据为：CEC 042-2020和GB 6675.4-2014；</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检测结果要求：可迁移元素mg/kg未检出（或锑≤60，砷≤25，钡≤1000，镉≤75，铬≤60，铅≤90，汞≤60，硒≤500）。</w:t>
            </w:r>
          </w:p>
          <w:p>
            <w:pPr>
              <w:spacing w:line="276" w:lineRule="auto"/>
              <w:jc w:val="left"/>
              <w:outlineLvl w:val="0"/>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2.</w:t>
            </w:r>
            <w:r>
              <w:rPr>
                <w:rFonts w:hint="eastAsia" w:ascii="仿宋" w:hAnsi="仿宋" w:eastAsia="仿宋" w:cs="仿宋"/>
                <w:color w:val="auto"/>
                <w:sz w:val="24"/>
                <w:highlight w:val="none"/>
              </w:rPr>
              <w:t>钢管</w:t>
            </w:r>
            <w:r>
              <w:rPr>
                <w:rFonts w:hint="eastAsia" w:ascii="仿宋" w:hAnsi="仿宋" w:eastAsia="仿宋" w:cs="仿宋"/>
                <w:color w:val="auto"/>
                <w:sz w:val="24"/>
                <w:highlight w:val="none"/>
                <w:lang w:val="zh-TW" w:eastAsia="zh-TW"/>
              </w:rPr>
              <w:t>: 要求提供第三方检测报告佐证，检测依据为：GB/T 3325-2017和</w:t>
            </w:r>
            <w:r>
              <w:rPr>
                <w:rFonts w:hint="eastAsia" w:ascii="仿宋" w:hAnsi="仿宋" w:eastAsia="仿宋" w:cs="仿宋"/>
                <w:color w:val="auto"/>
                <w:sz w:val="24"/>
                <w:highlight w:val="none"/>
                <w:lang w:val="zh-TW"/>
              </w:rPr>
              <w:t>GB/T4340.1-2009</w:t>
            </w:r>
            <w:r>
              <w:rPr>
                <w:rFonts w:hint="eastAsia" w:ascii="仿宋" w:hAnsi="仿宋" w:eastAsia="仿宋" w:cs="仿宋"/>
                <w:color w:val="auto"/>
                <w:sz w:val="24"/>
                <w:highlight w:val="none"/>
                <w:lang w:val="zh-TW" w:eastAsia="zh-TW"/>
              </w:rPr>
              <w:t>；</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w:t>
            </w:r>
            <w:r>
              <w:rPr>
                <w:rFonts w:hint="eastAsia" w:ascii="仿宋" w:hAnsi="仿宋" w:eastAsia="仿宋" w:cs="仿宋"/>
                <w:color w:val="auto"/>
                <w:sz w:val="24"/>
                <w:highlight w:val="none"/>
                <w:lang w:val="zh-TW"/>
              </w:rPr>
              <w:t>金属电镀层的抗盐雾18h无锈点。</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3.太空铝铸件护栏连接件: 要求提供第三方检测报告佐证，检测依据为：QB/T 382</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TW" w:eastAsia="zh-TW"/>
              </w:rPr>
              <w:t>-1999</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lang w:val="zh-TW" w:eastAsia="zh-TW"/>
              </w:rPr>
              <w:t>QB/T 3827-1999；</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w:t>
            </w:r>
            <w:r>
              <w:rPr>
                <w:rFonts w:hint="eastAsia" w:ascii="仿宋" w:hAnsi="仿宋" w:eastAsia="仿宋" w:cs="仿宋"/>
                <w:color w:val="auto"/>
                <w:sz w:val="24"/>
                <w:highlight w:val="none"/>
              </w:rPr>
              <w:t>中性盐雾试验</w:t>
            </w:r>
            <w:r>
              <w:rPr>
                <w:rFonts w:hint="eastAsia" w:ascii="仿宋" w:hAnsi="仿宋" w:eastAsia="仿宋" w:cs="仿宋"/>
                <w:color w:val="auto"/>
                <w:sz w:val="24"/>
                <w:highlight w:val="none"/>
                <w:lang w:val="zh-TW" w:eastAsia="zh-TW"/>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TW" w:eastAsia="zh-TW"/>
              </w:rPr>
              <w:t>00h）检测中评定涂层本身及涂层对基体金属的防蚀能力均为10级</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lang w:val="zh-TW" w:eastAsia="zh-TW"/>
              </w:rPr>
              <w:t>乙酸盐雾试验（100h）检测中评定涂层本身及涂层对基体金属的防蚀能力均为10级。</w:t>
            </w:r>
          </w:p>
          <w:p>
            <w:pPr>
              <w:spacing w:line="276" w:lineRule="auto"/>
              <w:jc w:val="left"/>
              <w:outlineLvl w:val="0"/>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4.塑料件: 要求提供第三方检测报告佐证，检测依据为：GB/T 32487-2016和GB 20286-2006；</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检测结果要求：塑料材料理化性能的耐老化性合格（或室内用500h，冲击强度的保持率≥75.6%，外观颜色变色评级≥4级）</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公共场所阻燃家具及组件的燃烧性能：阻燃1级符合要求。</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5.五金连接件（阻尼铰链）: 要求提供第三方检测报告佐证，检测依据为：GB/T 2189-2013；</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检测结果要求：下沉量≤0.6mm；其余检测项目就符合要求。</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TW" w:eastAsia="zh-TW"/>
              </w:rPr>
              <w:t>柜门拉手: 要求提供第三方检测报告佐证，检测依据为：GB/T 3324-2017；</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w:t>
            </w:r>
            <w:r>
              <w:rPr>
                <w:rFonts w:hint="eastAsia" w:ascii="仿宋" w:hAnsi="仿宋" w:eastAsia="仿宋" w:cs="仿宋"/>
                <w:color w:val="auto"/>
                <w:sz w:val="24"/>
                <w:highlight w:val="none"/>
                <w:lang w:val="zh-TW"/>
              </w:rPr>
              <w:t>金属</w:t>
            </w:r>
            <w:r>
              <w:rPr>
                <w:rFonts w:hint="eastAsia" w:ascii="仿宋" w:hAnsi="仿宋" w:eastAsia="仿宋" w:cs="仿宋"/>
                <w:color w:val="auto"/>
                <w:sz w:val="24"/>
                <w:highlight w:val="none"/>
                <w:lang w:val="zh-TW" w:eastAsia="zh-TW"/>
              </w:rPr>
              <w:t>拉手耐腐蚀合格。</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7.水基型胶粘剂（白乳胶）: 要求提供第三方检测报告佐证，检测依据为：GB 18583-2008；</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检测结果要求：游离甲醛、笨、甲苯+二甲苯均未检出；总挥发性有机物≤38g/L。</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TW" w:eastAsia="zh-TW"/>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TW" w:eastAsia="zh-TW"/>
              </w:rPr>
              <w:t>PVC封边条: 要求提供第三方检测报告佐证，检测依据为：QB/T 4463-2013、</w:t>
            </w:r>
            <w:r>
              <w:rPr>
                <w:rFonts w:hint="eastAsia" w:ascii="仿宋" w:hAnsi="仿宋" w:eastAsia="仿宋" w:cs="仿宋"/>
                <w:color w:val="auto"/>
                <w:sz w:val="24"/>
                <w:highlight w:val="none"/>
                <w:lang w:val="zh-TW"/>
              </w:rPr>
              <w:t>GB20286-2006、GB8624-2012</w:t>
            </w:r>
            <w:r>
              <w:rPr>
                <w:rFonts w:hint="eastAsia" w:ascii="仿宋" w:hAnsi="仿宋" w:eastAsia="仿宋" w:cs="仿宋"/>
                <w:color w:val="auto"/>
                <w:sz w:val="24"/>
                <w:highlight w:val="none"/>
                <w:lang w:val="zh-TW" w:eastAsia="zh-TW"/>
              </w:rPr>
              <w:t>；</w:t>
            </w:r>
          </w:p>
          <w:p>
            <w:pPr>
              <w:spacing w:line="276"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lang w:val="zh-TW" w:eastAsia="zh-TW"/>
              </w:rPr>
              <w:t>检测结果要求：</w:t>
            </w:r>
            <w:r>
              <w:rPr>
                <w:rFonts w:hint="eastAsia" w:ascii="仿宋" w:hAnsi="仿宋" w:eastAsia="仿宋" w:cs="仿宋"/>
                <w:color w:val="auto"/>
                <w:sz w:val="24"/>
                <w:highlight w:val="none"/>
              </w:rPr>
              <w:t>耐磨性磨30r后无露底；耐开裂性、耐光色牢度符合要求,有害物质限量未检出，甲醛释放量未检出。</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rPr>
              <w:t>9</w:t>
            </w:r>
            <w:r>
              <w:rPr>
                <w:rFonts w:hint="eastAsia" w:ascii="仿宋" w:hAnsi="仿宋" w:eastAsia="仿宋" w:cs="仿宋"/>
                <w:color w:val="auto"/>
                <w:sz w:val="24"/>
                <w:highlight w:val="none"/>
                <w:lang w:val="zh-TW" w:eastAsia="zh-TW"/>
              </w:rPr>
              <w:t>.PP原料：要求提供第三方检测报告佐证，检测依据：GB 28481-2012</w:t>
            </w:r>
            <w:r>
              <w:rPr>
                <w:rFonts w:hint="eastAsia" w:ascii="仿宋" w:hAnsi="仿宋" w:eastAsia="仿宋" w:cs="仿宋"/>
                <w:color w:val="auto"/>
                <w:sz w:val="24"/>
                <w:highlight w:val="none"/>
                <w:lang w:val="zh-TW"/>
              </w:rPr>
              <w:t>；</w:t>
            </w:r>
          </w:p>
          <w:p>
            <w:pPr>
              <w:spacing w:line="276" w:lineRule="auto"/>
              <w:jc w:val="left"/>
              <w:outlineLvl w:val="0"/>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检测结果要求：邻苯二甲酸酯、重金属均未检出；</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rPr>
              <w:t>10</w:t>
            </w:r>
            <w:r>
              <w:rPr>
                <w:rFonts w:hint="eastAsia" w:ascii="仿宋" w:hAnsi="仿宋" w:eastAsia="仿宋" w:cs="仿宋"/>
                <w:color w:val="auto"/>
                <w:sz w:val="24"/>
                <w:highlight w:val="none"/>
                <w:lang w:val="zh-TW" w:eastAsia="zh-TW"/>
              </w:rPr>
              <w:t>.五金连接件（阻尼三节导轨）: 要求提供第三方检测报告佐证，检测依据为：</w:t>
            </w:r>
            <w:r>
              <w:rPr>
                <w:rFonts w:hint="eastAsia" w:ascii="仿宋" w:hAnsi="仿宋" w:eastAsia="仿宋" w:cs="仿宋"/>
                <w:color w:val="auto"/>
                <w:sz w:val="24"/>
                <w:highlight w:val="none"/>
                <w:lang w:val="zh-TW"/>
              </w:rPr>
              <w:t>QB/T 2454-2013</w:t>
            </w:r>
            <w:r>
              <w:rPr>
                <w:rFonts w:hint="eastAsia" w:ascii="仿宋" w:hAnsi="仿宋" w:eastAsia="仿宋" w:cs="仿宋"/>
                <w:color w:val="auto"/>
                <w:sz w:val="24"/>
                <w:highlight w:val="none"/>
                <w:lang w:val="zh-TW" w:eastAsia="zh-TW"/>
              </w:rPr>
              <w:t>；</w:t>
            </w:r>
          </w:p>
          <w:p>
            <w:pPr>
              <w:spacing w:line="276" w:lineRule="auto"/>
              <w:jc w:val="left"/>
              <w:outlineLvl w:val="0"/>
              <w:rPr>
                <w:rFonts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检测结果要求：垂直向下静载荷、水平侧向静载荷、猛关或猛开、操作力、耐久性、垂直向下静载荷、水平侧向静载荷、拉出安全性、猛关或猛开、耐腐蚀18h均需符合要求；下沉量≤0.4%。</w:t>
            </w:r>
          </w:p>
          <w:p>
            <w:pPr>
              <w:spacing w:line="276" w:lineRule="auto"/>
              <w:jc w:val="left"/>
              <w:outlineLvl w:val="0"/>
              <w:rPr>
                <w:rFonts w:ascii="仿宋" w:hAnsi="仿宋" w:eastAsia="仿宋" w:cs="仿宋"/>
                <w:color w:val="auto"/>
                <w:sz w:val="24"/>
                <w:highlight w:val="none"/>
                <w:lang w:val="zh-TW"/>
              </w:rPr>
            </w:pPr>
            <w:r>
              <w:rPr>
                <w:rFonts w:hint="eastAsia" w:ascii="仿宋" w:hAnsi="仿宋" w:eastAsia="仿宋" w:cs="仿宋"/>
                <w:color w:val="auto"/>
                <w:sz w:val="24"/>
                <w:highlight w:val="none"/>
              </w:rPr>
              <w:t>注：投标文件提供相关检测报告复印件加盖投标人公章，（</w:t>
            </w:r>
            <w:r>
              <w:rPr>
                <w:rFonts w:hint="eastAsia" w:ascii="仿宋" w:hAnsi="仿宋" w:eastAsia="仿宋" w:cs="仿宋"/>
                <w:color w:val="auto"/>
                <w:sz w:val="24"/>
                <w:highlight w:val="none"/>
                <w:lang w:val="zh-TW" w:eastAsia="zh-TW"/>
              </w:rPr>
              <w:t>以上原材料检测报告</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lang w:val="zh-TW" w:eastAsia="zh-TW"/>
              </w:rPr>
              <w:t>检测结果要求均需符合上述说明，且必须提供该检测报告在国家市场监督管理总局网站的查询页面截图</w:t>
            </w:r>
            <w:r>
              <w:rPr>
                <w:rFonts w:hint="eastAsia" w:ascii="仿宋" w:hAnsi="仿宋" w:eastAsia="仿宋" w:cs="仿宋"/>
                <w:color w:val="auto"/>
                <w:sz w:val="24"/>
                <w:highlight w:val="none"/>
                <w:lang w:val="zh-TW"/>
              </w:rPr>
              <w:t>）</w:t>
            </w:r>
            <w:r>
              <w:rPr>
                <w:rFonts w:hint="eastAsia" w:ascii="仿宋" w:hAnsi="仿宋" w:eastAsia="仿宋" w:cs="仿宋"/>
                <w:color w:val="auto"/>
                <w:sz w:val="24"/>
                <w:highlight w:val="none"/>
                <w:lang w:val="zh-TW" w:eastAsia="zh-TW"/>
              </w:rPr>
              <w:t>，不提供不得分，缺一项扣1分，满分</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zh-TW" w:eastAsia="zh-T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725" w:type="dxa"/>
            <w:vAlign w:val="center"/>
          </w:tcPr>
          <w:p>
            <w:pPr>
              <w:spacing w:line="276" w:lineRule="auto"/>
              <w:jc w:val="center"/>
              <w:outlineLvl w:val="0"/>
              <w:rPr>
                <w:rFonts w:ascii="仿宋" w:hAnsi="仿宋" w:eastAsia="仿宋" w:cs="仿宋"/>
                <w:sz w:val="24"/>
                <w:highlight w:val="none"/>
                <w:lang w:val="zh-TW"/>
              </w:rPr>
            </w:pPr>
            <w:r>
              <w:rPr>
                <w:rFonts w:hint="eastAsia" w:ascii="仿宋" w:hAnsi="仿宋" w:eastAsia="仿宋" w:cs="仿宋"/>
                <w:sz w:val="24"/>
                <w:highlight w:val="none"/>
                <w:lang w:val="zh-TW"/>
              </w:rPr>
              <w:t>6</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技术响应</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5</w:t>
            </w:r>
            <w:r>
              <w:rPr>
                <w:rFonts w:hint="eastAsia" w:ascii="仿宋" w:hAnsi="仿宋" w:eastAsia="仿宋" w:cs="仿宋"/>
                <w:sz w:val="24"/>
                <w:highlight w:val="none"/>
                <w:lang w:val="zh-TW" w:eastAsia="zh-TW"/>
              </w:rPr>
              <w:t>分</w:t>
            </w:r>
          </w:p>
        </w:tc>
        <w:tc>
          <w:tcPr>
            <w:tcW w:w="6115" w:type="dxa"/>
            <w:vAlign w:val="center"/>
          </w:tcPr>
          <w:p>
            <w:pPr>
              <w:spacing w:line="276" w:lineRule="auto"/>
              <w:jc w:val="left"/>
              <w:outlineLvl w:val="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TW"/>
              </w:rPr>
              <w:t>所有</w:t>
            </w:r>
            <w:r>
              <w:rPr>
                <w:rFonts w:hint="eastAsia" w:ascii="仿宋" w:hAnsi="仿宋" w:eastAsia="仿宋" w:cs="仿宋"/>
                <w:color w:val="auto"/>
                <w:sz w:val="24"/>
                <w:highlight w:val="none"/>
                <w:lang w:val="zh-TW" w:eastAsia="zh-TW"/>
              </w:rPr>
              <w:t xml:space="preserve">技术指标规格均满足得 </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zh-TW" w:eastAsia="zh-TW"/>
              </w:rPr>
              <w:t>分，</w:t>
            </w:r>
            <w:r>
              <w:rPr>
                <w:rFonts w:hint="eastAsia" w:ascii="仿宋" w:hAnsi="仿宋" w:eastAsia="仿宋" w:cs="仿宋"/>
                <w:color w:val="auto"/>
                <w:kern w:val="2"/>
                <w:sz w:val="24"/>
                <w:szCs w:val="24"/>
                <w:highlight w:val="none"/>
                <w:lang w:val="zh-TW" w:eastAsia="zh-TW" w:bidi="ar"/>
              </w:rPr>
              <w:t>▲标注的的指标</w:t>
            </w:r>
            <w:r>
              <w:rPr>
                <w:rFonts w:hint="eastAsia" w:ascii="仿宋" w:hAnsi="仿宋" w:eastAsia="仿宋" w:cs="仿宋"/>
                <w:color w:val="auto"/>
                <w:sz w:val="24"/>
                <w:highlight w:val="none"/>
                <w:lang w:val="zh-TW" w:eastAsia="zh-TW"/>
              </w:rPr>
              <w:t>每一项负偏离扣1分，其余指标每一项负偏离扣0.5分，扣完为止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725" w:type="dxa"/>
            <w:vAlign w:val="center"/>
          </w:tcPr>
          <w:p>
            <w:pPr>
              <w:spacing w:line="276" w:lineRule="auto"/>
              <w:jc w:val="center"/>
              <w:outlineLvl w:val="0"/>
              <w:rPr>
                <w:rFonts w:ascii="仿宋" w:hAnsi="仿宋" w:eastAsia="仿宋" w:cs="仿宋"/>
                <w:sz w:val="24"/>
                <w:highlight w:val="none"/>
                <w:lang w:val="zh-TW"/>
              </w:rPr>
            </w:pPr>
            <w:r>
              <w:rPr>
                <w:rFonts w:hint="eastAsia" w:ascii="仿宋" w:hAnsi="仿宋" w:eastAsia="仿宋" w:cs="仿宋"/>
                <w:sz w:val="24"/>
                <w:highlight w:val="none"/>
                <w:lang w:val="zh-TW"/>
              </w:rPr>
              <w:t>7</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生产设备</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4</w:t>
            </w:r>
            <w:r>
              <w:rPr>
                <w:rFonts w:hint="eastAsia" w:ascii="仿宋" w:hAnsi="仿宋" w:eastAsia="仿宋" w:cs="仿宋"/>
                <w:sz w:val="24"/>
                <w:highlight w:val="none"/>
                <w:lang w:val="zh-TW"/>
              </w:rPr>
              <w:t>分</w:t>
            </w:r>
          </w:p>
        </w:tc>
        <w:tc>
          <w:tcPr>
            <w:tcW w:w="6115" w:type="dxa"/>
            <w:vAlign w:val="center"/>
          </w:tcPr>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须提供核心专业生产设备购置发票复印件及设备照片，</w:t>
            </w:r>
            <w:r>
              <w:rPr>
                <w:rFonts w:hint="eastAsia" w:ascii="仿宋" w:hAnsi="仿宋" w:eastAsia="仿宋" w:cs="仿宋"/>
                <w:color w:val="auto"/>
                <w:sz w:val="24"/>
                <w:highlight w:val="none"/>
                <w:lang w:val="zh-TW"/>
              </w:rPr>
              <w:t>最高</w:t>
            </w:r>
            <w:r>
              <w:rPr>
                <w:rFonts w:hint="eastAsia" w:ascii="仿宋" w:hAnsi="仿宋" w:eastAsia="仿宋" w:cs="仿宋"/>
                <w:color w:val="auto"/>
                <w:sz w:val="24"/>
                <w:highlight w:val="none"/>
                <w:lang w:val="zh-TW" w:eastAsia="zh-TW"/>
              </w:rPr>
              <w:t>得</w:t>
            </w:r>
            <w:r>
              <w:rPr>
                <w:rFonts w:hint="eastAsia" w:ascii="仿宋" w:hAnsi="仿宋" w:eastAsia="仿宋" w:cs="仿宋"/>
                <w:color w:val="auto"/>
                <w:sz w:val="24"/>
                <w:highlight w:val="none"/>
                <w:lang w:val="zh-TW"/>
              </w:rPr>
              <w:t>4分</w:t>
            </w:r>
            <w:r>
              <w:rPr>
                <w:rFonts w:hint="eastAsia" w:ascii="仿宋" w:hAnsi="仿宋" w:eastAsia="仿宋" w:cs="仿宋"/>
                <w:color w:val="auto"/>
                <w:sz w:val="24"/>
                <w:highlight w:val="none"/>
                <w:lang w:val="zh-TW" w:eastAsia="zh-TW"/>
              </w:rPr>
              <w:t>。</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核心生产设备按品类 ，具体要求如下：</w:t>
            </w:r>
          </w:p>
          <w:p>
            <w:pPr>
              <w:spacing w:line="276" w:lineRule="auto"/>
              <w:jc w:val="left"/>
              <w:outlineLvl w:val="0"/>
              <w:rPr>
                <w:rFonts w:hint="eastAsia"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1、人造板类加工设备：电脑裁板锯、液压升降台、加工中心、六面数控钻孔中心、多排多轴钻、自动封边机、手动封边机、双排辊筒平移输送机、冷压机；</w:t>
            </w:r>
            <w:r>
              <w:rPr>
                <w:rFonts w:ascii="仿宋" w:hAnsi="仿宋" w:eastAsia="仿宋" w:cs="仿宋"/>
                <w:color w:val="auto"/>
                <w:sz w:val="24"/>
                <w:highlight w:val="none"/>
                <w:lang w:val="zh-TW" w:eastAsia="zh-TW"/>
              </w:rPr>
              <w:t>以上全部提供得</w:t>
            </w:r>
            <w:r>
              <w:rPr>
                <w:rFonts w:hint="eastAsia" w:ascii="仿宋" w:hAnsi="仿宋" w:eastAsia="仿宋" w:cs="仿宋"/>
                <w:color w:val="auto"/>
                <w:sz w:val="24"/>
                <w:highlight w:val="none"/>
                <w:lang w:val="zh-TW"/>
              </w:rPr>
              <w:t>1份。</w:t>
            </w:r>
          </w:p>
          <w:p>
            <w:pPr>
              <w:spacing w:line="276" w:lineRule="auto"/>
              <w:jc w:val="left"/>
              <w:outlineLvl w:val="0"/>
              <w:rPr>
                <w:rFonts w:hint="eastAsia"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2、钢制类加工设备：光纤激光切割机、全自动切管机、金属圆锯机、弯管机、单弯机、单头倒角机、滚圆机、压力机、焊接机器人工作站、焊接机器人；</w:t>
            </w:r>
            <w:r>
              <w:rPr>
                <w:rFonts w:ascii="仿宋" w:hAnsi="仿宋" w:eastAsia="仿宋" w:cs="仿宋"/>
                <w:color w:val="auto"/>
                <w:sz w:val="24"/>
                <w:highlight w:val="none"/>
                <w:lang w:val="zh-TW" w:eastAsia="zh-TW"/>
              </w:rPr>
              <w:t>以上全部提供得</w:t>
            </w:r>
            <w:r>
              <w:rPr>
                <w:rFonts w:hint="eastAsia" w:ascii="仿宋" w:hAnsi="仿宋" w:eastAsia="仿宋" w:cs="仿宋"/>
                <w:color w:val="auto"/>
                <w:sz w:val="24"/>
                <w:highlight w:val="none"/>
                <w:lang w:val="zh-TW"/>
              </w:rPr>
              <w:t>1份。</w:t>
            </w:r>
          </w:p>
          <w:p>
            <w:pPr>
              <w:spacing w:line="276" w:lineRule="auto"/>
              <w:jc w:val="left"/>
              <w:outlineLvl w:val="0"/>
              <w:rPr>
                <w:rFonts w:hint="eastAsia"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3、表面处理加工设备：钢制家具喷涂生产线或油漆生产线、快速换色粉房或喷漆房、抛丸机；</w:t>
            </w:r>
            <w:r>
              <w:rPr>
                <w:rFonts w:ascii="仿宋" w:hAnsi="仿宋" w:eastAsia="仿宋" w:cs="仿宋"/>
                <w:color w:val="auto"/>
                <w:sz w:val="24"/>
                <w:highlight w:val="none"/>
                <w:lang w:val="zh-TW" w:eastAsia="zh-TW"/>
              </w:rPr>
              <w:t>以上全部提供得</w:t>
            </w:r>
            <w:r>
              <w:rPr>
                <w:rFonts w:hint="eastAsia" w:ascii="仿宋" w:hAnsi="仿宋" w:eastAsia="仿宋" w:cs="仿宋"/>
                <w:color w:val="auto"/>
                <w:sz w:val="24"/>
                <w:highlight w:val="none"/>
                <w:lang w:val="zh-TW"/>
              </w:rPr>
              <w:t>1份。</w:t>
            </w:r>
          </w:p>
          <w:p>
            <w:pPr>
              <w:spacing w:line="276" w:lineRule="auto"/>
              <w:jc w:val="left"/>
              <w:outlineLvl w:val="0"/>
              <w:rPr>
                <w:rFonts w:hint="eastAsia" w:ascii="仿宋" w:hAnsi="仿宋" w:eastAsia="仿宋" w:cs="仿宋"/>
                <w:color w:val="auto"/>
                <w:sz w:val="24"/>
                <w:highlight w:val="none"/>
                <w:lang w:val="zh-TW"/>
              </w:rPr>
            </w:pPr>
            <w:r>
              <w:rPr>
                <w:rFonts w:hint="eastAsia" w:ascii="仿宋" w:hAnsi="仿宋" w:eastAsia="仿宋" w:cs="仿宋"/>
                <w:color w:val="auto"/>
                <w:sz w:val="24"/>
                <w:highlight w:val="none"/>
                <w:lang w:val="zh-TW" w:eastAsia="zh-TW"/>
              </w:rPr>
              <w:t>4、污染防治设备：污染防治设备（废水废气工程）、污染防治设备（涂装废水处理设备）。</w:t>
            </w:r>
            <w:r>
              <w:rPr>
                <w:rFonts w:ascii="仿宋" w:hAnsi="仿宋" w:eastAsia="仿宋" w:cs="仿宋"/>
                <w:color w:val="auto"/>
                <w:sz w:val="24"/>
                <w:highlight w:val="none"/>
                <w:lang w:val="zh-TW" w:eastAsia="zh-TW"/>
              </w:rPr>
              <w:t>以上全部提供得</w:t>
            </w:r>
            <w:r>
              <w:rPr>
                <w:rFonts w:hint="eastAsia" w:ascii="仿宋" w:hAnsi="仿宋" w:eastAsia="仿宋" w:cs="仿宋"/>
                <w:color w:val="auto"/>
                <w:sz w:val="24"/>
                <w:highlight w:val="none"/>
                <w:lang w:val="zh-TW"/>
              </w:rPr>
              <w:t>1份。</w:t>
            </w:r>
          </w:p>
          <w:p>
            <w:pPr>
              <w:spacing w:line="276" w:lineRule="auto"/>
              <w:jc w:val="left"/>
              <w:outlineLvl w:val="0"/>
              <w:rPr>
                <w:rFonts w:ascii="仿宋" w:hAnsi="仿宋" w:eastAsia="仿宋" w:cs="仿宋"/>
                <w:color w:val="auto"/>
                <w:sz w:val="24"/>
                <w:highlight w:val="none"/>
                <w:lang w:val="zh-TW" w:eastAsia="zh-TW"/>
              </w:rPr>
            </w:pPr>
            <w:r>
              <w:rPr>
                <w:rFonts w:hint="eastAsia" w:ascii="仿宋" w:hAnsi="仿宋" w:eastAsia="仿宋" w:cs="仿宋"/>
                <w:color w:val="auto"/>
                <w:sz w:val="24"/>
                <w:highlight w:val="none"/>
              </w:rPr>
              <w:t>注：投标文件提供相关</w:t>
            </w:r>
            <w:r>
              <w:rPr>
                <w:rFonts w:hint="eastAsia" w:ascii="仿宋" w:hAnsi="仿宋" w:eastAsia="仿宋" w:cs="仿宋"/>
                <w:color w:val="auto"/>
                <w:sz w:val="24"/>
                <w:highlight w:val="none"/>
                <w:lang w:val="zh-TW" w:eastAsia="zh-TW"/>
              </w:rPr>
              <w:t>发票</w:t>
            </w:r>
            <w:r>
              <w:rPr>
                <w:rFonts w:hint="eastAsia" w:ascii="仿宋" w:hAnsi="仿宋" w:eastAsia="仿宋" w:cs="仿宋"/>
                <w:color w:val="auto"/>
                <w:sz w:val="24"/>
                <w:highlight w:val="none"/>
              </w:rPr>
              <w:t>复印件和设备照片加盖投标人公章，未提供不得分。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725" w:type="dxa"/>
            <w:vAlign w:val="center"/>
          </w:tcPr>
          <w:p>
            <w:pPr>
              <w:spacing w:line="276" w:lineRule="auto"/>
              <w:jc w:val="center"/>
              <w:outlineLvl w:val="0"/>
              <w:rPr>
                <w:rFonts w:ascii="仿宋" w:hAnsi="仿宋" w:eastAsia="仿宋" w:cs="仿宋"/>
                <w:sz w:val="24"/>
                <w:highlight w:val="none"/>
                <w:lang w:val="zh-TW"/>
              </w:rPr>
            </w:pPr>
            <w:r>
              <w:rPr>
                <w:rFonts w:hint="eastAsia" w:ascii="仿宋" w:hAnsi="仿宋" w:eastAsia="仿宋" w:cs="仿宋"/>
                <w:sz w:val="24"/>
                <w:highlight w:val="none"/>
                <w:lang w:val="zh-TW"/>
              </w:rPr>
              <w:t>8</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技术团队</w:t>
            </w:r>
          </w:p>
        </w:tc>
        <w:tc>
          <w:tcPr>
            <w:tcW w:w="767"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rPr>
              <w:t>2分</w:t>
            </w:r>
          </w:p>
        </w:tc>
        <w:tc>
          <w:tcPr>
            <w:tcW w:w="6115" w:type="dxa"/>
            <w:vAlign w:val="center"/>
          </w:tcPr>
          <w:p>
            <w:pPr>
              <w:pStyle w:val="16"/>
              <w:spacing w:line="276" w:lineRule="auto"/>
              <w:rPr>
                <w:rFonts w:ascii="仿宋" w:hAnsi="仿宋" w:eastAsia="仿宋" w:cs="仿宋"/>
                <w:sz w:val="24"/>
                <w:highlight w:val="none"/>
              </w:rPr>
            </w:pPr>
            <w:r>
              <w:rPr>
                <w:rFonts w:hint="eastAsia" w:ascii="仿宋" w:hAnsi="仿宋" w:eastAsia="仿宋" w:cs="仿宋"/>
                <w:sz w:val="24"/>
                <w:highlight w:val="none"/>
              </w:rPr>
              <w:t>根据投标人提供的技术团队实力：</w:t>
            </w:r>
            <w:r>
              <w:rPr>
                <w:rFonts w:hint="eastAsia" w:ascii="仿宋" w:hAnsi="仿宋" w:eastAsia="仿宋" w:cs="仿宋"/>
                <w:sz w:val="24"/>
                <w:highlight w:val="none"/>
                <w:lang w:val="zh-TW" w:eastAsia="zh-TW"/>
              </w:rPr>
              <w:t xml:space="preserve">项目负责人、专业技术人员的资格证 、职称证明 </w:t>
            </w:r>
            <w:r>
              <w:rPr>
                <w:rFonts w:hint="eastAsia" w:ascii="仿宋" w:hAnsi="仿宋" w:eastAsia="仿宋" w:cs="仿宋"/>
                <w:sz w:val="24"/>
                <w:highlight w:val="none"/>
                <w:lang w:val="zh-TW"/>
              </w:rPr>
              <w:t>、</w:t>
            </w:r>
            <w:r>
              <w:rPr>
                <w:rFonts w:hint="eastAsia" w:ascii="仿宋" w:hAnsi="仿宋" w:eastAsia="仿宋" w:cs="仿宋"/>
                <w:sz w:val="24"/>
                <w:highlight w:val="none"/>
              </w:rPr>
              <w:t>业绩履历等内容由评委商议评定打分：</w:t>
            </w:r>
          </w:p>
          <w:p>
            <w:pPr>
              <w:pStyle w:val="16"/>
              <w:spacing w:line="276" w:lineRule="auto"/>
              <w:outlineLvl w:val="0"/>
              <w:rPr>
                <w:rFonts w:ascii="仿宋" w:hAnsi="仿宋" w:eastAsia="仿宋" w:cs="仿宋"/>
                <w:sz w:val="24"/>
                <w:highlight w:val="none"/>
                <w:lang w:val="zh-TW" w:eastAsia="zh-TW"/>
              </w:rPr>
            </w:pPr>
            <w:r>
              <w:rPr>
                <w:rFonts w:hint="eastAsia" w:ascii="仿宋" w:hAnsi="仿宋" w:eastAsia="仿宋" w:cs="仿宋"/>
                <w:b/>
                <w:bCs/>
                <w:sz w:val="24"/>
                <w:highlight w:val="none"/>
              </w:rPr>
              <w:t>优：1.1-2分，良：0.6-1分，一般：0.1-0.5分</w:t>
            </w:r>
            <w:r>
              <w:rPr>
                <w:rFonts w:hint="eastAsia" w:ascii="仿宋" w:hAnsi="仿宋" w:eastAsia="仿宋" w:cs="仿宋"/>
                <w:sz w:val="24"/>
                <w:highlight w:val="none"/>
              </w:rPr>
              <w:t>，</w:t>
            </w:r>
            <w:r>
              <w:rPr>
                <w:rFonts w:hint="eastAsia" w:ascii="仿宋" w:hAnsi="仿宋" w:eastAsia="仿宋" w:cs="仿宋"/>
                <w:b/>
                <w:bCs/>
                <w:sz w:val="24"/>
                <w:highlight w:val="none"/>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pPr>
              <w:spacing w:line="276" w:lineRule="auto"/>
              <w:jc w:val="center"/>
              <w:outlineLvl w:val="0"/>
              <w:rPr>
                <w:rFonts w:ascii="仿宋" w:hAnsi="仿宋" w:eastAsia="仿宋" w:cs="仿宋"/>
                <w:sz w:val="24"/>
                <w:highlight w:val="none"/>
                <w:lang w:val="zh-TW"/>
              </w:rPr>
            </w:pPr>
            <w:r>
              <w:rPr>
                <w:rFonts w:hint="eastAsia" w:ascii="仿宋" w:hAnsi="仿宋" w:eastAsia="仿宋" w:cs="仿宋"/>
                <w:sz w:val="24"/>
                <w:highlight w:val="none"/>
                <w:lang w:val="zh-TW"/>
              </w:rPr>
              <w:t>9</w:t>
            </w:r>
          </w:p>
        </w:tc>
        <w:tc>
          <w:tcPr>
            <w:tcW w:w="988" w:type="dxa"/>
            <w:vMerge w:val="restart"/>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实施方案</w:t>
            </w:r>
          </w:p>
        </w:tc>
        <w:tc>
          <w:tcPr>
            <w:tcW w:w="767" w:type="dxa"/>
            <w:vMerge w:val="restart"/>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4</w:t>
            </w:r>
            <w:r>
              <w:rPr>
                <w:rFonts w:hint="eastAsia" w:ascii="仿宋" w:hAnsi="仿宋" w:eastAsia="仿宋" w:cs="仿宋"/>
                <w:sz w:val="24"/>
                <w:highlight w:val="none"/>
                <w:lang w:val="zh-TW" w:eastAsia="zh-TW"/>
              </w:rPr>
              <w:t>分</w:t>
            </w:r>
          </w:p>
        </w:tc>
        <w:tc>
          <w:tcPr>
            <w:tcW w:w="6115" w:type="dxa"/>
            <w:vAlign w:val="center"/>
          </w:tcPr>
          <w:p>
            <w:pPr>
              <w:spacing w:line="276" w:lineRule="auto"/>
              <w:jc w:val="left"/>
              <w:outlineLvl w:val="0"/>
              <w:rPr>
                <w:rFonts w:hint="eastAsia" w:ascii="仿宋" w:hAnsi="仿宋" w:eastAsia="仿宋" w:cs="仿宋"/>
                <w:sz w:val="24"/>
                <w:highlight w:val="none"/>
                <w:lang w:val="zh-TW"/>
              </w:rPr>
            </w:pPr>
            <w:r>
              <w:rPr>
                <w:rFonts w:hint="eastAsia" w:ascii="仿宋" w:hAnsi="仿宋" w:eastAsia="仿宋" w:cs="仿宋"/>
                <w:sz w:val="24"/>
                <w:highlight w:val="none"/>
                <w:lang w:val="zh-TW"/>
              </w:rPr>
              <w:t>1.</w:t>
            </w:r>
            <w:r>
              <w:rPr>
                <w:rFonts w:hint="eastAsia" w:ascii="仿宋" w:hAnsi="仿宋" w:eastAsia="仿宋" w:cs="仿宋"/>
                <w:sz w:val="24"/>
                <w:highlight w:val="none"/>
                <w:lang w:val="zh-TW" w:eastAsia="zh-TW"/>
              </w:rPr>
              <w:t>项目实施规划方案</w:t>
            </w:r>
            <w:r>
              <w:rPr>
                <w:rFonts w:hint="eastAsia" w:ascii="仿宋" w:hAnsi="仿宋" w:eastAsia="仿宋" w:cs="仿宋"/>
                <w:sz w:val="24"/>
                <w:highlight w:val="none"/>
                <w:lang w:val="zh-TW"/>
              </w:rPr>
              <w:t>：</w:t>
            </w:r>
            <w:r>
              <w:rPr>
                <w:rFonts w:hint="eastAsia" w:ascii="仿宋" w:hAnsi="仿宋" w:eastAsia="仿宋" w:cs="仿宋"/>
                <w:sz w:val="24"/>
                <w:highlight w:val="none"/>
                <w:lang w:val="zh-TW" w:eastAsia="zh-TW"/>
              </w:rPr>
              <w:t>提出合理的项目整体实施方案，能按照项目分解节点，并可跟踪实施。</w:t>
            </w:r>
          </w:p>
          <w:p>
            <w:pPr>
              <w:spacing w:line="276" w:lineRule="auto"/>
              <w:jc w:val="left"/>
              <w:outlineLvl w:val="0"/>
              <w:rPr>
                <w:rFonts w:hint="eastAsia" w:ascii="仿宋" w:hAnsi="仿宋" w:eastAsia="仿宋" w:cs="仿宋"/>
                <w:sz w:val="24"/>
                <w:highlight w:val="none"/>
                <w:lang w:val="zh-TW"/>
              </w:rPr>
            </w:pPr>
            <w:r>
              <w:rPr>
                <w:rFonts w:hint="eastAsia" w:ascii="仿宋" w:hAnsi="仿宋" w:eastAsia="仿宋" w:cs="仿宋"/>
                <w:sz w:val="24"/>
                <w:highlight w:val="none"/>
                <w:lang w:val="zh-TW"/>
              </w:rPr>
              <w:t>2.</w:t>
            </w:r>
            <w:r>
              <w:rPr>
                <w:rFonts w:hint="eastAsia" w:ascii="仿宋" w:hAnsi="仿宋" w:eastAsia="仿宋" w:cs="仿宋"/>
                <w:sz w:val="24"/>
                <w:highlight w:val="none"/>
                <w:lang w:val="zh-TW" w:eastAsia="zh-TW"/>
              </w:rPr>
              <w:t>安装服务实施方案</w:t>
            </w:r>
            <w:r>
              <w:rPr>
                <w:rFonts w:hint="eastAsia" w:ascii="仿宋" w:hAnsi="仿宋" w:eastAsia="仿宋" w:cs="仿宋"/>
                <w:sz w:val="24"/>
                <w:highlight w:val="none"/>
                <w:lang w:val="zh-TW"/>
              </w:rPr>
              <w:t>：</w:t>
            </w:r>
            <w:r>
              <w:rPr>
                <w:rFonts w:hint="eastAsia" w:ascii="仿宋" w:hAnsi="仿宋" w:eastAsia="仿宋" w:cs="仿宋"/>
                <w:sz w:val="24"/>
                <w:highlight w:val="none"/>
                <w:lang w:val="zh-TW" w:eastAsia="zh-TW"/>
              </w:rPr>
              <w:t>安装方案的制定，根据货物交付时间节点，落实送货安装时间和人员安排，确保按期交付使用。</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根据供应</w:t>
            </w:r>
            <w:r>
              <w:rPr>
                <w:rFonts w:hint="eastAsia" w:ascii="仿宋" w:hAnsi="仿宋" w:eastAsia="仿宋" w:cs="仿宋"/>
                <w:sz w:val="24"/>
                <w:highlight w:val="none"/>
              </w:rPr>
              <w:t>投标人</w:t>
            </w:r>
            <w:r>
              <w:rPr>
                <w:rFonts w:hint="eastAsia" w:ascii="仿宋" w:hAnsi="仿宋" w:eastAsia="仿宋" w:cs="仿宋"/>
                <w:sz w:val="24"/>
                <w:highlight w:val="none"/>
                <w:lang w:val="zh-TW" w:eastAsia="zh-TW"/>
              </w:rPr>
              <w:t>的方案能否满足采购</w:t>
            </w:r>
            <w:r>
              <w:rPr>
                <w:rFonts w:hint="eastAsia" w:ascii="仿宋" w:hAnsi="仿宋" w:eastAsia="仿宋" w:cs="仿宋"/>
                <w:sz w:val="24"/>
                <w:highlight w:val="none"/>
              </w:rPr>
              <w:t>方</w:t>
            </w:r>
            <w:r>
              <w:rPr>
                <w:rFonts w:hint="eastAsia" w:ascii="仿宋" w:hAnsi="仿宋" w:eastAsia="仿宋" w:cs="仿宋"/>
                <w:sz w:val="24"/>
                <w:highlight w:val="none"/>
                <w:lang w:val="zh-TW" w:eastAsia="zh-TW"/>
              </w:rPr>
              <w:t>需求，由</w:t>
            </w:r>
            <w:r>
              <w:rPr>
                <w:rFonts w:hint="eastAsia" w:ascii="仿宋" w:hAnsi="仿宋" w:eastAsia="仿宋" w:cs="仿宋"/>
                <w:sz w:val="24"/>
                <w:highlight w:val="none"/>
              </w:rPr>
              <w:t>评委商议评定打分</w:t>
            </w:r>
            <w:r>
              <w:rPr>
                <w:rFonts w:hint="eastAsia" w:ascii="仿宋" w:hAnsi="仿宋" w:eastAsia="仿宋" w:cs="仿宋"/>
                <w:b/>
                <w:bCs/>
                <w:sz w:val="24"/>
                <w:highlight w:val="none"/>
                <w:lang w:eastAsia="zh-TW"/>
              </w:rPr>
              <w:t>优：</w:t>
            </w:r>
            <w:r>
              <w:rPr>
                <w:rFonts w:hint="eastAsia" w:ascii="仿宋" w:hAnsi="仿宋" w:eastAsia="仿宋" w:cs="仿宋"/>
                <w:b/>
                <w:bCs/>
                <w:sz w:val="24"/>
                <w:highlight w:val="none"/>
                <w:lang w:val="en-US" w:eastAsia="zh-CN"/>
              </w:rPr>
              <w:t>3.1-</w:t>
            </w:r>
            <w:r>
              <w:rPr>
                <w:rFonts w:hint="eastAsia" w:ascii="仿宋" w:hAnsi="仿宋" w:eastAsia="仿宋" w:cs="仿宋"/>
                <w:b/>
                <w:bCs/>
                <w:sz w:val="24"/>
                <w:highlight w:val="none"/>
                <w:lang w:eastAsia="zh-TW"/>
              </w:rPr>
              <w:t>4分，良：2</w:t>
            </w:r>
            <w:r>
              <w:rPr>
                <w:rFonts w:hint="eastAsia" w:ascii="仿宋" w:hAnsi="仿宋" w:eastAsia="仿宋" w:cs="仿宋"/>
                <w:b/>
                <w:bCs/>
                <w:sz w:val="24"/>
                <w:highlight w:val="none"/>
                <w:lang w:val="en-US" w:eastAsia="zh-CN"/>
              </w:rPr>
              <w:t>.1-3</w:t>
            </w:r>
            <w:r>
              <w:rPr>
                <w:rFonts w:hint="eastAsia" w:ascii="仿宋" w:hAnsi="仿宋" w:eastAsia="仿宋" w:cs="仿宋"/>
                <w:b/>
                <w:bCs/>
                <w:sz w:val="24"/>
                <w:highlight w:val="none"/>
                <w:lang w:eastAsia="zh-TW"/>
              </w:rPr>
              <w:t>分，一般：1</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lang w:eastAsia="zh-TW"/>
              </w:rPr>
              <w:t>分</w:t>
            </w:r>
            <w:r>
              <w:rPr>
                <w:rFonts w:hint="eastAsia" w:ascii="仿宋" w:hAnsi="仿宋" w:eastAsia="仿宋" w:cs="仿宋"/>
                <w:sz w:val="24"/>
                <w:highlight w:val="none"/>
                <w:lang w:eastAsia="zh-TW"/>
              </w:rPr>
              <w:t>，</w:t>
            </w:r>
            <w:r>
              <w:rPr>
                <w:rFonts w:hint="eastAsia" w:ascii="仿宋" w:hAnsi="仿宋" w:eastAsia="仿宋" w:cs="仿宋"/>
                <w:b/>
                <w:bCs/>
                <w:sz w:val="24"/>
                <w:highlight w:val="none"/>
                <w:lang w:eastAsia="zh-TW"/>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10</w:t>
            </w:r>
          </w:p>
        </w:tc>
        <w:tc>
          <w:tcPr>
            <w:tcW w:w="988"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样品</w:t>
            </w:r>
          </w:p>
        </w:tc>
        <w:tc>
          <w:tcPr>
            <w:tcW w:w="767" w:type="dxa"/>
            <w:vAlign w:val="center"/>
          </w:tcPr>
          <w:p>
            <w:pPr>
              <w:spacing w:line="276" w:lineRule="auto"/>
              <w:jc w:val="center"/>
              <w:outlineLvl w:val="0"/>
              <w:rPr>
                <w:rFonts w:ascii="仿宋" w:hAnsi="仿宋" w:eastAsia="仿宋" w:cs="仿宋"/>
                <w:sz w:val="24"/>
                <w:highlight w:val="none"/>
              </w:rPr>
            </w:pPr>
            <w:r>
              <w:rPr>
                <w:rFonts w:hint="eastAsia" w:ascii="仿宋" w:hAnsi="仿宋" w:eastAsia="仿宋" w:cs="仿宋"/>
                <w:sz w:val="24"/>
                <w:highlight w:val="none"/>
              </w:rPr>
              <w:t>25分</w:t>
            </w:r>
          </w:p>
        </w:tc>
        <w:tc>
          <w:tcPr>
            <w:tcW w:w="6115" w:type="dxa"/>
            <w:vAlign w:val="center"/>
          </w:tcPr>
          <w:p>
            <w:pPr>
              <w:spacing w:line="276" w:lineRule="auto"/>
              <w:jc w:val="left"/>
              <w:outlineLvl w:val="0"/>
              <w:rPr>
                <w:rFonts w:ascii="仿宋" w:hAnsi="仿宋" w:eastAsia="仿宋" w:cs="仿宋"/>
                <w:sz w:val="24"/>
                <w:highlight w:val="none"/>
              </w:rPr>
            </w:pPr>
            <w:r>
              <w:rPr>
                <w:rFonts w:hint="eastAsia" w:ascii="仿宋" w:hAnsi="仿宋" w:eastAsia="仿宋" w:cs="仿宋"/>
                <w:sz w:val="24"/>
                <w:highlight w:val="none"/>
              </w:rPr>
              <w:t>1.公寓床2型：优12.0-9.0分；良8.9-5.0分，一般4.9-0.1分；</w:t>
            </w:r>
          </w:p>
          <w:p>
            <w:pPr>
              <w:spacing w:line="276" w:lineRule="auto"/>
              <w:jc w:val="left"/>
              <w:outlineLvl w:val="0"/>
              <w:rPr>
                <w:rFonts w:ascii="仿宋" w:hAnsi="仿宋" w:eastAsia="仿宋" w:cs="仿宋"/>
                <w:color w:val="auto"/>
                <w:sz w:val="24"/>
                <w:highlight w:val="none"/>
              </w:rPr>
            </w:pPr>
            <w:r>
              <w:rPr>
                <w:rFonts w:hint="eastAsia" w:ascii="仿宋" w:hAnsi="仿宋" w:eastAsia="仿宋" w:cs="仿宋"/>
                <w:sz w:val="24"/>
                <w:highlight w:val="none"/>
              </w:rPr>
              <w:t>2.边柜：优5.0-3.0分；良2.9-1.0分，一般0.9-0.1分；</w:t>
            </w:r>
          </w:p>
          <w:p>
            <w:pPr>
              <w:spacing w:line="276"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3.单椅：优3.0-2.0分；良</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-1.0分，一般0.9-0.1分；</w:t>
            </w:r>
          </w:p>
          <w:p>
            <w:pPr>
              <w:spacing w:line="276" w:lineRule="auto"/>
              <w:jc w:val="left"/>
              <w:outlineLvl w:val="0"/>
              <w:rPr>
                <w:rFonts w:ascii="仿宋" w:hAnsi="仿宋" w:eastAsia="仿宋" w:cs="仿宋"/>
                <w:sz w:val="24"/>
                <w:highlight w:val="none"/>
              </w:rPr>
            </w:pPr>
            <w:r>
              <w:rPr>
                <w:rFonts w:hint="eastAsia" w:ascii="仿宋" w:hAnsi="仿宋" w:eastAsia="仿宋" w:cs="仿宋"/>
                <w:color w:val="auto"/>
                <w:sz w:val="24"/>
                <w:highlight w:val="none"/>
              </w:rPr>
              <w:t>4.入户四门衣柜：优5.0-3.0分；良2</w:t>
            </w:r>
            <w:r>
              <w:rPr>
                <w:rFonts w:hint="eastAsia" w:ascii="仿宋" w:hAnsi="仿宋" w:eastAsia="仿宋" w:cs="仿宋"/>
                <w:sz w:val="24"/>
                <w:highlight w:val="none"/>
              </w:rPr>
              <w:t>.9-1.0分，一般0.9-0.1分；</w:t>
            </w:r>
          </w:p>
          <w:p>
            <w:pPr>
              <w:spacing w:line="276" w:lineRule="auto"/>
              <w:jc w:val="left"/>
              <w:outlineLvl w:val="0"/>
              <w:rPr>
                <w:rFonts w:ascii="仿宋" w:hAnsi="仿宋" w:eastAsia="仿宋" w:cs="仿宋"/>
                <w:sz w:val="24"/>
                <w:highlight w:val="none"/>
              </w:rPr>
            </w:pPr>
            <w:r>
              <w:rPr>
                <w:rFonts w:hint="eastAsia" w:ascii="仿宋" w:hAnsi="仿宋" w:eastAsia="仿宋" w:cs="仿宋"/>
                <w:sz w:val="24"/>
                <w:highlight w:val="none"/>
              </w:rPr>
              <w:t>投标人根据样品清单表提供样品，投标人所提供样品款式、造型必须与招标文件及样品清单相符。由专家根据所提供样品是否符合招标文件技术参数要求，产品用材的符合性、整体功能、款式样式、材质、五金、工艺水平及质量等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2" w:hRule="atLeast"/>
        </w:trPr>
        <w:tc>
          <w:tcPr>
            <w:tcW w:w="725" w:type="dxa"/>
            <w:vAlign w:val="center"/>
          </w:tcPr>
          <w:p>
            <w:pPr>
              <w:spacing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11</w:t>
            </w:r>
          </w:p>
        </w:tc>
        <w:tc>
          <w:tcPr>
            <w:tcW w:w="988" w:type="dxa"/>
            <w:vAlign w:val="center"/>
          </w:tcPr>
          <w:p>
            <w:pPr>
              <w:spacing w:before="149"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售后服务承诺</w:t>
            </w:r>
          </w:p>
        </w:tc>
        <w:tc>
          <w:tcPr>
            <w:tcW w:w="767" w:type="dxa"/>
            <w:vAlign w:val="center"/>
          </w:tcPr>
          <w:p>
            <w:pPr>
              <w:spacing w:before="149" w:line="276" w:lineRule="auto"/>
              <w:jc w:val="center"/>
              <w:outlineLvl w:val="0"/>
              <w:rPr>
                <w:rFonts w:ascii="仿宋" w:hAnsi="仿宋" w:eastAsia="仿宋" w:cs="仿宋"/>
                <w:sz w:val="24"/>
                <w:highlight w:val="none"/>
                <w:lang w:val="zh-TW" w:eastAsia="zh-TW"/>
              </w:rPr>
            </w:pPr>
            <w:r>
              <w:rPr>
                <w:rFonts w:hint="eastAsia" w:ascii="仿宋" w:hAnsi="仿宋" w:eastAsia="仿宋" w:cs="仿宋"/>
                <w:sz w:val="24"/>
                <w:highlight w:val="none"/>
              </w:rPr>
              <w:t>2</w:t>
            </w:r>
            <w:r>
              <w:rPr>
                <w:rFonts w:hint="eastAsia" w:ascii="仿宋" w:hAnsi="仿宋" w:eastAsia="仿宋" w:cs="仿宋"/>
                <w:sz w:val="24"/>
                <w:highlight w:val="none"/>
                <w:lang w:val="zh-TW" w:eastAsia="zh-TW"/>
              </w:rPr>
              <w:t>分</w:t>
            </w:r>
          </w:p>
        </w:tc>
        <w:tc>
          <w:tcPr>
            <w:tcW w:w="6115" w:type="dxa"/>
            <w:vAlign w:val="center"/>
          </w:tcPr>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售后服务应对方案及承诺：</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1.提供详细完整的“三包”措施及售后服务措施和方案（包括服务措施、产品质量保证、回访、技术培训等）。根据投标人提供的方案能否满足采购需求判定评分，内容完整、措施有效、符合采购人实际完全。满足得2分，部分满足得1分,不满足不得分。</w:t>
            </w:r>
          </w:p>
          <w:p>
            <w:pPr>
              <w:spacing w:line="276" w:lineRule="auto"/>
              <w:jc w:val="left"/>
              <w:outlineLvl w:val="0"/>
              <w:rPr>
                <w:rFonts w:ascii="仿宋" w:hAnsi="仿宋" w:eastAsia="仿宋" w:cs="仿宋"/>
                <w:sz w:val="24"/>
                <w:highlight w:val="none"/>
                <w:lang w:val="zh-TW" w:eastAsia="zh-TW"/>
              </w:rPr>
            </w:pPr>
            <w:r>
              <w:rPr>
                <w:rFonts w:hint="eastAsia" w:ascii="仿宋" w:hAnsi="仿宋" w:eastAsia="仿宋" w:cs="仿宋"/>
                <w:sz w:val="24"/>
                <w:highlight w:val="none"/>
                <w:lang w:val="zh-TW" w:eastAsia="zh-TW"/>
              </w:rPr>
              <w:t>注：投标文件中须提供有效证书扫描件，未提供不得分。</w:t>
            </w:r>
          </w:p>
        </w:tc>
      </w:tr>
    </w:tbl>
    <w:p>
      <w:pPr>
        <w:spacing w:line="440" w:lineRule="exact"/>
        <w:rPr>
          <w:rFonts w:ascii="仿宋" w:hAnsi="仿宋" w:eastAsia="仿宋" w:cs="仿宋"/>
          <w:b/>
          <w:bCs/>
          <w:iCs/>
          <w:sz w:val="24"/>
          <w:highlight w:val="none"/>
        </w:rPr>
      </w:pP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2.2价格分（30分）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即：投标报价得分=(评标基准价／投标报价)×30</w:t>
      </w:r>
    </w:p>
    <w:bookmarkEnd w:id="8"/>
    <w:bookmarkEnd w:id="9"/>
    <w:bookmarkEnd w:id="10"/>
    <w:bookmarkEnd w:id="11"/>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第六部分</w:t>
      </w:r>
      <w:r>
        <w:rPr>
          <w:rFonts w:hint="eastAsia" w:ascii="仿宋_GB2312" w:hAnsi="宋体" w:eastAsia="仿宋_GB2312"/>
          <w:b/>
          <w:sz w:val="36"/>
          <w:szCs w:val="36"/>
          <w:highlight w:val="none"/>
        </w:rPr>
        <w:t>投标文件</w:t>
      </w:r>
      <w:r>
        <w:rPr>
          <w:rFonts w:hint="eastAsia" w:ascii="仿宋_GB2312" w:hAnsi="仿宋_GB2312" w:eastAsia="仿宋_GB2312" w:cs="仿宋_GB2312"/>
          <w:b/>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报价文件部分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目录</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（1）投标响应函……………………………………………………（页码）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（2）开标一览表……………………………………………………（页码）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（3）中小企业声明函………………………………………………（页码）</w:t>
      </w:r>
    </w:p>
    <w:p>
      <w:pPr>
        <w:spacing w:line="360" w:lineRule="auto"/>
        <w:outlineLvl w:val="0"/>
        <w:rPr>
          <w:rFonts w:ascii="仿宋_GB2312" w:hAnsi="宋体" w:eastAsia="仿宋_GB2312"/>
          <w:b/>
          <w:sz w:val="36"/>
          <w:szCs w:val="36"/>
          <w:highlight w:val="none"/>
        </w:rPr>
      </w:pPr>
      <w:r>
        <w:rPr>
          <w:rFonts w:hint="eastAsia" w:ascii="仿宋_GB2312" w:hAnsi="仿宋_GB2312" w:eastAsia="仿宋_GB2312" w:cs="仿宋_GB2312"/>
          <w:sz w:val="24"/>
          <w:highlight w:val="none"/>
        </w:rPr>
        <w:t>（4）残疾人福利性单位声明函</w:t>
      </w:r>
      <w:r>
        <w:rPr>
          <w:rFonts w:hint="eastAsia" w:ascii="仿宋_GB2312" w:hAnsi="仿宋_GB2312" w:eastAsia="仿宋_GB2312" w:cs="仿宋_GB2312"/>
          <w:kern w:val="0"/>
          <w:sz w:val="24"/>
          <w:highlight w:val="none"/>
        </w:rPr>
        <w:t>……………………………………（页码）</w:t>
      </w:r>
    </w:p>
    <w:p>
      <w:pPr>
        <w:pStyle w:val="18"/>
        <w:spacing w:line="800" w:lineRule="atLeast"/>
        <w:ind w:left="0" w:leftChars="0"/>
        <w:rPr>
          <w:rFonts w:ascii="仿宋_GB2312" w:hAnsi="宋体" w:eastAsia="仿宋_GB2312"/>
          <w:b/>
          <w:sz w:val="36"/>
          <w:szCs w:val="36"/>
          <w:highlight w:val="none"/>
        </w:rPr>
      </w:pPr>
    </w:p>
    <w:p>
      <w:pPr>
        <w:pStyle w:val="18"/>
        <w:spacing w:line="800" w:lineRule="atLeast"/>
        <w:ind w:left="0" w:leftChars="0"/>
        <w:rPr>
          <w:rFonts w:ascii="仿宋_GB2312" w:hAnsi="宋体" w:eastAsia="仿宋_GB2312"/>
          <w:b/>
          <w:sz w:val="36"/>
          <w:szCs w:val="36"/>
          <w:highlight w:val="none"/>
        </w:rPr>
      </w:pPr>
    </w:p>
    <w:p>
      <w:pPr>
        <w:pStyle w:val="18"/>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pageBreakBefore/>
        <w:rPr>
          <w:rFonts w:ascii="仿宋_GB2312" w:hAnsi="宋体" w:eastAsia="仿宋_GB2312"/>
          <w:b/>
          <w:sz w:val="30"/>
          <w:szCs w:val="30"/>
          <w:highlight w:val="none"/>
        </w:rPr>
      </w:pPr>
      <w:r>
        <w:rPr>
          <w:rFonts w:hint="eastAsia" w:ascii="仿宋_GB2312" w:hAnsi="宋体" w:eastAsia="仿宋_GB2312"/>
          <w:b/>
          <w:sz w:val="30"/>
          <w:szCs w:val="30"/>
          <w:highlight w:val="none"/>
        </w:rPr>
        <w:t>1、投标响应函（格式）</w:t>
      </w:r>
    </w:p>
    <w:p>
      <w:pPr>
        <w:pStyle w:val="68"/>
        <w:spacing w:afterLines="0" w:line="440" w:lineRule="exact"/>
        <w:ind w:firstLine="0" w:firstLineChars="0"/>
        <w:rPr>
          <w:rFonts w:ascii="仿宋_GB2312" w:hAnsi="宋体" w:eastAsia="仿宋_GB2312"/>
          <w:szCs w:val="24"/>
          <w:highlight w:val="none"/>
        </w:rPr>
      </w:pPr>
    </w:p>
    <w:p>
      <w:pPr>
        <w:pStyle w:val="68"/>
        <w:spacing w:afterLines="0" w:line="440" w:lineRule="exact"/>
        <w:ind w:firstLine="0" w:firstLineChars="0"/>
        <w:rPr>
          <w:rFonts w:ascii="仿宋_GB2312" w:hAnsi="宋体" w:eastAsia="仿宋_GB2312"/>
          <w:szCs w:val="24"/>
          <w:highlight w:val="none"/>
          <w:u w:val="single"/>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rPr>
        <w:t>绍兴文理学院、绍兴市鼎正建设工程咨询有限公司</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根据贵方招标文件（</w:t>
      </w:r>
      <w:r>
        <w:rPr>
          <w:rFonts w:hint="eastAsia" w:ascii="仿宋_GB2312" w:hAnsi="宋体" w:eastAsia="仿宋_GB2312"/>
          <w:b/>
          <w:szCs w:val="24"/>
          <w:highlight w:val="none"/>
          <w:u w:val="single"/>
        </w:rPr>
        <w:t>填写招标编号：</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代表投标人</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提交投标文件。</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我方同意在投标人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color w:val="auto"/>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w:t>
      </w:r>
      <w:r>
        <w:rPr>
          <w:rFonts w:hint="eastAsia" w:ascii="仿宋_GB2312" w:eastAsia="仿宋_GB2312"/>
          <w:color w:val="auto"/>
          <w:highlight w:val="none"/>
        </w:rPr>
        <w:t>向绍兴市鼎正建设工程咨询有限公司提供可能另外要求的与投标有关的任何数据或资料。</w:t>
      </w:r>
    </w:p>
    <w:p>
      <w:pPr>
        <w:pStyle w:val="68"/>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8"/>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开户银行：                          帐号：</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法定代表人或其授权代表(签字或盖章)：</w:t>
      </w:r>
    </w:p>
    <w:p>
      <w:pPr>
        <w:pStyle w:val="68"/>
        <w:spacing w:afterLines="0" w:line="440" w:lineRule="exact"/>
        <w:ind w:firstLine="480"/>
        <w:rPr>
          <w:rFonts w:ascii="仿宋_GB2312" w:hAnsi="宋体" w:eastAsia="仿宋_GB2312"/>
          <w:b/>
          <w:sz w:val="30"/>
          <w:szCs w:val="30"/>
          <w:highlight w:val="none"/>
        </w:rPr>
      </w:pPr>
      <w:r>
        <w:rPr>
          <w:rFonts w:hint="eastAsia" w:ascii="仿宋_GB2312" w:hAnsi="宋体" w:eastAsia="仿宋_GB2312"/>
          <w:szCs w:val="24"/>
          <w:highlight w:val="none"/>
        </w:rPr>
        <w:t xml:space="preserve">投标人(电子签章)：　　　　　　　　　日期：   </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2、开标一览表（格式）</w:t>
      </w:r>
    </w:p>
    <w:p>
      <w:pPr>
        <w:spacing w:line="400" w:lineRule="exact"/>
        <w:rPr>
          <w:rFonts w:ascii="仿宋_GB2312" w:hAnsi="宋体" w:eastAsia="仿宋_GB2312"/>
          <w:sz w:val="24"/>
          <w:highlight w:val="none"/>
        </w:rPr>
      </w:pP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投标人名称：</w:t>
      </w:r>
    </w:p>
    <w:p>
      <w:pPr>
        <w:snapToGrid w:val="0"/>
        <w:spacing w:line="400" w:lineRule="exact"/>
        <w:rPr>
          <w:rFonts w:ascii="仿宋_GB2312" w:hAnsi="宋体" w:eastAsia="仿宋_GB2312"/>
          <w:sz w:val="24"/>
          <w:highlight w:val="none"/>
        </w:rPr>
      </w:pPr>
      <w:r>
        <w:rPr>
          <w:rFonts w:hint="eastAsia" w:ascii="仿宋_GB2312" w:hAnsi="宋体" w:eastAsia="仿宋_GB2312"/>
          <w:sz w:val="24"/>
          <w:highlight w:val="none"/>
        </w:rPr>
        <w:t>标    项：</w:t>
      </w:r>
    </w:p>
    <w:p>
      <w:pPr>
        <w:snapToGrid w:val="0"/>
        <w:spacing w:line="400" w:lineRule="exact"/>
        <w:rPr>
          <w:rFonts w:ascii="仿宋_GB2312" w:hAnsi="宋体" w:eastAsia="仿宋_GB2312"/>
          <w:sz w:val="24"/>
          <w:highlight w:val="none"/>
          <w:u w:val="single"/>
        </w:rPr>
      </w:pPr>
      <w:r>
        <w:rPr>
          <w:rFonts w:hint="eastAsia" w:ascii="仿宋_GB2312" w:hAnsi="宋体" w:eastAsia="仿宋_GB2312"/>
          <w:sz w:val="24"/>
          <w:highlight w:val="none"/>
        </w:rPr>
        <w:t>招标编号：</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型号和规格</w:t>
            </w:r>
            <w:r>
              <w:rPr>
                <w:rFonts w:hint="eastAsia" w:ascii="仿宋_GB2312" w:hAnsi="宋体" w:eastAsia="仿宋_GB2312"/>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highlight w:val="none"/>
              </w:rPr>
            </w:pPr>
          </w:p>
        </w:tc>
        <w:tc>
          <w:tcPr>
            <w:tcW w:w="1078" w:type="dxa"/>
          </w:tcPr>
          <w:p>
            <w:pPr>
              <w:adjustRightInd w:val="0"/>
              <w:snapToGrid w:val="0"/>
              <w:ind w:right="172" w:rightChars="82" w:firstLine="444" w:firstLineChars="202"/>
              <w:rPr>
                <w:rFonts w:ascii="仿宋_GB2312" w:hAnsi="宋体" w:eastAsia="仿宋_GB2312"/>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highlight w:val="none"/>
              </w:rPr>
            </w:pPr>
            <w:r>
              <w:rPr>
                <w:rFonts w:hint="eastAsia" w:ascii="仿宋_GB2312" w:hAnsi="宋体" w:eastAsia="仿宋_GB2312"/>
                <w:spacing w:val="20"/>
                <w:sz w:val="18"/>
                <w:szCs w:val="18"/>
                <w:highlight w:val="none"/>
              </w:rPr>
              <w:t>大写：</w:t>
            </w:r>
          </w:p>
        </w:tc>
      </w:tr>
    </w:tbl>
    <w:p>
      <w:pPr>
        <w:snapToGrid w:val="0"/>
        <w:jc w:val="left"/>
        <w:rPr>
          <w:rFonts w:ascii="仿宋_GB2312" w:hAnsi="宋体" w:eastAsia="仿宋_GB2312"/>
          <w:sz w:val="24"/>
          <w:highlight w:val="none"/>
        </w:rPr>
      </w:pPr>
      <w:r>
        <w:rPr>
          <w:rFonts w:hint="eastAsia" w:ascii="仿宋_GB2312" w:hAnsi="宋体" w:eastAsia="仿宋_GB2312"/>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3.投标人需按本表格式填写，如无对应内容，则填写：“无或/”。</w:t>
      </w:r>
    </w:p>
    <w:p>
      <w:pPr>
        <w:snapToGrid w:val="0"/>
        <w:ind w:left="48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sz w:val="24"/>
          <w:highlight w:val="none"/>
        </w:rPr>
      </w:pPr>
      <w:r>
        <w:rPr>
          <w:rFonts w:hint="eastAsia" w:ascii="仿宋_GB2312" w:hAnsi="仿宋_GB2312" w:eastAsia="仿宋_GB2312" w:cs="仿宋_GB2312"/>
          <w:kern w:val="0"/>
          <w:sz w:val="24"/>
          <w:highlight w:val="none"/>
          <w:lang w:val="zh-CN"/>
        </w:rPr>
        <w:t>5.</w:t>
      </w:r>
      <w:r>
        <w:rPr>
          <w:rFonts w:hint="eastAsia" w:ascii="仿宋_GB2312" w:hAnsi="宋体" w:eastAsia="仿宋_GB2312"/>
          <w:kern w:val="0"/>
          <w:sz w:val="24"/>
          <w:highlight w:val="none"/>
          <w:lang w:val="zh-CN"/>
        </w:rPr>
        <w:t>以上表格要求细分项目及报价，</w:t>
      </w:r>
      <w:r>
        <w:rPr>
          <w:rFonts w:hint="eastAsia" w:ascii="仿宋_GB2312" w:hAnsi="仿宋" w:eastAsia="仿宋_GB2312" w:cs="Arial"/>
          <w:b/>
          <w:kern w:val="0"/>
          <w:sz w:val="24"/>
          <w:highlight w:val="none"/>
        </w:rPr>
        <w:t>在“规格型号（或具体服务）”一栏中，货物类项目填写规格型号，服务类项目填写具体服务。</w:t>
      </w:r>
      <w:r>
        <w:rPr>
          <w:rFonts w:hint="eastAsia" w:ascii="仿宋_GB2312" w:hAnsi="宋体" w:eastAsia="仿宋_GB2312"/>
          <w:b/>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highlight w:val="none"/>
          <w:lang w:val="zh-CN"/>
        </w:rPr>
      </w:pPr>
      <w:r>
        <w:rPr>
          <w:rFonts w:hint="eastAsia" w:ascii="仿宋_GB2312" w:hAnsi="宋体" w:eastAsia="仿宋_GB2312"/>
          <w:b/>
          <w:sz w:val="24"/>
          <w:highlight w:val="none"/>
        </w:rPr>
        <w:t>6</w:t>
      </w:r>
      <w:r>
        <w:rPr>
          <w:rFonts w:hint="eastAsia" w:ascii="仿宋_GB2312" w:hAnsi="宋体" w:eastAsia="仿宋_GB2312"/>
          <w:b/>
          <w:kern w:val="0"/>
          <w:sz w:val="24"/>
          <w:highlight w:val="none"/>
          <w:lang w:val="zh-CN"/>
        </w:rPr>
        <w:t>.特别提示：采购机构将对</w:t>
      </w:r>
      <w:r>
        <w:rPr>
          <w:rFonts w:hint="eastAsia" w:ascii="仿宋_GB2312" w:hAnsi="仿宋" w:eastAsia="仿宋_GB2312" w:cs="宋体"/>
          <w:b/>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highlight w:val="none"/>
        </w:rPr>
      </w:pPr>
    </w:p>
    <w:p>
      <w:pPr>
        <w:spacing w:line="360" w:lineRule="auto"/>
        <w:ind w:left="-4" w:leftChars="-2" w:right="-817" w:rightChars="-389" w:firstLine="2"/>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auto"/>
        <w:outlineLvl w:val="0"/>
        <w:rPr>
          <w:rFonts w:ascii="仿宋_GB2312" w:hAnsi="宋体" w:eastAsia="仿宋_GB2312"/>
          <w:sz w:val="24"/>
          <w:highlight w:val="none"/>
        </w:rPr>
      </w:pPr>
      <w:r>
        <w:rPr>
          <w:rFonts w:hint="eastAsia" w:ascii="仿宋_GB2312" w:hAnsi="宋体" w:eastAsia="仿宋_GB2312"/>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商务技术（资信）文件部分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目录</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（1）法定代表人授权书 …………………………………………………………（页码）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（2）授权代表社保证明（复印件）………………………………………………（页码）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（3）法定代表人及其授权代表的身份证（复印件）……………………………（页码）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（5）资格审查有关的书面承诺函</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pStyle w:val="192"/>
        <w:spacing w:line="360" w:lineRule="auto"/>
        <w:ind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（7）</w:t>
      </w:r>
      <w:r>
        <w:rPr>
          <w:rFonts w:hint="eastAsia" w:hAnsi="仿宋_GB2312" w:cs="仿宋_GB2312"/>
          <w:snapToGrid w:val="0"/>
          <w:highlight w:val="none"/>
        </w:rPr>
        <w:t>投标人售后服务证明材料</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（11）技术偏离说明表………………………………………………</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（页码）（20）</w:t>
      </w:r>
      <w:r>
        <w:rPr>
          <w:rFonts w:hint="eastAsia" w:ascii="仿宋_GB2312" w:hAnsi="仿宋_GB2312" w:eastAsia="仿宋_GB2312" w:cs="仿宋_GB2312"/>
          <w:kern w:val="0"/>
          <w:sz w:val="24"/>
          <w:highlight w:val="none"/>
          <w:lang w:val="zh-CN"/>
        </w:rPr>
        <w:t>联合协议（如有）……………………………………………………</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分包意向协议（如有）…………………………………………</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（22）中小企业声明函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注：以上目录是基本格式要求，各投标人可根据自身情况和评分标准进一步细化。</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本授权委托书声明：我</w:t>
      </w:r>
      <w:r>
        <w:rPr>
          <w:rFonts w:hint="eastAsia" w:ascii="仿宋_GB2312" w:hAnsi="宋体" w:eastAsia="仿宋_GB2312"/>
          <w:sz w:val="24"/>
          <w:highlight w:val="none"/>
          <w:u w:val="single"/>
        </w:rPr>
        <w:t xml:space="preserve">         (填写姓名)</w:t>
      </w: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（填写投标人单位全称）</w:t>
      </w:r>
      <w:r>
        <w:rPr>
          <w:rFonts w:hint="eastAsia" w:ascii="仿宋_GB2312" w:hAnsi="宋体" w:eastAsia="仿宋_GB2312"/>
          <w:sz w:val="24"/>
          <w:highlight w:val="none"/>
        </w:rPr>
        <w:t>的法定代表人，现授权委托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的（填写姓名）为我公司授权代</w:t>
      </w:r>
      <w:r>
        <w:rPr>
          <w:rFonts w:hint="eastAsia" w:ascii="仿宋_GB2312" w:hAnsi="宋体" w:eastAsia="仿宋_GB2312"/>
          <w:color w:val="auto"/>
          <w:sz w:val="24"/>
          <w:highlight w:val="none"/>
        </w:rPr>
        <w:t>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绍兴文理学院、绍兴市鼎正建设工程咨询有限公司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rPr>
        <w:t>绍兴文理学院学生公寓家具采购项目</w:t>
      </w:r>
      <w:r>
        <w:rPr>
          <w:rFonts w:hint="eastAsia" w:ascii="仿宋_GB2312" w:hAnsi="宋体" w:eastAsia="仿宋_GB2312"/>
          <w:color w:val="auto"/>
          <w:sz w:val="24"/>
          <w:highlight w:val="none"/>
        </w:rPr>
        <w:t>投标活动。授权代表在开标、评标、合同谈判过程中所签署的一切文件和处理与之有关的一切事务，我均</w:t>
      </w:r>
      <w:r>
        <w:rPr>
          <w:rFonts w:hint="eastAsia" w:ascii="仿宋_GB2312" w:hAnsi="宋体" w:eastAsia="仿宋_GB2312"/>
          <w:sz w:val="24"/>
          <w:highlight w:val="none"/>
        </w:rPr>
        <w:t>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法定代表人（签字或盖章）：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ind w:firstLine="5280" w:firstLineChars="2200"/>
        <w:jc w:val="left"/>
        <w:rPr>
          <w:rFonts w:ascii="仿宋_GB2312" w:hAnsi="宋体" w:eastAsia="仿宋_GB2312"/>
          <w:sz w:val="24"/>
          <w:highlight w:val="none"/>
        </w:rPr>
      </w:pPr>
      <w:r>
        <w:rPr>
          <w:rFonts w:hint="eastAsia" w:ascii="仿宋_GB2312" w:hAnsi="宋体" w:eastAsia="仿宋_GB2312"/>
          <w:sz w:val="24"/>
          <w:highlight w:val="none"/>
        </w:rPr>
        <w:t>日期：    年   月   日</w:t>
      </w:r>
    </w:p>
    <w:p>
      <w:pPr>
        <w:ind w:firstLine="4920" w:firstLineChars="2050"/>
        <w:jc w:val="left"/>
        <w:rPr>
          <w:rFonts w:ascii="仿宋_GB2312" w:hAnsi="宋体" w:eastAsia="仿宋_GB2312"/>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sz w:val="24"/>
          <w:highlight w:val="none"/>
        </w:rPr>
        <w:t>现授权委</w:t>
      </w:r>
      <w:r>
        <w:rPr>
          <w:rFonts w:hint="eastAsia" w:ascii="仿宋_GB2312" w:hAnsi="宋体" w:eastAsia="仿宋_GB2312"/>
          <w:color w:val="auto"/>
          <w:sz w:val="24"/>
          <w:highlight w:val="none"/>
        </w:rPr>
        <w:t>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rPr>
        <w:t>绍兴文理学院、绍兴市鼎正建设工程咨询有限公司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rPr>
        <w:t>绍兴文理学院学生公寓家具采购项目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rFonts w:ascii="仿宋_GB2312" w:eastAsia="仿宋_GB2312"/>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联合体成员名称(电子签名/公章)：</w:t>
      </w:r>
    </w:p>
    <w:p>
      <w:pPr>
        <w:snapToGrid w:val="0"/>
        <w:spacing w:line="360" w:lineRule="auto"/>
        <w:ind w:firstLine="5760" w:firstLineChars="2400"/>
        <w:rPr>
          <w:rFonts w:ascii="仿宋_GB2312" w:eastAsia="仿宋_GB2312"/>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日期：   年   月   日</w:t>
      </w:r>
    </w:p>
    <w:p>
      <w:pPr>
        <w:spacing w:line="800" w:lineRule="exact"/>
        <w:rPr>
          <w:rFonts w:ascii="仿宋_GB2312" w:hAnsi="宋体" w:eastAsia="仿宋_GB2312"/>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sz w:val="24"/>
          <w:highlight w:val="none"/>
        </w:rPr>
        <w:t>未提供上述证明的投标做无效投标处理。</w:t>
      </w:r>
    </w:p>
    <w:p>
      <w:pPr>
        <w:spacing w:line="800" w:lineRule="exact"/>
        <w:ind w:firstLine="4320" w:firstLineChars="1800"/>
        <w:rPr>
          <w:rFonts w:ascii="仿宋_GB2312" w:hAnsi="宋体" w:eastAsia="仿宋_GB2312"/>
          <w:sz w:val="24"/>
          <w:highlight w:val="none"/>
        </w:rPr>
      </w:pPr>
    </w:p>
    <w:p>
      <w:pPr>
        <w:spacing w:line="800" w:lineRule="exact"/>
        <w:ind w:firstLine="4337" w:firstLineChars="1800"/>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3、法定代表人及其授权代表身份证复印件（正反面）</w:t>
      </w: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4、法定代表人身份证明书(格式)</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 标 人：</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地    址：</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姓    名：</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身份证号码：</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rPr>
      </w:pPr>
      <w:r>
        <w:rPr>
          <w:rFonts w:hint="eastAsia" w:ascii="仿宋_GB2312" w:hAnsi="宋体" w:eastAsia="仿宋_GB2312"/>
          <w:sz w:val="24"/>
          <w:highlight w:val="none"/>
        </w:rPr>
        <w:t>职   务：</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（填写投标人名称）</w:t>
      </w:r>
      <w:r>
        <w:rPr>
          <w:rFonts w:hint="eastAsia" w:ascii="仿宋_GB2312" w:hAnsi="宋体" w:eastAsia="仿宋_GB2312"/>
          <w:sz w:val="24"/>
          <w:highlight w:val="none"/>
        </w:rPr>
        <w:t>的法定代表人。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特此证明。</w:t>
      </w:r>
    </w:p>
    <w:p>
      <w:pPr>
        <w:spacing w:line="440" w:lineRule="exact"/>
        <w:rPr>
          <w:rFonts w:ascii="仿宋_GB2312" w:hAnsi="宋体" w:eastAsia="仿宋_GB2312"/>
          <w:sz w:val="24"/>
          <w:highlight w:val="none"/>
        </w:rPr>
      </w:pP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投标人：                             （电子签章）</w:t>
      </w:r>
    </w:p>
    <w:p>
      <w:pPr>
        <w:spacing w:line="440" w:lineRule="exact"/>
        <w:ind w:right="480"/>
        <w:rPr>
          <w:rFonts w:ascii="仿宋_GB2312" w:hAnsi="宋体" w:eastAsia="仿宋_GB2312"/>
          <w:sz w:val="24"/>
          <w:highlight w:val="none"/>
        </w:rPr>
      </w:pPr>
    </w:p>
    <w:p>
      <w:pPr>
        <w:spacing w:line="440" w:lineRule="exact"/>
        <w:ind w:right="720"/>
        <w:jc w:val="right"/>
        <w:rPr>
          <w:rFonts w:ascii="仿宋_GB2312" w:hAnsi="宋体" w:eastAsia="仿宋_GB2312"/>
          <w:sz w:val="24"/>
          <w:highlight w:val="none"/>
        </w:rPr>
      </w:pPr>
      <w:r>
        <w:rPr>
          <w:rFonts w:hint="eastAsia" w:ascii="仿宋_GB2312" w:hAnsi="宋体" w:eastAsia="仿宋_GB2312"/>
          <w:sz w:val="24"/>
          <w:highlight w:val="none"/>
        </w:rPr>
        <w:t>年   月   日</w:t>
      </w:r>
    </w:p>
    <w:p>
      <w:pPr>
        <w:pageBreakBefore/>
        <w:spacing w:after="240" w:afterLines="100"/>
        <w:rPr>
          <w:rFonts w:ascii="仿宋_GB2312" w:hAnsi="仿宋_GB2312" w:eastAsia="仿宋_GB2312" w:cs="仿宋_GB2312"/>
          <w:b/>
          <w:kern w:val="0"/>
          <w:sz w:val="32"/>
          <w:szCs w:val="32"/>
          <w:highlight w:val="none"/>
        </w:rPr>
      </w:pPr>
      <w:r>
        <w:rPr>
          <w:rFonts w:hint="eastAsia" w:ascii="仿宋_GB2312" w:hAnsi="宋体" w:eastAsia="仿宋_GB2312"/>
          <w:b/>
          <w:sz w:val="30"/>
          <w:szCs w:val="30"/>
          <w:highlight w:val="none"/>
        </w:rPr>
        <w:t>5、资格审查有关的书面承诺函</w:t>
      </w:r>
    </w:p>
    <w:p>
      <w:pPr>
        <w:snapToGrid w:val="0"/>
        <w:spacing w:line="440" w:lineRule="exact"/>
        <w:rPr>
          <w:rFonts w:ascii="仿宋_GB2312" w:hAnsi="仿宋" w:eastAsia="仿宋_GB2312" w:cs="仿宋_GB2312"/>
          <w:sz w:val="24"/>
          <w:highlight w:val="none"/>
        </w:rPr>
      </w:pPr>
      <w:r>
        <w:rPr>
          <w:rFonts w:hint="eastAsia" w:ascii="仿宋_GB2312" w:hAnsi="仿宋_GB2312" w:eastAsia="仿宋_GB2312" w:cs="仿宋_GB2312"/>
          <w:sz w:val="24"/>
          <w:highlight w:val="none"/>
        </w:rPr>
        <w:t>绍兴文理学院、绍兴市鼎正建设工程咨询有限公司</w:t>
      </w:r>
      <w:r>
        <w:rPr>
          <w:rFonts w:hint="eastAsia" w:ascii="仿宋_GB2312" w:hAnsi="仿宋_GB2312" w:eastAsia="仿宋_GB2312" w:cs="仿宋_GB2312"/>
          <w:kern w:val="0"/>
          <w:sz w:val="24"/>
          <w:highlight w:val="none"/>
          <w:lang w:val="zh-CN"/>
        </w:rPr>
        <w:t>：</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我方郑重承诺，已具有绍兴文理学院学生公寓家具采购项目（招标编号:CGSHZJ-2023-N000832）招标文件中关于申请人资格要求的下列条件：</w:t>
      </w:r>
    </w:p>
    <w:p>
      <w:pPr>
        <w:pStyle w:val="68"/>
        <w:widowControl w:val="0"/>
        <w:spacing w:afterLines="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r>
        <w:rPr>
          <w:rFonts w:hint="eastAsia" w:ascii="仿宋_GB2312" w:hAnsi="仿宋" w:eastAsia="仿宋_GB2312" w:cs="仿宋_GB2312"/>
          <w:highlight w:val="none"/>
        </w:rPr>
        <w:t xml:space="preserve"> </w:t>
      </w:r>
    </w:p>
    <w:p>
      <w:pPr>
        <w:pStyle w:val="22"/>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napToGrid w:val="0"/>
        <w:spacing w:line="360" w:lineRule="auto"/>
        <w:rPr>
          <w:rFonts w:ascii="仿宋_GB2312" w:hAnsi="仿宋_GB2312" w:eastAsia="仿宋_GB2312" w:cs="仿宋_GB2312"/>
          <w:b/>
          <w:sz w:val="30"/>
          <w:szCs w:val="30"/>
          <w:highlight w:val="none"/>
        </w:rPr>
      </w:pPr>
    </w:p>
    <w:p>
      <w:pPr>
        <w:snapToGrid w:val="0"/>
        <w:spacing w:line="360" w:lineRule="auto"/>
        <w:rPr>
          <w:rFonts w:ascii="仿宋_GB2312" w:hAnsi="仿宋_GB2312" w:eastAsia="仿宋_GB2312" w:cs="仿宋_GB2312"/>
          <w:b/>
          <w:sz w:val="30"/>
          <w:szCs w:val="30"/>
          <w:highlight w:val="none"/>
        </w:rPr>
      </w:pP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（由投标人根据招标公告合格的投标人应具备的特定资格条件要求编制）</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7、投标人售后服务能力证明材料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8、</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Style w:val="193"/>
        <w:pageBreakBefore/>
        <w:ind w:firstLine="0"/>
        <w:jc w:val="both"/>
        <w:rPr>
          <w:rFonts w:hAnsi="仿宋_GB2312" w:cs="仿宋_GB2312"/>
          <w:highlight w:val="none"/>
        </w:rPr>
      </w:pPr>
      <w:r>
        <w:rPr>
          <w:rFonts w:hint="eastAsia" w:hAnsi="仿宋_GB2312" w:cs="仿宋_GB2312"/>
          <w:highlight w:val="none"/>
        </w:rPr>
        <w:t>9、廉政承诺书</w:t>
      </w:r>
    </w:p>
    <w:p>
      <w:pPr>
        <w:autoSpaceDE w:val="0"/>
        <w:autoSpaceDN w:val="0"/>
        <w:spacing w:line="360" w:lineRule="auto"/>
        <w:ind w:left="2"/>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绍兴文理学院</w:t>
      </w:r>
      <w:r>
        <w:rPr>
          <w:rFonts w:hint="eastAsia"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10、技术解决方案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1.95pt;width:442.6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1.95pt;width:442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11、技术偏离说明表</w:t>
      </w: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招标文件技术要求</w:t>
            </w:r>
          </w:p>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bl>
    <w:p>
      <w:pPr>
        <w:tabs>
          <w:tab w:val="left" w:pos="570"/>
        </w:tabs>
        <w:spacing w:line="440" w:lineRule="exact"/>
        <w:ind w:firstLine="120" w:firstLineChars="50"/>
        <w:jc w:val="left"/>
        <w:rPr>
          <w:rFonts w:ascii="仿宋_GB2312" w:hAnsi="宋体" w:eastAsia="仿宋_GB2312"/>
          <w:sz w:val="24"/>
          <w:highlight w:val="none"/>
        </w:rPr>
      </w:pPr>
      <w:r>
        <w:rPr>
          <w:rFonts w:hint="eastAsia" w:ascii="仿宋_GB2312" w:hAnsi="宋体" w:eastAsia="仿宋_GB2312"/>
          <w:sz w:val="24"/>
          <w:highlight w:val="none"/>
        </w:rPr>
        <w:t>注：1.此表须与</w:t>
      </w:r>
      <w:r>
        <w:rPr>
          <w:rFonts w:hint="eastAsia" w:ascii="仿宋_GB2312" w:hAnsi="宋体" w:eastAsia="仿宋_GB2312"/>
          <w:kern w:val="0"/>
          <w:sz w:val="24"/>
          <w:highlight w:val="none"/>
        </w:rPr>
        <w:t>招标文件“</w:t>
      </w:r>
      <w:r>
        <w:rPr>
          <w:rFonts w:hint="eastAsia" w:ascii="仿宋_GB2312" w:hAnsi="宋体" w:eastAsia="仿宋_GB2312"/>
          <w:sz w:val="24"/>
          <w:highlight w:val="none"/>
        </w:rPr>
        <w:t>招标项目说明及要求</w:t>
      </w:r>
      <w:r>
        <w:rPr>
          <w:rFonts w:hint="eastAsia" w:ascii="仿宋_GB2312" w:hAnsi="宋体" w:eastAsia="仿宋_GB2312"/>
          <w:kern w:val="0"/>
          <w:sz w:val="24"/>
          <w:highlight w:val="none"/>
        </w:rPr>
        <w:t>”</w:t>
      </w:r>
      <w:r>
        <w:rPr>
          <w:rFonts w:hint="eastAsia" w:ascii="仿宋_GB2312" w:hAnsi="宋体" w:eastAsia="仿宋_GB2312"/>
          <w:sz w:val="24"/>
          <w:highlight w:val="none"/>
        </w:rPr>
        <w:t>相应标项内的所有技术规格相比较且一一对应</w:t>
      </w:r>
      <w:r>
        <w:rPr>
          <w:rFonts w:hint="eastAsia" w:ascii="仿宋_GB2312" w:hAnsi="宋体" w:eastAsia="仿宋_GB2312" w:cs="宋体"/>
          <w:sz w:val="24"/>
          <w:highlight w:val="none"/>
        </w:rPr>
        <w:t>真实逐条</w:t>
      </w:r>
      <w:r>
        <w:rPr>
          <w:rFonts w:hint="eastAsia" w:ascii="仿宋_GB2312" w:hAnsi="宋体" w:eastAsia="仿宋_GB2312"/>
          <w:sz w:val="24"/>
          <w:highlight w:val="none"/>
        </w:rPr>
        <w:t>填列。</w:t>
      </w:r>
    </w:p>
    <w:p>
      <w:pPr>
        <w:tabs>
          <w:tab w:val="left" w:pos="570"/>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13、售后服务方案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14、项目小组人员名单</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15、</w:t>
      </w:r>
      <w:r>
        <w:rPr>
          <w:rFonts w:hint="eastAsia" w:ascii="仿宋_GB2312" w:hAnsi="仿宋_GB2312" w:eastAsia="仿宋_GB2312" w:cs="仿宋_GB2312"/>
          <w:b/>
          <w:kern w:val="0"/>
          <w:sz w:val="32"/>
          <w:szCs w:val="32"/>
          <w:highlight w:val="none"/>
          <w:lang w:val="zh-CN"/>
        </w:rPr>
        <w:t>优惠条件及特殊承诺</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16、</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napToGrid w:val="0"/>
        <w:spacing w:line="360" w:lineRule="auto"/>
        <w:ind w:right="1440"/>
        <w:jc w:val="righ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17、</w:t>
      </w:r>
      <w:r>
        <w:rPr>
          <w:rFonts w:hint="eastAsia" w:ascii="仿宋_GB2312" w:hAnsi="仿宋_GB2312" w:eastAsia="仿宋_GB2312" w:cs="仿宋_GB2312"/>
          <w:b/>
          <w:kern w:val="0"/>
          <w:sz w:val="32"/>
          <w:szCs w:val="32"/>
          <w:highlight w:val="none"/>
          <w:lang w:val="zh-CN"/>
        </w:rPr>
        <w:t>培训计划</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18、验收方案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19、认为需要的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 xml:space="preserve">投标。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rPr>
        <w:t xml:space="preserve">     </w:t>
      </w:r>
      <w:r>
        <w:rPr>
          <w:rFonts w:hint="eastAsia"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hint="eastAsia" w:ascii="仿宋_GB2312" w:hAnsi="仿宋_GB2312" w:eastAsia="仿宋_GB2312" w:cs="仿宋_GB2312"/>
          <w:kern w:val="0"/>
          <w:sz w:val="24"/>
          <w:highlight w:val="none"/>
          <w:lang w:val="zh-CN"/>
        </w:rPr>
        <w:t>电子签章</w:t>
      </w:r>
      <w:r>
        <w:rPr>
          <w:rFonts w:hint="eastAsia" w:ascii="仿宋_GB2312" w:hAnsi="仿宋" w:eastAsia="仿宋_GB2312" w:cs="仿宋_GB2312"/>
          <w:kern w:val="0"/>
          <w:sz w:val="24"/>
          <w:highlight w:val="none"/>
          <w:lang w:val="zh-CN"/>
        </w:rPr>
        <w:t>/公章)：</w:t>
      </w:r>
    </w:p>
    <w:p>
      <w:pPr>
        <w:snapToGrid w:val="0"/>
        <w:spacing w:line="360" w:lineRule="auto"/>
        <w:ind w:firstLine="5760" w:firstLineChars="2400"/>
        <w:rPr>
          <w:rFonts w:ascii="仿宋_GB2312" w:eastAsia="仿宋_GB2312"/>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docGrid w:linePitch="312" w:charSpace="0"/>
        </w:sect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hint="eastAsia"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hint="eastAsia"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rFonts w:ascii="仿宋_GB2312" w:eastAsia="仿宋_GB2312"/>
          <w:highlight w:val="none"/>
        </w:rPr>
      </w:pPr>
      <w:r>
        <w:rPr>
          <w:rFonts w:hint="eastAsia" w:ascii="仿宋_GB2312" w:eastAsia="仿宋_GB2312"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hint="eastAsia" w:ascii="仿宋_GB2312" w:hAnsi="仿宋" w:eastAsia="仿宋_GB2312" w:cs="仿宋_GB2312"/>
          <w:kern w:val="0"/>
          <w:sz w:val="24"/>
          <w:highlight w:val="none"/>
          <w:u w:val="single"/>
        </w:rPr>
        <w:t xml:space="preserve">     </w:t>
      </w:r>
      <w:r>
        <w:rPr>
          <w:rFonts w:hint="eastAsia"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hint="eastAsia"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日期：  年  月   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22、落实政府采购政策需满足的资格要求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hint="eastAsia" w:ascii="仿宋_GB2312" w:hAnsi="仿宋" w:eastAsia="仿宋_GB2312" w:cs="仿宋_GB2312"/>
          <w:b/>
          <w:sz w:val="24"/>
          <w:highlight w:val="none"/>
        </w:rPr>
        <w:t>A</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 xml:space="preserve">（附件）。 </w:t>
      </w:r>
    </w:p>
    <w:p>
      <w:pPr>
        <w:widowControl/>
        <w:spacing w:line="440" w:lineRule="exact"/>
        <w:ind w:firstLine="472" w:firstLineChars="196"/>
        <w:jc w:val="left"/>
        <w:rPr>
          <w:rFonts w:ascii="仿宋_GB2312" w:hAnsi="仿宋" w:eastAsia="仿宋_GB2312" w:cs="仿宋_GB2312"/>
          <w:sz w:val="24"/>
          <w:highlight w:val="none"/>
        </w:rPr>
      </w:pPr>
      <w:r>
        <w:rPr>
          <w:rFonts w:hint="eastAsia"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 xml:space="preserve">投标。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联合体成员名称(电子签名/公章)：</w:t>
      </w:r>
    </w:p>
    <w:p>
      <w:pPr>
        <w:snapToGrid w:val="0"/>
        <w:spacing w:line="360" w:lineRule="auto"/>
        <w:ind w:firstLine="5760" w:firstLineChars="2400"/>
        <w:jc w:val="center"/>
        <w:rPr>
          <w:rFonts w:ascii="仿宋_GB2312" w:eastAsia="仿宋_GB2312"/>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日期：   年   月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hint="eastAsia"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hint="eastAsia"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w:t>
      </w:r>
      <w:r>
        <w:rPr>
          <w:rFonts w:hint="eastAsia" w:ascii="仿宋_GB2312" w:hAnsi="仿宋" w:eastAsia="仿宋_GB2312" w:cs="仿宋_GB2312"/>
          <w:kern w:val="0"/>
          <w:sz w:val="24"/>
          <w:highlight w:val="none"/>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6000" w:firstLineChars="2500"/>
        <w:rPr>
          <w:rFonts w:ascii="仿宋_GB2312" w:eastAsia="仿宋_GB2312"/>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                                        日期：  年   月   日</w:t>
      </w:r>
    </w:p>
    <w:p>
      <w:pPr>
        <w:pageBreakBefore/>
        <w:jc w:val="center"/>
        <w:rPr>
          <w:rFonts w:ascii="仿宋_GB2312" w:hAnsi="仿宋" w:eastAsia="仿宋_GB2312" w:cs="仿宋"/>
          <w:b/>
          <w:bCs/>
          <w:sz w:val="44"/>
          <w:szCs w:val="44"/>
          <w:highlight w:val="none"/>
        </w:rPr>
      </w:pPr>
      <w:r>
        <w:rPr>
          <w:rFonts w:hint="eastAsia" w:ascii="仿宋_GB2312" w:hAnsi="仿宋" w:eastAsia="仿宋_GB2312" w:cs="仿宋"/>
          <w:b/>
          <w:bCs/>
          <w:sz w:val="44"/>
          <w:szCs w:val="44"/>
          <w:highlight w:val="none"/>
        </w:rPr>
        <w:t>业务专用章使用说明函</w:t>
      </w:r>
    </w:p>
    <w:p>
      <w:pPr>
        <w:spacing w:line="360" w:lineRule="auto"/>
        <w:rPr>
          <w:rFonts w:ascii="仿宋_GB2312" w:hAnsi="仿宋" w:eastAsia="仿宋_GB2312" w:cs="仿宋_GB2312"/>
          <w:sz w:val="24"/>
          <w:highlight w:val="none"/>
          <w:u w:val="single"/>
        </w:rPr>
      </w:pPr>
    </w:p>
    <w:p>
      <w:pPr>
        <w:spacing w:line="360" w:lineRule="auto"/>
        <w:rPr>
          <w:rFonts w:ascii="仿宋_GB2312" w:hAnsi="仿宋" w:eastAsia="仿宋_GB2312"/>
          <w:sz w:val="24"/>
          <w:highlight w:val="none"/>
        </w:rPr>
      </w:pPr>
      <w:r>
        <w:rPr>
          <w:rFonts w:hint="eastAsia" w:ascii="仿宋_GB2312" w:hAnsi="仿宋" w:eastAsia="仿宋_GB2312" w:cs="仿宋_GB2312"/>
          <w:sz w:val="24"/>
          <w:highlight w:val="none"/>
          <w:u w:val="single"/>
        </w:rPr>
        <w:t>（采购人）、（采购代理机构）</w:t>
      </w:r>
    </w:p>
    <w:p>
      <w:pPr>
        <w:spacing w:line="360" w:lineRule="auto"/>
        <w:ind w:firstLine="480" w:firstLineChars="200"/>
        <w:rPr>
          <w:rFonts w:ascii="仿宋_GB2312" w:hAnsi="仿宋" w:eastAsia="仿宋_GB2312" w:cs="宋体"/>
          <w:sz w:val="24"/>
          <w:highlight w:val="none"/>
        </w:rPr>
      </w:pPr>
      <w:r>
        <w:rPr>
          <w:rFonts w:hint="eastAsia" w:ascii="仿宋_GB2312" w:hAnsi="仿宋" w:eastAsia="仿宋_GB2312" w:cs="仿宋_GB2312"/>
          <w:kern w:val="0"/>
          <w:sz w:val="24"/>
          <w:highlight w:val="none"/>
          <w:lang w:val="zh-CN"/>
        </w:rPr>
        <w:t>我方</w:t>
      </w:r>
      <w:r>
        <w:rPr>
          <w:rFonts w:hint="eastAsia"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sz w:val="24"/>
          <w:highlight w:val="none"/>
        </w:rPr>
        <w:t>(投标人全称)</w:t>
      </w:r>
      <w:r>
        <w:rPr>
          <w:rFonts w:hint="eastAsia" w:ascii="仿宋_GB2312" w:hAnsi="仿宋" w:eastAsia="仿宋_GB2312"/>
          <w:sz w:val="24"/>
          <w:highlight w:val="none"/>
        </w:rPr>
        <w:t>是中华人民共和国依法登记注册的合法企业，</w:t>
      </w:r>
      <w:r>
        <w:rPr>
          <w:rFonts w:hint="eastAsia" w:ascii="仿宋_GB2312" w:hAnsi="仿宋" w:eastAsia="仿宋_GB2312" w:cs="宋体"/>
          <w:bCs/>
          <w:sz w:val="24"/>
          <w:highlight w:val="none"/>
        </w:rPr>
        <w:t>在参加</w:t>
      </w:r>
      <w:r>
        <w:rPr>
          <w:rFonts w:hint="eastAsia" w:ascii="仿宋_GB2312" w:hAnsi="仿宋" w:eastAsia="仿宋_GB2312" w:cs="仿宋_GB2312"/>
          <w:sz w:val="24"/>
          <w:highlight w:val="none"/>
        </w:rPr>
        <w:t>你方组织的（项目名称）项目【招标编号：（采购编号）】</w:t>
      </w:r>
      <w:r>
        <w:rPr>
          <w:rFonts w:hint="eastAsia" w:ascii="仿宋_GB2312" w:hAnsi="仿宋" w:eastAsia="仿宋_GB2312" w:cs="宋体"/>
          <w:bCs/>
          <w:sz w:val="24"/>
          <w:highlight w:val="none"/>
        </w:rPr>
        <w:t>投标活动中作如下说明：</w:t>
      </w:r>
      <w:r>
        <w:rPr>
          <w:rFonts w:hint="eastAsia" w:ascii="仿宋_GB2312" w:hAnsi="仿宋" w:eastAsia="仿宋_GB2312" w:cs="宋体"/>
          <w:sz w:val="24"/>
          <w:highlight w:val="none"/>
        </w:rPr>
        <w:t>我方所使用的“</w:t>
      </w:r>
      <w:r>
        <w:rPr>
          <w:rFonts w:hint="eastAsia" w:ascii="仿宋_GB2312" w:hAnsi="仿宋" w:eastAsia="仿宋_GB2312" w:cs="仿宋_GB2312"/>
          <w:sz w:val="24"/>
          <w:highlight w:val="none"/>
        </w:rPr>
        <w:t>XX</w:t>
      </w:r>
      <w:r>
        <w:rPr>
          <w:rFonts w:hint="eastAsia" w:ascii="仿宋_GB2312" w:hAnsi="仿宋" w:eastAsia="仿宋_GB2312" w:cs="宋体"/>
          <w:sz w:val="24"/>
          <w:highlight w:val="none"/>
        </w:rPr>
        <w:t>专用章”与法定名称章具有同等的法律效力，对使用“</w:t>
      </w:r>
      <w:r>
        <w:rPr>
          <w:rFonts w:hint="eastAsia" w:ascii="仿宋_GB2312" w:hAnsi="仿宋" w:eastAsia="仿宋_GB2312" w:cs="仿宋_GB2312"/>
          <w:sz w:val="24"/>
          <w:highlight w:val="none"/>
        </w:rPr>
        <w:t>XX</w:t>
      </w:r>
      <w:r>
        <w:rPr>
          <w:rFonts w:hint="eastAsia" w:ascii="仿宋_GB2312" w:hAnsi="仿宋" w:eastAsia="仿宋_GB2312" w:cs="宋体"/>
          <w:sz w:val="24"/>
          <w:highlight w:val="none"/>
        </w:rPr>
        <w:t xml:space="preserve">专用章”的行为予以完全承认，并愿意承担相应责任。   </w:t>
      </w:r>
    </w:p>
    <w:p>
      <w:pPr>
        <w:spacing w:line="360" w:lineRule="auto"/>
        <w:ind w:firstLine="480" w:firstLineChars="200"/>
        <w:rPr>
          <w:rFonts w:ascii="仿宋_GB2312" w:hAnsi="仿宋" w:eastAsia="仿宋_GB2312" w:cs="宋体"/>
          <w:sz w:val="24"/>
          <w:highlight w:val="none"/>
        </w:rPr>
      </w:pPr>
      <w:r>
        <w:rPr>
          <w:rFonts w:hint="eastAsia" w:ascii="仿宋_GB2312" w:hAnsi="仿宋" w:eastAsia="仿宋_GB2312" w:cs="宋体"/>
          <w:sz w:val="24"/>
          <w:highlight w:val="none"/>
        </w:rPr>
        <w:t>特此说明。</w:t>
      </w:r>
    </w:p>
    <w:p>
      <w:pPr>
        <w:spacing w:line="360" w:lineRule="auto"/>
        <w:ind w:firstLine="494"/>
        <w:rPr>
          <w:rFonts w:ascii="仿宋_GB2312" w:hAnsi="仿宋" w:eastAsia="仿宋_GB2312" w:cs="宋体"/>
          <w:sz w:val="24"/>
          <w:highlight w:val="none"/>
        </w:rPr>
      </w:pPr>
    </w:p>
    <w:p>
      <w:pPr>
        <w:spacing w:line="360" w:lineRule="auto"/>
        <w:ind w:firstLine="494"/>
        <w:rPr>
          <w:rFonts w:ascii="仿宋_GB2312" w:hAnsi="仿宋" w:eastAsia="仿宋_GB2312" w:cs="宋体"/>
          <w:sz w:val="24"/>
          <w:highlight w:val="none"/>
        </w:rPr>
      </w:pPr>
    </w:p>
    <w:p>
      <w:pPr>
        <w:spacing w:line="360" w:lineRule="auto"/>
        <w:ind w:firstLine="494"/>
        <w:rPr>
          <w:rFonts w:ascii="仿宋_GB2312" w:hAnsi="仿宋" w:eastAsia="仿宋_GB2312" w:cs="宋体"/>
          <w:sz w:val="24"/>
          <w:highlight w:val="none"/>
        </w:rPr>
      </w:pPr>
    </w:p>
    <w:p>
      <w:pPr>
        <w:spacing w:line="360" w:lineRule="auto"/>
        <w:ind w:firstLine="494"/>
        <w:rPr>
          <w:rFonts w:ascii="仿宋_GB2312" w:hAnsi="仿宋" w:eastAsia="仿宋_GB2312" w:cs="宋体"/>
          <w:sz w:val="24"/>
          <w:highlight w:val="none"/>
        </w:rPr>
      </w:pPr>
    </w:p>
    <w:p>
      <w:pPr>
        <w:spacing w:line="360" w:lineRule="auto"/>
        <w:ind w:right="480" w:firstLine="4080" w:firstLineChars="1700"/>
        <w:rPr>
          <w:rFonts w:ascii="仿宋_GB2312" w:hAnsi="仿宋" w:eastAsia="仿宋_GB2312" w:cs="宋体"/>
          <w:sz w:val="24"/>
          <w:highlight w:val="none"/>
        </w:rPr>
      </w:pPr>
      <w:r>
        <w:rPr>
          <w:rFonts w:hint="eastAsia" w:ascii="仿宋_GB2312" w:hAnsi="仿宋" w:eastAsia="仿宋_GB2312" w:cs="宋体"/>
          <w:sz w:val="24"/>
          <w:highlight w:val="none"/>
        </w:rPr>
        <w:t>投标单位（法定名称章）：</w:t>
      </w:r>
    </w:p>
    <w:p>
      <w:pPr>
        <w:ind w:right="1440" w:firstLine="494"/>
        <w:jc w:val="center"/>
        <w:rPr>
          <w:rFonts w:ascii="仿宋_GB2312" w:hAnsi="仿宋" w:eastAsia="仿宋_GB2312" w:cs="宋体"/>
          <w:sz w:val="24"/>
          <w:highlight w:val="none"/>
        </w:rPr>
      </w:pPr>
      <w:r>
        <w:rPr>
          <w:rFonts w:hint="eastAsia" w:ascii="仿宋_GB2312" w:hAnsi="仿宋" w:eastAsia="仿宋_GB2312" w:cs="宋体"/>
          <w:sz w:val="24"/>
          <w:highlight w:val="none"/>
        </w:rPr>
        <w:t xml:space="preserve">                              日期：      年     月    日</w:t>
      </w:r>
    </w:p>
    <w:p>
      <w:pPr>
        <w:rPr>
          <w:rFonts w:ascii="仿宋_GB2312" w:hAnsi="仿宋" w:eastAsia="仿宋_GB2312" w:cs="宋体"/>
          <w:sz w:val="24"/>
          <w:highlight w:val="none"/>
        </w:rPr>
      </w:pPr>
      <w:r>
        <w:rPr>
          <w:rFonts w:hint="eastAsia" w:ascii="仿宋_GB2312" w:hAnsi="仿宋" w:eastAsia="仿宋_GB2312" w:cs="宋体"/>
          <w:b/>
          <w:bCs/>
          <w:sz w:val="24"/>
          <w:highlight w:val="none"/>
        </w:rPr>
        <w:t>附：</w:t>
      </w:r>
    </w:p>
    <w:p>
      <w:pPr>
        <w:spacing w:line="360" w:lineRule="auto"/>
        <w:rPr>
          <w:rFonts w:ascii="仿宋_GB2312" w:hAnsi="仿宋" w:eastAsia="仿宋_GB2312"/>
          <w:bCs/>
          <w:sz w:val="24"/>
          <w:highlight w:val="none"/>
        </w:rPr>
      </w:pPr>
      <w:r>
        <w:rPr>
          <w:rFonts w:ascii="仿宋_GB2312" w:hAnsi="仿宋" w:eastAsia="仿宋_GB2312"/>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_GB2312" w:hAnsi="仿宋" w:eastAsia="仿宋_GB2312"/>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_GB2312" w:hAnsi="仿宋" w:eastAsia="仿宋_GB2312" w:cs="宋体"/>
          <w:sz w:val="24"/>
          <w:highlight w:val="none"/>
        </w:rPr>
        <w:t>投标单位法定名称章（印模）                投标单位“</w:t>
      </w:r>
      <w:r>
        <w:rPr>
          <w:rFonts w:hint="eastAsia" w:ascii="仿宋_GB2312" w:hAnsi="仿宋" w:eastAsia="仿宋_GB2312" w:cs="仿宋_GB2312"/>
          <w:sz w:val="24"/>
          <w:highlight w:val="none"/>
        </w:rPr>
        <w:t>XX</w:t>
      </w:r>
      <w:r>
        <w:rPr>
          <w:rFonts w:hint="eastAsia" w:ascii="仿宋_GB2312" w:hAnsi="仿宋" w:eastAsia="仿宋_GB2312" w:cs="宋体"/>
          <w:sz w:val="24"/>
          <w:highlight w:val="none"/>
        </w:rPr>
        <w:t>专用章”（印模）</w:t>
      </w: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jc w:val="center"/>
        <w:rPr>
          <w:rFonts w:ascii="仿宋_GB2312" w:hAnsi="仿宋" w:eastAsia="仿宋_GB2312" w:cs="仿宋"/>
          <w:b/>
          <w:bCs/>
          <w:sz w:val="44"/>
          <w:szCs w:val="44"/>
          <w:highlight w:val="none"/>
        </w:rPr>
      </w:pPr>
    </w:p>
    <w:p>
      <w:pPr>
        <w:pageBreakBefore/>
        <w:rPr>
          <w:rFonts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ascii="仿宋_GB2312" w:eastAsia="仿宋_GB2312"/>
          <w:b/>
          <w:sz w:val="32"/>
          <w:szCs w:val="32"/>
          <w:highlight w:val="none"/>
        </w:rPr>
      </w:pPr>
      <w:r>
        <w:rPr>
          <w:rFonts w:hint="eastAsia" w:ascii="仿宋_GB2312" w:hAnsi="仿宋" w:eastAsia="仿宋_GB2312" w:cs="仿宋_GB2312"/>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sz w:val="32"/>
          <w:szCs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中小企业声明函（货物）</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仿宋_GB2312" w:hAnsi="宋体" w:cs="宋体"/>
          <w:sz w:val="24"/>
          <w:highlight w:val="none"/>
        </w:rPr>
        <w:t>﹝</w:t>
      </w:r>
      <w:r>
        <w:rPr>
          <w:rFonts w:hint="eastAsia" w:ascii="仿宋_GB2312" w:hAnsi="仿宋_GB2312" w:eastAsia="仿宋_GB2312" w:cs="仿宋_GB2312"/>
          <w:sz w:val="24"/>
          <w:highlight w:val="none"/>
        </w:rPr>
        <w:t>2020</w:t>
      </w:r>
      <w:r>
        <w:rPr>
          <w:rFonts w:hint="eastAsia" w:ascii="仿宋_GB2312"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_GB2312" w:hAnsi="仿宋" w:eastAsia="仿宋_GB2312"/>
          <w:b/>
          <w:sz w:val="24"/>
          <w:highlight w:val="none"/>
        </w:rPr>
      </w:pPr>
      <w:r>
        <w:rPr>
          <w:rFonts w:hint="eastAsia" w:ascii="仿宋_GB2312" w:hAnsi="仿宋" w:eastAsia="仿宋_GB2312"/>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_GB2312" w:hAnsi="仿宋" w:eastAsia="仿宋_GB2312"/>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_GB2312" w:hAnsi="仿宋" w:eastAsia="仿宋_GB2312"/>
          <w:sz w:val="24"/>
          <w:highlight w:val="none"/>
        </w:rPr>
        <w:t>2.根据《政府采购促进中小企业发展管理办法》的通知（财库〔2020〕46号）规定，</w:t>
      </w:r>
      <w:r>
        <w:rPr>
          <w:rFonts w:hint="eastAsia" w:ascii="仿宋_GB2312" w:hAnsi="仿宋_GB2312" w:eastAsia="仿宋_GB2312" w:cs="仿宋_GB2312"/>
          <w:sz w:val="24"/>
          <w:highlight w:val="none"/>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中小企业声明函（工程、服务）</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仿宋_GB2312" w:hAnsi="宋体" w:cs="宋体"/>
          <w:sz w:val="24"/>
          <w:highlight w:val="none"/>
        </w:rPr>
        <w:t>﹝</w:t>
      </w:r>
      <w:r>
        <w:rPr>
          <w:rFonts w:hint="eastAsia" w:ascii="仿宋_GB2312" w:hAnsi="仿宋_GB2312" w:eastAsia="仿宋_GB2312" w:cs="仿宋_GB2312"/>
          <w:sz w:val="24"/>
          <w:highlight w:val="none"/>
        </w:rPr>
        <w:t>2020</w:t>
      </w:r>
      <w:r>
        <w:rPr>
          <w:rFonts w:hint="eastAsia" w:ascii="仿宋_GB2312"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_GB2312" w:hAnsi="仿宋" w:eastAsia="仿宋_GB2312"/>
          <w:b/>
          <w:sz w:val="24"/>
          <w:highlight w:val="none"/>
        </w:rPr>
      </w:pPr>
      <w:r>
        <w:rPr>
          <w:rFonts w:hint="eastAsia" w:ascii="仿宋_GB2312" w:hAnsi="仿宋" w:eastAsia="仿宋_GB2312"/>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_GB2312" w:hAnsi="仿宋" w:eastAsia="仿宋_GB2312"/>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_GB2312" w:hAnsi="仿宋" w:eastAsia="仿宋_GB2312"/>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p>
    <w:p>
      <w:pPr>
        <w:pageBreakBefore/>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残疾人福利性单位声明函</w:t>
      </w:r>
    </w:p>
    <w:p>
      <w:pPr>
        <w:spacing w:line="588" w:lineRule="exact"/>
        <w:rPr>
          <w:rFonts w:ascii="仿宋_GB2312" w:eastAsia="仿宋_GB2312"/>
          <w:b/>
          <w:spacing w:val="6"/>
          <w:sz w:val="30"/>
          <w:szCs w:val="30"/>
          <w:highlight w:val="none"/>
        </w:rPr>
      </w:pP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 xml:space="preserve">                 项目</w:t>
      </w:r>
      <w:r>
        <w:rPr>
          <w:rFonts w:hint="eastAsia" w:ascii="仿宋_GB2312" w:hAnsi="仿宋_GB2312" w:eastAsia="仿宋_GB2312"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highlight w:val="none"/>
        </w:rPr>
      </w:pPr>
    </w:p>
    <w:p>
      <w:pPr>
        <w:spacing w:line="588" w:lineRule="exact"/>
        <w:ind w:firstLine="480" w:firstLineChars="200"/>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声明单位（盖章）：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r>
        <w:rPr>
          <w:rFonts w:hint="eastAsia" w:ascii="仿宋_GB2312" w:hAnsi="仿宋" w:eastAsia="仿宋_GB2312"/>
          <w:sz w:val="24"/>
          <w:highlight w:val="none"/>
        </w:rPr>
        <w:t>根据《财政部 民政部 中国残疾人联合会关于促进残疾人就业政府采购政策的通知》（财库〔2017〕141号）规定填报。</w:t>
      </w:r>
    </w:p>
    <w:p>
      <w:pPr>
        <w:rPr>
          <w:rFonts w:ascii="仿宋_GB2312" w:eastAsia="仿宋_GB2312"/>
          <w:highlight w:val="none"/>
        </w:rPr>
      </w:pPr>
    </w:p>
    <w:p>
      <w:pPr>
        <w:tabs>
          <w:tab w:val="left" w:pos="4860"/>
        </w:tabs>
        <w:ind w:right="1559"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object>
          <v:shape id="_x0000_i1027" o:spt="75" type="#_x0000_t75" style="height:41.95pt;width:390.05pt;" o:ole="t" filled="f" o:preferrelative="t" stroked="f" coordsize="21600,21600">
            <v:path/>
            <v:fill on="f" focussize="0,0"/>
            <v:stroke on="f" joinstyle="miter"/>
            <v:imagedata r:id="rId23" o:title=""/>
            <o:lock v:ext="edit" aspectratio="t"/>
            <w10:wrap type="none"/>
            <w10:anchorlock/>
          </v:shape>
          <o:OLEObject Type="Embed" ProgID="Package" ShapeID="_x0000_i1027" DrawAspect="Content" ObjectID="_1468075727" r:id="rId22">
            <o:LockedField>false</o:LockedField>
          </o:OLEObject>
        </w:object>
      </w: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rPr>
          <w:rFonts w:ascii="仿宋_GB2312" w:hAnsi="仿宋_GB2312" w:eastAsia="仿宋_GB2312" w:cs="仿宋_GB2312"/>
          <w:b/>
          <w:sz w:val="24"/>
          <w:highlight w:val="none"/>
        </w:rPr>
      </w:pPr>
    </w:p>
    <w:p>
      <w:pPr>
        <w:spacing w:line="400" w:lineRule="exact"/>
        <w:rPr>
          <w:rFonts w:ascii="仿宋_GB2312" w:hAnsi="宋体" w:eastAsia="仿宋_GB2312"/>
          <w:b/>
          <w:sz w:val="24"/>
          <w:highlight w:val="none"/>
        </w:rPr>
      </w:pPr>
      <w:r>
        <w:rPr>
          <w:rFonts w:hint="eastAsia" w:ascii="仿宋_GB2312" w:hAnsi="宋体" w:eastAsia="仿宋_GB2312"/>
          <w:b/>
          <w:sz w:val="24"/>
          <w:highlight w:val="none"/>
        </w:rPr>
        <w:t>注：</w:t>
      </w:r>
      <w:r>
        <w:rPr>
          <w:rFonts w:hint="eastAsia" w:ascii="仿宋_GB2312" w:hAnsi="仿宋_GB2312" w:eastAsia="仿宋_GB2312" w:cs="仿宋_GB2312"/>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sz w:val="44"/>
          <w:szCs w:val="44"/>
          <w:highlight w:val="none"/>
        </w:rPr>
      </w:pPr>
    </w:p>
    <w:p>
      <w:pPr>
        <w:pageBreakBefore/>
        <w:jc w:val="center"/>
        <w:rPr>
          <w:rFonts w:ascii="仿宋_GB2312" w:hAnsi="仿宋" w:eastAsia="仿宋_GB2312" w:cs="仿宋"/>
          <w:b/>
          <w:bCs/>
          <w:sz w:val="44"/>
          <w:szCs w:val="44"/>
          <w:highlight w:val="none"/>
        </w:rPr>
      </w:pPr>
      <w:r>
        <w:rPr>
          <w:rFonts w:hint="eastAsia" w:ascii="仿宋_GB2312" w:hAnsi="仿宋" w:eastAsia="仿宋_GB2312" w:cs="仿宋"/>
          <w:b/>
          <w:bCs/>
          <w:sz w:val="44"/>
          <w:szCs w:val="44"/>
          <w:highlight w:val="none"/>
        </w:rPr>
        <w:t>质疑函范本</w:t>
      </w:r>
    </w:p>
    <w:p>
      <w:pPr>
        <w:adjustRightInd w:val="0"/>
        <w:snapToGrid w:val="0"/>
        <w:spacing w:line="360" w:lineRule="auto"/>
        <w:rPr>
          <w:rFonts w:ascii="仿宋_GB2312" w:hAnsi="黑体" w:eastAsia="仿宋_GB2312" w:cs="仿宋"/>
          <w:bCs/>
          <w:sz w:val="32"/>
          <w:szCs w:val="32"/>
          <w:highlight w:val="none"/>
        </w:rPr>
      </w:pPr>
      <w:r>
        <w:rPr>
          <w:rFonts w:hint="eastAsia" w:ascii="仿宋_GB2312" w:hAnsi="黑体" w:eastAsia="仿宋_GB2312" w:cs="仿宋"/>
          <w:bCs/>
          <w:sz w:val="32"/>
          <w:szCs w:val="32"/>
          <w:highlight w:val="none"/>
        </w:rPr>
        <w:t>一、质疑供应商基本信息</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质疑供应商：</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地址：</w:t>
      </w:r>
      <w:r>
        <w:rPr>
          <w:rFonts w:hint="eastAsia" w:ascii="仿宋_GB2312" w:hAnsi="仿宋" w:eastAsia="仿宋_GB2312" w:cs="仿宋"/>
          <w:sz w:val="32"/>
          <w:szCs w:val="32"/>
          <w:highlight w:val="none"/>
          <w:u w:val="dotted"/>
        </w:rPr>
        <w:t xml:space="preserve">                          </w:t>
      </w:r>
      <w:r>
        <w:rPr>
          <w:rFonts w:hint="eastAsia" w:ascii="仿宋_GB2312" w:hAnsi="仿宋" w:eastAsia="仿宋_GB2312" w:cs="仿宋"/>
          <w:sz w:val="32"/>
          <w:szCs w:val="32"/>
          <w:highlight w:val="none"/>
        </w:rPr>
        <w:t>邮编：</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联系人：</w:t>
      </w:r>
      <w:r>
        <w:rPr>
          <w:rFonts w:hint="eastAsia" w:ascii="仿宋_GB2312" w:hAnsi="仿宋" w:eastAsia="仿宋_GB2312" w:cs="仿宋"/>
          <w:sz w:val="32"/>
          <w:szCs w:val="32"/>
          <w:highlight w:val="none"/>
          <w:u w:val="dotted"/>
        </w:rPr>
        <w:t xml:space="preserve">                      </w:t>
      </w:r>
      <w:r>
        <w:rPr>
          <w:rFonts w:hint="eastAsia" w:ascii="仿宋_GB2312" w:hAnsi="仿宋" w:eastAsia="仿宋_GB2312" w:cs="仿宋"/>
          <w:sz w:val="32"/>
          <w:szCs w:val="32"/>
          <w:highlight w:val="none"/>
        </w:rPr>
        <w:t>联系电话：</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授权代表：</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联系电话：</w:t>
      </w:r>
      <w:r>
        <w:rPr>
          <w:rFonts w:hint="eastAsia" w:ascii="仿宋_GB2312" w:hAnsi="仿宋" w:eastAsia="仿宋_GB2312" w:cs="仿宋"/>
          <w:sz w:val="32"/>
          <w:szCs w:val="32"/>
          <w:highlight w:val="none"/>
          <w:u w:val="dotted"/>
        </w:rPr>
        <w:t xml:space="preserve">                                           </w:t>
      </w:r>
      <w:r>
        <w:rPr>
          <w:rFonts w:hint="eastAsia" w:ascii="仿宋_GB2312" w:hAnsi="仿宋" w:eastAsia="仿宋_GB2312" w:cs="仿宋"/>
          <w:sz w:val="32"/>
          <w:szCs w:val="32"/>
          <w:highlight w:val="none"/>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 xml:space="preserve">地址： </w:t>
      </w:r>
      <w:r>
        <w:rPr>
          <w:rFonts w:hint="eastAsia" w:ascii="仿宋_GB2312" w:hAnsi="仿宋" w:eastAsia="仿宋_GB2312" w:cs="仿宋"/>
          <w:sz w:val="32"/>
          <w:szCs w:val="32"/>
          <w:highlight w:val="none"/>
          <w:u w:val="dotted"/>
        </w:rPr>
        <w:t xml:space="preserve">                        </w:t>
      </w:r>
      <w:r>
        <w:rPr>
          <w:rFonts w:hint="eastAsia" w:ascii="仿宋_GB2312" w:hAnsi="仿宋" w:eastAsia="仿宋_GB2312" w:cs="仿宋"/>
          <w:sz w:val="32"/>
          <w:szCs w:val="32"/>
          <w:highlight w:val="none"/>
        </w:rPr>
        <w:t>邮编：</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黑体" w:eastAsia="仿宋_GB2312" w:cs="仿宋"/>
          <w:bCs/>
          <w:sz w:val="32"/>
          <w:szCs w:val="32"/>
          <w:highlight w:val="none"/>
        </w:rPr>
      </w:pPr>
      <w:r>
        <w:rPr>
          <w:rFonts w:hint="eastAsia" w:ascii="仿宋_GB2312" w:hAnsi="黑体" w:eastAsia="仿宋_GB2312" w:cs="仿宋"/>
          <w:bCs/>
          <w:sz w:val="32"/>
          <w:szCs w:val="32"/>
          <w:highlight w:val="none"/>
        </w:rPr>
        <w:t>二、质疑项目基本情况</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质疑项目的名称：</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质疑项目的编号：</w:t>
      </w:r>
      <w:r>
        <w:rPr>
          <w:rFonts w:hint="eastAsia" w:ascii="仿宋_GB2312" w:hAnsi="仿宋" w:eastAsia="仿宋_GB2312" w:cs="仿宋"/>
          <w:sz w:val="32"/>
          <w:szCs w:val="32"/>
          <w:highlight w:val="none"/>
          <w:u w:val="dotted"/>
        </w:rPr>
        <w:t xml:space="preserve">               </w:t>
      </w:r>
      <w:r>
        <w:rPr>
          <w:rFonts w:hint="eastAsia" w:ascii="仿宋_GB2312" w:hAnsi="仿宋" w:eastAsia="仿宋_GB2312" w:cs="仿宋"/>
          <w:sz w:val="32"/>
          <w:szCs w:val="32"/>
          <w:highlight w:val="none"/>
        </w:rPr>
        <w:t>包号：</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采购人名称：</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采购文件获取日期：</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黑体" w:eastAsia="仿宋_GB2312" w:cs="仿宋"/>
          <w:bCs/>
          <w:sz w:val="32"/>
          <w:szCs w:val="32"/>
          <w:highlight w:val="none"/>
        </w:rPr>
      </w:pPr>
      <w:r>
        <w:rPr>
          <w:rFonts w:hint="eastAsia" w:ascii="仿宋_GB2312" w:hAnsi="黑体" w:eastAsia="仿宋_GB2312" w:cs="仿宋"/>
          <w:bCs/>
          <w:sz w:val="32"/>
          <w:szCs w:val="32"/>
          <w:highlight w:val="none"/>
        </w:rPr>
        <w:t>三、质疑事项具体内容</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质疑事项1：</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事实依据：</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法律依据：</w:t>
      </w: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u w:val="dotted"/>
        </w:rPr>
        <w:t xml:space="preserve">                                                     </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质疑事项2</w:t>
      </w:r>
    </w:p>
    <w:p>
      <w:pPr>
        <w:adjustRightInd w:val="0"/>
        <w:snapToGrid w:val="0"/>
        <w:spacing w:line="360" w:lineRule="auto"/>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w:t>
      </w:r>
    </w:p>
    <w:p>
      <w:pPr>
        <w:adjustRightInd w:val="0"/>
        <w:snapToGrid w:val="0"/>
        <w:spacing w:line="360" w:lineRule="auto"/>
        <w:rPr>
          <w:rFonts w:ascii="仿宋_GB2312" w:hAnsi="黑体" w:eastAsia="仿宋_GB2312" w:cs="仿宋"/>
          <w:bCs/>
          <w:sz w:val="32"/>
          <w:szCs w:val="32"/>
          <w:highlight w:val="none"/>
        </w:rPr>
      </w:pPr>
      <w:r>
        <w:rPr>
          <w:rFonts w:hint="eastAsia" w:ascii="仿宋_GB2312" w:hAnsi="黑体" w:eastAsia="仿宋_GB2312" w:cs="仿宋"/>
          <w:bCs/>
          <w:sz w:val="32"/>
          <w:szCs w:val="32"/>
          <w:highlight w:val="none"/>
        </w:rPr>
        <w:t>四、与质疑事项相关的质疑请求</w:t>
      </w:r>
    </w:p>
    <w:p>
      <w:pPr>
        <w:adjustRightInd w:val="0"/>
        <w:snapToGrid w:val="0"/>
        <w:spacing w:line="360" w:lineRule="auto"/>
        <w:rPr>
          <w:rFonts w:ascii="仿宋_GB2312" w:hAnsi="仿宋" w:eastAsia="仿宋_GB2312" w:cs="仿宋"/>
          <w:sz w:val="32"/>
          <w:szCs w:val="32"/>
          <w:highlight w:val="none"/>
          <w:u w:val="dotted"/>
        </w:rPr>
      </w:pPr>
      <w:r>
        <w:rPr>
          <w:rFonts w:hint="eastAsia" w:ascii="仿宋_GB2312" w:hAnsi="仿宋" w:eastAsia="仿宋_GB2312" w:cs="仿宋"/>
          <w:sz w:val="32"/>
          <w:szCs w:val="32"/>
          <w:highlight w:val="none"/>
        </w:rPr>
        <w:t>请求：</w:t>
      </w:r>
      <w:r>
        <w:rPr>
          <w:rFonts w:hint="eastAsia" w:ascii="仿宋_GB2312" w:hAnsi="仿宋" w:eastAsia="仿宋_GB2312" w:cs="仿宋"/>
          <w:sz w:val="32"/>
          <w:szCs w:val="32"/>
          <w:highlight w:val="none"/>
          <w:u w:val="dotted"/>
        </w:rPr>
        <w:t xml:space="preserve">                                               </w:t>
      </w:r>
    </w:p>
    <w:p>
      <w:pPr>
        <w:rPr>
          <w:rFonts w:ascii="仿宋_GB2312" w:eastAsia="仿宋_GB2312"/>
          <w:sz w:val="30"/>
          <w:szCs w:val="30"/>
          <w:highlight w:val="none"/>
        </w:rPr>
      </w:pPr>
      <w:r>
        <w:rPr>
          <w:rFonts w:hint="eastAsia" w:ascii="仿宋_GB2312" w:eastAsia="仿宋_GB2312"/>
          <w:sz w:val="30"/>
          <w:szCs w:val="30"/>
          <w:highlight w:val="none"/>
        </w:rPr>
        <w:t xml:space="preserve">签字(签章)：                   公章：                      </w:t>
      </w:r>
    </w:p>
    <w:p>
      <w:pPr>
        <w:rPr>
          <w:rFonts w:ascii="仿宋_GB2312" w:eastAsia="仿宋_GB2312"/>
          <w:sz w:val="30"/>
          <w:szCs w:val="30"/>
          <w:highlight w:val="none"/>
        </w:rPr>
      </w:pPr>
      <w:r>
        <w:rPr>
          <w:rFonts w:hint="eastAsia" w:ascii="仿宋_GB2312" w:eastAsia="仿宋_GB2312"/>
          <w:sz w:val="30"/>
          <w:szCs w:val="30"/>
          <w:highlight w:val="none"/>
        </w:rPr>
        <w:t xml:space="preserve">日期：    </w:t>
      </w:r>
    </w:p>
    <w:p>
      <w:pPr>
        <w:adjustRightInd w:val="0"/>
        <w:snapToGrid w:val="0"/>
        <w:spacing w:line="360" w:lineRule="auto"/>
        <w:rPr>
          <w:rFonts w:ascii="仿宋_GB2312" w:hAnsi="仿宋" w:eastAsia="仿宋_GB2312" w:cs="仿宋"/>
          <w:sz w:val="32"/>
          <w:szCs w:val="32"/>
          <w:highlight w:val="none"/>
        </w:rPr>
      </w:pPr>
    </w:p>
    <w:p>
      <w:pPr>
        <w:adjustRightInd w:val="0"/>
        <w:snapToGrid w:val="0"/>
        <w:spacing w:line="360" w:lineRule="auto"/>
        <w:rPr>
          <w:rFonts w:ascii="仿宋_GB2312" w:hAnsi="仿宋" w:eastAsia="仿宋_GB2312" w:cs="仿宋"/>
          <w:sz w:val="32"/>
          <w:szCs w:val="32"/>
          <w:highlight w:val="none"/>
        </w:rPr>
      </w:pPr>
    </w:p>
    <w:p>
      <w:pPr>
        <w:jc w:val="center"/>
        <w:rPr>
          <w:rFonts w:ascii="仿宋_GB2312" w:hAnsi="仿宋" w:eastAsia="仿宋_GB2312" w:cs="仿宋"/>
          <w:b/>
          <w:bCs/>
          <w:sz w:val="32"/>
          <w:szCs w:val="32"/>
          <w:highlight w:val="none"/>
        </w:rPr>
      </w:pPr>
    </w:p>
    <w:p>
      <w:pPr>
        <w:jc w:val="center"/>
        <w:rPr>
          <w:rFonts w:ascii="仿宋_GB2312" w:hAnsi="仿宋" w:eastAsia="仿宋_GB2312" w:cs="仿宋"/>
          <w:b/>
          <w:bCs/>
          <w:sz w:val="32"/>
          <w:szCs w:val="32"/>
          <w:highlight w:val="none"/>
        </w:rPr>
      </w:pPr>
    </w:p>
    <w:p>
      <w:pPr>
        <w:jc w:val="center"/>
        <w:rPr>
          <w:rFonts w:ascii="仿宋_GB2312" w:hAnsi="仿宋" w:eastAsia="仿宋_GB2312" w:cs="仿宋"/>
          <w:b/>
          <w:bCs/>
          <w:sz w:val="32"/>
          <w:szCs w:val="32"/>
          <w:highlight w:val="none"/>
        </w:rPr>
      </w:pPr>
    </w:p>
    <w:p>
      <w:pPr>
        <w:rPr>
          <w:rFonts w:ascii="仿宋_GB2312" w:hAnsi="黑体" w:eastAsia="仿宋_GB2312"/>
          <w:b/>
          <w:sz w:val="32"/>
          <w:szCs w:val="32"/>
          <w:highlight w:val="none"/>
        </w:rPr>
      </w:pPr>
      <w:r>
        <w:rPr>
          <w:rFonts w:hint="eastAsia" w:ascii="仿宋_GB2312" w:hAnsi="黑体" w:eastAsia="仿宋_GB2312"/>
          <w:b/>
          <w:sz w:val="32"/>
          <w:szCs w:val="32"/>
          <w:highlight w:val="none"/>
        </w:rPr>
        <w:t>质疑函制作说明：</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1.供应商提出质疑时，应提交质疑函和必要的证明材料。</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4.质疑函的质疑事项应具体、明确，并有必要的事实依据和法律依据。</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5.质疑函的质疑请求应与质疑事项相关。</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国家统计局关于印发《统计上</w:t>
      </w:r>
      <w:r>
        <w:rPr>
          <w:rFonts w:hint="eastAsia" w:ascii="仿宋_GB2312" w:hAnsi="宋体" w:eastAsia="仿宋_GB2312" w:cs="宋体"/>
          <w:b/>
          <w:bCs/>
          <w:kern w:val="0"/>
          <w:sz w:val="36"/>
          <w:szCs w:val="36"/>
          <w:highlight w:val="none"/>
        </w:rPr>
        <w:br w:type="textWrapping"/>
      </w:r>
      <w:r>
        <w:rPr>
          <w:rFonts w:hint="eastAsia" w:ascii="仿宋_GB2312" w:hAnsi="宋体" w:eastAsia="仿宋_GB2312" w:cs="宋体"/>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国家统计局</w:t>
      </w:r>
      <w:r>
        <w:rPr>
          <w:rFonts w:hint="eastAsia" w:ascii="宋体" w:hAnsi="宋体" w:eastAsia="仿宋_GB2312" w:cs="宋体"/>
          <w:kern w:val="0"/>
          <w:szCs w:val="21"/>
          <w:highlight w:val="none"/>
        </w:rPr>
        <w:t>  </w:t>
      </w:r>
    </w:p>
    <w:p>
      <w:pPr>
        <w:widowControl/>
        <w:shd w:val="clear" w:color="auto" w:fill="FFFFFF"/>
        <w:spacing w:before="150" w:line="420" w:lineRule="atLeast"/>
        <w:ind w:right="825"/>
        <w:jc w:val="righ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2017年12月28日</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宋体" w:hAnsi="宋体" w:eastAsia="仿宋_GB2312" w:cs="宋体"/>
          <w:kern w:val="0"/>
          <w:szCs w:val="21"/>
          <w:highlight w:val="none"/>
        </w:rPr>
        <w:t> </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附表：统计上大中小微型企业划分标准</w:t>
      </w:r>
    </w:p>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18"/>
          <w:szCs w:val="18"/>
          <w:highlight w:val="none"/>
        </w:rPr>
        <w:br w:type="textWrapping"/>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农、林、牧、渔业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Y≥20000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500≤Y＜20000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50≤Y＜500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工业 *</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300≤X＜1000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20≤X＜300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Y≥40000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2000≤Y＜40000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300≤Y＜2000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建筑业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Y≥80000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6000≤Y＜80000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300≤Y＜6000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资产总额(Z)</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Z≥80000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5000≤Z＜80000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300≤Z＜5000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批发业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20≤X＜200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5≤X＜20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Y≥40000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5000≤Y＜40000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1000≤Y＜5000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零售业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10≤X＜50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Y≥20000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500≤Y＜20000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100≤Y＜500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交通运输业 *</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300≤X＜1000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20≤X＜300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Y≥30000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3000≤Y＜30000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200≤Y＜3000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仓储业*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100≤X＜200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Y≥30000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1000≤Y＜30000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100≤Y＜1000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邮政业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300≤X＜1000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20≤X＜300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Y≥30000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2000≤Y＜30000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100≤Y＜2000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住宿业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2000≤Y＜10000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100≤Y＜2000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餐饮业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2000≤Y＜10000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100≤Y＜2000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信息传输业 *</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X≥2000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100≤X＜2000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1000≤Y＜100000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100≤Y＜1000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软件和信息技术服务业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1000≤Y＜10000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50≤Y＜1000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房地产开发经营</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Y≥200000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1000≤Y＜200000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100≤Y＜1000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资产总额(Z)</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Z≥10000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5000≤Z＜10000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2000≤Z＜5000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物业管理</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300≤X＜1000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营业收入(Y)</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Y≥5000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1000≤Y＜5000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500≤Y＜1000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租赁和商务服务业</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highlight w:val="none"/>
              </w:rPr>
            </w:pP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资产总额(Z)</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万元</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Z≥120000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8000≤Z＜120000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100≤Z＜8000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其他未列明行业 *</w:t>
            </w:r>
          </w:p>
        </w:tc>
        <w:tc>
          <w:tcPr>
            <w:tcW w:w="156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从业人员(X)</w:t>
            </w:r>
          </w:p>
        </w:tc>
        <w:tc>
          <w:tcPr>
            <w:tcW w:w="67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人</w:t>
            </w:r>
          </w:p>
        </w:tc>
        <w:tc>
          <w:tcPr>
            <w:tcW w:w="123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X≥300</w:t>
            </w:r>
          </w:p>
        </w:tc>
        <w:tc>
          <w:tcPr>
            <w:tcW w:w="1891"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100≤X＜300</w:t>
            </w:r>
          </w:p>
        </w:tc>
        <w:tc>
          <w:tcPr>
            <w:tcW w:w="1730"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10≤X＜100</w:t>
            </w:r>
          </w:p>
        </w:tc>
        <w:tc>
          <w:tcPr>
            <w:tcW w:w="1203"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X＜10</w:t>
            </w:r>
          </w:p>
        </w:tc>
      </w:tr>
    </w:tbl>
    <w:p>
      <w:pPr>
        <w:widowControl/>
        <w:shd w:val="clear" w:color="auto" w:fill="FFFFFF"/>
        <w:spacing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说明： 　　</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1.大型、中型和小型企业须同时满足所列指标的下限，否则下划一档；微型企业只须满足所列指标中的一项即可。 　　</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3.企业划分指标以现行统计制度为准。</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（1）从业人员，是指期末从业人员数，没有期末从业人员数的，采用全年平均人员数代替。</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（3）资产总额，采用资产总计代替。</w:t>
      </w:r>
    </w:p>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18"/>
          <w:szCs w:val="18"/>
          <w:highlight w:val="none"/>
        </w:rPr>
        <w:br w:type="textWrapping"/>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highlight w:val="none"/>
        </w:rPr>
      </w:pPr>
      <w:r>
        <w:rPr>
          <w:rFonts w:hint="eastAsia" w:ascii="仿宋_GB2312" w:hAnsi="宋体" w:eastAsia="仿宋_GB2312" w:cs="宋体"/>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highlight w:val="none"/>
        </w:rPr>
      </w:pPr>
      <w:r>
        <w:rPr>
          <w:rFonts w:hint="eastAsia" w:ascii="仿宋_GB2312" w:hAnsi="宋体" w:eastAsia="仿宋_GB2312" w:cs="宋体"/>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18"/>
          <w:szCs w:val="18"/>
          <w:highlight w:val="none"/>
        </w:rPr>
        <w:br w:type="textWrapping"/>
      </w:r>
      <w:r>
        <w:rPr>
          <w:rFonts w:hint="eastAsia" w:ascii="仿宋_GB2312" w:hAnsi="宋体" w:eastAsia="仿宋_GB2312" w:cs="宋体"/>
          <w:kern w:val="0"/>
          <w:sz w:val="18"/>
          <w:szCs w:val="18"/>
          <w:highlight w:val="none"/>
        </w:rPr>
        <w:br w:type="textWrapping"/>
      </w:r>
    </w:p>
    <w:p>
      <w:pPr>
        <w:widowControl/>
        <w:shd w:val="clear" w:color="auto" w:fill="FFFFFF"/>
        <w:spacing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中国人民银行中国银行业监督管理委员会</w:t>
      </w:r>
      <w:r>
        <w:rPr>
          <w:rFonts w:hint="eastAsia" w:ascii="仿宋_GB2312" w:hAnsi="宋体" w:eastAsia="仿宋_GB2312" w:cs="宋体"/>
          <w:b/>
          <w:bCs/>
          <w:kern w:val="0"/>
          <w:sz w:val="36"/>
          <w:szCs w:val="36"/>
          <w:highlight w:val="none"/>
        </w:rPr>
        <w:br w:type="textWrapping"/>
      </w:r>
      <w:r>
        <w:rPr>
          <w:rFonts w:hint="eastAsia" w:ascii="仿宋_GB2312" w:hAnsi="宋体" w:eastAsia="仿宋_GB2312" w:cs="宋体"/>
          <w:b/>
          <w:bCs/>
          <w:kern w:val="0"/>
          <w:sz w:val="36"/>
          <w:szCs w:val="36"/>
          <w:highlight w:val="none"/>
        </w:rPr>
        <w:t>中国证券监督管理委员会中国保险监督管理委员会</w:t>
      </w:r>
      <w:r>
        <w:rPr>
          <w:rFonts w:hint="eastAsia" w:ascii="仿宋_GB2312" w:hAnsi="宋体" w:eastAsia="仿宋_GB2312" w:cs="宋体"/>
          <w:b/>
          <w:bCs/>
          <w:kern w:val="0"/>
          <w:sz w:val="36"/>
          <w:szCs w:val="36"/>
          <w:highlight w:val="none"/>
        </w:rPr>
        <w:br w:type="textWrapping"/>
      </w:r>
      <w:r>
        <w:rPr>
          <w:rFonts w:hint="eastAsia" w:ascii="仿宋_GB2312" w:hAnsi="宋体" w:eastAsia="仿宋_GB2312"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二、 适用范围。本规定适用于从事《国民经济行业分类》(GB/T4754-2011)中J门类（金融业）活动的企业。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五、指标标准值。依据指标标准值，将各类金融业企业划分为大、中、小、微四个规模类型，中型企业标准上限及以上的为大型企业。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七、 标准值的评估和调整。金融业企业划型标准工作组</w:t>
      </w:r>
      <w:r>
        <w:rPr>
          <w:rFonts w:hint="eastAsia" w:ascii="仿宋_GB2312" w:hAnsi="宋体" w:cs="宋体"/>
          <w:kern w:val="0"/>
          <w:szCs w:val="21"/>
          <w:highlight w:val="none"/>
        </w:rPr>
        <w:t>毎</w:t>
      </w:r>
      <w:r>
        <w:rPr>
          <w:rFonts w:hint="eastAsia" w:ascii="仿宋_GB2312" w:hAnsi="宋体" w:eastAsia="仿宋_GB2312" w:cs="宋体"/>
          <w:kern w:val="0"/>
          <w:szCs w:val="21"/>
          <w:highlight w:val="none"/>
        </w:rPr>
        <w:t>五年对划型标准值受经济发展与通货膨胀等因素的响程度进行评估和调整。</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九、 融资担保公司参照本规定中“除贷款公司、小额贷款公司、典当行以外的其他金融机构”标准划型。</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十、本规定由人民银行会同银监会，证监会、保监会和统计局负责解释。</w:t>
      </w:r>
      <w:r>
        <w:rPr>
          <w:rFonts w:hint="eastAsia" w:ascii="仿宋_GB2312" w:hAnsi="宋体" w:eastAsia="仿宋_GB2312" w:cs="宋体"/>
          <w:kern w:val="0"/>
          <w:szCs w:val="21"/>
          <w:highlight w:val="none"/>
        </w:rPr>
        <w:br w:type="textWrapping"/>
      </w:r>
      <w:r>
        <w:rPr>
          <w:rFonts w:hint="eastAsia" w:ascii="仿宋_GB2312" w:hAnsi="宋体" w:eastAsia="仿宋_GB2312" w:cs="宋体"/>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highlight w:val="none"/>
        </w:rPr>
      </w:pPr>
      <w:r>
        <w:rPr>
          <w:rFonts w:hint="eastAsia" w:ascii="仿宋_GB2312" w:hAnsi="宋体" w:eastAsia="仿宋_GB2312" w:cs="宋体"/>
          <w:b/>
          <w:bCs/>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highlight w:val="none"/>
              </w:rPr>
            </w:pPr>
            <w:r>
              <w:rPr>
                <w:rFonts w:hint="eastAsia" w:ascii="仿宋_GB2312" w:hAnsi="宋体" w:eastAsia="仿宋_GB2312" w:cs="宋体"/>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货币金融服务</w:t>
            </w:r>
          </w:p>
        </w:tc>
        <w:tc>
          <w:tcPr>
            <w:tcW w:w="102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货币银行服务</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银行业存款类金融机构</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非货币银行服务</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银行业非存款类金融机构</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贷款公司、小额贷款公司及典当行</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资本市场服务</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证券业金融机构</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保险业</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保险业金融机构</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其他金融业</w:t>
            </w:r>
          </w:p>
        </w:tc>
        <w:tc>
          <w:tcPr>
            <w:tcW w:w="102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金融信托与管理服务</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信托公司</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控股公司服务</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金融控股公司</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其他未包括的金融业</w:t>
            </w:r>
          </w:p>
        </w:tc>
        <w:tc>
          <w:tcPr>
            <w:tcW w:w="2836" w:type="dxa"/>
            <w:vMerge w:val="restart"/>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除贷款公司、小额贷款公司及典当行以外的其他金融机构</w:t>
            </w: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中型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小型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highlight w:val="none"/>
              </w:rPr>
            </w:pPr>
          </w:p>
        </w:tc>
        <w:tc>
          <w:tcPr>
            <w:tcW w:w="1025" w:type="dxa"/>
            <w:vMerge w:val="continue"/>
            <w:vAlign w:val="center"/>
          </w:tcPr>
          <w:p>
            <w:pPr>
              <w:widowControl/>
              <w:jc w:val="left"/>
              <w:rPr>
                <w:rFonts w:ascii="仿宋_GB2312" w:hAnsi="宋体" w:eastAsia="仿宋_GB2312" w:cs="宋体"/>
                <w:kern w:val="0"/>
                <w:sz w:val="24"/>
                <w:highlight w:val="none"/>
              </w:rPr>
            </w:pPr>
          </w:p>
        </w:tc>
        <w:tc>
          <w:tcPr>
            <w:tcW w:w="2836" w:type="dxa"/>
            <w:vMerge w:val="continue"/>
            <w:vAlign w:val="center"/>
          </w:tcPr>
          <w:p>
            <w:pPr>
              <w:widowControl/>
              <w:jc w:val="left"/>
              <w:rPr>
                <w:rFonts w:ascii="仿宋_GB2312" w:hAnsi="宋体" w:eastAsia="仿宋_GB2312" w:cs="宋体"/>
                <w:kern w:val="0"/>
                <w:sz w:val="24"/>
                <w:highlight w:val="none"/>
              </w:rPr>
            </w:pPr>
          </w:p>
        </w:tc>
        <w:tc>
          <w:tcPr>
            <w:tcW w:w="60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微型</w:t>
            </w:r>
          </w:p>
        </w:tc>
        <w:tc>
          <w:tcPr>
            <w:tcW w:w="3326" w:type="dxa"/>
            <w:vAlign w:val="center"/>
          </w:tcPr>
          <w:p>
            <w:pPr>
              <w:widowControl/>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sectPr>
      <w:footerReference r:id="rId7" w:type="default"/>
      <w:footerReference r:id="rId8" w:type="even"/>
      <w:pgSz w:w="11906" w:h="16838"/>
      <w:pgMar w:top="1440" w:right="1558" w:bottom="1246" w:left="1758" w:header="1021" w:footer="90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绍兴市鼎正建设工程咨询有限公司                     招标文件招标编号:CGSHZJ-2023-N000832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0"/>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9F5923C"/>
    <w:multiLevelType w:val="singleLevel"/>
    <w:tmpl w:val="39F5923C"/>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xOGExYzg3YTBkMGMyZjc2N2ExMTkwNWVmZThjYjMifQ=="/>
    <w:docVar w:name="KSO_WPS_MARK_KEY" w:val="71ec93a4-f9b1-4cb8-b578-f3afd4638d20"/>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37FE"/>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C43"/>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874AE"/>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62A0"/>
    <w:rsid w:val="00307917"/>
    <w:rsid w:val="00310479"/>
    <w:rsid w:val="00310AA4"/>
    <w:rsid w:val="0031167A"/>
    <w:rsid w:val="00316329"/>
    <w:rsid w:val="00320610"/>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5FE8"/>
    <w:rsid w:val="003670EB"/>
    <w:rsid w:val="00367EAB"/>
    <w:rsid w:val="0037368A"/>
    <w:rsid w:val="00375107"/>
    <w:rsid w:val="0037517D"/>
    <w:rsid w:val="003822F9"/>
    <w:rsid w:val="00384E3C"/>
    <w:rsid w:val="00385323"/>
    <w:rsid w:val="00390930"/>
    <w:rsid w:val="0039130B"/>
    <w:rsid w:val="00391E7C"/>
    <w:rsid w:val="00393589"/>
    <w:rsid w:val="00393A4C"/>
    <w:rsid w:val="003949AE"/>
    <w:rsid w:val="003A137B"/>
    <w:rsid w:val="003A19D2"/>
    <w:rsid w:val="003A3963"/>
    <w:rsid w:val="003A5459"/>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26E2"/>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C52"/>
    <w:rsid w:val="00694D00"/>
    <w:rsid w:val="006A1906"/>
    <w:rsid w:val="006A3D9E"/>
    <w:rsid w:val="006A4F05"/>
    <w:rsid w:val="006A69A8"/>
    <w:rsid w:val="006B183A"/>
    <w:rsid w:val="006B1A97"/>
    <w:rsid w:val="006B3AAF"/>
    <w:rsid w:val="006B4F54"/>
    <w:rsid w:val="006B6B67"/>
    <w:rsid w:val="006C002F"/>
    <w:rsid w:val="006C02F5"/>
    <w:rsid w:val="006C29F4"/>
    <w:rsid w:val="006C5FEF"/>
    <w:rsid w:val="006C7EB3"/>
    <w:rsid w:val="006D5227"/>
    <w:rsid w:val="006D629D"/>
    <w:rsid w:val="006E16EB"/>
    <w:rsid w:val="006E51D3"/>
    <w:rsid w:val="006E64A5"/>
    <w:rsid w:val="006E6C77"/>
    <w:rsid w:val="006E772C"/>
    <w:rsid w:val="006E797A"/>
    <w:rsid w:val="006F0A0C"/>
    <w:rsid w:val="006F1D8D"/>
    <w:rsid w:val="006F2510"/>
    <w:rsid w:val="006F3A0F"/>
    <w:rsid w:val="006F3A20"/>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2012"/>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641"/>
    <w:rsid w:val="007A4FF4"/>
    <w:rsid w:val="007A5361"/>
    <w:rsid w:val="007A6CC8"/>
    <w:rsid w:val="007B0001"/>
    <w:rsid w:val="007B3695"/>
    <w:rsid w:val="007B58B1"/>
    <w:rsid w:val="007B5ADD"/>
    <w:rsid w:val="007B6A7E"/>
    <w:rsid w:val="007B7257"/>
    <w:rsid w:val="007C2503"/>
    <w:rsid w:val="007C2B7A"/>
    <w:rsid w:val="007C4BF9"/>
    <w:rsid w:val="007C5716"/>
    <w:rsid w:val="007C5AA0"/>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8DF"/>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4C76"/>
    <w:rsid w:val="00906681"/>
    <w:rsid w:val="00907BAD"/>
    <w:rsid w:val="00910AEC"/>
    <w:rsid w:val="00911FE1"/>
    <w:rsid w:val="00912BD2"/>
    <w:rsid w:val="009175CE"/>
    <w:rsid w:val="0092030F"/>
    <w:rsid w:val="009215A1"/>
    <w:rsid w:val="00921A52"/>
    <w:rsid w:val="0092222E"/>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66A98"/>
    <w:rsid w:val="009700D6"/>
    <w:rsid w:val="00970329"/>
    <w:rsid w:val="00970F9E"/>
    <w:rsid w:val="009712BD"/>
    <w:rsid w:val="00974BCB"/>
    <w:rsid w:val="00975C87"/>
    <w:rsid w:val="00976585"/>
    <w:rsid w:val="00986357"/>
    <w:rsid w:val="00991BA1"/>
    <w:rsid w:val="009924D5"/>
    <w:rsid w:val="009931AC"/>
    <w:rsid w:val="00993E50"/>
    <w:rsid w:val="00995623"/>
    <w:rsid w:val="00995C94"/>
    <w:rsid w:val="00996E01"/>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0682C"/>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37B1A"/>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3FBF"/>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E6977"/>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26772"/>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445"/>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63C"/>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0F1B"/>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7C5CB5"/>
    <w:rsid w:val="0C121409"/>
    <w:rsid w:val="0D9755F8"/>
    <w:rsid w:val="0DEF71E2"/>
    <w:rsid w:val="103D3004"/>
    <w:rsid w:val="21283708"/>
    <w:rsid w:val="24213A15"/>
    <w:rsid w:val="2D4B2D30"/>
    <w:rsid w:val="30A160B0"/>
    <w:rsid w:val="381D054B"/>
    <w:rsid w:val="3A804227"/>
    <w:rsid w:val="3AC1229D"/>
    <w:rsid w:val="3BB96905"/>
    <w:rsid w:val="416054BA"/>
    <w:rsid w:val="49932846"/>
    <w:rsid w:val="4C783188"/>
    <w:rsid w:val="51796636"/>
    <w:rsid w:val="55304B5C"/>
    <w:rsid w:val="5A8A1A65"/>
    <w:rsid w:val="5D1A4C6C"/>
    <w:rsid w:val="60F4390D"/>
    <w:rsid w:val="64F76BAF"/>
    <w:rsid w:val="666B2C72"/>
    <w:rsid w:val="6AB439BF"/>
    <w:rsid w:val="6B4355EC"/>
    <w:rsid w:val="72E87C49"/>
    <w:rsid w:val="7A3C4DC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qFormat="1"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2"/>
    <w:qFormat/>
    <w:uiPriority w:val="0"/>
    <w:rPr>
      <w:rFonts w:ascii="宋体" w:hAnsi="Courier New"/>
      <w:szCs w:val="20"/>
    </w:rPr>
  </w:style>
  <w:style w:type="paragraph" w:styleId="23">
    <w:name w:val="Date"/>
    <w:basedOn w:val="1"/>
    <w:next w:val="1"/>
    <w:link w:val="65"/>
    <w:qFormat/>
    <w:uiPriority w:val="0"/>
    <w:rPr>
      <w:rFonts w:ascii="楷体_GB2312" w:eastAsia="楷体_GB2312"/>
      <w:b/>
      <w:sz w:val="28"/>
      <w:szCs w:val="20"/>
    </w:rPr>
  </w:style>
  <w:style w:type="paragraph" w:styleId="24">
    <w:name w:val="Body Text Indent 2"/>
    <w:basedOn w:val="1"/>
    <w:link w:val="79"/>
    <w:qFormat/>
    <w:uiPriority w:val="0"/>
    <w:pPr>
      <w:spacing w:after="120" w:line="480" w:lineRule="auto"/>
      <w:ind w:left="420" w:leftChars="200"/>
    </w:pPr>
  </w:style>
  <w:style w:type="paragraph" w:styleId="25">
    <w:name w:val="Balloon Text"/>
    <w:basedOn w:val="1"/>
    <w:link w:val="197"/>
    <w:semiHidden/>
    <w:qFormat/>
    <w:uiPriority w:val="0"/>
    <w:rPr>
      <w:sz w:val="18"/>
      <w:szCs w:val="18"/>
    </w:rPr>
  </w:style>
  <w:style w:type="paragraph" w:styleId="26">
    <w:name w:val="footer"/>
    <w:basedOn w:val="1"/>
    <w:link w:val="67"/>
    <w:qFormat/>
    <w:uiPriority w:val="99"/>
    <w:pPr>
      <w:tabs>
        <w:tab w:val="center" w:pos="4153"/>
        <w:tab w:val="right" w:pos="8306"/>
      </w:tabs>
      <w:snapToGrid w:val="0"/>
      <w:jc w:val="left"/>
    </w:pPr>
    <w:rPr>
      <w:sz w:val="18"/>
      <w:szCs w:val="18"/>
    </w:rPr>
  </w:style>
  <w:style w:type="paragraph" w:styleId="27">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List Number 5"/>
    <w:basedOn w:val="1"/>
    <w:semiHidden/>
    <w:unhideWhenUsed/>
    <w:qFormat/>
    <w:uiPriority w:val="0"/>
    <w:pPr>
      <w:numPr>
        <w:ilvl w:val="0"/>
        <w:numId w:val="5"/>
      </w:numPr>
      <w:contextualSpacing/>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2"/>
    <w:qFormat/>
    <w:uiPriority w:val="0"/>
    <w:rPr>
      <w:rFonts w:eastAsia="仿宋_GB2312"/>
      <w:b/>
      <w:kern w:val="44"/>
      <w:sz w:val="44"/>
      <w:lang w:val="en-US" w:eastAsia="zh-CN" w:bidi="ar-SA"/>
    </w:rPr>
  </w:style>
  <w:style w:type="character" w:customStyle="1" w:styleId="52">
    <w:name w:val="正文缩进 Char"/>
    <w:link w:val="4"/>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3"/>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2"/>
    <w:qFormat/>
    <w:uiPriority w:val="0"/>
    <w:rPr>
      <w:rFonts w:ascii="宋体" w:hAnsi="Courier New" w:eastAsia="宋体"/>
      <w:kern w:val="2"/>
      <w:sz w:val="21"/>
      <w:lang w:val="en-US" w:eastAsia="zh-CN" w:bidi="ar-SA"/>
    </w:rPr>
  </w:style>
  <w:style w:type="paragraph" w:customStyle="1" w:styleId="63">
    <w:name w:val="表正文"/>
    <w:basedOn w:val="1"/>
    <w:next w:val="22"/>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3"/>
    <w:qFormat/>
    <w:uiPriority w:val="0"/>
    <w:rPr>
      <w:rFonts w:ascii="楷体_GB2312" w:eastAsia="楷体_GB2312"/>
      <w:b/>
      <w:kern w:val="2"/>
      <w:sz w:val="28"/>
      <w:lang w:val="en-US" w:eastAsia="zh-CN" w:bidi="ar-SA"/>
    </w:rPr>
  </w:style>
  <w:style w:type="character" w:customStyle="1" w:styleId="66">
    <w:name w:val="页眉 Char1"/>
    <w:link w:val="27"/>
    <w:qFormat/>
    <w:uiPriority w:val="0"/>
    <w:rPr>
      <w:rFonts w:eastAsia="宋体"/>
      <w:kern w:val="2"/>
      <w:sz w:val="18"/>
      <w:szCs w:val="18"/>
      <w:lang w:val="en-US" w:eastAsia="zh-CN" w:bidi="ar-SA"/>
    </w:rPr>
  </w:style>
  <w:style w:type="character" w:customStyle="1" w:styleId="67">
    <w:name w:val="页脚 Char"/>
    <w:link w:val="26"/>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4"/>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5"/>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7"/>
    <w:link w:val="39"/>
    <w:semiHidden/>
    <w:qFormat/>
    <w:uiPriority w:val="0"/>
    <w:rPr>
      <w:rFonts w:eastAsia="宋体"/>
      <w:b/>
      <w:bCs/>
      <w:kern w:val="2"/>
      <w:sz w:val="24"/>
      <w:szCs w:val="24"/>
      <w:lang w:val="en-US" w:eastAsia="zh-CN" w:bidi="ar-SA"/>
    </w:rPr>
  </w:style>
  <w:style w:type="character" w:customStyle="1" w:styleId="201">
    <w:name w:val="正文首行缩进 Char"/>
    <w:basedOn w:val="162"/>
    <w:link w:val="40"/>
    <w:qFormat/>
    <w:uiPriority w:val="0"/>
    <w:rPr>
      <w:rFonts w:eastAsia="仿宋_GB2312"/>
      <w:kern w:val="2"/>
      <w:sz w:val="21"/>
      <w:szCs w:val="24"/>
      <w:lang w:val="en-US" w:eastAsia="zh-CN" w:bidi="ar-SA"/>
    </w:rPr>
  </w:style>
  <w:style w:type="character" w:customStyle="1" w:styleId="202">
    <w:name w:val="正文首行缩进 2 Char"/>
    <w:basedOn w:val="64"/>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4"/>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styleId="285">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86">
    <w:name w:val="首行缩进"/>
    <w:basedOn w:val="1"/>
    <w:qFormat/>
    <w:uiPriority w:val="99"/>
    <w:pPr>
      <w:spacing w:line="360" w:lineRule="auto"/>
      <w:ind w:firstLine="480" w:firstLineChars="200"/>
    </w:pPr>
    <w:rPr>
      <w:sz w:val="24"/>
      <w:szCs w:val="22"/>
      <w:lang w:val="zh-CN"/>
    </w:rPr>
  </w:style>
  <w:style w:type="table" w:customStyle="1" w:styleId="287">
    <w:name w:val="网格型11"/>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A753E-8143-4B77-BAD6-394FCFF4242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53425</Words>
  <Characters>57643</Characters>
  <Lines>2321</Lines>
  <Paragraphs>1589</Paragraphs>
  <TotalTime>14</TotalTime>
  <ScaleCrop>false</ScaleCrop>
  <LinksUpToDate>false</LinksUpToDate>
  <CharactersWithSpaces>64617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2023-01-19T07:37:00Z</dcterms:created>
  <dc:creator>USER</dc:creator>
  <cp:lastModifiedBy>夏</cp:lastModifiedBy>
  <cp:lastPrinted>2023-03-24T05:51:00Z</cp:lastPrinted>
  <dcterms:modified xsi:type="dcterms:W3CDTF">2023-04-17T14:28:32Z</dcterms:modified>
  <dc:title>绍兴文理学院计算机机房设备及录播系统供货项目</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8E367B33FA7149058AD61329E879BA61</vt:lpwstr>
  </property>
</Properties>
</file>