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color w:val="auto"/>
          <w:sz w:val="24"/>
          <w:highlight w:val="none"/>
        </w:rPr>
      </w:pPr>
    </w:p>
    <w:p w14:paraId="77A9557B">
      <w:pPr>
        <w:spacing w:line="360" w:lineRule="auto"/>
        <w:jc w:val="center"/>
        <w:rPr>
          <w:rFonts w:ascii="宋体" w:hAnsi="宋体" w:cs="宋体"/>
          <w:b/>
          <w:color w:val="auto"/>
          <w:sz w:val="24"/>
          <w:highlight w:val="none"/>
        </w:rPr>
      </w:pPr>
    </w:p>
    <w:p w14:paraId="540799E8">
      <w:pPr>
        <w:spacing w:line="360" w:lineRule="auto"/>
        <w:jc w:val="center"/>
        <w:rPr>
          <w:rFonts w:ascii="宋体" w:hAnsi="宋体" w:cs="宋体"/>
          <w:b/>
          <w:color w:val="auto"/>
          <w:sz w:val="44"/>
          <w:szCs w:val="44"/>
          <w:highlight w:val="none"/>
        </w:rPr>
      </w:pPr>
    </w:p>
    <w:p w14:paraId="47548AC0">
      <w:pPr>
        <w:adjustRightInd/>
        <w:spacing w:line="360" w:lineRule="auto"/>
        <w:jc w:val="center"/>
        <w:rPr>
          <w:rFonts w:ascii="宋体" w:hAnsi="宋体" w:cs="宋体"/>
          <w:b/>
          <w:color w:val="auto"/>
          <w:sz w:val="48"/>
          <w:szCs w:val="48"/>
          <w:highlight w:val="none"/>
        </w:rPr>
      </w:pPr>
    </w:p>
    <w:p w14:paraId="499C1610">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杭州市人民职业学校食堂内部环境提升改造项目</w:t>
      </w:r>
    </w:p>
    <w:p w14:paraId="695F9BF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2DE3E0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501EA49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ZJZL-HZ2025-22（2）</w:t>
      </w:r>
    </w:p>
    <w:p w14:paraId="2D98097E">
      <w:pPr>
        <w:adjustRightInd/>
        <w:spacing w:line="360" w:lineRule="auto"/>
        <w:rPr>
          <w:rFonts w:ascii="宋体" w:hAnsi="宋体" w:cs="宋体"/>
          <w:color w:val="auto"/>
          <w:sz w:val="28"/>
          <w:szCs w:val="20"/>
          <w:highlight w:val="none"/>
        </w:rPr>
      </w:pPr>
    </w:p>
    <w:p w14:paraId="52A46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B2F3ED0">
      <w:pPr>
        <w:spacing w:line="360" w:lineRule="auto"/>
        <w:jc w:val="center"/>
        <w:rPr>
          <w:rFonts w:ascii="宋体" w:hAnsi="宋体" w:cs="宋体"/>
          <w:b/>
          <w:color w:val="auto"/>
          <w:sz w:val="44"/>
          <w:szCs w:val="44"/>
          <w:highlight w:val="none"/>
        </w:rPr>
      </w:pPr>
    </w:p>
    <w:p w14:paraId="00C6A9BE">
      <w:pPr>
        <w:spacing w:line="360" w:lineRule="auto"/>
        <w:jc w:val="center"/>
        <w:rPr>
          <w:rFonts w:ascii="宋体" w:hAnsi="宋体" w:cs="宋体"/>
          <w:color w:val="auto"/>
          <w:sz w:val="24"/>
          <w:highlight w:val="none"/>
        </w:rPr>
      </w:pPr>
    </w:p>
    <w:p w14:paraId="3693E0E1">
      <w:pPr>
        <w:spacing w:line="360" w:lineRule="auto"/>
        <w:jc w:val="center"/>
        <w:rPr>
          <w:rFonts w:ascii="宋体" w:hAnsi="宋体" w:cs="宋体"/>
          <w:color w:val="auto"/>
          <w:sz w:val="24"/>
          <w:highlight w:val="none"/>
        </w:rPr>
      </w:pPr>
    </w:p>
    <w:p w14:paraId="7382B24D">
      <w:pPr>
        <w:spacing w:line="360" w:lineRule="auto"/>
        <w:rPr>
          <w:rFonts w:ascii="宋体" w:hAnsi="宋体" w:cs="宋体"/>
          <w:color w:val="auto"/>
          <w:sz w:val="32"/>
          <w:szCs w:val="32"/>
          <w:highlight w:val="none"/>
        </w:rPr>
      </w:pPr>
    </w:p>
    <w:p w14:paraId="477B848B">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杭州市人民职业学校</w:t>
      </w:r>
    </w:p>
    <w:p w14:paraId="3CEC253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浙江筑脸全过程工程咨询有限公司</w:t>
      </w:r>
    </w:p>
    <w:p w14:paraId="08D8B6B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6F49541">
      <w:pPr>
        <w:spacing w:line="360" w:lineRule="auto"/>
        <w:rPr>
          <w:rFonts w:ascii="宋体" w:hAnsi="宋体" w:cs="宋体"/>
          <w:color w:val="auto"/>
          <w:sz w:val="24"/>
          <w:highlight w:val="none"/>
        </w:rPr>
      </w:pPr>
      <w:bookmarkStart w:id="1" w:name="_Toc91899869"/>
    </w:p>
    <w:p w14:paraId="3B8DF407">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杭州市人民职业学校食堂内部环境提升改造项目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2025年07月11日14点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ZJZL-HZ2025-22（2）</w:t>
      </w:r>
    </w:p>
    <w:p w14:paraId="5CFE629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杭州市人民职业学校食堂内部环境提升改造项目</w:t>
      </w:r>
    </w:p>
    <w:p w14:paraId="2B322989">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1475000</w:t>
      </w:r>
      <w:r>
        <w:rPr>
          <w:rFonts w:hint="eastAsia" w:ascii="宋体" w:hAnsi="宋体" w:cs="宋体"/>
          <w:color w:val="auto"/>
          <w:sz w:val="24"/>
          <w:highlight w:val="none"/>
        </w:rPr>
        <w:t xml:space="preserve">  </w:t>
      </w:r>
    </w:p>
    <w:p w14:paraId="24363695">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1475000</w:t>
      </w:r>
      <w:r>
        <w:rPr>
          <w:rFonts w:hint="eastAsia" w:ascii="宋体" w:hAnsi="宋体" w:cs="宋体"/>
          <w:color w:val="auto"/>
          <w:sz w:val="24"/>
          <w:highlight w:val="none"/>
        </w:rPr>
        <w:t xml:space="preserve">  </w:t>
      </w:r>
    </w:p>
    <w:p w14:paraId="74C14250">
      <w:pPr>
        <w:pStyle w:val="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杭州市人民职业学校食堂内部环境提升改造项目，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食堂餐厅内部环境和后厨操作空间以及走廊过道空间的提升改造</w:t>
      </w:r>
      <w:r>
        <w:rPr>
          <w:rFonts w:hint="eastAsia" w:hAnsi="宋体" w:cs="宋体"/>
          <w:bCs/>
          <w:snapToGrid/>
          <w:color w:val="auto"/>
          <w:kern w:val="2"/>
          <w:sz w:val="24"/>
          <w:szCs w:val="24"/>
          <w:highlight w:val="none"/>
        </w:rPr>
        <w:t>。详见采购文件第三部分采购需求。</w:t>
      </w:r>
    </w:p>
    <w:p w14:paraId="01233AD2">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2025年8月20日</w:t>
      </w:r>
      <w:r>
        <w:rPr>
          <w:rFonts w:hint="eastAsia" w:ascii="宋体" w:hAnsi="宋体" w:cs="宋体"/>
          <w:b/>
          <w:color w:val="auto"/>
          <w:highlight w:val="none"/>
        </w:rPr>
        <w:t>前完工并通过验收。</w:t>
      </w:r>
    </w:p>
    <w:p w14:paraId="1313D475">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6"/>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39ACC8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D68EE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EC8D77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46E6D3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42386B8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226BDF20">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p>
    <w:p w14:paraId="7F68974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具有建筑装修装饰工程专业承包二级及以上资质；</w:t>
      </w:r>
    </w:p>
    <w:p w14:paraId="5C647C6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（2）具有建设行政主管部门核发的工程设计综合甲级资质或建筑行业（建筑工程）设计丙级及以上资质或建筑装饰工程设计专项丙级及以上资质；</w:t>
      </w:r>
    </w:p>
    <w:p w14:paraId="2784230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（3）具有有效的安全生产许可证；</w:t>
      </w:r>
    </w:p>
    <w:p w14:paraId="201701C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（4）本项目允许符合以下规定的联合体参加投标：</w:t>
      </w:r>
    </w:p>
    <w:p w14:paraId="37F1016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①组成联合体的供应商不超过二个，且双方均符合本项目“供应商的资格要求”第1条、第3条规定；</w:t>
      </w:r>
    </w:p>
    <w:p w14:paraId="1787334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②提交有效的联合投标（响应）协议书，明确载明联合体各方承担的工作和义务。</w:t>
      </w:r>
    </w:p>
    <w:p w14:paraId="012B8D2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（5）本项目允许分包，要求如下：</w:t>
      </w:r>
    </w:p>
    <w:p w14:paraId="2EAB880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①分包承担主体均须为符合政策要求的中、小、微型企业并且符合本项目“申请人的资格要求”第1条规定；</w:t>
      </w:r>
    </w:p>
    <w:p w14:paraId="03F4AFE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②提交有效的分包意向协议。</w:t>
      </w:r>
    </w:p>
    <w:p w14:paraId="1A090CA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该特定条件的法律法规依据：《中华人民共和国建筑法》、《建筑业企业资质管理规定》、《建筑业企业资质标准》、《安全生产许可证条例》、《建设工程勘察设计资质管理规定》。</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11</w:t>
      </w:r>
      <w:bookmarkStart w:id="428" w:name="_GoBack"/>
      <w:bookmarkEnd w:id="428"/>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2025年07月11日14点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DD1BE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2025年07月11日14点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C8B0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51B31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 xml:space="preserve"> </w:t>
      </w:r>
    </w:p>
    <w:p w14:paraId="39894D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杭州市下城区建国北路回龙庙前32-1号</w:t>
      </w:r>
      <w:r>
        <w:rPr>
          <w:rFonts w:hint="eastAsia" w:ascii="宋体" w:hAnsi="宋体" w:cs="宋体"/>
          <w:color w:val="auto"/>
          <w:sz w:val="24"/>
          <w:highlight w:val="none"/>
        </w:rPr>
        <w:t xml:space="preserve"> </w:t>
      </w:r>
    </w:p>
    <w:p w14:paraId="7ECB69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03A0F9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黄老师</w:t>
      </w:r>
      <w:r>
        <w:rPr>
          <w:rFonts w:hint="eastAsia" w:ascii="宋体" w:hAnsi="宋体" w:cs="宋体"/>
          <w:color w:val="auto"/>
          <w:sz w:val="24"/>
          <w:highlight w:val="none"/>
        </w:rPr>
        <w:t xml:space="preserve">  </w:t>
      </w:r>
    </w:p>
    <w:p w14:paraId="07C37A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项目联系方式（询问）：0571-87295246 </w:t>
      </w:r>
    </w:p>
    <w:p w14:paraId="1A7DD6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王</w:t>
      </w:r>
      <w:r>
        <w:rPr>
          <w:rFonts w:hint="eastAsia" w:ascii="宋体" w:hAnsi="宋体" w:cs="宋体"/>
          <w:color w:val="auto"/>
          <w:sz w:val="24"/>
          <w:highlight w:val="none"/>
        </w:rPr>
        <w:t xml:space="preserve">老师 </w:t>
      </w:r>
    </w:p>
    <w:p w14:paraId="12DFE6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0571-87296365</w:t>
      </w:r>
      <w:r>
        <w:rPr>
          <w:rFonts w:hint="eastAsia" w:ascii="宋体" w:hAnsi="宋体" w:cs="宋体"/>
          <w:color w:val="auto"/>
          <w:sz w:val="24"/>
          <w:highlight w:val="none"/>
        </w:rPr>
        <w:t xml:space="preserve"> </w:t>
      </w:r>
    </w:p>
    <w:p w14:paraId="4C2A1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4CA206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称：浙江筑脸全过程工程咨询有限公司</w:t>
      </w:r>
    </w:p>
    <w:p w14:paraId="46790D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址：杭州市萧山区金城路165号金瑞大厦1幢6楼</w:t>
      </w:r>
    </w:p>
    <w:p w14:paraId="2D3836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真：0571-82217656</w:t>
      </w:r>
    </w:p>
    <w:p w14:paraId="61FF2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项目联系人（询问）：冯刚锋</w:t>
      </w:r>
    </w:p>
    <w:p w14:paraId="5A0A71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项目联系方式（询问）：0571-82217356、15205854844</w:t>
      </w:r>
    </w:p>
    <w:p w14:paraId="2FADD3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质疑联系人：韩莹琼</w:t>
      </w:r>
    </w:p>
    <w:p w14:paraId="451EF3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质疑联系方式：18072797998（请通过以下路径在线提起质疑：政采云-项目采购-询问质疑投诉-质疑列表）</w:t>
      </w:r>
    </w:p>
    <w:p w14:paraId="7A721B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6F9638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26BAF0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杭州市上城区清泰街549号城建综合大楼11楼（快递仅限ems或顺丰）</w:t>
      </w:r>
      <w:r>
        <w:rPr>
          <w:rFonts w:hint="eastAsia" w:ascii="宋体" w:hAnsi="宋体" w:cs="宋体"/>
          <w:color w:val="auto"/>
          <w:sz w:val="24"/>
          <w:highlight w:val="none"/>
        </w:rPr>
        <w:t xml:space="preserve"> </w:t>
      </w:r>
    </w:p>
    <w:p w14:paraId="27C616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DA22C3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：朱</w:t>
      </w:r>
      <w:r>
        <w:rPr>
          <w:rFonts w:hint="eastAsia" w:ascii="宋体" w:hAnsi="宋体" w:cs="宋体"/>
          <w:color w:val="auto"/>
          <w:sz w:val="24"/>
          <w:highlight w:val="none"/>
          <w:lang w:val="en-US" w:eastAsia="zh-CN"/>
        </w:rPr>
        <w:t>老师</w:t>
      </w:r>
    </w:p>
    <w:p w14:paraId="149C6E4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监督投诉电话：电话：0571-87800218</w:t>
      </w:r>
    </w:p>
    <w:p w14:paraId="53CF0414">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727A69D1">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t>第二部分</w:t>
      </w:r>
      <w:bookmarkEnd w:id="7"/>
      <w:r>
        <w:rPr>
          <w:rFonts w:hint="eastAsia" w:ascii="宋体" w:hAnsi="宋体" w:eastAsia="宋体" w:cs="宋体"/>
          <w:b/>
          <w:bCs w:val="0"/>
          <w:color w:val="auto"/>
          <w:kern w:val="2"/>
          <w:sz w:val="36"/>
          <w:szCs w:val="20"/>
          <w:highlight w:val="none"/>
          <w:lang w:val="en-US" w:eastAsia="zh-CN" w:bidi="ar-SA"/>
        </w:rPr>
        <w:t xml:space="preserve"> 供应商须知</w:t>
      </w:r>
      <w:bookmarkEnd w:id="8"/>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4"/>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杭州市人民职业学校食堂内部环境提升改造项目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990839">
            <w:pPr>
              <w:pStyle w:val="4"/>
              <w:ind w:left="0" w:firstLine="0"/>
              <w:rPr>
                <w:rFonts w:ascii="宋体" w:hAnsi="宋体" w:eastAsia="宋体" w:cs="宋体"/>
                <w:color w:val="auto"/>
                <w:highlight w:val="none"/>
                <w:lang w:val="en-US"/>
              </w:rPr>
            </w:pPr>
            <w:r>
              <w:rPr>
                <w:rFonts w:hint="eastAsia" w:ascii="宋体" w:hAnsi="宋体" w:eastAsia="宋体" w:cs="宋体"/>
                <w:color w:val="auto"/>
                <w:highlight w:val="none"/>
                <w:lang w:val="en-US"/>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8D29F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0F199E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仿宋" w:hAnsi="仿宋" w:eastAsia="仿宋" w:cs="仿宋_GB2312"/>
                <w:b/>
                <w:bCs/>
                <w:color w:val="auto"/>
                <w:sz w:val="24"/>
                <w:highlight w:val="none"/>
                <w:u w:val="single"/>
              </w:rPr>
              <w:t>物资运输、搬运工程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B5D9C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4CEB301">
            <w:pPr>
              <w:pStyle w:val="81"/>
              <w:spacing w:line="360" w:lineRule="auto"/>
              <w:ind w:firstLine="0" w:firstLineChars="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9D64DF4">
            <w:pPr>
              <w:pStyle w:val="81"/>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481BB1C7">
            <w:pPr>
              <w:pStyle w:val="81"/>
              <w:ind w:firstLine="0" w:firstLineChars="0"/>
              <w:rPr>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7D9B4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C1147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CC6BB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FFE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3822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3D9CA10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5CFFF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34265B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8EF6D2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ADDA8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9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2B0710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1"/>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强制采购节能产品。产品：    </w:t>
            </w:r>
          </w:p>
          <w:p w14:paraId="4D242922">
            <w:pPr>
              <w:pStyle w:val="8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760447D0">
            <w:pPr>
              <w:pStyle w:val="8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7E097CB9">
            <w:pPr>
              <w:pStyle w:val="81"/>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2F399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4235191C">
            <w:pPr>
              <w:pStyle w:val="4"/>
              <w:rPr>
                <w:color w:val="auto"/>
                <w:highlight w:val="none"/>
              </w:rPr>
            </w:pPr>
          </w:p>
          <w:p w14:paraId="21AAEA7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杭州市萧山区金城路165号金瑞大厦1幢601室 </w:t>
            </w:r>
            <w:r>
              <w:rPr>
                <w:rFonts w:hint="eastAsia" w:hAnsi="宋体" w:cs="宋体"/>
                <w:color w:val="auto"/>
                <w:kern w:val="28"/>
                <w:sz w:val="24"/>
                <w:szCs w:val="24"/>
                <w:highlight w:val="none"/>
              </w:rPr>
              <w:t>；</w:t>
            </w:r>
          </w:p>
          <w:p w14:paraId="5088C7A8">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冯刚锋15205854844 </w:t>
            </w:r>
            <w:r>
              <w:rPr>
                <w:rFonts w:hint="eastAsia" w:hAnsi="宋体" w:cs="宋体"/>
                <w:color w:val="auto"/>
                <w:sz w:val="24"/>
                <w:szCs w:val="24"/>
                <w:highlight w:val="none"/>
              </w:rPr>
              <w:t>。</w:t>
            </w:r>
          </w:p>
          <w:p w14:paraId="339F717B">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70D2362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rPr>
              <w:t>采购代理服务费金额：按照《招标代理服务收费管理暂行办法》（浙价服（2003）77号文件）规定的80%收取。（不足</w:t>
            </w:r>
            <w:r>
              <w:rPr>
                <w:rFonts w:hint="eastAsia" w:ascii="宋体" w:hAnsi="宋体" w:eastAsia="宋体" w:cs="宋体"/>
                <w:snapToGrid w:val="0"/>
                <w:color w:val="auto"/>
                <w:kern w:val="28"/>
                <w:sz w:val="24"/>
                <w:highlight w:val="none"/>
                <w:lang w:val="en-US" w:eastAsia="zh-CN"/>
              </w:rPr>
              <w:t>6000元</w:t>
            </w:r>
            <w:r>
              <w:rPr>
                <w:rFonts w:hint="eastAsia" w:ascii="宋体" w:hAnsi="宋体" w:eastAsia="宋体" w:cs="宋体"/>
                <w:snapToGrid w:val="0"/>
                <w:color w:val="auto"/>
                <w:kern w:val="28"/>
                <w:sz w:val="24"/>
                <w:highlight w:val="none"/>
              </w:rPr>
              <w:t>按照</w:t>
            </w:r>
            <w:r>
              <w:rPr>
                <w:rFonts w:hint="eastAsia" w:ascii="宋体" w:hAnsi="宋体" w:eastAsia="宋体" w:cs="宋体"/>
                <w:snapToGrid w:val="0"/>
                <w:color w:val="auto"/>
                <w:kern w:val="28"/>
                <w:sz w:val="24"/>
                <w:highlight w:val="none"/>
                <w:lang w:val="en-US" w:eastAsia="zh-CN"/>
              </w:rPr>
              <w:t>6000元</w:t>
            </w:r>
            <w:r>
              <w:rPr>
                <w:rFonts w:hint="eastAsia" w:ascii="宋体" w:hAnsi="宋体" w:eastAsia="宋体" w:cs="宋体"/>
                <w:snapToGrid w:val="0"/>
                <w:color w:val="auto"/>
                <w:kern w:val="28"/>
                <w:sz w:val="24"/>
                <w:highlight w:val="none"/>
              </w:rPr>
              <w:t>收取）。</w:t>
            </w:r>
          </w:p>
          <w:p w14:paraId="7C7D8204">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rPr>
              <w:t>采购代理服务费由中标人在领取中标通知书时一次性向代理机构支付。该费用在投标文件中不单列，由投标人在投标总报价中综合</w:t>
            </w:r>
            <w:r>
              <w:rPr>
                <w:rFonts w:hint="eastAsia" w:ascii="宋体" w:hAnsi="宋体" w:eastAsia="宋体" w:cs="宋体"/>
                <w:snapToGrid w:val="0"/>
                <w:color w:val="auto"/>
                <w:kern w:val="28"/>
                <w:sz w:val="24"/>
                <w:highlight w:val="none"/>
                <w:lang w:val="en-US" w:eastAsia="zh-CN"/>
              </w:rPr>
              <w:t>考虑。</w:t>
            </w:r>
          </w:p>
          <w:p w14:paraId="065EE4C6">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3、服务费汇入以下账号：</w:t>
            </w:r>
          </w:p>
          <w:p w14:paraId="3A3DD065">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户 名：浙江筑脸全过程工程咨询有限公司杭州分公司</w:t>
            </w:r>
          </w:p>
          <w:p w14:paraId="731F5E44">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开 户：广发银行股份有限公司杭州萧山支行</w:t>
            </w:r>
          </w:p>
          <w:p w14:paraId="79AC7874">
            <w:pPr>
              <w:spacing w:line="360" w:lineRule="auto"/>
              <w:rPr>
                <w:color w:val="auto"/>
                <w:highlight w:val="none"/>
              </w:rPr>
            </w:pPr>
            <w:r>
              <w:rPr>
                <w:rFonts w:hint="eastAsia" w:ascii="宋体" w:hAnsi="宋体" w:eastAsia="宋体" w:cs="宋体"/>
                <w:snapToGrid w:val="0"/>
                <w:color w:val="auto"/>
                <w:kern w:val="28"/>
                <w:sz w:val="24"/>
                <w:highlight w:val="none"/>
                <w:lang w:val="en-US" w:eastAsia="zh-CN"/>
              </w:rPr>
              <w:t>账 号：9550880202610200118</w:t>
            </w:r>
          </w:p>
        </w:tc>
      </w:tr>
    </w:tbl>
    <w:p w14:paraId="3DDF9EE7">
      <w:pPr>
        <w:snapToGrid w:val="0"/>
        <w:spacing w:line="360" w:lineRule="auto"/>
        <w:jc w:val="center"/>
        <w:rPr>
          <w:rFonts w:ascii="宋体" w:hAnsi="宋体" w:cs="宋体"/>
          <w:b/>
          <w:color w:val="auto"/>
          <w:sz w:val="32"/>
          <w:szCs w:val="20"/>
          <w:highlight w:val="none"/>
        </w:rPr>
      </w:pPr>
    </w:p>
    <w:bookmarkEnd w:id="9"/>
    <w:p w14:paraId="5BFEF9FF">
      <w:pPr>
        <w:widowControl/>
        <w:adjustRightInd/>
        <w:jc w:val="left"/>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3880117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91"/>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DAA85B4">
      <w:pPr>
        <w:pStyle w:val="891"/>
        <w:shd w:val="clear" w:color="auto" w:fill="FFFFFF"/>
        <w:snapToGrid w:val="0"/>
        <w:spacing w:after="240" w:afterAutospacing="0" w:line="360" w:lineRule="auto"/>
        <w:ind w:firstLine="480" w:firstLineChars="200"/>
        <w:contextualSpacing/>
        <w:rPr>
          <w:rFonts w:hint="eastAsia"/>
          <w:color w:val="auto"/>
          <w:highlight w:val="none"/>
        </w:rPr>
      </w:pPr>
    </w:p>
    <w:p w14:paraId="0450B80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02FEA4B4">
      <w:pPr>
        <w:pStyle w:val="133"/>
        <w:snapToGrid w:val="0"/>
        <w:spacing w:before="0"/>
        <w:ind w:firstLine="360"/>
        <w:rPr>
          <w:rFonts w:ascii="宋体" w:hAnsi="宋体" w:cs="宋体"/>
          <w:color w:val="auto"/>
          <w:sz w:val="18"/>
          <w:szCs w:val="18"/>
          <w:highlight w:val="none"/>
        </w:rPr>
      </w:pP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color w:val="auto"/>
          <w:sz w:val="18"/>
          <w:szCs w:val="18"/>
          <w:highlight w:val="none"/>
          <w:lang w:val="en-US"/>
        </w:rPr>
      </w:pP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813BFC">
      <w:pPr>
        <w:pStyle w:val="133"/>
        <w:snapToGrid w:val="0"/>
        <w:spacing w:before="0"/>
        <w:ind w:firstLine="0" w:firstLineChars="0"/>
        <w:rPr>
          <w:rFonts w:ascii="宋体" w:hAnsi="宋体" w:cs="宋体"/>
          <w:b/>
          <w:color w:val="auto"/>
          <w:szCs w:val="24"/>
          <w:highlight w:val="none"/>
        </w:rPr>
      </w:pPr>
    </w:p>
    <w:p w14:paraId="4FA2F12E">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3"/>
        <w:spacing w:before="0"/>
        <w:ind w:firstLine="643"/>
        <w:rPr>
          <w:rFonts w:ascii="宋体" w:hAnsi="宋体" w:cs="宋体"/>
          <w:b/>
          <w:color w:val="auto"/>
          <w:sz w:val="32"/>
          <w:highlight w:val="none"/>
        </w:rPr>
      </w:pP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9"/>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9"/>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9"/>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3"/>
        <w:spacing w:before="0"/>
        <w:ind w:firstLine="0" w:firstLineChars="0"/>
        <w:rPr>
          <w:rFonts w:ascii="宋体" w:hAnsi="宋体" w:cs="宋体"/>
          <w:color w:val="auto"/>
          <w:kern w:val="0"/>
          <w:szCs w:val="24"/>
          <w:highlight w:val="none"/>
        </w:rPr>
      </w:pP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pacing w:line="360" w:lineRule="auto"/>
        <w:rPr>
          <w:rFonts w:ascii="宋体" w:hAnsi="宋体" w:cs="宋体"/>
          <w:b/>
          <w:color w:val="auto"/>
          <w:sz w:val="24"/>
          <w:highlight w:val="none"/>
        </w:rPr>
      </w:pP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color w:val="auto"/>
          <w:sz w:val="32"/>
          <w:highlight w:val="none"/>
        </w:rPr>
      </w:pP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7674042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rPr>
          <w:color w:val="auto"/>
          <w:highlight w:val="none"/>
        </w:rPr>
      </w:pPr>
    </w:p>
    <w:p w14:paraId="7AA8E11D">
      <w:pPr>
        <w:snapToGrid w:val="0"/>
        <w:spacing w:line="360" w:lineRule="auto"/>
        <w:ind w:firstLine="3357" w:firstLineChars="1045"/>
        <w:rPr>
          <w:rFonts w:ascii="宋体" w:hAnsi="宋体" w:cs="宋体"/>
          <w:b/>
          <w:color w:val="auto"/>
          <w:sz w:val="32"/>
          <w:highlight w:val="none"/>
        </w:rPr>
      </w:pP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3"/>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color w:val="auto"/>
          <w:sz w:val="24"/>
          <w:highlight w:val="none"/>
        </w:rPr>
      </w:pP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5"/>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8" w:name="_Hlt74729768"/>
      <w:bookmarkEnd w:id="18"/>
      <w:bookmarkStart w:id="19" w:name="_Hlt68073093"/>
      <w:bookmarkEnd w:id="19"/>
      <w:bookmarkStart w:id="20" w:name="_Hlt74714665"/>
      <w:bookmarkEnd w:id="20"/>
      <w:bookmarkStart w:id="21" w:name="_Hlt75236290"/>
      <w:bookmarkEnd w:id="21"/>
      <w:bookmarkStart w:id="22" w:name="_Hlt68072998"/>
      <w:bookmarkEnd w:id="22"/>
      <w:bookmarkStart w:id="23" w:name="_Hlt75236011"/>
      <w:bookmarkEnd w:id="23"/>
      <w:bookmarkStart w:id="24" w:name="_Hlt68403820"/>
      <w:bookmarkEnd w:id="24"/>
      <w:bookmarkStart w:id="25" w:name="_Hlt68072990"/>
      <w:bookmarkEnd w:id="25"/>
      <w:bookmarkStart w:id="26" w:name="_Hlt74707468"/>
      <w:bookmarkEnd w:id="26"/>
      <w:bookmarkStart w:id="27" w:name="_Hlt68057669"/>
      <w:bookmarkEnd w:id="27"/>
      <w:bookmarkStart w:id="28" w:name="_Hlt74730295"/>
      <w:bookmarkEnd w:id="28"/>
      <w:bookmarkStart w:id="29" w:name="_Hlt75236101"/>
      <w:bookmarkEnd w:id="29"/>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7A97EBE">
      <w:pPr>
        <w:pStyle w:val="82"/>
        <w:rPr>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60696D02">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b/>
          <w:bCs w:val="0"/>
          <w:color w:val="auto"/>
          <w:kern w:val="2"/>
          <w:sz w:val="36"/>
          <w:szCs w:val="20"/>
          <w:highlight w:val="none"/>
          <w:lang w:val="en-US" w:eastAsia="zh-CN" w:bidi="ar-SA"/>
        </w:rPr>
      </w:pPr>
      <w:bookmarkStart w:id="30" w:name="第四部分"/>
      <w:r>
        <w:rPr>
          <w:rFonts w:hint="eastAsia" w:ascii="宋体" w:hAnsi="宋体" w:eastAsia="宋体" w:cs="宋体"/>
          <w:b/>
          <w:bCs w:val="0"/>
          <w:color w:val="auto"/>
          <w:kern w:val="2"/>
          <w:sz w:val="36"/>
          <w:szCs w:val="20"/>
          <w:highlight w:val="none"/>
          <w:lang w:val="en-US" w:eastAsia="zh-CN" w:bidi="ar-SA"/>
        </w:rPr>
        <w:t>第三部分 采购需求</w:t>
      </w:r>
    </w:p>
    <w:p w14:paraId="0BE7B1D8">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7C7AEEF5">
      <w:pPr>
        <w:spacing w:line="360" w:lineRule="auto"/>
        <w:ind w:firstLine="480" w:firstLineChars="200"/>
        <w:jc w:val="left"/>
        <w:rPr>
          <w:rFonts w:hint="eastAsia" w:ascii="宋体" w:hAnsi="宋体" w:cs="仿宋_GB2312"/>
          <w:b/>
          <w:bCs/>
          <w:color w:val="auto"/>
          <w:sz w:val="24"/>
          <w:highlight w:val="none"/>
        </w:rPr>
      </w:pPr>
      <w:r>
        <w:rPr>
          <w:rFonts w:hint="eastAsia" w:ascii="宋体" w:hAnsi="宋体"/>
          <w:color w:val="auto"/>
          <w:sz w:val="24"/>
          <w:highlight w:val="none"/>
          <w:u w:val="none"/>
          <w:lang w:eastAsia="zh-CN"/>
        </w:rPr>
        <w:t>杭州市人民职业学校食堂内部环境提升改造项目</w:t>
      </w:r>
      <w:r>
        <w:rPr>
          <w:rFonts w:hint="eastAsia" w:ascii="宋体" w:hAnsi="宋体"/>
          <w:color w:val="auto"/>
          <w:sz w:val="24"/>
          <w:highlight w:val="none"/>
          <w:u w:val="none"/>
          <w:lang w:val="en-US" w:eastAsia="zh-CN"/>
        </w:rPr>
        <w:t>位于</w:t>
      </w:r>
      <w:r>
        <w:rPr>
          <w:rFonts w:hint="eastAsia" w:ascii="宋体" w:hAnsi="宋体"/>
          <w:color w:val="auto"/>
          <w:sz w:val="24"/>
          <w:highlight w:val="none"/>
          <w:u w:val="none"/>
        </w:rPr>
        <w:t>杭州市人民职业学校</w:t>
      </w:r>
      <w:r>
        <w:rPr>
          <w:rFonts w:hint="eastAsia" w:ascii="宋体" w:hAnsi="宋体"/>
          <w:color w:val="auto"/>
          <w:sz w:val="24"/>
          <w:highlight w:val="none"/>
          <w:u w:val="none"/>
          <w:lang w:val="en-US" w:eastAsia="zh-CN"/>
        </w:rPr>
        <w:t>内，主要内容为</w:t>
      </w:r>
      <w:r>
        <w:rPr>
          <w:rFonts w:hint="eastAsia" w:hAnsi="宋体" w:cs="宋体"/>
          <w:bCs/>
          <w:snapToGrid/>
          <w:color w:val="auto"/>
          <w:kern w:val="2"/>
          <w:sz w:val="24"/>
          <w:szCs w:val="24"/>
          <w:highlight w:val="none"/>
          <w:lang w:val="en-US" w:eastAsia="zh-CN"/>
        </w:rPr>
        <w:t>食堂餐厅内部环境和后厨操作空间以及走廊过道空间的提升改造</w:t>
      </w:r>
      <w:r>
        <w:rPr>
          <w:rFonts w:hint="eastAsia" w:ascii="宋体" w:hAnsi="宋体"/>
          <w:color w:val="auto"/>
          <w:sz w:val="24"/>
          <w:highlight w:val="none"/>
          <w:u w:val="none"/>
          <w:lang w:val="en-US" w:eastAsia="zh-CN"/>
        </w:rPr>
        <w:t>。设计要与我校现有建筑风格相符合，设计理念新颖，设计方案具有我校特色，能体现优美、整洁的就餐环境，就餐布局合理美观，符合我校的校风校貌和学校专业特色和特点，能够优化食堂后厨的操作空间满足使用需要，厨房设施设备的设置能较好的符合在现有空间里食品清洗、加工、烹制和售卖的需求，在材料使用和施工工艺上要确保安全性和环保要求，保证工程建设质量优良。</w:t>
      </w:r>
    </w:p>
    <w:p w14:paraId="1C2EF4B1">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二、</w:t>
      </w:r>
      <w:r>
        <w:rPr>
          <w:rFonts w:hint="eastAsia" w:ascii="宋体" w:hAnsi="宋体" w:cs="仿宋_GB2312"/>
          <w:b/>
          <w:bCs/>
          <w:color w:val="auto"/>
          <w:sz w:val="24"/>
          <w:highlight w:val="none"/>
          <w:lang w:val="en-US" w:eastAsia="zh-CN"/>
        </w:rPr>
        <w:t>总体要求</w:t>
      </w:r>
    </w:p>
    <w:p w14:paraId="0B59D896">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none"/>
          <w:lang w:val="en-US" w:eastAsia="zh-CN"/>
        </w:rPr>
        <w:t>本项目</w:t>
      </w:r>
      <w:r>
        <w:rPr>
          <w:rFonts w:ascii="宋体" w:hAnsi="宋体"/>
          <w:color w:val="auto"/>
          <w:sz w:val="24"/>
          <w:highlight w:val="none"/>
          <w:u w:val="none"/>
        </w:rPr>
        <w:t>包括但不限装修方案设计、方案优化、施工图设计的编制、报批、施工图的报审、概算及施工、竣工验收等。各供应商应认真分析整体空间情况，</w:t>
      </w:r>
      <w:r>
        <w:rPr>
          <w:rFonts w:hint="eastAsia" w:ascii="宋体" w:hAnsi="宋体"/>
          <w:color w:val="auto"/>
          <w:sz w:val="24"/>
          <w:highlight w:val="none"/>
          <w:u w:val="none"/>
          <w:lang w:eastAsia="zh-CN"/>
        </w:rPr>
        <w:t>保证工程质量和使用安全，</w:t>
      </w:r>
      <w:r>
        <w:rPr>
          <w:rFonts w:ascii="宋体" w:hAnsi="宋体"/>
          <w:color w:val="auto"/>
          <w:sz w:val="24"/>
          <w:highlight w:val="none"/>
          <w:u w:val="none"/>
        </w:rPr>
        <w:t>合理规划空间布局，满足功能性需求，设计应富有文化内涵、突出创意创新、体现</w:t>
      </w:r>
      <w:r>
        <w:rPr>
          <w:rFonts w:hint="eastAsia" w:ascii="宋体" w:hAnsi="宋体"/>
          <w:color w:val="auto"/>
          <w:sz w:val="24"/>
          <w:highlight w:val="none"/>
          <w:u w:val="none"/>
          <w:lang w:eastAsia="zh-CN"/>
        </w:rPr>
        <w:t>人民</w:t>
      </w:r>
      <w:r>
        <w:rPr>
          <w:rFonts w:hint="eastAsia" w:ascii="宋体" w:hAnsi="宋体"/>
          <w:color w:val="auto"/>
          <w:sz w:val="24"/>
          <w:highlight w:val="none"/>
          <w:u w:val="none"/>
          <w:lang w:val="en-US" w:eastAsia="zh-CN"/>
        </w:rPr>
        <w:t>职业学校</w:t>
      </w:r>
      <w:r>
        <w:rPr>
          <w:rFonts w:ascii="宋体" w:hAnsi="宋体"/>
          <w:color w:val="auto"/>
          <w:sz w:val="24"/>
          <w:highlight w:val="none"/>
          <w:u w:val="none"/>
        </w:rPr>
        <w:t>特色，整体设计效果赏心悦目，符合整体实际情况。</w:t>
      </w:r>
    </w:p>
    <w:p w14:paraId="162ED564">
      <w:pPr>
        <w:spacing w:line="360" w:lineRule="auto"/>
        <w:jc w:val="left"/>
        <w:rPr>
          <w:rFonts w:hint="default" w:ascii="宋体" w:hAnsi="宋体" w:eastAsia="宋体"/>
          <w:b/>
          <w:bCs/>
          <w:color w:val="auto"/>
          <w:sz w:val="24"/>
          <w:highlight w:val="none"/>
          <w:u w:val="none"/>
          <w:lang w:val="en-US" w:eastAsia="zh-CN"/>
        </w:rPr>
      </w:pPr>
      <w:r>
        <w:rPr>
          <w:rFonts w:hint="eastAsia" w:ascii="宋体" w:hAnsi="宋体"/>
          <w:b/>
          <w:bCs/>
          <w:color w:val="auto"/>
          <w:sz w:val="24"/>
          <w:highlight w:val="none"/>
          <w:u w:val="none"/>
          <w:lang w:val="en-US" w:eastAsia="zh-CN"/>
        </w:rPr>
        <w:t>三、规范要求</w:t>
      </w:r>
    </w:p>
    <w:p w14:paraId="7A36935F">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本项目</w:t>
      </w:r>
      <w:r>
        <w:rPr>
          <w:rFonts w:hint="eastAsia" w:ascii="宋体" w:hAnsi="宋体" w:cs="仿宋_GB2312"/>
          <w:b w:val="0"/>
          <w:bCs w:val="0"/>
          <w:i w:val="0"/>
          <w:iCs w:val="0"/>
          <w:color w:val="auto"/>
          <w:sz w:val="24"/>
          <w:highlight w:val="none"/>
          <w:u w:val="none"/>
        </w:rPr>
        <w:t>中的所有材料、设备和施工质量均应符合下列技术规范的要求：</w:t>
      </w:r>
    </w:p>
    <w:p w14:paraId="44281E68">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1、本工程采用的技术规范</w:t>
      </w:r>
    </w:p>
    <w:p w14:paraId="43E1EA99">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（1）国家现行的设计规范。</w:t>
      </w:r>
    </w:p>
    <w:p w14:paraId="4AEBA912">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（2）国家现行的施工规范。</w:t>
      </w:r>
    </w:p>
    <w:p w14:paraId="414FAD44">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（3）国家现行的验收规范。</w:t>
      </w:r>
    </w:p>
    <w:p w14:paraId="71035DC0">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（4）国家现行的质量验评标准。</w:t>
      </w:r>
    </w:p>
    <w:p w14:paraId="07518CBF">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（5）国家及地方现行施工验收及施工安全技术规范。</w:t>
      </w:r>
    </w:p>
    <w:p w14:paraId="5D13BE51">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2、规范的获得由</w:t>
      </w:r>
      <w:r>
        <w:rPr>
          <w:rFonts w:hint="eastAsia" w:ascii="宋体" w:hAnsi="宋体" w:cs="仿宋_GB2312"/>
          <w:b w:val="0"/>
          <w:bCs w:val="0"/>
          <w:i w:val="0"/>
          <w:iCs w:val="0"/>
          <w:color w:val="auto"/>
          <w:sz w:val="24"/>
          <w:highlight w:val="none"/>
          <w:u w:val="none"/>
          <w:lang w:val="en-US" w:eastAsia="zh-CN"/>
        </w:rPr>
        <w:t>供应商</w:t>
      </w:r>
      <w:r>
        <w:rPr>
          <w:rFonts w:hint="eastAsia" w:ascii="宋体" w:hAnsi="宋体" w:cs="仿宋_GB2312"/>
          <w:b w:val="0"/>
          <w:bCs w:val="0"/>
          <w:i w:val="0"/>
          <w:iCs w:val="0"/>
          <w:color w:val="auto"/>
          <w:sz w:val="24"/>
          <w:highlight w:val="none"/>
          <w:u w:val="none"/>
        </w:rPr>
        <w:t>自行解决。</w:t>
      </w:r>
    </w:p>
    <w:p w14:paraId="21896AB1">
      <w:pPr>
        <w:spacing w:line="360" w:lineRule="auto"/>
        <w:ind w:firstLine="480" w:firstLineChars="200"/>
        <w:jc w:val="left"/>
        <w:rPr>
          <w:rFonts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3、在合同履行期间，若上述标准或规范有修改或重新颁布，</w:t>
      </w:r>
      <w:r>
        <w:rPr>
          <w:rFonts w:hint="eastAsia" w:ascii="宋体" w:hAnsi="宋体" w:cs="仿宋_GB2312"/>
          <w:b w:val="0"/>
          <w:bCs w:val="0"/>
          <w:i w:val="0"/>
          <w:iCs w:val="0"/>
          <w:color w:val="auto"/>
          <w:sz w:val="24"/>
          <w:highlight w:val="none"/>
          <w:u w:val="none"/>
          <w:lang w:val="en-US" w:eastAsia="zh-CN"/>
        </w:rPr>
        <w:t>供应商</w:t>
      </w:r>
      <w:r>
        <w:rPr>
          <w:rFonts w:hint="eastAsia" w:ascii="宋体" w:hAnsi="宋体" w:cs="仿宋_GB2312"/>
          <w:b w:val="0"/>
          <w:bCs w:val="0"/>
          <w:i w:val="0"/>
          <w:iCs w:val="0"/>
          <w:color w:val="auto"/>
          <w:sz w:val="24"/>
          <w:highlight w:val="none"/>
          <w:u w:val="none"/>
        </w:rPr>
        <w:t>应遵照执行。</w:t>
      </w:r>
    </w:p>
    <w:p w14:paraId="0CC618EB">
      <w:pPr>
        <w:spacing w:line="360" w:lineRule="auto"/>
        <w:jc w:val="left"/>
        <w:rPr>
          <w:rFonts w:ascii="宋体" w:hAnsi="宋体" w:cs="仿宋_GB2312"/>
          <w:b w:val="0"/>
          <w:bCs w:val="0"/>
          <w:i w:val="0"/>
          <w:iCs w:val="0"/>
          <w:color w:val="auto"/>
          <w:sz w:val="24"/>
          <w:highlight w:val="none"/>
          <w:u w:val="none"/>
        </w:rPr>
      </w:pPr>
    </w:p>
    <w:p w14:paraId="724F737B">
      <w:pPr>
        <w:spacing w:line="360" w:lineRule="auto"/>
        <w:jc w:val="left"/>
        <w:rPr>
          <w:rFonts w:hint="default" w:ascii="宋体" w:hAnsi="宋体" w:eastAsia="宋体" w:cs="仿宋_GB2312"/>
          <w:b/>
          <w:bCs/>
          <w:i w:val="0"/>
          <w:iCs w:val="0"/>
          <w:color w:val="auto"/>
          <w:sz w:val="24"/>
          <w:highlight w:val="none"/>
          <w:u w:val="none"/>
          <w:lang w:val="en-US" w:eastAsia="zh-CN"/>
        </w:rPr>
      </w:pPr>
      <w:r>
        <w:rPr>
          <w:rFonts w:hint="eastAsia" w:ascii="宋体" w:hAnsi="宋体" w:cs="仿宋_GB2312"/>
          <w:b/>
          <w:bCs/>
          <w:i w:val="0"/>
          <w:iCs w:val="0"/>
          <w:color w:val="auto"/>
          <w:sz w:val="24"/>
          <w:highlight w:val="none"/>
          <w:u w:val="none"/>
          <w:lang w:val="en-US" w:eastAsia="zh-CN"/>
        </w:rPr>
        <w:t>四、设计要求（包括但不限于以下内容）：</w:t>
      </w:r>
    </w:p>
    <w:p w14:paraId="5D2884FD">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1、磋商供应商在设计过程中，要严格按照采购文件的约定，围绕相关现场勘察资料，按设计规范完成设计工作。</w:t>
      </w:r>
    </w:p>
    <w:p w14:paraId="4D57B216">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2、</w:t>
      </w:r>
      <w:r>
        <w:rPr>
          <w:rFonts w:hint="eastAsia" w:ascii="宋体" w:hAnsi="宋体" w:cs="仿宋_GB2312"/>
          <w:b w:val="0"/>
          <w:bCs w:val="0"/>
          <w:i w:val="0"/>
          <w:iCs w:val="0"/>
          <w:color w:val="auto"/>
          <w:sz w:val="24"/>
          <w:highlight w:val="none"/>
          <w:u w:val="none"/>
          <w:lang w:eastAsia="zh-CN"/>
        </w:rPr>
        <w:t>杭州市人民职业学校食堂内部环境提升改造项目</w:t>
      </w:r>
      <w:r>
        <w:rPr>
          <w:rFonts w:hint="eastAsia" w:ascii="宋体" w:hAnsi="宋体" w:cs="仿宋_GB2312"/>
          <w:b w:val="0"/>
          <w:bCs w:val="0"/>
          <w:i w:val="0"/>
          <w:iCs w:val="0"/>
          <w:color w:val="auto"/>
          <w:sz w:val="24"/>
          <w:highlight w:val="none"/>
          <w:u w:val="none"/>
        </w:rPr>
        <w:t>图纸内容包括设计构思及方案、总平面图、功能分区和空间组合等。请合理规划空间环境，考虑空间的尺度、比例，提高整个区域的利用率及灵活性。设计需结合</w:t>
      </w:r>
      <w:r>
        <w:rPr>
          <w:rFonts w:hint="eastAsia" w:ascii="宋体" w:hAnsi="宋体" w:cs="仿宋_GB2312"/>
          <w:b w:val="0"/>
          <w:bCs w:val="0"/>
          <w:i w:val="0"/>
          <w:iCs w:val="0"/>
          <w:color w:val="auto"/>
          <w:sz w:val="24"/>
          <w:highlight w:val="none"/>
          <w:u w:val="none"/>
          <w:lang w:val="en-US" w:eastAsia="zh-CN"/>
        </w:rPr>
        <w:t>学校</w:t>
      </w:r>
      <w:r>
        <w:rPr>
          <w:rFonts w:hint="eastAsia" w:ascii="宋体" w:hAnsi="宋体" w:cs="仿宋_GB2312"/>
          <w:b w:val="0"/>
          <w:bCs w:val="0"/>
          <w:i w:val="0"/>
          <w:iCs w:val="0"/>
          <w:color w:val="auto"/>
          <w:sz w:val="24"/>
          <w:highlight w:val="none"/>
          <w:u w:val="none"/>
        </w:rPr>
        <w:t>专业特色，必须包含各区施工选用的建筑材料设计方案。</w:t>
      </w:r>
    </w:p>
    <w:p w14:paraId="094D4A39">
      <w:pPr>
        <w:spacing w:line="360" w:lineRule="auto"/>
        <w:ind w:firstLine="480" w:firstLineChars="200"/>
        <w:jc w:val="left"/>
        <w:rPr>
          <w:rFonts w:hint="eastAsia" w:ascii="宋体" w:hAnsi="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1、考虑原有厨房设备的拆除、临时堆放和重新安装工程。</w:t>
      </w:r>
    </w:p>
    <w:p w14:paraId="7D2F1201">
      <w:pPr>
        <w:spacing w:line="360" w:lineRule="auto"/>
        <w:ind w:firstLine="480" w:firstLineChars="200"/>
        <w:jc w:val="left"/>
        <w:rPr>
          <w:rFonts w:hint="default" w:ascii="宋体" w:hAnsi="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2、考虑原有网络监控设备、临时堆放的拆除和重新安装工程。</w:t>
      </w:r>
    </w:p>
    <w:p w14:paraId="0DECAEBB">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3、拆旧</w:t>
      </w:r>
      <w:r>
        <w:rPr>
          <w:rFonts w:hint="eastAsia" w:ascii="宋体" w:hAnsi="宋体" w:cs="仿宋_GB2312"/>
          <w:b w:val="0"/>
          <w:bCs w:val="0"/>
          <w:i w:val="0"/>
          <w:iCs w:val="0"/>
          <w:color w:val="auto"/>
          <w:sz w:val="24"/>
          <w:highlight w:val="none"/>
          <w:u w:val="none"/>
          <w:lang w:eastAsia="zh-CN"/>
        </w:rPr>
        <w:t>、</w:t>
      </w:r>
      <w:r>
        <w:rPr>
          <w:rFonts w:hint="eastAsia" w:ascii="宋体" w:hAnsi="宋体" w:cs="仿宋_GB2312"/>
          <w:b w:val="0"/>
          <w:bCs w:val="0"/>
          <w:i w:val="0"/>
          <w:iCs w:val="0"/>
          <w:color w:val="auto"/>
          <w:sz w:val="24"/>
          <w:highlight w:val="none"/>
          <w:u w:val="none"/>
        </w:rPr>
        <w:t>砌筑工程。</w:t>
      </w:r>
    </w:p>
    <w:p w14:paraId="1CF12186">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rPr>
        <w:t>4、门窗、地面、墙身</w:t>
      </w:r>
      <w:r>
        <w:rPr>
          <w:rFonts w:hint="eastAsia" w:ascii="宋体" w:hAnsi="宋体" w:cs="仿宋_GB2312"/>
          <w:b w:val="0"/>
          <w:bCs w:val="0"/>
          <w:i w:val="0"/>
          <w:iCs w:val="0"/>
          <w:color w:val="auto"/>
          <w:sz w:val="24"/>
          <w:highlight w:val="none"/>
          <w:u w:val="none"/>
          <w:lang w:eastAsia="zh-CN"/>
        </w:rPr>
        <w:t>、</w:t>
      </w:r>
      <w:r>
        <w:rPr>
          <w:rFonts w:hint="eastAsia" w:ascii="宋体" w:hAnsi="宋体" w:cs="仿宋_GB2312"/>
          <w:b w:val="0"/>
          <w:bCs w:val="0"/>
          <w:i w:val="0"/>
          <w:iCs w:val="0"/>
          <w:color w:val="auto"/>
          <w:sz w:val="24"/>
          <w:highlight w:val="none"/>
          <w:u w:val="none"/>
        </w:rPr>
        <w:t>墙面及天花板</w:t>
      </w:r>
      <w:r>
        <w:rPr>
          <w:rFonts w:hint="eastAsia" w:ascii="宋体" w:hAnsi="宋体" w:cs="仿宋_GB2312"/>
          <w:b w:val="0"/>
          <w:bCs w:val="0"/>
          <w:i w:val="0"/>
          <w:iCs w:val="0"/>
          <w:color w:val="auto"/>
          <w:sz w:val="24"/>
          <w:highlight w:val="none"/>
          <w:u w:val="none"/>
          <w:lang w:val="en-US" w:eastAsia="zh-CN"/>
        </w:rPr>
        <w:t>拆除及</w:t>
      </w:r>
      <w:r>
        <w:rPr>
          <w:rFonts w:hint="eastAsia" w:ascii="宋体" w:hAnsi="宋体" w:cs="仿宋_GB2312"/>
          <w:b w:val="0"/>
          <w:bCs w:val="0"/>
          <w:i w:val="0"/>
          <w:iCs w:val="0"/>
          <w:color w:val="auto"/>
          <w:sz w:val="24"/>
          <w:highlight w:val="none"/>
          <w:u w:val="none"/>
        </w:rPr>
        <w:t>翻新</w:t>
      </w:r>
      <w:r>
        <w:rPr>
          <w:rFonts w:hint="eastAsia" w:ascii="宋体" w:hAnsi="宋体" w:cs="仿宋_GB2312"/>
          <w:b w:val="0"/>
          <w:bCs w:val="0"/>
          <w:i w:val="0"/>
          <w:iCs w:val="0"/>
          <w:color w:val="auto"/>
          <w:sz w:val="24"/>
          <w:highlight w:val="none"/>
          <w:u w:val="none"/>
          <w:lang w:val="en-US" w:eastAsia="zh-CN"/>
        </w:rPr>
        <w:t>工程</w:t>
      </w:r>
      <w:r>
        <w:rPr>
          <w:rFonts w:hint="eastAsia" w:ascii="宋体" w:hAnsi="宋体" w:cs="仿宋_GB2312"/>
          <w:b w:val="0"/>
          <w:bCs w:val="0"/>
          <w:i w:val="0"/>
          <w:iCs w:val="0"/>
          <w:color w:val="auto"/>
          <w:sz w:val="24"/>
          <w:highlight w:val="none"/>
          <w:u w:val="none"/>
        </w:rPr>
        <w:t>。</w:t>
      </w:r>
    </w:p>
    <w:p w14:paraId="0B2B45C6">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5</w:t>
      </w:r>
      <w:r>
        <w:rPr>
          <w:rFonts w:hint="eastAsia" w:ascii="宋体" w:hAnsi="宋体" w:cs="仿宋_GB2312"/>
          <w:b w:val="0"/>
          <w:bCs w:val="0"/>
          <w:i w:val="0"/>
          <w:iCs w:val="0"/>
          <w:color w:val="auto"/>
          <w:sz w:val="24"/>
          <w:highlight w:val="none"/>
          <w:u w:val="none"/>
        </w:rPr>
        <w:t>、弱电智能化等路电路改造等</w:t>
      </w:r>
      <w:r>
        <w:rPr>
          <w:rFonts w:hint="eastAsia" w:ascii="宋体" w:hAnsi="宋体" w:cs="仿宋_GB2312"/>
          <w:b w:val="0"/>
          <w:bCs w:val="0"/>
          <w:i w:val="0"/>
          <w:iCs w:val="0"/>
          <w:color w:val="auto"/>
          <w:sz w:val="24"/>
          <w:highlight w:val="none"/>
          <w:u w:val="none"/>
          <w:lang w:val="en-US" w:eastAsia="zh-CN"/>
        </w:rPr>
        <w:t>工程</w:t>
      </w:r>
      <w:r>
        <w:rPr>
          <w:rFonts w:hint="eastAsia" w:ascii="宋体" w:hAnsi="宋体" w:cs="仿宋_GB2312"/>
          <w:b w:val="0"/>
          <w:bCs w:val="0"/>
          <w:i w:val="0"/>
          <w:iCs w:val="0"/>
          <w:color w:val="auto"/>
          <w:sz w:val="24"/>
          <w:highlight w:val="none"/>
          <w:u w:val="none"/>
        </w:rPr>
        <w:t>。</w:t>
      </w:r>
    </w:p>
    <w:p w14:paraId="4A5C2CA4">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6</w:t>
      </w:r>
      <w:r>
        <w:rPr>
          <w:rFonts w:hint="eastAsia" w:ascii="宋体" w:hAnsi="宋体" w:cs="仿宋_GB2312"/>
          <w:b w:val="0"/>
          <w:bCs w:val="0"/>
          <w:i w:val="0"/>
          <w:iCs w:val="0"/>
          <w:color w:val="auto"/>
          <w:sz w:val="24"/>
          <w:highlight w:val="none"/>
          <w:u w:val="none"/>
        </w:rPr>
        <w:t>、开关、插座、网络系统电源配送到位。</w:t>
      </w:r>
    </w:p>
    <w:p w14:paraId="1668DB74">
      <w:pPr>
        <w:spacing w:line="360" w:lineRule="auto"/>
        <w:ind w:firstLine="480" w:firstLineChars="200"/>
        <w:jc w:val="left"/>
        <w:rPr>
          <w:rFonts w:hint="eastAsia" w:ascii="宋体" w:hAnsi="宋体" w:cs="仿宋_GB2312"/>
          <w:b w:val="0"/>
          <w:bCs w:val="0"/>
          <w:i w:val="0"/>
          <w:iCs w:val="0"/>
          <w:color w:val="auto"/>
          <w:sz w:val="24"/>
          <w:highlight w:val="none"/>
          <w:u w:val="none"/>
        </w:rPr>
      </w:pPr>
      <w:r>
        <w:rPr>
          <w:rFonts w:hint="eastAsia" w:ascii="宋体" w:hAnsi="宋体" w:cs="仿宋_GB2312"/>
          <w:b w:val="0"/>
          <w:bCs w:val="0"/>
          <w:i w:val="0"/>
          <w:iCs w:val="0"/>
          <w:color w:val="auto"/>
          <w:sz w:val="24"/>
          <w:highlight w:val="none"/>
          <w:u w:val="none"/>
          <w:lang w:val="en-US" w:eastAsia="zh-CN"/>
        </w:rPr>
        <w:t>7</w:t>
      </w:r>
      <w:r>
        <w:rPr>
          <w:rFonts w:hint="eastAsia" w:ascii="宋体" w:hAnsi="宋体" w:cs="仿宋_GB2312"/>
          <w:b w:val="0"/>
          <w:bCs w:val="0"/>
          <w:i w:val="0"/>
          <w:iCs w:val="0"/>
          <w:color w:val="auto"/>
          <w:sz w:val="24"/>
          <w:highlight w:val="none"/>
          <w:u w:val="none"/>
        </w:rPr>
        <w:t>、照明系统专项</w:t>
      </w:r>
      <w:r>
        <w:rPr>
          <w:rFonts w:hint="eastAsia" w:ascii="宋体" w:hAnsi="宋体" w:cs="仿宋_GB2312"/>
          <w:b w:val="0"/>
          <w:bCs w:val="0"/>
          <w:i w:val="0"/>
          <w:iCs w:val="0"/>
          <w:color w:val="auto"/>
          <w:sz w:val="24"/>
          <w:highlight w:val="none"/>
          <w:u w:val="none"/>
          <w:lang w:eastAsia="zh-CN"/>
        </w:rPr>
        <w:t>工程</w:t>
      </w:r>
      <w:r>
        <w:rPr>
          <w:rFonts w:hint="eastAsia" w:ascii="宋体" w:hAnsi="宋体" w:cs="仿宋_GB2312"/>
          <w:b w:val="0"/>
          <w:bCs w:val="0"/>
          <w:i w:val="0"/>
          <w:iCs w:val="0"/>
          <w:color w:val="auto"/>
          <w:sz w:val="24"/>
          <w:highlight w:val="none"/>
          <w:u w:val="none"/>
        </w:rPr>
        <w:t>和供电系统</w:t>
      </w:r>
      <w:r>
        <w:rPr>
          <w:rFonts w:hint="eastAsia" w:ascii="宋体" w:hAnsi="宋体" w:cs="仿宋_GB2312"/>
          <w:b w:val="0"/>
          <w:bCs w:val="0"/>
          <w:i w:val="0"/>
          <w:iCs w:val="0"/>
          <w:color w:val="auto"/>
          <w:sz w:val="24"/>
          <w:highlight w:val="none"/>
          <w:u w:val="none"/>
          <w:lang w:eastAsia="zh-CN"/>
        </w:rPr>
        <w:t>工程</w:t>
      </w:r>
      <w:r>
        <w:rPr>
          <w:rFonts w:hint="eastAsia" w:ascii="宋体" w:hAnsi="宋体" w:cs="仿宋_GB2312"/>
          <w:b w:val="0"/>
          <w:bCs w:val="0"/>
          <w:i w:val="0"/>
          <w:iCs w:val="0"/>
          <w:color w:val="auto"/>
          <w:sz w:val="24"/>
          <w:highlight w:val="none"/>
          <w:u w:val="none"/>
        </w:rPr>
        <w:t>。</w:t>
      </w:r>
    </w:p>
    <w:p w14:paraId="3FD19DE4">
      <w:pPr>
        <w:spacing w:line="360" w:lineRule="auto"/>
        <w:ind w:firstLine="480" w:firstLineChars="200"/>
        <w:jc w:val="left"/>
        <w:rPr>
          <w:rFonts w:hint="eastAsia" w:ascii="宋体" w:hAnsi="宋体" w:cs="仿宋_GB2312"/>
          <w:b w:val="0"/>
          <w:bCs w:val="0"/>
          <w:i w:val="0"/>
          <w:iCs w:val="0"/>
          <w:color w:val="auto"/>
          <w:sz w:val="24"/>
          <w:highlight w:val="none"/>
          <w:u w:val="none"/>
          <w:lang w:eastAsia="zh-CN"/>
        </w:rPr>
      </w:pPr>
      <w:r>
        <w:rPr>
          <w:rFonts w:hint="eastAsia" w:ascii="宋体" w:hAnsi="宋体" w:cs="仿宋_GB2312"/>
          <w:b w:val="0"/>
          <w:bCs w:val="0"/>
          <w:i w:val="0"/>
          <w:iCs w:val="0"/>
          <w:color w:val="auto"/>
          <w:sz w:val="24"/>
          <w:highlight w:val="none"/>
          <w:u w:val="none"/>
          <w:lang w:val="en-US" w:eastAsia="zh-CN"/>
        </w:rPr>
        <w:t>8</w:t>
      </w:r>
      <w:r>
        <w:rPr>
          <w:rFonts w:hint="eastAsia" w:ascii="宋体" w:hAnsi="宋体" w:cs="仿宋_GB2312"/>
          <w:b w:val="0"/>
          <w:bCs w:val="0"/>
          <w:i w:val="0"/>
          <w:iCs w:val="0"/>
          <w:color w:val="auto"/>
          <w:sz w:val="24"/>
          <w:highlight w:val="none"/>
          <w:u w:val="none"/>
        </w:rPr>
        <w:t>、</w:t>
      </w:r>
      <w:r>
        <w:rPr>
          <w:rFonts w:hint="eastAsia" w:ascii="宋体" w:hAnsi="宋体" w:cs="仿宋_GB2312"/>
          <w:b w:val="0"/>
          <w:bCs w:val="0"/>
          <w:i w:val="0"/>
          <w:iCs w:val="0"/>
          <w:color w:val="auto"/>
          <w:sz w:val="24"/>
          <w:highlight w:val="none"/>
          <w:u w:val="none"/>
          <w:lang w:eastAsia="zh-CN"/>
        </w:rPr>
        <w:t>油漆、涂料、裱糊工程、其他装饰工程。</w:t>
      </w:r>
    </w:p>
    <w:p w14:paraId="6CFBAEE0">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eastAsia" w:ascii="宋体" w:hAnsi="宋体" w:eastAsia="宋体" w:cs="仿宋_GB2312"/>
          <w:b w:val="0"/>
          <w:bCs w:val="0"/>
          <w:i w:val="0"/>
          <w:iCs w:val="0"/>
          <w:color w:val="auto"/>
          <w:sz w:val="24"/>
          <w:highlight w:val="none"/>
          <w:u w:val="none"/>
          <w:lang w:val="en-US" w:eastAsia="zh-CN"/>
        </w:rPr>
        <w:t>9、</w:t>
      </w:r>
      <w:r>
        <w:rPr>
          <w:rFonts w:hint="eastAsia" w:ascii="宋体" w:hAnsi="宋体" w:cs="仿宋_GB2312"/>
          <w:b w:val="0"/>
          <w:bCs w:val="0"/>
          <w:i w:val="0"/>
          <w:iCs w:val="0"/>
          <w:color w:val="auto"/>
          <w:sz w:val="24"/>
          <w:highlight w:val="none"/>
          <w:u w:val="none"/>
          <w:lang w:val="en-US" w:eastAsia="zh-CN"/>
        </w:rPr>
        <w:t>食堂用水工程</w:t>
      </w:r>
    </w:p>
    <w:p w14:paraId="0AD71793">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10、</w:t>
      </w:r>
      <w:r>
        <w:rPr>
          <w:rFonts w:hint="eastAsia" w:ascii="宋体" w:hAnsi="宋体" w:eastAsia="宋体" w:cs="仿宋_GB2312"/>
          <w:b w:val="0"/>
          <w:bCs w:val="0"/>
          <w:i w:val="0"/>
          <w:iCs w:val="0"/>
          <w:color w:val="auto"/>
          <w:sz w:val="24"/>
          <w:highlight w:val="none"/>
          <w:u w:val="none"/>
          <w:lang w:val="en-US" w:eastAsia="zh-CN"/>
        </w:rPr>
        <w:t>建筑垃圾清运。</w:t>
      </w:r>
    </w:p>
    <w:p w14:paraId="22D38A9C">
      <w:pPr>
        <w:spacing w:line="360" w:lineRule="auto"/>
        <w:ind w:firstLine="480" w:firstLineChars="200"/>
        <w:jc w:val="left"/>
        <w:rPr>
          <w:rFonts w:hint="eastAsia" w:ascii="宋体" w:hAnsi="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材料选择得当，运用新材料、新工艺，提高设计中的科技含量；运用节能、环保材料和环保技术，充分考虑材料的安全性、通用性、牢固性、审美观、标准化。色彩选配考究，线条处理协调，并且符合国家规范要求，主要部件及配件应采用同类产品中的优质品牌。要求具有稳定性和易维护性，便于更换和清洁。</w:t>
      </w:r>
    </w:p>
    <w:p w14:paraId="5E28BBA0">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eastAsia" w:ascii="宋体" w:hAnsi="宋体" w:cs="仿宋_GB2312"/>
          <w:b w:val="0"/>
          <w:bCs w:val="0"/>
          <w:i w:val="0"/>
          <w:iCs w:val="0"/>
          <w:color w:val="auto"/>
          <w:sz w:val="24"/>
          <w:highlight w:val="none"/>
          <w:u w:val="none"/>
          <w:lang w:val="en-US" w:eastAsia="zh-CN"/>
        </w:rPr>
        <w:t>7</w:t>
      </w:r>
      <w:r>
        <w:rPr>
          <w:rFonts w:hint="default" w:ascii="宋体" w:hAnsi="宋体" w:eastAsia="宋体" w:cs="仿宋_GB2312"/>
          <w:b w:val="0"/>
          <w:bCs w:val="0"/>
          <w:i w:val="0"/>
          <w:iCs w:val="0"/>
          <w:color w:val="auto"/>
          <w:sz w:val="24"/>
          <w:highlight w:val="none"/>
          <w:u w:val="none"/>
          <w:lang w:val="en-US" w:eastAsia="zh-CN"/>
        </w:rPr>
        <w:t>、设计的深度应完全满足功能性要求并能按施工图进行施工（制作），包括（但不限于以下内容）</w:t>
      </w:r>
      <w:r>
        <w:rPr>
          <w:rFonts w:hint="eastAsia" w:ascii="宋体" w:hAnsi="宋体" w:cs="仿宋_GB2312"/>
          <w:b w:val="0"/>
          <w:bCs w:val="0"/>
          <w:i w:val="0"/>
          <w:iCs w:val="0"/>
          <w:color w:val="auto"/>
          <w:sz w:val="24"/>
          <w:highlight w:val="none"/>
          <w:u w:val="none"/>
          <w:lang w:val="en-US" w:eastAsia="zh-CN"/>
        </w:rPr>
        <w:t>：</w:t>
      </w:r>
    </w:p>
    <w:p w14:paraId="34BDBEEA">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（1）设计应包含所有专业的施工图设计及制作，其中包括设计说明、必须的设备、材料表、其他如（灯光、音视频、</w:t>
      </w:r>
      <w:r>
        <w:rPr>
          <w:rFonts w:hint="eastAsia" w:ascii="宋体" w:hAnsi="宋体" w:eastAsia="宋体" w:cs="仿宋_GB2312"/>
          <w:b w:val="0"/>
          <w:bCs w:val="0"/>
          <w:i w:val="0"/>
          <w:iCs w:val="0"/>
          <w:color w:val="auto"/>
          <w:sz w:val="24"/>
          <w:highlight w:val="none"/>
          <w:u w:val="none"/>
          <w:lang w:val="en-US" w:eastAsia="zh-CN"/>
        </w:rPr>
        <w:t>造型</w:t>
      </w:r>
      <w:r>
        <w:rPr>
          <w:rFonts w:hint="default" w:ascii="宋体" w:hAnsi="宋体" w:eastAsia="宋体" w:cs="仿宋_GB2312"/>
          <w:b w:val="0"/>
          <w:bCs w:val="0"/>
          <w:i w:val="0"/>
          <w:iCs w:val="0"/>
          <w:color w:val="auto"/>
          <w:sz w:val="24"/>
          <w:highlight w:val="none"/>
          <w:u w:val="none"/>
          <w:lang w:val="en-US" w:eastAsia="zh-CN"/>
        </w:rPr>
        <w:t>、结构、电气）等设计，同时须提供说明各种设备、材料、模型等的厂家（制造商）、品牌、规格、功能等清单</w:t>
      </w:r>
      <w:r>
        <w:rPr>
          <w:rFonts w:hint="eastAsia" w:ascii="宋体" w:hAnsi="宋体" w:cs="仿宋_GB2312"/>
          <w:b w:val="0"/>
          <w:bCs w:val="0"/>
          <w:i w:val="0"/>
          <w:iCs w:val="0"/>
          <w:color w:val="auto"/>
          <w:sz w:val="24"/>
          <w:highlight w:val="none"/>
          <w:u w:val="none"/>
          <w:lang w:val="en-US" w:eastAsia="zh-CN"/>
        </w:rPr>
        <w:t>；</w:t>
      </w:r>
    </w:p>
    <w:p w14:paraId="6FC6A89E">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（2）设计文件包含两个主要部分</w:t>
      </w:r>
      <w:r>
        <w:rPr>
          <w:rFonts w:hint="eastAsia" w:ascii="宋体" w:hAnsi="宋体" w:cs="仿宋_GB2312"/>
          <w:b w:val="0"/>
          <w:bCs w:val="0"/>
          <w:i w:val="0"/>
          <w:iCs w:val="0"/>
          <w:color w:val="auto"/>
          <w:sz w:val="24"/>
          <w:highlight w:val="none"/>
          <w:u w:val="none"/>
          <w:lang w:val="en-US" w:eastAsia="zh-CN"/>
        </w:rPr>
        <w:t>：</w:t>
      </w:r>
      <w:r>
        <w:rPr>
          <w:rFonts w:hint="default" w:ascii="宋体" w:hAnsi="宋体" w:eastAsia="宋体" w:cs="仿宋_GB2312"/>
          <w:b w:val="0"/>
          <w:bCs w:val="0"/>
          <w:i w:val="0"/>
          <w:iCs w:val="0"/>
          <w:color w:val="auto"/>
          <w:sz w:val="24"/>
          <w:highlight w:val="none"/>
          <w:u w:val="none"/>
          <w:lang w:val="en-US" w:eastAsia="zh-CN"/>
        </w:rPr>
        <w:t>设计方案与施工图纸。应提供</w:t>
      </w:r>
      <w:r>
        <w:rPr>
          <w:rFonts w:hint="eastAsia" w:ascii="宋体" w:hAnsi="宋体" w:cs="仿宋_GB2312"/>
          <w:b w:val="0"/>
          <w:bCs w:val="0"/>
          <w:i w:val="0"/>
          <w:iCs w:val="0"/>
          <w:color w:val="auto"/>
          <w:sz w:val="24"/>
          <w:highlight w:val="none"/>
          <w:u w:val="none"/>
          <w:lang w:val="en-US" w:eastAsia="zh-CN"/>
        </w:rPr>
        <w:t>杭州市人民职业学校食堂内部环境提升改造项目</w:t>
      </w:r>
      <w:r>
        <w:rPr>
          <w:rFonts w:hint="default" w:ascii="宋体" w:hAnsi="宋体" w:eastAsia="宋体" w:cs="仿宋_GB2312"/>
          <w:b w:val="0"/>
          <w:bCs w:val="0"/>
          <w:i w:val="0"/>
          <w:iCs w:val="0"/>
          <w:color w:val="auto"/>
          <w:sz w:val="24"/>
          <w:highlight w:val="none"/>
          <w:u w:val="none"/>
          <w:lang w:val="en-US" w:eastAsia="zh-CN"/>
        </w:rPr>
        <w:t>设计施工一体化工程的平面、立面、墙身、大样、施工图、用料及规格、性能、技术标准、制作程序、详细的材料及其报价分析表以及其它要求的各项技术参数</w:t>
      </w:r>
      <w:r>
        <w:rPr>
          <w:rFonts w:hint="eastAsia" w:ascii="宋体" w:hAnsi="宋体" w:cs="仿宋_GB2312"/>
          <w:b w:val="0"/>
          <w:bCs w:val="0"/>
          <w:i w:val="0"/>
          <w:iCs w:val="0"/>
          <w:color w:val="auto"/>
          <w:sz w:val="24"/>
          <w:highlight w:val="none"/>
          <w:u w:val="none"/>
          <w:lang w:val="en-US" w:eastAsia="zh-CN"/>
        </w:rPr>
        <w:t>；</w:t>
      </w:r>
    </w:p>
    <w:p w14:paraId="45E6A68B">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（3）为了实现高质量的展示水准及要求，设计单位提供详细描述本项目的深化（施工图）设计顺序、方法、具体的工程制作顺序以及在制作阶段（短期内）从制作到设置安装的实施办法</w:t>
      </w:r>
      <w:r>
        <w:rPr>
          <w:rFonts w:hint="eastAsia" w:ascii="宋体" w:hAnsi="宋体" w:cs="仿宋_GB2312"/>
          <w:b w:val="0"/>
          <w:bCs w:val="0"/>
          <w:i w:val="0"/>
          <w:iCs w:val="0"/>
          <w:color w:val="auto"/>
          <w:sz w:val="24"/>
          <w:highlight w:val="none"/>
          <w:u w:val="none"/>
          <w:lang w:val="en-US" w:eastAsia="zh-CN"/>
        </w:rPr>
        <w:t>；</w:t>
      </w:r>
    </w:p>
    <w:p w14:paraId="7A8676BB">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（4）本次设计必须满足安防监控要求、防火规范、消防设施设计规范及有关规定</w:t>
      </w:r>
      <w:r>
        <w:rPr>
          <w:rFonts w:hint="eastAsia" w:ascii="宋体" w:hAnsi="宋体" w:cs="仿宋_GB2312"/>
          <w:b w:val="0"/>
          <w:bCs w:val="0"/>
          <w:i w:val="0"/>
          <w:iCs w:val="0"/>
          <w:color w:val="auto"/>
          <w:sz w:val="24"/>
          <w:highlight w:val="none"/>
          <w:u w:val="none"/>
          <w:lang w:val="en-US" w:eastAsia="zh-CN"/>
        </w:rPr>
        <w:t>；</w:t>
      </w:r>
    </w:p>
    <w:p w14:paraId="77CAFAC2">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hint="default" w:ascii="宋体" w:hAnsi="宋体" w:eastAsia="宋体" w:cs="仿宋_GB2312"/>
          <w:b w:val="0"/>
          <w:bCs w:val="0"/>
          <w:i w:val="0"/>
          <w:iCs w:val="0"/>
          <w:color w:val="auto"/>
          <w:sz w:val="24"/>
          <w:highlight w:val="none"/>
          <w:u w:val="none"/>
          <w:lang w:val="en-US" w:eastAsia="zh-CN"/>
        </w:rPr>
        <w:t>（5）在实施过程中校方对施工图提出修改或再次深化，均需出具工作联系</w:t>
      </w:r>
      <w:r>
        <w:rPr>
          <w:rFonts w:hint="eastAsia" w:ascii="宋体" w:hAnsi="宋体" w:cs="仿宋_GB2312"/>
          <w:b w:val="0"/>
          <w:bCs w:val="0"/>
          <w:i w:val="0"/>
          <w:iCs w:val="0"/>
          <w:color w:val="auto"/>
          <w:sz w:val="24"/>
          <w:highlight w:val="none"/>
          <w:u w:val="none"/>
          <w:lang w:val="en-US" w:eastAsia="zh-CN"/>
        </w:rPr>
        <w:t>单，成交供应商须在竣工图中完善。</w:t>
      </w:r>
    </w:p>
    <w:p w14:paraId="488BDBFC">
      <w:pPr>
        <w:spacing w:line="360" w:lineRule="auto"/>
        <w:jc w:val="left"/>
        <w:rPr>
          <w:rFonts w:hint="default" w:ascii="宋体" w:hAnsi="宋体" w:eastAsia="宋体" w:cs="仿宋_GB2312"/>
          <w:b/>
          <w:bCs/>
          <w:i w:val="0"/>
          <w:iCs w:val="0"/>
          <w:color w:val="auto"/>
          <w:sz w:val="24"/>
          <w:highlight w:val="none"/>
          <w:u w:val="none"/>
          <w:lang w:val="en-US" w:eastAsia="zh-CN"/>
        </w:rPr>
      </w:pPr>
      <w:r>
        <w:rPr>
          <w:rFonts w:hint="eastAsia" w:ascii="宋体" w:hAnsi="宋体" w:cs="仿宋_GB2312"/>
          <w:b/>
          <w:bCs/>
          <w:i w:val="0"/>
          <w:iCs w:val="0"/>
          <w:color w:val="auto"/>
          <w:sz w:val="24"/>
          <w:highlight w:val="none"/>
          <w:u w:val="none"/>
          <w:lang w:val="en-US" w:eastAsia="zh-CN"/>
        </w:rPr>
        <w:t>五、施工要求</w:t>
      </w:r>
    </w:p>
    <w:p w14:paraId="64272D62">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1、本项目发包范围内的设计项目，未经采购人同意，不得分包。一经发现立即取消承包资格，作违约处理，并承担由此引起的一切经济损失。</w:t>
      </w:r>
    </w:p>
    <w:p w14:paraId="2F53F20E">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2、成交供应商应严格按经深化的设计方案、施工图纸和已确认的施工技术方案组织施工，并无条件地接受采购人对施工质量的监督和管理。</w:t>
      </w:r>
    </w:p>
    <w:p w14:paraId="248B2A24">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3、成交供应商在磋商响应文件中承诺的设计负责人、设计班子主要成员、项目经理及相应资质的专业技术、管理人员未经采购人书面同意，成交供应商不得调换和撤离，并按工程进度及时到位。采购人有权要求成交供应商撤换工作不负责任、管理不力、贻误工期和造成严重安全事故和工程质量事故、违法乱纪的专业技术、管理人员直至项目经理，直至采购人满意为止。如项目经理及相应资质的专业技术人员未按要求到位，视作违约，采购人有权单方面终止合同。</w:t>
      </w:r>
    </w:p>
    <w:p w14:paraId="3B60E545">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4、成交供应商在施工期间，必须对自身及其他项目参建单位的进场材料设备、已完工的工作面进行成品保护，如有损坏，自行妥善处理;自身不能妥善处理、影响任一方工程进度的，采购人有权作出赔偿决断，费用从工程款或结算款中扣减。</w:t>
      </w:r>
    </w:p>
    <w:p w14:paraId="70458A21">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5、成交供应商必须无条件配合展品安装的各个步骤，做好工作交界面的衔接。</w:t>
      </w:r>
    </w:p>
    <w:p w14:paraId="47F35D00">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6、成交供应商须做好安全文明施工措施，要求无重大人员伤亡事故。施工期间发生的人身伤亡、财产损失及其它一切事故，由成交供应商承担由此带来的一切损失和相关处罚。给采购人造成损失的，由成交供应商负责赔偿。成交供应商须按有关规定办理各类保险，并自行承担费用。</w:t>
      </w:r>
    </w:p>
    <w:p w14:paraId="27F4FA23">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7、成交供应商须负责施工现场的消防安全工作，严格落实消防措施。工地现场及时清除易燃、可燃物品，配置消防器材，落实专人监护，保证现场的消防安全。</w:t>
      </w:r>
    </w:p>
    <w:p w14:paraId="51A32A0F">
      <w:pPr>
        <w:spacing w:line="360" w:lineRule="auto"/>
        <w:ind w:firstLine="480" w:firstLineChars="200"/>
        <w:jc w:val="left"/>
        <w:rPr>
          <w:rFonts w:hint="default" w:ascii="宋体" w:hAnsi="宋体" w:eastAsia="宋体" w:cs="仿宋_GB2312"/>
          <w:b w:val="0"/>
          <w:bCs w:val="0"/>
          <w:i w:val="0"/>
          <w:iCs w:val="0"/>
          <w:color w:val="auto"/>
          <w:sz w:val="24"/>
          <w:highlight w:val="none"/>
          <w:u w:val="none"/>
          <w:lang w:val="en-US" w:eastAsia="zh-CN"/>
        </w:rPr>
      </w:pPr>
      <w:r>
        <w:rPr>
          <w:rFonts w:ascii="宋体" w:hAnsi="宋体" w:cs="仿宋_GB2312"/>
          <w:b w:val="0"/>
          <w:bCs w:val="0"/>
          <w:i w:val="0"/>
          <w:iCs w:val="0"/>
          <w:color w:val="auto"/>
          <w:sz w:val="24"/>
          <w:highlight w:val="none"/>
          <w:u w:val="none"/>
        </w:rPr>
        <w:t>8、成交供应商施工（制作）完成的装修内容必须达到采购文件和设计方案及施工图要求的效果，如不能达到，在采购人允许的一定时间内进行修改、完善，</w:t>
      </w:r>
      <w:r>
        <w:rPr>
          <w:rFonts w:hint="eastAsia" w:ascii="宋体" w:hAnsi="宋体" w:cs="仿宋_GB2312"/>
          <w:b w:val="0"/>
          <w:bCs w:val="0"/>
          <w:i w:val="0"/>
          <w:iCs w:val="0"/>
          <w:color w:val="auto"/>
          <w:sz w:val="24"/>
          <w:highlight w:val="none"/>
          <w:u w:val="none"/>
          <w:lang w:val="en-US" w:eastAsia="zh-CN"/>
        </w:rPr>
        <w:t>使其达到对展示效果的承诺。</w:t>
      </w:r>
    </w:p>
    <w:p w14:paraId="10D69AC0">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9、成交供应商负责选购的材料应确保符合采购文件的要求，提供的所有材料，五金及配套件必须是全新的和没有缺陷的，工程所有外露材料的颜色必须报经招标人批准后方可采购。采购人对任何材料、五金及配套件的认可并不分担任何成交供应商作为承包方应负的责任。</w:t>
      </w:r>
    </w:p>
    <w:p w14:paraId="467395B6">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10、隐蔽工程经采购人验收合格后方可进入下道工序施工。</w:t>
      </w:r>
    </w:p>
    <w:p w14:paraId="5971047E">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11、成交供应商应在施工过程中采取必要的除尘、降噪措施，且不得影响大楼内其他设备的正常运行。</w:t>
      </w:r>
    </w:p>
    <w:p w14:paraId="0101E8FB">
      <w:pPr>
        <w:spacing w:line="360" w:lineRule="auto"/>
        <w:ind w:firstLine="480" w:firstLineChars="200"/>
        <w:jc w:val="left"/>
        <w:rPr>
          <w:rFonts w:ascii="宋体" w:hAnsi="宋体" w:cs="仿宋_GB2312"/>
          <w:b w:val="0"/>
          <w:bCs w:val="0"/>
          <w:i w:val="0"/>
          <w:iCs w:val="0"/>
          <w:color w:val="auto"/>
          <w:sz w:val="24"/>
          <w:highlight w:val="none"/>
          <w:u w:val="none"/>
        </w:rPr>
      </w:pPr>
      <w:r>
        <w:rPr>
          <w:rFonts w:ascii="宋体" w:hAnsi="宋体" w:cs="仿宋_GB2312"/>
          <w:b w:val="0"/>
          <w:bCs w:val="0"/>
          <w:i w:val="0"/>
          <w:iCs w:val="0"/>
          <w:color w:val="auto"/>
          <w:sz w:val="24"/>
          <w:highlight w:val="none"/>
          <w:u w:val="none"/>
        </w:rPr>
        <w:t>12、建筑垃圾外运必须按杭州市《建筑垃圾处理管理条例》条款的规定定点、定时外运处理。</w:t>
      </w:r>
    </w:p>
    <w:p w14:paraId="7327DA6A">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六</w:t>
      </w:r>
      <w:r>
        <w:rPr>
          <w:rFonts w:hint="eastAsia" w:ascii="宋体" w:hAnsi="宋体" w:cs="仿宋_GB2312"/>
          <w:b/>
          <w:bCs/>
          <w:color w:val="auto"/>
          <w:sz w:val="24"/>
          <w:highlight w:val="none"/>
        </w:rPr>
        <w:t>、商务要求</w:t>
      </w:r>
    </w:p>
    <w:p w14:paraId="0D0C2CA5">
      <w:pPr>
        <w:spacing w:line="360" w:lineRule="auto"/>
        <w:ind w:firstLine="482" w:firstLineChars="2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1.工期要求：</w:t>
      </w:r>
    </w:p>
    <w:p w14:paraId="06AAAFE1">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计划总工期</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2025年8月20日前完工并通过验收。</w:t>
      </w:r>
      <w:r>
        <w:rPr>
          <w:rFonts w:hint="eastAsia" w:ascii="宋体" w:hAnsi="宋体" w:cs="仿宋_GB2312"/>
          <w:color w:val="auto"/>
          <w:sz w:val="24"/>
          <w:highlight w:val="none"/>
        </w:rPr>
        <w:t>施工期间，如遇校内教学活动工程暂定的，承包人需无条件配合，工期依据暂停时间自动顺延，但因此产生的其他影响或成本支出由承包人自行承担。</w:t>
      </w:r>
    </w:p>
    <w:p w14:paraId="5AE49137">
      <w:pPr>
        <w:spacing w:line="360" w:lineRule="auto"/>
        <w:ind w:firstLine="482" w:firstLineChars="2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2.工程地点：</w:t>
      </w:r>
    </w:p>
    <w:p w14:paraId="1F1529B2">
      <w:pPr>
        <w:spacing w:line="360" w:lineRule="auto"/>
        <w:ind w:firstLine="480" w:firstLineChars="2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杭州市人民职业学校</w:t>
      </w:r>
      <w:r>
        <w:rPr>
          <w:rFonts w:hint="eastAsia" w:ascii="宋体" w:hAnsi="宋体" w:cs="仿宋_GB2312"/>
          <w:color w:val="auto"/>
          <w:sz w:val="24"/>
          <w:highlight w:val="none"/>
          <w:lang w:val="en-US" w:eastAsia="zh-CN"/>
        </w:rPr>
        <w:t>内</w:t>
      </w:r>
    </w:p>
    <w:p w14:paraId="03717308">
      <w:pPr>
        <w:spacing w:line="360" w:lineRule="auto"/>
        <w:ind w:firstLine="482" w:firstLineChars="200"/>
        <w:jc w:val="left"/>
        <w:rPr>
          <w:rFonts w:ascii="宋体" w:hAnsi="宋体" w:cs="仿宋_GB2312"/>
          <w:b/>
          <w:bCs/>
          <w:color w:val="auto"/>
          <w:sz w:val="24"/>
          <w:highlight w:val="none"/>
        </w:rPr>
      </w:pPr>
      <w:r>
        <w:rPr>
          <w:rFonts w:hint="eastAsia" w:ascii="宋体" w:hAnsi="宋体" w:cs="仿宋_GB2312"/>
          <w:b/>
          <w:bCs/>
          <w:color w:val="auto"/>
          <w:sz w:val="24"/>
          <w:highlight w:val="none"/>
        </w:rPr>
        <w:t>3.付款条件（进度和方式）</w:t>
      </w:r>
    </w:p>
    <w:p w14:paraId="338F225B">
      <w:pPr>
        <w:spacing w:line="360" w:lineRule="auto"/>
        <w:ind w:firstLine="480" w:firstLineChars="200"/>
        <w:jc w:val="left"/>
        <w:rPr>
          <w:rFonts w:hint="eastAsia" w:ascii="宋体" w:hAnsi="宋体" w:eastAsia="宋体" w:cs="仿宋_GB2312"/>
          <w:b w:val="0"/>
          <w:bCs w:val="0"/>
          <w:color w:val="auto"/>
          <w:sz w:val="24"/>
          <w:szCs w:val="24"/>
          <w:highlight w:val="none"/>
          <w:u w:val="none"/>
          <w:lang w:val="en-US" w:eastAsia="zh-CN"/>
        </w:rPr>
      </w:pPr>
      <w:r>
        <w:rPr>
          <w:rFonts w:hint="eastAsia" w:ascii="宋体" w:hAnsi="宋体" w:cs="仿宋_GB2312"/>
          <w:b w:val="0"/>
          <w:bCs w:val="0"/>
          <w:color w:val="auto"/>
          <w:sz w:val="24"/>
          <w:szCs w:val="24"/>
          <w:highlight w:val="none"/>
          <w:u w:val="none"/>
          <w:lang w:val="en-US" w:eastAsia="zh-CN"/>
        </w:rPr>
        <w:t>1）</w:t>
      </w:r>
      <w:r>
        <w:rPr>
          <w:rFonts w:hint="eastAsia" w:ascii="宋体" w:hAnsi="宋体" w:eastAsia="宋体" w:cs="仿宋_GB2312"/>
          <w:b w:val="0"/>
          <w:bCs w:val="0"/>
          <w:color w:val="auto"/>
          <w:sz w:val="24"/>
          <w:szCs w:val="24"/>
          <w:highlight w:val="none"/>
          <w:u w:val="none"/>
          <w:lang w:val="en-US" w:eastAsia="zh-CN"/>
        </w:rPr>
        <w:t>本合同签订并生效后5个工作日内，支付工程合同总价的</w:t>
      </w:r>
      <w:r>
        <w:rPr>
          <w:rFonts w:hint="eastAsia" w:ascii="宋体" w:hAnsi="宋体" w:cs="仿宋_GB2312"/>
          <w:b w:val="0"/>
          <w:bCs w:val="0"/>
          <w:color w:val="auto"/>
          <w:sz w:val="24"/>
          <w:szCs w:val="24"/>
          <w:highlight w:val="none"/>
          <w:u w:val="none"/>
          <w:lang w:val="en-US" w:eastAsia="zh-CN"/>
        </w:rPr>
        <w:t>60</w:t>
      </w:r>
      <w:r>
        <w:rPr>
          <w:rFonts w:hint="eastAsia" w:ascii="宋体" w:hAnsi="宋体" w:eastAsia="宋体" w:cs="仿宋_GB2312"/>
          <w:b w:val="0"/>
          <w:bCs w:val="0"/>
          <w:color w:val="auto"/>
          <w:sz w:val="24"/>
          <w:szCs w:val="24"/>
          <w:highlight w:val="none"/>
          <w:u w:val="none"/>
          <w:lang w:val="en-US" w:eastAsia="zh-CN"/>
        </w:rPr>
        <w:t>%作为预付款，若遇学校封账、结算等因素付款日期顺延，款项不另行支付利息；</w:t>
      </w:r>
    </w:p>
    <w:p w14:paraId="08DA71A1">
      <w:pPr>
        <w:spacing w:line="360" w:lineRule="auto"/>
        <w:ind w:firstLine="480" w:firstLineChars="200"/>
        <w:jc w:val="left"/>
        <w:rPr>
          <w:rFonts w:hint="eastAsia" w:ascii="宋体" w:hAnsi="宋体" w:eastAsia="宋体" w:cs="仿宋_GB2312"/>
          <w:b w:val="0"/>
          <w:bCs w:val="0"/>
          <w:color w:val="auto"/>
          <w:sz w:val="24"/>
          <w:szCs w:val="24"/>
          <w:highlight w:val="none"/>
          <w:u w:val="none"/>
          <w:lang w:val="en-US" w:eastAsia="zh-CN"/>
        </w:rPr>
      </w:pPr>
      <w:r>
        <w:rPr>
          <w:rFonts w:hint="eastAsia" w:ascii="宋体" w:hAnsi="宋体" w:cs="仿宋_GB2312"/>
          <w:b w:val="0"/>
          <w:bCs w:val="0"/>
          <w:color w:val="auto"/>
          <w:sz w:val="24"/>
          <w:szCs w:val="24"/>
          <w:highlight w:val="none"/>
          <w:u w:val="none"/>
          <w:lang w:val="en-US" w:eastAsia="zh-CN"/>
        </w:rPr>
        <w:t>2）</w:t>
      </w:r>
      <w:r>
        <w:rPr>
          <w:rFonts w:hint="eastAsia" w:ascii="宋体" w:hAnsi="宋体" w:eastAsia="宋体" w:cs="仿宋_GB2312"/>
          <w:b w:val="0"/>
          <w:bCs w:val="0"/>
          <w:color w:val="auto"/>
          <w:sz w:val="24"/>
          <w:szCs w:val="24"/>
          <w:highlight w:val="none"/>
          <w:u w:val="none"/>
          <w:lang w:val="en-US" w:eastAsia="zh-CN"/>
        </w:rPr>
        <w:t>工程完工经验收合格且竣工资料提交齐全，支付至合同内已完工工程量进度款的85%；</w:t>
      </w:r>
    </w:p>
    <w:p w14:paraId="599D90EC">
      <w:pPr>
        <w:spacing w:line="360" w:lineRule="auto"/>
        <w:ind w:firstLine="480" w:firstLineChars="200"/>
        <w:jc w:val="left"/>
        <w:rPr>
          <w:rFonts w:hint="eastAsia" w:ascii="宋体" w:hAnsi="宋体" w:eastAsia="宋体" w:cs="仿宋_GB2312"/>
          <w:b w:val="0"/>
          <w:bCs w:val="0"/>
          <w:color w:val="auto"/>
          <w:sz w:val="24"/>
          <w:szCs w:val="24"/>
          <w:highlight w:val="none"/>
          <w:u w:val="none"/>
          <w:lang w:val="en-US" w:eastAsia="zh-CN"/>
        </w:rPr>
      </w:pPr>
      <w:r>
        <w:rPr>
          <w:rFonts w:hint="eastAsia" w:ascii="宋体" w:hAnsi="宋体" w:cs="仿宋_GB2312"/>
          <w:b w:val="0"/>
          <w:bCs w:val="0"/>
          <w:color w:val="auto"/>
          <w:sz w:val="24"/>
          <w:szCs w:val="24"/>
          <w:highlight w:val="none"/>
          <w:u w:val="none"/>
          <w:lang w:val="en-US" w:eastAsia="zh-CN"/>
        </w:rPr>
        <w:t>3）</w:t>
      </w:r>
      <w:r>
        <w:rPr>
          <w:rFonts w:hint="eastAsia" w:ascii="宋体" w:hAnsi="宋体" w:eastAsia="宋体" w:cs="仿宋_GB2312"/>
          <w:b w:val="0"/>
          <w:bCs w:val="0"/>
          <w:color w:val="auto"/>
          <w:sz w:val="24"/>
          <w:szCs w:val="24"/>
          <w:highlight w:val="none"/>
          <w:u w:val="none"/>
          <w:lang w:val="en-US" w:eastAsia="zh-CN"/>
        </w:rPr>
        <w:t>工程竣工验收合格，资料归档后，采购人支付剩余价款。</w:t>
      </w:r>
    </w:p>
    <w:p w14:paraId="211CA37D">
      <w:pPr>
        <w:spacing w:line="360" w:lineRule="auto"/>
        <w:ind w:firstLine="480" w:firstLineChars="200"/>
        <w:jc w:val="left"/>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现场管理混乱，工程质量、进度、现场文明施工和安全生产达不到预定计划，采购人有权不支付或不全额支付工程款。</w:t>
      </w:r>
    </w:p>
    <w:p w14:paraId="341E8597">
      <w:pPr>
        <w:spacing w:line="360" w:lineRule="auto"/>
        <w:ind w:firstLine="480" w:firstLineChars="2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在领取工程款前，应当向采购人交付相应的正规发票，并按本合同合格的履行了义务，否则采购人可暂缓支付并不承担逾期付款的违约责任。</w:t>
      </w:r>
    </w:p>
    <w:p w14:paraId="38950E47">
      <w:pPr>
        <w:spacing w:line="360" w:lineRule="auto"/>
        <w:ind w:firstLine="482" w:firstLineChars="200"/>
        <w:jc w:val="left"/>
        <w:rPr>
          <w:rFonts w:hint="default" w:ascii="宋体" w:hAnsi="宋体" w:eastAsia="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w:t>
      </w:r>
      <w:r>
        <w:rPr>
          <w:rFonts w:hint="eastAsia" w:ascii="宋体" w:hAnsi="宋体" w:cs="仿宋_GB2312"/>
          <w:b/>
          <w:bCs/>
          <w:color w:val="auto"/>
          <w:sz w:val="24"/>
          <w:highlight w:val="none"/>
          <w:lang w:val="en-US" w:eastAsia="zh-CN"/>
        </w:rPr>
        <w:t>履约担保</w:t>
      </w:r>
    </w:p>
    <w:p w14:paraId="26646DF6">
      <w:pPr>
        <w:spacing w:line="360" w:lineRule="auto"/>
        <w:ind w:firstLine="480" w:firstLineChars="200"/>
        <w:jc w:val="left"/>
        <w:rPr>
          <w:rFonts w:hint="default" w:ascii="宋体" w:hAnsi="宋体" w:eastAsia="宋体"/>
          <w:color w:val="auto"/>
          <w:sz w:val="24"/>
          <w:highlight w:val="none"/>
          <w:u w:val="none"/>
          <w:lang w:val="en-US" w:eastAsia="zh-CN"/>
        </w:rPr>
      </w:pPr>
      <w:r>
        <w:rPr>
          <w:rFonts w:hint="eastAsia" w:ascii="宋体" w:hAnsi="宋体"/>
          <w:color w:val="auto"/>
          <w:sz w:val="24"/>
          <w:highlight w:val="none"/>
          <w:u w:val="none"/>
          <w:lang w:val="zh-Hans" w:eastAsia="zh-Hans"/>
        </w:rPr>
        <w:t>在合同签定后</w:t>
      </w:r>
      <w:r>
        <w:rPr>
          <w:rFonts w:hint="eastAsia" w:ascii="宋体" w:hAnsi="宋体"/>
          <w:color w:val="auto"/>
          <w:sz w:val="24"/>
          <w:highlight w:val="none"/>
          <w:u w:val="none"/>
          <w:lang w:val="en-US" w:eastAsia="zh-CN"/>
        </w:rPr>
        <w:t>5</w:t>
      </w:r>
      <w:r>
        <w:rPr>
          <w:rFonts w:hint="eastAsia" w:ascii="宋体" w:hAnsi="宋体"/>
          <w:color w:val="auto"/>
          <w:sz w:val="24"/>
          <w:highlight w:val="none"/>
          <w:u w:val="none"/>
          <w:lang w:val="zh-Hans" w:eastAsia="zh-Hans"/>
        </w:rPr>
        <w:t>日内，承包人向发包人支付合同价</w:t>
      </w: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的</w:t>
      </w:r>
      <w:r>
        <w:rPr>
          <w:rFonts w:hint="eastAsia" w:ascii="宋体" w:hAnsi="宋体"/>
          <w:color w:val="auto"/>
          <w:sz w:val="24"/>
          <w:highlight w:val="none"/>
          <w:u w:val="none"/>
          <w:lang w:val="zh-Hans" w:eastAsia="zh-Hans"/>
        </w:rPr>
        <w:t>履约保证金</w:t>
      </w:r>
      <w:r>
        <w:rPr>
          <w:rFonts w:hint="eastAsia" w:ascii="宋体" w:hAnsi="宋体"/>
          <w:color w:val="auto"/>
          <w:sz w:val="24"/>
          <w:highlight w:val="none"/>
          <w:u w:val="none"/>
        </w:rPr>
        <w:t>。</w:t>
      </w:r>
      <w:r>
        <w:rPr>
          <w:rFonts w:hint="eastAsia" w:ascii="宋体" w:hAnsi="宋体"/>
          <w:color w:val="auto"/>
          <w:sz w:val="24"/>
          <w:highlight w:val="none"/>
          <w:u w:val="none"/>
          <w:lang w:val="zh-Hans" w:eastAsia="zh-Hans"/>
        </w:rPr>
        <w:t>履约保证金</w:t>
      </w:r>
      <w:r>
        <w:rPr>
          <w:rFonts w:hint="eastAsia" w:ascii="宋体" w:hAnsi="宋体"/>
          <w:color w:val="auto"/>
          <w:sz w:val="24"/>
          <w:highlight w:val="none"/>
          <w:u w:val="none"/>
          <w:lang w:val="en-US" w:eastAsia="zh-CN"/>
        </w:rPr>
        <w:t>可以以银行转账、由银行或保险公司出具的保函等形式。</w:t>
      </w:r>
    </w:p>
    <w:p w14:paraId="23495098">
      <w:pPr>
        <w:widowControl/>
        <w:spacing w:line="360" w:lineRule="auto"/>
        <w:ind w:firstLine="482" w:firstLineChars="200"/>
        <w:jc w:val="left"/>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5.报价要求</w:t>
      </w:r>
    </w:p>
    <w:p w14:paraId="4037F856">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1）本次报价方式为总价包干，全部采用人民币报价；各供应商的磋商报价，应是完成本次采购范围的全部工作，包括图纸设计、设计修改和确认、图纸会审、施工、整改、验收等；</w:t>
      </w:r>
    </w:p>
    <w:p w14:paraId="517CA68F">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2）磋商供应商根据采购人提供的项目基本资料，充分考虑现场情况及风险因素后，根据初步方案为依据，进行深化设计，并编制工程量清单。报价由两大部分组成，各供应商须分别进行报价：</w:t>
      </w:r>
    </w:p>
    <w:p w14:paraId="7D376752">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➀设计费</w:t>
      </w:r>
    </w:p>
    <w:p w14:paraId="59AF2521">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包括但不限于设计、设计修改和确认、图纸会审、施工图设计及工程实施、竣工过程中的相关服务。</w:t>
      </w:r>
    </w:p>
    <w:p w14:paraId="50FCCEF8">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➁建安工程费（含设备购置费）</w:t>
      </w:r>
    </w:p>
    <w:p w14:paraId="149A3093">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各供应商须依据设计方案自行编制工程量清单并进行报价。计价依据《浙江省建设工程计价规则》（2018版）。</w:t>
      </w:r>
    </w:p>
    <w:p w14:paraId="6FBADF1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3）磋商供应商未填单价或合价的工程项目，在实施后，采购人将不予以支付，并视作该项费用已包括在其它有价款的单价或合价内。</w:t>
      </w:r>
    </w:p>
    <w:p w14:paraId="76C06A7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4）磋商供应商因承包本项目需缴纳的切税费均须自行承担，并包含在所报的单价或总价内；技术规范要求的费用及为达到验收合格标准而额外增加的费用和风险由磋商供应商考虑在所报的单价及总价中。</w:t>
      </w:r>
    </w:p>
    <w:p w14:paraId="4ECD4DFD">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5）由于设计不完善而造成磋商报价不准确的风险由磋商供应商自行承担。因设计方案不完善而调整的内容，不因采购人要求做价款调整。</w:t>
      </w:r>
    </w:p>
    <w:p w14:paraId="73786435">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6）磋商供应商的报价若超过前附表所规定的采购预算，其响应文件将被拒绝。</w:t>
      </w:r>
    </w:p>
    <w:p w14:paraId="472DD6E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7）其它需在报价中考虑的因素：</w:t>
      </w:r>
    </w:p>
    <w:p w14:paraId="44DEE3B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➀价格单列的内容，若采购人在合同执行过程中未采用时，采购人可扣回相应费用。</w:t>
      </w:r>
    </w:p>
    <w:p w14:paraId="6C13E11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➁未中标补偿：本项目不设未中标补偿。</w:t>
      </w:r>
    </w:p>
    <w:p w14:paraId="4F98BEC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➂成交供应商须向采购代理机构支付中标服务费，支付标准详见前附表。</w:t>
      </w:r>
    </w:p>
    <w:p w14:paraId="15053AD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➃供应商须自行踏勘现场以充分了解拆除工程的内容及可能产生的费用，该费用一次性包干，成交后不做调整。</w:t>
      </w:r>
    </w:p>
    <w:p w14:paraId="228C626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➄本工程在施工期间，应注意保护好采购人周边现有成品，如有损坏，须无条件修复至采购人满意，各供应商须自行考虑相关费用并计入磋商总价且一次性包干。</w:t>
      </w:r>
    </w:p>
    <w:p w14:paraId="40DE208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➅成交供应商应在施工过程中采取必要的除尘、降噪措施，且不得影响大楼内其他设备的正常运行，相关措施费由供应商自行考虑并计入最后报价中。</w:t>
      </w:r>
    </w:p>
    <w:p w14:paraId="21FD188A">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➆施工材料由供应商自行报价并在表中的备注一栏里注明所选材料的品牌、规格、型号，若供应商没有进行注明的，则由采购人指定品牌，磋商价格不调整。成交供应商不按此选用的材料和设备采购的，采购人有权拒绝验收。</w:t>
      </w:r>
    </w:p>
    <w:p w14:paraId="6E8DE24B">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➇废弃材料不得丢弃或随意堆放在校园内，清理产生的拆除费、搬运费、交通运输费等各项费用均由供应商自行考虑并计入磋商总价且一次性包干。</w:t>
      </w:r>
    </w:p>
    <w:p w14:paraId="505A6D7F">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➈成交供应商施工人员的住宿、用餐、用水、个人生活等均自行解决，材料的堆放及停车必须服从采购人的安排。各供应商须自行考虑相关费用并计入磋商总价且一次性包干。</w:t>
      </w:r>
    </w:p>
    <w:p w14:paraId="2C366C8B">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➉工程完工后，成交供应商需对施工现场进行全面的清洁工作。所需费用由供应商综合考虑在磋商报价中，供应商中标后不得以任何理由提出相关费用的补偿要求。</w:t>
      </w:r>
    </w:p>
    <w:p w14:paraId="2CF931BF">
      <w:pPr>
        <w:widowControl/>
        <w:spacing w:line="360" w:lineRule="auto"/>
        <w:ind w:firstLine="482" w:firstLineChars="200"/>
        <w:jc w:val="left"/>
        <w:rPr>
          <w:rFonts w:hint="eastAsia" w:ascii="宋体" w:hAnsi="宋体" w:eastAsia="宋体" w:cs="宋体"/>
          <w:b/>
          <w:bCs w:val="0"/>
          <w:color w:val="auto"/>
          <w:sz w:val="24"/>
          <w:highlight w:val="none"/>
          <w:u w:val="none"/>
          <w:lang w:val="en-US" w:eastAsia="zh-CN"/>
        </w:rPr>
      </w:pPr>
      <w:r>
        <w:rPr>
          <w:rFonts w:hint="eastAsia" w:ascii="宋体" w:hAnsi="宋体" w:eastAsia="宋体" w:cs="宋体"/>
          <w:b/>
          <w:bCs w:val="0"/>
          <w:color w:val="auto"/>
          <w:sz w:val="24"/>
          <w:highlight w:val="none"/>
          <w:u w:val="none"/>
          <w:lang w:val="en-US" w:eastAsia="zh-CN"/>
        </w:rPr>
        <w:t>6.人员要求</w:t>
      </w:r>
    </w:p>
    <w:p w14:paraId="663486AA">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1、供应商应配备项目负责人1人且必须是供应商在职人员（提供社保缴纳证明），本项目拒绝挂靠，项目负责人具有建筑工程二级及以上建造师证书，到位率不少于 80%。供应商应配备设计负责人1人且必须是供应商在职人员（提供社保缴纳证明），设计负责人具有二级注册建筑师及以上执业资格</w:t>
      </w:r>
      <w:r>
        <w:rPr>
          <w:rFonts w:hint="eastAsia" w:ascii="宋体" w:hAnsi="宋体" w:cs="宋体"/>
          <w:bCs/>
          <w:color w:val="auto"/>
          <w:sz w:val="24"/>
          <w:highlight w:val="none"/>
          <w:u w:val="none"/>
          <w:lang w:val="en-US" w:eastAsia="zh-CN"/>
        </w:rPr>
        <w:t>或中级及以上职称</w:t>
      </w:r>
      <w:r>
        <w:rPr>
          <w:rFonts w:hint="eastAsia" w:ascii="宋体" w:hAnsi="宋体" w:eastAsia="宋体" w:cs="宋体"/>
          <w:bCs/>
          <w:color w:val="auto"/>
          <w:sz w:val="24"/>
          <w:highlight w:val="none"/>
          <w:u w:val="none"/>
          <w:lang w:val="en-US" w:eastAsia="zh-CN"/>
        </w:rPr>
        <w:t>。</w:t>
      </w:r>
    </w:p>
    <w:p w14:paraId="4AD21623">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2、本项目现场安全专职管理员应为1人（含）以上，且必须是供应商在职人员（提供社保缴纳证明），具有施工现场安全生产专职管理人员“三类人员”C类证书。</w:t>
      </w:r>
    </w:p>
    <w:p w14:paraId="58501160">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3、其余人员由供应商根据项目情形自行配备并承诺，施工人员在施工工期内到位率不少于 80%。</w:t>
      </w:r>
    </w:p>
    <w:p w14:paraId="351EF622">
      <w:pPr>
        <w:widowControl/>
        <w:spacing w:line="360" w:lineRule="auto"/>
        <w:ind w:firstLine="480" w:firstLineChars="200"/>
        <w:jc w:val="left"/>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4、供应商根据项目情况组建项目管理团队，包括施工员、质量员、安全员、材料员、资料员等。</w:t>
      </w:r>
    </w:p>
    <w:p w14:paraId="5C7C3EAE">
      <w:pPr>
        <w:rPr>
          <w:rFonts w:hint="default"/>
          <w:color w:val="auto"/>
          <w:highlight w:val="none"/>
          <w:lang w:val="en-US" w:eastAsia="zh-CN"/>
        </w:rPr>
      </w:pPr>
    </w:p>
    <w:p w14:paraId="36ED6C14">
      <w:pPr>
        <w:widowControl/>
        <w:spacing w:line="360" w:lineRule="auto"/>
        <w:jc w:val="left"/>
        <w:rPr>
          <w:rFonts w:hint="default"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七、其他要求</w:t>
      </w:r>
    </w:p>
    <w:p w14:paraId="783448E3">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1、优先采用通过国家环保检测的装修材料，所有材料必须求达到国家相关环保标准。</w:t>
      </w:r>
    </w:p>
    <w:p w14:paraId="23B76983">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2、本采购文件涉及的其他主要材料及零星材料，供应商须根据采购人要求按标准或优于标准进行选材并报价，材料生产厂家必须通过ISO质量认证，并符合环保要求，严禁选择不合设计要求的低档材料进行报价及组织施工实施。</w:t>
      </w:r>
    </w:p>
    <w:p w14:paraId="2272D82F">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3、在保修期内，供应商对有缺陷的部位必须无偿地给予修理与更换，并承担一切由此引起的对供应商或第三者的直接损失，除非该缺陷是由干人为破坏或合同规定的不可抗力因素造成的损坏。</w:t>
      </w:r>
    </w:p>
    <w:p w14:paraId="3B116921">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4、供应商必须对所承包的工程的质量负全部责任，其责任不因其他材料生产商提供的保证书而减轻或更改。</w:t>
      </w:r>
    </w:p>
    <w:p w14:paraId="75806332">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5、本项目采购范围内的建筑施工材料均由供应商根据本采购文件和国家有关规定的具体要求进行采购、运输、检验、保管，所有建筑材料须有产品合格证和质量保证书，应先送样品，样品经供应商确认与采购要求一致后封存，批量供应时应与样品一致，并经相关部门检验合格后方可使用。</w:t>
      </w:r>
    </w:p>
    <w:p w14:paraId="33C5EE92">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6、由供应商采购的主要建筑材料，当供应商选定的产品质量达不到设计要求和预期质量目标时，采购人保留更换的权利，且价格不予调整。</w:t>
      </w:r>
    </w:p>
    <w:p w14:paraId="7F85FDD5">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7、采购人不集中组织踏勘现场。各供应商可自行前往。</w:t>
      </w:r>
    </w:p>
    <w:p w14:paraId="1DCF04E4">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联系人：黄老师，电话：0571-87295246。</w:t>
      </w:r>
    </w:p>
    <w:p w14:paraId="27042C97">
      <w:pPr>
        <w:widowControl/>
        <w:spacing w:line="360" w:lineRule="auto"/>
        <w:ind w:firstLine="480" w:firstLineChars="200"/>
        <w:jc w:val="left"/>
        <w:rPr>
          <w:rFonts w:hint="eastAsia" w:ascii="宋体" w:hAnsi="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如中标，采购人不接受成交供应商因情况不明、风险考虑不足、要求变更等一切价格调整的理由。</w:t>
      </w:r>
    </w:p>
    <w:p w14:paraId="4F39B4DB">
      <w:pPr>
        <w:widowControl/>
        <w:spacing w:line="360" w:lineRule="auto"/>
        <w:jc w:val="left"/>
        <w:rPr>
          <w:rFonts w:hint="eastAsia" w:ascii="宋体" w:hAnsi="宋体" w:eastAsia="宋体" w:cs="宋体"/>
          <w:b/>
          <w:bCs w:val="0"/>
          <w:color w:val="auto"/>
          <w:sz w:val="24"/>
          <w:highlight w:val="none"/>
          <w:u w:val="none"/>
          <w:lang w:val="en-US" w:eastAsia="zh-CN"/>
        </w:rPr>
      </w:pPr>
    </w:p>
    <w:p w14:paraId="5DB9ABE5">
      <w:pPr>
        <w:widowControl/>
        <w:spacing w:line="360" w:lineRule="auto"/>
        <w:jc w:val="left"/>
        <w:rPr>
          <w:rFonts w:hint="default" w:ascii="宋体" w:hAnsi="宋体" w:eastAsia="宋体" w:cs="宋体"/>
          <w:b/>
          <w:bCs w:val="0"/>
          <w:color w:val="auto"/>
          <w:sz w:val="24"/>
          <w:highlight w:val="none"/>
          <w:u w:val="none"/>
          <w:lang w:val="en-US" w:eastAsia="zh-CN"/>
        </w:rPr>
      </w:pPr>
      <w:r>
        <w:rPr>
          <w:rFonts w:hint="eastAsia" w:ascii="宋体" w:hAnsi="宋体" w:eastAsia="宋体" w:cs="宋体"/>
          <w:b/>
          <w:bCs w:val="0"/>
          <w:color w:val="auto"/>
          <w:sz w:val="24"/>
          <w:highlight w:val="none"/>
          <w:u w:val="none"/>
          <w:lang w:val="en-US" w:eastAsia="zh-CN"/>
        </w:rPr>
        <w:t>八、履约验收</w:t>
      </w:r>
    </w:p>
    <w:p w14:paraId="3798A0D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F978E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采购人可以邀请参加本项目的其他供应商或者第三方机构参与验收。参与验收的供应商或者第三方机构的意见作为验收书的参考资料一并存档。</w:t>
      </w:r>
    </w:p>
    <w:p w14:paraId="14619AF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37DE35">
      <w:pPr>
        <w:widowControl/>
        <w:spacing w:line="360" w:lineRule="auto"/>
        <w:ind w:firstLine="480" w:firstLineChars="200"/>
        <w:jc w:val="left"/>
        <w:rPr>
          <w:rFonts w:hint="eastAsia" w:ascii="宋体" w:hAnsi="宋体" w:cs="宋体"/>
          <w:b/>
          <w:bCs w:val="0"/>
          <w:color w:val="auto"/>
          <w:sz w:val="24"/>
          <w:highlight w:val="none"/>
          <w:u w:val="none"/>
          <w:lang w:val="en-US"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61291F">
      <w:pPr>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br w:type="page"/>
      </w:r>
    </w:p>
    <w:p w14:paraId="5046163A">
      <w:pPr>
        <w:widowControl/>
        <w:numPr>
          <w:ilvl w:val="0"/>
          <w:numId w:val="1"/>
        </w:numPr>
        <w:spacing w:line="360" w:lineRule="auto"/>
        <w:jc w:val="left"/>
        <w:rPr>
          <w:color w:val="auto"/>
          <w:highlight w:val="none"/>
        </w:rPr>
      </w:pPr>
      <w:r>
        <w:rPr>
          <w:rFonts w:hint="eastAsia" w:ascii="宋体" w:hAnsi="宋体" w:eastAsia="宋体" w:cs="宋体"/>
          <w:b/>
          <w:bCs w:val="0"/>
          <w:color w:val="auto"/>
          <w:sz w:val="24"/>
          <w:highlight w:val="none"/>
          <w:u w:val="none"/>
          <w:lang w:val="en-US" w:eastAsia="zh-CN"/>
        </w:rPr>
        <w:t>改造区域如图所示</w:t>
      </w:r>
    </w:p>
    <w:p w14:paraId="6D5B7A3F">
      <w:pPr>
        <w:pStyle w:val="2"/>
        <w:numPr>
          <w:ilvl w:val="0"/>
          <w:numId w:val="0"/>
        </w:numPr>
        <w:rPr>
          <w:rFonts w:hint="eastAsia"/>
          <w:color w:val="auto"/>
          <w:highlight w:val="none"/>
          <w:lang w:val="en-US" w:eastAsia="zh-CN"/>
        </w:rPr>
      </w:pPr>
    </w:p>
    <w:p w14:paraId="4AB09D19">
      <w:pPr>
        <w:pStyle w:val="2"/>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9.1改造区域原始平面图</w:t>
      </w:r>
    </w:p>
    <w:p w14:paraId="2F1EB9D0">
      <w:pPr>
        <w:widowControl/>
        <w:jc w:val="center"/>
        <w:rPr>
          <w:rFonts w:ascii="宋体" w:hAnsi="宋体" w:cs="宋体"/>
          <w:bCs/>
          <w:color w:val="auto"/>
          <w:sz w:val="24"/>
          <w:highlight w:val="none"/>
        </w:rPr>
      </w:pPr>
    </w:p>
    <w:p w14:paraId="22ADF0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highlight w:val="none"/>
        </w:rPr>
      </w:pPr>
      <w:r>
        <w:rPr>
          <w:rFonts w:hint="eastAsia" w:hAnsi="宋体" w:cs="宋体"/>
          <w:bCs/>
          <w:snapToGrid/>
          <w:color w:val="auto"/>
          <w:kern w:val="2"/>
          <w:sz w:val="24"/>
          <w:szCs w:val="24"/>
          <w:highlight w:val="none"/>
          <w:lang w:val="en-US" w:eastAsia="zh-CN"/>
        </w:rPr>
        <w:t>（改造原始平面图）</w:t>
      </w:r>
    </w:p>
    <w:p w14:paraId="1B60B2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color w:val="auto"/>
          <w:highlight w:val="none"/>
        </w:rPr>
      </w:pPr>
      <w:r>
        <w:rPr>
          <w:color w:val="auto"/>
          <w:highlight w:val="none"/>
        </w:rPr>
        <w:drawing>
          <wp:inline distT="0" distB="0" distL="114300" distR="114300">
            <wp:extent cx="6188075" cy="3820795"/>
            <wp:effectExtent l="0" t="0" r="3175"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1"/>
                    <a:stretch>
                      <a:fillRect/>
                    </a:stretch>
                  </pic:blipFill>
                  <pic:spPr>
                    <a:xfrm>
                      <a:off x="0" y="0"/>
                      <a:ext cx="6188075" cy="3820795"/>
                    </a:xfrm>
                    <a:prstGeom prst="rect">
                      <a:avLst/>
                    </a:prstGeom>
                    <a:noFill/>
                    <a:ln>
                      <a:noFill/>
                    </a:ln>
                  </pic:spPr>
                </pic:pic>
              </a:graphicData>
            </a:graphic>
          </wp:inline>
        </w:drawing>
      </w:r>
    </w:p>
    <w:p w14:paraId="0BD03176">
      <w:pPr>
        <w:rPr>
          <w:rFonts w:ascii="宋体" w:hAnsi="宋体" w:cs="宋体"/>
          <w:snapToGrid w:val="0"/>
          <w:color w:val="auto"/>
          <w:kern w:val="0"/>
          <w:sz w:val="24"/>
          <w:highlight w:val="none"/>
        </w:rPr>
      </w:pPr>
    </w:p>
    <w:p w14:paraId="4F8D4505">
      <w:pPr>
        <w:widowControl/>
        <w:jc w:val="center"/>
        <w:rPr>
          <w:rFonts w:hint="eastAsia" w:hAnsi="宋体" w:cs="宋体"/>
          <w:bCs/>
          <w:snapToGrid/>
          <w:color w:val="auto"/>
          <w:kern w:val="2"/>
          <w:sz w:val="24"/>
          <w:szCs w:val="24"/>
          <w:highlight w:val="none"/>
          <w:lang w:val="en-US" w:eastAsia="zh-CN"/>
        </w:rPr>
      </w:pPr>
    </w:p>
    <w:p w14:paraId="367B8A13">
      <w:pPr>
        <w:pStyle w:val="81"/>
        <w:rPr>
          <w:rFonts w:ascii="宋体" w:hAnsi="宋体" w:cs="宋体"/>
          <w:snapToGrid w:val="0"/>
          <w:color w:val="auto"/>
          <w:kern w:val="0"/>
          <w:sz w:val="24"/>
          <w:highlight w:val="none"/>
        </w:rPr>
      </w:pPr>
    </w:p>
    <w:p w14:paraId="0459A6FD">
      <w:pPr>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br w:type="page"/>
      </w:r>
    </w:p>
    <w:p w14:paraId="166EFECB">
      <w:pPr>
        <w:pStyle w:val="2"/>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t>9.2改造范围平面图（红线范围内为此次改造区域）</w:t>
      </w:r>
    </w:p>
    <w:p w14:paraId="14A560EB">
      <w:pPr>
        <w:rPr>
          <w:rFonts w:hint="eastAsia"/>
          <w:color w:val="auto"/>
          <w:highlight w:val="none"/>
          <w:lang w:val="en-US" w:eastAsia="zh-CN"/>
        </w:rPr>
      </w:pPr>
    </w:p>
    <w:p w14:paraId="5BF6EAD6">
      <w:pPr>
        <w:rPr>
          <w:rFonts w:hint="eastAsia"/>
          <w:color w:val="auto"/>
          <w:highlight w:val="none"/>
          <w:lang w:val="en-US" w:eastAsia="zh-CN"/>
        </w:rPr>
      </w:pPr>
      <w:r>
        <w:rPr>
          <w:rFonts w:hint="eastAsia"/>
          <w:color w:val="auto"/>
          <w:highlight w:val="none"/>
          <w:lang w:val="en-US" w:eastAsia="zh-CN"/>
        </w:rPr>
        <w:drawing>
          <wp:inline distT="0" distB="0" distL="114300" distR="114300">
            <wp:extent cx="6188710" cy="3821430"/>
            <wp:effectExtent l="0" t="0" r="13970" b="3810"/>
            <wp:docPr id="1" name="图片 1" descr="082759182a9f6ce293b6e1d3374e2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2759182a9f6ce293b6e1d3374e2ea"/>
                    <pic:cNvPicPr>
                      <a:picLocks noChangeAspect="1"/>
                    </pic:cNvPicPr>
                  </pic:nvPicPr>
                  <pic:blipFill>
                    <a:blip r:embed="rId22"/>
                    <a:stretch>
                      <a:fillRect/>
                    </a:stretch>
                  </pic:blipFill>
                  <pic:spPr>
                    <a:xfrm>
                      <a:off x="0" y="0"/>
                      <a:ext cx="6188710" cy="3821430"/>
                    </a:xfrm>
                    <a:prstGeom prst="rect">
                      <a:avLst/>
                    </a:prstGeom>
                  </pic:spPr>
                </pic:pic>
              </a:graphicData>
            </a:graphic>
          </wp:inline>
        </w:drawing>
      </w:r>
    </w:p>
    <w:p w14:paraId="045E55F9">
      <w:pPr>
        <w:pStyle w:val="2"/>
        <w:rPr>
          <w:rFonts w:hint="eastAsia" w:ascii="宋体" w:hAnsi="宋体" w:cs="宋体"/>
          <w:b/>
          <w:bCs w:val="0"/>
          <w:color w:val="auto"/>
          <w:sz w:val="24"/>
          <w:highlight w:val="none"/>
          <w:u w:val="none"/>
          <w:lang w:val="en-US" w:eastAsia="zh-CN"/>
        </w:rPr>
      </w:pPr>
      <w:r>
        <w:rPr>
          <w:rFonts w:hint="eastAsia" w:ascii="宋体" w:hAnsi="宋体" w:cs="宋体"/>
          <w:b/>
          <w:bCs w:val="0"/>
          <w:color w:val="auto"/>
          <w:sz w:val="24"/>
          <w:highlight w:val="none"/>
          <w:u w:val="none"/>
          <w:lang w:val="en-US" w:eastAsia="zh-CN"/>
        </w:rPr>
        <w:br w:type="page"/>
      </w:r>
    </w:p>
    <w:p w14:paraId="6A897983">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t>第四部分</w:t>
      </w:r>
      <w:bookmarkStart w:id="31" w:name="_Toc184313247"/>
      <w:bookmarkEnd w:id="31"/>
      <w:bookmarkStart w:id="32" w:name="_Toc184308065"/>
      <w:bookmarkEnd w:id="32"/>
      <w:bookmarkStart w:id="33" w:name="_Toc184313245"/>
      <w:bookmarkEnd w:id="33"/>
      <w:bookmarkStart w:id="34" w:name="_Toc184310278"/>
      <w:bookmarkEnd w:id="34"/>
      <w:bookmarkStart w:id="35" w:name="_Toc184310309"/>
      <w:bookmarkEnd w:id="35"/>
      <w:bookmarkStart w:id="36" w:name="_Toc184312087"/>
      <w:bookmarkEnd w:id="36"/>
      <w:bookmarkStart w:id="37" w:name="_Toc184310330"/>
      <w:bookmarkEnd w:id="37"/>
      <w:bookmarkStart w:id="38" w:name="_Toc184313273"/>
      <w:bookmarkEnd w:id="38"/>
      <w:bookmarkStart w:id="39" w:name="_Toc184310336"/>
      <w:bookmarkEnd w:id="39"/>
      <w:bookmarkStart w:id="40" w:name="_Toc184308090"/>
      <w:bookmarkEnd w:id="40"/>
      <w:bookmarkStart w:id="41" w:name="_Toc184312074"/>
      <w:bookmarkEnd w:id="41"/>
      <w:bookmarkStart w:id="42" w:name="_Toc184313271"/>
      <w:bookmarkEnd w:id="42"/>
      <w:bookmarkStart w:id="43" w:name="_Toc184308089"/>
      <w:bookmarkEnd w:id="43"/>
      <w:bookmarkStart w:id="44" w:name="_Toc184314448"/>
      <w:bookmarkEnd w:id="44"/>
      <w:bookmarkStart w:id="45" w:name="_Toc184313254"/>
      <w:bookmarkEnd w:id="45"/>
      <w:bookmarkStart w:id="46" w:name="_Toc184310321"/>
      <w:bookmarkEnd w:id="46"/>
      <w:bookmarkStart w:id="47" w:name="_Toc184310317"/>
      <w:bookmarkEnd w:id="47"/>
      <w:bookmarkStart w:id="48" w:name="_Toc184310277"/>
      <w:bookmarkEnd w:id="48"/>
      <w:bookmarkStart w:id="49" w:name="_Toc184308094"/>
      <w:bookmarkEnd w:id="49"/>
      <w:bookmarkStart w:id="50" w:name="_Toc184310293"/>
      <w:bookmarkEnd w:id="50"/>
      <w:bookmarkStart w:id="51" w:name="_Toc184312120"/>
      <w:bookmarkEnd w:id="51"/>
      <w:bookmarkStart w:id="52" w:name="_Toc184314422"/>
      <w:bookmarkEnd w:id="52"/>
      <w:bookmarkStart w:id="53" w:name="_Toc184308068"/>
      <w:bookmarkEnd w:id="53"/>
      <w:bookmarkStart w:id="54" w:name="_Toc184314437"/>
      <w:bookmarkEnd w:id="54"/>
      <w:bookmarkStart w:id="55" w:name="_Toc184313294"/>
      <w:bookmarkEnd w:id="55"/>
      <w:bookmarkStart w:id="56" w:name="_Toc184310284"/>
      <w:bookmarkEnd w:id="56"/>
      <w:bookmarkStart w:id="57" w:name="_Toc184313242"/>
      <w:bookmarkEnd w:id="57"/>
      <w:bookmarkStart w:id="58" w:name="_Toc184308084"/>
      <w:bookmarkEnd w:id="58"/>
      <w:bookmarkStart w:id="59" w:name="_Toc184314412"/>
      <w:bookmarkEnd w:id="59"/>
      <w:bookmarkStart w:id="60" w:name="_Toc184313246"/>
      <w:bookmarkEnd w:id="60"/>
      <w:bookmarkStart w:id="61" w:name="_Toc184308097"/>
      <w:bookmarkEnd w:id="61"/>
      <w:bookmarkStart w:id="62" w:name="_Toc184312078"/>
      <w:bookmarkEnd w:id="62"/>
      <w:bookmarkStart w:id="63" w:name="_Toc184308091"/>
      <w:bookmarkEnd w:id="63"/>
      <w:bookmarkStart w:id="64" w:name="_Toc184314425"/>
      <w:bookmarkEnd w:id="64"/>
      <w:bookmarkStart w:id="65" w:name="_Toc184312068"/>
      <w:bookmarkEnd w:id="65"/>
      <w:bookmarkStart w:id="66" w:name="_Toc184310322"/>
      <w:bookmarkEnd w:id="66"/>
      <w:bookmarkStart w:id="67" w:name="_Toc184308050"/>
      <w:bookmarkEnd w:id="67"/>
      <w:bookmarkStart w:id="68" w:name="_Toc184313253"/>
      <w:bookmarkEnd w:id="68"/>
      <w:bookmarkStart w:id="69" w:name="_Toc184313296"/>
      <w:bookmarkEnd w:id="69"/>
      <w:bookmarkStart w:id="70" w:name="_Toc184313255"/>
      <w:bookmarkEnd w:id="70"/>
      <w:bookmarkStart w:id="71" w:name="_Toc184310341"/>
      <w:bookmarkEnd w:id="71"/>
      <w:bookmarkStart w:id="72" w:name="_Toc184314456"/>
      <w:bookmarkEnd w:id="72"/>
      <w:bookmarkStart w:id="73" w:name="_Toc184314457"/>
      <w:bookmarkEnd w:id="73"/>
      <w:bookmarkStart w:id="74" w:name="_Toc184310292"/>
      <w:bookmarkEnd w:id="74"/>
      <w:bookmarkStart w:id="75" w:name="_Toc184310300"/>
      <w:bookmarkEnd w:id="75"/>
      <w:bookmarkStart w:id="76" w:name="_Toc184312085"/>
      <w:bookmarkEnd w:id="76"/>
      <w:bookmarkStart w:id="77" w:name="_Toc184310325"/>
      <w:bookmarkEnd w:id="77"/>
      <w:bookmarkStart w:id="78" w:name="_Toc184308101"/>
      <w:bookmarkEnd w:id="78"/>
      <w:bookmarkStart w:id="79" w:name="_Toc184314460"/>
      <w:bookmarkEnd w:id="79"/>
      <w:bookmarkStart w:id="80" w:name="_Toc184314440"/>
      <w:bookmarkEnd w:id="80"/>
      <w:bookmarkStart w:id="81" w:name="_Toc184314439"/>
      <w:bookmarkEnd w:id="81"/>
      <w:bookmarkStart w:id="82" w:name="_Toc184314481"/>
      <w:bookmarkEnd w:id="82"/>
      <w:bookmarkStart w:id="83" w:name="_Toc184308092"/>
      <w:bookmarkEnd w:id="83"/>
      <w:bookmarkStart w:id="84" w:name="_Toc184308069"/>
      <w:bookmarkEnd w:id="84"/>
      <w:bookmarkStart w:id="85" w:name="_Toc184312099"/>
      <w:bookmarkEnd w:id="85"/>
      <w:bookmarkStart w:id="86" w:name="_Toc184313243"/>
      <w:bookmarkEnd w:id="86"/>
      <w:bookmarkStart w:id="87" w:name="_Toc184312081"/>
      <w:bookmarkEnd w:id="87"/>
      <w:bookmarkStart w:id="88" w:name="_Toc184314421"/>
      <w:bookmarkEnd w:id="88"/>
      <w:bookmarkStart w:id="89" w:name="_Toc184313272"/>
      <w:bookmarkEnd w:id="89"/>
      <w:bookmarkStart w:id="90" w:name="_Toc184313256"/>
      <w:bookmarkEnd w:id="90"/>
      <w:bookmarkStart w:id="91" w:name="_Toc184308100"/>
      <w:bookmarkEnd w:id="91"/>
      <w:bookmarkStart w:id="92" w:name="_Toc184308108"/>
      <w:bookmarkEnd w:id="92"/>
      <w:bookmarkStart w:id="93" w:name="_Toc184310312"/>
      <w:bookmarkEnd w:id="93"/>
      <w:bookmarkStart w:id="94" w:name="_Toc184312094"/>
      <w:bookmarkEnd w:id="94"/>
      <w:bookmarkStart w:id="95" w:name="_Toc184313309"/>
      <w:bookmarkEnd w:id="95"/>
      <w:bookmarkStart w:id="96" w:name="_Toc184314469"/>
      <w:bookmarkEnd w:id="96"/>
      <w:bookmarkStart w:id="97" w:name="_Toc184313282"/>
      <w:bookmarkEnd w:id="97"/>
      <w:bookmarkStart w:id="98" w:name="_Toc184312137"/>
      <w:bookmarkEnd w:id="98"/>
      <w:bookmarkStart w:id="99" w:name="_Toc184308070"/>
      <w:bookmarkEnd w:id="99"/>
      <w:bookmarkStart w:id="100" w:name="_Toc184313266"/>
      <w:bookmarkEnd w:id="100"/>
      <w:bookmarkStart w:id="101" w:name="_Toc184310273"/>
      <w:bookmarkEnd w:id="101"/>
      <w:bookmarkStart w:id="102" w:name="_Toc184313293"/>
      <w:bookmarkEnd w:id="102"/>
      <w:bookmarkStart w:id="103" w:name="_Toc184310340"/>
      <w:bookmarkEnd w:id="103"/>
      <w:bookmarkStart w:id="104" w:name="_Toc184310315"/>
      <w:bookmarkEnd w:id="104"/>
      <w:bookmarkStart w:id="105" w:name="_Toc184312128"/>
      <w:bookmarkEnd w:id="105"/>
      <w:bookmarkStart w:id="106" w:name="_Toc184308057"/>
      <w:bookmarkEnd w:id="106"/>
      <w:bookmarkStart w:id="107" w:name="_Toc184308080"/>
      <w:bookmarkEnd w:id="107"/>
      <w:bookmarkStart w:id="108" w:name="_Toc184312114"/>
      <w:bookmarkEnd w:id="108"/>
      <w:bookmarkStart w:id="109" w:name="_Toc184313297"/>
      <w:bookmarkEnd w:id="109"/>
      <w:bookmarkStart w:id="110" w:name="_Toc184312098"/>
      <w:bookmarkEnd w:id="110"/>
      <w:bookmarkStart w:id="111" w:name="_Toc184312093"/>
      <w:bookmarkEnd w:id="111"/>
      <w:bookmarkStart w:id="112" w:name="_Toc184312071"/>
      <w:bookmarkEnd w:id="112"/>
      <w:bookmarkStart w:id="113" w:name="_Toc184312122"/>
      <w:bookmarkEnd w:id="113"/>
      <w:bookmarkStart w:id="114" w:name="_Toc184313241"/>
      <w:bookmarkEnd w:id="114"/>
      <w:bookmarkStart w:id="115" w:name="_Toc184312106"/>
      <w:bookmarkEnd w:id="115"/>
      <w:bookmarkStart w:id="116" w:name="_Toc184313264"/>
      <w:bookmarkEnd w:id="116"/>
      <w:bookmarkStart w:id="117" w:name="_Toc184308039"/>
      <w:bookmarkEnd w:id="117"/>
      <w:bookmarkStart w:id="118" w:name="_Toc184312097"/>
      <w:bookmarkEnd w:id="118"/>
      <w:bookmarkStart w:id="119" w:name="_Toc184308083"/>
      <w:bookmarkEnd w:id="119"/>
      <w:bookmarkStart w:id="120" w:name="_Toc184313267"/>
      <w:bookmarkEnd w:id="120"/>
      <w:bookmarkStart w:id="121" w:name="_Toc184313300"/>
      <w:bookmarkEnd w:id="121"/>
      <w:bookmarkStart w:id="122" w:name="_Toc184314418"/>
      <w:bookmarkEnd w:id="122"/>
      <w:bookmarkStart w:id="123" w:name="_Toc184308037"/>
      <w:bookmarkEnd w:id="123"/>
      <w:bookmarkStart w:id="124" w:name="_Toc184314478"/>
      <w:bookmarkEnd w:id="124"/>
      <w:bookmarkStart w:id="125" w:name="_Toc184314444"/>
      <w:bookmarkEnd w:id="125"/>
      <w:bookmarkStart w:id="126" w:name="_Toc184310326"/>
      <w:bookmarkEnd w:id="126"/>
      <w:bookmarkStart w:id="127" w:name="_Toc184314461"/>
      <w:bookmarkEnd w:id="127"/>
      <w:bookmarkStart w:id="128" w:name="_Toc184310320"/>
      <w:bookmarkEnd w:id="128"/>
      <w:bookmarkStart w:id="129" w:name="_Toc184313280"/>
      <w:bookmarkEnd w:id="129"/>
      <w:bookmarkStart w:id="130" w:name="_Toc184312076"/>
      <w:bookmarkEnd w:id="130"/>
      <w:bookmarkStart w:id="131" w:name="_Toc184313306"/>
      <w:bookmarkEnd w:id="131"/>
      <w:bookmarkStart w:id="132" w:name="_Toc184313277"/>
      <w:bookmarkEnd w:id="132"/>
      <w:bookmarkStart w:id="133" w:name="_Toc184313301"/>
      <w:bookmarkEnd w:id="133"/>
      <w:bookmarkStart w:id="134" w:name="_Toc184312124"/>
      <w:bookmarkEnd w:id="134"/>
      <w:bookmarkStart w:id="135" w:name="_Toc184314452"/>
      <w:bookmarkEnd w:id="135"/>
      <w:bookmarkStart w:id="136" w:name="_Toc184308077"/>
      <w:bookmarkEnd w:id="136"/>
      <w:bookmarkStart w:id="137" w:name="_Toc184313302"/>
      <w:bookmarkEnd w:id="137"/>
      <w:bookmarkStart w:id="138" w:name="_Toc184313310"/>
      <w:bookmarkEnd w:id="138"/>
      <w:bookmarkStart w:id="139" w:name="_Toc184313286"/>
      <w:bookmarkEnd w:id="139"/>
      <w:bookmarkStart w:id="140" w:name="_Toc184312088"/>
      <w:bookmarkEnd w:id="140"/>
      <w:bookmarkStart w:id="141" w:name="_Toc184312134"/>
      <w:bookmarkEnd w:id="141"/>
      <w:bookmarkStart w:id="142" w:name="_Toc184310297"/>
      <w:bookmarkEnd w:id="142"/>
      <w:bookmarkStart w:id="143" w:name="_Toc184313291"/>
      <w:bookmarkEnd w:id="143"/>
      <w:bookmarkStart w:id="144" w:name="_Toc184312133"/>
      <w:bookmarkEnd w:id="144"/>
      <w:bookmarkStart w:id="145" w:name="_Toc184314427"/>
      <w:bookmarkEnd w:id="145"/>
      <w:bookmarkStart w:id="146" w:name="_Toc184308042"/>
      <w:bookmarkEnd w:id="146"/>
      <w:bookmarkStart w:id="147" w:name="_Toc184308063"/>
      <w:bookmarkEnd w:id="147"/>
      <w:bookmarkStart w:id="148" w:name="_Toc184313249"/>
      <w:bookmarkEnd w:id="148"/>
      <w:bookmarkStart w:id="149" w:name="_Toc184314468"/>
      <w:bookmarkEnd w:id="149"/>
      <w:bookmarkStart w:id="150" w:name="_Toc184310302"/>
      <w:bookmarkEnd w:id="150"/>
      <w:bookmarkStart w:id="151" w:name="_Toc184314415"/>
      <w:bookmarkEnd w:id="151"/>
      <w:bookmarkStart w:id="152" w:name="_Toc184308105"/>
      <w:bookmarkEnd w:id="152"/>
      <w:bookmarkStart w:id="153" w:name="_Toc184312072"/>
      <w:bookmarkEnd w:id="153"/>
      <w:bookmarkStart w:id="154" w:name="_Toc184308075"/>
      <w:bookmarkEnd w:id="154"/>
      <w:bookmarkStart w:id="155" w:name="_Toc184310319"/>
      <w:bookmarkEnd w:id="155"/>
      <w:bookmarkStart w:id="156" w:name="_Toc184314453"/>
      <w:bookmarkEnd w:id="156"/>
      <w:bookmarkStart w:id="157" w:name="_Toc184310294"/>
      <w:bookmarkEnd w:id="157"/>
      <w:bookmarkStart w:id="158" w:name="_Toc184308038"/>
      <w:bookmarkEnd w:id="158"/>
      <w:bookmarkStart w:id="159" w:name="_Toc184314414"/>
      <w:bookmarkEnd w:id="159"/>
      <w:bookmarkStart w:id="160" w:name="_Toc184308079"/>
      <w:bookmarkEnd w:id="160"/>
      <w:bookmarkStart w:id="161" w:name="_Toc184313299"/>
      <w:bookmarkEnd w:id="161"/>
      <w:bookmarkStart w:id="162" w:name="_Toc184313288"/>
      <w:bookmarkEnd w:id="162"/>
      <w:bookmarkStart w:id="163" w:name="_Toc184308036"/>
      <w:bookmarkEnd w:id="163"/>
      <w:bookmarkStart w:id="164" w:name="_Toc184308041"/>
      <w:bookmarkEnd w:id="164"/>
      <w:bookmarkStart w:id="165" w:name="_Toc184314436"/>
      <w:bookmarkEnd w:id="165"/>
      <w:bookmarkStart w:id="166" w:name="_Toc184314482"/>
      <w:bookmarkEnd w:id="166"/>
      <w:bookmarkStart w:id="167" w:name="_Toc184308081"/>
      <w:bookmarkEnd w:id="167"/>
      <w:bookmarkStart w:id="168" w:name="_Toc184314430"/>
      <w:bookmarkEnd w:id="168"/>
      <w:bookmarkStart w:id="169" w:name="_Toc184313276"/>
      <w:bookmarkEnd w:id="169"/>
      <w:bookmarkStart w:id="170" w:name="_Toc184312129"/>
      <w:bookmarkEnd w:id="170"/>
      <w:bookmarkStart w:id="171" w:name="_Toc184310327"/>
      <w:bookmarkEnd w:id="171"/>
      <w:bookmarkStart w:id="172" w:name="_Toc184314471"/>
      <w:bookmarkEnd w:id="172"/>
      <w:bookmarkStart w:id="173" w:name="_Toc184313238"/>
      <w:bookmarkEnd w:id="173"/>
      <w:bookmarkStart w:id="174" w:name="_Toc184312125"/>
      <w:bookmarkEnd w:id="174"/>
      <w:bookmarkStart w:id="175" w:name="_Toc184312103"/>
      <w:bookmarkEnd w:id="175"/>
      <w:bookmarkStart w:id="176" w:name="_Toc184313268"/>
      <w:bookmarkEnd w:id="176"/>
      <w:bookmarkStart w:id="177" w:name="_Toc184314416"/>
      <w:bookmarkEnd w:id="177"/>
      <w:bookmarkStart w:id="178" w:name="_Toc184308046"/>
      <w:bookmarkEnd w:id="178"/>
      <w:bookmarkStart w:id="179" w:name="_Toc184310279"/>
      <w:bookmarkEnd w:id="179"/>
      <w:bookmarkStart w:id="180" w:name="_Toc184308045"/>
      <w:bookmarkEnd w:id="180"/>
      <w:bookmarkStart w:id="181" w:name="_Toc184310304"/>
      <w:bookmarkEnd w:id="181"/>
      <w:bookmarkStart w:id="182" w:name="_Toc184313270"/>
      <w:bookmarkEnd w:id="182"/>
      <w:bookmarkStart w:id="183" w:name="_Toc184312112"/>
      <w:bookmarkEnd w:id="183"/>
      <w:bookmarkStart w:id="184" w:name="_Toc184308052"/>
      <w:bookmarkEnd w:id="184"/>
      <w:bookmarkStart w:id="185" w:name="_Toc184308086"/>
      <w:bookmarkEnd w:id="185"/>
      <w:bookmarkStart w:id="186" w:name="_Toc184312079"/>
      <w:bookmarkEnd w:id="186"/>
      <w:bookmarkStart w:id="187" w:name="_Toc184314420"/>
      <w:bookmarkEnd w:id="187"/>
      <w:bookmarkStart w:id="188" w:name="_Toc184314428"/>
      <w:bookmarkEnd w:id="188"/>
      <w:bookmarkStart w:id="189" w:name="_Toc184313259"/>
      <w:bookmarkEnd w:id="189"/>
      <w:bookmarkStart w:id="190" w:name="_Toc184312100"/>
      <w:bookmarkEnd w:id="190"/>
      <w:bookmarkStart w:id="191" w:name="_Toc184308076"/>
      <w:bookmarkEnd w:id="191"/>
      <w:bookmarkStart w:id="192" w:name="_Toc184312119"/>
      <w:bookmarkEnd w:id="192"/>
      <w:bookmarkStart w:id="193" w:name="_Toc184308062"/>
      <w:bookmarkEnd w:id="193"/>
      <w:bookmarkStart w:id="194" w:name="_Toc184312109"/>
      <w:bookmarkEnd w:id="194"/>
      <w:bookmarkStart w:id="195" w:name="_Toc184314474"/>
      <w:bookmarkEnd w:id="195"/>
      <w:bookmarkStart w:id="196" w:name="_Toc184312080"/>
      <w:bookmarkEnd w:id="196"/>
      <w:bookmarkStart w:id="197" w:name="_Toc184314451"/>
      <w:bookmarkEnd w:id="197"/>
      <w:bookmarkStart w:id="198" w:name="_Toc184314424"/>
      <w:bookmarkEnd w:id="198"/>
      <w:bookmarkStart w:id="199" w:name="_Toc184310307"/>
      <w:bookmarkEnd w:id="199"/>
      <w:bookmarkStart w:id="200" w:name="_Toc184308073"/>
      <w:bookmarkEnd w:id="200"/>
      <w:bookmarkStart w:id="201" w:name="_Toc184308103"/>
      <w:bookmarkEnd w:id="201"/>
      <w:bookmarkStart w:id="202" w:name="_Toc184313250"/>
      <w:bookmarkEnd w:id="202"/>
      <w:bookmarkStart w:id="203" w:name="_Toc184310295"/>
      <w:bookmarkEnd w:id="203"/>
      <w:bookmarkStart w:id="204" w:name="_Toc184310323"/>
      <w:bookmarkEnd w:id="204"/>
      <w:bookmarkStart w:id="205" w:name="_Toc184310338"/>
      <w:bookmarkEnd w:id="205"/>
      <w:bookmarkStart w:id="206" w:name="_Toc184310305"/>
      <w:bookmarkEnd w:id="206"/>
      <w:bookmarkStart w:id="207" w:name="_Toc184310280"/>
      <w:bookmarkEnd w:id="207"/>
      <w:bookmarkStart w:id="208" w:name="_Toc184313260"/>
      <w:bookmarkEnd w:id="208"/>
      <w:bookmarkStart w:id="209" w:name="_Toc184308056"/>
      <w:bookmarkEnd w:id="209"/>
      <w:bookmarkStart w:id="210" w:name="_Toc184310328"/>
      <w:bookmarkEnd w:id="210"/>
      <w:bookmarkStart w:id="211" w:name="_Toc184314419"/>
      <w:bookmarkEnd w:id="211"/>
      <w:bookmarkStart w:id="212" w:name="_Toc184308064"/>
      <w:bookmarkEnd w:id="212"/>
      <w:bookmarkStart w:id="213" w:name="_Toc184312107"/>
      <w:bookmarkEnd w:id="213"/>
      <w:bookmarkStart w:id="214" w:name="_Toc184314423"/>
      <w:bookmarkEnd w:id="214"/>
      <w:bookmarkStart w:id="215" w:name="_Toc184308074"/>
      <w:bookmarkEnd w:id="215"/>
      <w:bookmarkStart w:id="216" w:name="_Toc184313290"/>
      <w:bookmarkEnd w:id="216"/>
      <w:bookmarkStart w:id="217" w:name="_Toc184310318"/>
      <w:bookmarkEnd w:id="217"/>
      <w:bookmarkStart w:id="218" w:name="_Toc184313285"/>
      <w:bookmarkEnd w:id="218"/>
      <w:bookmarkStart w:id="219" w:name="_Toc184314446"/>
      <w:bookmarkEnd w:id="219"/>
      <w:bookmarkStart w:id="220" w:name="_Toc184313265"/>
      <w:bookmarkEnd w:id="220"/>
      <w:bookmarkStart w:id="221" w:name="_Toc184312069"/>
      <w:bookmarkEnd w:id="221"/>
      <w:bookmarkStart w:id="222" w:name="_Toc184312138"/>
      <w:bookmarkEnd w:id="222"/>
      <w:bookmarkStart w:id="223" w:name="_Toc184312116"/>
      <w:bookmarkEnd w:id="223"/>
      <w:bookmarkStart w:id="224" w:name="_Toc184313240"/>
      <w:bookmarkEnd w:id="224"/>
      <w:bookmarkStart w:id="225" w:name="_Toc184308060"/>
      <w:bookmarkEnd w:id="225"/>
      <w:bookmarkStart w:id="226" w:name="_Toc184312091"/>
      <w:bookmarkEnd w:id="226"/>
      <w:bookmarkStart w:id="227" w:name="_Toc184308061"/>
      <w:bookmarkEnd w:id="227"/>
      <w:bookmarkStart w:id="228" w:name="_Toc184314465"/>
      <w:bookmarkEnd w:id="228"/>
      <w:bookmarkStart w:id="229" w:name="_Toc184312132"/>
      <w:bookmarkEnd w:id="229"/>
      <w:bookmarkStart w:id="230" w:name="_Toc184313287"/>
      <w:bookmarkEnd w:id="230"/>
      <w:bookmarkStart w:id="231" w:name="_Toc184313281"/>
      <w:bookmarkEnd w:id="231"/>
      <w:bookmarkStart w:id="232" w:name="_Toc184313257"/>
      <w:bookmarkEnd w:id="232"/>
      <w:bookmarkStart w:id="233" w:name="_Toc184314447"/>
      <w:bookmarkEnd w:id="233"/>
      <w:bookmarkStart w:id="234" w:name="_Toc184310301"/>
      <w:bookmarkEnd w:id="234"/>
      <w:bookmarkStart w:id="235" w:name="_Toc184312123"/>
      <w:bookmarkEnd w:id="235"/>
      <w:bookmarkStart w:id="236" w:name="_Toc184312113"/>
      <w:bookmarkEnd w:id="236"/>
      <w:bookmarkStart w:id="237" w:name="_Toc184312127"/>
      <w:bookmarkEnd w:id="237"/>
      <w:bookmarkStart w:id="238" w:name="_Toc184313261"/>
      <w:bookmarkEnd w:id="238"/>
      <w:bookmarkStart w:id="239" w:name="_Toc184310313"/>
      <w:bookmarkEnd w:id="239"/>
      <w:bookmarkStart w:id="240" w:name="_Toc184308082"/>
      <w:bookmarkEnd w:id="240"/>
      <w:bookmarkStart w:id="241" w:name="_Toc184314410"/>
      <w:bookmarkEnd w:id="241"/>
      <w:bookmarkStart w:id="242" w:name="_Toc184308058"/>
      <w:bookmarkEnd w:id="242"/>
      <w:bookmarkStart w:id="243" w:name="_Toc184308055"/>
      <w:bookmarkEnd w:id="243"/>
      <w:bookmarkStart w:id="244" w:name="_Toc184312121"/>
      <w:bookmarkEnd w:id="244"/>
      <w:bookmarkStart w:id="245" w:name="_Toc184314438"/>
      <w:bookmarkEnd w:id="245"/>
      <w:bookmarkStart w:id="246" w:name="_Toc184310283"/>
      <w:bookmarkEnd w:id="246"/>
      <w:bookmarkStart w:id="247" w:name="_Toc184308040"/>
      <w:bookmarkEnd w:id="247"/>
      <w:bookmarkStart w:id="248" w:name="_Toc184310286"/>
      <w:bookmarkEnd w:id="248"/>
      <w:bookmarkStart w:id="249" w:name="_Toc184310337"/>
      <w:bookmarkEnd w:id="249"/>
      <w:bookmarkStart w:id="250" w:name="_Toc184310333"/>
      <w:bookmarkEnd w:id="250"/>
      <w:bookmarkStart w:id="251" w:name="_Toc184310306"/>
      <w:bookmarkEnd w:id="251"/>
      <w:bookmarkStart w:id="252" w:name="_Toc184310296"/>
      <w:bookmarkEnd w:id="252"/>
      <w:bookmarkStart w:id="253" w:name="_Toc184308051"/>
      <w:bookmarkEnd w:id="253"/>
      <w:bookmarkStart w:id="254" w:name="_Toc184314466"/>
      <w:bookmarkEnd w:id="254"/>
      <w:bookmarkStart w:id="255" w:name="_Toc184310343"/>
      <w:bookmarkEnd w:id="255"/>
      <w:bookmarkStart w:id="256" w:name="_Toc184314449"/>
      <w:bookmarkEnd w:id="256"/>
      <w:bookmarkStart w:id="257" w:name="_Toc184314476"/>
      <w:bookmarkEnd w:id="257"/>
      <w:bookmarkStart w:id="258" w:name="_Toc184308078"/>
      <w:bookmarkEnd w:id="258"/>
      <w:bookmarkStart w:id="259" w:name="_Toc184312126"/>
      <w:bookmarkEnd w:id="259"/>
      <w:bookmarkStart w:id="260" w:name="_Toc184314473"/>
      <w:bookmarkEnd w:id="260"/>
      <w:bookmarkStart w:id="261" w:name="_Toc184313269"/>
      <w:bookmarkEnd w:id="261"/>
      <w:bookmarkStart w:id="262" w:name="_Toc184312102"/>
      <w:bookmarkEnd w:id="262"/>
      <w:bookmarkStart w:id="263" w:name="_Toc184310344"/>
      <w:bookmarkEnd w:id="263"/>
      <w:bookmarkStart w:id="264" w:name="_Toc184314441"/>
      <w:bookmarkEnd w:id="264"/>
      <w:bookmarkStart w:id="265" w:name="_Toc184308095"/>
      <w:bookmarkEnd w:id="265"/>
      <w:bookmarkStart w:id="266" w:name="_Toc184314477"/>
      <w:bookmarkEnd w:id="266"/>
      <w:bookmarkStart w:id="267" w:name="_Toc184314463"/>
      <w:bookmarkEnd w:id="267"/>
      <w:bookmarkStart w:id="268" w:name="_Toc184312084"/>
      <w:bookmarkEnd w:id="268"/>
      <w:bookmarkStart w:id="269" w:name="_Toc184314459"/>
      <w:bookmarkEnd w:id="269"/>
      <w:bookmarkStart w:id="270" w:name="_Toc184312082"/>
      <w:bookmarkEnd w:id="270"/>
      <w:bookmarkStart w:id="271" w:name="_Toc184312117"/>
      <w:bookmarkEnd w:id="271"/>
      <w:bookmarkStart w:id="272" w:name="_Toc184314435"/>
      <w:bookmarkEnd w:id="272"/>
      <w:bookmarkStart w:id="273" w:name="_Toc184310281"/>
      <w:bookmarkEnd w:id="273"/>
      <w:bookmarkStart w:id="274" w:name="_Toc184308093"/>
      <w:bookmarkEnd w:id="274"/>
      <w:bookmarkStart w:id="275" w:name="_Toc184310308"/>
      <w:bookmarkEnd w:id="275"/>
      <w:bookmarkStart w:id="276" w:name="_Toc184312095"/>
      <w:bookmarkEnd w:id="276"/>
      <w:bookmarkStart w:id="277" w:name="_Toc184310310"/>
      <w:bookmarkEnd w:id="277"/>
      <w:bookmarkStart w:id="278" w:name="_Toc184308053"/>
      <w:bookmarkEnd w:id="278"/>
      <w:bookmarkStart w:id="279" w:name="_Toc184313307"/>
      <w:bookmarkEnd w:id="279"/>
      <w:bookmarkStart w:id="280" w:name="_Toc184313284"/>
      <w:bookmarkEnd w:id="280"/>
      <w:bookmarkStart w:id="281" w:name="_Toc184313283"/>
      <w:bookmarkEnd w:id="281"/>
      <w:bookmarkStart w:id="282" w:name="_Toc184314475"/>
      <w:bookmarkEnd w:id="282"/>
      <w:bookmarkStart w:id="283" w:name="_Toc184312092"/>
      <w:bookmarkEnd w:id="283"/>
      <w:bookmarkStart w:id="284" w:name="_Toc184313275"/>
      <w:bookmarkEnd w:id="284"/>
      <w:bookmarkStart w:id="285" w:name="_Toc184314433"/>
      <w:bookmarkEnd w:id="285"/>
      <w:bookmarkStart w:id="286" w:name="_Toc184313252"/>
      <w:bookmarkEnd w:id="286"/>
      <w:bookmarkStart w:id="287" w:name="_Toc184308072"/>
      <w:bookmarkEnd w:id="287"/>
      <w:bookmarkStart w:id="288" w:name="_Toc184312108"/>
      <w:bookmarkEnd w:id="288"/>
      <w:bookmarkStart w:id="289" w:name="_Toc184314479"/>
      <w:bookmarkEnd w:id="289"/>
      <w:bookmarkStart w:id="290" w:name="_Toc184308054"/>
      <w:bookmarkEnd w:id="290"/>
      <w:bookmarkStart w:id="291" w:name="_Toc184314411"/>
      <w:bookmarkEnd w:id="291"/>
      <w:bookmarkStart w:id="292" w:name="_Toc184314467"/>
      <w:bookmarkEnd w:id="292"/>
      <w:bookmarkStart w:id="293" w:name="_Toc184310324"/>
      <w:bookmarkEnd w:id="293"/>
      <w:bookmarkStart w:id="294" w:name="_Toc184310289"/>
      <w:bookmarkEnd w:id="294"/>
      <w:bookmarkStart w:id="295" w:name="_Toc184308104"/>
      <w:bookmarkEnd w:id="295"/>
      <w:bookmarkStart w:id="296" w:name="_Toc184310282"/>
      <w:bookmarkEnd w:id="296"/>
      <w:bookmarkStart w:id="297" w:name="_Toc184310290"/>
      <w:bookmarkEnd w:id="297"/>
      <w:bookmarkStart w:id="298" w:name="_Toc184312077"/>
      <w:bookmarkEnd w:id="298"/>
      <w:bookmarkStart w:id="299" w:name="_Toc184312070"/>
      <w:bookmarkEnd w:id="299"/>
      <w:bookmarkStart w:id="300" w:name="_Toc184313292"/>
      <w:bookmarkEnd w:id="300"/>
      <w:bookmarkStart w:id="301" w:name="_Toc184310335"/>
      <w:bookmarkEnd w:id="301"/>
      <w:bookmarkStart w:id="302" w:name="_Toc184313308"/>
      <w:bookmarkEnd w:id="302"/>
      <w:bookmarkStart w:id="303" w:name="_Toc184314431"/>
      <w:bookmarkEnd w:id="303"/>
      <w:bookmarkStart w:id="304" w:name="_Toc184310285"/>
      <w:bookmarkEnd w:id="304"/>
      <w:bookmarkStart w:id="305" w:name="_Toc184308098"/>
      <w:bookmarkEnd w:id="305"/>
      <w:bookmarkStart w:id="306" w:name="_Toc184313262"/>
      <w:bookmarkEnd w:id="306"/>
      <w:bookmarkStart w:id="307" w:name="_Toc184314442"/>
      <w:bookmarkEnd w:id="307"/>
      <w:bookmarkStart w:id="308" w:name="_Toc184313304"/>
      <w:bookmarkEnd w:id="308"/>
      <w:bookmarkStart w:id="309" w:name="_Toc184308088"/>
      <w:bookmarkEnd w:id="309"/>
      <w:bookmarkStart w:id="310" w:name="_Toc184313244"/>
      <w:bookmarkEnd w:id="310"/>
      <w:bookmarkStart w:id="311" w:name="_Toc184312089"/>
      <w:bookmarkEnd w:id="311"/>
      <w:bookmarkStart w:id="312" w:name="_Toc184313295"/>
      <w:bookmarkEnd w:id="312"/>
      <w:bookmarkStart w:id="313" w:name="_Toc184310342"/>
      <w:bookmarkEnd w:id="313"/>
      <w:bookmarkStart w:id="314" w:name="_Toc184310298"/>
      <w:bookmarkEnd w:id="314"/>
      <w:bookmarkStart w:id="315" w:name="_Toc184312104"/>
      <w:bookmarkEnd w:id="315"/>
      <w:bookmarkStart w:id="316" w:name="_Toc184312083"/>
      <w:bookmarkEnd w:id="316"/>
      <w:bookmarkStart w:id="317" w:name="_Toc184312130"/>
      <w:bookmarkEnd w:id="317"/>
      <w:bookmarkStart w:id="318" w:name="_Toc184308048"/>
      <w:bookmarkEnd w:id="318"/>
      <w:bookmarkStart w:id="319" w:name="_Toc184312139"/>
      <w:bookmarkEnd w:id="319"/>
      <w:bookmarkStart w:id="320" w:name="_Toc184314464"/>
      <w:bookmarkEnd w:id="320"/>
      <w:bookmarkStart w:id="321" w:name="_Toc184313258"/>
      <w:bookmarkEnd w:id="321"/>
      <w:bookmarkStart w:id="322" w:name="_Toc184310316"/>
      <w:bookmarkEnd w:id="322"/>
      <w:bookmarkStart w:id="323" w:name="_Toc184312111"/>
      <w:bookmarkEnd w:id="323"/>
      <w:bookmarkStart w:id="324" w:name="_Toc184313305"/>
      <w:bookmarkEnd w:id="324"/>
      <w:bookmarkStart w:id="325" w:name="_Toc184312096"/>
      <w:bookmarkEnd w:id="325"/>
      <w:bookmarkStart w:id="326" w:name="_Toc184312090"/>
      <w:bookmarkEnd w:id="326"/>
      <w:bookmarkStart w:id="327" w:name="_Toc184308085"/>
      <w:bookmarkEnd w:id="327"/>
      <w:bookmarkStart w:id="328" w:name="_Toc184312118"/>
      <w:bookmarkEnd w:id="328"/>
      <w:bookmarkStart w:id="329" w:name="_Toc184308087"/>
      <w:bookmarkEnd w:id="329"/>
      <w:bookmarkStart w:id="330" w:name="_Toc184310329"/>
      <w:bookmarkEnd w:id="330"/>
      <w:bookmarkStart w:id="331" w:name="_Toc184313274"/>
      <w:bookmarkEnd w:id="331"/>
      <w:bookmarkStart w:id="332" w:name="_Toc184312101"/>
      <w:bookmarkEnd w:id="332"/>
      <w:bookmarkStart w:id="333" w:name="_Toc184312067"/>
      <w:bookmarkEnd w:id="333"/>
      <w:bookmarkStart w:id="334" w:name="_Toc184310334"/>
      <w:bookmarkEnd w:id="334"/>
      <w:bookmarkStart w:id="335" w:name="_Toc184314455"/>
      <w:bookmarkEnd w:id="335"/>
      <w:bookmarkStart w:id="336" w:name="_Toc184308047"/>
      <w:bookmarkEnd w:id="336"/>
      <w:bookmarkStart w:id="337" w:name="_Toc184310332"/>
      <w:bookmarkEnd w:id="337"/>
      <w:bookmarkStart w:id="338" w:name="_Toc184314413"/>
      <w:bookmarkEnd w:id="338"/>
      <w:bookmarkStart w:id="339" w:name="_Toc184310314"/>
      <w:bookmarkEnd w:id="339"/>
      <w:bookmarkStart w:id="340" w:name="_Toc184313263"/>
      <w:bookmarkEnd w:id="340"/>
      <w:bookmarkStart w:id="341" w:name="_Toc184314429"/>
      <w:bookmarkEnd w:id="341"/>
      <w:bookmarkStart w:id="342" w:name="_Toc184308044"/>
      <w:bookmarkEnd w:id="342"/>
      <w:bookmarkStart w:id="343" w:name="_Toc184310303"/>
      <w:bookmarkEnd w:id="343"/>
      <w:bookmarkStart w:id="344" w:name="_Toc184312086"/>
      <w:bookmarkEnd w:id="344"/>
      <w:bookmarkStart w:id="345" w:name="_Toc184310272"/>
      <w:bookmarkEnd w:id="345"/>
      <w:bookmarkStart w:id="346" w:name="_Toc184308096"/>
      <w:bookmarkEnd w:id="346"/>
      <w:bookmarkStart w:id="347" w:name="_Toc184313303"/>
      <w:bookmarkEnd w:id="347"/>
      <w:bookmarkStart w:id="348" w:name="_Toc184314450"/>
      <w:bookmarkEnd w:id="348"/>
      <w:bookmarkStart w:id="349" w:name="_Toc184308071"/>
      <w:bookmarkEnd w:id="349"/>
      <w:bookmarkStart w:id="350" w:name="_Toc184310339"/>
      <w:bookmarkEnd w:id="350"/>
      <w:bookmarkStart w:id="351" w:name="_Toc184312073"/>
      <w:bookmarkEnd w:id="351"/>
      <w:bookmarkStart w:id="352" w:name="_Toc184314417"/>
      <w:bookmarkEnd w:id="352"/>
      <w:bookmarkStart w:id="353" w:name="_Toc184314458"/>
      <w:bookmarkEnd w:id="353"/>
      <w:bookmarkStart w:id="354" w:name="_Toc184308049"/>
      <w:bookmarkEnd w:id="354"/>
      <w:bookmarkStart w:id="355" w:name="_Toc184314432"/>
      <w:bookmarkEnd w:id="355"/>
      <w:bookmarkStart w:id="356" w:name="_Toc184312135"/>
      <w:bookmarkEnd w:id="356"/>
      <w:bookmarkStart w:id="357" w:name="_Toc184312075"/>
      <w:bookmarkEnd w:id="357"/>
      <w:bookmarkStart w:id="358" w:name="_Toc184310291"/>
      <w:bookmarkEnd w:id="358"/>
      <w:bookmarkStart w:id="359" w:name="_Toc184312110"/>
      <w:bookmarkEnd w:id="359"/>
      <w:bookmarkStart w:id="360" w:name="_Toc184314454"/>
      <w:bookmarkEnd w:id="360"/>
      <w:bookmarkStart w:id="361" w:name="_Toc184308106"/>
      <w:bookmarkEnd w:id="361"/>
      <w:bookmarkStart w:id="362" w:name="_Toc184308102"/>
      <w:bookmarkEnd w:id="362"/>
      <w:bookmarkStart w:id="363" w:name="_Toc184310288"/>
      <w:bookmarkEnd w:id="363"/>
      <w:bookmarkStart w:id="364" w:name="_Toc184310311"/>
      <w:bookmarkEnd w:id="364"/>
      <w:bookmarkStart w:id="365" w:name="_Toc184313248"/>
      <w:bookmarkEnd w:id="365"/>
      <w:bookmarkStart w:id="366" w:name="_Toc184314445"/>
      <w:bookmarkEnd w:id="366"/>
      <w:bookmarkStart w:id="367" w:name="_Toc184308107"/>
      <w:bookmarkEnd w:id="367"/>
      <w:bookmarkStart w:id="368" w:name="_Toc184314426"/>
      <w:bookmarkEnd w:id="368"/>
      <w:bookmarkStart w:id="369" w:name="_Toc184308059"/>
      <w:bookmarkEnd w:id="369"/>
      <w:bookmarkStart w:id="370" w:name="_Toc184310274"/>
      <w:bookmarkEnd w:id="370"/>
      <w:bookmarkStart w:id="371" w:name="_Toc184313239"/>
      <w:bookmarkEnd w:id="371"/>
      <w:bookmarkStart w:id="372" w:name="_Toc184310275"/>
      <w:bookmarkEnd w:id="372"/>
      <w:bookmarkStart w:id="373" w:name="_Toc184308066"/>
      <w:bookmarkEnd w:id="373"/>
      <w:bookmarkStart w:id="374" w:name="_Toc184314472"/>
      <w:bookmarkEnd w:id="374"/>
      <w:bookmarkStart w:id="375" w:name="_Toc184313251"/>
      <w:bookmarkEnd w:id="375"/>
      <w:bookmarkStart w:id="376" w:name="_Toc184312131"/>
      <w:bookmarkEnd w:id="376"/>
      <w:bookmarkStart w:id="377" w:name="_Toc184314470"/>
      <w:bookmarkEnd w:id="377"/>
      <w:bookmarkStart w:id="378" w:name="_Toc184314462"/>
      <w:bookmarkEnd w:id="378"/>
      <w:bookmarkStart w:id="379" w:name="_Toc184310276"/>
      <w:bookmarkEnd w:id="379"/>
      <w:bookmarkStart w:id="380" w:name="_Toc184312115"/>
      <w:bookmarkEnd w:id="380"/>
      <w:bookmarkStart w:id="381" w:name="_Toc184310331"/>
      <w:bookmarkEnd w:id="381"/>
      <w:bookmarkStart w:id="382" w:name="_Toc184312136"/>
      <w:bookmarkEnd w:id="382"/>
      <w:bookmarkStart w:id="383" w:name="_Toc184314480"/>
      <w:bookmarkEnd w:id="383"/>
      <w:bookmarkStart w:id="384" w:name="_Toc184314434"/>
      <w:bookmarkEnd w:id="384"/>
      <w:bookmarkStart w:id="385" w:name="_Toc184310287"/>
      <w:bookmarkEnd w:id="385"/>
      <w:bookmarkStart w:id="386" w:name="_Toc184308067"/>
      <w:bookmarkEnd w:id="386"/>
      <w:bookmarkStart w:id="387" w:name="_Toc184313279"/>
      <w:bookmarkEnd w:id="387"/>
      <w:bookmarkStart w:id="388" w:name="_Toc184313289"/>
      <w:bookmarkEnd w:id="388"/>
      <w:bookmarkStart w:id="389" w:name="_Toc184314443"/>
      <w:bookmarkEnd w:id="389"/>
      <w:bookmarkStart w:id="390" w:name="_Toc184313278"/>
      <w:bookmarkEnd w:id="390"/>
      <w:bookmarkStart w:id="391" w:name="_Toc184313298"/>
      <w:bookmarkEnd w:id="391"/>
      <w:bookmarkStart w:id="392" w:name="_Toc184312105"/>
      <w:bookmarkEnd w:id="392"/>
      <w:bookmarkStart w:id="393" w:name="_Toc184308043"/>
      <w:bookmarkEnd w:id="393"/>
      <w:bookmarkStart w:id="394" w:name="_Toc184308099"/>
      <w:bookmarkEnd w:id="394"/>
      <w:bookmarkStart w:id="395" w:name="_Toc184310299"/>
      <w:bookmarkEnd w:id="395"/>
      <w:r>
        <w:rPr>
          <w:rFonts w:hint="eastAsia" w:ascii="宋体" w:hAnsi="宋体" w:eastAsia="宋体" w:cs="宋体"/>
          <w:b/>
          <w:bCs w:val="0"/>
          <w:color w:val="auto"/>
          <w:kern w:val="2"/>
          <w:sz w:val="36"/>
          <w:szCs w:val="20"/>
          <w:highlight w:val="none"/>
          <w:lang w:val="en-US" w:eastAsia="zh-CN" w:bidi="ar-SA"/>
        </w:rPr>
        <w:t xml:space="preserve"> 评审办法</w:t>
      </w:r>
    </w:p>
    <w:p w14:paraId="44F1DFB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10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890"/>
        <w:gridCol w:w="791"/>
        <w:gridCol w:w="1365"/>
        <w:gridCol w:w="1656"/>
      </w:tblGrid>
      <w:tr w14:paraId="1E69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46C82C5">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0" w:type="dxa"/>
            <w:vAlign w:val="center"/>
          </w:tcPr>
          <w:p w14:paraId="43B079D5">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1" w:type="dxa"/>
            <w:vAlign w:val="center"/>
          </w:tcPr>
          <w:p w14:paraId="5508F5F0">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1365" w:type="dxa"/>
            <w:vAlign w:val="center"/>
          </w:tcPr>
          <w:p w14:paraId="74EC34BC">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主/客观分</w:t>
            </w:r>
          </w:p>
        </w:tc>
        <w:tc>
          <w:tcPr>
            <w:tcW w:w="1656" w:type="dxa"/>
          </w:tcPr>
          <w:p w14:paraId="750FC09B">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6101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4FDA04B7">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890" w:type="dxa"/>
            <w:vAlign w:val="center"/>
          </w:tcPr>
          <w:p w14:paraId="1BCD53B8">
            <w:pPr>
              <w:keepNext w:val="0"/>
              <w:keepLines w:val="0"/>
              <w:pageBreakBefore w:val="0"/>
              <w:kinsoku/>
              <w:wordWrap/>
              <w:overflowPunct/>
              <w:topLinePunct w:val="0"/>
              <w:autoSpaceDE/>
              <w:autoSpaceDN/>
              <w:bidi w:val="0"/>
              <w:snapToGrid w:val="0"/>
              <w:spacing w:line="30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供应商自20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年1月1日起（以合同签订时间为准）具有类似</w:t>
            </w:r>
            <w:r>
              <w:rPr>
                <w:rFonts w:hint="eastAsia" w:ascii="宋体" w:hAnsi="宋体" w:cs="宋体"/>
                <w:color w:val="auto"/>
                <w:sz w:val="21"/>
                <w:szCs w:val="21"/>
                <w:highlight w:val="none"/>
                <w:lang w:val="en-US" w:eastAsia="zh-CN"/>
              </w:rPr>
              <w:t>提升改造项目</w:t>
            </w:r>
            <w:r>
              <w:rPr>
                <w:rFonts w:hint="eastAsia" w:ascii="宋体" w:hAnsi="宋体" w:cs="宋体"/>
                <w:color w:val="auto"/>
                <w:sz w:val="21"/>
                <w:szCs w:val="21"/>
                <w:highlight w:val="none"/>
              </w:rPr>
              <w:t>设计及施工一体化项目业绩的，每一个得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w:t>
            </w:r>
          </w:p>
          <w:p w14:paraId="283DCCD2">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证明材料：须同时出具合同复印件及竣工验收报告复印件（加盖公章），</w:t>
            </w:r>
            <w:r>
              <w:rPr>
                <w:rFonts w:hint="eastAsia" w:ascii="宋体" w:hAnsi="宋体" w:cs="宋体"/>
                <w:color w:val="auto"/>
                <w:sz w:val="21"/>
                <w:szCs w:val="21"/>
                <w:highlight w:val="none"/>
                <w:lang w:val="en-US" w:eastAsia="zh-CN"/>
              </w:rPr>
              <w:t>如工程尚未竣工，则需提供业主出具的情况说明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tc>
        <w:tc>
          <w:tcPr>
            <w:tcW w:w="791" w:type="dxa"/>
            <w:vAlign w:val="center"/>
          </w:tcPr>
          <w:p w14:paraId="4575B6FA">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0.25</w:t>
            </w:r>
          </w:p>
        </w:tc>
        <w:tc>
          <w:tcPr>
            <w:tcW w:w="1365" w:type="dxa"/>
            <w:vAlign w:val="center"/>
          </w:tcPr>
          <w:p w14:paraId="38086831">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vAlign w:val="center"/>
          </w:tcPr>
          <w:p w14:paraId="00AF4FDF">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p>
        </w:tc>
      </w:tr>
      <w:tr w14:paraId="6CC5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2E6B1FAF">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890" w:type="dxa"/>
            <w:vAlign w:val="center"/>
          </w:tcPr>
          <w:p w14:paraId="1C97F800">
            <w:pPr>
              <w:keepNext w:val="0"/>
              <w:keepLines w:val="0"/>
              <w:pageBreakBefore w:val="0"/>
              <w:kinsoku/>
              <w:wordWrap/>
              <w:overflowPunct/>
              <w:topLinePunct w:val="0"/>
              <w:autoSpaceDE/>
              <w:autoSpaceDN/>
              <w:bidi w:val="0"/>
              <w:snapToGrid w:val="0"/>
              <w:spacing w:line="30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拟派项目总负责人</w:t>
            </w:r>
            <w:r>
              <w:rPr>
                <w:rFonts w:hint="eastAsia" w:ascii="宋体" w:hAnsi="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年1月1日起（以合同签订时间为准）具有类似</w:t>
            </w:r>
            <w:r>
              <w:rPr>
                <w:rFonts w:hint="eastAsia" w:ascii="宋体" w:hAnsi="宋体" w:cs="宋体"/>
                <w:color w:val="auto"/>
                <w:sz w:val="21"/>
                <w:szCs w:val="21"/>
                <w:highlight w:val="none"/>
                <w:lang w:val="en-US" w:eastAsia="zh-CN"/>
              </w:rPr>
              <w:t>提升改造项目</w:t>
            </w:r>
            <w:r>
              <w:rPr>
                <w:rFonts w:hint="eastAsia" w:ascii="宋体" w:hAnsi="宋体" w:cs="宋体"/>
                <w:color w:val="auto"/>
                <w:sz w:val="21"/>
                <w:szCs w:val="21"/>
                <w:highlight w:val="none"/>
              </w:rPr>
              <w:t>设计及施工一体化项目业绩的，每一个得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0.25</w:t>
            </w:r>
            <w:r>
              <w:rPr>
                <w:rFonts w:hint="eastAsia" w:ascii="宋体" w:hAnsi="宋体" w:cs="宋体"/>
                <w:color w:val="auto"/>
                <w:sz w:val="21"/>
                <w:szCs w:val="21"/>
                <w:highlight w:val="none"/>
              </w:rPr>
              <w:t>分。</w:t>
            </w:r>
          </w:p>
          <w:p w14:paraId="56FDDFCE">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证明材料：须同时出具合同复印件及竣工验收报告复印件（加盖公章），</w:t>
            </w:r>
            <w:r>
              <w:rPr>
                <w:rFonts w:hint="eastAsia" w:ascii="宋体" w:hAnsi="宋体" w:cs="宋体"/>
                <w:color w:val="auto"/>
                <w:sz w:val="21"/>
                <w:szCs w:val="21"/>
                <w:highlight w:val="none"/>
                <w:lang w:val="en-US" w:eastAsia="zh-CN"/>
              </w:rPr>
              <w:t>至少有一项资料能体现项目负责人信息，否则须补充出具加盖业主公章的证明材料，证明材料不完整的不予认可。</w:t>
            </w:r>
            <w:r>
              <w:rPr>
                <w:rFonts w:hint="eastAsia" w:ascii="宋体" w:hAnsi="宋体" w:cs="宋体"/>
                <w:color w:val="auto"/>
                <w:sz w:val="21"/>
                <w:szCs w:val="21"/>
                <w:highlight w:val="none"/>
                <w:lang w:eastAsia="zh-CN"/>
              </w:rPr>
              <w:t>）</w:t>
            </w:r>
          </w:p>
        </w:tc>
        <w:tc>
          <w:tcPr>
            <w:tcW w:w="791" w:type="dxa"/>
            <w:vAlign w:val="center"/>
          </w:tcPr>
          <w:p w14:paraId="0609A04C">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0.25</w:t>
            </w:r>
          </w:p>
        </w:tc>
        <w:tc>
          <w:tcPr>
            <w:tcW w:w="1365" w:type="dxa"/>
            <w:vAlign w:val="center"/>
          </w:tcPr>
          <w:p w14:paraId="6EA13626">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tcPr>
          <w:p w14:paraId="41F32555">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p>
        </w:tc>
      </w:tr>
      <w:tr w14:paraId="7E8C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8B24F2F">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890" w:type="dxa"/>
            <w:vAlign w:val="center"/>
          </w:tcPr>
          <w:p w14:paraId="1C4FE6CD">
            <w:pPr>
              <w:keepNext w:val="0"/>
              <w:keepLines w:val="0"/>
              <w:pageBreakBefore w:val="0"/>
              <w:kinsoku/>
              <w:wordWrap/>
              <w:overflowPunct/>
              <w:topLinePunct w:val="0"/>
              <w:autoSpaceDE/>
              <w:autoSpaceDN/>
              <w:bidi w:val="0"/>
              <w:snapToGrid w:val="0"/>
              <w:spacing w:line="300" w:lineRule="auto"/>
              <w:textAlignment w:val="auto"/>
              <w:outlineLvl w:val="0"/>
              <w:rPr>
                <w:rFonts w:hint="default" w:ascii="宋体" w:hAnsi="宋体" w:eastAsia="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提供细致、完整，设计构思与创意在文化内涵、体现杭州市人民职业学校特色的总体设计方案。根据方案的完整性、针对性进行打分。（评审分值为7分或6分5分或4分或3分或2分或1分或0分）</w:t>
            </w:r>
          </w:p>
        </w:tc>
        <w:tc>
          <w:tcPr>
            <w:tcW w:w="791" w:type="dxa"/>
            <w:vAlign w:val="center"/>
          </w:tcPr>
          <w:p w14:paraId="0FE8F272">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2642CA61">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6A8F1B8">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p>
        </w:tc>
      </w:tr>
      <w:tr w14:paraId="3972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0540FD25">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890" w:type="dxa"/>
            <w:vAlign w:val="center"/>
          </w:tcPr>
          <w:p w14:paraId="25990B93">
            <w:pPr>
              <w:keepNext w:val="0"/>
              <w:keepLines w:val="0"/>
              <w:pageBreakBefore w:val="0"/>
              <w:kinsoku/>
              <w:wordWrap/>
              <w:overflowPunct/>
              <w:topLinePunct w:val="0"/>
              <w:autoSpaceDE/>
              <w:autoSpaceDN/>
              <w:bidi w:val="0"/>
              <w:snapToGrid w:val="0"/>
              <w:spacing w:line="300" w:lineRule="auto"/>
              <w:textAlignment w:val="auto"/>
              <w:outlineLvl w:val="0"/>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提供总平图、功能分区等设计方案。根据方案的完整性、针对性进行打分。（评审分值为7分或6分5分或4分或3分或2分或1分或0分）</w:t>
            </w:r>
          </w:p>
        </w:tc>
        <w:tc>
          <w:tcPr>
            <w:tcW w:w="791" w:type="dxa"/>
            <w:vAlign w:val="center"/>
          </w:tcPr>
          <w:p w14:paraId="3768AF62">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56BC5C3C">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6416AABE">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p>
        </w:tc>
      </w:tr>
      <w:tr w14:paraId="1C83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7787860">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890" w:type="dxa"/>
            <w:vAlign w:val="center"/>
          </w:tcPr>
          <w:p w14:paraId="6F3DD108">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eastAsia="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提供细致、完整，区域利用率高、灵活性强、与空间环境结合度的详细设计方案。根据方案的完整性、针对性进行打分。（评审分值为7分或6分5分或4分或3分或2分或1分或0分）</w:t>
            </w:r>
          </w:p>
        </w:tc>
        <w:tc>
          <w:tcPr>
            <w:tcW w:w="791" w:type="dxa"/>
            <w:vAlign w:val="center"/>
          </w:tcPr>
          <w:p w14:paraId="58D8AC2F">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4A9676E6">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2D61643F">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57A3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55171C9B">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890" w:type="dxa"/>
            <w:vAlign w:val="center"/>
          </w:tcPr>
          <w:p w14:paraId="093835D5">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提供食堂空间、走道等公共空间的专项方案。根据方案的完整性、针对性进行打分。（评审分值为7分或6分5分或4分或3分或2分或1分或0分）</w:t>
            </w:r>
          </w:p>
        </w:tc>
        <w:tc>
          <w:tcPr>
            <w:tcW w:w="791" w:type="dxa"/>
            <w:vAlign w:val="center"/>
          </w:tcPr>
          <w:p w14:paraId="747DA407">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7DCC23D8">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775D1104">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2474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22B31C07">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890" w:type="dxa"/>
            <w:vAlign w:val="center"/>
          </w:tcPr>
          <w:p w14:paraId="36FEBA98">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提供门窗、地面、墙身、墙面专项改造方案内容。根据方案的完整性、针对性进行打分。（评审分值为7分或6分5分或4分或3分或2分或1分或0分）</w:t>
            </w:r>
          </w:p>
        </w:tc>
        <w:tc>
          <w:tcPr>
            <w:tcW w:w="791" w:type="dxa"/>
            <w:vAlign w:val="center"/>
          </w:tcPr>
          <w:p w14:paraId="1A16B20B">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1B5483D7">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4B0709F">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58CF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BD324C9">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890" w:type="dxa"/>
            <w:vAlign w:val="center"/>
          </w:tcPr>
          <w:p w14:paraId="1C94B672">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提供照明系统专项</w:t>
            </w:r>
            <w:r>
              <w:rPr>
                <w:rFonts w:hint="eastAsia"/>
                <w:color w:val="auto"/>
                <w:highlight w:val="none"/>
                <w:lang w:eastAsia="zh-CN"/>
              </w:rPr>
              <w:t>和供电系统</w:t>
            </w:r>
            <w:r>
              <w:rPr>
                <w:rFonts w:hint="eastAsia" w:ascii="宋体" w:hAnsi="宋体" w:cs="宋体"/>
                <w:color w:val="auto"/>
                <w:sz w:val="21"/>
                <w:szCs w:val="21"/>
                <w:highlight w:val="none"/>
                <w:lang w:val="en-US" w:eastAsia="zh-CN"/>
              </w:rPr>
              <w:t>方案。根据方案的完整性、针对性进行打分。（评审分值为7分或6分5分或4分或3分或2分或1分或0分）</w:t>
            </w:r>
          </w:p>
        </w:tc>
        <w:tc>
          <w:tcPr>
            <w:tcW w:w="791" w:type="dxa"/>
            <w:vAlign w:val="center"/>
          </w:tcPr>
          <w:p w14:paraId="7CA30A45">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51ABFC4A">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E75C5CF">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6BB1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3AECDD8">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890" w:type="dxa"/>
            <w:vAlign w:val="center"/>
          </w:tcPr>
          <w:p w14:paraId="1B37DD67">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提供施工方案、工序及关键技术内容进进行评审。根据方案的完整性、针对性进行打分。（评审分值为7分或6分5分或4分或3分或2分或1分或0分）</w:t>
            </w:r>
          </w:p>
        </w:tc>
        <w:tc>
          <w:tcPr>
            <w:tcW w:w="791" w:type="dxa"/>
            <w:vAlign w:val="center"/>
          </w:tcPr>
          <w:p w14:paraId="39D6DD3D">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0745B593">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8A4B22B">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0164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CDEFD4E">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890" w:type="dxa"/>
            <w:vAlign w:val="center"/>
          </w:tcPr>
          <w:p w14:paraId="305796D6">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方案中的主要材料选择情况进行评分。所投产品取得环境标志产品认证（已列入强制要求的除外）的，每个认证证书得2分，本项目最高得6分。响应文件中不明确规格型号、数量或者未提供的不得分（证明材料：提供认证证书复印件加盖投标供应商公章。）</w:t>
            </w:r>
          </w:p>
        </w:tc>
        <w:tc>
          <w:tcPr>
            <w:tcW w:w="791" w:type="dxa"/>
            <w:vAlign w:val="center"/>
          </w:tcPr>
          <w:p w14:paraId="3DCF56CC">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365" w:type="dxa"/>
            <w:vAlign w:val="center"/>
          </w:tcPr>
          <w:p w14:paraId="02163070">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tcPr>
          <w:p w14:paraId="74005897">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58DC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78E16025">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890" w:type="dxa"/>
            <w:vAlign w:val="center"/>
          </w:tcPr>
          <w:p w14:paraId="1D1921EE">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cs="仿宋_GB2312" w:asciiTheme="minorEastAsia" w:hAnsiTheme="minorEastAsia" w:eastAsiaTheme="minorEastAsia"/>
                <w:color w:val="auto"/>
                <w:szCs w:val="24"/>
                <w:highlight w:val="none"/>
                <w:lang w:val="en-US" w:eastAsia="zh-CN"/>
              </w:rPr>
              <w:t>提供的</w:t>
            </w:r>
            <w:r>
              <w:rPr>
                <w:rFonts w:hint="eastAsia" w:ascii="宋体" w:hAnsi="宋体" w:cs="宋体"/>
                <w:color w:val="auto"/>
                <w:sz w:val="21"/>
                <w:szCs w:val="21"/>
                <w:highlight w:val="none"/>
                <w:lang w:val="en-US" w:eastAsia="zh-CN"/>
              </w:rPr>
              <w:t>原材料、半成品、外购件的质量保证措施。根据方案的完整性、针对性进行打分。（评审分值为7分或6分5分或4分或3分或2分或1分或0分）</w:t>
            </w:r>
          </w:p>
        </w:tc>
        <w:tc>
          <w:tcPr>
            <w:tcW w:w="791" w:type="dxa"/>
            <w:vAlign w:val="center"/>
          </w:tcPr>
          <w:p w14:paraId="1343569C">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4F6BDFFD">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62942AE9">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78CC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221F0BB3">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890" w:type="dxa"/>
            <w:vAlign w:val="center"/>
          </w:tcPr>
          <w:p w14:paraId="2D2E2BB7">
            <w:pPr>
              <w:keepNext w:val="0"/>
              <w:keepLines w:val="0"/>
              <w:pageBreakBefore w:val="0"/>
              <w:kinsoku/>
              <w:wordWrap/>
              <w:overflowPunct/>
              <w:topLinePunct w:val="0"/>
              <w:autoSpaceDE/>
              <w:autoSpaceDN/>
              <w:bidi w:val="0"/>
              <w:snapToGrid w:val="0"/>
              <w:spacing w:line="300" w:lineRule="auto"/>
              <w:textAlignment w:val="auto"/>
              <w:rPr>
                <w:rFonts w:hint="default" w:ascii="宋体" w:hAnsi="宋体" w:cs="宋体"/>
                <w:color w:val="auto"/>
                <w:sz w:val="21"/>
                <w:szCs w:val="21"/>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安全、文明施工及市政、市容、环保等目标及保证体系措施情况。提供安全、文明施工及市政、市容、环保等方案。根据方案的完整性、针对性进行打分。（评审分值为7分或6分5分或4分或3分或2分或1分或0分）</w:t>
            </w:r>
          </w:p>
        </w:tc>
        <w:tc>
          <w:tcPr>
            <w:tcW w:w="791" w:type="dxa"/>
            <w:vAlign w:val="center"/>
          </w:tcPr>
          <w:p w14:paraId="58FE5CF5">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6FEBB1CB">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01E15E0C">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4DC1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57DE04C">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890" w:type="dxa"/>
            <w:vAlign w:val="center"/>
          </w:tcPr>
          <w:p w14:paraId="15888CFB">
            <w:pPr>
              <w:keepNext w:val="0"/>
              <w:keepLines w:val="0"/>
              <w:pageBreakBefore w:val="0"/>
              <w:kinsoku/>
              <w:wordWrap/>
              <w:overflowPunct/>
              <w:topLinePunct w:val="0"/>
              <w:autoSpaceDE/>
              <w:autoSpaceDN/>
              <w:bidi w:val="0"/>
              <w:snapToGrid w:val="0"/>
              <w:spacing w:line="300" w:lineRule="auto"/>
              <w:textAlignment w:val="auto"/>
              <w:rPr>
                <w:rFonts w:hint="eastAsia"/>
                <w:color w:val="auto"/>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w:t>
            </w:r>
            <w:r>
              <w:rPr>
                <w:rFonts w:hint="eastAsia"/>
                <w:color w:val="auto"/>
                <w:highlight w:val="none"/>
              </w:rPr>
              <w:t>①</w:t>
            </w:r>
            <w:r>
              <w:rPr>
                <w:rFonts w:hint="eastAsia"/>
                <w:color w:val="auto"/>
                <w:highlight w:val="none"/>
                <w:lang w:val="en-US" w:eastAsia="zh-CN"/>
              </w:rPr>
              <w:t>根据施工各阶的进度计划，劳动力施工各阶段的进度计划清晰度、明了度、各节点的完成时间</w:t>
            </w:r>
            <w:r>
              <w:rPr>
                <w:rFonts w:hint="eastAsia" w:ascii="宋体" w:hAnsi="宋体" w:cs="宋体"/>
                <w:color w:val="auto"/>
                <w:sz w:val="21"/>
                <w:szCs w:val="21"/>
                <w:highlight w:val="none"/>
                <w:lang w:val="en-US" w:eastAsia="zh-CN"/>
              </w:rPr>
              <w:t>进行评审。根据方案的完整性、针对性进行打分。（评审分值为3分或2分或1分或0分）</w:t>
            </w:r>
            <w:r>
              <w:rPr>
                <w:rFonts w:hint="eastAsia"/>
                <w:color w:val="auto"/>
                <w:highlight w:val="none"/>
                <w:lang w:val="en-US" w:eastAsia="zh-CN"/>
              </w:rPr>
              <w:t>。</w:t>
            </w:r>
          </w:p>
          <w:p w14:paraId="09A72DFD">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color w:val="auto"/>
                <w:highlight w:val="none"/>
                <w:lang w:val="en-US" w:eastAsia="zh-CN"/>
              </w:rPr>
            </w:pPr>
            <w:r>
              <w:rPr>
                <w:rFonts w:hint="default" w:ascii="Times New Roman" w:hAnsi="Times New Roman" w:eastAsia="宋体" w:cs="Times New Roman"/>
                <w:color w:val="auto"/>
                <w:highlight w:val="none"/>
                <w:lang w:val="en-US" w:eastAsia="zh-CN"/>
              </w:rPr>
              <w:t>②施工进度方案中完成各节点施工的有效保证措施及应急措施方案</w:t>
            </w:r>
            <w:r>
              <w:rPr>
                <w:rFonts w:hint="eastAsia" w:ascii="宋体" w:hAnsi="宋体" w:cs="宋体"/>
                <w:color w:val="auto"/>
                <w:sz w:val="21"/>
                <w:szCs w:val="21"/>
                <w:highlight w:val="none"/>
                <w:lang w:val="en-US" w:eastAsia="zh-CN"/>
              </w:rPr>
              <w:t>进行评审。根据方案的完整性、针对性进行打分。（评审分值为3分或2分或1分或0分）</w:t>
            </w:r>
            <w:r>
              <w:rPr>
                <w:rFonts w:hint="eastAsia" w:ascii="Times New Roman" w:hAnsi="Times New Roman" w:eastAsia="宋体" w:cs="Times New Roman"/>
                <w:color w:val="auto"/>
                <w:highlight w:val="none"/>
                <w:lang w:val="en-US" w:eastAsia="zh-CN"/>
              </w:rPr>
              <w:t>。</w:t>
            </w:r>
          </w:p>
        </w:tc>
        <w:tc>
          <w:tcPr>
            <w:tcW w:w="791" w:type="dxa"/>
            <w:vAlign w:val="center"/>
          </w:tcPr>
          <w:p w14:paraId="0E9F3DC4">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365" w:type="dxa"/>
            <w:vAlign w:val="center"/>
          </w:tcPr>
          <w:p w14:paraId="06545742">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73C9B143">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26F5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1600F7D8">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890" w:type="dxa"/>
            <w:vAlign w:val="center"/>
          </w:tcPr>
          <w:p w14:paraId="65C87D9A">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质保期及售后服务承诺</w:t>
            </w:r>
            <w:r>
              <w:rPr>
                <w:rFonts w:hint="eastAsia" w:ascii="宋体" w:hAnsi="宋体" w:cs="宋体"/>
                <w:color w:val="auto"/>
                <w:sz w:val="21"/>
                <w:szCs w:val="21"/>
                <w:highlight w:val="none"/>
                <w:lang w:val="en-US" w:eastAsia="zh-CN"/>
              </w:rPr>
              <w:t>进行评审。（评审分值为4分或3分或2分或1分或0分）</w:t>
            </w:r>
            <w:r>
              <w:rPr>
                <w:rFonts w:hint="eastAsia" w:ascii="Times New Roman" w:hAnsi="Times New Roman" w:eastAsia="宋体" w:cs="Times New Roman"/>
                <w:color w:val="auto"/>
                <w:highlight w:val="none"/>
                <w:lang w:val="en-US" w:eastAsia="zh-CN"/>
              </w:rPr>
              <w:t>。售后服务承诺范围包括并不限于质保期限，保修范围，保修、服务标准，人员配备，故障响应修复时间方式及保障措施。</w:t>
            </w:r>
          </w:p>
        </w:tc>
        <w:tc>
          <w:tcPr>
            <w:tcW w:w="791" w:type="dxa"/>
            <w:vAlign w:val="center"/>
          </w:tcPr>
          <w:p w14:paraId="1D6DB169">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365" w:type="dxa"/>
            <w:vAlign w:val="center"/>
          </w:tcPr>
          <w:p w14:paraId="22D25D5E">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02ED2195">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661B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56D20B4F">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5890" w:type="dxa"/>
            <w:vAlign w:val="center"/>
          </w:tcPr>
          <w:p w14:paraId="64D1353B">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ascii="Times New Roman" w:hAnsi="Times New Roman" w:eastAsia="宋体" w:cs="Times New Roman"/>
                <w:color w:val="auto"/>
                <w:highlight w:val="none"/>
                <w:lang w:val="en-US" w:eastAsia="zh-CN"/>
              </w:rPr>
            </w:pPr>
            <w:r>
              <w:rPr>
                <w:rFonts w:hint="eastAsia" w:cs="仿宋_GB2312" w:asciiTheme="minorEastAsia" w:hAnsiTheme="minorEastAsia" w:eastAsiaTheme="minorEastAsia"/>
                <w:color w:val="auto"/>
                <w:szCs w:val="24"/>
                <w:highlight w:val="none"/>
              </w:rPr>
              <w:t>供应商根据采购文件阐明的项目情况和采购需求，</w:t>
            </w:r>
            <w:r>
              <w:rPr>
                <w:rFonts w:hint="eastAsia" w:ascii="宋体" w:hAnsi="宋体" w:cs="宋体"/>
                <w:color w:val="auto"/>
                <w:sz w:val="21"/>
                <w:szCs w:val="21"/>
                <w:highlight w:val="none"/>
                <w:lang w:val="en-US" w:eastAsia="zh-CN"/>
              </w:rPr>
              <w:t>提供</w:t>
            </w:r>
            <w:r>
              <w:rPr>
                <w:rFonts w:hint="eastAsia" w:ascii="Times New Roman" w:hAnsi="Times New Roman" w:eastAsia="宋体" w:cs="Times New Roman"/>
                <w:color w:val="auto"/>
                <w:highlight w:val="none"/>
                <w:lang w:val="en-US" w:eastAsia="zh-CN"/>
              </w:rPr>
              <w:t>各专业工种的配置和劳动力的投入情况，劳动力安排组织与管理措施、</w:t>
            </w:r>
            <w:r>
              <w:rPr>
                <w:rFonts w:hint="default" w:ascii="Times New Roman" w:hAnsi="Times New Roman" w:eastAsia="宋体" w:cs="Times New Roman"/>
                <w:color w:val="auto"/>
                <w:highlight w:val="none"/>
                <w:lang w:val="en-US" w:eastAsia="zh-CN"/>
              </w:rPr>
              <w:t>施工机械设备投入</w:t>
            </w:r>
            <w:r>
              <w:rPr>
                <w:rFonts w:hint="eastAsia" w:ascii="宋体" w:hAnsi="宋体" w:cs="宋体"/>
                <w:color w:val="auto"/>
                <w:sz w:val="21"/>
                <w:szCs w:val="21"/>
                <w:highlight w:val="none"/>
                <w:lang w:val="en-US" w:eastAsia="zh-CN"/>
              </w:rPr>
              <w:t>进行评审。根据方案的完整性、针对性进行打分。（评审分值为7分或6分5分或4分或3分或2分或1分或0分）</w:t>
            </w:r>
          </w:p>
        </w:tc>
        <w:tc>
          <w:tcPr>
            <w:tcW w:w="791" w:type="dxa"/>
            <w:vAlign w:val="center"/>
          </w:tcPr>
          <w:p w14:paraId="317B3F3B">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365" w:type="dxa"/>
            <w:vAlign w:val="center"/>
          </w:tcPr>
          <w:p w14:paraId="570E0B17">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主观分</w:t>
            </w:r>
          </w:p>
        </w:tc>
        <w:tc>
          <w:tcPr>
            <w:tcW w:w="1656" w:type="dxa"/>
          </w:tcPr>
          <w:p w14:paraId="1E9E986A">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3EDF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6F711006">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890" w:type="dxa"/>
            <w:vAlign w:val="center"/>
          </w:tcPr>
          <w:p w14:paraId="563FC798">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工期响应情况：投标响应工期与采购文件中明确的计划工期相比，</w:t>
            </w:r>
            <w:r>
              <w:rPr>
                <w:rFonts w:hint="eastAsia" w:ascii="宋体" w:hAnsi="宋体" w:eastAsia="宋体" w:cs="宋体"/>
                <w:color w:val="auto"/>
                <w:sz w:val="21"/>
                <w:szCs w:val="21"/>
                <w:highlight w:val="none"/>
                <w:lang w:val="en-US" w:eastAsia="zh-CN"/>
              </w:rPr>
              <w:t>每少一天得0.5分，最高得3.5分。</w:t>
            </w:r>
          </w:p>
        </w:tc>
        <w:tc>
          <w:tcPr>
            <w:tcW w:w="791" w:type="dxa"/>
            <w:vAlign w:val="center"/>
          </w:tcPr>
          <w:p w14:paraId="52306BFB">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3.5</w:t>
            </w:r>
          </w:p>
        </w:tc>
        <w:tc>
          <w:tcPr>
            <w:tcW w:w="1365" w:type="dxa"/>
            <w:vAlign w:val="center"/>
          </w:tcPr>
          <w:p w14:paraId="6147EBE7">
            <w:pPr>
              <w:keepNext w:val="0"/>
              <w:keepLines w:val="0"/>
              <w:pageBreakBefore w:val="0"/>
              <w:kinsoku/>
              <w:wordWrap/>
              <w:overflowPunct/>
              <w:topLinePunct w:val="0"/>
              <w:autoSpaceDE/>
              <w:autoSpaceDN/>
              <w:bidi w:val="0"/>
              <w:snapToGrid w:val="0"/>
              <w:spacing w:line="300" w:lineRule="auto"/>
              <w:jc w:val="center"/>
              <w:textAlignment w:val="auto"/>
              <w:rPr>
                <w:rFonts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tcPr>
          <w:p w14:paraId="21FD1C87">
            <w:pPr>
              <w:keepNext w:val="0"/>
              <w:keepLines w:val="0"/>
              <w:pageBreakBefore w:val="0"/>
              <w:kinsoku/>
              <w:wordWrap/>
              <w:overflowPunct/>
              <w:topLinePunct w:val="0"/>
              <w:autoSpaceDE/>
              <w:autoSpaceDN/>
              <w:bidi w:val="0"/>
              <w:snapToGrid w:val="0"/>
              <w:spacing w:line="300" w:lineRule="auto"/>
              <w:textAlignment w:val="auto"/>
              <w:rPr>
                <w:rFonts w:ascii="宋体" w:hAnsi="宋体" w:cs="宋体"/>
                <w:color w:val="auto"/>
                <w:sz w:val="21"/>
                <w:szCs w:val="21"/>
                <w:highlight w:val="none"/>
              </w:rPr>
            </w:pPr>
          </w:p>
        </w:tc>
      </w:tr>
      <w:tr w14:paraId="745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8" w:type="dxa"/>
            <w:vAlign w:val="center"/>
          </w:tcPr>
          <w:p w14:paraId="364CDFED">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5890" w:type="dxa"/>
          </w:tcPr>
          <w:p w14:paraId="409DA947">
            <w:pPr>
              <w:keepNext w:val="0"/>
              <w:keepLines w:val="0"/>
              <w:pageBreakBefore w:val="0"/>
              <w:kinsoku/>
              <w:wordWrap/>
              <w:overflowPunct/>
              <w:topLinePunct w:val="0"/>
              <w:autoSpaceDE/>
              <w:autoSpaceDN/>
              <w:bidi w:val="0"/>
              <w:snapToGrid w:val="0"/>
              <w:spacing w:line="300" w:lineRule="auto"/>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有效最后报价的最低价作为评审基准价，其最低报价为满分；按［最后报价得分=（评审基准价/最后报价）*</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］的计算公式计算。</w:t>
            </w:r>
          </w:p>
          <w:p w14:paraId="7F9829D0">
            <w:pPr>
              <w:keepNext w:val="0"/>
              <w:keepLines w:val="0"/>
              <w:pageBreakBefore w:val="0"/>
              <w:widowControl/>
              <w:shd w:val="clear" w:color="auto" w:fill="FFFFFF"/>
              <w:kinsoku/>
              <w:wordWrap/>
              <w:overflowPunct/>
              <w:topLinePunct w:val="0"/>
              <w:autoSpaceDE/>
              <w:autoSpaceDN/>
              <w:bidi w:val="0"/>
              <w:adjustRightInd/>
              <w:snapToGrid w:val="0"/>
              <w:spacing w:line="300" w:lineRule="auto"/>
              <w:ind w:firstLine="42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评审过程中，不得去掉报价中的最高报价和最低报价。</w:t>
            </w:r>
          </w:p>
          <w:p w14:paraId="72BD9870">
            <w:pPr>
              <w:keepNext w:val="0"/>
              <w:keepLines w:val="0"/>
              <w:pageBreakBefore w:val="0"/>
              <w:widowControl/>
              <w:shd w:val="clear" w:color="auto" w:fill="FFFFFF"/>
              <w:kinsoku/>
              <w:wordWrap/>
              <w:overflowPunct/>
              <w:topLinePunct w:val="0"/>
              <w:autoSpaceDE/>
              <w:autoSpaceDN/>
              <w:bidi w:val="0"/>
              <w:adjustRightInd/>
              <w:snapToGrid w:val="0"/>
              <w:spacing w:line="300" w:lineRule="auto"/>
              <w:ind w:firstLine="420"/>
              <w:jc w:val="left"/>
              <w:textAlignment w:val="auto"/>
              <w:rPr>
                <w:rFonts w:ascii="宋体" w:hAnsi="宋体" w:cs="宋体"/>
                <w:color w:val="auto"/>
                <w:sz w:val="21"/>
                <w:szCs w:val="21"/>
                <w:highlight w:val="none"/>
              </w:rPr>
            </w:pPr>
            <w:r>
              <w:rPr>
                <w:rFonts w:hint="eastAsia" w:ascii="宋体" w:hAnsi="宋体" w:cs="宋体"/>
                <w:b/>
                <w:bCs/>
                <w:color w:val="auto"/>
                <w:sz w:val="21"/>
                <w:szCs w:val="21"/>
                <w:highlight w:val="none"/>
                <w:lang w:val="zh-CN"/>
              </w:rPr>
              <w:t>落实政府采购政策说明：本项目面向中小企业采购，不进行价格扣除或价格分加分。</w:t>
            </w:r>
          </w:p>
        </w:tc>
        <w:tc>
          <w:tcPr>
            <w:tcW w:w="791" w:type="dxa"/>
            <w:vAlign w:val="center"/>
          </w:tcPr>
          <w:p w14:paraId="5840847D">
            <w:pPr>
              <w:keepNext w:val="0"/>
              <w:keepLines w:val="0"/>
              <w:pageBreakBefore w:val="0"/>
              <w:kinsoku/>
              <w:wordWrap/>
              <w:overflowPunct/>
              <w:topLinePunct w:val="0"/>
              <w:autoSpaceDE/>
              <w:autoSpaceDN/>
              <w:bidi w:val="0"/>
              <w:snapToGrid w:val="0"/>
              <w:spacing w:line="300" w:lineRule="auto"/>
              <w:jc w:val="center"/>
              <w:textAlignment w:val="auto"/>
              <w:outlineLvl w:val="0"/>
              <w:rPr>
                <w:rFonts w:hint="default" w:ascii="宋体" w:hAnsi="宋体" w:cs="宋体"/>
                <w:bCs/>
                <w:color w:val="auto"/>
                <w:sz w:val="21"/>
                <w:szCs w:val="21"/>
                <w:highlight w:val="none"/>
                <w:lang w:val="en-US"/>
              </w:rPr>
            </w:pPr>
            <w:r>
              <w:rPr>
                <w:rFonts w:hint="eastAsia" w:ascii="宋体" w:hAnsi="宋体" w:cs="宋体"/>
                <w:bCs/>
                <w:color w:val="auto"/>
                <w:sz w:val="21"/>
                <w:szCs w:val="21"/>
                <w:highlight w:val="none"/>
                <w:lang w:val="en-US" w:eastAsia="zh-CN"/>
              </w:rPr>
              <w:t>10</w:t>
            </w:r>
          </w:p>
        </w:tc>
        <w:tc>
          <w:tcPr>
            <w:tcW w:w="1365" w:type="dxa"/>
            <w:vAlign w:val="center"/>
          </w:tcPr>
          <w:p w14:paraId="5000307E">
            <w:pPr>
              <w:keepNext w:val="0"/>
              <w:keepLines w:val="0"/>
              <w:pageBreakBefore w:val="0"/>
              <w:kinsoku/>
              <w:wordWrap/>
              <w:overflowPunct/>
              <w:topLinePunct w:val="0"/>
              <w:autoSpaceDE/>
              <w:autoSpaceDN/>
              <w:bidi w:val="0"/>
              <w:snapToGrid w:val="0"/>
              <w:spacing w:line="300" w:lineRule="auto"/>
              <w:jc w:val="center"/>
              <w:textAlignment w:val="auto"/>
              <w:outlineLvl w:val="0"/>
              <w:rPr>
                <w:rFonts w:hint="eastAsia" w:ascii="宋体" w:hAnsi="宋体" w:cs="宋体"/>
                <w:color w:val="auto"/>
                <w:sz w:val="21"/>
                <w:szCs w:val="21"/>
                <w:highlight w:val="none"/>
              </w:rPr>
            </w:pPr>
            <w:r>
              <w:rPr>
                <w:rFonts w:hint="eastAsia" w:ascii="宋体" w:hAnsi="宋体" w:cs="宋体"/>
                <w:bCs/>
                <w:color w:val="auto"/>
                <w:sz w:val="24"/>
                <w:highlight w:val="none"/>
                <w:lang w:val="en-US" w:eastAsia="zh-CN"/>
              </w:rPr>
              <w:t>客观分</w:t>
            </w:r>
          </w:p>
        </w:tc>
        <w:tc>
          <w:tcPr>
            <w:tcW w:w="1656" w:type="dxa"/>
            <w:vAlign w:val="center"/>
          </w:tcPr>
          <w:p w14:paraId="437A6AA4">
            <w:pPr>
              <w:keepNext w:val="0"/>
              <w:keepLines w:val="0"/>
              <w:pageBreakBefore w:val="0"/>
              <w:kinsoku/>
              <w:wordWrap/>
              <w:overflowPunct/>
              <w:topLinePunct w:val="0"/>
              <w:autoSpaceDE/>
              <w:autoSpaceDN/>
              <w:bidi w:val="0"/>
              <w:snapToGrid w:val="0"/>
              <w:spacing w:line="300" w:lineRule="auto"/>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5654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08" w:type="dxa"/>
            <w:vAlign w:val="center"/>
          </w:tcPr>
          <w:p w14:paraId="7A011AA6">
            <w:pPr>
              <w:snapToGrid w:val="0"/>
              <w:ind w:firstLine="240" w:firstLineChars="100"/>
              <w:outlineLvl w:val="0"/>
              <w:rPr>
                <w:rFonts w:ascii="宋体" w:hAnsi="宋体" w:cs="宋体"/>
                <w:color w:val="auto"/>
                <w:sz w:val="24"/>
                <w:highlight w:val="none"/>
              </w:rPr>
            </w:pPr>
          </w:p>
        </w:tc>
        <w:tc>
          <w:tcPr>
            <w:tcW w:w="5890" w:type="dxa"/>
          </w:tcPr>
          <w:p w14:paraId="6E4FD880">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w:t>
            </w:r>
          </w:p>
        </w:tc>
        <w:tc>
          <w:tcPr>
            <w:tcW w:w="791" w:type="dxa"/>
            <w:vAlign w:val="center"/>
          </w:tcPr>
          <w:p w14:paraId="59C804C5">
            <w:pPr>
              <w:snapToGrid w:val="0"/>
              <w:ind w:firstLine="120" w:firstLineChars="50"/>
              <w:outlineLvl w:val="0"/>
              <w:rPr>
                <w:rFonts w:ascii="宋体" w:hAnsi="宋体" w:cs="宋体"/>
                <w:color w:val="auto"/>
                <w:sz w:val="24"/>
                <w:highlight w:val="none"/>
              </w:rPr>
            </w:pPr>
          </w:p>
        </w:tc>
        <w:tc>
          <w:tcPr>
            <w:tcW w:w="1365" w:type="dxa"/>
            <w:vAlign w:val="center"/>
          </w:tcPr>
          <w:p w14:paraId="09305F8A">
            <w:pPr>
              <w:snapToGrid w:val="0"/>
              <w:jc w:val="center"/>
              <w:outlineLvl w:val="0"/>
              <w:rPr>
                <w:rFonts w:ascii="宋体" w:hAnsi="宋体" w:cs="宋体"/>
                <w:color w:val="auto"/>
                <w:sz w:val="24"/>
                <w:highlight w:val="none"/>
              </w:rPr>
            </w:pPr>
          </w:p>
        </w:tc>
        <w:tc>
          <w:tcPr>
            <w:tcW w:w="1656" w:type="dxa"/>
            <w:vAlign w:val="center"/>
          </w:tcPr>
          <w:p w14:paraId="3520A63F">
            <w:pPr>
              <w:snapToGrid w:val="0"/>
              <w:jc w:val="center"/>
              <w:outlineLvl w:val="0"/>
              <w:rPr>
                <w:rFonts w:ascii="宋体" w:hAnsi="宋体" w:cs="宋体"/>
                <w:color w:val="auto"/>
                <w:sz w:val="24"/>
                <w:highlight w:val="none"/>
              </w:rPr>
            </w:pPr>
          </w:p>
        </w:tc>
      </w:tr>
    </w:tbl>
    <w:p w14:paraId="649929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67BDA3C1">
      <w:pPr>
        <w:pStyle w:val="25"/>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0"/>
    <w:p w14:paraId="4DB75B67">
      <w:pPr>
        <w:spacing w:line="360" w:lineRule="auto"/>
        <w:jc w:val="center"/>
        <w:outlineLvl w:val="0"/>
        <w:rPr>
          <w:rFonts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t>第五部分 拟签订的合同文本</w:t>
      </w:r>
    </w:p>
    <w:p w14:paraId="34292C69">
      <w:pPr>
        <w:ind w:right="2690"/>
        <w:jc w:val="right"/>
        <w:rPr>
          <w:rFonts w:hAnsi="宋体" w:cs="宋体"/>
          <w:b/>
          <w:color w:val="auto"/>
          <w:szCs w:val="28"/>
          <w:highlight w:val="none"/>
        </w:rPr>
      </w:pPr>
      <w:bookmarkStart w:id="398" w:name="_Toc97299497"/>
      <w:bookmarkStart w:id="399" w:name="_Toc32130"/>
    </w:p>
    <w:p w14:paraId="4FA234FB">
      <w:pPr>
        <w:ind w:right="2690"/>
        <w:jc w:val="right"/>
        <w:rPr>
          <w:rFonts w:hAnsi="宋体" w:cs="宋体"/>
          <w:b/>
          <w:color w:val="auto"/>
          <w:sz w:val="24"/>
          <w:highlight w:val="none"/>
        </w:rPr>
      </w:pPr>
      <w:r>
        <w:rPr>
          <w:rFonts w:hAnsi="宋体" w:cs="宋体"/>
          <w:b/>
          <w:color w:val="auto"/>
          <w:sz w:val="24"/>
          <w:highlight w:val="none"/>
        </w:rPr>
        <w:t>合同编号：</w:t>
      </w:r>
    </w:p>
    <w:bookmarkEnd w:id="398"/>
    <w:bookmarkEnd w:id="399"/>
    <w:p w14:paraId="4F9DD5EA">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8"/>
          <w:szCs w:val="20"/>
          <w:highlight w:val="none"/>
        </w:rPr>
        <w:t>第一部分  合同协议书</w:t>
      </w:r>
    </w:p>
    <w:p w14:paraId="314626B9">
      <w:pPr>
        <w:adjustRightInd w:val="0"/>
        <w:snapToGrid w:val="0"/>
        <w:spacing w:line="360" w:lineRule="auto"/>
        <w:rPr>
          <w:rFonts w:hint="eastAsia" w:hAnsi="宋体"/>
          <w:color w:val="auto"/>
          <w:szCs w:val="21"/>
          <w:highlight w:val="none"/>
        </w:rPr>
      </w:pPr>
      <w:r>
        <w:rPr>
          <w:rFonts w:hint="eastAsia" w:hAnsi="宋体"/>
          <w:color w:val="auto"/>
          <w:szCs w:val="21"/>
          <w:highlight w:val="none"/>
        </w:rPr>
        <w:t>发包人（全称）：</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p>
    <w:p w14:paraId="52D6A3C4">
      <w:pPr>
        <w:adjustRightInd w:val="0"/>
        <w:snapToGrid w:val="0"/>
        <w:spacing w:line="360" w:lineRule="auto"/>
        <w:rPr>
          <w:rFonts w:hint="eastAsia" w:hAnsi="宋体" w:cs="仿宋_GB2312"/>
          <w:color w:val="auto"/>
          <w:szCs w:val="21"/>
          <w:highlight w:val="none"/>
          <w:u w:val="single"/>
        </w:rPr>
      </w:pPr>
      <w:r>
        <w:rPr>
          <w:rFonts w:hint="eastAsia" w:hAnsi="宋体"/>
          <w:color w:val="auto"/>
          <w:szCs w:val="21"/>
          <w:highlight w:val="none"/>
        </w:rPr>
        <w:t>承包人（全称）：</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p>
    <w:p w14:paraId="0E38324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lang w:val="en-US" w:eastAsia="zh-CN"/>
        </w:rPr>
        <w:t>根据</w:t>
      </w:r>
      <w:r>
        <w:rPr>
          <w:rFonts w:hint="eastAsia" w:hAnsi="宋体"/>
          <w:color w:val="auto"/>
          <w:szCs w:val="21"/>
          <w:highlight w:val="none"/>
        </w:rPr>
        <w:t>《</w:t>
      </w:r>
      <w:r>
        <w:rPr>
          <w:rFonts w:hint="eastAsia" w:hAnsi="宋体"/>
          <w:color w:val="auto"/>
          <w:szCs w:val="21"/>
          <w:highlight w:val="none"/>
          <w:lang w:val="en-US" w:eastAsia="zh-CN"/>
        </w:rPr>
        <w:t>民法典</w:t>
      </w:r>
      <w:r>
        <w:rPr>
          <w:rFonts w:hint="eastAsia" w:hAnsi="宋体"/>
          <w:color w:val="auto"/>
          <w:szCs w:val="21"/>
          <w:highlight w:val="none"/>
        </w:rPr>
        <w:t>》、《中华人民共和国建筑法》及有关法律规定，遵循平等、自愿、公平和诚实信用的原则，双方就</w:t>
      </w:r>
      <w:r>
        <w:rPr>
          <w:rFonts w:hint="eastAsia" w:hAnsi="宋体"/>
          <w:color w:val="auto"/>
          <w:szCs w:val="21"/>
          <w:highlight w:val="none"/>
          <w:u w:val="single"/>
        </w:rPr>
        <w:t xml:space="preserve">                 </w:t>
      </w:r>
      <w:r>
        <w:rPr>
          <w:rFonts w:hint="eastAsia" w:hAnsi="宋体"/>
          <w:color w:val="auto"/>
          <w:szCs w:val="21"/>
          <w:highlight w:val="none"/>
        </w:rPr>
        <w:t>施工及有关事项协商一致，共同达成如下协议：</w:t>
      </w:r>
    </w:p>
    <w:p w14:paraId="084AC591">
      <w:pPr>
        <w:adjustRightInd w:val="0"/>
        <w:snapToGrid w:val="0"/>
        <w:spacing w:line="360" w:lineRule="auto"/>
        <w:ind w:firstLine="420" w:firstLineChars="200"/>
        <w:rPr>
          <w:rFonts w:hint="eastAsia" w:hAnsi="宋体"/>
          <w:color w:val="auto"/>
          <w:szCs w:val="21"/>
          <w:highlight w:val="none"/>
        </w:rPr>
      </w:pPr>
      <w:bookmarkStart w:id="400" w:name="_Toc351203481"/>
      <w:r>
        <w:rPr>
          <w:rFonts w:hint="eastAsia" w:hAnsi="宋体"/>
          <w:color w:val="auto"/>
          <w:szCs w:val="21"/>
          <w:highlight w:val="none"/>
        </w:rPr>
        <w:t>一、工程概况</w:t>
      </w:r>
      <w:bookmarkEnd w:id="400"/>
    </w:p>
    <w:p w14:paraId="2B84354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1.工程名称：</w:t>
      </w:r>
      <w:r>
        <w:rPr>
          <w:rFonts w:hint="eastAsia" w:hAnsi="宋体"/>
          <w:color w:val="auto"/>
          <w:szCs w:val="21"/>
          <w:highlight w:val="none"/>
          <w:u w:val="single"/>
          <w:lang w:eastAsia="zh-CN"/>
        </w:rPr>
        <w:t>杭州市人民职业学校食堂内部环境提升改造项目</w:t>
      </w:r>
      <w:r>
        <w:rPr>
          <w:rFonts w:hint="eastAsia" w:hAnsi="宋体"/>
          <w:color w:val="auto"/>
          <w:szCs w:val="21"/>
          <w:highlight w:val="none"/>
        </w:rPr>
        <w:t>。</w:t>
      </w:r>
    </w:p>
    <w:p w14:paraId="40C3B30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2.工程地点：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2323B51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3.工程立项批准文号：</w:t>
      </w:r>
      <w:r>
        <w:rPr>
          <w:rFonts w:hint="eastAsia" w:hAnsi="宋体"/>
          <w:color w:val="auto"/>
          <w:szCs w:val="21"/>
          <w:highlight w:val="none"/>
          <w:u w:val="single"/>
        </w:rPr>
        <w:t xml:space="preserve">    /         </w:t>
      </w:r>
      <w:r>
        <w:rPr>
          <w:rFonts w:hint="eastAsia" w:hAnsi="宋体"/>
          <w:color w:val="auto"/>
          <w:szCs w:val="21"/>
          <w:highlight w:val="none"/>
        </w:rPr>
        <w:t>。</w:t>
      </w:r>
    </w:p>
    <w:p w14:paraId="1DB6C3A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4.资金来源：</w:t>
      </w:r>
      <w:r>
        <w:rPr>
          <w:rFonts w:hint="eastAsia" w:hAnsi="宋体"/>
          <w:color w:val="auto"/>
          <w:szCs w:val="21"/>
          <w:highlight w:val="none"/>
          <w:u w:val="single"/>
        </w:rPr>
        <w:t xml:space="preserve">     </w:t>
      </w:r>
      <w:r>
        <w:rPr>
          <w:rFonts w:hint="eastAsia" w:hAnsi="宋体"/>
          <w:color w:val="auto"/>
          <w:szCs w:val="21"/>
          <w:highlight w:val="none"/>
        </w:rPr>
        <w:t>。</w:t>
      </w:r>
    </w:p>
    <w:p w14:paraId="601D42B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5.工程内容：</w:t>
      </w:r>
      <w:r>
        <w:rPr>
          <w:rFonts w:hint="eastAsia" w:hAnsi="宋体"/>
          <w:color w:val="auto"/>
          <w:szCs w:val="21"/>
          <w:highlight w:val="none"/>
          <w:u w:val="single"/>
        </w:rPr>
        <w:t>竞争性磋商采购文件及其所附用户需求所包含全部内容</w:t>
      </w:r>
      <w:r>
        <w:rPr>
          <w:rFonts w:hint="eastAsia" w:hAnsi="宋体"/>
          <w:color w:val="auto"/>
          <w:szCs w:val="21"/>
          <w:highlight w:val="none"/>
        </w:rPr>
        <w:t>。</w:t>
      </w:r>
    </w:p>
    <w:p w14:paraId="401B40F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群体工程应附《承包人承揽工程项目一览表》（附件1）。</w:t>
      </w:r>
    </w:p>
    <w:p w14:paraId="5256725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6.工程承包范围：</w:t>
      </w:r>
      <w:r>
        <w:rPr>
          <w:rFonts w:hint="eastAsia" w:hAnsi="宋体"/>
          <w:color w:val="auto"/>
          <w:szCs w:val="21"/>
          <w:highlight w:val="none"/>
          <w:u w:val="single"/>
        </w:rPr>
        <w:t>具体用户需求。</w:t>
      </w:r>
    </w:p>
    <w:p w14:paraId="24B81181">
      <w:pPr>
        <w:adjustRightInd w:val="0"/>
        <w:snapToGrid w:val="0"/>
        <w:spacing w:line="360" w:lineRule="auto"/>
        <w:ind w:firstLine="420" w:firstLineChars="200"/>
        <w:rPr>
          <w:rFonts w:hint="eastAsia" w:hAnsi="宋体"/>
          <w:color w:val="auto"/>
          <w:szCs w:val="21"/>
          <w:highlight w:val="none"/>
        </w:rPr>
      </w:pPr>
      <w:bookmarkStart w:id="401" w:name="_Toc351203482"/>
      <w:r>
        <w:rPr>
          <w:rFonts w:hint="eastAsia" w:hAnsi="宋体"/>
          <w:color w:val="auto"/>
          <w:szCs w:val="21"/>
          <w:highlight w:val="none"/>
        </w:rPr>
        <w:t>二、合同工期</w:t>
      </w:r>
      <w:bookmarkEnd w:id="401"/>
    </w:p>
    <w:p w14:paraId="6EC812A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计划开工日期：</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 xml:space="preserve"> </w:t>
      </w:r>
      <w:r>
        <w:rPr>
          <w:rFonts w:hint="eastAsia" w:hAnsi="宋体"/>
          <w:color w:val="auto"/>
          <w:szCs w:val="21"/>
          <w:highlight w:val="none"/>
        </w:rPr>
        <w:t>年</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w:t>
      </w:r>
      <w:r>
        <w:rPr>
          <w:rFonts w:hint="eastAsia" w:hAnsi="宋体"/>
          <w:color w:val="auto"/>
          <w:szCs w:val="21"/>
          <w:highlight w:val="none"/>
        </w:rPr>
        <w:t>月</w:t>
      </w:r>
      <w:r>
        <w:rPr>
          <w:rFonts w:hint="eastAsia" w:ascii="MingLiU_HKSCS" w:hAnsi="MingLiU_HKSCS" w:cs="MingLiU_HKSCS"/>
          <w:color w:val="auto"/>
          <w:szCs w:val="21"/>
          <w:highlight w:val="none"/>
          <w:u w:val="single"/>
        </w:rPr>
        <w:t xml:space="preserve">   </w:t>
      </w:r>
      <w:r>
        <w:rPr>
          <w:rFonts w:hint="eastAsia" w:ascii="MingLiU_HKSCS" w:hAnsi="MingLiU_HKSCS" w:cs="MingLiU_HKSCS"/>
          <w:color w:val="auto"/>
          <w:szCs w:val="21"/>
          <w:highlight w:val="none"/>
          <w:u w:val="single"/>
          <w:lang w:val="en-US" w:eastAsia="zh-CN"/>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日</w:t>
      </w:r>
    </w:p>
    <w:p w14:paraId="3698A02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计划竣工日期：</w:t>
      </w:r>
      <w:r>
        <w:rPr>
          <w:rFonts w:hint="eastAsia" w:ascii="MingLiU_HKSCS" w:hAnsi="MingLiU_HKSCS" w:cs="MingLiU_HKSCS"/>
          <w:color w:val="auto"/>
          <w:szCs w:val="21"/>
          <w:highlight w:val="none"/>
          <w:u w:val="single"/>
        </w:rPr>
        <w:t xml:space="preserve">   </w:t>
      </w:r>
      <w:r>
        <w:rPr>
          <w:rFonts w:hint="eastAsia" w:ascii="MingLiU_HKSCS" w:hAnsi="MingLiU_HKSCS" w:cs="MingLiU_HKSCS"/>
          <w:color w:val="auto"/>
          <w:szCs w:val="21"/>
          <w:highlight w:val="none"/>
          <w:u w:val="single"/>
          <w:lang w:val="en-US" w:eastAsia="zh-CN"/>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年</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月</w:t>
      </w:r>
      <w:r>
        <w:rPr>
          <w:rFonts w:hint="eastAsia" w:ascii="MingLiU_HKSCS" w:hAnsi="MingLiU_HKSCS" w:cs="MingLiU_HKSCS"/>
          <w:color w:val="auto"/>
          <w:szCs w:val="21"/>
          <w:highlight w:val="none"/>
          <w:u w:val="single"/>
        </w:rPr>
        <w:t xml:space="preserve">   </w:t>
      </w:r>
      <w:r>
        <w:rPr>
          <w:rFonts w:hint="eastAsia" w:ascii="MingLiU_HKSCS" w:hAnsi="MingLiU_HKSCS" w:cs="MingLiU_HKSCS"/>
          <w:color w:val="auto"/>
          <w:szCs w:val="21"/>
          <w:highlight w:val="none"/>
          <w:u w:val="single"/>
          <w:lang w:val="en-US" w:eastAsia="zh-CN"/>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日</w:t>
      </w:r>
    </w:p>
    <w:p w14:paraId="7AFE9A8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工期总日历天数：</w:t>
      </w:r>
      <w:r>
        <w:rPr>
          <w:rFonts w:hint="eastAsia" w:hAnsi="宋体" w:cs="仿宋_GB2312"/>
          <w:color w:val="auto"/>
          <w:szCs w:val="21"/>
          <w:highlight w:val="none"/>
          <w:u w:val="single"/>
        </w:rPr>
        <w:t></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rPr>
        <w:t></w:t>
      </w:r>
      <w:r>
        <w:rPr>
          <w:rFonts w:hint="eastAsia" w:hAnsi="宋体"/>
          <w:color w:val="auto"/>
          <w:szCs w:val="21"/>
          <w:highlight w:val="none"/>
        </w:rPr>
        <w:t>天。工期总日历天数与根据前述计划开竣工日期计算的工期天数不一致的，以工期总日历天数为准。</w:t>
      </w:r>
    </w:p>
    <w:p w14:paraId="36AA62AA">
      <w:pPr>
        <w:adjustRightInd w:val="0"/>
        <w:snapToGrid w:val="0"/>
        <w:spacing w:line="360" w:lineRule="auto"/>
        <w:ind w:firstLine="420" w:firstLineChars="200"/>
        <w:rPr>
          <w:rFonts w:hint="eastAsia" w:hAnsi="宋体"/>
          <w:color w:val="auto"/>
          <w:szCs w:val="21"/>
          <w:highlight w:val="none"/>
        </w:rPr>
      </w:pPr>
      <w:bookmarkStart w:id="402" w:name="_Toc351203483"/>
      <w:r>
        <w:rPr>
          <w:rFonts w:hint="eastAsia" w:hAnsi="宋体"/>
          <w:color w:val="auto"/>
          <w:szCs w:val="21"/>
          <w:highlight w:val="none"/>
        </w:rPr>
        <w:t>三、质量标准</w:t>
      </w:r>
      <w:bookmarkEnd w:id="402"/>
    </w:p>
    <w:p w14:paraId="36959EB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工程质量符合</w:t>
      </w:r>
      <w:r>
        <w:rPr>
          <w:rFonts w:hint="eastAsia" w:hAnsi="宋体" w:cs="仿宋_GB2312"/>
          <w:color w:val="auto"/>
          <w:szCs w:val="21"/>
          <w:highlight w:val="none"/>
          <w:u w:val="single"/>
        </w:rPr>
        <w:t>工程施工质量验收规范合格</w:t>
      </w:r>
      <w:r>
        <w:rPr>
          <w:rFonts w:hint="eastAsia" w:hAnsi="宋体"/>
          <w:color w:val="auto"/>
          <w:szCs w:val="21"/>
          <w:highlight w:val="none"/>
        </w:rPr>
        <w:t>标准。</w:t>
      </w:r>
    </w:p>
    <w:p w14:paraId="6761DAF4">
      <w:pPr>
        <w:adjustRightInd w:val="0"/>
        <w:snapToGrid w:val="0"/>
        <w:spacing w:line="360" w:lineRule="auto"/>
        <w:ind w:firstLine="420" w:firstLineChars="200"/>
        <w:rPr>
          <w:rFonts w:hint="eastAsia" w:hAnsi="宋体"/>
          <w:color w:val="auto"/>
          <w:szCs w:val="21"/>
          <w:highlight w:val="none"/>
        </w:rPr>
      </w:pPr>
      <w:bookmarkStart w:id="403" w:name="_Toc351203484"/>
      <w:r>
        <w:rPr>
          <w:rFonts w:hint="eastAsia" w:hAnsi="宋体"/>
          <w:color w:val="auto"/>
          <w:szCs w:val="21"/>
          <w:highlight w:val="none"/>
        </w:rPr>
        <w:t>四、签约合同价与合同价格形式</w:t>
      </w:r>
      <w:bookmarkEnd w:id="403"/>
      <w:r>
        <w:rPr>
          <w:rFonts w:hint="eastAsia" w:hAnsi="宋体"/>
          <w:color w:val="auto"/>
          <w:szCs w:val="21"/>
          <w:highlight w:val="none"/>
        </w:rPr>
        <w:tab/>
      </w:r>
    </w:p>
    <w:p w14:paraId="04E2941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1.签约合同价为：</w:t>
      </w:r>
    </w:p>
    <w:p w14:paraId="3BAD5D2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2123278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其中：</w:t>
      </w:r>
    </w:p>
    <w:p w14:paraId="5BA6D28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（1）安全文明施工费：</w:t>
      </w:r>
    </w:p>
    <w:p w14:paraId="4ED68E2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168C1CB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（2）材料和工程设备暂估价金额：</w:t>
      </w:r>
    </w:p>
    <w:p w14:paraId="4A99C95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118C221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（3）专业工程暂估价金额：</w:t>
      </w:r>
    </w:p>
    <w:p w14:paraId="547A85D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p w14:paraId="1D0216B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（4）暂列金额：</w:t>
      </w:r>
    </w:p>
    <w:p w14:paraId="278BBC2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人民币（大写）</w:t>
      </w:r>
      <w:r>
        <w:rPr>
          <w:rFonts w:hint="eastAsia" w:hAnsi="宋体"/>
          <w:color w:val="auto"/>
          <w:szCs w:val="21"/>
          <w:highlight w:val="none"/>
          <w:u w:val="single"/>
        </w:rPr>
        <w:t xml:space="preserve">      /           </w:t>
      </w:r>
      <w:r>
        <w:rPr>
          <w:rFonts w:hint="eastAsia" w:hAnsi="宋体"/>
          <w:color w:val="auto"/>
          <w:szCs w:val="21"/>
          <w:highlight w:val="none"/>
        </w:rPr>
        <w:t>(¥</w:t>
      </w:r>
      <w:r>
        <w:rPr>
          <w:rFonts w:hint="eastAsia" w:hAnsi="宋体"/>
          <w:color w:val="auto"/>
          <w:szCs w:val="21"/>
          <w:highlight w:val="none"/>
          <w:u w:val="single"/>
        </w:rPr>
        <w:t xml:space="preserve">     /     </w:t>
      </w:r>
      <w:r>
        <w:rPr>
          <w:rFonts w:hint="eastAsia" w:hAnsi="宋体"/>
          <w:color w:val="auto"/>
          <w:szCs w:val="21"/>
          <w:highlight w:val="none"/>
        </w:rPr>
        <w:t>元)。</w:t>
      </w:r>
    </w:p>
    <w:p w14:paraId="46FDBDA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2.合同价格形式：</w:t>
      </w:r>
      <w:r>
        <w:rPr>
          <w:rFonts w:hint="eastAsia" w:hAnsi="宋体" w:cs="仿宋_GB2312"/>
          <w:color w:val="auto"/>
          <w:szCs w:val="21"/>
          <w:highlight w:val="none"/>
          <w:u w:val="single"/>
        </w:rPr>
        <w:t>总价包干</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79840C50">
      <w:pPr>
        <w:adjustRightInd w:val="0"/>
        <w:snapToGrid w:val="0"/>
        <w:spacing w:line="360" w:lineRule="auto"/>
        <w:ind w:firstLine="420" w:firstLineChars="200"/>
        <w:rPr>
          <w:rFonts w:hint="eastAsia" w:hAnsi="宋体"/>
          <w:color w:val="auto"/>
          <w:szCs w:val="21"/>
          <w:highlight w:val="none"/>
        </w:rPr>
      </w:pPr>
      <w:bookmarkStart w:id="404" w:name="_Toc351203485"/>
      <w:r>
        <w:rPr>
          <w:rFonts w:hint="eastAsia" w:hAnsi="宋体"/>
          <w:color w:val="auto"/>
          <w:szCs w:val="21"/>
          <w:highlight w:val="none"/>
        </w:rPr>
        <w:t>五、</w:t>
      </w:r>
      <w:bookmarkEnd w:id="404"/>
      <w:r>
        <w:rPr>
          <w:rFonts w:hint="eastAsia" w:hAnsi="宋体"/>
          <w:color w:val="auto"/>
          <w:szCs w:val="21"/>
          <w:highlight w:val="none"/>
        </w:rPr>
        <w:t>项目经理</w:t>
      </w:r>
    </w:p>
    <w:p w14:paraId="7416033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承包人项目经理：</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338F282E">
      <w:pPr>
        <w:adjustRightInd w:val="0"/>
        <w:snapToGrid w:val="0"/>
        <w:spacing w:line="360" w:lineRule="auto"/>
        <w:ind w:firstLine="420" w:firstLineChars="200"/>
        <w:rPr>
          <w:rFonts w:hint="eastAsia" w:hAnsi="宋体"/>
          <w:color w:val="auto"/>
          <w:szCs w:val="21"/>
          <w:highlight w:val="none"/>
        </w:rPr>
      </w:pPr>
      <w:bookmarkStart w:id="405" w:name="_Toc351203486"/>
      <w:r>
        <w:rPr>
          <w:rFonts w:hint="eastAsia" w:hAnsi="宋体"/>
          <w:color w:val="auto"/>
          <w:szCs w:val="21"/>
          <w:highlight w:val="none"/>
        </w:rPr>
        <w:t>六、合同文件构成</w:t>
      </w:r>
      <w:bookmarkEnd w:id="405"/>
    </w:p>
    <w:p w14:paraId="5F7A48C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本协议书与下列文件一起构成合同文件：</w:t>
      </w:r>
    </w:p>
    <w:p w14:paraId="02AE5442">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成交通知书；</w:t>
      </w:r>
    </w:p>
    <w:p w14:paraId="2CA66EF5">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磋商响应函及其附录（如果有）</w:t>
      </w:r>
    </w:p>
    <w:p w14:paraId="3B5ABB5F">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专用合同条款及其附件；</w:t>
      </w:r>
    </w:p>
    <w:p w14:paraId="7E1F9B46">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通用合同条款；</w:t>
      </w:r>
    </w:p>
    <w:p w14:paraId="4E641D5B">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技术标准和要求；</w:t>
      </w:r>
    </w:p>
    <w:p w14:paraId="161EE109">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图纸 ；（如有）</w:t>
      </w:r>
    </w:p>
    <w:p w14:paraId="73F94274">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已标价工程量清单或预算书；</w:t>
      </w:r>
    </w:p>
    <w:p w14:paraId="53F8C744">
      <w:pPr>
        <w:numPr>
          <w:ilvl w:val="0"/>
          <w:numId w:val="2"/>
        </w:numPr>
        <w:adjustRightInd w:val="0"/>
        <w:snapToGrid w:val="0"/>
        <w:spacing w:line="360" w:lineRule="auto"/>
        <w:ind w:hanging="5"/>
        <w:rPr>
          <w:rFonts w:hint="eastAsia" w:ascii="宋体" w:hAnsi="宋体" w:cs="宋体"/>
          <w:color w:val="auto"/>
          <w:szCs w:val="21"/>
          <w:highlight w:val="none"/>
        </w:rPr>
      </w:pPr>
      <w:r>
        <w:rPr>
          <w:rFonts w:hint="eastAsia" w:ascii="宋体" w:hAnsi="宋体" w:cs="宋体"/>
          <w:color w:val="auto"/>
          <w:szCs w:val="21"/>
          <w:highlight w:val="none"/>
        </w:rPr>
        <w:t>其他合同文件。</w:t>
      </w:r>
    </w:p>
    <w:p w14:paraId="12BD071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在合同订立及履行过程中形成的与合同有关的文件均构成合同文件组成部分。</w:t>
      </w:r>
    </w:p>
    <w:p w14:paraId="1F6B393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3948B5DB">
      <w:pPr>
        <w:adjustRightInd w:val="0"/>
        <w:snapToGrid w:val="0"/>
        <w:spacing w:line="360" w:lineRule="auto"/>
        <w:ind w:firstLine="420" w:firstLineChars="200"/>
        <w:rPr>
          <w:rFonts w:hint="eastAsia" w:hAnsi="宋体"/>
          <w:color w:val="auto"/>
          <w:szCs w:val="21"/>
          <w:highlight w:val="none"/>
        </w:rPr>
      </w:pPr>
      <w:bookmarkStart w:id="406" w:name="_Toc351203487"/>
      <w:r>
        <w:rPr>
          <w:rFonts w:hint="eastAsia" w:hAnsi="宋体"/>
          <w:color w:val="auto"/>
          <w:szCs w:val="21"/>
          <w:highlight w:val="none"/>
        </w:rPr>
        <w:t>七、承诺</w:t>
      </w:r>
      <w:bookmarkEnd w:id="406"/>
    </w:p>
    <w:p w14:paraId="3D426F2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1.发包人承诺按照法律规定履行项目审批手续、筹集工程建设资金并按照合同约定的期限和方式支付合同价款。</w:t>
      </w:r>
    </w:p>
    <w:p w14:paraId="0CB9C35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38F632A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3.发包人和承包人通过招投标形式签订合同的，双方理解并承诺不再就同一工程另行签订与合同实质性内容相背离的协议。</w:t>
      </w:r>
    </w:p>
    <w:p w14:paraId="04234FCD">
      <w:pPr>
        <w:adjustRightInd w:val="0"/>
        <w:snapToGrid w:val="0"/>
        <w:spacing w:line="360" w:lineRule="auto"/>
        <w:ind w:firstLine="420" w:firstLineChars="200"/>
        <w:rPr>
          <w:rFonts w:hint="eastAsia" w:hAnsi="宋体"/>
          <w:color w:val="auto"/>
          <w:szCs w:val="21"/>
          <w:highlight w:val="none"/>
        </w:rPr>
      </w:pPr>
      <w:bookmarkStart w:id="407" w:name="_Toc351203488"/>
      <w:r>
        <w:rPr>
          <w:rFonts w:hint="eastAsia" w:hAnsi="宋体"/>
          <w:color w:val="auto"/>
          <w:szCs w:val="21"/>
          <w:highlight w:val="none"/>
        </w:rPr>
        <w:t>八、词语含义</w:t>
      </w:r>
      <w:bookmarkEnd w:id="407"/>
    </w:p>
    <w:p w14:paraId="06AE012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本协议书中词语含义与第二部分通用合同条款中赋予的含义相同。</w:t>
      </w:r>
    </w:p>
    <w:p w14:paraId="32952848">
      <w:pPr>
        <w:adjustRightInd w:val="0"/>
        <w:snapToGrid w:val="0"/>
        <w:spacing w:line="360" w:lineRule="auto"/>
        <w:ind w:firstLine="420" w:firstLineChars="200"/>
        <w:rPr>
          <w:rFonts w:hint="eastAsia" w:hAnsi="宋体"/>
          <w:color w:val="auto"/>
          <w:szCs w:val="21"/>
          <w:highlight w:val="none"/>
        </w:rPr>
      </w:pPr>
      <w:bookmarkStart w:id="408" w:name="_Toc351203489"/>
      <w:r>
        <w:rPr>
          <w:rFonts w:hint="eastAsia" w:hAnsi="宋体"/>
          <w:color w:val="auto"/>
          <w:szCs w:val="21"/>
          <w:highlight w:val="none"/>
        </w:rPr>
        <w:t>九、签订时间</w:t>
      </w:r>
      <w:bookmarkEnd w:id="408"/>
    </w:p>
    <w:p w14:paraId="54528F8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本合同于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日签订。</w:t>
      </w:r>
    </w:p>
    <w:p w14:paraId="12B5A9D4">
      <w:pPr>
        <w:adjustRightInd w:val="0"/>
        <w:snapToGrid w:val="0"/>
        <w:spacing w:line="360" w:lineRule="auto"/>
        <w:ind w:firstLine="420" w:firstLineChars="200"/>
        <w:rPr>
          <w:rFonts w:hint="eastAsia" w:hAnsi="宋体"/>
          <w:color w:val="auto"/>
          <w:szCs w:val="21"/>
          <w:highlight w:val="none"/>
        </w:rPr>
      </w:pPr>
      <w:bookmarkStart w:id="409" w:name="_Toc351203490"/>
      <w:r>
        <w:rPr>
          <w:rFonts w:hint="eastAsia" w:hAnsi="宋体"/>
          <w:color w:val="auto"/>
          <w:szCs w:val="21"/>
          <w:highlight w:val="none"/>
        </w:rPr>
        <w:t>十、签订地点</w:t>
      </w:r>
      <w:bookmarkEnd w:id="409"/>
    </w:p>
    <w:p w14:paraId="584FE353">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本合同在</w:t>
      </w:r>
      <w:r>
        <w:rPr>
          <w:rFonts w:hint="eastAsia" w:hAnsi="宋体"/>
          <w:color w:val="auto"/>
          <w:szCs w:val="21"/>
          <w:highlight w:val="none"/>
          <w:u w:val="single"/>
        </w:rPr>
        <w:t xml:space="preserve">                                    </w:t>
      </w:r>
      <w:r>
        <w:rPr>
          <w:rFonts w:hint="eastAsia" w:hAnsi="宋体"/>
          <w:color w:val="auto"/>
          <w:szCs w:val="21"/>
          <w:highlight w:val="none"/>
        </w:rPr>
        <w:t>签订。</w:t>
      </w:r>
    </w:p>
    <w:p w14:paraId="5BFC8C71">
      <w:pPr>
        <w:adjustRightInd w:val="0"/>
        <w:snapToGrid w:val="0"/>
        <w:spacing w:line="360" w:lineRule="auto"/>
        <w:ind w:firstLine="420" w:firstLineChars="200"/>
        <w:rPr>
          <w:rFonts w:hint="eastAsia" w:hAnsi="宋体"/>
          <w:color w:val="auto"/>
          <w:szCs w:val="21"/>
          <w:highlight w:val="none"/>
        </w:rPr>
      </w:pPr>
      <w:bookmarkStart w:id="410" w:name="_Toc351203491"/>
      <w:r>
        <w:rPr>
          <w:rFonts w:hint="eastAsia" w:hAnsi="宋体"/>
          <w:color w:val="auto"/>
          <w:szCs w:val="21"/>
          <w:highlight w:val="none"/>
        </w:rPr>
        <w:t>十一、补充协议</w:t>
      </w:r>
      <w:bookmarkEnd w:id="410"/>
    </w:p>
    <w:p w14:paraId="4C13ACA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合同未尽事宜，合同当事人另行签订补充协议，补充协议是合同的组成部分。</w:t>
      </w:r>
    </w:p>
    <w:p w14:paraId="38A013EF">
      <w:pPr>
        <w:adjustRightInd w:val="0"/>
        <w:snapToGrid w:val="0"/>
        <w:spacing w:line="360" w:lineRule="auto"/>
        <w:ind w:firstLine="420" w:firstLineChars="200"/>
        <w:rPr>
          <w:rFonts w:hint="eastAsia" w:hAnsi="宋体"/>
          <w:color w:val="auto"/>
          <w:szCs w:val="21"/>
          <w:highlight w:val="none"/>
        </w:rPr>
      </w:pPr>
      <w:bookmarkStart w:id="411" w:name="_Toc351203492"/>
      <w:r>
        <w:rPr>
          <w:rFonts w:hint="eastAsia" w:hAnsi="宋体"/>
          <w:color w:val="auto"/>
          <w:szCs w:val="21"/>
          <w:highlight w:val="none"/>
        </w:rPr>
        <w:t>十二、合同生效</w:t>
      </w:r>
      <w:bookmarkEnd w:id="411"/>
    </w:p>
    <w:p w14:paraId="42F6DCA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本合同自</w:t>
      </w:r>
      <w:r>
        <w:rPr>
          <w:rFonts w:hint="eastAsia" w:hAnsi="宋体"/>
          <w:color w:val="auto"/>
          <w:szCs w:val="21"/>
          <w:highlight w:val="none"/>
          <w:u w:val="single"/>
        </w:rPr>
        <w:t xml:space="preserve">      合同签订之日起     </w:t>
      </w:r>
      <w:r>
        <w:rPr>
          <w:rFonts w:hint="eastAsia" w:hAnsi="宋体"/>
          <w:color w:val="auto"/>
          <w:szCs w:val="21"/>
          <w:highlight w:val="none"/>
        </w:rPr>
        <w:t>生效。</w:t>
      </w:r>
    </w:p>
    <w:p w14:paraId="3E557973">
      <w:pPr>
        <w:adjustRightInd w:val="0"/>
        <w:snapToGrid w:val="0"/>
        <w:spacing w:line="360" w:lineRule="auto"/>
        <w:ind w:firstLine="420" w:firstLineChars="200"/>
        <w:rPr>
          <w:rFonts w:hint="eastAsia" w:hAnsi="宋体"/>
          <w:color w:val="auto"/>
          <w:szCs w:val="21"/>
          <w:highlight w:val="none"/>
        </w:rPr>
      </w:pPr>
      <w:bookmarkStart w:id="412" w:name="_Toc351203493"/>
      <w:r>
        <w:rPr>
          <w:rFonts w:hint="eastAsia" w:hAnsi="宋体"/>
          <w:color w:val="auto"/>
          <w:szCs w:val="21"/>
          <w:highlight w:val="none"/>
        </w:rPr>
        <w:t>十三、合同份数</w:t>
      </w:r>
      <w:bookmarkEnd w:id="412"/>
    </w:p>
    <w:p w14:paraId="216DE52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一式</w:t>
      </w:r>
      <w:r>
        <w:rPr>
          <w:rFonts w:hint="eastAsia" w:hAnsi="宋体"/>
          <w:color w:val="auto"/>
          <w:szCs w:val="21"/>
          <w:highlight w:val="none"/>
          <w:u w:val="single"/>
        </w:rPr>
        <w:t xml:space="preserve">  伍  </w:t>
      </w:r>
      <w:r>
        <w:rPr>
          <w:rFonts w:hint="eastAsia" w:hAnsi="宋体"/>
          <w:color w:val="auto"/>
          <w:szCs w:val="21"/>
          <w:highlight w:val="none"/>
        </w:rPr>
        <w:t>份，均具有同等法律效力，发包人执</w:t>
      </w:r>
      <w:r>
        <w:rPr>
          <w:rFonts w:hint="eastAsia" w:hAnsi="宋体"/>
          <w:color w:val="auto"/>
          <w:szCs w:val="21"/>
          <w:highlight w:val="none"/>
          <w:u w:val="single"/>
        </w:rPr>
        <w:t xml:space="preserve"> 三份 </w:t>
      </w:r>
      <w:r>
        <w:rPr>
          <w:rFonts w:hint="eastAsia" w:hAnsi="宋体"/>
          <w:color w:val="auto"/>
          <w:szCs w:val="21"/>
          <w:highlight w:val="none"/>
        </w:rPr>
        <w:t>，承包人、鉴证方各执</w:t>
      </w:r>
      <w:r>
        <w:rPr>
          <w:rFonts w:hint="eastAsia" w:hAnsi="宋体"/>
          <w:color w:val="auto"/>
          <w:szCs w:val="21"/>
          <w:highlight w:val="none"/>
          <w:u w:val="single"/>
        </w:rPr>
        <w:t xml:space="preserve"> 一份 </w:t>
      </w:r>
      <w:r>
        <w:rPr>
          <w:rFonts w:hint="eastAsia" w:hAnsi="宋体"/>
          <w:color w:val="auto"/>
          <w:szCs w:val="21"/>
          <w:highlight w:val="none"/>
        </w:rPr>
        <w:t>。</w:t>
      </w:r>
    </w:p>
    <w:p w14:paraId="49C80981">
      <w:pPr>
        <w:adjustRightInd w:val="0"/>
        <w:snapToGrid w:val="0"/>
        <w:spacing w:line="360" w:lineRule="auto"/>
        <w:rPr>
          <w:rFonts w:hint="eastAsia" w:ascii="宋体" w:hAnsi="宋体"/>
          <w:color w:val="auto"/>
          <w:szCs w:val="21"/>
          <w:highlight w:val="none"/>
        </w:rPr>
      </w:pPr>
    </w:p>
    <w:tbl>
      <w:tblPr>
        <w:tblStyle w:val="64"/>
        <w:tblW w:w="0" w:type="auto"/>
        <w:tblInd w:w="468" w:type="dxa"/>
        <w:tblLayout w:type="fixed"/>
        <w:tblCellMar>
          <w:top w:w="0" w:type="dxa"/>
          <w:left w:w="108" w:type="dxa"/>
          <w:bottom w:w="0" w:type="dxa"/>
          <w:right w:w="108" w:type="dxa"/>
        </w:tblCellMar>
      </w:tblPr>
      <w:tblGrid>
        <w:gridCol w:w="4209"/>
        <w:gridCol w:w="4548"/>
      </w:tblGrid>
      <w:tr w14:paraId="2176EBF7">
        <w:tblPrEx>
          <w:tblCellMar>
            <w:top w:w="0" w:type="dxa"/>
            <w:left w:w="108" w:type="dxa"/>
            <w:bottom w:w="0" w:type="dxa"/>
            <w:right w:w="108" w:type="dxa"/>
          </w:tblCellMar>
        </w:tblPrEx>
        <w:trPr>
          <w:trHeight w:val="3631" w:hRule="atLeast"/>
        </w:trPr>
        <w:tc>
          <w:tcPr>
            <w:tcW w:w="4209" w:type="dxa"/>
            <w:noWrap w:val="0"/>
            <w:vAlign w:val="top"/>
          </w:tcPr>
          <w:p w14:paraId="633B8642">
            <w:pPr>
              <w:adjustRightInd w:val="0"/>
              <w:snapToGrid w:val="0"/>
              <w:spacing w:line="360" w:lineRule="auto"/>
              <w:rPr>
                <w:rFonts w:hint="eastAsia" w:hAnsi="宋体"/>
                <w:color w:val="auto"/>
                <w:szCs w:val="21"/>
                <w:highlight w:val="none"/>
              </w:rPr>
            </w:pPr>
            <w:r>
              <w:rPr>
                <w:rFonts w:hint="eastAsia" w:hAnsi="宋体"/>
                <w:color w:val="auto"/>
                <w:szCs w:val="21"/>
                <w:highlight w:val="none"/>
              </w:rPr>
              <w:t>发  包  人：（公章）</w:t>
            </w:r>
          </w:p>
          <w:p w14:paraId="0FCB6A8A">
            <w:pPr>
              <w:adjustRightInd w:val="0"/>
              <w:snapToGrid w:val="0"/>
              <w:spacing w:line="360" w:lineRule="auto"/>
              <w:rPr>
                <w:rFonts w:hint="eastAsia" w:hAnsi="宋体"/>
                <w:color w:val="auto"/>
                <w:szCs w:val="21"/>
                <w:highlight w:val="none"/>
              </w:rPr>
            </w:pPr>
            <w:r>
              <w:rPr>
                <w:rFonts w:hint="eastAsia" w:hAnsi="宋体"/>
                <w:color w:val="auto"/>
                <w:szCs w:val="21"/>
                <w:highlight w:val="none"/>
              </w:rPr>
              <w:t>住      所：</w:t>
            </w:r>
          </w:p>
          <w:p w14:paraId="1870D4F0">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法定代表人： </w:t>
            </w:r>
          </w:p>
          <w:p w14:paraId="54752399">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委托代理人： </w:t>
            </w:r>
          </w:p>
          <w:p w14:paraId="1113A5D6">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电      话： </w:t>
            </w:r>
          </w:p>
          <w:p w14:paraId="621C3FB4">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传      真： </w:t>
            </w:r>
          </w:p>
          <w:p w14:paraId="12463942">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开户银</w:t>
            </w:r>
            <w:r>
              <w:rPr>
                <w:rFonts w:hint="eastAsia" w:hAnsi="宋体"/>
                <w:color w:val="auto"/>
                <w:szCs w:val="21"/>
                <w:highlight w:val="none"/>
              </w:rPr>
              <w:t>行：</w:t>
            </w:r>
          </w:p>
          <w:p w14:paraId="6DA4839E">
            <w:pPr>
              <w:adjustRightInd w:val="0"/>
              <w:snapToGrid w:val="0"/>
              <w:spacing w:line="360" w:lineRule="auto"/>
              <w:rPr>
                <w:rFonts w:hint="eastAsia" w:hAnsi="宋体"/>
                <w:color w:val="auto"/>
                <w:szCs w:val="21"/>
                <w:highlight w:val="none"/>
              </w:rPr>
            </w:pPr>
            <w:r>
              <w:rPr>
                <w:rFonts w:hint="eastAsia" w:hAnsi="宋体"/>
                <w:color w:val="auto"/>
                <w:szCs w:val="21"/>
                <w:highlight w:val="none"/>
              </w:rPr>
              <w:t>账      号：</w:t>
            </w:r>
          </w:p>
          <w:p w14:paraId="1E0B5FA4">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邮政编</w:t>
            </w:r>
            <w:r>
              <w:rPr>
                <w:rFonts w:hint="eastAsia" w:hAnsi="宋体"/>
                <w:color w:val="auto"/>
                <w:szCs w:val="21"/>
                <w:highlight w:val="none"/>
              </w:rPr>
              <w:t>码：</w:t>
            </w:r>
          </w:p>
        </w:tc>
        <w:tc>
          <w:tcPr>
            <w:tcW w:w="4548" w:type="dxa"/>
            <w:noWrap w:val="0"/>
            <w:vAlign w:val="top"/>
          </w:tcPr>
          <w:p w14:paraId="428FEFDC">
            <w:pPr>
              <w:adjustRightInd w:val="0"/>
              <w:snapToGrid w:val="0"/>
              <w:spacing w:line="360" w:lineRule="auto"/>
              <w:rPr>
                <w:rFonts w:hint="eastAsia" w:hAnsi="宋体"/>
                <w:color w:val="auto"/>
                <w:szCs w:val="21"/>
                <w:highlight w:val="none"/>
              </w:rPr>
            </w:pPr>
            <w:r>
              <w:rPr>
                <w:rFonts w:hint="eastAsia" w:hAnsi="宋体"/>
                <w:color w:val="auto"/>
                <w:szCs w:val="21"/>
                <w:highlight w:val="none"/>
              </w:rPr>
              <w:t>承包人：（公章）</w:t>
            </w:r>
          </w:p>
          <w:p w14:paraId="2024D919">
            <w:pPr>
              <w:adjustRightInd w:val="0"/>
              <w:snapToGrid w:val="0"/>
              <w:spacing w:line="360" w:lineRule="auto"/>
              <w:rPr>
                <w:rFonts w:hint="eastAsia" w:hAnsi="宋体"/>
                <w:color w:val="auto"/>
                <w:szCs w:val="21"/>
                <w:highlight w:val="none"/>
              </w:rPr>
            </w:pPr>
            <w:r>
              <w:rPr>
                <w:rFonts w:hint="eastAsia" w:hAnsi="宋体"/>
                <w:color w:val="auto"/>
                <w:szCs w:val="21"/>
                <w:highlight w:val="none"/>
              </w:rPr>
              <w:t>住      所：</w:t>
            </w:r>
          </w:p>
          <w:p w14:paraId="2875B3EE">
            <w:pPr>
              <w:adjustRightInd w:val="0"/>
              <w:snapToGrid w:val="0"/>
              <w:spacing w:line="360" w:lineRule="auto"/>
              <w:rPr>
                <w:rFonts w:hint="eastAsia" w:hAnsi="宋体"/>
                <w:color w:val="auto"/>
                <w:szCs w:val="21"/>
                <w:highlight w:val="none"/>
              </w:rPr>
            </w:pPr>
            <w:r>
              <w:rPr>
                <w:rFonts w:hint="eastAsia" w:hAnsi="宋体"/>
                <w:color w:val="auto"/>
                <w:szCs w:val="21"/>
                <w:highlight w:val="none"/>
              </w:rPr>
              <w:t>法定代表人：</w:t>
            </w:r>
          </w:p>
          <w:p w14:paraId="0A70176E">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委托代理人： </w:t>
            </w:r>
          </w:p>
          <w:p w14:paraId="28323F38">
            <w:pPr>
              <w:adjustRightInd w:val="0"/>
              <w:snapToGrid w:val="0"/>
              <w:spacing w:line="360" w:lineRule="auto"/>
              <w:rPr>
                <w:rFonts w:hint="eastAsia" w:hAnsi="宋体"/>
                <w:color w:val="auto"/>
                <w:szCs w:val="21"/>
                <w:highlight w:val="none"/>
              </w:rPr>
            </w:pPr>
            <w:r>
              <w:rPr>
                <w:rFonts w:hint="eastAsia" w:hAnsi="宋体"/>
                <w:color w:val="auto"/>
                <w:szCs w:val="21"/>
                <w:highlight w:val="none"/>
              </w:rPr>
              <w:t>电      话：</w:t>
            </w:r>
          </w:p>
          <w:p w14:paraId="70AFD108">
            <w:pPr>
              <w:adjustRightInd w:val="0"/>
              <w:snapToGrid w:val="0"/>
              <w:spacing w:line="360" w:lineRule="auto"/>
              <w:rPr>
                <w:rFonts w:hint="eastAsia" w:hAnsi="宋体"/>
                <w:color w:val="auto"/>
                <w:szCs w:val="21"/>
                <w:highlight w:val="none"/>
              </w:rPr>
            </w:pPr>
            <w:r>
              <w:rPr>
                <w:rFonts w:hint="eastAsia" w:hAnsi="宋体"/>
                <w:color w:val="auto"/>
                <w:szCs w:val="21"/>
                <w:highlight w:val="none"/>
              </w:rPr>
              <w:t>传      真：</w:t>
            </w:r>
          </w:p>
          <w:p w14:paraId="4B584988">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开户银</w:t>
            </w:r>
            <w:r>
              <w:rPr>
                <w:rFonts w:hint="eastAsia" w:hAnsi="宋体"/>
                <w:color w:val="auto"/>
                <w:szCs w:val="21"/>
                <w:highlight w:val="none"/>
              </w:rPr>
              <w:t>行：</w:t>
            </w:r>
          </w:p>
          <w:p w14:paraId="0083B749">
            <w:pPr>
              <w:adjustRightInd w:val="0"/>
              <w:snapToGrid w:val="0"/>
              <w:spacing w:line="360" w:lineRule="auto"/>
              <w:rPr>
                <w:rFonts w:hint="eastAsia" w:hAnsi="宋体"/>
                <w:color w:val="auto"/>
                <w:szCs w:val="21"/>
                <w:highlight w:val="none"/>
              </w:rPr>
            </w:pPr>
            <w:r>
              <w:rPr>
                <w:rFonts w:hint="eastAsia" w:hAnsi="宋体"/>
                <w:color w:val="auto"/>
                <w:szCs w:val="21"/>
                <w:highlight w:val="none"/>
              </w:rPr>
              <w:t>账      号：</w:t>
            </w:r>
          </w:p>
          <w:p w14:paraId="0C881430">
            <w:pPr>
              <w:adjustRightInd w:val="0"/>
              <w:snapToGrid w:val="0"/>
              <w:spacing w:line="360" w:lineRule="auto"/>
              <w:rPr>
                <w:rFonts w:hint="eastAsia" w:hAnsi="宋体"/>
                <w:color w:val="auto"/>
                <w:szCs w:val="21"/>
                <w:highlight w:val="none"/>
              </w:rPr>
            </w:pPr>
            <w:r>
              <w:rPr>
                <w:rFonts w:hint="eastAsia" w:hAnsi="宋体"/>
                <w:color w:val="auto"/>
                <w:spacing w:val="60"/>
                <w:szCs w:val="21"/>
                <w:highlight w:val="none"/>
              </w:rPr>
              <w:t>邮政编</w:t>
            </w:r>
            <w:r>
              <w:rPr>
                <w:rFonts w:hint="eastAsia" w:hAnsi="宋体"/>
                <w:color w:val="auto"/>
                <w:szCs w:val="21"/>
                <w:highlight w:val="none"/>
              </w:rPr>
              <w:t>码：</w:t>
            </w:r>
          </w:p>
        </w:tc>
      </w:tr>
    </w:tbl>
    <w:p w14:paraId="4E684D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ind w:firstLine="420" w:firstLineChars="200"/>
        <w:rPr>
          <w:rFonts w:hint="eastAsia"/>
          <w:color w:val="auto"/>
          <w:szCs w:val="21"/>
          <w:highlight w:val="none"/>
        </w:rPr>
      </w:pPr>
    </w:p>
    <w:p w14:paraId="60A98ECD">
      <w:pPr>
        <w:pStyle w:val="966"/>
        <w:numPr>
          <w:ilvl w:val="0"/>
          <w:numId w:val="3"/>
        </w:numPr>
        <w:tabs>
          <w:tab w:val="clear" w:pos="1080"/>
        </w:tabs>
        <w:jc w:val="center"/>
        <w:rPr>
          <w:rFonts w:hint="eastAsia"/>
          <w:color w:val="auto"/>
          <w:highlight w:val="none"/>
        </w:rPr>
      </w:pPr>
      <w:r>
        <w:rPr>
          <w:color w:val="auto"/>
          <w:sz w:val="24"/>
          <w:highlight w:val="none"/>
        </w:rPr>
        <w:br w:type="page"/>
      </w:r>
      <w:bookmarkStart w:id="413" w:name="_Toc30067"/>
      <w:bookmarkStart w:id="414" w:name="_Toc13655"/>
      <w:r>
        <w:rPr>
          <w:rFonts w:hint="eastAsia"/>
          <w:color w:val="auto"/>
          <w:highlight w:val="none"/>
        </w:rPr>
        <w:t xml:space="preserve"> 通用条款</w:t>
      </w:r>
      <w:bookmarkEnd w:id="413"/>
      <w:bookmarkEnd w:id="414"/>
    </w:p>
    <w:p w14:paraId="31CB3B53">
      <w:pPr>
        <w:pStyle w:val="805"/>
        <w:bidi w:val="0"/>
        <w:rPr>
          <w:rFonts w:hint="eastAsia"/>
          <w:color w:val="auto"/>
          <w:highlight w:val="none"/>
        </w:rPr>
      </w:pPr>
    </w:p>
    <w:p w14:paraId="33B1F332">
      <w:pPr>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《建设工程施工合同（示范文本）》（GF-201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-0201）</w:t>
      </w:r>
      <w:r>
        <w:rPr>
          <w:rFonts w:hint="eastAsia" w:ascii="宋体" w:hAnsi="宋体" w:eastAsia="宋体" w:cs="宋体"/>
          <w:color w:val="auto"/>
          <w:sz w:val="24"/>
          <w:szCs w:val="24"/>
          <w:highlight w:val="none"/>
          <w:lang w:eastAsia="zh-CN"/>
        </w:rPr>
        <w:t>执行，如通用合同条款和专用合同条款有矛盾时，以专用合同条款约定为准。</w:t>
      </w:r>
    </w:p>
    <w:p w14:paraId="1781A57F">
      <w:pPr>
        <w:bidi w:val="0"/>
        <w:rPr>
          <w:rStyle w:val="273"/>
          <w:rFonts w:hint="eastAsia"/>
          <w:color w:val="auto"/>
          <w:highlight w:val="none"/>
        </w:rPr>
      </w:pPr>
    </w:p>
    <w:p w14:paraId="4EE03D34">
      <w:pPr>
        <w:pStyle w:val="966"/>
        <w:tabs>
          <w:tab w:val="clear" w:pos="1080"/>
        </w:tabs>
        <w:jc w:val="center"/>
        <w:rPr>
          <w:rFonts w:hint="eastAsia"/>
          <w:color w:val="auto"/>
          <w:highlight w:val="none"/>
        </w:rPr>
      </w:pPr>
      <w:bookmarkStart w:id="415" w:name="_Toc12769"/>
      <w:bookmarkStart w:id="416" w:name="_Toc14269"/>
      <w:r>
        <w:rPr>
          <w:rFonts w:hint="eastAsia"/>
          <w:color w:val="auto"/>
          <w:highlight w:val="none"/>
        </w:rPr>
        <w:br w:type="page"/>
      </w:r>
      <w:r>
        <w:rPr>
          <w:rFonts w:hint="eastAsia"/>
          <w:color w:val="auto"/>
          <w:highlight w:val="none"/>
        </w:rPr>
        <w:t>第三部分  专用条款</w:t>
      </w:r>
      <w:bookmarkEnd w:id="415"/>
      <w:bookmarkEnd w:id="416"/>
    </w:p>
    <w:p w14:paraId="7135BD1F">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 一般约定</w:t>
      </w:r>
    </w:p>
    <w:p w14:paraId="322C2A67">
      <w:pPr>
        <w:adjustRightInd w:val="0"/>
        <w:snapToGrid w:val="0"/>
        <w:spacing w:line="360" w:lineRule="auto"/>
        <w:ind w:firstLine="367" w:firstLineChars="175"/>
        <w:rPr>
          <w:rFonts w:hint="eastAsia" w:hAnsi="宋体"/>
          <w:color w:val="auto"/>
          <w:szCs w:val="21"/>
          <w:highlight w:val="none"/>
        </w:rPr>
      </w:pPr>
      <w:r>
        <w:rPr>
          <w:rFonts w:hint="eastAsia" w:hAnsi="宋体"/>
          <w:color w:val="auto"/>
          <w:szCs w:val="21"/>
          <w:highlight w:val="none"/>
        </w:rPr>
        <w:t>1.1 词语定义</w:t>
      </w:r>
    </w:p>
    <w:p w14:paraId="43CF1A1A">
      <w:pPr>
        <w:adjustRightInd w:val="0"/>
        <w:snapToGrid w:val="0"/>
        <w:spacing w:line="360" w:lineRule="auto"/>
        <w:ind w:firstLine="367" w:firstLineChars="175"/>
        <w:rPr>
          <w:rFonts w:hint="eastAsia" w:hAnsi="宋体"/>
          <w:color w:val="auto"/>
          <w:szCs w:val="21"/>
          <w:highlight w:val="none"/>
        </w:rPr>
      </w:pPr>
      <w:r>
        <w:rPr>
          <w:rFonts w:hint="eastAsia" w:hAnsi="宋体"/>
          <w:color w:val="auto"/>
          <w:szCs w:val="21"/>
          <w:highlight w:val="none"/>
        </w:rPr>
        <w:t>1.1.1合同</w:t>
      </w:r>
    </w:p>
    <w:p w14:paraId="3C9DE549">
      <w:pPr>
        <w:adjustRightInd w:val="0"/>
        <w:snapToGrid w:val="0"/>
        <w:spacing w:line="360" w:lineRule="auto"/>
        <w:ind w:firstLine="367" w:firstLineChars="175"/>
        <w:rPr>
          <w:rFonts w:hint="eastAsia" w:hAnsi="宋体"/>
          <w:color w:val="auto"/>
          <w:szCs w:val="21"/>
          <w:highlight w:val="none"/>
        </w:rPr>
      </w:pPr>
      <w:r>
        <w:rPr>
          <w:rFonts w:hint="eastAsia" w:hAnsi="宋体"/>
          <w:color w:val="auto"/>
          <w:szCs w:val="21"/>
          <w:highlight w:val="none"/>
        </w:rPr>
        <w:t>1.1.1.10其他合同文件包括：</w:t>
      </w:r>
    </w:p>
    <w:p w14:paraId="542A98A4">
      <w:pPr>
        <w:shd w:val="clear" w:color="auto" w:fill="FAFAFA"/>
        <w:adjustRightInd w:val="0"/>
        <w:snapToGrid w:val="0"/>
        <w:spacing w:line="360" w:lineRule="auto"/>
        <w:ind w:firstLine="413" w:firstLineChars="196"/>
        <w:rPr>
          <w:rFonts w:hint="eastAsia" w:hAnsi="宋体"/>
          <w:b/>
          <w:color w:val="auto"/>
          <w:szCs w:val="21"/>
          <w:highlight w:val="none"/>
          <w:u w:val="single"/>
        </w:rPr>
      </w:pPr>
      <w:r>
        <w:rPr>
          <w:rFonts w:hint="eastAsia" w:hAnsi="宋体"/>
          <w:b/>
          <w:color w:val="auto"/>
          <w:szCs w:val="21"/>
          <w:highlight w:val="none"/>
          <w:u w:val="single"/>
        </w:rPr>
        <w:t>施工组织设计：施工组织</w:t>
      </w:r>
      <w:r>
        <w:rPr>
          <w:rFonts w:hint="eastAsia" w:hAnsi="宋体"/>
          <w:b/>
          <w:color w:val="auto"/>
          <w:szCs w:val="21"/>
          <w:highlight w:val="none"/>
          <w:u w:val="single"/>
        </w:rPr>
        <w:fldChar w:fldCharType="begin"/>
      </w:r>
      <w:r>
        <w:rPr>
          <w:rFonts w:hint="eastAsia" w:hAnsi="宋体"/>
          <w:b/>
          <w:color w:val="auto"/>
          <w:szCs w:val="21"/>
          <w:highlight w:val="none"/>
          <w:u w:val="single"/>
        </w:rPr>
        <w:instrText xml:space="preserve"> HYPERLINK "http://baike.baidu.com/view/14417.htm" \t "_blank" </w:instrText>
      </w:r>
      <w:r>
        <w:rPr>
          <w:rFonts w:hint="eastAsia" w:hAnsi="宋体"/>
          <w:b/>
          <w:color w:val="auto"/>
          <w:szCs w:val="21"/>
          <w:highlight w:val="none"/>
          <w:u w:val="single"/>
        </w:rPr>
        <w:fldChar w:fldCharType="separate"/>
      </w:r>
      <w:r>
        <w:rPr>
          <w:rFonts w:hint="eastAsia"/>
          <w:b/>
          <w:color w:val="auto"/>
          <w:highlight w:val="none"/>
          <w:u w:val="single"/>
        </w:rPr>
        <w:t>设计</w:t>
      </w:r>
      <w:r>
        <w:rPr>
          <w:rFonts w:hint="eastAsia" w:hAnsi="宋体"/>
          <w:b/>
          <w:color w:val="auto"/>
          <w:szCs w:val="21"/>
          <w:highlight w:val="none"/>
          <w:u w:val="single"/>
        </w:rPr>
        <w:fldChar w:fldCharType="end"/>
      </w:r>
      <w:r>
        <w:rPr>
          <w:rFonts w:hint="eastAsia" w:hAnsi="宋体"/>
          <w:b/>
          <w:color w:val="auto"/>
          <w:szCs w:val="21"/>
          <w:highlight w:val="none"/>
          <w:u w:val="single"/>
        </w:rPr>
        <w:t>是用来指导</w:t>
      </w:r>
      <w:r>
        <w:rPr>
          <w:rFonts w:hint="eastAsia" w:hAnsi="宋体"/>
          <w:b/>
          <w:color w:val="auto"/>
          <w:szCs w:val="21"/>
          <w:highlight w:val="none"/>
          <w:u w:val="single"/>
        </w:rPr>
        <w:fldChar w:fldCharType="begin"/>
      </w:r>
      <w:r>
        <w:rPr>
          <w:rFonts w:hint="eastAsia" w:hAnsi="宋体"/>
          <w:b/>
          <w:color w:val="auto"/>
          <w:szCs w:val="21"/>
          <w:highlight w:val="none"/>
          <w:u w:val="single"/>
        </w:rPr>
        <w:instrText xml:space="preserve"> HYPERLINK "http://baike.baidu.com/view/1094820.htm" \t "_blank" </w:instrText>
      </w:r>
      <w:r>
        <w:rPr>
          <w:rFonts w:hint="eastAsia" w:hAnsi="宋体"/>
          <w:b/>
          <w:color w:val="auto"/>
          <w:szCs w:val="21"/>
          <w:highlight w:val="none"/>
          <w:u w:val="single"/>
        </w:rPr>
        <w:fldChar w:fldCharType="separate"/>
      </w:r>
      <w:r>
        <w:rPr>
          <w:rFonts w:hint="eastAsia"/>
          <w:b/>
          <w:color w:val="auto"/>
          <w:highlight w:val="none"/>
          <w:u w:val="single"/>
        </w:rPr>
        <w:t>施工项目</w:t>
      </w:r>
      <w:r>
        <w:rPr>
          <w:rFonts w:hint="eastAsia" w:hAnsi="宋体"/>
          <w:b/>
          <w:color w:val="auto"/>
          <w:szCs w:val="21"/>
          <w:highlight w:val="none"/>
          <w:u w:val="single"/>
        </w:rPr>
        <w:fldChar w:fldCharType="end"/>
      </w:r>
      <w:r>
        <w:rPr>
          <w:rFonts w:hint="eastAsia" w:hAnsi="宋体"/>
          <w:b/>
          <w:color w:val="auto"/>
          <w:szCs w:val="21"/>
          <w:highlight w:val="none"/>
          <w:u w:val="single"/>
        </w:rPr>
        <w:t>全过程各项活动的技术、经济和组织的综合性文件。</w:t>
      </w:r>
    </w:p>
    <w:p w14:paraId="2E4BC38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1.1.2 合同当事人及其他相关方</w:t>
      </w:r>
    </w:p>
    <w:p w14:paraId="0724921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1.1.2.5 设计人：</w:t>
      </w:r>
    </w:p>
    <w:p w14:paraId="386A9AB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名    称：</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70A1C85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资质类别和等级：</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color w:val="auto"/>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6D9B376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784AF69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电子信箱：</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hAnsi="宋体"/>
          <w:color w:val="auto"/>
          <w:szCs w:val="21"/>
          <w:highlight w:val="none"/>
          <w:u w:val="single"/>
        </w:rPr>
        <w:t>/</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5C26A82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通信地址：</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1862C27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1.3法律 </w:t>
      </w:r>
    </w:p>
    <w:p w14:paraId="279DD1D6">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hAnsi="宋体"/>
          <w:color w:val="auto"/>
          <w:szCs w:val="21"/>
          <w:highlight w:val="none"/>
        </w:rPr>
      </w:pPr>
      <w:r>
        <w:rPr>
          <w:rFonts w:hint="eastAsia" w:ascii="Times New Roman" w:hAnsi="宋体" w:eastAsia="宋体" w:cs="Times New Roman"/>
          <w:color w:val="auto"/>
          <w:szCs w:val="21"/>
          <w:highlight w:val="none"/>
        </w:rPr>
        <w:t>适用于合同的其他规范性文件</w:t>
      </w:r>
      <w:r>
        <w:rPr>
          <w:rFonts w:hint="eastAsia" w:ascii="Times New Roman" w:hAnsi="宋体" w:eastAsia="宋体" w:cs="Times New Roman"/>
          <w:color w:val="auto"/>
          <w:szCs w:val="21"/>
          <w:highlight w:val="none"/>
          <w:u w:val="single"/>
        </w:rPr>
        <w:t>：</w:t>
      </w:r>
      <w:r>
        <w:rPr>
          <w:rFonts w:hint="eastAsia" w:ascii="Times New Roman" w:hAnsi="宋体" w:eastAsia="宋体" w:cs="Times New Roman"/>
          <w:color w:val="auto"/>
          <w:szCs w:val="21"/>
          <w:highlight w:val="none"/>
          <w:u w:val="single"/>
          <w:lang w:val="en-US" w:eastAsia="zh-CN"/>
        </w:rPr>
        <w:t xml:space="preserve">   根</w:t>
      </w:r>
      <w:r>
        <w:rPr>
          <w:rFonts w:hint="eastAsia" w:ascii="Times New Roman" w:hAnsi="宋体" w:eastAsia="宋体" w:cs="Times New Roman"/>
          <w:color w:val="auto"/>
          <w:szCs w:val="21"/>
          <w:highlight w:val="none"/>
          <w:u w:val="single"/>
          <w:lang w:eastAsia="zh-CN"/>
        </w:rPr>
        <w:t>据国家、省市、地方法律、法规执行</w:t>
      </w:r>
      <w:r>
        <w:rPr>
          <w:rFonts w:hint="eastAsia" w:ascii="Times New Roman" w:hAnsi="宋体" w:eastAsia="宋体" w:cs="Times New Roman"/>
          <w:color w:val="auto"/>
          <w:szCs w:val="21"/>
          <w:highlight w:val="none"/>
          <w:u w:val="single"/>
        </w:rPr>
        <w:t xml:space="preserve">   。</w:t>
      </w:r>
    </w:p>
    <w:p w14:paraId="2FA3D2EC">
      <w:pPr>
        <w:autoSpaceDE w:val="0"/>
        <w:autoSpaceDN w:val="0"/>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1.4 标准和规范</w:t>
      </w:r>
    </w:p>
    <w:p w14:paraId="6DE1ADFF">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hAnsi="宋体"/>
          <w:b/>
          <w:color w:val="auto"/>
          <w:szCs w:val="21"/>
          <w:highlight w:val="none"/>
          <w:u w:val="single"/>
        </w:rPr>
      </w:pPr>
      <w:r>
        <w:rPr>
          <w:rFonts w:hint="eastAsia" w:hAnsi="宋体"/>
          <w:color w:val="auto"/>
          <w:szCs w:val="21"/>
          <w:highlight w:val="none"/>
        </w:rPr>
        <w:t>1.4.1适用于工程的标准规范</w:t>
      </w:r>
      <w:r>
        <w:rPr>
          <w:rFonts w:hint="eastAsia" w:ascii="Times New Roman" w:hAnsi="宋体" w:eastAsia="宋体" w:cs="Times New Roman"/>
          <w:color w:val="auto"/>
          <w:szCs w:val="21"/>
          <w:highlight w:val="none"/>
        </w:rPr>
        <w:t>包括：适用于工程的标准规范包括：</w:t>
      </w:r>
      <w:r>
        <w:rPr>
          <w:rFonts w:hint="eastAsia" w:ascii="Times New Roman" w:hAnsi="宋体" w:eastAsia="宋体" w:cs="Times New Roman"/>
          <w:color w:val="auto"/>
          <w:szCs w:val="21"/>
          <w:highlight w:val="none"/>
          <w:lang w:val="en-US" w:eastAsia="zh-CN"/>
        </w:rPr>
        <w:t xml:space="preserve">  根</w:t>
      </w:r>
      <w:r>
        <w:rPr>
          <w:rFonts w:hint="eastAsia" w:ascii="Times New Roman" w:hAnsi="宋体" w:eastAsia="宋体" w:cs="Times New Roman"/>
          <w:color w:val="auto"/>
          <w:szCs w:val="21"/>
          <w:highlight w:val="none"/>
          <w:lang w:eastAsia="zh-CN"/>
        </w:rPr>
        <w:t>据国家、省市、地方相关规范执行</w:t>
      </w:r>
      <w:r>
        <w:rPr>
          <w:rFonts w:hint="eastAsia" w:ascii="Times New Roman" w:hAnsi="宋体" w:eastAsia="宋体" w:cs="Times New Roman"/>
          <w:color w:val="auto"/>
          <w:szCs w:val="21"/>
          <w:highlight w:val="none"/>
          <w:lang w:val="en-US" w:eastAsia="zh-CN"/>
        </w:rPr>
        <w:t xml:space="preserve"> </w:t>
      </w:r>
      <w:r>
        <w:rPr>
          <w:rFonts w:hint="eastAsia" w:ascii="Times New Roman" w:hAnsi="宋体" w:eastAsia="宋体" w:cs="Times New Roman"/>
          <w:color w:val="auto"/>
          <w:szCs w:val="21"/>
          <w:highlight w:val="none"/>
        </w:rPr>
        <w:t>。</w:t>
      </w:r>
    </w:p>
    <w:p w14:paraId="042D50C3">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1.4.2 发包人提供国外标准、规范的名称：</w:t>
      </w:r>
      <w:r>
        <w:rPr>
          <w:rFonts w:hint="eastAsia" w:hAnsi="宋体"/>
          <w:color w:val="auto"/>
          <w:szCs w:val="21"/>
          <w:highlight w:val="none"/>
          <w:u w:val="single"/>
        </w:rPr>
        <w:t xml:space="preserve">         /         </w:t>
      </w:r>
      <w:r>
        <w:rPr>
          <w:rFonts w:hint="eastAsia" w:hAnsi="宋体"/>
          <w:color w:val="auto"/>
          <w:szCs w:val="21"/>
          <w:highlight w:val="none"/>
        </w:rPr>
        <w:t>；</w:t>
      </w:r>
    </w:p>
    <w:p w14:paraId="5668E7A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发包人提供国外标准、规范的份数：</w:t>
      </w:r>
      <w:r>
        <w:rPr>
          <w:rFonts w:hint="eastAsia" w:hAnsi="宋体"/>
          <w:color w:val="auto"/>
          <w:szCs w:val="21"/>
          <w:highlight w:val="none"/>
          <w:u w:val="single"/>
        </w:rPr>
        <w:t xml:space="preserve">             /          </w:t>
      </w:r>
      <w:r>
        <w:rPr>
          <w:rFonts w:hint="eastAsia" w:hAnsi="宋体"/>
          <w:color w:val="auto"/>
          <w:szCs w:val="21"/>
          <w:highlight w:val="none"/>
        </w:rPr>
        <w:t>；</w:t>
      </w:r>
    </w:p>
    <w:p w14:paraId="7EC384E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发包人提供国外标准、规范的名称：</w:t>
      </w:r>
      <w:r>
        <w:rPr>
          <w:rFonts w:hint="eastAsia" w:hAnsi="宋体"/>
          <w:color w:val="auto"/>
          <w:szCs w:val="21"/>
          <w:highlight w:val="none"/>
          <w:u w:val="single"/>
        </w:rPr>
        <w:t xml:space="preserve">          /            </w:t>
      </w:r>
      <w:r>
        <w:rPr>
          <w:rFonts w:hint="eastAsia" w:hAnsi="宋体"/>
          <w:color w:val="auto"/>
          <w:szCs w:val="21"/>
          <w:highlight w:val="none"/>
        </w:rPr>
        <w:t>。</w:t>
      </w:r>
    </w:p>
    <w:p w14:paraId="0EE575E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1.4.3发包人对工程的技术标准和功能要求的特殊要求：</w:t>
      </w:r>
      <w:r>
        <w:rPr>
          <w:rFonts w:hint="eastAsia" w:hAnsi="宋体" w:cs="仿宋_GB2312"/>
          <w:color w:val="auto"/>
          <w:szCs w:val="21"/>
          <w:highlight w:val="none"/>
          <w:u w:val="single"/>
        </w:rPr>
        <w:t></w:t>
      </w:r>
      <w:r>
        <w:rPr>
          <w:rFonts w:hint="eastAsia" w:hAnsi="宋体"/>
          <w:color w:val="auto"/>
          <w:szCs w:val="21"/>
          <w:highlight w:val="none"/>
          <w:u w:val="single"/>
        </w:rPr>
        <w:t>详见施工图及采购文件要求</w:t>
      </w:r>
      <w:r>
        <w:rPr>
          <w:rFonts w:hint="eastAsia" w:hAnsi="宋体"/>
          <w:color w:val="auto"/>
          <w:szCs w:val="21"/>
          <w:highlight w:val="none"/>
        </w:rPr>
        <w:t>。</w:t>
      </w:r>
    </w:p>
    <w:p w14:paraId="4A15C4E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1.5 合同文件的优先顺序</w:t>
      </w:r>
    </w:p>
    <w:p w14:paraId="2A220BF7">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w:t>
      </w:r>
      <w:r>
        <w:rPr>
          <w:rFonts w:hint="eastAsia" w:ascii="Times New Roman" w:hAnsi="宋体" w:eastAsia="宋体" w:cs="Times New Roman"/>
          <w:color w:val="auto"/>
          <w:sz w:val="21"/>
          <w:szCs w:val="21"/>
          <w:highlight w:val="none"/>
        </w:rPr>
        <w:t>组成</w:t>
      </w:r>
      <w:r>
        <w:rPr>
          <w:rFonts w:hint="eastAsia" w:ascii="宋体" w:hAnsi="宋体" w:eastAsia="宋体" w:cs="宋体"/>
          <w:color w:val="auto"/>
          <w:sz w:val="21"/>
          <w:szCs w:val="21"/>
          <w:highlight w:val="none"/>
        </w:rPr>
        <w:t>及优先顺序为：</w:t>
      </w:r>
      <w:r>
        <w:rPr>
          <w:rFonts w:hint="eastAsia" w:ascii="宋体" w:hAnsi="宋体" w:eastAsia="宋体" w:cs="宋体"/>
          <w:color w:val="auto"/>
          <w:sz w:val="21"/>
          <w:szCs w:val="21"/>
          <w:highlight w:val="none"/>
          <w:u w:val="single"/>
        </w:rPr>
        <w:t>专用合同条款</w:t>
      </w:r>
      <w:r>
        <w:rPr>
          <w:rFonts w:hint="eastAsia" w:ascii="宋体" w:hAnsi="宋体" w:eastAsia="宋体" w:cs="宋体"/>
          <w:color w:val="auto"/>
          <w:sz w:val="21"/>
          <w:szCs w:val="21"/>
          <w:highlight w:val="none"/>
          <w:u w:val="single"/>
          <w:lang w:eastAsia="zh-CN"/>
        </w:rPr>
        <w:t>、招标文件、投标文件、通用合同条款、其它</w:t>
      </w:r>
      <w:r>
        <w:rPr>
          <w:rFonts w:hint="eastAsia" w:ascii="宋体" w:hAnsi="宋体" w:eastAsia="宋体" w:cs="宋体"/>
          <w:color w:val="auto"/>
          <w:sz w:val="21"/>
          <w:szCs w:val="21"/>
          <w:highlight w:val="none"/>
        </w:rPr>
        <w:t>。</w:t>
      </w:r>
    </w:p>
    <w:p w14:paraId="0C05127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 图纸和承包人文件</w:t>
      </w:r>
      <w:r>
        <w:rPr>
          <w:rFonts w:hint="eastAsia" w:hAnsi="宋体"/>
          <w:color w:val="auto"/>
          <w:szCs w:val="21"/>
          <w:highlight w:val="none"/>
        </w:rPr>
        <w:tab/>
      </w:r>
    </w:p>
    <w:p w14:paraId="5A8786E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1.6.1 图纸的提供</w:t>
      </w:r>
    </w:p>
    <w:p w14:paraId="1AF4CF0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发包人向承包人提供图纸的期限：</w:t>
      </w:r>
      <w:r>
        <w:rPr>
          <w:rFonts w:hint="eastAsia" w:hAnsi="宋体"/>
          <w:color w:val="auto"/>
          <w:szCs w:val="21"/>
          <w:highlight w:val="none"/>
          <w:u w:val="single"/>
        </w:rPr>
        <w:t xml:space="preserve">     /    </w:t>
      </w:r>
      <w:r>
        <w:rPr>
          <w:rFonts w:hint="eastAsia" w:hAnsi="宋体"/>
          <w:color w:val="auto"/>
          <w:szCs w:val="21"/>
          <w:highlight w:val="none"/>
        </w:rPr>
        <w:t>；</w:t>
      </w:r>
    </w:p>
    <w:p w14:paraId="7168282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发包人向承包人提供图纸的数量：</w:t>
      </w:r>
      <w:r>
        <w:rPr>
          <w:rFonts w:hint="eastAsia" w:hAnsi="宋体"/>
          <w:color w:val="auto"/>
          <w:szCs w:val="21"/>
          <w:highlight w:val="none"/>
          <w:u w:val="single"/>
        </w:rPr>
        <w:t xml:space="preserve">    /      </w:t>
      </w:r>
      <w:r>
        <w:rPr>
          <w:rFonts w:hint="eastAsia" w:hAnsi="宋体"/>
          <w:color w:val="auto"/>
          <w:szCs w:val="21"/>
          <w:highlight w:val="none"/>
        </w:rPr>
        <w:t>；</w:t>
      </w:r>
    </w:p>
    <w:p w14:paraId="7141538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发包人向承包人提供图纸的内容：</w:t>
      </w:r>
      <w:r>
        <w:rPr>
          <w:rFonts w:hint="eastAsia" w:hAnsi="宋体"/>
          <w:color w:val="auto"/>
          <w:szCs w:val="21"/>
          <w:highlight w:val="none"/>
          <w:u w:val="single"/>
        </w:rPr>
        <w:t xml:space="preserve">    /     </w:t>
      </w:r>
      <w:r>
        <w:rPr>
          <w:rFonts w:hint="eastAsia" w:hAnsi="宋体"/>
          <w:color w:val="auto"/>
          <w:szCs w:val="21"/>
          <w:highlight w:val="none"/>
        </w:rPr>
        <w:t>。</w:t>
      </w:r>
    </w:p>
    <w:p w14:paraId="7E7419F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1.6.4 承包人文件</w:t>
      </w:r>
    </w:p>
    <w:p w14:paraId="7F33B396">
      <w:pPr>
        <w:keepLines w:val="0"/>
        <w:pageBreakBefore w:val="0"/>
        <w:widowControl w:val="0"/>
        <w:kinsoku/>
        <w:wordWrap/>
        <w:overflowPunct/>
        <w:topLinePunct w:val="0"/>
        <w:bidi w:val="0"/>
        <w:adjustRightInd w:val="0"/>
        <w:snapToGrid w:val="0"/>
        <w:spacing w:line="360" w:lineRule="auto"/>
        <w:ind w:left="596" w:leftChars="28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lang w:val="en-US" w:eastAsia="zh-CN"/>
        </w:rPr>
        <w:t xml:space="preserve"> 根</w:t>
      </w:r>
      <w:r>
        <w:rPr>
          <w:rFonts w:hint="eastAsia" w:ascii="宋体" w:hAnsi="宋体" w:eastAsia="宋体" w:cs="宋体"/>
          <w:color w:val="auto"/>
          <w:sz w:val="21"/>
          <w:szCs w:val="21"/>
          <w:highlight w:val="none"/>
          <w:u w:val="single"/>
          <w:lang w:eastAsia="zh-CN"/>
        </w:rPr>
        <w:t>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E1AA34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2B845B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3A7C4D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根据发包人实际要求提供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D64127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根据发包人实际情况审批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F93148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1.6.5 现场图纸准备</w:t>
      </w:r>
    </w:p>
    <w:p w14:paraId="2E7C63C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关于现场图纸准备的约定：</w:t>
      </w:r>
      <w:r>
        <w:rPr>
          <w:rFonts w:hint="eastAsia" w:hAnsi="宋体"/>
          <w:color w:val="auto"/>
          <w:szCs w:val="21"/>
          <w:highlight w:val="none"/>
          <w:u w:val="single"/>
        </w:rPr>
        <w:t xml:space="preserve">  /    </w:t>
      </w:r>
      <w:r>
        <w:rPr>
          <w:rFonts w:hint="eastAsia" w:hAnsi="宋体"/>
          <w:color w:val="auto"/>
          <w:szCs w:val="21"/>
          <w:highlight w:val="none"/>
        </w:rPr>
        <w:t>。</w:t>
      </w:r>
    </w:p>
    <w:p w14:paraId="3246354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1.7 联络</w:t>
      </w:r>
    </w:p>
    <w:p w14:paraId="4D37A82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1.7.1发包人和承包人应当在</w:t>
      </w:r>
      <w:r>
        <w:rPr>
          <w:rFonts w:hint="eastAsia" w:hAnsi="宋体" w:cs="仿宋_GB2312"/>
          <w:color w:val="auto"/>
          <w:szCs w:val="21"/>
          <w:highlight w:val="none"/>
          <w:u w:val="single"/>
        </w:rPr>
        <w:t></w:t>
      </w:r>
      <w:r>
        <w:rPr>
          <w:rFonts w:hint="eastAsia" w:hAnsi="宋体"/>
          <w:color w:val="auto"/>
          <w:szCs w:val="21"/>
          <w:highlight w:val="none"/>
          <w:u w:val="single"/>
        </w:rPr>
        <w:t>3</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天内将与合同有关的通知、批准、证明、证书、指示、指令、要求、请求、同意、意见、确定和决定等书面函件送达对方当事人。</w:t>
      </w:r>
    </w:p>
    <w:p w14:paraId="51B43CA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1.7.2 发包人接收文件的地点：</w:t>
      </w:r>
      <w:r>
        <w:rPr>
          <w:rFonts w:hint="eastAsia" w:hAnsi="宋体"/>
          <w:color w:val="auto"/>
          <w:szCs w:val="21"/>
          <w:highlight w:val="none"/>
          <w:u w:val="single"/>
        </w:rPr>
        <w:t>发包人办公室</w:t>
      </w:r>
      <w:r>
        <w:rPr>
          <w:rFonts w:hint="eastAsia" w:hAnsi="宋体"/>
          <w:color w:val="auto"/>
          <w:szCs w:val="21"/>
          <w:highlight w:val="none"/>
        </w:rPr>
        <w:t>；</w:t>
      </w:r>
    </w:p>
    <w:p w14:paraId="5074267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发包人指定的接收人为：</w:t>
      </w:r>
      <w:r>
        <w:rPr>
          <w:rFonts w:hint="eastAsia" w:hAnsi="宋体"/>
          <w:color w:val="auto"/>
          <w:szCs w:val="21"/>
          <w:highlight w:val="none"/>
          <w:u w:val="single"/>
        </w:rPr>
        <w:t xml:space="preserve">       </w:t>
      </w:r>
      <w:r>
        <w:rPr>
          <w:rFonts w:hint="eastAsia" w:hAnsi="宋体"/>
          <w:color w:val="auto"/>
          <w:szCs w:val="21"/>
          <w:highlight w:val="none"/>
        </w:rPr>
        <w:t>。</w:t>
      </w:r>
    </w:p>
    <w:p w14:paraId="47A1BEC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承包人接收文件的地点：</w:t>
      </w:r>
      <w:r>
        <w:rPr>
          <w:rFonts w:hint="eastAsia" w:hAnsi="宋体"/>
          <w:color w:val="auto"/>
          <w:szCs w:val="21"/>
          <w:highlight w:val="none"/>
          <w:u w:val="single"/>
        </w:rPr>
        <w:t>承包人现场办公室</w:t>
      </w:r>
      <w:r>
        <w:rPr>
          <w:rFonts w:hint="eastAsia" w:hAnsi="宋体"/>
          <w:color w:val="auto"/>
          <w:szCs w:val="21"/>
          <w:highlight w:val="none"/>
        </w:rPr>
        <w:t>；</w:t>
      </w:r>
    </w:p>
    <w:p w14:paraId="0FC5537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承包人指定的接收人为：</w:t>
      </w:r>
      <w:r>
        <w:rPr>
          <w:rFonts w:hint="eastAsia" w:hAnsi="宋体"/>
          <w:color w:val="auto"/>
          <w:szCs w:val="21"/>
          <w:highlight w:val="none"/>
          <w:u w:val="single"/>
        </w:rPr>
        <w:t xml:space="preserve">       </w:t>
      </w:r>
      <w:r>
        <w:rPr>
          <w:rFonts w:hint="eastAsia" w:hAnsi="宋体"/>
          <w:color w:val="auto"/>
          <w:szCs w:val="21"/>
          <w:highlight w:val="none"/>
        </w:rPr>
        <w:t>。</w:t>
      </w:r>
    </w:p>
    <w:p w14:paraId="6EB4ADC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1.10 交通运输</w:t>
      </w:r>
    </w:p>
    <w:p w14:paraId="6E62384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1.10.1 出入现场的权利</w:t>
      </w:r>
    </w:p>
    <w:p w14:paraId="52156AD8">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关于出入现场的权利的约定：</w:t>
      </w:r>
      <w:r>
        <w:rPr>
          <w:rFonts w:hint="eastAsia" w:hAnsi="宋体" w:cs="仿宋_GB2312"/>
          <w:color w:val="auto"/>
          <w:szCs w:val="21"/>
          <w:highlight w:val="none"/>
          <w:u w:val="single"/>
        </w:rPr>
        <w:t></w:t>
      </w:r>
      <w:r>
        <w:rPr>
          <w:rFonts w:hint="eastAsia" w:hAnsi="宋体"/>
          <w:color w:val="auto"/>
          <w:szCs w:val="21"/>
          <w:highlight w:val="none"/>
          <w:u w:val="single"/>
        </w:rPr>
        <w:t>按通用条款执行</w:t>
      </w:r>
      <w:r>
        <w:rPr>
          <w:rFonts w:hint="eastAsia" w:hAnsi="宋体"/>
          <w:color w:val="auto"/>
          <w:szCs w:val="21"/>
          <w:highlight w:val="none"/>
        </w:rPr>
        <w:t>。</w:t>
      </w:r>
    </w:p>
    <w:p w14:paraId="7263E780">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1.10.3 场内交通</w:t>
      </w:r>
    </w:p>
    <w:p w14:paraId="3151C0A7">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关于场外交通和场内交通的边界的约定：</w:t>
      </w:r>
      <w:r>
        <w:rPr>
          <w:rFonts w:hint="eastAsia" w:hAnsi="宋体"/>
          <w:color w:val="auto"/>
          <w:szCs w:val="21"/>
          <w:highlight w:val="none"/>
          <w:u w:val="single"/>
        </w:rPr>
        <w:t xml:space="preserve"> 以施工现场围墙（挡）为界 </w:t>
      </w:r>
      <w:r>
        <w:rPr>
          <w:rFonts w:hint="eastAsia" w:hAnsi="宋体"/>
          <w:color w:val="auto"/>
          <w:szCs w:val="21"/>
          <w:highlight w:val="none"/>
        </w:rPr>
        <w:t>。</w:t>
      </w:r>
    </w:p>
    <w:p w14:paraId="65EEC180">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关于发包人向承包人免费提供满足工程施工需要的场内道路和交通设施的约定：</w:t>
      </w:r>
      <w:r>
        <w:rPr>
          <w:rFonts w:hint="eastAsia" w:hAnsi="宋体"/>
          <w:color w:val="auto"/>
          <w:szCs w:val="21"/>
          <w:highlight w:val="none"/>
          <w:u w:val="single"/>
        </w:rPr>
        <w:t>利用现有的场内、外道路和交通设施，如需新建，承包人自行建设，并承担费用</w:t>
      </w:r>
      <w:r>
        <w:rPr>
          <w:rFonts w:hint="eastAsia" w:hAnsi="宋体"/>
          <w:color w:val="auto"/>
          <w:szCs w:val="21"/>
          <w:highlight w:val="none"/>
        </w:rPr>
        <w:t xml:space="preserve">。  </w:t>
      </w:r>
    </w:p>
    <w:p w14:paraId="258B803E">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1.10.4超大件和超重件的运输</w:t>
      </w:r>
    </w:p>
    <w:p w14:paraId="5DCAB96B">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运输超大件或超重件所需的道路和桥梁临时加固改造费用和其他有关费用由</w:t>
      </w:r>
      <w:r>
        <w:rPr>
          <w:rFonts w:hint="eastAsia" w:hAnsi="宋体"/>
          <w:color w:val="auto"/>
          <w:szCs w:val="21"/>
          <w:highlight w:val="none"/>
          <w:u w:val="single"/>
        </w:rPr>
        <w:t xml:space="preserve">  承包人 </w:t>
      </w:r>
      <w:r>
        <w:rPr>
          <w:rFonts w:hint="eastAsia" w:hAnsi="宋体"/>
          <w:color w:val="auto"/>
          <w:szCs w:val="21"/>
          <w:highlight w:val="none"/>
        </w:rPr>
        <w:t>承担。</w:t>
      </w:r>
    </w:p>
    <w:p w14:paraId="2C77258B">
      <w:pPr>
        <w:adjustRightInd w:val="0"/>
        <w:snapToGrid w:val="0"/>
        <w:spacing w:line="360" w:lineRule="auto"/>
        <w:ind w:firstLine="420" w:firstLineChars="200"/>
        <w:jc w:val="left"/>
        <w:rPr>
          <w:rFonts w:hint="eastAsia" w:hAnsi="宋体"/>
          <w:bCs/>
          <w:color w:val="auto"/>
          <w:szCs w:val="21"/>
          <w:highlight w:val="none"/>
        </w:rPr>
      </w:pPr>
      <w:r>
        <w:rPr>
          <w:rFonts w:hint="eastAsia" w:hAnsi="宋体"/>
          <w:bCs/>
          <w:color w:val="auto"/>
          <w:szCs w:val="21"/>
          <w:highlight w:val="none"/>
        </w:rPr>
        <w:t>本工程的超大件：</w:t>
      </w:r>
      <w:r>
        <w:rPr>
          <w:rFonts w:hint="eastAsia" w:hAnsi="宋体"/>
          <w:bCs/>
          <w:color w:val="auto"/>
          <w:szCs w:val="21"/>
          <w:highlight w:val="none"/>
          <w:u w:val="single"/>
        </w:rPr>
        <w:t xml:space="preserve">  /   </w:t>
      </w:r>
      <w:r>
        <w:rPr>
          <w:rFonts w:hint="eastAsia" w:hAnsi="宋体"/>
          <w:bCs/>
          <w:color w:val="auto"/>
          <w:szCs w:val="21"/>
          <w:highlight w:val="none"/>
        </w:rPr>
        <w:t>；</w:t>
      </w:r>
    </w:p>
    <w:p w14:paraId="453A0378">
      <w:pPr>
        <w:adjustRightInd w:val="0"/>
        <w:snapToGrid w:val="0"/>
        <w:spacing w:line="360" w:lineRule="auto"/>
        <w:ind w:firstLine="420" w:firstLineChars="200"/>
        <w:jc w:val="left"/>
        <w:rPr>
          <w:rFonts w:hint="eastAsia" w:hAnsi="宋体"/>
          <w:bCs/>
          <w:color w:val="auto"/>
          <w:szCs w:val="21"/>
          <w:highlight w:val="none"/>
        </w:rPr>
      </w:pPr>
      <w:r>
        <w:rPr>
          <w:rFonts w:hint="eastAsia" w:hAnsi="宋体"/>
          <w:bCs/>
          <w:color w:val="auto"/>
          <w:szCs w:val="21"/>
          <w:highlight w:val="none"/>
        </w:rPr>
        <w:t>本工程的超重件：</w:t>
      </w:r>
      <w:r>
        <w:rPr>
          <w:rFonts w:hint="eastAsia" w:hAnsi="宋体"/>
          <w:bCs/>
          <w:color w:val="auto"/>
          <w:szCs w:val="21"/>
          <w:highlight w:val="none"/>
          <w:u w:val="single"/>
        </w:rPr>
        <w:t xml:space="preserve">  /   </w:t>
      </w:r>
      <w:r>
        <w:rPr>
          <w:rFonts w:hint="eastAsia" w:hAnsi="宋体"/>
          <w:bCs/>
          <w:color w:val="auto"/>
          <w:szCs w:val="21"/>
          <w:highlight w:val="none"/>
        </w:rPr>
        <w:t>；</w:t>
      </w:r>
    </w:p>
    <w:p w14:paraId="5289FEF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1.11 知识产权</w:t>
      </w:r>
    </w:p>
    <w:p w14:paraId="38D0D87B">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1.11.1关于发包人提供给承包人的图纸（如有）、发包人为实施工程自行编制或委托编制的技术规范以及反映发包人关于合同要求或其他类似性质的文件的著作权的归属：</w:t>
      </w:r>
      <w:r>
        <w:rPr>
          <w:rFonts w:hint="eastAsia" w:hAnsi="宋体"/>
          <w:color w:val="auto"/>
          <w:szCs w:val="21"/>
          <w:highlight w:val="none"/>
          <w:u w:val="single"/>
        </w:rPr>
        <w:t>按通用条款执行</w:t>
      </w:r>
      <w:r>
        <w:rPr>
          <w:rFonts w:hint="eastAsia" w:hAnsi="宋体"/>
          <w:color w:val="auto"/>
          <w:szCs w:val="21"/>
          <w:highlight w:val="none"/>
        </w:rPr>
        <w:t>。</w:t>
      </w:r>
    </w:p>
    <w:p w14:paraId="3C5E94D8">
      <w:pPr>
        <w:adjustRightInd w:val="0"/>
        <w:snapToGrid w:val="0"/>
        <w:spacing w:line="360" w:lineRule="auto"/>
        <w:ind w:firstLine="315" w:firstLineChars="150"/>
        <w:rPr>
          <w:rFonts w:hint="eastAsia" w:hAnsi="宋体"/>
          <w:color w:val="auto"/>
          <w:szCs w:val="21"/>
          <w:highlight w:val="none"/>
          <w:u w:val="single"/>
        </w:rPr>
      </w:pPr>
      <w:r>
        <w:rPr>
          <w:rFonts w:hint="eastAsia" w:hAnsi="宋体"/>
          <w:color w:val="auto"/>
          <w:szCs w:val="21"/>
          <w:highlight w:val="none"/>
        </w:rPr>
        <w:t xml:space="preserve"> 关于发包人提供的上述文件的使用限制的要求：</w:t>
      </w:r>
      <w:r>
        <w:rPr>
          <w:rFonts w:hint="eastAsia" w:hAnsi="宋体"/>
          <w:color w:val="auto"/>
          <w:szCs w:val="21"/>
          <w:highlight w:val="none"/>
          <w:u w:val="single"/>
        </w:rPr>
        <w:t>按通用条款执行</w:t>
      </w:r>
      <w:r>
        <w:rPr>
          <w:rFonts w:hint="eastAsia" w:hAnsi="宋体"/>
          <w:color w:val="auto"/>
          <w:szCs w:val="21"/>
          <w:highlight w:val="none"/>
        </w:rPr>
        <w:t xml:space="preserve">。   </w:t>
      </w:r>
    </w:p>
    <w:p w14:paraId="0A3903D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1.11.2 关于承包人为实施工程所编制文件的著作权的归属：</w:t>
      </w:r>
      <w:r>
        <w:rPr>
          <w:rFonts w:hint="eastAsia" w:hAnsi="宋体"/>
          <w:color w:val="auto"/>
          <w:szCs w:val="21"/>
          <w:highlight w:val="none"/>
          <w:u w:val="single"/>
        </w:rPr>
        <w:t>按通用条款执行</w:t>
      </w:r>
      <w:r>
        <w:rPr>
          <w:rFonts w:hint="eastAsia" w:hAnsi="宋体"/>
          <w:color w:val="auto"/>
          <w:szCs w:val="21"/>
          <w:highlight w:val="none"/>
        </w:rPr>
        <w:t>。</w:t>
      </w:r>
    </w:p>
    <w:p w14:paraId="729E6F57">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关于承包人提供的上述文件的使用限制的要求：</w:t>
      </w:r>
      <w:r>
        <w:rPr>
          <w:rFonts w:hint="eastAsia" w:hAnsi="宋体"/>
          <w:color w:val="auto"/>
          <w:szCs w:val="21"/>
          <w:highlight w:val="none"/>
          <w:u w:val="single"/>
        </w:rPr>
        <w:t>按通用条款执行</w:t>
      </w:r>
      <w:r>
        <w:rPr>
          <w:rFonts w:hint="eastAsia" w:hAnsi="宋体"/>
          <w:color w:val="auto"/>
          <w:szCs w:val="21"/>
          <w:highlight w:val="none"/>
        </w:rPr>
        <w:t>。</w:t>
      </w:r>
    </w:p>
    <w:p w14:paraId="79D549CA">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1.11.4 承包人在施工过程中所采用的专利、专有技术、技术秘密的使用费的承担方式：</w:t>
      </w:r>
      <w:r>
        <w:rPr>
          <w:rFonts w:hint="eastAsia" w:hAnsi="宋体"/>
          <w:b/>
          <w:color w:val="auto"/>
          <w:szCs w:val="21"/>
          <w:highlight w:val="none"/>
          <w:u w:val="single"/>
        </w:rPr>
        <w:t>（除发包人指明外）承包人在施工过程中所采用的专利、专有技术、技术秘密的使用费包含在合同价款内</w:t>
      </w:r>
      <w:r>
        <w:rPr>
          <w:rFonts w:hint="eastAsia" w:hAnsi="宋体"/>
          <w:b/>
          <w:color w:val="auto"/>
          <w:szCs w:val="21"/>
          <w:highlight w:val="none"/>
        </w:rPr>
        <w:t>。</w:t>
      </w:r>
    </w:p>
    <w:p w14:paraId="66C8CA0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1.13工程量清单错误的修正</w:t>
      </w:r>
    </w:p>
    <w:p w14:paraId="244999E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出现工程量清单错误时，是否调整合同价格：</w:t>
      </w:r>
      <w:r>
        <w:rPr>
          <w:rFonts w:hint="eastAsia" w:hAnsi="宋体"/>
          <w:color w:val="auto"/>
          <w:szCs w:val="21"/>
          <w:highlight w:val="none"/>
          <w:u w:val="single"/>
        </w:rPr>
        <w:t xml:space="preserve">   /  </w:t>
      </w:r>
      <w:r>
        <w:rPr>
          <w:rFonts w:hint="eastAsia" w:hAnsi="宋体"/>
          <w:b/>
          <w:color w:val="auto"/>
          <w:szCs w:val="21"/>
          <w:highlight w:val="none"/>
        </w:rPr>
        <w:t>；</w:t>
      </w:r>
    </w:p>
    <w:p w14:paraId="67140E0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允许调整合同价格的工程量偏差范围： </w:t>
      </w:r>
      <w:r>
        <w:rPr>
          <w:rFonts w:hint="eastAsia" w:hAnsi="宋体"/>
          <w:color w:val="auto"/>
          <w:szCs w:val="21"/>
          <w:highlight w:val="none"/>
          <w:u w:val="single"/>
        </w:rPr>
        <w:t xml:space="preserve">     /       </w:t>
      </w:r>
      <w:r>
        <w:rPr>
          <w:rFonts w:hint="eastAsia" w:hAnsi="宋体"/>
          <w:color w:val="auto"/>
          <w:szCs w:val="21"/>
          <w:highlight w:val="none"/>
        </w:rPr>
        <w:t>；</w:t>
      </w:r>
    </w:p>
    <w:p w14:paraId="29D8469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调整合同价格的修正时间：</w:t>
      </w:r>
      <w:r>
        <w:rPr>
          <w:rFonts w:hint="eastAsia" w:hAnsi="宋体"/>
          <w:color w:val="auto"/>
          <w:szCs w:val="21"/>
          <w:highlight w:val="none"/>
          <w:u w:val="single"/>
        </w:rPr>
        <w:t>除本合同专用条款另有约定外，合同价格不调整</w:t>
      </w:r>
      <w:r>
        <w:rPr>
          <w:rFonts w:hint="eastAsia" w:hAnsi="宋体"/>
          <w:color w:val="auto"/>
          <w:szCs w:val="21"/>
          <w:highlight w:val="none"/>
        </w:rPr>
        <w:t>。</w:t>
      </w:r>
    </w:p>
    <w:p w14:paraId="0B60857D">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2. 发包人</w:t>
      </w:r>
    </w:p>
    <w:p w14:paraId="7E1CFAD0">
      <w:pPr>
        <w:adjustRightInd w:val="0"/>
        <w:snapToGrid w:val="0"/>
        <w:spacing w:line="360" w:lineRule="auto"/>
        <w:ind w:left="149" w:leftChars="71" w:firstLine="308" w:firstLineChars="147"/>
        <w:rPr>
          <w:rFonts w:hint="eastAsia" w:hAnsi="宋体"/>
          <w:bCs/>
          <w:color w:val="auto"/>
          <w:szCs w:val="21"/>
          <w:highlight w:val="none"/>
        </w:rPr>
      </w:pPr>
      <w:r>
        <w:rPr>
          <w:rFonts w:hint="eastAsia" w:hAnsi="宋体"/>
          <w:bCs/>
          <w:color w:val="auto"/>
          <w:szCs w:val="21"/>
          <w:highlight w:val="none"/>
        </w:rPr>
        <w:t>发包人应根据工程所需配备发包人代表，同时配备1-2名相关人员到岗履职。</w:t>
      </w:r>
    </w:p>
    <w:p w14:paraId="59BEEB7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2.2 发包人代表</w:t>
      </w:r>
    </w:p>
    <w:p w14:paraId="755BA1D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发包人代表：</w:t>
      </w:r>
    </w:p>
    <w:p w14:paraId="718CD79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姓    名：</w:t>
      </w:r>
      <w:r>
        <w:rPr>
          <w:rFonts w:hint="eastAsia" w:ascii="MingLiU_HKSCS" w:hAnsi="MingLiU_HKSCS" w:eastAsia="MingLiU_HKSCS" w:cs="MingLiU_HKSCS"/>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58023F9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身份证号：</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2D42E46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职    务：</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2326FA8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1278C7A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ascii="MingLiU_HKSCS" w:hAnsi="MingLiU_HKSCS" w:cs="MingLiU_HKSCS"/>
          <w:color w:val="auto"/>
          <w:szCs w:val="21"/>
          <w:highlight w:val="none"/>
          <w:u w:val="single"/>
        </w:rPr>
        <w:t xml:space="preserve">       </w:t>
      </w:r>
      <w:r>
        <w:rPr>
          <w:rFonts w:hint="eastAsia" w:hAnsi="宋体" w:cs="仿宋_GB2312"/>
          <w:color w:val="auto"/>
          <w:szCs w:val="21"/>
          <w:highlight w:val="none"/>
          <w:u w:val="single"/>
        </w:rPr>
        <w:t xml:space="preserve">            </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2FABCAB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电子信箱：</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2653839E">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通信地址：</w:t>
      </w:r>
      <w:r>
        <w:rPr>
          <w:rFonts w:hint="eastAsia" w:ascii="MingLiU_HKSCS" w:hAnsi="MingLiU_HKSCS" w:cs="MingLiU_HKSCS"/>
          <w:color w:val="auto"/>
          <w:szCs w:val="21"/>
          <w:highlight w:val="none"/>
          <w:u w:val="single"/>
        </w:rPr>
        <w:t xml:space="preserve">                              </w:t>
      </w:r>
      <w:r>
        <w:rPr>
          <w:rFonts w:hint="eastAsia" w:hAnsi="宋体"/>
          <w:color w:val="auto"/>
          <w:szCs w:val="21"/>
          <w:highlight w:val="none"/>
        </w:rPr>
        <w:t>。</w:t>
      </w:r>
    </w:p>
    <w:p w14:paraId="155850A6">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发包人对发包人代表的授权范围如下：</w:t>
      </w:r>
      <w:r>
        <w:rPr>
          <w:rFonts w:hint="eastAsia" w:hAnsi="宋体"/>
          <w:color w:val="auto"/>
          <w:szCs w:val="21"/>
          <w:highlight w:val="none"/>
          <w:u w:val="single"/>
        </w:rPr>
        <w:t>全面实施质量、安全、进度、投资、文明施工管理，涉及合同价格变更、安全事故、质量事故等重大事项的处理须经校园建设处领导班子签字同意</w:t>
      </w:r>
      <w:r>
        <w:rPr>
          <w:rFonts w:hint="eastAsia" w:hAnsi="宋体"/>
          <w:color w:val="auto"/>
          <w:szCs w:val="21"/>
          <w:highlight w:val="none"/>
        </w:rPr>
        <w:t>。</w:t>
      </w:r>
    </w:p>
    <w:p w14:paraId="029C789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2.4 施工现场、施工条件和基础资料的提供</w:t>
      </w:r>
    </w:p>
    <w:p w14:paraId="5053471D">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2.4.1 提供施工现场</w:t>
      </w:r>
    </w:p>
    <w:p w14:paraId="51EECC4C">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关于发包人移交施工现场的期限要求：</w:t>
      </w:r>
      <w:r>
        <w:rPr>
          <w:rFonts w:hint="eastAsia" w:hAnsi="宋体"/>
          <w:color w:val="auto"/>
          <w:szCs w:val="21"/>
          <w:highlight w:val="none"/>
          <w:u w:val="single"/>
        </w:rPr>
        <w:t>按通用条款执行</w:t>
      </w:r>
      <w:r>
        <w:rPr>
          <w:rFonts w:hint="eastAsia" w:hAnsi="宋体"/>
          <w:color w:val="auto"/>
          <w:szCs w:val="21"/>
          <w:highlight w:val="none"/>
        </w:rPr>
        <w:t>。</w:t>
      </w:r>
    </w:p>
    <w:p w14:paraId="3A62881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2.4.2 提供施工条件</w:t>
      </w:r>
    </w:p>
    <w:p w14:paraId="0D08489B">
      <w:pPr>
        <w:autoSpaceDE w:val="0"/>
        <w:autoSpaceDN w:val="0"/>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关于发包人应负责提供施工所需要的条件，包括：</w:t>
      </w:r>
      <w:r>
        <w:rPr>
          <w:rFonts w:hint="eastAsia" w:hAnsi="宋体"/>
          <w:color w:val="auto"/>
          <w:szCs w:val="21"/>
          <w:highlight w:val="none"/>
          <w:u w:val="single"/>
        </w:rPr>
        <w:t>除通用合同条款第2.4.2条规定外，开工日3天前，由发包人向承包人进行工程交底。</w:t>
      </w:r>
    </w:p>
    <w:p w14:paraId="3E1B7BF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2.5 资金来源证明及支付担保</w:t>
      </w:r>
    </w:p>
    <w:p w14:paraId="663AF64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发包人提供资金来源证明的期限要求：</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63581A5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发包人是否提供支付担保：</w:t>
      </w:r>
      <w:r>
        <w:rPr>
          <w:rFonts w:hint="eastAsia" w:hAnsi="宋体"/>
          <w:color w:val="auto"/>
          <w:szCs w:val="21"/>
          <w:highlight w:val="none"/>
          <w:u w:val="single"/>
        </w:rPr>
        <w:t>不提供</w:t>
      </w:r>
      <w:r>
        <w:rPr>
          <w:rFonts w:hint="eastAsia" w:hAnsi="宋体"/>
          <w:color w:val="auto"/>
          <w:szCs w:val="21"/>
          <w:highlight w:val="none"/>
        </w:rPr>
        <w:t>。</w:t>
      </w:r>
    </w:p>
    <w:p w14:paraId="21751FBC">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发包人提供支付担保的形式：</w:t>
      </w:r>
      <w:r>
        <w:rPr>
          <w:rFonts w:hint="eastAsia" w:hAnsi="宋体"/>
          <w:color w:val="auto"/>
          <w:szCs w:val="21"/>
          <w:highlight w:val="none"/>
          <w:u w:val="single"/>
        </w:rPr>
        <w:t xml:space="preserve">    /    </w:t>
      </w:r>
      <w:r>
        <w:rPr>
          <w:rFonts w:hint="eastAsia" w:hAnsi="宋体"/>
          <w:color w:val="auto"/>
          <w:szCs w:val="21"/>
          <w:highlight w:val="none"/>
        </w:rPr>
        <w:t>。</w:t>
      </w:r>
    </w:p>
    <w:p w14:paraId="728FBDA5">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3. 承包人</w:t>
      </w:r>
    </w:p>
    <w:p w14:paraId="1CE68DF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3.1 承包人的一般义务</w:t>
      </w:r>
    </w:p>
    <w:p w14:paraId="2DEB0029">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（5）承包人提交的竣工资料的内容：</w:t>
      </w:r>
      <w:r>
        <w:rPr>
          <w:rFonts w:hint="eastAsia" w:hAnsi="宋体"/>
          <w:color w:val="auto"/>
          <w:szCs w:val="21"/>
          <w:highlight w:val="none"/>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w:t>
      </w:r>
      <w:r>
        <w:rPr>
          <w:rFonts w:hint="eastAsia" w:hAnsi="宋体"/>
          <w:color w:val="auto"/>
          <w:szCs w:val="21"/>
          <w:highlight w:val="none"/>
        </w:rPr>
        <w:t>承包人需要提交的竣工资料套数：</w:t>
      </w:r>
      <w:r>
        <w:rPr>
          <w:rFonts w:hint="eastAsia" w:hAnsi="宋体"/>
          <w:color w:val="auto"/>
          <w:szCs w:val="21"/>
          <w:highlight w:val="none"/>
          <w:u w:val="single"/>
        </w:rPr>
        <w:t>一式四份</w:t>
      </w:r>
      <w:r>
        <w:rPr>
          <w:rFonts w:hint="eastAsia" w:hAnsi="宋体"/>
          <w:color w:val="auto"/>
          <w:szCs w:val="21"/>
          <w:highlight w:val="none"/>
        </w:rPr>
        <w:t xml:space="preserve">。  </w:t>
      </w:r>
    </w:p>
    <w:p w14:paraId="69ADA72F">
      <w:pPr>
        <w:adjustRightInd w:val="0"/>
        <w:snapToGrid w:val="0"/>
        <w:spacing w:line="360" w:lineRule="auto"/>
        <w:ind w:firstLine="210" w:firstLineChars="100"/>
        <w:jc w:val="left"/>
        <w:rPr>
          <w:rFonts w:hint="eastAsia" w:hAnsi="宋体"/>
          <w:color w:val="auto"/>
          <w:szCs w:val="21"/>
          <w:highlight w:val="none"/>
        </w:rPr>
      </w:pPr>
      <w:r>
        <w:rPr>
          <w:rFonts w:hint="eastAsia" w:hAnsi="宋体"/>
          <w:color w:val="auto"/>
          <w:szCs w:val="21"/>
          <w:highlight w:val="none"/>
        </w:rPr>
        <w:t xml:space="preserve">  承包人提交的竣工资料的费用承担：</w:t>
      </w:r>
      <w:r>
        <w:rPr>
          <w:rFonts w:hint="eastAsia" w:hAnsi="宋体"/>
          <w:color w:val="auto"/>
          <w:szCs w:val="21"/>
          <w:highlight w:val="none"/>
          <w:u w:val="single"/>
        </w:rPr>
        <w:t>承包人承担</w:t>
      </w:r>
      <w:r>
        <w:rPr>
          <w:rFonts w:hint="eastAsia" w:hAnsi="宋体"/>
          <w:color w:val="auto"/>
          <w:szCs w:val="21"/>
          <w:highlight w:val="none"/>
        </w:rPr>
        <w:t>。</w:t>
      </w:r>
    </w:p>
    <w:p w14:paraId="79416B69">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承包人提交的竣工资料移交时间：</w:t>
      </w:r>
      <w:r>
        <w:rPr>
          <w:rFonts w:hint="eastAsia" w:hAnsi="宋体"/>
          <w:color w:val="auto"/>
          <w:szCs w:val="21"/>
          <w:highlight w:val="none"/>
          <w:u w:val="single"/>
        </w:rPr>
        <w:t>工程竣工验收前20天内</w:t>
      </w:r>
      <w:r>
        <w:rPr>
          <w:rFonts w:hint="eastAsia" w:hAnsi="宋体"/>
          <w:color w:val="auto"/>
          <w:szCs w:val="21"/>
          <w:highlight w:val="none"/>
        </w:rPr>
        <w:t>。</w:t>
      </w:r>
    </w:p>
    <w:p w14:paraId="05FC9175">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（6）承包人应履行的其他义务：</w:t>
      </w:r>
    </w:p>
    <w:p w14:paraId="4BC6CE67">
      <w:pPr>
        <w:tabs>
          <w:tab w:val="left" w:pos="1080"/>
        </w:tabs>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①应提供计划、报表的名称及完成时间:</w:t>
      </w:r>
      <w:r>
        <w:rPr>
          <w:rFonts w:hint="eastAsia" w:hAnsi="宋体"/>
          <w:color w:val="auto"/>
          <w:szCs w:val="21"/>
          <w:highlight w:val="none"/>
          <w:u w:val="single"/>
        </w:rPr>
        <w:t>开工后提供施工组织计划和进度计划。上报项目班子人员名单（在投标时提供）。</w:t>
      </w:r>
    </w:p>
    <w:p w14:paraId="22B84427">
      <w:pPr>
        <w:tabs>
          <w:tab w:val="left" w:pos="1080"/>
        </w:tabs>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 xml:space="preserve">②承担施工安全保卫工作及非夜间施工照明的责任和要求: </w:t>
      </w:r>
      <w:r>
        <w:rPr>
          <w:rFonts w:hint="eastAsia" w:hAnsi="宋体"/>
          <w:color w:val="auto"/>
          <w:szCs w:val="21"/>
          <w:highlight w:val="none"/>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hAnsi="宋体"/>
          <w:color w:val="auto"/>
          <w:szCs w:val="21"/>
          <w:highlight w:val="none"/>
        </w:rPr>
        <w:t xml:space="preserve">。 </w:t>
      </w:r>
    </w:p>
    <w:p w14:paraId="4FE3209F">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③向发包人提供的办公和生活房屋及设施的要求:</w:t>
      </w:r>
      <w:r>
        <w:rPr>
          <w:rFonts w:hint="eastAsia" w:hAnsi="宋体"/>
          <w:color w:val="auto"/>
          <w:szCs w:val="21"/>
          <w:highlight w:val="none"/>
          <w:u w:val="single"/>
        </w:rPr>
        <w:t xml:space="preserve">    /    </w:t>
      </w:r>
      <w:r>
        <w:rPr>
          <w:rFonts w:hint="eastAsia" w:hAnsi="宋体"/>
          <w:color w:val="auto"/>
          <w:szCs w:val="21"/>
          <w:highlight w:val="none"/>
        </w:rPr>
        <w:t>。</w:t>
      </w:r>
    </w:p>
    <w:p w14:paraId="5F078A4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④需承包人办理的有关施工场地交通、环卫和施工噪音管理等手续:</w:t>
      </w:r>
      <w:r>
        <w:rPr>
          <w:rFonts w:hint="eastAsia" w:hAnsi="宋体"/>
          <w:color w:val="auto"/>
          <w:szCs w:val="21"/>
          <w:highlight w:val="none"/>
          <w:u w:val="single"/>
        </w:rPr>
        <w:t xml:space="preserve"> 按 “双标化”要求管理，相关手续由承包人自行办理，相应费用已包含在合同总价内</w:t>
      </w:r>
      <w:r>
        <w:rPr>
          <w:rFonts w:hint="eastAsia" w:hAnsi="宋体"/>
          <w:color w:val="auto"/>
          <w:szCs w:val="21"/>
          <w:highlight w:val="none"/>
        </w:rPr>
        <w:t>。</w:t>
      </w:r>
    </w:p>
    <w:p w14:paraId="3F804AC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⑤完工工程成品保护的特殊要求及费用承担:</w:t>
      </w:r>
      <w:r>
        <w:rPr>
          <w:rFonts w:hint="eastAsia" w:hAnsi="宋体"/>
          <w:color w:val="auto"/>
          <w:szCs w:val="21"/>
          <w:highlight w:val="none"/>
          <w:u w:val="single"/>
        </w:rPr>
        <w:t>工程未正式办理交接手续前，成品保护由承包人完全负责（包括所需费用），如果保护期间发生损坏，承包人须自费予以修复，直至发包人满意为止</w:t>
      </w:r>
      <w:r>
        <w:rPr>
          <w:rFonts w:hint="eastAsia" w:hAnsi="宋体"/>
          <w:color w:val="auto"/>
          <w:szCs w:val="21"/>
          <w:highlight w:val="none"/>
        </w:rPr>
        <w:t>。</w:t>
      </w:r>
    </w:p>
    <w:p w14:paraId="709A942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⑥施工场地周围地下管线和邻近建筑物、构筑物(含文物保护建筑)、古树名木、校园绿化、校园道路的保护要求及费用承担:</w:t>
      </w:r>
      <w:r>
        <w:rPr>
          <w:rFonts w:hint="eastAsia" w:hAnsi="宋体"/>
          <w:color w:val="auto"/>
          <w:szCs w:val="21"/>
          <w:highlight w:val="none"/>
          <w:u w:val="single"/>
        </w:rPr>
        <w:t xml:space="preserve"> 承包人应采取相应保护措施，并承担费用。如因承包人原因造成损坏的，则因承担相应赔偿责任并无条件修复</w:t>
      </w:r>
      <w:r>
        <w:rPr>
          <w:rFonts w:hint="eastAsia" w:hAnsi="宋体"/>
          <w:color w:val="auto"/>
          <w:szCs w:val="21"/>
          <w:highlight w:val="none"/>
        </w:rPr>
        <w:t xml:space="preserve">。  </w:t>
      </w:r>
    </w:p>
    <w:p w14:paraId="5865624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⑦施工现场清洁卫生的要求：</w:t>
      </w:r>
      <w:r>
        <w:rPr>
          <w:rFonts w:hint="eastAsia" w:hAnsi="宋体"/>
          <w:color w:val="auto"/>
          <w:szCs w:val="21"/>
          <w:highlight w:val="none"/>
          <w:u w:val="single"/>
        </w:rPr>
        <w:t>每天清扫一次现场公共部位，工程完工后2天内现场应清除所有不再需要的临时工程，承包人的设备和多余材料、全部建筑和生活垃圾等。</w:t>
      </w:r>
      <w:r>
        <w:rPr>
          <w:rFonts w:hint="eastAsia" w:hAnsi="宋体"/>
          <w:color w:val="auto"/>
          <w:szCs w:val="21"/>
          <w:highlight w:val="none"/>
        </w:rPr>
        <w:t xml:space="preserve">  </w:t>
      </w:r>
    </w:p>
    <w:p w14:paraId="08072CE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⑧双方约定承包人应做的其他工作：</w:t>
      </w:r>
      <w:r>
        <w:rPr>
          <w:rFonts w:hint="eastAsia" w:hAnsi="宋体"/>
          <w:color w:val="auto"/>
          <w:szCs w:val="21"/>
          <w:highlight w:val="none"/>
          <w:u w:val="single"/>
        </w:rPr>
        <w:t>施工期间，施工场地应不影响学校正常通行</w:t>
      </w:r>
      <w:r>
        <w:rPr>
          <w:rFonts w:hint="eastAsia" w:hAnsi="宋体"/>
          <w:color w:val="auto"/>
          <w:szCs w:val="21"/>
          <w:highlight w:val="none"/>
        </w:rPr>
        <w:t>。</w:t>
      </w:r>
    </w:p>
    <w:p w14:paraId="6D8F580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3.2 项目经理</w:t>
      </w:r>
    </w:p>
    <w:p w14:paraId="66B5C63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3.2.1 项目经理：</w:t>
      </w:r>
    </w:p>
    <w:p w14:paraId="1CC35460">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姓    名：</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65E30FC3">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身份证号：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4B31FAB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建造师执业资格等级：</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AAE1C29">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建造师注册证书号：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47AAB6D5">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建造师执业印章号：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6D7F5B7C">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安全生产考核合格证书号：</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A28CCA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联系电话：</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F8C451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电子信箱：</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08373691">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通信地址：</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u w:val="single"/>
        </w:rPr>
        <w:t xml:space="preserve"> </w:t>
      </w:r>
      <w:r>
        <w:rPr>
          <w:rFonts w:hint="eastAsia" w:hAnsi="宋体" w:cs="仿宋_GB2312"/>
          <w:color w:val="auto"/>
          <w:szCs w:val="21"/>
          <w:highlight w:val="none"/>
          <w:u w:val="single"/>
        </w:rPr>
        <w:t></w:t>
      </w:r>
      <w:r>
        <w:rPr>
          <w:rFonts w:hint="eastAsia" w:hAnsi="宋体"/>
          <w:color w:val="auto"/>
          <w:szCs w:val="21"/>
          <w:highlight w:val="none"/>
        </w:rPr>
        <w:t>；</w:t>
      </w:r>
    </w:p>
    <w:p w14:paraId="5F2E10C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承包人对项目经理的授权范围如下：</w:t>
      </w:r>
      <w:r>
        <w:rPr>
          <w:rFonts w:hint="eastAsia" w:hAnsi="宋体"/>
          <w:color w:val="auto"/>
          <w:szCs w:val="21"/>
          <w:highlight w:val="none"/>
          <w:u w:val="single"/>
        </w:rPr>
        <w:t>全面负责本工程的质量、安全、工期及成本控制</w:t>
      </w:r>
      <w:r>
        <w:rPr>
          <w:rFonts w:hint="eastAsia" w:hAnsi="宋体"/>
          <w:color w:val="auto"/>
          <w:szCs w:val="21"/>
          <w:highlight w:val="none"/>
        </w:rPr>
        <w:t>。</w:t>
      </w:r>
    </w:p>
    <w:p w14:paraId="7DC4A145">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关于项目经理每月在施工现场的时间要求：</w:t>
      </w:r>
      <w:r>
        <w:rPr>
          <w:rFonts w:hint="eastAsia" w:hAnsi="宋体"/>
          <w:color w:val="auto"/>
          <w:szCs w:val="21"/>
          <w:highlight w:val="none"/>
          <w:u w:val="single"/>
        </w:rPr>
        <w:t>到位率为80%(按每月25 天，每天工作8 小时考勤)，重要施工工序或环节时项目经理、技术负责人等必须到场</w:t>
      </w:r>
      <w:r>
        <w:rPr>
          <w:rFonts w:hint="eastAsia" w:hAnsi="宋体"/>
          <w:color w:val="auto"/>
          <w:szCs w:val="21"/>
          <w:highlight w:val="none"/>
        </w:rPr>
        <w:t>。</w:t>
      </w:r>
    </w:p>
    <w:p w14:paraId="04BE8781">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承包人未提交劳动合同，以及没有为项目经理缴纳社会保险证明的违约责任：</w:t>
      </w:r>
      <w:r>
        <w:rPr>
          <w:rFonts w:hint="eastAsia" w:hAnsi="宋体"/>
          <w:color w:val="auto"/>
          <w:szCs w:val="21"/>
          <w:highlight w:val="none"/>
          <w:u w:val="single"/>
        </w:rPr>
        <w:t xml:space="preserve">  /  </w:t>
      </w:r>
      <w:r>
        <w:rPr>
          <w:rFonts w:hint="eastAsia" w:hAnsi="宋体"/>
          <w:color w:val="auto"/>
          <w:szCs w:val="21"/>
          <w:highlight w:val="none"/>
        </w:rPr>
        <w:t>。</w:t>
      </w:r>
    </w:p>
    <w:p w14:paraId="4E228CD6">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项目经理未经批准，擅自离开施工现场的违约责任：</w:t>
      </w:r>
      <w:r>
        <w:rPr>
          <w:rFonts w:hint="eastAsia" w:hAnsi="宋体"/>
          <w:color w:val="auto"/>
          <w:szCs w:val="21"/>
          <w:highlight w:val="none"/>
          <w:u w:val="single"/>
        </w:rPr>
        <w:t xml:space="preserve"> 按违约金人民币1000元/天从结算款中扣除</w:t>
      </w:r>
      <w:r>
        <w:rPr>
          <w:rFonts w:hint="eastAsia" w:hAnsi="宋体"/>
          <w:color w:val="auto"/>
          <w:szCs w:val="21"/>
          <w:highlight w:val="none"/>
        </w:rPr>
        <w:t>。</w:t>
      </w:r>
    </w:p>
    <w:p w14:paraId="4EBD7F90">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3.2.3 承包人擅自更换项目经理的违约责任：</w:t>
      </w:r>
    </w:p>
    <w:p w14:paraId="5F8BD55F">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（1）承包人确需更换项目经理的，继任项目经理注册执业资格、管理经验的约定：</w:t>
      </w:r>
      <w:r>
        <w:rPr>
          <w:rFonts w:hint="eastAsia" w:hAnsi="宋体"/>
          <w:color w:val="auto"/>
          <w:szCs w:val="21"/>
          <w:highlight w:val="none"/>
          <w:u w:val="single"/>
        </w:rPr>
        <w:t xml:space="preserve">  /  </w:t>
      </w:r>
      <w:r>
        <w:rPr>
          <w:rFonts w:hint="eastAsia" w:hAnsi="宋体"/>
          <w:color w:val="auto"/>
          <w:szCs w:val="21"/>
          <w:highlight w:val="none"/>
        </w:rPr>
        <w:t>。</w:t>
      </w:r>
    </w:p>
    <w:p w14:paraId="7EDD66D2">
      <w:pPr>
        <w:adjustRightInd w:val="0"/>
        <w:snapToGrid w:val="0"/>
        <w:spacing w:line="360" w:lineRule="auto"/>
        <w:ind w:firstLine="426"/>
        <w:rPr>
          <w:rFonts w:hint="eastAsia" w:hAnsi="宋体"/>
          <w:dstrike/>
          <w:color w:val="auto"/>
          <w:szCs w:val="21"/>
          <w:highlight w:val="none"/>
          <w:u w:val="single"/>
        </w:rPr>
      </w:pPr>
      <w:r>
        <w:rPr>
          <w:rFonts w:hint="eastAsia" w:hAnsi="宋体"/>
          <w:color w:val="auto"/>
          <w:szCs w:val="21"/>
          <w:highlight w:val="none"/>
        </w:rPr>
        <w:t>（2）承包人擅自更换项目经理的违约责任：</w:t>
      </w:r>
      <w:r>
        <w:rPr>
          <w:rFonts w:hint="eastAsia" w:hAnsi="宋体"/>
          <w:color w:val="auto"/>
          <w:szCs w:val="21"/>
          <w:highlight w:val="none"/>
          <w:u w:val="single"/>
        </w:rPr>
        <w:t xml:space="preserve">  / </w:t>
      </w:r>
      <w:r>
        <w:rPr>
          <w:rFonts w:hint="eastAsia" w:hAnsi="宋体"/>
          <w:color w:val="auto"/>
          <w:szCs w:val="21"/>
          <w:highlight w:val="none"/>
        </w:rPr>
        <w:t>。</w:t>
      </w:r>
      <w:r>
        <w:rPr>
          <w:rFonts w:hint="eastAsia" w:hAnsi="宋体"/>
          <w:color w:val="auto"/>
          <w:szCs w:val="21"/>
          <w:highlight w:val="none"/>
          <w:u w:val="single"/>
        </w:rPr>
        <w:t xml:space="preserve">  </w:t>
      </w:r>
    </w:p>
    <w:p w14:paraId="2F15D2EB">
      <w:pPr>
        <w:adjustRightInd w:val="0"/>
        <w:snapToGrid w:val="0"/>
        <w:spacing w:line="360" w:lineRule="auto"/>
        <w:ind w:firstLine="420" w:firstLineChars="200"/>
        <w:rPr>
          <w:rFonts w:hint="eastAsia" w:hAnsi="宋体"/>
          <w:dstrike/>
          <w:color w:val="auto"/>
          <w:szCs w:val="21"/>
          <w:highlight w:val="none"/>
          <w:u w:val="single"/>
        </w:rPr>
      </w:pPr>
      <w:r>
        <w:rPr>
          <w:rFonts w:hint="eastAsia" w:hAnsi="宋体"/>
          <w:color w:val="auto"/>
          <w:szCs w:val="21"/>
          <w:highlight w:val="none"/>
        </w:rPr>
        <w:t>3.2.4 承包人无正当理由拒绝更换项目经理的违约责任：</w:t>
      </w:r>
      <w:r>
        <w:rPr>
          <w:rFonts w:hint="eastAsia" w:hAnsi="宋体"/>
          <w:color w:val="auto"/>
          <w:szCs w:val="21"/>
          <w:highlight w:val="none"/>
          <w:u w:val="single"/>
        </w:rPr>
        <w:t xml:space="preserve"> 从结算款中扣除2000元/人/次的违约金</w:t>
      </w:r>
      <w:r>
        <w:rPr>
          <w:rFonts w:hint="eastAsia" w:hAnsi="宋体"/>
          <w:color w:val="auto"/>
          <w:szCs w:val="21"/>
          <w:highlight w:val="none"/>
        </w:rPr>
        <w:t>。</w:t>
      </w:r>
    </w:p>
    <w:p w14:paraId="0D492D94">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3.3 承包人人员</w:t>
      </w:r>
    </w:p>
    <w:p w14:paraId="23647A18">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3.3.1 承包人提交项目管理机构及施工现场管理人员安排报告的期限：</w:t>
      </w:r>
      <w:r>
        <w:rPr>
          <w:rFonts w:hint="eastAsia" w:hAnsi="宋体"/>
          <w:color w:val="auto"/>
          <w:szCs w:val="21"/>
          <w:highlight w:val="none"/>
          <w:u w:val="single"/>
        </w:rPr>
        <w:t>合同生效后7天内</w:t>
      </w:r>
      <w:r>
        <w:rPr>
          <w:rFonts w:hint="eastAsia" w:hAnsi="宋体"/>
          <w:color w:val="auto"/>
          <w:szCs w:val="21"/>
          <w:highlight w:val="none"/>
        </w:rPr>
        <w:t>。</w:t>
      </w:r>
    </w:p>
    <w:p w14:paraId="331F509F">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3.3.2 承包人需更换主要施工管理人员的，继任人员的数量、注册执业资格、管理经验的约定：</w:t>
      </w:r>
      <w:r>
        <w:rPr>
          <w:rFonts w:hint="eastAsia" w:hAnsi="宋体"/>
          <w:color w:val="auto"/>
          <w:szCs w:val="21"/>
          <w:highlight w:val="none"/>
          <w:u w:val="single"/>
        </w:rPr>
        <w:t>不得低于原主要施工管理人员的数量、注册执业资格、管理经验</w:t>
      </w:r>
      <w:r>
        <w:rPr>
          <w:rFonts w:hint="eastAsia" w:hAnsi="宋体"/>
          <w:color w:val="auto"/>
          <w:szCs w:val="21"/>
          <w:highlight w:val="none"/>
        </w:rPr>
        <w:t>。</w:t>
      </w:r>
    </w:p>
    <w:p w14:paraId="6F65E5A9">
      <w:pPr>
        <w:adjustRightInd w:val="0"/>
        <w:snapToGrid w:val="0"/>
        <w:spacing w:line="360" w:lineRule="auto"/>
        <w:ind w:firstLine="396" w:firstLineChars="189"/>
        <w:rPr>
          <w:rFonts w:hint="eastAsia" w:hAnsi="宋体"/>
          <w:color w:val="auto"/>
          <w:szCs w:val="21"/>
          <w:highlight w:val="none"/>
        </w:rPr>
      </w:pPr>
      <w:r>
        <w:rPr>
          <w:rFonts w:hint="eastAsia" w:hAnsi="宋体"/>
          <w:color w:val="auto"/>
          <w:szCs w:val="21"/>
          <w:highlight w:val="none"/>
        </w:rPr>
        <w:t>3.3.3 承包人无正当理由拒绝撤换主要施工管理人员的违约责任：</w:t>
      </w:r>
      <w:r>
        <w:rPr>
          <w:rFonts w:hint="eastAsia" w:hAnsi="宋体"/>
          <w:color w:val="auto"/>
          <w:szCs w:val="21"/>
          <w:highlight w:val="none"/>
          <w:u w:val="single"/>
        </w:rPr>
        <w:t>从结算款中扣除1000元/人/次的违约金</w:t>
      </w:r>
      <w:r>
        <w:rPr>
          <w:rFonts w:hint="eastAsia" w:hAnsi="宋体"/>
          <w:color w:val="auto"/>
          <w:szCs w:val="21"/>
          <w:highlight w:val="none"/>
        </w:rPr>
        <w:t>。</w:t>
      </w:r>
    </w:p>
    <w:p w14:paraId="22459CF6">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3.3.4 承包人主要施工管理人员离开施工现场的批准要求：</w:t>
      </w:r>
      <w:r>
        <w:rPr>
          <w:rFonts w:hint="eastAsia" w:hAnsi="宋体"/>
          <w:color w:val="auto"/>
          <w:szCs w:val="21"/>
          <w:highlight w:val="none"/>
          <w:u w:val="single"/>
        </w:rPr>
        <w:t>按通用条款执行</w:t>
      </w:r>
      <w:r>
        <w:rPr>
          <w:rFonts w:hint="eastAsia" w:hAnsi="宋体"/>
          <w:color w:val="auto"/>
          <w:szCs w:val="21"/>
          <w:highlight w:val="none"/>
        </w:rPr>
        <w:t>。</w:t>
      </w:r>
    </w:p>
    <w:p w14:paraId="6AA8DE60">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3.3.5承包人擅自更换主要施工管理人员的违约责任：</w:t>
      </w:r>
      <w:r>
        <w:rPr>
          <w:rFonts w:hint="eastAsia" w:hAnsi="宋体"/>
          <w:color w:val="auto"/>
          <w:szCs w:val="21"/>
          <w:highlight w:val="none"/>
          <w:u w:val="single"/>
        </w:rPr>
        <w:t>在施工期间不准更换，特殊情况要求更换的，须经发包人同意备案。承包人更换技术负责人、施工员的将被视为承包人违约，并按照1000元/人/次付给发包人违约金</w:t>
      </w:r>
      <w:r>
        <w:rPr>
          <w:rFonts w:hint="eastAsia" w:hAnsi="宋体"/>
          <w:color w:val="auto"/>
          <w:szCs w:val="21"/>
          <w:highlight w:val="none"/>
        </w:rPr>
        <w:t>。</w:t>
      </w:r>
    </w:p>
    <w:p w14:paraId="68CD5DCB">
      <w:pPr>
        <w:adjustRightInd w:val="0"/>
        <w:snapToGrid w:val="0"/>
        <w:spacing w:line="360" w:lineRule="auto"/>
        <w:ind w:firstLine="420" w:firstLineChars="200"/>
        <w:rPr>
          <w:rFonts w:hint="eastAsia" w:hAnsi="宋体"/>
          <w:dstrike/>
          <w:color w:val="auto"/>
          <w:szCs w:val="21"/>
          <w:highlight w:val="none"/>
          <w:u w:val="single"/>
        </w:rPr>
      </w:pPr>
      <w:r>
        <w:rPr>
          <w:rFonts w:hint="eastAsia" w:hAnsi="宋体"/>
          <w:color w:val="auto"/>
          <w:szCs w:val="21"/>
          <w:highlight w:val="none"/>
        </w:rPr>
        <w:t>承包人主要施工管理人员擅自离开施工现场的违约责任：</w:t>
      </w:r>
      <w:r>
        <w:rPr>
          <w:rFonts w:hint="eastAsia" w:hAnsi="宋体"/>
          <w:color w:val="auto"/>
          <w:szCs w:val="21"/>
          <w:highlight w:val="none"/>
          <w:u w:val="single"/>
        </w:rPr>
        <w:t xml:space="preserve">  若技术负责人、施工员出勤率不足投标承诺，支付违约金1000元/天/人；安全员、质检员、材料员出勤率不足投标承诺，支付违约500元/天/人</w:t>
      </w:r>
      <w:r>
        <w:rPr>
          <w:rFonts w:hint="eastAsia" w:hAnsi="宋体"/>
          <w:color w:val="auto"/>
          <w:szCs w:val="21"/>
          <w:highlight w:val="none"/>
        </w:rPr>
        <w:t>。</w:t>
      </w:r>
    </w:p>
    <w:p w14:paraId="38C68D5F">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3.5 分包</w:t>
      </w:r>
    </w:p>
    <w:p w14:paraId="61E8F2FB">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3.5.1 分包的一般约定</w:t>
      </w:r>
    </w:p>
    <w:p w14:paraId="74142341">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禁止分包的工程包括：</w:t>
      </w:r>
      <w:r>
        <w:rPr>
          <w:rFonts w:hint="eastAsia" w:hAnsi="宋体"/>
          <w:color w:val="auto"/>
          <w:szCs w:val="21"/>
          <w:highlight w:val="none"/>
          <w:u w:val="single"/>
        </w:rPr>
        <w:t>按《通用合同条款》3.5.1</w:t>
      </w:r>
      <w:r>
        <w:rPr>
          <w:rFonts w:hint="eastAsia" w:hAnsi="宋体"/>
          <w:color w:val="auto"/>
          <w:szCs w:val="21"/>
          <w:highlight w:val="none"/>
        </w:rPr>
        <w:t>。</w:t>
      </w:r>
    </w:p>
    <w:p w14:paraId="104D1648">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主体结构、关键性工作的范围：</w:t>
      </w:r>
      <w:r>
        <w:rPr>
          <w:rFonts w:hint="eastAsia" w:hAnsi="宋体"/>
          <w:color w:val="auto"/>
          <w:szCs w:val="21"/>
          <w:highlight w:val="none"/>
          <w:u w:val="single"/>
        </w:rPr>
        <w:t>发生时双方协商确定</w:t>
      </w:r>
      <w:r>
        <w:rPr>
          <w:rFonts w:hint="eastAsia" w:hAnsi="宋体"/>
          <w:color w:val="auto"/>
          <w:szCs w:val="21"/>
          <w:highlight w:val="none"/>
        </w:rPr>
        <w:t>。</w:t>
      </w:r>
    </w:p>
    <w:p w14:paraId="05E25A35">
      <w:pPr>
        <w:adjustRightInd w:val="0"/>
        <w:snapToGrid w:val="0"/>
        <w:spacing w:line="360" w:lineRule="auto"/>
        <w:rPr>
          <w:rFonts w:hint="eastAsia" w:hAnsi="宋体"/>
          <w:color w:val="auto"/>
          <w:szCs w:val="21"/>
          <w:highlight w:val="none"/>
        </w:rPr>
      </w:pPr>
      <w:r>
        <w:rPr>
          <w:rFonts w:hint="eastAsia" w:hAnsi="宋体"/>
          <w:color w:val="auto"/>
          <w:szCs w:val="21"/>
          <w:highlight w:val="none"/>
        </w:rPr>
        <w:t xml:space="preserve">    3.5.2分包的确定</w:t>
      </w:r>
    </w:p>
    <w:p w14:paraId="1BC045AE">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允许分包的专业工程包括：</w:t>
      </w:r>
      <w:r>
        <w:rPr>
          <w:rFonts w:hint="eastAsia" w:hAnsi="宋体"/>
          <w:color w:val="auto"/>
          <w:szCs w:val="21"/>
          <w:highlight w:val="none"/>
          <w:u w:val="single"/>
        </w:rPr>
        <w:t>未经发包人同意，承包人不得转包、分包或变相转包、分包（发包人同意的除外），一经发现，以承包人违约处理，发包人可终止合同，将承包人清退出场，没收全部履约保证金</w:t>
      </w:r>
      <w:r>
        <w:rPr>
          <w:rFonts w:hint="eastAsia" w:hAnsi="宋体"/>
          <w:color w:val="auto"/>
          <w:szCs w:val="21"/>
          <w:highlight w:val="none"/>
        </w:rPr>
        <w:t>。</w:t>
      </w:r>
    </w:p>
    <w:p w14:paraId="0704E8D5">
      <w:pPr>
        <w:adjustRightInd w:val="0"/>
        <w:snapToGrid w:val="0"/>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其他关于分包的约定：</w:t>
      </w:r>
      <w:r>
        <w:rPr>
          <w:rFonts w:hint="eastAsia" w:hAnsi="宋体"/>
          <w:color w:val="auto"/>
          <w:szCs w:val="21"/>
          <w:highlight w:val="none"/>
          <w:u w:val="single"/>
        </w:rPr>
        <w:t xml:space="preserve">         /        </w:t>
      </w:r>
      <w:r>
        <w:rPr>
          <w:rFonts w:hint="eastAsia" w:hAnsi="宋体"/>
          <w:color w:val="auto"/>
          <w:szCs w:val="21"/>
          <w:highlight w:val="none"/>
        </w:rPr>
        <w:t>。</w:t>
      </w:r>
    </w:p>
    <w:p w14:paraId="4181DCB2">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3.5.4 分包合同价款</w:t>
      </w:r>
    </w:p>
    <w:p w14:paraId="2FD6B9F7">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关于分包合同价款支付的约定：</w:t>
      </w:r>
      <w:r>
        <w:rPr>
          <w:rFonts w:hint="eastAsia" w:hAnsi="宋体"/>
          <w:color w:val="auto"/>
          <w:szCs w:val="21"/>
          <w:highlight w:val="none"/>
          <w:u w:val="single"/>
        </w:rPr>
        <w:t>按通用条款执行</w:t>
      </w:r>
      <w:r>
        <w:rPr>
          <w:rFonts w:hint="eastAsia" w:hAnsi="宋体"/>
          <w:color w:val="auto"/>
          <w:szCs w:val="21"/>
          <w:highlight w:val="none"/>
        </w:rPr>
        <w:t>。</w:t>
      </w:r>
    </w:p>
    <w:p w14:paraId="6F8C5773">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3.6 工程照管与成品、半成品保护</w:t>
      </w:r>
    </w:p>
    <w:p w14:paraId="35DC8DD1">
      <w:pPr>
        <w:adjustRightInd w:val="0"/>
        <w:snapToGrid w:val="0"/>
        <w:spacing w:line="360" w:lineRule="auto"/>
        <w:ind w:firstLine="420" w:firstLineChars="200"/>
        <w:jc w:val="left"/>
        <w:rPr>
          <w:rFonts w:hint="eastAsia" w:hAnsi="宋体"/>
          <w:b/>
          <w:color w:val="auto"/>
          <w:szCs w:val="21"/>
          <w:highlight w:val="none"/>
          <w:u w:val="single"/>
        </w:rPr>
      </w:pPr>
      <w:r>
        <w:rPr>
          <w:rFonts w:hint="eastAsia" w:hAnsi="宋体"/>
          <w:color w:val="auto"/>
          <w:szCs w:val="21"/>
          <w:highlight w:val="none"/>
        </w:rPr>
        <w:t>承包人负责照管工程及工程相关的材料、工程设备的起始时间：</w:t>
      </w:r>
      <w:r>
        <w:rPr>
          <w:rFonts w:hint="eastAsia" w:hAnsi="宋体"/>
          <w:color w:val="auto"/>
          <w:szCs w:val="21"/>
          <w:highlight w:val="none"/>
          <w:u w:val="single"/>
        </w:rPr>
        <w:t>按通用条款执行</w:t>
      </w:r>
      <w:r>
        <w:rPr>
          <w:rFonts w:hint="eastAsia" w:hAnsi="宋体"/>
          <w:color w:val="auto"/>
          <w:szCs w:val="21"/>
          <w:highlight w:val="none"/>
        </w:rPr>
        <w:t>。</w:t>
      </w:r>
    </w:p>
    <w:p w14:paraId="1B4080C6">
      <w:pPr>
        <w:adjustRightInd w:val="0"/>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3.7 履约担保</w:t>
      </w:r>
    </w:p>
    <w:p w14:paraId="26FC401E">
      <w:pPr>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承包人是否提供履约担保：</w:t>
      </w:r>
      <w:r>
        <w:rPr>
          <w:rFonts w:hint="eastAsia" w:hAnsi="宋体"/>
          <w:color w:val="auto"/>
          <w:szCs w:val="21"/>
          <w:highlight w:val="none"/>
          <w:u w:val="single"/>
        </w:rPr>
        <w:t xml:space="preserve">   提供   </w:t>
      </w:r>
      <w:r>
        <w:rPr>
          <w:rFonts w:hint="eastAsia" w:hAnsi="宋体"/>
          <w:color w:val="auto"/>
          <w:szCs w:val="21"/>
          <w:highlight w:val="none"/>
        </w:rPr>
        <w:t>。</w:t>
      </w:r>
    </w:p>
    <w:p w14:paraId="27FAF1A1">
      <w:pPr>
        <w:adjustRightInd w:val="0"/>
        <w:snapToGrid w:val="0"/>
        <w:spacing w:line="360" w:lineRule="auto"/>
        <w:ind w:firstLine="420" w:firstLineChars="200"/>
        <w:jc w:val="left"/>
        <w:rPr>
          <w:rFonts w:hint="eastAsia" w:hAnsi="宋体"/>
          <w:color w:val="auto"/>
          <w:szCs w:val="21"/>
          <w:highlight w:val="none"/>
          <w:u w:val="single"/>
        </w:rPr>
      </w:pPr>
      <w:r>
        <w:rPr>
          <w:rFonts w:hint="eastAsia" w:hAnsi="宋体"/>
          <w:color w:val="auto"/>
          <w:szCs w:val="21"/>
          <w:highlight w:val="none"/>
        </w:rPr>
        <w:t>承包人提供履约担保的形式、金额及期限的：</w:t>
      </w:r>
      <w:r>
        <w:rPr>
          <w:rFonts w:hint="eastAsia" w:hAnsi="宋体"/>
          <w:color w:val="auto"/>
          <w:szCs w:val="21"/>
          <w:highlight w:val="none"/>
          <w:u w:val="single"/>
          <w:lang w:val="zh-Hans" w:eastAsia="zh-Hans"/>
        </w:rPr>
        <w:t>在合同签定后</w:t>
      </w:r>
      <w:r>
        <w:rPr>
          <w:rFonts w:hint="eastAsia" w:hAnsi="宋体"/>
          <w:color w:val="auto"/>
          <w:szCs w:val="21"/>
          <w:highlight w:val="none"/>
          <w:u w:val="single"/>
          <w:lang w:val="en-US" w:eastAsia="zh-CN"/>
        </w:rPr>
        <w:t>5</w:t>
      </w:r>
      <w:r>
        <w:rPr>
          <w:rFonts w:hint="eastAsia" w:hAnsi="宋体"/>
          <w:color w:val="auto"/>
          <w:szCs w:val="21"/>
          <w:highlight w:val="none"/>
          <w:u w:val="single"/>
          <w:lang w:val="zh-Hans" w:eastAsia="zh-Hans"/>
        </w:rPr>
        <w:t>日内，承包人向发包人支付合同价</w:t>
      </w:r>
      <w:r>
        <w:rPr>
          <w:rFonts w:hint="eastAsia" w:hAnsi="宋体"/>
          <w:color w:val="auto"/>
          <w:szCs w:val="21"/>
          <w:highlight w:val="none"/>
          <w:u w:val="single"/>
          <w:lang w:val="en-US" w:eastAsia="zh-CN"/>
        </w:rPr>
        <w:t>1%的</w:t>
      </w:r>
      <w:r>
        <w:rPr>
          <w:rFonts w:hint="eastAsia" w:hAnsi="宋体"/>
          <w:color w:val="auto"/>
          <w:szCs w:val="21"/>
          <w:highlight w:val="none"/>
          <w:u w:val="single"/>
          <w:lang w:val="zh-Hans" w:eastAsia="zh-Hans"/>
        </w:rPr>
        <w:t>履约保证金</w:t>
      </w:r>
      <w:r>
        <w:rPr>
          <w:rFonts w:hint="eastAsia" w:hAnsi="宋体"/>
          <w:color w:val="auto"/>
          <w:szCs w:val="21"/>
          <w:highlight w:val="none"/>
          <w:u w:val="single"/>
        </w:rPr>
        <w:t>。</w:t>
      </w:r>
    </w:p>
    <w:p w14:paraId="326E1FB4">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5. 工程质量</w:t>
      </w:r>
    </w:p>
    <w:p w14:paraId="472A339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 质量要求</w:t>
      </w:r>
    </w:p>
    <w:p w14:paraId="1F2848D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5.1.1 特殊质量标准和要求：</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7D8956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关于工程奖项的约定：</w:t>
      </w:r>
      <w:r>
        <w:rPr>
          <w:rFonts w:hint="eastAsia" w:ascii="宋体" w:hAnsi="宋体"/>
          <w:color w:val="auto"/>
          <w:szCs w:val="21"/>
          <w:highlight w:val="none"/>
          <w:u w:val="single"/>
        </w:rPr>
        <w:t xml:space="preserve">                /                  </w:t>
      </w:r>
    </w:p>
    <w:p w14:paraId="112A41A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5.3 隐蔽工程检查</w:t>
      </w:r>
    </w:p>
    <w:p w14:paraId="78FE329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5.3.2承包人提前通知发包人隐蔽工程检查的期限的约定：承包人提前通知发包人隐蔽工程检查的期限的约定：</w:t>
      </w:r>
      <w:r>
        <w:rPr>
          <w:rFonts w:hint="eastAsia" w:ascii="宋体" w:hAnsi="宋体"/>
          <w:color w:val="auto"/>
          <w:szCs w:val="21"/>
          <w:highlight w:val="none"/>
          <w:u w:val="single"/>
        </w:rPr>
        <w:t>承包人应在共同检查前48 小时书面通知发包人检查，通知中应载明隐蔽检查的内容、时间和地点，并应附有自检记录和必要的检查资料。隐蔽工程必须做好影像资料收集、整理</w:t>
      </w:r>
      <w:r>
        <w:rPr>
          <w:rFonts w:hint="eastAsia" w:ascii="宋体" w:hAnsi="宋体"/>
          <w:color w:val="auto"/>
          <w:szCs w:val="21"/>
          <w:highlight w:val="none"/>
        </w:rPr>
        <w:t>。</w:t>
      </w:r>
    </w:p>
    <w:p w14:paraId="7B43E4F3">
      <w:pPr>
        <w:adjustRightInd w:val="0"/>
        <w:snapToGrid w:val="0"/>
        <w:spacing w:line="360" w:lineRule="auto"/>
        <w:ind w:firstLine="441" w:firstLineChars="210"/>
        <w:jc w:val="left"/>
        <w:rPr>
          <w:rFonts w:hint="eastAsia" w:ascii="宋体" w:hAnsi="宋体"/>
          <w:color w:val="auto"/>
          <w:szCs w:val="21"/>
          <w:highlight w:val="none"/>
        </w:rPr>
      </w:pPr>
      <w:r>
        <w:rPr>
          <w:rFonts w:hint="eastAsia" w:ascii="宋体" w:hAnsi="宋体"/>
          <w:color w:val="auto"/>
          <w:szCs w:val="21"/>
          <w:highlight w:val="none"/>
        </w:rPr>
        <w:t>发包人不能按时进行检查时，应提前</w:t>
      </w:r>
      <w:r>
        <w:rPr>
          <w:rFonts w:hint="eastAsia" w:ascii="宋体" w:hAnsi="宋体"/>
          <w:color w:val="auto"/>
          <w:szCs w:val="21"/>
          <w:highlight w:val="none"/>
          <w:u w:val="single"/>
        </w:rPr>
        <w:t xml:space="preserve">   24  </w:t>
      </w:r>
      <w:r>
        <w:rPr>
          <w:rFonts w:hint="eastAsia" w:ascii="宋体" w:hAnsi="宋体"/>
          <w:color w:val="auto"/>
          <w:szCs w:val="21"/>
          <w:highlight w:val="none"/>
        </w:rPr>
        <w:t>小时提交书面延期要求。</w:t>
      </w:r>
    </w:p>
    <w:p w14:paraId="045A65F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 xml:space="preserve">     48   </w:t>
      </w:r>
      <w:r>
        <w:rPr>
          <w:rFonts w:hint="eastAsia" w:ascii="宋体" w:hAnsi="宋体"/>
          <w:color w:val="auto"/>
          <w:szCs w:val="21"/>
          <w:highlight w:val="none"/>
        </w:rPr>
        <w:t>小时。</w:t>
      </w:r>
    </w:p>
    <w:p w14:paraId="7628C5E9">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6. 安全文明施工与环境保护</w:t>
      </w:r>
    </w:p>
    <w:p w14:paraId="07F158B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6.1安全文明施工</w:t>
      </w:r>
    </w:p>
    <w:p w14:paraId="61AF2E2F">
      <w:pPr>
        <w:adjustRightInd w:val="0"/>
        <w:snapToGrid w:val="0"/>
        <w:spacing w:line="360" w:lineRule="auto"/>
        <w:ind w:firstLine="420" w:firstLineChars="200"/>
        <w:jc w:val="left"/>
        <w:rPr>
          <w:rFonts w:hint="eastAsia" w:ascii="宋体" w:hAnsi="宋体"/>
          <w:b/>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b/>
          <w:color w:val="auto"/>
          <w:szCs w:val="21"/>
          <w:highlight w:val="none"/>
          <w:u w:val="single"/>
        </w:rPr>
        <w:t>施工现场按照《建筑施工安全检查标准》（JGJ59-2011）评定达到“合格”标准。</w:t>
      </w:r>
    </w:p>
    <w:p w14:paraId="520F560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3B6E3AE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296D2A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6.1.5 文明施工</w:t>
      </w:r>
    </w:p>
    <w:p w14:paraId="4E6F23A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合同当事人对文明施工的要求：</w:t>
      </w:r>
    </w:p>
    <w:p w14:paraId="0D3C44C4">
      <w:pPr>
        <w:adjustRightInd w:val="0"/>
        <w:snapToGrid w:val="0"/>
        <w:spacing w:line="360" w:lineRule="auto"/>
        <w:ind w:firstLine="417" w:firstLineChars="198"/>
        <w:jc w:val="left"/>
        <w:rPr>
          <w:rFonts w:hint="eastAsia" w:ascii="宋体" w:hAnsi="宋体"/>
          <w:b/>
          <w:color w:val="auto"/>
          <w:szCs w:val="21"/>
          <w:highlight w:val="none"/>
          <w:u w:val="single"/>
          <w:lang w:val="zh-CN"/>
        </w:rPr>
      </w:pPr>
      <w:r>
        <w:rPr>
          <w:rFonts w:hint="eastAsia" w:ascii="宋体" w:hAnsi="宋体"/>
          <w:b/>
          <w:color w:val="auto"/>
          <w:szCs w:val="21"/>
          <w:highlight w:val="none"/>
          <w:u w:val="single"/>
        </w:rPr>
        <w:t>（1）</w:t>
      </w:r>
      <w:r>
        <w:rPr>
          <w:rFonts w:hint="eastAsia" w:ascii="宋体" w:hAnsi="宋体"/>
          <w:b/>
          <w:color w:val="auto"/>
          <w:szCs w:val="21"/>
          <w:highlight w:val="none"/>
          <w:u w:val="single"/>
          <w:lang w:val="zh-CN"/>
        </w:rPr>
        <w:t>遵守地方政府和有关部门对施工场地交通、环卫、安全和施工噪音等管理规定，并办理相关审批手续</w:t>
      </w:r>
      <w:r>
        <w:rPr>
          <w:rFonts w:hint="eastAsia" w:ascii="宋体" w:hAnsi="宋体"/>
          <w:b/>
          <w:color w:val="auto"/>
          <w:szCs w:val="21"/>
          <w:highlight w:val="none"/>
          <w:lang w:val="zh-CN"/>
        </w:rPr>
        <w:t>。</w:t>
      </w:r>
    </w:p>
    <w:p w14:paraId="547E4E29">
      <w:pPr>
        <w:adjustRightInd w:val="0"/>
        <w:snapToGrid w:val="0"/>
        <w:spacing w:line="360" w:lineRule="auto"/>
        <w:ind w:firstLine="417" w:firstLineChars="198"/>
        <w:jc w:val="left"/>
        <w:rPr>
          <w:rFonts w:hint="eastAsia" w:ascii="宋体" w:hAnsi="宋体"/>
          <w:b/>
          <w:color w:val="auto"/>
          <w:szCs w:val="21"/>
          <w:highlight w:val="none"/>
          <w:lang w:val="zh-CN"/>
        </w:rPr>
      </w:pPr>
      <w:r>
        <w:rPr>
          <w:rFonts w:hint="eastAsia" w:ascii="宋体" w:hAnsi="宋体"/>
          <w:b/>
          <w:color w:val="auto"/>
          <w:szCs w:val="21"/>
          <w:highlight w:val="none"/>
          <w:u w:val="single"/>
          <w:lang w:val="zh-CN"/>
        </w:rPr>
        <w:t>（2）承包人应采取有效措施尽量减小尘土和噪音污染，需要进行夜间作业时应经有关部门批准</w:t>
      </w:r>
      <w:r>
        <w:rPr>
          <w:rFonts w:hint="eastAsia" w:ascii="宋体" w:hAnsi="宋体"/>
          <w:b/>
          <w:color w:val="auto"/>
          <w:szCs w:val="21"/>
          <w:highlight w:val="none"/>
          <w:lang w:val="zh-CN"/>
        </w:rPr>
        <w:t>。</w:t>
      </w:r>
    </w:p>
    <w:p w14:paraId="51CCCD42">
      <w:pPr>
        <w:adjustRightInd w:val="0"/>
        <w:snapToGrid w:val="0"/>
        <w:spacing w:line="360" w:lineRule="auto"/>
        <w:ind w:firstLine="417" w:firstLineChars="198"/>
        <w:jc w:val="left"/>
        <w:rPr>
          <w:rFonts w:hint="eastAsia" w:ascii="宋体" w:hAnsi="宋体"/>
          <w:b/>
          <w:color w:val="auto"/>
          <w:szCs w:val="21"/>
          <w:highlight w:val="none"/>
          <w:u w:val="single"/>
        </w:rPr>
      </w:pPr>
      <w:r>
        <w:rPr>
          <w:rFonts w:hint="eastAsia" w:ascii="宋体" w:hAnsi="宋体"/>
          <w:b/>
          <w:color w:val="auto"/>
          <w:szCs w:val="21"/>
          <w:highlight w:val="none"/>
          <w:u w:val="single"/>
          <w:lang w:val="zh-CN"/>
        </w:rPr>
        <w:t>（3）其他：</w:t>
      </w:r>
      <w:r>
        <w:rPr>
          <w:rFonts w:hint="eastAsia" w:ascii="宋体" w:hAnsi="宋体"/>
          <w:b/>
          <w:color w:val="auto"/>
          <w:szCs w:val="21"/>
          <w:highlight w:val="none"/>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ascii="宋体" w:hAnsi="宋体"/>
          <w:b/>
          <w:color w:val="auto"/>
          <w:szCs w:val="21"/>
          <w:highlight w:val="none"/>
          <w:u w:val="single"/>
          <w:lang w:val="zh-CN"/>
        </w:rPr>
        <w:t xml:space="preserve">  </w:t>
      </w:r>
      <w:r>
        <w:rPr>
          <w:rFonts w:hint="eastAsia" w:ascii="宋体" w:hAnsi="宋体"/>
          <w:b/>
          <w:color w:val="auto"/>
          <w:szCs w:val="21"/>
          <w:highlight w:val="none"/>
          <w:lang w:val="zh-CN"/>
        </w:rPr>
        <w:t>。</w:t>
      </w:r>
    </w:p>
    <w:p w14:paraId="1003FA74">
      <w:pPr>
        <w:adjustRightInd w:val="0"/>
        <w:snapToGrid w:val="0"/>
        <w:spacing w:line="360" w:lineRule="auto"/>
        <w:ind w:left="149" w:leftChars="71" w:firstLine="316" w:firstLineChars="150"/>
        <w:jc w:val="left"/>
        <w:rPr>
          <w:rFonts w:hint="eastAsia" w:ascii="宋体" w:hAnsi="宋体"/>
          <w:b/>
          <w:color w:val="auto"/>
          <w:szCs w:val="21"/>
          <w:highlight w:val="none"/>
          <w:lang w:val="zh-CN"/>
        </w:rPr>
      </w:pPr>
      <w:r>
        <w:rPr>
          <w:rFonts w:hint="eastAsia" w:ascii="宋体" w:hAnsi="宋体"/>
          <w:b/>
          <w:color w:val="auto"/>
          <w:szCs w:val="21"/>
          <w:highlight w:val="none"/>
          <w:u w:val="single"/>
          <w:lang w:val="zh-CN"/>
        </w:rPr>
        <w:t>（4）上述手续办理费用约定如下： 由承包人支付</w:t>
      </w:r>
      <w:r>
        <w:rPr>
          <w:rFonts w:hint="eastAsia" w:ascii="宋体" w:hAnsi="宋体"/>
          <w:b/>
          <w:color w:val="auto"/>
          <w:szCs w:val="21"/>
          <w:highlight w:val="none"/>
          <w:lang w:val="zh-CN"/>
        </w:rPr>
        <w:t>。</w:t>
      </w:r>
    </w:p>
    <w:p w14:paraId="5D973027">
      <w:pPr>
        <w:adjustRightInd w:val="0"/>
        <w:snapToGrid w:val="0"/>
        <w:spacing w:line="360" w:lineRule="auto"/>
        <w:ind w:left="149" w:leftChars="71" w:firstLine="315" w:firstLineChars="150"/>
        <w:jc w:val="left"/>
        <w:rPr>
          <w:rFonts w:hint="eastAsia" w:ascii="宋体" w:hAnsi="宋体"/>
          <w:color w:val="auto"/>
          <w:szCs w:val="21"/>
          <w:highlight w:val="none"/>
        </w:rPr>
      </w:pPr>
      <w:r>
        <w:rPr>
          <w:rFonts w:hint="eastAsia" w:ascii="宋体" w:hAnsi="宋体"/>
          <w:color w:val="auto"/>
          <w:szCs w:val="21"/>
          <w:highlight w:val="none"/>
        </w:rPr>
        <w:t>6.1.6 关于安全文明施工费支付比例和支付期限的约定，按以下</w:t>
      </w:r>
      <w:r>
        <w:rPr>
          <w:rFonts w:hint="eastAsia" w:ascii="宋体" w:hAnsi="宋体"/>
          <w:color w:val="auto"/>
          <w:szCs w:val="21"/>
          <w:highlight w:val="none"/>
          <w:u w:val="single"/>
        </w:rPr>
        <w:t>第（ 1 ）种方式</w:t>
      </w:r>
      <w:r>
        <w:rPr>
          <w:rFonts w:hint="eastAsia" w:ascii="宋体" w:hAnsi="宋体"/>
          <w:color w:val="auto"/>
          <w:szCs w:val="21"/>
          <w:highlight w:val="none"/>
        </w:rPr>
        <w:t>约定：</w:t>
      </w:r>
    </w:p>
    <w:p w14:paraId="0F66EBDF">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u w:val="single"/>
        </w:rPr>
        <w:t xml:space="preserve">（1）发包人按以下第（ ① ）种方式约定 ：  </w:t>
      </w:r>
    </w:p>
    <w:p w14:paraId="36CE6129">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u w:val="single"/>
        </w:rPr>
        <w:t xml:space="preserve">  视相关措施的落实情况与合同款同期支付        </w:t>
      </w:r>
      <w:r>
        <w:rPr>
          <w:rFonts w:hint="eastAsia" w:ascii="宋体" w:hAnsi="宋体"/>
          <w:color w:val="auto"/>
          <w:szCs w:val="21"/>
          <w:highlight w:val="none"/>
        </w:rPr>
        <w:t>。</w:t>
      </w:r>
    </w:p>
    <w:p w14:paraId="5E5FD416">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rPr>
        <w:t>②</w:t>
      </w:r>
      <w:r>
        <w:rPr>
          <w:rFonts w:hint="eastAsia" w:ascii="宋体" w:hAnsi="宋体"/>
          <w:color w:val="auto"/>
          <w:szCs w:val="21"/>
          <w:highlight w:val="none"/>
          <w:u w:val="single"/>
        </w:rPr>
        <w:t xml:space="preserve">  其他：     /                     </w:t>
      </w:r>
      <w:r>
        <w:rPr>
          <w:rFonts w:hint="eastAsia" w:ascii="宋体" w:hAnsi="宋体"/>
          <w:color w:val="auto"/>
          <w:szCs w:val="21"/>
          <w:highlight w:val="none"/>
        </w:rPr>
        <w:t>。</w:t>
      </w:r>
    </w:p>
    <w:p w14:paraId="30C0EBE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 xml:space="preserve">（2）其他：    /                     </w:t>
      </w:r>
      <w:r>
        <w:rPr>
          <w:rFonts w:hint="eastAsia" w:ascii="宋体" w:hAnsi="宋体"/>
          <w:color w:val="auto"/>
          <w:szCs w:val="21"/>
          <w:highlight w:val="none"/>
        </w:rPr>
        <w:t>。</w:t>
      </w:r>
    </w:p>
    <w:p w14:paraId="54960173">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7. 工期和进度</w:t>
      </w:r>
    </w:p>
    <w:p w14:paraId="24F6D2A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 施工组织设计</w:t>
      </w:r>
    </w:p>
    <w:p w14:paraId="645B4C5E">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0A4C0EA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7.1.2 施工组织设计的提交和修改</w:t>
      </w:r>
    </w:p>
    <w:p w14:paraId="00963E1D">
      <w:pPr>
        <w:autoSpaceDE w:val="0"/>
        <w:autoSpaceDN w:val="0"/>
        <w:adjustRightInd w:val="0"/>
        <w:snapToGrid w:val="0"/>
        <w:spacing w:line="360" w:lineRule="auto"/>
        <w:ind w:firstLine="441" w:firstLineChars="210"/>
        <w:jc w:val="left"/>
        <w:rPr>
          <w:rFonts w:hint="eastAsia" w:ascii="宋体" w:hAnsi="宋体"/>
          <w:color w:val="auto"/>
          <w:szCs w:val="21"/>
          <w:highlight w:val="none"/>
          <w:u w:val="singl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 xml:space="preserve">合同签订后7天内提供详细施工组织设计（施工方案）和进度计划   </w:t>
      </w:r>
      <w:r>
        <w:rPr>
          <w:rFonts w:hint="eastAsia" w:ascii="宋体" w:hAnsi="宋体"/>
          <w:color w:val="auto"/>
          <w:szCs w:val="21"/>
          <w:highlight w:val="none"/>
        </w:rPr>
        <w:t>。</w:t>
      </w:r>
    </w:p>
    <w:p w14:paraId="591EFEE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发包人在收到详细的施工组织设计后确认或提出修改意见的期限：</w:t>
      </w:r>
      <w:r>
        <w:rPr>
          <w:rFonts w:hint="eastAsia" w:ascii="宋体" w:hAnsi="宋体"/>
          <w:color w:val="auto"/>
          <w:szCs w:val="21"/>
          <w:highlight w:val="none"/>
          <w:u w:val="single"/>
        </w:rPr>
        <w:t>收到施工组织设计后5天内</w:t>
      </w:r>
      <w:r>
        <w:rPr>
          <w:rFonts w:hint="eastAsia" w:ascii="宋体" w:hAnsi="宋体"/>
          <w:color w:val="auto"/>
          <w:szCs w:val="21"/>
          <w:highlight w:val="none"/>
        </w:rPr>
        <w:t>。</w:t>
      </w:r>
    </w:p>
    <w:p w14:paraId="65A4AB2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 施工进度计划</w:t>
      </w:r>
    </w:p>
    <w:p w14:paraId="00B4948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7.2.2 施工进度计划的修订</w:t>
      </w:r>
    </w:p>
    <w:p w14:paraId="2148F2FA">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发包人在收到修订的施工进度计划后确认或提出修改意见的期限：</w:t>
      </w:r>
      <w:r>
        <w:rPr>
          <w:rFonts w:hint="eastAsia" w:ascii="宋体" w:hAnsi="宋体"/>
          <w:color w:val="auto"/>
          <w:szCs w:val="21"/>
          <w:highlight w:val="none"/>
          <w:u w:val="single"/>
        </w:rPr>
        <w:t xml:space="preserve">收到修订的施工进度计划后5 天内 </w:t>
      </w:r>
      <w:r>
        <w:rPr>
          <w:rFonts w:hint="eastAsia" w:ascii="宋体" w:hAnsi="宋体"/>
          <w:color w:val="auto"/>
          <w:szCs w:val="21"/>
          <w:highlight w:val="none"/>
        </w:rPr>
        <w:t>。</w:t>
      </w:r>
    </w:p>
    <w:p w14:paraId="25F8F17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7.3 开工</w:t>
      </w:r>
    </w:p>
    <w:p w14:paraId="4263E49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7.3.1 开工准备</w:t>
      </w:r>
    </w:p>
    <w:p w14:paraId="2B7283DE">
      <w:pPr>
        <w:adjustRightInd w:val="0"/>
        <w:snapToGrid w:val="0"/>
        <w:spacing w:line="360" w:lineRule="auto"/>
        <w:ind w:firstLine="645"/>
        <w:jc w:val="left"/>
        <w:rPr>
          <w:rFonts w:hint="eastAsia" w:ascii="宋体" w:hAnsi="宋体"/>
          <w:color w:val="auto"/>
          <w:szCs w:val="21"/>
          <w:highlight w:val="none"/>
          <w:u w:val="singl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开工前7天</w:t>
      </w:r>
      <w:r>
        <w:rPr>
          <w:rFonts w:hint="eastAsia" w:ascii="宋体" w:hAnsi="宋体"/>
          <w:color w:val="auto"/>
          <w:szCs w:val="21"/>
          <w:highlight w:val="none"/>
        </w:rPr>
        <w:t>。</w:t>
      </w:r>
    </w:p>
    <w:p w14:paraId="6E6C1E7B">
      <w:pPr>
        <w:adjustRightInd w:val="0"/>
        <w:snapToGrid w:val="0"/>
        <w:spacing w:line="360" w:lineRule="auto"/>
        <w:ind w:firstLine="645"/>
        <w:jc w:val="left"/>
        <w:rPr>
          <w:rFonts w:hint="eastAsia" w:ascii="宋体" w:hAnsi="宋体"/>
          <w:color w:val="auto"/>
          <w:szCs w:val="21"/>
          <w:highlight w:val="none"/>
          <w:u w:val="singl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 xml:space="preserve">   开工前7天  </w:t>
      </w:r>
      <w:r>
        <w:rPr>
          <w:rFonts w:hint="eastAsia" w:ascii="宋体" w:hAnsi="宋体"/>
          <w:color w:val="auto"/>
          <w:szCs w:val="21"/>
          <w:highlight w:val="none"/>
        </w:rPr>
        <w:t>。</w:t>
      </w:r>
    </w:p>
    <w:p w14:paraId="6C570EF2">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 xml:space="preserve">    开工前7天</w:t>
      </w:r>
      <w:r>
        <w:rPr>
          <w:rFonts w:hint="eastAsia" w:ascii="宋体" w:hAnsi="宋体"/>
          <w:color w:val="auto"/>
          <w:szCs w:val="21"/>
          <w:highlight w:val="none"/>
        </w:rPr>
        <w:t>。</w:t>
      </w:r>
    </w:p>
    <w:p w14:paraId="1A6FF5B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7.3.2开工通知</w:t>
      </w:r>
    </w:p>
    <w:p w14:paraId="08E1E15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因发包人原因未能在计划开工日期之日起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天内发出开工通知的，承包人有权提出价格调整要求，或者解除合同。</w:t>
      </w:r>
    </w:p>
    <w:p w14:paraId="3657803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7.4 测量放线</w:t>
      </w:r>
    </w:p>
    <w:p w14:paraId="6ADF8FF1">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7.4.1发包人向承包人提供测量基准点、基准线和水准点及其书面资料的期限：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39C587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7.5 工期延误</w:t>
      </w:r>
    </w:p>
    <w:p w14:paraId="47406DA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7.5.1 因发包人原因导致工期延误</w:t>
      </w:r>
    </w:p>
    <w:p w14:paraId="6E76BDC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（7）因发包人原因导致工期延误的其他情形：</w:t>
      </w:r>
    </w:p>
    <w:p w14:paraId="74D9EDF0">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①重大工程方案变更引起的工期延误  </w:t>
      </w:r>
      <w:r>
        <w:rPr>
          <w:rFonts w:hint="eastAsia" w:ascii="宋体" w:hAnsi="宋体"/>
          <w:color w:val="auto"/>
          <w:szCs w:val="21"/>
          <w:highlight w:val="none"/>
        </w:rPr>
        <w:t>；</w:t>
      </w:r>
    </w:p>
    <w:p w14:paraId="0FD18E3B">
      <w:pPr>
        <w:adjustRightInd w:val="0"/>
        <w:snapToGrid w:val="0"/>
        <w:spacing w:line="360" w:lineRule="auto"/>
        <w:ind w:firstLine="438" w:firstLineChars="209"/>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②其他：     /     </w:t>
      </w:r>
      <w:r>
        <w:rPr>
          <w:rFonts w:hint="eastAsia" w:ascii="宋体" w:hAnsi="宋体"/>
          <w:color w:val="auto"/>
          <w:szCs w:val="21"/>
          <w:highlight w:val="none"/>
        </w:rPr>
        <w:t>。</w:t>
      </w:r>
    </w:p>
    <w:p w14:paraId="22CDBEF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7.5.2 因承包人原因导致工期延误</w:t>
      </w:r>
    </w:p>
    <w:p w14:paraId="05C37101">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因承包人原因造成工期延误，逾期竣工违约金的计算方法为：</w:t>
      </w:r>
      <w:r>
        <w:rPr>
          <w:rFonts w:hint="eastAsia" w:ascii="宋体" w:hAnsi="宋体"/>
          <w:color w:val="auto"/>
          <w:szCs w:val="21"/>
          <w:highlight w:val="none"/>
          <w:u w:val="single"/>
        </w:rPr>
        <w:t>工期延误3天以内的按500元/天扣除工期延误费，3天以上的，则以上天数按1000元/天计算，违约金直接从工程款中扣除。（</w:t>
      </w:r>
      <w:r>
        <w:rPr>
          <w:rFonts w:hint="eastAsia" w:hAnsi="宋体"/>
          <w:color w:val="auto"/>
          <w:highlight w:val="none"/>
          <w:u w:val="single"/>
        </w:rPr>
        <w:t>计算逾期竣工违约金时，将发包人组织的初步验收通过时间视为竣工日期时间，合同工期不变。）</w:t>
      </w:r>
    </w:p>
    <w:p w14:paraId="67337BD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因承包人原因造成工期延误，逾期竣工违约金的上限：</w:t>
      </w:r>
      <w:r>
        <w:rPr>
          <w:rFonts w:hint="eastAsia" w:ascii="宋体" w:hAnsi="宋体"/>
          <w:color w:val="auto"/>
          <w:szCs w:val="21"/>
          <w:highlight w:val="none"/>
          <w:u w:val="single"/>
        </w:rPr>
        <w:t>合同价款的2.5%</w:t>
      </w:r>
      <w:r>
        <w:rPr>
          <w:rFonts w:hint="eastAsia" w:ascii="宋体" w:hAnsi="宋体"/>
          <w:color w:val="auto"/>
          <w:szCs w:val="21"/>
          <w:highlight w:val="none"/>
        </w:rPr>
        <w:t>。</w:t>
      </w:r>
    </w:p>
    <w:p w14:paraId="1D64562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7.6 不利物质条件</w:t>
      </w:r>
    </w:p>
    <w:p w14:paraId="3C0F787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不利物质条件的其他情形和有关约定：</w:t>
      </w:r>
    </w:p>
    <w:p w14:paraId="183D4BF3">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（1）施工场地周围地下管线     </w:t>
      </w:r>
      <w:r>
        <w:rPr>
          <w:rFonts w:hint="eastAsia" w:ascii="宋体" w:hAnsi="宋体"/>
          <w:color w:val="auto"/>
          <w:szCs w:val="21"/>
          <w:highlight w:val="none"/>
        </w:rPr>
        <w:t>；</w:t>
      </w:r>
    </w:p>
    <w:p w14:paraId="0037629C">
      <w:pPr>
        <w:adjustRightInd w:val="0"/>
        <w:snapToGrid w:val="0"/>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u w:val="single"/>
        </w:rPr>
        <w:t xml:space="preserve">（2）地下障碍物和污染物       </w:t>
      </w:r>
      <w:r>
        <w:rPr>
          <w:rFonts w:hint="eastAsia" w:ascii="宋体" w:hAnsi="宋体"/>
          <w:color w:val="auto"/>
          <w:szCs w:val="21"/>
          <w:highlight w:val="none"/>
        </w:rPr>
        <w:t>；</w:t>
      </w:r>
    </w:p>
    <w:p w14:paraId="69F0D7BA">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（3）邻近建筑物、构筑物的保护要求       </w:t>
      </w:r>
      <w:r>
        <w:rPr>
          <w:rFonts w:hint="eastAsia" w:ascii="宋体" w:hAnsi="宋体"/>
          <w:color w:val="auto"/>
          <w:szCs w:val="21"/>
          <w:highlight w:val="none"/>
        </w:rPr>
        <w:t>；</w:t>
      </w:r>
    </w:p>
    <w:p w14:paraId="1D97AAE8">
      <w:pPr>
        <w:adjustRightInd w:val="0"/>
        <w:snapToGrid w:val="0"/>
        <w:spacing w:line="360" w:lineRule="auto"/>
        <w:ind w:firstLine="415" w:firstLineChars="19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（4）其他        </w:t>
      </w:r>
      <w:r>
        <w:rPr>
          <w:rFonts w:hint="eastAsia" w:ascii="宋体" w:hAnsi="宋体"/>
          <w:color w:val="auto"/>
          <w:szCs w:val="21"/>
          <w:highlight w:val="none"/>
        </w:rPr>
        <w:t>。</w:t>
      </w:r>
    </w:p>
    <w:p w14:paraId="7F858D8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7.7异常恶劣的气候条件</w:t>
      </w:r>
    </w:p>
    <w:p w14:paraId="3FA11F4A">
      <w:pPr>
        <w:adjustRightInd w:val="0"/>
        <w:snapToGrid w:val="0"/>
        <w:spacing w:line="360" w:lineRule="auto"/>
        <w:ind w:firstLine="420" w:firstLineChars="200"/>
        <w:jc w:val="left"/>
        <w:rPr>
          <w:rFonts w:hint="eastAsia" w:ascii="宋体" w:hAnsi="宋体"/>
          <w:b/>
          <w:color w:val="auto"/>
          <w:szCs w:val="21"/>
          <w:highlight w:val="non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日最高气温达到40 度及以上的天气；启动台风橙色及以上的预警的天气；启动防汛预案一级响应的天气；启动防冻预案一级响应的天气</w:t>
      </w:r>
      <w:r>
        <w:rPr>
          <w:rFonts w:hint="eastAsia" w:ascii="宋体" w:hAnsi="宋体"/>
          <w:color w:val="auto"/>
          <w:szCs w:val="21"/>
          <w:highlight w:val="none"/>
        </w:rPr>
        <w:t>。</w:t>
      </w:r>
    </w:p>
    <w:p w14:paraId="7F257F5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7.9 提前竣工的奖励</w:t>
      </w:r>
    </w:p>
    <w:p w14:paraId="7BACEB9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7.9.2提前竣工的奖励：</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7996FB7">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8. 材料与设备</w:t>
      </w:r>
    </w:p>
    <w:p w14:paraId="1324807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8.4材料与工程设备的保管与使用</w:t>
      </w:r>
    </w:p>
    <w:p w14:paraId="147F5BF9">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8.4.1发包人供应的材料设备的保管费用的承担：</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85C8CD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8.6 样品</w:t>
      </w:r>
    </w:p>
    <w:p w14:paraId="7ECD99C2">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8.6.1样品的报送与封存</w:t>
      </w:r>
    </w:p>
    <w:p w14:paraId="2E702DBE">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61D7636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8.8 施工设备和临时设施</w:t>
      </w:r>
    </w:p>
    <w:p w14:paraId="29AB540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8.8.1 承包人提供的施工设备和临时设施</w:t>
      </w:r>
    </w:p>
    <w:p w14:paraId="779B490B">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按通用条款约定</w:t>
      </w:r>
    </w:p>
    <w:p w14:paraId="61B69291">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9. 试验与检验</w:t>
      </w:r>
    </w:p>
    <w:p w14:paraId="793CDFF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9.1试验设备与试验人员</w:t>
      </w:r>
    </w:p>
    <w:p w14:paraId="15D11B43">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9.1.2 试验设备</w:t>
      </w:r>
    </w:p>
    <w:p w14:paraId="35114544">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施工现场需要配置的试验场所：</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06466883">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5DA903E4">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按有关规定和发包人要求执行</w:t>
      </w:r>
      <w:r>
        <w:rPr>
          <w:rFonts w:hint="eastAsia" w:ascii="宋体" w:hAnsi="宋体"/>
          <w:color w:val="auto"/>
          <w:szCs w:val="21"/>
          <w:highlight w:val="none"/>
        </w:rPr>
        <w:t>。</w:t>
      </w:r>
    </w:p>
    <w:p w14:paraId="70FC1B4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9.3材料、工程设备和工程的试验和检验</w:t>
      </w:r>
    </w:p>
    <w:p w14:paraId="52E3C878">
      <w:pPr>
        <w:adjustRightInd w:val="0"/>
        <w:snapToGrid w:val="0"/>
        <w:spacing w:line="360" w:lineRule="auto"/>
        <w:ind w:firstLine="398" w:firstLineChars="189"/>
        <w:jc w:val="left"/>
        <w:rPr>
          <w:rFonts w:hint="eastAsia" w:ascii="宋体" w:hAnsi="宋体"/>
          <w:b/>
          <w:color w:val="auto"/>
          <w:szCs w:val="21"/>
          <w:highlight w:val="none"/>
          <w:u w:val="single"/>
        </w:rPr>
      </w:pPr>
      <w:r>
        <w:rPr>
          <w:rFonts w:hint="eastAsia" w:ascii="宋体" w:hAnsi="宋体"/>
          <w:b/>
          <w:color w:val="auto"/>
          <w:szCs w:val="21"/>
          <w:highlight w:val="none"/>
        </w:rPr>
        <w:t>试验、检测单位资质条件约定：</w:t>
      </w:r>
      <w:r>
        <w:rPr>
          <w:rFonts w:hint="eastAsia" w:ascii="宋体" w:hAnsi="宋体"/>
          <w:b/>
          <w:color w:val="auto"/>
          <w:szCs w:val="21"/>
          <w:highlight w:val="none"/>
          <w:u w:val="single"/>
        </w:rPr>
        <w:t>按有关规定和发包人要求执行</w:t>
      </w:r>
      <w:r>
        <w:rPr>
          <w:rFonts w:hint="eastAsia" w:ascii="宋体" w:hAnsi="宋体"/>
          <w:b/>
          <w:color w:val="auto"/>
          <w:szCs w:val="21"/>
          <w:highlight w:val="none"/>
        </w:rPr>
        <w:t>；</w:t>
      </w:r>
    </w:p>
    <w:p w14:paraId="13DC6BB6">
      <w:pPr>
        <w:adjustRightInd w:val="0"/>
        <w:snapToGrid w:val="0"/>
        <w:spacing w:line="360" w:lineRule="auto"/>
        <w:ind w:firstLine="398" w:firstLineChars="189"/>
        <w:jc w:val="left"/>
        <w:rPr>
          <w:rFonts w:hint="eastAsia" w:ascii="宋体" w:hAnsi="宋体"/>
          <w:b/>
          <w:color w:val="auto"/>
          <w:szCs w:val="21"/>
          <w:highlight w:val="none"/>
          <w:u w:val="single"/>
        </w:rPr>
      </w:pPr>
      <w:r>
        <w:rPr>
          <w:rFonts w:hint="eastAsia" w:ascii="宋体" w:hAnsi="宋体"/>
          <w:b/>
          <w:color w:val="auto"/>
          <w:szCs w:val="21"/>
          <w:highlight w:val="none"/>
        </w:rPr>
        <w:t>试验、检测单位选择约定：</w:t>
      </w:r>
      <w:r>
        <w:rPr>
          <w:rFonts w:hint="eastAsia" w:ascii="宋体" w:hAnsi="宋体"/>
          <w:b/>
          <w:color w:val="auto"/>
          <w:szCs w:val="21"/>
          <w:highlight w:val="none"/>
          <w:u w:val="single"/>
        </w:rPr>
        <w:t>承包人选择单位后报发包人审核，审核通过后方可确定试验、检测单位</w:t>
      </w:r>
      <w:r>
        <w:rPr>
          <w:rFonts w:hint="eastAsia" w:ascii="宋体" w:hAnsi="宋体"/>
          <w:b/>
          <w:color w:val="auto"/>
          <w:szCs w:val="21"/>
          <w:highlight w:val="none"/>
        </w:rPr>
        <w:t>；</w:t>
      </w:r>
    </w:p>
    <w:p w14:paraId="5DFB3BDE">
      <w:pPr>
        <w:adjustRightInd w:val="0"/>
        <w:snapToGrid w:val="0"/>
        <w:spacing w:line="360" w:lineRule="auto"/>
        <w:ind w:firstLine="398" w:firstLineChars="189"/>
        <w:jc w:val="left"/>
        <w:rPr>
          <w:rFonts w:hint="eastAsia" w:ascii="宋体" w:hAnsi="宋体"/>
          <w:b/>
          <w:color w:val="auto"/>
          <w:szCs w:val="21"/>
          <w:highlight w:val="none"/>
          <w:u w:val="single"/>
        </w:rPr>
      </w:pPr>
      <w:r>
        <w:rPr>
          <w:rFonts w:hint="eastAsia" w:ascii="宋体" w:hAnsi="宋体"/>
          <w:b/>
          <w:color w:val="auto"/>
          <w:szCs w:val="21"/>
          <w:highlight w:val="none"/>
        </w:rPr>
        <w:t>试验、检测费用约定：</w:t>
      </w:r>
      <w:r>
        <w:rPr>
          <w:rFonts w:hint="eastAsia" w:ascii="宋体" w:hAnsi="宋体"/>
          <w:b/>
          <w:color w:val="auto"/>
          <w:szCs w:val="21"/>
          <w:highlight w:val="none"/>
          <w:u w:val="single"/>
        </w:rPr>
        <w:t>工程有关试验、检测费用由承包人承担（政府有关部门明确规定需要发包人支付的除外），并已包含在合同价款中，不再另行计算</w:t>
      </w:r>
      <w:r>
        <w:rPr>
          <w:rFonts w:hint="eastAsia" w:ascii="宋体" w:hAnsi="宋体"/>
          <w:b/>
          <w:color w:val="auto"/>
          <w:szCs w:val="21"/>
          <w:highlight w:val="none"/>
        </w:rPr>
        <w:t>。</w:t>
      </w:r>
    </w:p>
    <w:p w14:paraId="7864BEE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9.4 现场工艺试验 </w:t>
      </w:r>
    </w:p>
    <w:p w14:paraId="2813970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现场工艺试验的有关约定：</w:t>
      </w:r>
      <w:r>
        <w:rPr>
          <w:rFonts w:hint="eastAsia" w:ascii="宋体" w:hAnsi="宋体"/>
          <w:color w:val="auto"/>
          <w:szCs w:val="21"/>
          <w:highlight w:val="none"/>
          <w:u w:val="single"/>
        </w:rPr>
        <w:t xml:space="preserve">按有关规定和发包人要求执行    </w:t>
      </w:r>
      <w:r>
        <w:rPr>
          <w:rFonts w:hint="eastAsia" w:ascii="宋体" w:hAnsi="宋体"/>
          <w:color w:val="auto"/>
          <w:szCs w:val="21"/>
          <w:highlight w:val="none"/>
        </w:rPr>
        <w:t>。</w:t>
      </w:r>
    </w:p>
    <w:p w14:paraId="199C1AA9">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10. 变更</w:t>
      </w:r>
    </w:p>
    <w:p w14:paraId="1BE8BF6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10.1变更的范围</w:t>
      </w:r>
    </w:p>
    <w:p w14:paraId="6B64F5F4">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关于变更的范围的约定：</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14:paraId="40A7B77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 变更估价</w:t>
      </w:r>
    </w:p>
    <w:p w14:paraId="046DEA1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10.4.1 变更估价原则</w:t>
      </w:r>
    </w:p>
    <w:p w14:paraId="2808310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关于变更估价的约定: /</w:t>
      </w:r>
    </w:p>
    <w:p w14:paraId="5E7351AC">
      <w:pPr>
        <w:autoSpaceDE w:val="0"/>
        <w:autoSpaceDN w:val="0"/>
        <w:adjustRightInd w:val="0"/>
        <w:snapToGrid w:val="0"/>
        <w:spacing w:line="360" w:lineRule="auto"/>
        <w:ind w:firstLine="310" w:firstLineChars="148"/>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（5）其他：  /  </w:t>
      </w:r>
    </w:p>
    <w:p w14:paraId="4CCF7BB8">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10.5承包人的合理化建议</w:t>
      </w:r>
    </w:p>
    <w:p w14:paraId="2F2C1D38">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 xml:space="preserve">按通用条款执行      </w:t>
      </w:r>
      <w:r>
        <w:rPr>
          <w:rFonts w:hint="eastAsia" w:ascii="宋体" w:hAnsi="宋体"/>
          <w:color w:val="auto"/>
          <w:szCs w:val="21"/>
          <w:highlight w:val="none"/>
        </w:rPr>
        <w:t>。</w:t>
      </w:r>
    </w:p>
    <w:p w14:paraId="1889EDC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承包人提出的合理化建议降低了合同价格或者提高了工程经济效益的奖励的方法和金额为：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7DA96E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10.7 暂估价</w:t>
      </w:r>
    </w:p>
    <w:p w14:paraId="6FFF5B2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10.7.1 依法必须招标的暂估价项目</w:t>
      </w:r>
    </w:p>
    <w:p w14:paraId="37E8166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对于依法必须招标的暂估价项目的确认和批准采取第</w:t>
      </w:r>
      <w:r>
        <w:rPr>
          <w:rFonts w:hint="eastAsia" w:ascii="宋体" w:hAnsi="宋体"/>
          <w:color w:val="auto"/>
          <w:szCs w:val="21"/>
          <w:highlight w:val="none"/>
          <w:u w:val="single"/>
        </w:rPr>
        <w:t xml:space="preserve">  /  </w:t>
      </w:r>
      <w:r>
        <w:rPr>
          <w:rFonts w:hint="eastAsia" w:ascii="宋体" w:hAnsi="宋体"/>
          <w:color w:val="auto"/>
          <w:szCs w:val="21"/>
          <w:highlight w:val="none"/>
        </w:rPr>
        <w:t>种方式确定。</w:t>
      </w:r>
    </w:p>
    <w:p w14:paraId="2602075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10.7.2 不属于依法必须招标的暂估价项目</w:t>
      </w:r>
    </w:p>
    <w:p w14:paraId="1C1C8FB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对于不属于依法必须招标的暂估价项目的确认和批准采取第</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种方式确定。</w:t>
      </w:r>
    </w:p>
    <w:p w14:paraId="045F086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第3种方式：承包人直接实施的暂估价项目</w:t>
      </w:r>
    </w:p>
    <w:p w14:paraId="7A12670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承包人直接实施的暂估价项目的约定：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32604A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10.8 暂列金额</w:t>
      </w:r>
    </w:p>
    <w:p w14:paraId="5E008043">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34CC28D">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11. 价格调整</w:t>
      </w:r>
    </w:p>
    <w:p w14:paraId="324E4E3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 市场价格波动引起的调整</w:t>
      </w:r>
    </w:p>
    <w:p w14:paraId="60B373D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 xml:space="preserve">      否     </w:t>
      </w:r>
      <w:r>
        <w:rPr>
          <w:rFonts w:hint="eastAsia" w:ascii="宋体" w:hAnsi="宋体"/>
          <w:color w:val="auto"/>
          <w:szCs w:val="21"/>
          <w:highlight w:val="none"/>
        </w:rPr>
        <w:t>。</w:t>
      </w:r>
    </w:p>
    <w:p w14:paraId="41BC1C2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因市场价格波动调整合同价格，采用以下第</w:t>
      </w:r>
      <w:r>
        <w:rPr>
          <w:rFonts w:hint="eastAsia" w:ascii="宋体" w:hAnsi="宋体"/>
          <w:color w:val="auto"/>
          <w:szCs w:val="21"/>
          <w:highlight w:val="none"/>
          <w:u w:val="single"/>
        </w:rPr>
        <w:t xml:space="preserve">  /  </w:t>
      </w:r>
      <w:r>
        <w:rPr>
          <w:rFonts w:hint="eastAsia" w:ascii="宋体" w:hAnsi="宋体"/>
          <w:color w:val="auto"/>
          <w:szCs w:val="21"/>
          <w:highlight w:val="none"/>
        </w:rPr>
        <w:t>种方式对合同价格进行调整：</w:t>
      </w:r>
    </w:p>
    <w:p w14:paraId="6F0CC68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第1种方式：采用价格指数进行价格调整。</w:t>
      </w:r>
    </w:p>
    <w:p w14:paraId="3B351EE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4DE44B5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第2种方式：采用造价信息进行价格调整。</w:t>
      </w:r>
    </w:p>
    <w:p w14:paraId="24BB615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（2）关于基准价格的约定：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6FA9AF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专用合同条款</w:t>
      </w:r>
      <w:r>
        <w:rPr>
          <w:rFonts w:hint="eastAsia" w:ascii="宋体" w:hAnsi="宋体" w:cs="宋体"/>
          <w:color w:val="auto"/>
          <w:szCs w:val="21"/>
          <w:highlight w:val="none"/>
        </w:rPr>
        <w:t>①</w:t>
      </w:r>
      <w:r>
        <w:rPr>
          <w:rFonts w:hint="eastAsia" w:ascii="宋体" w:hAnsi="宋体"/>
          <w:color w:val="auto"/>
          <w:szCs w:val="21"/>
          <w:highlight w:val="none"/>
        </w:rPr>
        <w:t>承包人在已标价工程量清单或预算书中载明的材料单价低于基准价格的：专用合同条款合同履行期间材料单价涨幅以基准价格为基础超过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%时，或材料单价跌幅以已标价工程量清单或预算书中载明材料单价为基础超过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%时，其超过部分据实调整。</w:t>
      </w:r>
    </w:p>
    <w:p w14:paraId="3EA86FC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%时，材料单价涨幅以已标价工程量清单或预算书中载明材料单价为基础超过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%时，其超过部分据实调整。</w:t>
      </w:r>
    </w:p>
    <w:p w14:paraId="227F08B1">
      <w:pPr>
        <w:adjustRightInd w:val="0"/>
        <w:snapToGrid w:val="0"/>
        <w:spacing w:line="360" w:lineRule="auto"/>
        <w:ind w:firstLine="645"/>
        <w:jc w:val="left"/>
        <w:rPr>
          <w:rFonts w:hint="eastAsia"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hint="eastAsia" w:ascii="宋体" w:hAnsi="宋体"/>
          <w:color w:val="auto"/>
          <w:szCs w:val="21"/>
          <w:highlight w:val="none"/>
          <w:u w:val="single"/>
        </w:rPr>
        <w:t xml:space="preserve"> /  </w:t>
      </w:r>
      <w:r>
        <w:rPr>
          <w:rFonts w:hint="eastAsia" w:ascii="宋体" w:hAnsi="宋体"/>
          <w:color w:val="auto"/>
          <w:szCs w:val="21"/>
          <w:highlight w:val="none"/>
        </w:rPr>
        <w:t>%时，其超过部分据实调整。</w:t>
      </w:r>
    </w:p>
    <w:p w14:paraId="1E88C765">
      <w:pPr>
        <w:adjustRightInd w:val="0"/>
        <w:snapToGrid w:val="0"/>
        <w:spacing w:line="360" w:lineRule="auto"/>
        <w:ind w:firstLine="645"/>
        <w:jc w:val="left"/>
        <w:rPr>
          <w:rFonts w:hint="eastAsia" w:ascii="宋体" w:hAnsi="宋体"/>
          <w:b/>
          <w:color w:val="auto"/>
          <w:szCs w:val="21"/>
          <w:highlight w:val="none"/>
        </w:rPr>
      </w:pPr>
      <w:r>
        <w:rPr>
          <w:rFonts w:hint="eastAsia" w:ascii="宋体" w:hAnsi="宋体"/>
          <w:b/>
          <w:color w:val="auto"/>
          <w:szCs w:val="21"/>
          <w:highlight w:val="none"/>
        </w:rPr>
        <w:t>第3种方式：采用政策性文件进行价格调整。</w:t>
      </w:r>
    </w:p>
    <w:p w14:paraId="0131ECB6">
      <w:pPr>
        <w:adjustRightInd w:val="0"/>
        <w:snapToGrid w:val="0"/>
        <w:spacing w:line="360" w:lineRule="auto"/>
        <w:ind w:firstLine="420" w:firstLineChars="200"/>
        <w:jc w:val="left"/>
        <w:rPr>
          <w:rFonts w:hint="default" w:ascii="宋体" w:hAnsi="宋体" w:eastAsia="宋体"/>
          <w:b/>
          <w:color w:val="auto"/>
          <w:szCs w:val="21"/>
          <w:highlight w:val="none"/>
          <w:lang w:val="en-US" w:eastAsia="zh-CN"/>
        </w:rPr>
      </w:pPr>
      <w:r>
        <w:rPr>
          <w:rFonts w:hint="eastAsia" w:ascii="宋体" w:hAnsi="宋体"/>
          <w:color w:val="auto"/>
          <w:szCs w:val="21"/>
          <w:highlight w:val="none"/>
        </w:rPr>
        <w:t>双方约定合同价款的其他调整方式：</w:t>
      </w:r>
      <w:r>
        <w:rPr>
          <w:rFonts w:hint="eastAsia" w:ascii="宋体" w:hAnsi="宋体"/>
          <w:color w:val="auto"/>
          <w:szCs w:val="21"/>
          <w:highlight w:val="none"/>
          <w:u w:val="single"/>
          <w:lang w:val="en-US" w:eastAsia="zh-CN"/>
        </w:rPr>
        <w:t xml:space="preserve">     /         </w:t>
      </w:r>
    </w:p>
    <w:p w14:paraId="3211D53E">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12. 合同价格、计量与支付</w:t>
      </w:r>
    </w:p>
    <w:p w14:paraId="6F9D8DC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 合同价格形式</w:t>
      </w:r>
    </w:p>
    <w:p w14:paraId="2C042780">
      <w:pPr>
        <w:adjustRightInd w:val="0"/>
        <w:snapToGrid w:val="0"/>
        <w:spacing w:line="360" w:lineRule="auto"/>
        <w:ind w:firstLine="441" w:firstLineChars="210"/>
        <w:jc w:val="left"/>
        <w:rPr>
          <w:rFonts w:hint="eastAsia" w:ascii="宋体" w:hAnsi="宋体"/>
          <w:color w:val="auto"/>
          <w:szCs w:val="21"/>
          <w:highlight w:val="none"/>
        </w:rPr>
      </w:pPr>
      <w:r>
        <w:rPr>
          <w:rFonts w:hint="eastAsia" w:ascii="宋体" w:hAnsi="宋体"/>
          <w:color w:val="auto"/>
          <w:szCs w:val="21"/>
          <w:highlight w:val="none"/>
        </w:rPr>
        <w:t>2、总价合同。</w:t>
      </w:r>
    </w:p>
    <w:p w14:paraId="27875478">
      <w:pPr>
        <w:adjustRightInd w:val="0"/>
        <w:snapToGrid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总价合同指总价一次性包干。</w:t>
      </w:r>
    </w:p>
    <w:p w14:paraId="22F68CF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总价包含的风险范围：</w:t>
      </w:r>
    </w:p>
    <w:p w14:paraId="76C2CE3E">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施工图范围内包干；</w:t>
      </w:r>
    </w:p>
    <w:p w14:paraId="3C5BA631">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由承包人承担的工、料、机在投标编制期或预算书编制期与合同实施期间所发生的市场价格波动；</w:t>
      </w:r>
    </w:p>
    <w:p w14:paraId="0EA2763D">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连续8小时及以上的停水、电、气；</w:t>
      </w:r>
    </w:p>
    <w:p w14:paraId="51AE74C5">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政策性的调整；</w:t>
      </w:r>
    </w:p>
    <w:p w14:paraId="2337184C">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技术措施费；</w:t>
      </w:r>
    </w:p>
    <w:p w14:paraId="2553EF82">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有经验的承包商应该可以预料的风险；</w:t>
      </w:r>
    </w:p>
    <w:p w14:paraId="7C6670A1">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施工图虽未明确表示但按国家规范必须实施的内容；</w:t>
      </w:r>
    </w:p>
    <w:p w14:paraId="322E6C9D">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采购文件明确要求包干的内容。</w:t>
      </w:r>
    </w:p>
    <w:p w14:paraId="3D4B0C4C">
      <w:pPr>
        <w:numPr>
          <w:ilvl w:val="0"/>
          <w:numId w:val="4"/>
        </w:numPr>
        <w:tabs>
          <w:tab w:val="left" w:pos="900"/>
        </w:tabs>
        <w:adjustRightInd w:val="0"/>
        <w:snapToGrid w:val="0"/>
        <w:spacing w:line="360" w:lineRule="auto"/>
        <w:ind w:left="0" w:firstLine="360"/>
        <w:jc w:val="left"/>
        <w:rPr>
          <w:rFonts w:hint="eastAsia" w:ascii="宋体" w:hAnsi="宋体"/>
          <w:b/>
          <w:color w:val="auto"/>
          <w:szCs w:val="21"/>
          <w:highlight w:val="none"/>
          <w:u w:val="single"/>
        </w:rPr>
      </w:pPr>
      <w:r>
        <w:rPr>
          <w:rFonts w:hint="eastAsia" w:ascii="宋体" w:hAnsi="宋体"/>
          <w:b/>
          <w:color w:val="auto"/>
          <w:szCs w:val="21"/>
          <w:highlight w:val="none"/>
          <w:u w:val="single"/>
        </w:rPr>
        <w:t>其他： 按通用条款。</w:t>
      </w:r>
    </w:p>
    <w:p w14:paraId="14B69EB6">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以上风险范围之内费用已由承包人自行预测并已计入投标总价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2EA59A7">
      <w:pPr>
        <w:adjustRightInd w:val="0"/>
        <w:snapToGrid w:val="0"/>
        <w:spacing w:line="360" w:lineRule="auto"/>
        <w:ind w:firstLine="420" w:firstLineChars="200"/>
        <w:jc w:val="left"/>
        <w:rPr>
          <w:rFonts w:hint="default" w:ascii="宋体" w:hAnsi="宋体" w:eastAsia="宋体" w:cs="宋体"/>
          <w:color w:val="auto"/>
          <w:szCs w:val="21"/>
          <w:highlight w:val="none"/>
          <w:u w:val="single"/>
          <w:lang w:val="en-US" w:eastAsia="zh-CN"/>
        </w:rPr>
      </w:pPr>
      <w:r>
        <w:rPr>
          <w:rFonts w:hint="eastAsia" w:ascii="宋体" w:hAnsi="宋体"/>
          <w:color w:val="auto"/>
          <w:szCs w:val="21"/>
          <w:highlight w:val="none"/>
        </w:rPr>
        <w:t>风险范围以外合同价格的调整方法：</w:t>
      </w:r>
      <w:r>
        <w:rPr>
          <w:rFonts w:hint="eastAsia" w:ascii="宋体" w:hAnsi="宋体" w:cs="宋体"/>
          <w:b/>
          <w:color w:val="auto"/>
          <w:szCs w:val="21"/>
          <w:highlight w:val="none"/>
          <w:u w:val="single"/>
          <w:lang w:val="en-US" w:eastAsia="zh-CN"/>
        </w:rPr>
        <w:t xml:space="preserve">   /     </w:t>
      </w:r>
    </w:p>
    <w:p w14:paraId="729AA476">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3、其他价格方式：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43AEDF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 预付款</w:t>
      </w:r>
    </w:p>
    <w:p w14:paraId="2184A29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12.2.1 预付款的支付</w:t>
      </w:r>
    </w:p>
    <w:p w14:paraId="1D2539BA">
      <w:pPr>
        <w:spacing w:line="360" w:lineRule="auto"/>
        <w:ind w:firstLine="420" w:firstLineChars="200"/>
        <w:jc w:val="left"/>
        <w:rPr>
          <w:rFonts w:hint="eastAsia" w:ascii="宋体" w:hAnsi="宋体"/>
          <w:snapToGrid/>
          <w:color w:val="auto"/>
          <w:kern w:val="2"/>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ascii="宋体" w:hAnsi="宋体"/>
          <w:snapToGrid/>
          <w:color w:val="auto"/>
          <w:kern w:val="2"/>
          <w:szCs w:val="21"/>
          <w:highlight w:val="none"/>
          <w:u w:val="single"/>
        </w:rPr>
        <w:t xml:space="preserve">    </w:t>
      </w:r>
      <w:r>
        <w:rPr>
          <w:rFonts w:hint="eastAsia" w:ascii="宋体" w:hAnsi="宋体"/>
          <w:snapToGrid/>
          <w:color w:val="auto"/>
          <w:kern w:val="2"/>
          <w:szCs w:val="21"/>
          <w:highlight w:val="none"/>
          <w:u w:val="single"/>
        </w:rPr>
        <w:t>合同价</w:t>
      </w:r>
      <w:r>
        <w:rPr>
          <w:rFonts w:hint="eastAsia" w:ascii="宋体" w:hAnsi="宋体"/>
          <w:snapToGrid/>
          <w:color w:val="auto"/>
          <w:kern w:val="2"/>
          <w:szCs w:val="21"/>
          <w:highlight w:val="none"/>
          <w:u w:val="single"/>
          <w:lang w:val="en-US" w:eastAsia="zh-CN"/>
        </w:rPr>
        <w:t>60</w:t>
      </w:r>
      <w:r>
        <w:rPr>
          <w:rFonts w:hint="eastAsia" w:ascii="宋体" w:hAnsi="宋体"/>
          <w:snapToGrid/>
          <w:color w:val="auto"/>
          <w:kern w:val="2"/>
          <w:szCs w:val="21"/>
          <w:highlight w:val="none"/>
          <w:u w:val="single"/>
        </w:rPr>
        <w:t xml:space="preserve">% </w:t>
      </w:r>
      <w:r>
        <w:rPr>
          <w:rFonts w:ascii="宋体" w:hAnsi="宋体"/>
          <w:snapToGrid/>
          <w:color w:val="auto"/>
          <w:kern w:val="2"/>
          <w:szCs w:val="21"/>
          <w:highlight w:val="none"/>
          <w:u w:val="single"/>
        </w:rPr>
        <w:t xml:space="preserve">       </w:t>
      </w:r>
      <w:r>
        <w:rPr>
          <w:rFonts w:ascii="宋体" w:hAnsi="宋体"/>
          <w:snapToGrid/>
          <w:color w:val="auto"/>
          <w:kern w:val="2"/>
          <w:szCs w:val="21"/>
          <w:highlight w:val="none"/>
        </w:rPr>
        <w:t>。</w:t>
      </w:r>
    </w:p>
    <w:p w14:paraId="358D3B9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 xml:space="preserve">  </w:t>
      </w:r>
      <w:r>
        <w:rPr>
          <w:rFonts w:hint="eastAsia" w:ascii="宋体" w:hAnsi="宋体"/>
          <w:snapToGrid/>
          <w:color w:val="auto"/>
          <w:kern w:val="2"/>
          <w:szCs w:val="21"/>
          <w:highlight w:val="none"/>
          <w:u w:val="single"/>
        </w:rPr>
        <w:t>在本合同签订并生效后5个工作日内</w:t>
      </w:r>
      <w:r>
        <w:rPr>
          <w:rFonts w:ascii="宋体" w:hAnsi="宋体"/>
          <w:snapToGrid/>
          <w:color w:val="auto"/>
          <w:kern w:val="2"/>
          <w:szCs w:val="21"/>
          <w:highlight w:val="none"/>
          <w:u w:val="single"/>
        </w:rPr>
        <w:t xml:space="preserve"> </w:t>
      </w:r>
      <w:r>
        <w:rPr>
          <w:rFonts w:hint="eastAsia" w:ascii="宋体" w:hAnsi="宋体"/>
          <w:snapToGrid/>
          <w:color w:val="auto"/>
          <w:kern w:val="2"/>
          <w:szCs w:val="21"/>
          <w:highlight w:val="none"/>
          <w:u w:val="single"/>
        </w:rPr>
        <w:t xml:space="preserve"> </w:t>
      </w:r>
      <w:r>
        <w:rPr>
          <w:rFonts w:hint="eastAsia" w:ascii="宋体" w:hAnsi="宋体"/>
          <w:color w:val="auto"/>
          <w:szCs w:val="21"/>
          <w:highlight w:val="none"/>
        </w:rPr>
        <w:t>。</w:t>
      </w:r>
    </w:p>
    <w:p w14:paraId="7E4A3A13">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预付款扣回的方式：</w:t>
      </w:r>
      <w:r>
        <w:rPr>
          <w:rFonts w:hint="eastAsia" w:ascii="宋体" w:hAnsi="宋体"/>
          <w:snapToGrid/>
          <w:color w:val="auto"/>
          <w:kern w:val="2"/>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F5FE54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12.2.2 预付款担保</w:t>
      </w:r>
    </w:p>
    <w:p w14:paraId="49BB8BD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0BA5C1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D09771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12.3 计量</w:t>
      </w:r>
    </w:p>
    <w:p w14:paraId="47E9CEB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12.3.1 计量原则</w:t>
      </w:r>
    </w:p>
    <w:p w14:paraId="194978D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工程量计算规则：</w:t>
      </w:r>
    </w:p>
    <w:p w14:paraId="49928FF6">
      <w:pPr>
        <w:adjustRightInd w:val="0"/>
        <w:snapToGrid w:val="0"/>
        <w:spacing w:line="360" w:lineRule="auto"/>
        <w:ind w:firstLine="422" w:firstLineChars="200"/>
        <w:jc w:val="left"/>
        <w:rPr>
          <w:rFonts w:hint="eastAsia" w:ascii="宋体" w:hAnsi="宋体"/>
          <w:b/>
          <w:color w:val="auto"/>
          <w:szCs w:val="21"/>
          <w:highlight w:val="none"/>
          <w:u w:val="single"/>
        </w:rPr>
      </w:pPr>
      <w:r>
        <w:rPr>
          <w:rFonts w:hint="eastAsia" w:ascii="宋体" w:hAnsi="宋体"/>
          <w:b/>
          <w:color w:val="auto"/>
          <w:szCs w:val="21"/>
          <w:highlight w:val="none"/>
        </w:rPr>
        <w:t>（1）</w:t>
      </w:r>
      <w:r>
        <w:rPr>
          <w:rFonts w:hint="eastAsia" w:ascii="宋体" w:hAnsi="宋体"/>
          <w:b/>
          <w:color w:val="auto"/>
          <w:szCs w:val="21"/>
          <w:highlight w:val="none"/>
          <w:u w:val="single"/>
        </w:rPr>
        <w:t xml:space="preserve"> 实行工程量清单计价的工程项目，其工程量的计算规则应按国家标准工程量计算规范及省级行业主管部门颁布的补充规定执行。</w:t>
      </w:r>
    </w:p>
    <w:p w14:paraId="2F22DCF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12.3.2 计量周期</w:t>
      </w:r>
    </w:p>
    <w:p w14:paraId="5051565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A4423B8">
      <w:pPr>
        <w:adjustRightInd w:val="0"/>
        <w:snapToGrid w:val="0"/>
        <w:spacing w:line="360" w:lineRule="auto"/>
        <w:ind w:firstLine="367" w:firstLineChars="175"/>
        <w:jc w:val="left"/>
        <w:rPr>
          <w:rFonts w:hint="eastAsia" w:ascii="宋体" w:hAnsi="宋体"/>
          <w:color w:val="auto"/>
          <w:szCs w:val="21"/>
          <w:highlight w:val="none"/>
        </w:rPr>
      </w:pPr>
      <w:r>
        <w:rPr>
          <w:rFonts w:hint="eastAsia" w:ascii="宋体" w:hAnsi="宋体"/>
          <w:color w:val="auto"/>
          <w:szCs w:val="21"/>
          <w:highlight w:val="none"/>
        </w:rPr>
        <w:t>12.3.3 单价合同的计量</w:t>
      </w:r>
    </w:p>
    <w:p w14:paraId="63421A4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关于单价合同计量的约定：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A07638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12.3.4 总价合同的计量</w:t>
      </w:r>
    </w:p>
    <w:p w14:paraId="5F20497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765D2C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12.3.5总价合同采用支付分解表计量支付的，是否适用第12.3.4 项〔总价合同的计量〕约定进行计量：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AE72B9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12.3.6 其他价格形式合同的计量</w:t>
      </w:r>
    </w:p>
    <w:p w14:paraId="204DE8E6">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D26459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12.4 工程进度款支付</w:t>
      </w:r>
    </w:p>
    <w:p w14:paraId="35A307BD">
      <w:pPr>
        <w:pStyle w:val="26"/>
        <w:ind w:left="0" w:leftChars="0" w:firstLine="440" w:firstLineChars="0"/>
        <w:rPr>
          <w:rFonts w:hint="eastAsia"/>
          <w:color w:val="auto"/>
          <w:highlight w:val="none"/>
          <w:lang w:val="en-US" w:eastAsia="zh-CN"/>
        </w:rPr>
      </w:pPr>
      <w:r>
        <w:rPr>
          <w:rFonts w:hint="eastAsia"/>
          <w:color w:val="auto"/>
          <w:highlight w:val="none"/>
          <w:lang w:val="en-US" w:eastAsia="zh-CN"/>
        </w:rPr>
        <w:t>关于付款周期的约定：</w:t>
      </w:r>
    </w:p>
    <w:p w14:paraId="25B72EA7">
      <w:pPr>
        <w:pStyle w:val="26"/>
        <w:numPr>
          <w:ilvl w:val="0"/>
          <w:numId w:val="5"/>
        </w:numPr>
        <w:ind w:left="-20" w:leftChars="0" w:firstLine="440" w:firstLineChars="0"/>
        <w:rPr>
          <w:rFonts w:hint="default"/>
          <w:b/>
          <w:bCs/>
          <w:color w:val="auto"/>
          <w:highlight w:val="none"/>
          <w:u w:val="single"/>
          <w:lang w:val="en-US" w:eastAsia="zh-CN"/>
        </w:rPr>
      </w:pPr>
      <w:r>
        <w:rPr>
          <w:rFonts w:hint="default"/>
          <w:b/>
          <w:bCs/>
          <w:color w:val="auto"/>
          <w:highlight w:val="none"/>
          <w:u w:val="single"/>
          <w:lang w:val="en-US" w:eastAsia="zh-CN"/>
        </w:rPr>
        <w:t>本合同签订并生效后5个工作日内，支付工程合同总价的</w:t>
      </w:r>
      <w:r>
        <w:rPr>
          <w:rFonts w:hint="eastAsia"/>
          <w:b/>
          <w:bCs/>
          <w:color w:val="auto"/>
          <w:highlight w:val="none"/>
          <w:u w:val="single"/>
          <w:lang w:val="en-US" w:eastAsia="zh-CN"/>
        </w:rPr>
        <w:t>6</w:t>
      </w:r>
      <w:r>
        <w:rPr>
          <w:rFonts w:hint="default"/>
          <w:b/>
          <w:bCs/>
          <w:color w:val="auto"/>
          <w:highlight w:val="none"/>
          <w:u w:val="single"/>
          <w:lang w:val="en-US" w:eastAsia="zh-CN"/>
        </w:rPr>
        <w:t>0%作为预付款，若遇学校封账、结算等因素付款日期顺延，款项不另行支付利息；</w:t>
      </w:r>
    </w:p>
    <w:p w14:paraId="53897D1F">
      <w:pPr>
        <w:pStyle w:val="26"/>
        <w:numPr>
          <w:ilvl w:val="0"/>
          <w:numId w:val="5"/>
        </w:numPr>
        <w:ind w:left="-20" w:leftChars="0" w:firstLine="440" w:firstLineChars="0"/>
        <w:rPr>
          <w:rFonts w:hint="default" w:ascii="宋体" w:hAnsi="宋体" w:eastAsia="宋体" w:cs="Times New Roman"/>
          <w:b/>
          <w:bCs/>
          <w:color w:val="auto"/>
          <w:highlight w:val="none"/>
          <w:u w:val="single"/>
          <w:lang w:val="en-US" w:eastAsia="zh-CN"/>
        </w:rPr>
      </w:pPr>
      <w:r>
        <w:rPr>
          <w:rFonts w:hint="default" w:ascii="宋体" w:hAnsi="宋体" w:eastAsia="宋体" w:cs="Times New Roman"/>
          <w:b/>
          <w:bCs/>
          <w:color w:val="auto"/>
          <w:highlight w:val="none"/>
          <w:u w:val="single"/>
          <w:lang w:val="en-US" w:eastAsia="zh-CN"/>
        </w:rPr>
        <w:t>工程完工经验收合格且竣工资料提交齐全，支付至合同内已完工工程量进度款的85%；</w:t>
      </w:r>
    </w:p>
    <w:p w14:paraId="615B52B5">
      <w:pPr>
        <w:pStyle w:val="26"/>
        <w:numPr>
          <w:ilvl w:val="0"/>
          <w:numId w:val="5"/>
        </w:numPr>
        <w:ind w:left="-20" w:leftChars="0" w:firstLine="440" w:firstLineChars="0"/>
        <w:rPr>
          <w:rFonts w:hint="default"/>
          <w:b/>
          <w:bCs/>
          <w:color w:val="auto"/>
          <w:highlight w:val="none"/>
          <w:u w:val="single"/>
          <w:lang w:val="en-US" w:eastAsia="zh-CN"/>
        </w:rPr>
      </w:pPr>
      <w:r>
        <w:rPr>
          <w:rFonts w:hint="default"/>
          <w:b/>
          <w:bCs/>
          <w:color w:val="auto"/>
          <w:highlight w:val="none"/>
          <w:u w:val="single"/>
          <w:lang w:val="en-US" w:eastAsia="zh-CN"/>
        </w:rPr>
        <w:t>工程竣工验收合格，资料归档后，采购人支付</w:t>
      </w:r>
      <w:r>
        <w:rPr>
          <w:rFonts w:hint="eastAsia"/>
          <w:b/>
          <w:bCs/>
          <w:color w:val="auto"/>
          <w:highlight w:val="none"/>
          <w:u w:val="single"/>
          <w:lang w:val="en-US" w:eastAsia="zh-CN"/>
        </w:rPr>
        <w:t>剩余价款</w:t>
      </w:r>
      <w:r>
        <w:rPr>
          <w:rFonts w:hint="default"/>
          <w:b/>
          <w:bCs/>
          <w:color w:val="auto"/>
          <w:highlight w:val="none"/>
          <w:u w:val="single"/>
          <w:lang w:val="en-US" w:eastAsia="zh-CN"/>
        </w:rPr>
        <w:t>。</w:t>
      </w:r>
    </w:p>
    <w:p w14:paraId="7F15D51B">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hAnsi="宋体" w:eastAsia="宋体" w:cs="宋体"/>
          <w:b/>
          <w:color w:val="auto"/>
          <w:sz w:val="21"/>
          <w:szCs w:val="21"/>
          <w:highlight w:val="none"/>
          <w:u w:val="single"/>
          <w:lang w:val="en-US" w:eastAsia="zh-CN"/>
        </w:rPr>
      </w:pPr>
      <w:r>
        <w:rPr>
          <w:rFonts w:hint="eastAsia" w:hAnsi="宋体" w:eastAsia="宋体" w:cs="宋体"/>
          <w:b/>
          <w:color w:val="auto"/>
          <w:sz w:val="21"/>
          <w:szCs w:val="21"/>
          <w:highlight w:val="none"/>
          <w:u w:val="single"/>
          <w:lang w:val="en-US" w:eastAsia="zh-CN"/>
        </w:rPr>
        <w:t>履约保证金</w:t>
      </w:r>
      <w:r>
        <w:rPr>
          <w:rFonts w:hint="eastAsia" w:hAnsi="宋体" w:cs="宋体"/>
          <w:b/>
          <w:color w:val="auto"/>
          <w:sz w:val="21"/>
          <w:szCs w:val="21"/>
          <w:highlight w:val="none"/>
          <w:u w:val="single"/>
          <w:lang w:val="en-US" w:eastAsia="zh-CN"/>
        </w:rPr>
        <w:t>转</w:t>
      </w:r>
      <w:r>
        <w:rPr>
          <w:rFonts w:hint="eastAsia" w:hAnsi="宋体" w:eastAsia="宋体" w:cs="宋体"/>
          <w:b/>
          <w:color w:val="auto"/>
          <w:sz w:val="21"/>
          <w:szCs w:val="21"/>
          <w:highlight w:val="none"/>
          <w:u w:val="single"/>
          <w:lang w:val="en-US" w:eastAsia="zh-CN"/>
        </w:rPr>
        <w:t>在工程保修期满、备案、回访完成后，扣除相应的扣款（由于乙方维修不及时而甲方自行维修的费用）后，结清余款（无息）。</w:t>
      </w:r>
    </w:p>
    <w:p w14:paraId="30F53AD9">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hAnsi="宋体" w:eastAsia="宋体" w:cs="宋体"/>
          <w:b/>
          <w:color w:val="auto"/>
          <w:sz w:val="21"/>
          <w:szCs w:val="21"/>
          <w:highlight w:val="none"/>
          <w:u w:val="single"/>
          <w:lang w:val="en-US" w:eastAsia="zh-CN"/>
        </w:rPr>
      </w:pPr>
      <w:r>
        <w:rPr>
          <w:rFonts w:hint="eastAsia" w:hAnsi="宋体" w:eastAsia="宋体" w:cs="宋体"/>
          <w:b/>
          <w:color w:val="auto"/>
          <w:sz w:val="21"/>
          <w:szCs w:val="21"/>
          <w:highlight w:val="none"/>
          <w:u w:val="single"/>
          <w:lang w:val="en-US" w:eastAsia="zh-CN"/>
        </w:rPr>
        <w:t>承包人现场管理混乱，工程质量、进度、现场文明施工和安全生产达不到预定计划，发包人有权不支付或不全额支付工程款。</w:t>
      </w:r>
    </w:p>
    <w:p w14:paraId="554049BB">
      <w:pPr>
        <w:pStyle w:val="26"/>
        <w:numPr>
          <w:ilvl w:val="0"/>
          <w:numId w:val="0"/>
        </w:numPr>
        <w:ind w:firstLine="420" w:firstLineChars="200"/>
        <w:rPr>
          <w:rFonts w:hint="eastAsia" w:ascii="宋体" w:hAnsi="宋体"/>
          <w:b/>
          <w:color w:val="auto"/>
          <w:szCs w:val="21"/>
          <w:highlight w:val="none"/>
          <w:u w:val="single"/>
        </w:rPr>
      </w:pPr>
      <w:r>
        <w:rPr>
          <w:rFonts w:hint="eastAsia" w:ascii="Times" w:hAnsi="宋体" w:cs="宋体"/>
          <w:color w:val="auto"/>
          <w:sz w:val="21"/>
          <w:szCs w:val="21"/>
          <w:highlight w:val="none"/>
          <w:u w:val="single"/>
        </w:rPr>
        <w:t>在承包人领取工程款前，应当向发包人交付相应的正规发票，并按本合同合格的履行了义务，否则发包人可暂缓支付并不承担逾期付款的违约责任。</w:t>
      </w:r>
    </w:p>
    <w:p w14:paraId="1FF939C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12.4.2 进度付款申请单的编制</w:t>
      </w:r>
    </w:p>
    <w:p w14:paraId="1426BE4B">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关于进度付款申请单编制的约定：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4A4B87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12.4.3 进度付款申请单的提交</w:t>
      </w:r>
    </w:p>
    <w:p w14:paraId="5AE78F1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86FFB9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3FAABD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8FD4FC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12.4.4 进度款审核和支付</w:t>
      </w:r>
    </w:p>
    <w:p w14:paraId="4C48CA10">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（1）发包人完成审批并签发进度款支付证书的期限：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ECB0CA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（2）发包人支付进度款的期限：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4A9D0C5">
      <w:pPr>
        <w:adjustRightInd w:val="0"/>
        <w:snapToGrid w:val="0"/>
        <w:spacing w:line="360" w:lineRule="auto"/>
        <w:ind w:firstLine="525" w:firstLineChars="250"/>
        <w:jc w:val="left"/>
        <w:rPr>
          <w:rFonts w:hint="eastAsia" w:ascii="宋体" w:hAnsi="宋体"/>
          <w:color w:val="auto"/>
          <w:szCs w:val="21"/>
          <w:highlight w:val="none"/>
          <w:u w:val="single"/>
        </w:rPr>
      </w:pPr>
      <w:r>
        <w:rPr>
          <w:rFonts w:hint="eastAsia"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B7EB838">
      <w:pPr>
        <w:adjustRightInd w:val="0"/>
        <w:snapToGrid w:val="0"/>
        <w:spacing w:line="360" w:lineRule="auto"/>
        <w:ind w:firstLine="525" w:firstLineChars="250"/>
        <w:jc w:val="left"/>
        <w:rPr>
          <w:rFonts w:hint="eastAsia" w:ascii="宋体" w:hAnsi="宋体"/>
          <w:color w:val="auto"/>
          <w:szCs w:val="21"/>
          <w:highlight w:val="none"/>
        </w:rPr>
      </w:pPr>
      <w:r>
        <w:rPr>
          <w:rFonts w:hint="eastAsia" w:ascii="宋体" w:hAnsi="宋体"/>
          <w:color w:val="auto"/>
          <w:szCs w:val="21"/>
          <w:highlight w:val="none"/>
        </w:rPr>
        <w:t>12.4.6 支付分解表的编制</w:t>
      </w:r>
    </w:p>
    <w:p w14:paraId="5EC46D8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2、总价合同支付分解表的编制与审批：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5C7E57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3、单价合同的总价项目支付分解表的编制与审批：</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69EE29B8">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13. 验收和工程试车</w:t>
      </w:r>
    </w:p>
    <w:p w14:paraId="1368F47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13.2 竣工验收</w:t>
      </w:r>
    </w:p>
    <w:p w14:paraId="3F0EEC3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13.2.2竣工验收程序</w:t>
      </w:r>
    </w:p>
    <w:p w14:paraId="5A8302A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关于竣工验收程序的约定：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71CCC58B">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发包人不按照本项约定组织竣工验收、颁发工程接收证书的违约金的计算方法：</w:t>
      </w:r>
      <w:r>
        <w:rPr>
          <w:rFonts w:hint="eastAsia" w:ascii="宋体" w:hAnsi="宋体"/>
          <w:color w:val="auto"/>
          <w:szCs w:val="21"/>
          <w:highlight w:val="none"/>
          <w:u w:val="single"/>
        </w:rPr>
        <w:t xml:space="preserve">按通用条款执行   </w:t>
      </w:r>
      <w:r>
        <w:rPr>
          <w:rFonts w:hint="eastAsia" w:ascii="宋体" w:hAnsi="宋体"/>
          <w:color w:val="auto"/>
          <w:szCs w:val="21"/>
          <w:highlight w:val="none"/>
        </w:rPr>
        <w:t>。</w:t>
      </w:r>
    </w:p>
    <w:p w14:paraId="7ADC90C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13.2.5移交、接收全部与部分工程</w:t>
      </w:r>
    </w:p>
    <w:p w14:paraId="1803209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286E92A0">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发包人未按本合同约定接收全部或部分工程的，违约金的计算方法为：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F7BEA99">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承包人未按时移交工程的，违约金的计算方法为：</w:t>
      </w:r>
      <w:r>
        <w:rPr>
          <w:rFonts w:hint="eastAsia" w:ascii="宋体" w:hAnsi="宋体"/>
          <w:color w:val="auto"/>
          <w:szCs w:val="21"/>
          <w:highlight w:val="none"/>
          <w:u w:val="single"/>
        </w:rPr>
        <w:t>工程竣工验收备案后2日内，承包人须向发包人移交全部工程，延误3天以内的按1500元/天扣除延误费，3天以上的，则以上天数按2000元/天计算，违约金直接从工程款中扣除。因逾期交付工程给发包人造成经济损失的，赔偿损失。同时，承包人移交所有工程之前，发包人有权拒绝结算、支付工程款</w:t>
      </w:r>
      <w:r>
        <w:rPr>
          <w:rFonts w:hint="eastAsia" w:ascii="宋体" w:hAnsi="宋体"/>
          <w:color w:val="auto"/>
          <w:szCs w:val="21"/>
          <w:highlight w:val="none"/>
        </w:rPr>
        <w:t>。</w:t>
      </w:r>
    </w:p>
    <w:p w14:paraId="5351655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13.3 工程试车</w:t>
      </w:r>
    </w:p>
    <w:p w14:paraId="4E29045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13.3.1 试车程序</w:t>
      </w:r>
    </w:p>
    <w:p w14:paraId="6B5D798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工程试车内容：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FFD562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 xml:space="preserve">   /  </w:t>
      </w:r>
      <w:r>
        <w:rPr>
          <w:rFonts w:hint="eastAsia" w:ascii="宋体" w:hAnsi="宋体"/>
          <w:color w:val="auto"/>
          <w:szCs w:val="21"/>
          <w:highlight w:val="none"/>
        </w:rPr>
        <w:t>承担；</w:t>
      </w:r>
    </w:p>
    <w:p w14:paraId="7325C49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 xml:space="preserve">   /   </w:t>
      </w:r>
      <w:r>
        <w:rPr>
          <w:rFonts w:hint="eastAsia" w:ascii="宋体" w:hAnsi="宋体"/>
          <w:color w:val="auto"/>
          <w:szCs w:val="21"/>
          <w:highlight w:val="none"/>
        </w:rPr>
        <w:t>承担。</w:t>
      </w:r>
    </w:p>
    <w:p w14:paraId="37876E0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13.3.3 投料试车</w:t>
      </w:r>
    </w:p>
    <w:p w14:paraId="788184D3">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关于投料试车相关事项的约定：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6C0D8EE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13.6 竣工退场</w:t>
      </w:r>
    </w:p>
    <w:p w14:paraId="3274167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13.6.1 竣工退场</w:t>
      </w:r>
    </w:p>
    <w:p w14:paraId="2039196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 xml:space="preserve">   颁发工程接收书后2天      </w:t>
      </w:r>
      <w:r>
        <w:rPr>
          <w:rFonts w:hint="eastAsia" w:ascii="宋体" w:hAnsi="宋体"/>
          <w:color w:val="auto"/>
          <w:szCs w:val="21"/>
          <w:highlight w:val="none"/>
        </w:rPr>
        <w:t>。</w:t>
      </w:r>
    </w:p>
    <w:p w14:paraId="57A4AA00">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14. 竣工结算</w:t>
      </w:r>
    </w:p>
    <w:p w14:paraId="697D26A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14.1 竣工付款申请</w:t>
      </w:r>
    </w:p>
    <w:p w14:paraId="1EFF6B6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承包人提交竣工付款申请单的期限：</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1D2CB16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竣工付款申请单应包括的内容：</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39EAEC1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14.2 竣工结算审核</w:t>
      </w:r>
    </w:p>
    <w:p w14:paraId="1B5373B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发包人审批竣工付款申请单的期限：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Hans" w:eastAsia="zh-Hans"/>
        </w:rPr>
        <w:t>收到竣工结算申请单后</w:t>
      </w:r>
      <w:r>
        <w:rPr>
          <w:rFonts w:hint="eastAsia" w:ascii="宋体" w:hAnsi="宋体"/>
          <w:color w:val="auto"/>
          <w:szCs w:val="21"/>
          <w:highlight w:val="none"/>
          <w:u w:val="single"/>
        </w:rPr>
        <w:t>14</w:t>
      </w:r>
      <w:r>
        <w:rPr>
          <w:rFonts w:hint="eastAsia" w:ascii="宋体" w:hAnsi="宋体"/>
          <w:color w:val="auto"/>
          <w:szCs w:val="21"/>
          <w:highlight w:val="none"/>
          <w:u w:val="single"/>
          <w:lang w:val="zh-Hans" w:eastAsia="zh-Hans"/>
        </w:rPr>
        <w:t>天内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4B6764B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9DC7EEA">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BE3200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14.4 最终结清</w:t>
      </w:r>
    </w:p>
    <w:p w14:paraId="752F170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14.4.1 最终结清申请单</w:t>
      </w:r>
    </w:p>
    <w:p w14:paraId="009D4FA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4D33D40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 xml:space="preserve">。 </w:t>
      </w:r>
    </w:p>
    <w:p w14:paraId="166BB04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14.4.2 最终结清证书和支付</w:t>
      </w:r>
    </w:p>
    <w:p w14:paraId="192FFC2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Hans" w:eastAsia="zh-Hans"/>
        </w:rPr>
        <w:t>收到最终结清申请单后</w:t>
      </w:r>
      <w:r>
        <w:rPr>
          <w:rFonts w:hint="eastAsia" w:ascii="宋体" w:hAnsi="宋体"/>
          <w:color w:val="auto"/>
          <w:szCs w:val="21"/>
          <w:highlight w:val="none"/>
          <w:u w:val="single"/>
        </w:rPr>
        <w:t>30</w:t>
      </w:r>
      <w:r>
        <w:rPr>
          <w:rFonts w:hint="eastAsia" w:ascii="宋体" w:hAnsi="宋体"/>
          <w:color w:val="auto"/>
          <w:szCs w:val="21"/>
          <w:highlight w:val="none"/>
          <w:u w:val="single"/>
          <w:lang w:val="zh-Hans" w:eastAsia="zh-Hans"/>
        </w:rPr>
        <w:t>天内</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B17BF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2F1D961">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15. 缺陷责任期与保修</w:t>
      </w:r>
    </w:p>
    <w:p w14:paraId="7783C10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15.2缺陷责任期</w:t>
      </w:r>
    </w:p>
    <w:p w14:paraId="1649E231">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缺陷责任期的具体期限：</w:t>
      </w:r>
      <w:r>
        <w:rPr>
          <w:rFonts w:hint="eastAsia" w:ascii="宋体" w:hAnsi="宋体"/>
          <w:color w:val="auto"/>
          <w:szCs w:val="21"/>
          <w:highlight w:val="none"/>
          <w:u w:val="single"/>
        </w:rPr>
        <w:t xml:space="preserve">     2年    。</w:t>
      </w:r>
      <w:r>
        <w:rPr>
          <w:rFonts w:hint="eastAsia" w:ascii="宋体" w:hAnsi="宋体"/>
          <w:color w:val="auto"/>
          <w:szCs w:val="21"/>
          <w:highlight w:val="none"/>
        </w:rPr>
        <w:t xml:space="preserve">   </w:t>
      </w:r>
    </w:p>
    <w:p w14:paraId="577236B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15.3 质量保证金</w:t>
      </w:r>
    </w:p>
    <w:p w14:paraId="7D729C6B">
      <w:pPr>
        <w:adjustRightInd w:val="0"/>
        <w:snapToGrid w:val="0"/>
        <w:spacing w:line="360" w:lineRule="auto"/>
        <w:ind w:firstLine="420" w:firstLineChars="200"/>
        <w:jc w:val="left"/>
        <w:rPr>
          <w:rFonts w:hAnsi="宋体" w:cs="宋体"/>
          <w:color w:val="auto"/>
          <w:sz w:val="21"/>
          <w:szCs w:val="21"/>
          <w:highlight w:val="none"/>
          <w:u w:val="none" w:color="000000"/>
          <w:lang w:val="zh-Hans" w:eastAsia="zh-Hans"/>
        </w:rPr>
      </w:pPr>
      <w:r>
        <w:rPr>
          <w:rFonts w:hAnsi="宋体" w:cs="宋体"/>
          <w:color w:val="auto"/>
          <w:sz w:val="21"/>
          <w:szCs w:val="21"/>
          <w:highlight w:val="none"/>
          <w:u w:val="none" w:color="000000"/>
          <w:lang w:val="zh-Hans" w:eastAsia="zh-Hans"/>
        </w:rPr>
        <w:t>关于是否扣留质量保证金的约定：</w:t>
      </w:r>
      <w:r>
        <w:rPr>
          <w:rFonts w:ascii="Times" w:hAnsi="宋体" w:cs="宋体"/>
          <w:color w:val="auto"/>
          <w:sz w:val="21"/>
          <w:szCs w:val="21"/>
          <w:highlight w:val="none"/>
          <w:u w:val="single" w:color="000000"/>
        </w:rPr>
        <w:t xml:space="preserve">     </w:t>
      </w:r>
      <w:r>
        <w:rPr>
          <w:rFonts w:hAnsi="宋体" w:cs="宋体"/>
          <w:color w:val="auto"/>
          <w:sz w:val="21"/>
          <w:szCs w:val="21"/>
          <w:highlight w:val="none"/>
          <w:u w:val="single" w:color="000000"/>
          <w:lang w:val="zh-Hans" w:eastAsia="zh-Hans"/>
        </w:rPr>
        <w:t xml:space="preserve">  </w:t>
      </w:r>
      <w:r>
        <w:rPr>
          <w:rFonts w:hint="eastAsia" w:hAnsi="宋体" w:cs="宋体"/>
          <w:color w:val="auto"/>
          <w:sz w:val="21"/>
          <w:szCs w:val="21"/>
          <w:highlight w:val="none"/>
          <w:u w:val="single" w:color="000000"/>
          <w:lang w:val="en-US" w:eastAsia="zh-CN"/>
        </w:rPr>
        <w:t>否</w:t>
      </w:r>
      <w:r>
        <w:rPr>
          <w:rFonts w:hAnsi="宋体" w:cs="宋体"/>
          <w:color w:val="auto"/>
          <w:sz w:val="21"/>
          <w:szCs w:val="21"/>
          <w:highlight w:val="none"/>
          <w:u w:val="single" w:color="000000"/>
          <w:lang w:val="zh-Hans" w:eastAsia="zh-Hans"/>
        </w:rPr>
        <w:t xml:space="preserve">      </w:t>
      </w:r>
      <w:r>
        <w:rPr>
          <w:rFonts w:ascii="Times" w:hAnsi="宋体" w:cs="宋体"/>
          <w:color w:val="auto"/>
          <w:sz w:val="21"/>
          <w:szCs w:val="21"/>
          <w:highlight w:val="none"/>
          <w:u w:val="single" w:color="000000"/>
        </w:rPr>
        <w:t xml:space="preserve">       </w:t>
      </w:r>
      <w:r>
        <w:rPr>
          <w:rFonts w:hAnsi="宋体" w:cs="宋体"/>
          <w:color w:val="auto"/>
          <w:sz w:val="21"/>
          <w:szCs w:val="21"/>
          <w:highlight w:val="none"/>
          <w:u w:val="none" w:color="000000"/>
          <w:lang w:val="zh-Hans" w:eastAsia="zh-Hans"/>
        </w:rPr>
        <w:t>。</w:t>
      </w:r>
    </w:p>
    <w:p w14:paraId="3A1D644E">
      <w:pPr>
        <w:adjustRightInd w:val="0"/>
        <w:snapToGrid w:val="0"/>
        <w:spacing w:line="360" w:lineRule="auto"/>
        <w:ind w:firstLine="420" w:firstLineChars="200"/>
        <w:jc w:val="left"/>
        <w:rPr>
          <w:rFonts w:hint="eastAsia" w:ascii="宋体" w:hAnsi="宋体"/>
          <w:color w:val="auto"/>
          <w:szCs w:val="21"/>
          <w:highlight w:val="none"/>
        </w:rPr>
      </w:pPr>
      <w:r>
        <w:rPr>
          <w:rFonts w:hint="eastAsia" w:hAnsi="宋体" w:cs="宋体"/>
          <w:color w:val="auto"/>
          <w:sz w:val="21"/>
          <w:szCs w:val="21"/>
          <w:highlight w:val="none"/>
          <w:u w:val="none" w:color="000000"/>
          <w:lang w:val="zh-Hans" w:eastAsia="zh-Hans"/>
        </w:rPr>
        <w:t>在工程项目竣工前，承包人按专用合同条款第3.7条提供履约担保的，发包人不得同时预留工程质量保证金。</w:t>
      </w:r>
    </w:p>
    <w:p w14:paraId="5EF7AC7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15.3.1 承包人提供质量保证金的方式</w:t>
      </w:r>
    </w:p>
    <w:p w14:paraId="730F805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6BA87131">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（1）质量保证金保函，保证金额为：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487C1295">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%的工程款；</w:t>
      </w:r>
    </w:p>
    <w:p w14:paraId="6B323CA0">
      <w:pPr>
        <w:autoSpaceDE w:val="0"/>
        <w:autoSpaceDN w:val="0"/>
        <w:adjustRightInd w:val="0"/>
        <w:snapToGrid w:val="0"/>
        <w:spacing w:line="360" w:lineRule="auto"/>
        <w:ind w:firstLine="420" w:firstLineChars="200"/>
        <w:jc w:val="left"/>
        <w:rPr>
          <w:rFonts w:hint="eastAsia" w:ascii="宋体" w:hAnsi="宋体"/>
          <w:b/>
          <w:color w:val="auto"/>
          <w:szCs w:val="21"/>
          <w:highlight w:val="none"/>
          <w:u w:val="singl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E0FFBD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15.3.2 质量保证金的扣留 </w:t>
      </w:r>
    </w:p>
    <w:p w14:paraId="77FE5AF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477BDB49">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50EB6F1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（2）工程竣工结算时一次性扣留质量保证金；</w:t>
      </w:r>
    </w:p>
    <w:p w14:paraId="292E039C">
      <w:pPr>
        <w:pStyle w:val="967"/>
        <w:adjustRightInd w:val="0"/>
        <w:snapToGrid w:val="0"/>
        <w:spacing w:before="0" w:after="0" w:line="360" w:lineRule="auto"/>
        <w:ind w:firstLine="420"/>
        <w:rPr>
          <w:rFonts w:hint="eastAsia" w:ascii="宋体" w:hAnsi="宋体"/>
          <w:b/>
          <w:color w:val="auto"/>
          <w:szCs w:val="21"/>
          <w:highlight w:val="none"/>
        </w:rPr>
      </w:pPr>
      <w:r>
        <w:rPr>
          <w:rFonts w:hint="eastAsia" w:cs="Times New Roman"/>
          <w:color w:val="auto"/>
          <w:sz w:val="21"/>
          <w:szCs w:val="21"/>
          <w:highlight w:val="none"/>
        </w:rPr>
        <w:t>（3）其他扣留方式</w:t>
      </w:r>
      <w:r>
        <w:rPr>
          <w:rFonts w:hint="eastAsia" w:cs="Times New Roman"/>
          <w:color w:val="auto"/>
          <w:sz w:val="21"/>
          <w:szCs w:val="21"/>
          <w:highlight w:val="none"/>
          <w:lang w:eastAsia="zh-CN"/>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FAF604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15.4保修</w:t>
      </w:r>
    </w:p>
    <w:p w14:paraId="19809E7C">
      <w:pPr>
        <w:adjustRightInd w:val="0"/>
        <w:snapToGrid w:val="0"/>
        <w:spacing w:line="360" w:lineRule="auto"/>
        <w:ind w:firstLine="409" w:firstLineChars="195"/>
        <w:jc w:val="left"/>
        <w:rPr>
          <w:rFonts w:hint="eastAsia" w:ascii="宋体" w:hAnsi="宋体"/>
          <w:color w:val="auto"/>
          <w:szCs w:val="21"/>
          <w:highlight w:val="none"/>
        </w:rPr>
      </w:pPr>
      <w:r>
        <w:rPr>
          <w:rFonts w:hint="eastAsia" w:ascii="宋体" w:hAnsi="宋体"/>
          <w:color w:val="auto"/>
          <w:szCs w:val="21"/>
          <w:highlight w:val="none"/>
        </w:rPr>
        <w:t>15.4.1 保修责任</w:t>
      </w:r>
    </w:p>
    <w:p w14:paraId="743BDAB8">
      <w:pPr>
        <w:adjustRightInd w:val="0"/>
        <w:snapToGrid w:val="0"/>
        <w:spacing w:line="360" w:lineRule="auto"/>
        <w:ind w:firstLine="409" w:firstLineChars="195"/>
        <w:jc w:val="left"/>
        <w:rPr>
          <w:rFonts w:hint="eastAsia" w:ascii="宋体" w:hAnsi="宋体"/>
          <w:color w:val="auto"/>
          <w:szCs w:val="21"/>
          <w:highlight w:val="none"/>
        </w:rPr>
      </w:pPr>
      <w:r>
        <w:rPr>
          <w:rFonts w:hint="eastAsia" w:ascii="宋体" w:hAnsi="宋体"/>
          <w:color w:val="auto"/>
          <w:szCs w:val="21"/>
          <w:highlight w:val="none"/>
        </w:rPr>
        <w:t>工程保修期为：</w:t>
      </w:r>
      <w:r>
        <w:rPr>
          <w:rFonts w:hint="eastAsia" w:ascii="宋体" w:hAnsi="宋体"/>
          <w:color w:val="auto"/>
          <w:szCs w:val="21"/>
          <w:highlight w:val="none"/>
          <w:u w:val="single"/>
        </w:rPr>
        <w:t xml:space="preserve">  按工程质量保修书规定执行 </w:t>
      </w:r>
      <w:r>
        <w:rPr>
          <w:rFonts w:hint="eastAsia" w:ascii="宋体" w:hAnsi="宋体"/>
          <w:color w:val="auto"/>
          <w:szCs w:val="21"/>
          <w:highlight w:val="none"/>
        </w:rPr>
        <w:t>。</w:t>
      </w:r>
    </w:p>
    <w:p w14:paraId="7704202F">
      <w:pPr>
        <w:adjustRightInd w:val="0"/>
        <w:snapToGrid w:val="0"/>
        <w:spacing w:line="360" w:lineRule="auto"/>
        <w:ind w:firstLine="411" w:firstLineChars="195"/>
        <w:jc w:val="left"/>
        <w:rPr>
          <w:rFonts w:hint="eastAsia" w:ascii="宋体" w:hAnsi="宋体"/>
          <w:b/>
          <w:bCs/>
          <w:color w:val="auto"/>
          <w:szCs w:val="21"/>
          <w:highlight w:val="none"/>
        </w:rPr>
      </w:pPr>
      <w:r>
        <w:rPr>
          <w:rFonts w:hint="eastAsia" w:ascii="宋体" w:hAnsi="宋体"/>
          <w:b/>
          <w:bCs/>
          <w:color w:val="auto"/>
          <w:szCs w:val="21"/>
          <w:highlight w:val="none"/>
        </w:rPr>
        <w:t>缺陷责任期满后，仍须提供保修服务，直至质保期结束，费用由承包人承担。</w:t>
      </w:r>
    </w:p>
    <w:p w14:paraId="2300BBDD">
      <w:pPr>
        <w:adjustRightInd w:val="0"/>
        <w:snapToGrid w:val="0"/>
        <w:spacing w:line="360" w:lineRule="auto"/>
        <w:ind w:firstLine="422" w:firstLineChars="200"/>
        <w:jc w:val="left"/>
        <w:rPr>
          <w:rFonts w:hint="eastAsia" w:ascii="宋体" w:hAnsi="宋体"/>
          <w:b/>
          <w:color w:val="auto"/>
          <w:szCs w:val="21"/>
          <w:highlight w:val="none"/>
          <w:u w:val="single"/>
        </w:rPr>
      </w:pPr>
      <w:r>
        <w:rPr>
          <w:rFonts w:hint="eastAsia" w:ascii="宋体" w:hAnsi="宋体"/>
          <w:b/>
          <w:color w:val="auto"/>
          <w:szCs w:val="21"/>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47418AF8">
      <w:pPr>
        <w:adjustRightInd w:val="0"/>
        <w:snapToGrid w:val="0"/>
        <w:spacing w:line="360" w:lineRule="auto"/>
        <w:ind w:firstLine="409" w:firstLineChars="195"/>
        <w:jc w:val="left"/>
        <w:rPr>
          <w:rFonts w:hint="eastAsia" w:ascii="宋体" w:hAnsi="宋体"/>
          <w:color w:val="auto"/>
          <w:szCs w:val="21"/>
          <w:highlight w:val="none"/>
        </w:rPr>
      </w:pPr>
      <w:r>
        <w:rPr>
          <w:rFonts w:hint="eastAsia" w:ascii="宋体" w:hAnsi="宋体"/>
          <w:color w:val="auto"/>
          <w:szCs w:val="21"/>
          <w:highlight w:val="none"/>
        </w:rPr>
        <w:t>15.4.3 修复通知</w:t>
      </w:r>
    </w:p>
    <w:p w14:paraId="5B9B9222">
      <w:pPr>
        <w:adjustRightInd w:val="0"/>
        <w:snapToGrid w:val="0"/>
        <w:spacing w:line="360" w:lineRule="auto"/>
        <w:ind w:firstLine="409" w:firstLineChars="195"/>
        <w:jc w:val="left"/>
        <w:rPr>
          <w:rFonts w:hint="eastAsia" w:ascii="宋体" w:hAnsi="宋体"/>
          <w:color w:val="auto"/>
          <w:szCs w:val="21"/>
          <w:highlight w:val="none"/>
          <w:u w:val="singl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24小时内   </w:t>
      </w:r>
      <w:r>
        <w:rPr>
          <w:rFonts w:hint="eastAsia" w:ascii="宋体" w:hAnsi="宋体"/>
          <w:color w:val="auto"/>
          <w:szCs w:val="21"/>
          <w:highlight w:val="none"/>
        </w:rPr>
        <w:t>。</w:t>
      </w:r>
    </w:p>
    <w:p w14:paraId="4022B14F">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16. 违约</w:t>
      </w:r>
    </w:p>
    <w:p w14:paraId="78C492F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16.1 发包人违约</w:t>
      </w:r>
    </w:p>
    <w:p w14:paraId="31780BD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16.1.1发包人违约的情形</w:t>
      </w:r>
    </w:p>
    <w:p w14:paraId="552A8A47">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发包人违约的其他情形：</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11B9C143">
      <w:pPr>
        <w:adjustRightInd w:val="0"/>
        <w:snapToGrid w:val="0"/>
        <w:spacing w:line="360" w:lineRule="auto"/>
        <w:ind w:left="1050" w:hanging="1050" w:hangingChars="500"/>
        <w:jc w:val="left"/>
        <w:rPr>
          <w:rFonts w:hint="eastAsia" w:ascii="宋体" w:hAnsi="宋体"/>
          <w:color w:val="auto"/>
          <w:szCs w:val="21"/>
          <w:highlight w:val="none"/>
        </w:rPr>
      </w:pPr>
      <w:r>
        <w:rPr>
          <w:rFonts w:hint="eastAsia" w:ascii="宋体" w:hAnsi="宋体"/>
          <w:color w:val="auto"/>
          <w:szCs w:val="21"/>
          <w:highlight w:val="none"/>
        </w:rPr>
        <w:t xml:space="preserve">    16.1.2 发包人违约的责任</w:t>
      </w:r>
    </w:p>
    <w:p w14:paraId="63B1A19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发包人违约责任的承担方式和计算方法：</w:t>
      </w:r>
    </w:p>
    <w:p w14:paraId="43FF457C">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（1）因发包人原因未能在计划开工日期前7天内下达开工通知的违约责任：</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544BD0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（2）因发包人原因未能按合同约定支付合同价款的违约责任：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CF6B09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（3）发包人违反第10.1款〔变更的范围〕第（2）项约定，自行实施被取消的工作或转由他人实施的违约责任：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4DA109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EB8FCEA">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（5）因发包人违反合同约定造成暂停施工的违约责任：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9313C4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（6）发包人无正当理由没有在约定期限内发出复工指示，导致承包人无法复工的违约责任：</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66EEE2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（7）其他：</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764BF1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16.1.3 因发包人违约解除合同</w:t>
      </w:r>
    </w:p>
    <w:p w14:paraId="4207955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承包人按16.1.1项〔发包人违约的情形〕约定暂停施工满</w:t>
      </w:r>
      <w:r>
        <w:rPr>
          <w:rFonts w:hint="eastAsia" w:ascii="宋体" w:hAnsi="宋体"/>
          <w:color w:val="auto"/>
          <w:szCs w:val="21"/>
          <w:highlight w:val="none"/>
          <w:u w:val="single"/>
        </w:rPr>
        <w:t xml:space="preserve">  /  </w:t>
      </w:r>
      <w:r>
        <w:rPr>
          <w:rFonts w:hint="eastAsia" w:ascii="宋体" w:hAnsi="宋体"/>
          <w:color w:val="auto"/>
          <w:szCs w:val="21"/>
          <w:highlight w:val="none"/>
        </w:rPr>
        <w:t>天后发包人仍不纠正其违约行为并致使合同目的不能实现的，承包人有权解除合同。</w:t>
      </w:r>
    </w:p>
    <w:p w14:paraId="312336A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16.2 承包人违约</w:t>
      </w:r>
    </w:p>
    <w:p w14:paraId="734C948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16.2.1 承包人违约的情形</w:t>
      </w:r>
    </w:p>
    <w:p w14:paraId="5F4A529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承包人违约的其他情形：</w:t>
      </w:r>
      <w:r>
        <w:rPr>
          <w:rFonts w:hint="eastAsia" w:ascii="宋体" w:hAnsi="宋体"/>
          <w:color w:val="auto"/>
          <w:szCs w:val="21"/>
          <w:highlight w:val="none"/>
          <w:u w:val="single"/>
        </w:rPr>
        <w:t xml:space="preserve">   因承包人原因工程最终验收结果未达到合格标准，无条件返工，直至验收合格，工期不得顺延；若承包人不返工，发包人有权委托第三方进行返工，费用由承包人承担,发包人有权直接从工程款中扣除  </w:t>
      </w:r>
      <w:r>
        <w:rPr>
          <w:rFonts w:hint="eastAsia" w:ascii="宋体" w:hAnsi="宋体"/>
          <w:color w:val="auto"/>
          <w:szCs w:val="21"/>
          <w:highlight w:val="none"/>
        </w:rPr>
        <w:t>。</w:t>
      </w:r>
    </w:p>
    <w:p w14:paraId="4934BEB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16.2.2承包人违约的责任</w:t>
      </w:r>
    </w:p>
    <w:p w14:paraId="0399A76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承包人违约责任的承担方式和计算方法：承担其违约行为而增加的费用和（或）延误的工期，并承担合同所约定的违约金。</w:t>
      </w:r>
    </w:p>
    <w:p w14:paraId="0395414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16.2.3 因承包人违约解除合同</w:t>
      </w:r>
    </w:p>
    <w:p w14:paraId="7D220984">
      <w:pPr>
        <w:adjustRightInd w:val="0"/>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关于承包人违约解除合同的特别约定：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40877F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olor w:val="auto"/>
          <w:szCs w:val="21"/>
          <w:highlight w:val="none"/>
          <w:u w:val="single"/>
        </w:rPr>
        <w:t xml:space="preserve">     费用另行约定，由发包人承担       </w:t>
      </w:r>
      <w:r>
        <w:rPr>
          <w:rFonts w:hint="eastAsia" w:ascii="宋体" w:hAnsi="宋体"/>
          <w:color w:val="auto"/>
          <w:szCs w:val="21"/>
          <w:highlight w:val="none"/>
        </w:rPr>
        <w:t>。</w:t>
      </w:r>
    </w:p>
    <w:p w14:paraId="212E45C2">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 xml:space="preserve">17. 不可抗力 </w:t>
      </w:r>
    </w:p>
    <w:p w14:paraId="5180088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17.1 不可抗力的确认</w:t>
      </w:r>
    </w:p>
    <w:p w14:paraId="22952B5F">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 xml:space="preserve">除通用合同条款约定的不可抗力事件之外，视为不可抗力的其他情形： </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4DB826E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17.4 因不可抗力解除合同</w:t>
      </w:r>
    </w:p>
    <w:p w14:paraId="22A98BC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 xml:space="preserve">   28  </w:t>
      </w:r>
      <w:r>
        <w:rPr>
          <w:rFonts w:hint="eastAsia" w:ascii="宋体" w:hAnsi="宋体"/>
          <w:color w:val="auto"/>
          <w:szCs w:val="21"/>
          <w:highlight w:val="none"/>
        </w:rPr>
        <w:t>天内完成款项的支付。</w:t>
      </w:r>
    </w:p>
    <w:p w14:paraId="72E2DE09">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18. 保险</w:t>
      </w:r>
    </w:p>
    <w:p w14:paraId="7DC16E8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18.1 工程保险</w:t>
      </w:r>
    </w:p>
    <w:p w14:paraId="467F3496">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关于工程保险的特别约定：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441068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18.3 其他保险</w:t>
      </w:r>
    </w:p>
    <w:p w14:paraId="64BDC5F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   </w:t>
      </w:r>
      <w:r>
        <w:rPr>
          <w:rFonts w:hint="eastAsia" w:ascii="宋体" w:hAnsi="宋体"/>
          <w:color w:val="auto"/>
          <w:szCs w:val="21"/>
          <w:highlight w:val="none"/>
        </w:rPr>
        <w:t>。</w:t>
      </w:r>
    </w:p>
    <w:p w14:paraId="0CFDF052">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121A92B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18.7 通知义务</w:t>
      </w:r>
    </w:p>
    <w:p w14:paraId="643BB1A8">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 xml:space="preserve">    按通用条款执行  </w:t>
      </w:r>
      <w:r>
        <w:rPr>
          <w:rFonts w:hint="eastAsia" w:ascii="宋体" w:hAnsi="宋体"/>
          <w:color w:val="auto"/>
          <w:szCs w:val="21"/>
          <w:highlight w:val="none"/>
        </w:rPr>
        <w:t>。</w:t>
      </w:r>
    </w:p>
    <w:p w14:paraId="3AC17C32">
      <w:pPr>
        <w:pStyle w:val="7"/>
        <w:numPr>
          <w:ilvl w:val="3"/>
          <w:numId w:val="0"/>
        </w:numPr>
        <w:adjustRightInd w:val="0"/>
        <w:snapToGrid w:val="0"/>
        <w:spacing w:line="360" w:lineRule="auto"/>
        <w:ind w:left="426"/>
        <w:rPr>
          <w:rFonts w:hint="eastAsia" w:ascii="宋体" w:hAnsi="宋体"/>
          <w:color w:val="auto"/>
          <w:sz w:val="21"/>
          <w:szCs w:val="21"/>
          <w:highlight w:val="none"/>
        </w:rPr>
      </w:pPr>
      <w:r>
        <w:rPr>
          <w:rFonts w:hint="eastAsia" w:ascii="宋体" w:hAnsi="宋体"/>
          <w:color w:val="auto"/>
          <w:sz w:val="21"/>
          <w:szCs w:val="21"/>
          <w:highlight w:val="none"/>
        </w:rPr>
        <w:t>20. 争议解决</w:t>
      </w:r>
    </w:p>
    <w:p w14:paraId="0226811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争议评审</w:t>
      </w:r>
    </w:p>
    <w:p w14:paraId="22A8ABDA">
      <w:pPr>
        <w:adjustRightInd w:val="0"/>
        <w:snapToGrid w:val="0"/>
        <w:spacing w:line="360" w:lineRule="auto"/>
        <w:ind w:left="149" w:leftChars="71" w:firstLine="315" w:firstLineChars="150"/>
        <w:jc w:val="left"/>
        <w:rPr>
          <w:rFonts w:hint="eastAsia" w:ascii="宋体" w:hAnsi="宋体"/>
          <w:color w:val="auto"/>
          <w:szCs w:val="21"/>
          <w:highlight w:val="none"/>
          <w:u w:val="singl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否  </w:t>
      </w:r>
      <w:r>
        <w:rPr>
          <w:rFonts w:hint="eastAsia" w:ascii="宋体" w:hAnsi="宋体"/>
          <w:color w:val="auto"/>
          <w:szCs w:val="21"/>
          <w:highlight w:val="none"/>
        </w:rPr>
        <w:t xml:space="preserve">。  </w:t>
      </w:r>
    </w:p>
    <w:p w14:paraId="06A7E6E2">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20.3.1 争议评审小组的确定</w:t>
      </w:r>
    </w:p>
    <w:p w14:paraId="77F6295E">
      <w:pPr>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争议评审小组成员的确定：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C2B1F89">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选定争议评审员的期限：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08280F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争议评审小组成员的报酬承担方式：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3EFB987">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其他事项的约定：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416EEEF">
      <w:pPr>
        <w:autoSpaceDE w:val="0"/>
        <w:autoSpaceDN w:val="0"/>
        <w:adjustRightInd w:val="0"/>
        <w:snapToGrid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20.3.2 争议评审小组的决定</w:t>
      </w:r>
    </w:p>
    <w:p w14:paraId="1F6F59C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合同当事人关于本项的约定：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4E3E7E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20.4仲裁或诉讼</w:t>
      </w:r>
    </w:p>
    <w:p w14:paraId="350C41C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因合同及合同有关事项发生的争议，双方当事人一致同意提交</w:t>
      </w:r>
      <w:r>
        <w:rPr>
          <w:rFonts w:hint="eastAsia" w:ascii="宋体" w:hAnsi="宋体"/>
          <w:b/>
          <w:color w:val="auto"/>
          <w:szCs w:val="21"/>
          <w:highlight w:val="none"/>
        </w:rPr>
        <w:t>杭州仲裁委员会申请仲裁</w:t>
      </w:r>
      <w:r>
        <w:rPr>
          <w:rFonts w:hint="eastAsia" w:ascii="宋体" w:hAnsi="宋体"/>
          <w:color w:val="auto"/>
          <w:szCs w:val="21"/>
          <w:highlight w:val="none"/>
        </w:rPr>
        <w:t>；但双方当事人特别约定下列解决方式中第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种方式解决争议的除外：</w:t>
      </w:r>
    </w:p>
    <w:p w14:paraId="1356CD2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（1）提交</w:t>
      </w:r>
      <w:r>
        <w:rPr>
          <w:rFonts w:hint="eastAsia" w:ascii="宋体" w:hAnsi="宋体"/>
          <w:color w:val="auto"/>
          <w:szCs w:val="21"/>
          <w:highlight w:val="none"/>
          <w:u w:val="single"/>
        </w:rPr>
        <w:t xml:space="preserve">         /            </w:t>
      </w:r>
      <w:r>
        <w:rPr>
          <w:rFonts w:hint="eastAsia" w:ascii="宋体" w:hAnsi="宋体"/>
          <w:color w:val="auto"/>
          <w:szCs w:val="21"/>
          <w:highlight w:val="none"/>
        </w:rPr>
        <w:t>仲裁委员会申请仲裁；</w:t>
      </w:r>
    </w:p>
    <w:p w14:paraId="55560A4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（2）依法向</w:t>
      </w:r>
      <w:r>
        <w:rPr>
          <w:rFonts w:hint="eastAsia" w:ascii="宋体" w:hAnsi="宋体"/>
          <w:color w:val="auto"/>
          <w:szCs w:val="21"/>
          <w:highlight w:val="none"/>
          <w:u w:val="single"/>
        </w:rPr>
        <w:t xml:space="preserve">     发包人所在区   </w:t>
      </w:r>
      <w:r>
        <w:rPr>
          <w:rFonts w:hint="eastAsia" w:ascii="宋体" w:hAnsi="宋体"/>
          <w:color w:val="auto"/>
          <w:szCs w:val="21"/>
          <w:highlight w:val="none"/>
        </w:rPr>
        <w:t>人民法院起诉。</w:t>
      </w:r>
    </w:p>
    <w:p w14:paraId="7A824DD0">
      <w:pPr>
        <w:pStyle w:val="34"/>
        <w:adjustRightInd w:val="0"/>
        <w:snapToGrid w:val="0"/>
        <w:spacing w:line="360" w:lineRule="auto"/>
        <w:ind w:firstLine="525" w:firstLineChars="250"/>
        <w:rPr>
          <w:rFonts w:hint="eastAsia" w:hAnsi="宋体"/>
          <w:snapToGrid w:val="0"/>
          <w:color w:val="auto"/>
          <w:sz w:val="21"/>
          <w:szCs w:val="21"/>
          <w:highlight w:val="none"/>
        </w:rPr>
      </w:pPr>
      <w:r>
        <w:rPr>
          <w:rFonts w:hint="eastAsia" w:hAnsi="宋体"/>
          <w:snapToGrid w:val="0"/>
          <w:color w:val="auto"/>
          <w:sz w:val="21"/>
          <w:szCs w:val="21"/>
          <w:highlight w:val="none"/>
        </w:rPr>
        <w:t>21．其他补充事项的约定</w:t>
      </w:r>
    </w:p>
    <w:p w14:paraId="70FA5E00">
      <w:pPr>
        <w:pStyle w:val="34"/>
        <w:adjustRightInd w:val="0"/>
        <w:snapToGrid w:val="0"/>
        <w:spacing w:line="360" w:lineRule="auto"/>
        <w:ind w:firstLine="525" w:firstLineChars="250"/>
        <w:rPr>
          <w:rFonts w:hint="eastAsia" w:hAnsi="宋体"/>
          <w:snapToGrid w:val="0"/>
          <w:color w:val="auto"/>
          <w:sz w:val="21"/>
          <w:szCs w:val="21"/>
          <w:highlight w:val="none"/>
        </w:rPr>
      </w:pPr>
      <w:r>
        <w:rPr>
          <w:rFonts w:hint="eastAsia" w:hAnsi="宋体"/>
          <w:snapToGrid w:val="0"/>
          <w:color w:val="auto"/>
          <w:sz w:val="21"/>
          <w:szCs w:val="21"/>
          <w:highlight w:val="none"/>
        </w:rPr>
        <w:t>21.1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w:t>
      </w:r>
    </w:p>
    <w:p w14:paraId="34C603FF">
      <w:pPr>
        <w:pStyle w:val="34"/>
        <w:adjustRightInd w:val="0"/>
        <w:snapToGrid w:val="0"/>
        <w:spacing w:line="360" w:lineRule="auto"/>
        <w:ind w:firstLine="420" w:firstLineChars="200"/>
        <w:rPr>
          <w:rFonts w:hint="eastAsia" w:hAnsi="宋体"/>
          <w:snapToGrid w:val="0"/>
          <w:color w:val="auto"/>
          <w:sz w:val="21"/>
          <w:szCs w:val="21"/>
          <w:highlight w:val="none"/>
        </w:rPr>
      </w:pPr>
      <w:r>
        <w:rPr>
          <w:rFonts w:hint="eastAsia" w:hAnsi="宋体"/>
          <w:snapToGrid w:val="0"/>
          <w:color w:val="auto"/>
          <w:sz w:val="21"/>
          <w:szCs w:val="21"/>
          <w:highlight w:val="none"/>
        </w:rPr>
        <w:t>21.2发包人有权对招标范围内的分部分项内容进行调整，承包人应无条件响应发包人要求。</w:t>
      </w:r>
    </w:p>
    <w:p w14:paraId="3D64E590">
      <w:pPr>
        <w:autoSpaceDE w:val="0"/>
        <w:autoSpaceDN w:val="0"/>
        <w:adjustRightInd w:val="0"/>
        <w:snapToGrid w:val="0"/>
        <w:spacing w:line="360" w:lineRule="auto"/>
        <w:ind w:firstLine="405"/>
        <w:jc w:val="left"/>
        <w:rPr>
          <w:rFonts w:hint="eastAsia" w:ascii="宋体" w:hAnsi="宋体"/>
          <w:color w:val="auto"/>
          <w:szCs w:val="21"/>
          <w:highlight w:val="none"/>
        </w:rPr>
      </w:pPr>
      <w:r>
        <w:rPr>
          <w:rFonts w:hint="eastAsia" w:ascii="宋体" w:hAnsi="宋体"/>
          <w:color w:val="auto"/>
          <w:szCs w:val="21"/>
          <w:highlight w:val="none"/>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49C5CD4B">
      <w:pPr>
        <w:pStyle w:val="34"/>
        <w:adjustRightInd w:val="0"/>
        <w:snapToGrid w:val="0"/>
        <w:spacing w:line="360" w:lineRule="auto"/>
        <w:ind w:firstLine="420" w:firstLineChars="200"/>
        <w:rPr>
          <w:rFonts w:hint="eastAsia" w:hAnsi="宋体"/>
          <w:snapToGrid w:val="0"/>
          <w:color w:val="auto"/>
          <w:sz w:val="21"/>
          <w:szCs w:val="21"/>
          <w:highlight w:val="none"/>
        </w:rPr>
      </w:pPr>
      <w:r>
        <w:rPr>
          <w:rFonts w:hint="eastAsia" w:hAnsi="宋体"/>
          <w:snapToGrid w:val="0"/>
          <w:color w:val="auto"/>
          <w:sz w:val="21"/>
          <w:szCs w:val="21"/>
          <w:highlight w:val="none"/>
        </w:rPr>
        <w:t>21.4承包人需按响应文件的承诺及时派驻现场工程技术、管理人员，尤其是项目经理、技术负责人、施工员、安全员、质检员、材料员等相关人员在合同实施过程中应按响应文件的承诺到岗到位，到岗率不低于80%（按每月25 天，每天工作8 小时考勤）。</w:t>
      </w:r>
    </w:p>
    <w:p w14:paraId="08A38DC5">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21.5工程施工中所采取的必要技术措施费用承包人已自行考虑并在响应文件有实质性响应，自行补充项目列入措施项目清单报价中，如无补充项目，视作自愿优惠。</w:t>
      </w:r>
    </w:p>
    <w:p w14:paraId="56B840A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21.6本工程严禁转包，如发生工程转包，除扣除履约保证金外，发包人有权中止合同并保留继续索赔的权利。</w:t>
      </w:r>
    </w:p>
    <w:p w14:paraId="4A707918">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21.7公共及协调费用（如交通、市容、环保、噪音、排污、治安等费用以及因施工原因引起的相关部门应交纳费用）由承包人自行调研作为单项费用计入措施项目费中，否则视作优惠。</w:t>
      </w:r>
    </w:p>
    <w:p w14:paraId="41B8995A">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21.8大型机械施工进出场（安拆）费、施工排水等技术措施费请投标单位根据现场踏勘及结合自身施工组织设计，其费用计入措施费用项目。</w:t>
      </w:r>
    </w:p>
    <w:p w14:paraId="03BF4CDD">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24A41C6E">
      <w:pPr>
        <w:autoSpaceDE w:val="0"/>
        <w:autoSpaceDN w:val="0"/>
        <w:adjustRightInd w:val="0"/>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21.10在工程保修期中，若发生质量问题，承包人应及时派专业人员维修，若承包人不及时维修，发包人有权自行维修，所发生的费用从承包人</w:t>
      </w:r>
      <w:r>
        <w:rPr>
          <w:rFonts w:hint="eastAsia" w:ascii="宋体" w:hAnsi="宋体"/>
          <w:color w:val="auto"/>
          <w:szCs w:val="21"/>
          <w:highlight w:val="none"/>
          <w:lang w:val="en-US" w:eastAsia="zh-CN"/>
        </w:rPr>
        <w:t>履约保证金</w:t>
      </w:r>
      <w:r>
        <w:rPr>
          <w:rFonts w:hint="eastAsia" w:ascii="宋体" w:hAnsi="宋体"/>
          <w:color w:val="auto"/>
          <w:szCs w:val="21"/>
          <w:highlight w:val="none"/>
        </w:rPr>
        <w:t>中扣除。</w:t>
      </w:r>
    </w:p>
    <w:p w14:paraId="3DE755A7">
      <w:pPr>
        <w:autoSpaceDE w:val="0"/>
        <w:autoSpaceDN w:val="0"/>
        <w:adjustRightInd w:val="0"/>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8E908C3">
      <w:pPr>
        <w:autoSpaceDE w:val="0"/>
        <w:autoSpaceDN w:val="0"/>
        <w:adjustRightInd w:val="0"/>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21.12承包人未按投标承诺投入施工所需的机械装备、材料和人员，影响工程正常进度和工程施工质量的违约责任，发包人有权扣除部分履约保证金。</w:t>
      </w:r>
    </w:p>
    <w:p w14:paraId="20100D4C">
      <w:pPr>
        <w:autoSpaceDE w:val="0"/>
        <w:autoSpaceDN w:val="0"/>
        <w:adjustRightInd w:val="0"/>
        <w:snapToGrid w:val="0"/>
        <w:spacing w:line="360" w:lineRule="auto"/>
        <w:ind w:firstLine="420"/>
        <w:jc w:val="left"/>
        <w:rPr>
          <w:rFonts w:hint="eastAsia" w:hAnsi="宋体"/>
          <w:color w:val="auto"/>
          <w:szCs w:val="21"/>
          <w:highlight w:val="none"/>
        </w:rPr>
      </w:pPr>
      <w:r>
        <w:rPr>
          <w:rFonts w:hint="eastAsia" w:ascii="宋体" w:hAnsi="宋体"/>
          <w:color w:val="auto"/>
          <w:szCs w:val="21"/>
          <w:highlight w:val="none"/>
        </w:rPr>
        <w:t>21.12主材的相关要求：承包人提供的施工材料必须全部符合绿色环保规定要求，不得使用任何三无产品。施工时，必须按照响应文件中确定的材料进行，未经发包人同意不得更换。</w:t>
      </w:r>
    </w:p>
    <w:p w14:paraId="5E18B0A8">
      <w:pPr>
        <w:pStyle w:val="34"/>
        <w:adjustRightInd w:val="0"/>
        <w:snapToGrid w:val="0"/>
        <w:spacing w:line="360" w:lineRule="auto"/>
        <w:ind w:firstLine="420"/>
        <w:rPr>
          <w:rFonts w:hint="eastAsia" w:hAnsi="宋体"/>
          <w:color w:val="auto"/>
          <w:szCs w:val="21"/>
          <w:highlight w:val="none"/>
        </w:rPr>
      </w:pPr>
      <w:r>
        <w:rPr>
          <w:rFonts w:hint="eastAsia"/>
          <w:b/>
          <w:bCs/>
          <w:color w:val="auto"/>
          <w:sz w:val="21"/>
          <w:szCs w:val="21"/>
          <w:highlight w:val="none"/>
          <w:lang w:eastAsia="zh-CN"/>
        </w:rPr>
        <w:t>注：本合同作为示范文本，具体以采购人与中标供应商所签定正式合同为准。</w:t>
      </w:r>
    </w:p>
    <w:p w14:paraId="53638211">
      <w:pPr>
        <w:pStyle w:val="34"/>
        <w:spacing w:line="440" w:lineRule="exact"/>
        <w:rPr>
          <w:rFonts w:hint="eastAsia"/>
          <w:b/>
          <w:bCs/>
          <w:color w:val="auto"/>
          <w:sz w:val="24"/>
          <w:szCs w:val="24"/>
          <w:highlight w:val="none"/>
        </w:rPr>
      </w:pPr>
      <w:r>
        <w:rPr>
          <w:rFonts w:ascii="仿宋_GB2312" w:eastAsia="仿宋_GB2312"/>
          <w:color w:val="auto"/>
          <w:sz w:val="24"/>
          <w:highlight w:val="none"/>
          <w:u w:val="single"/>
        </w:rPr>
        <w:br w:type="page"/>
      </w:r>
      <w:r>
        <w:rPr>
          <w:rFonts w:hint="eastAsia"/>
          <w:b/>
          <w:bCs/>
          <w:color w:val="auto"/>
          <w:sz w:val="24"/>
          <w:szCs w:val="24"/>
          <w:highlight w:val="none"/>
        </w:rPr>
        <w:t>附件1:</w:t>
      </w:r>
    </w:p>
    <w:p w14:paraId="39D610C9">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7D5BA27F">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4AE4CFB">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5EEDFC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55A83B8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4006D3ED">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15C2B607">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F777648">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1E83C3C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4C1FE888">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3CCC2133">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0A88381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2423B192">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59D7A1E7">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153A736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个采暖期、供冷期；</w:t>
      </w:r>
    </w:p>
    <w:p w14:paraId="5C1466AE">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AA6090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490C4C4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3307785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2B98D2F1">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75C0DEEB">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24B7D080">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36C3FD3D">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270CEC9E">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3989D69F">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7C45654">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2558508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5D42C418">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299B0BD3">
      <w:pPr>
        <w:adjustRightInd/>
        <w:spacing w:line="300" w:lineRule="auto"/>
        <w:rPr>
          <w:rFonts w:hint="eastAsia"/>
          <w:color w:val="auto"/>
          <w:sz w:val="21"/>
          <w:szCs w:val="21"/>
          <w:highlight w:val="non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p>
    <w:p w14:paraId="42CACF52">
      <w:pPr>
        <w:pStyle w:val="967"/>
        <w:adjustRightInd w:val="0"/>
        <w:snapToGrid w:val="0"/>
        <w:spacing w:before="0" w:after="0" w:line="360" w:lineRule="auto"/>
        <w:ind w:firstLine="420"/>
        <w:rPr>
          <w:rFonts w:hint="eastAsia"/>
          <w:color w:val="auto"/>
          <w:sz w:val="21"/>
          <w:szCs w:val="21"/>
          <w:highlight w:val="none"/>
          <w:u w:val="single"/>
        </w:rPr>
      </w:pPr>
      <w:r>
        <w:rPr>
          <w:rFonts w:hint="eastAsia"/>
          <w:color w:val="auto"/>
          <w:sz w:val="21"/>
          <w:szCs w:val="21"/>
          <w:highlight w:val="none"/>
          <w:u w:val="single"/>
          <w:lang w:val="en-US" w:eastAsia="zh-CN"/>
        </w:rPr>
        <w:t>质量保证金</w:t>
      </w:r>
      <w:r>
        <w:rPr>
          <w:rFonts w:hint="eastAsia"/>
          <w:color w:val="auto"/>
          <w:sz w:val="21"/>
          <w:szCs w:val="21"/>
          <w:highlight w:val="none"/>
          <w:u w:val="single"/>
        </w:rPr>
        <w:t>在工程保修期满、备案、回访完成后，扣除相应的扣款（由于乙方维修不及时而甲方自行维修的费用）后，结清余款（无息）。</w:t>
      </w:r>
    </w:p>
    <w:p w14:paraId="593B833E">
      <w:pPr>
        <w:pStyle w:val="967"/>
        <w:adjustRightInd w:val="0"/>
        <w:snapToGrid w:val="0"/>
        <w:spacing w:before="0" w:after="0" w:line="360" w:lineRule="auto"/>
        <w:ind w:firstLine="420"/>
        <w:rPr>
          <w:rFonts w:hint="eastAsia"/>
          <w:color w:val="auto"/>
          <w:sz w:val="21"/>
          <w:szCs w:val="21"/>
          <w:highlight w:val="none"/>
        </w:rPr>
      </w:pPr>
      <w:r>
        <w:rPr>
          <w:rFonts w:hint="eastAsia"/>
          <w:color w:val="auto"/>
          <w:sz w:val="21"/>
          <w:szCs w:val="21"/>
          <w:highlight w:val="none"/>
          <w:u w:val="single"/>
        </w:rPr>
        <w:t xml:space="preserve">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 </w:t>
      </w:r>
    </w:p>
    <w:p w14:paraId="24747E5E">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5106877C">
      <w:pPr>
        <w:pStyle w:val="957"/>
        <w:snapToGrid w:val="0"/>
        <w:spacing w:before="0" w:after="0" w:line="360" w:lineRule="auto"/>
        <w:ind w:left="0" w:right="720" w:firstLine="420"/>
        <w:rPr>
          <w:rFonts w:hint="eastAsia" w:ascii="宋体" w:hAnsi="宋体"/>
          <w:color w:val="auto"/>
          <w:sz w:val="21"/>
          <w:szCs w:val="21"/>
          <w:highlight w:val="none"/>
        </w:rPr>
      </w:pPr>
    </w:p>
    <w:p w14:paraId="7BB2C56F">
      <w:pPr>
        <w:pStyle w:val="957"/>
        <w:snapToGrid w:val="0"/>
        <w:spacing w:before="0" w:after="0" w:line="360" w:lineRule="auto"/>
        <w:ind w:left="0" w:right="720" w:firstLine="420"/>
        <w:rPr>
          <w:rFonts w:ascii="宋体" w:hAnsi="宋体"/>
          <w:color w:val="auto"/>
          <w:sz w:val="21"/>
          <w:szCs w:val="21"/>
          <w:highlight w:val="none"/>
        </w:rPr>
      </w:pPr>
    </w:p>
    <w:p w14:paraId="47DCD0BD">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A77D654">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w:t>
      </w:r>
    </w:p>
    <w:p w14:paraId="525FD9F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8E8D0D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B23B049">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 </w:t>
      </w:r>
    </w:p>
    <w:p w14:paraId="3BD8C8AB">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      </w:t>
      </w:r>
      <w:r>
        <w:rPr>
          <w:rFonts w:hint="eastAsia" w:ascii="宋体" w:hAnsi="宋体"/>
          <w:snapToGrid w:val="0"/>
          <w:color w:val="auto"/>
          <w:kern w:val="0"/>
          <w:szCs w:val="21"/>
          <w:highlight w:val="none"/>
          <w:u w:val="single"/>
        </w:rPr>
        <w:t xml:space="preserve"> </w:t>
      </w:r>
    </w:p>
    <w:p w14:paraId="283AD88A">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DA86492">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EAC245C">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3223E1AF">
      <w:pPr>
        <w:spacing w:line="360" w:lineRule="auto"/>
        <w:ind w:firstLine="420" w:firstLineChars="200"/>
        <w:rPr>
          <w:rFonts w:ascii="宋体" w:hAnsi="宋体"/>
          <w:color w:val="auto"/>
          <w:szCs w:val="21"/>
          <w:highlight w:val="none"/>
        </w:rPr>
      </w:pPr>
    </w:p>
    <w:p w14:paraId="0030FF3D">
      <w:pPr>
        <w:pStyle w:val="34"/>
        <w:spacing w:line="440" w:lineRule="exact"/>
        <w:rPr>
          <w:rFonts w:hint="eastAsia"/>
          <w:b/>
          <w:bCs/>
          <w:color w:val="auto"/>
          <w:sz w:val="24"/>
          <w:szCs w:val="24"/>
          <w:highlight w:val="none"/>
        </w:rPr>
      </w:pPr>
      <w:r>
        <w:rPr>
          <w:rFonts w:hAnsi="宋体"/>
          <w:color w:val="auto"/>
          <w:szCs w:val="21"/>
          <w:highlight w:val="none"/>
        </w:rPr>
        <w:br w:type="page"/>
      </w:r>
      <w:r>
        <w:rPr>
          <w:rFonts w:hint="eastAsia"/>
          <w:b/>
          <w:bCs/>
          <w:color w:val="auto"/>
          <w:sz w:val="24"/>
          <w:szCs w:val="24"/>
          <w:highlight w:val="none"/>
        </w:rPr>
        <w:t xml:space="preserve">附件2： </w:t>
      </w:r>
    </w:p>
    <w:p w14:paraId="72D26C85">
      <w:pPr>
        <w:spacing w:line="44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廉政协议书</w:t>
      </w:r>
    </w:p>
    <w:p w14:paraId="2853AC3F">
      <w:pPr>
        <w:rPr>
          <w:rFonts w:hint="eastAsia"/>
          <w:color w:val="auto"/>
          <w:highlight w:val="none"/>
        </w:rPr>
      </w:pPr>
    </w:p>
    <w:p w14:paraId="146550C1">
      <w:pPr>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14:paraId="5DDE2251">
      <w:pPr>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p>
    <w:p w14:paraId="1B982789">
      <w:pPr>
        <w:ind w:firstLine="420" w:firstLineChars="200"/>
        <w:rPr>
          <w:rFonts w:hint="eastAsia"/>
          <w:color w:val="auto"/>
          <w:highlight w:val="none"/>
        </w:rPr>
      </w:pPr>
    </w:p>
    <w:p w14:paraId="6BCCB9D8">
      <w:pPr>
        <w:ind w:firstLine="420" w:firstLineChars="200"/>
        <w:rPr>
          <w:rFonts w:hint="eastAsia"/>
          <w:color w:val="auto"/>
          <w:highlight w:val="none"/>
        </w:rPr>
      </w:pPr>
      <w:r>
        <w:rPr>
          <w:rFonts w:hint="eastAsia"/>
          <w:color w:val="auto"/>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283BDC52">
      <w:pPr>
        <w:rPr>
          <w:rFonts w:hint="eastAsia"/>
          <w:color w:val="auto"/>
          <w:highlight w:val="none"/>
        </w:rPr>
      </w:pPr>
    </w:p>
    <w:p w14:paraId="1891E6D4">
      <w:pPr>
        <w:rPr>
          <w:rFonts w:hint="eastAsia"/>
          <w:b/>
          <w:color w:val="auto"/>
          <w:highlight w:val="none"/>
        </w:rPr>
      </w:pPr>
      <w:r>
        <w:rPr>
          <w:rFonts w:hint="eastAsia"/>
          <w:b/>
          <w:color w:val="auto"/>
          <w:highlight w:val="none"/>
        </w:rPr>
        <w:t>第一条　甲乙双方的责任</w:t>
      </w:r>
    </w:p>
    <w:p w14:paraId="3EAA7F72">
      <w:pPr>
        <w:rPr>
          <w:rFonts w:hint="eastAsia"/>
          <w:color w:val="auto"/>
          <w:highlight w:val="none"/>
        </w:rPr>
      </w:pPr>
      <w:r>
        <w:rPr>
          <w:rFonts w:hint="eastAsia"/>
          <w:color w:val="auto"/>
          <w:highlight w:val="none"/>
        </w:rPr>
        <w:t>（一）应严格遵守国家关于市场准入、项目招标投标、工程建设、施工安装和市场活动等有关法律、法规，相关政策，以及廉政建设的各项规定。</w:t>
      </w:r>
    </w:p>
    <w:p w14:paraId="2D9AD7B3">
      <w:pPr>
        <w:rPr>
          <w:rFonts w:hint="eastAsia"/>
          <w:color w:val="auto"/>
          <w:highlight w:val="none"/>
        </w:rPr>
      </w:pPr>
      <w:r>
        <w:rPr>
          <w:rFonts w:hint="eastAsia"/>
          <w:color w:val="auto"/>
          <w:highlight w:val="none"/>
        </w:rPr>
        <w:t>（二）严格执行建设工程项目施工合同文件，自觉履行合同的约定。</w:t>
      </w:r>
    </w:p>
    <w:p w14:paraId="03CD487C">
      <w:pPr>
        <w:rPr>
          <w:rFonts w:hint="eastAsia"/>
          <w:color w:val="auto"/>
          <w:highlight w:val="none"/>
        </w:rPr>
      </w:pPr>
      <w:r>
        <w:rPr>
          <w:rFonts w:hint="eastAsia"/>
          <w:color w:val="auto"/>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14:paraId="4B83115C">
      <w:pPr>
        <w:rPr>
          <w:rFonts w:hint="eastAsia"/>
          <w:color w:val="auto"/>
          <w:highlight w:val="none"/>
        </w:rPr>
      </w:pPr>
      <w:r>
        <w:rPr>
          <w:rFonts w:hint="eastAsia"/>
          <w:color w:val="auto"/>
          <w:highlight w:val="none"/>
        </w:rPr>
        <w:t>（四）发现对方在工程建设业务活动中有违规、违纪、违法行为的，应及时纠正对方，情节严重的，应向其上级主管部门或院校纪检监察、司法等有关机关举报。</w:t>
      </w:r>
    </w:p>
    <w:p w14:paraId="3D6D01C4">
      <w:pPr>
        <w:rPr>
          <w:rFonts w:hint="eastAsia"/>
          <w:color w:val="auto"/>
          <w:highlight w:val="none"/>
        </w:rPr>
      </w:pPr>
    </w:p>
    <w:p w14:paraId="638FF69A">
      <w:pPr>
        <w:rPr>
          <w:rFonts w:hint="eastAsia"/>
          <w:b/>
          <w:color w:val="auto"/>
          <w:highlight w:val="none"/>
        </w:rPr>
      </w:pPr>
      <w:r>
        <w:rPr>
          <w:rFonts w:hint="eastAsia"/>
          <w:b/>
          <w:color w:val="auto"/>
          <w:highlight w:val="none"/>
        </w:rPr>
        <w:t>第二条　甲方的责任</w:t>
      </w:r>
    </w:p>
    <w:p w14:paraId="1D5E8FB4">
      <w:pPr>
        <w:ind w:firstLine="420" w:firstLineChars="200"/>
        <w:rPr>
          <w:rFonts w:hint="eastAsia"/>
          <w:color w:val="auto"/>
          <w:highlight w:val="none"/>
        </w:rPr>
      </w:pPr>
      <w:r>
        <w:rPr>
          <w:rFonts w:hint="eastAsia"/>
          <w:color w:val="auto"/>
          <w:highlight w:val="none"/>
        </w:rPr>
        <w:t>甲方的领导和从事该工程建设项目的管理部门及工作人员，在工程建设业务活动的事前、事中、事后应遵守以下规定：</w:t>
      </w:r>
    </w:p>
    <w:p w14:paraId="6DBBD7DC">
      <w:pPr>
        <w:rPr>
          <w:rFonts w:hint="eastAsia"/>
          <w:color w:val="auto"/>
          <w:highlight w:val="none"/>
        </w:rPr>
      </w:pPr>
      <w:r>
        <w:rPr>
          <w:rFonts w:hint="eastAsia"/>
          <w:color w:val="auto"/>
          <w:highlight w:val="none"/>
        </w:rPr>
        <w:t>（一）不准向乙方和相关单位索要或接受回扣、礼金、有价证券、贵重物品和好处费、感谢费等。</w:t>
      </w:r>
    </w:p>
    <w:p w14:paraId="2CA5CB38">
      <w:pPr>
        <w:rPr>
          <w:rFonts w:hint="eastAsia"/>
          <w:color w:val="auto"/>
          <w:highlight w:val="none"/>
        </w:rPr>
      </w:pPr>
      <w:r>
        <w:rPr>
          <w:rFonts w:hint="eastAsia"/>
          <w:color w:val="auto"/>
          <w:highlight w:val="none"/>
        </w:rPr>
        <w:t>（二）不准在乙方和相关单位报销任何应由甲方或个人支付的费用。</w:t>
      </w:r>
    </w:p>
    <w:p w14:paraId="3DE01E18">
      <w:pPr>
        <w:rPr>
          <w:rFonts w:hint="eastAsia"/>
          <w:color w:val="auto"/>
          <w:highlight w:val="none"/>
        </w:rPr>
      </w:pPr>
      <w:r>
        <w:rPr>
          <w:rFonts w:hint="eastAsia"/>
          <w:color w:val="auto"/>
          <w:highlight w:val="none"/>
        </w:rPr>
        <w:t>（三）不准要求、暗示和接受乙方和相关单位为个人装修住房、婚丧嫁娶、配偶子女的工作安排以及出国（境）、旅游等提供方便。</w:t>
      </w:r>
    </w:p>
    <w:p w14:paraId="7FD57AA1">
      <w:pPr>
        <w:rPr>
          <w:rFonts w:hint="eastAsia"/>
          <w:color w:val="auto"/>
          <w:highlight w:val="none"/>
        </w:rPr>
      </w:pPr>
      <w:r>
        <w:rPr>
          <w:rFonts w:hint="eastAsia"/>
          <w:color w:val="auto"/>
          <w:highlight w:val="none"/>
        </w:rPr>
        <w:t>（四）不准参加有可能影响公正执行公务的乙方和相关单位的宴请和健身、娱乐等活动。</w:t>
      </w:r>
    </w:p>
    <w:p w14:paraId="3A1E3399">
      <w:pPr>
        <w:rPr>
          <w:rFonts w:hint="eastAsia"/>
          <w:color w:val="auto"/>
          <w:highlight w:val="none"/>
        </w:rPr>
      </w:pPr>
      <w:r>
        <w:rPr>
          <w:rFonts w:hint="eastAsia"/>
          <w:color w:val="auto"/>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510A0657">
      <w:pPr>
        <w:rPr>
          <w:rFonts w:hint="eastAsia"/>
          <w:color w:val="auto"/>
          <w:highlight w:val="none"/>
        </w:rPr>
      </w:pPr>
    </w:p>
    <w:p w14:paraId="02E7A4F3">
      <w:pPr>
        <w:rPr>
          <w:rFonts w:hint="eastAsia"/>
          <w:b/>
          <w:color w:val="auto"/>
          <w:highlight w:val="none"/>
        </w:rPr>
      </w:pPr>
      <w:r>
        <w:rPr>
          <w:rFonts w:hint="eastAsia"/>
          <w:b/>
          <w:color w:val="auto"/>
          <w:highlight w:val="none"/>
        </w:rPr>
        <w:t>第三条　乙方的责任</w:t>
      </w:r>
    </w:p>
    <w:p w14:paraId="73C0B45A">
      <w:pPr>
        <w:ind w:firstLine="420" w:firstLineChars="200"/>
        <w:rPr>
          <w:rFonts w:hint="eastAsia"/>
          <w:color w:val="auto"/>
          <w:highlight w:val="none"/>
        </w:rPr>
      </w:pPr>
      <w:r>
        <w:rPr>
          <w:rFonts w:hint="eastAsia"/>
          <w:color w:val="auto"/>
          <w:highlight w:val="none"/>
        </w:rPr>
        <w:t>应与甲方保持正常的业务交往，按照有关法律法规和程序开展业务工作，严格执行工程建设的有关方针、政策，尤其是有关建筑施工安装的强制性标准和规范，并遵守以下规定：</w:t>
      </w:r>
    </w:p>
    <w:p w14:paraId="71ED37AE">
      <w:pPr>
        <w:rPr>
          <w:rFonts w:hint="eastAsia"/>
          <w:color w:val="auto"/>
          <w:highlight w:val="none"/>
        </w:rPr>
      </w:pPr>
      <w:r>
        <w:rPr>
          <w:rFonts w:hint="eastAsia"/>
          <w:color w:val="auto"/>
          <w:highlight w:val="none"/>
        </w:rPr>
        <w:t>（一）不准以任何理由向甲方、相关单位及其工作人员赠送礼金、有价证券、贵重物品和回扣、好处费、感谢费等。</w:t>
      </w:r>
    </w:p>
    <w:p w14:paraId="7A5883A1">
      <w:pPr>
        <w:rPr>
          <w:rFonts w:hint="eastAsia"/>
          <w:color w:val="auto"/>
          <w:highlight w:val="none"/>
        </w:rPr>
      </w:pPr>
      <w:r>
        <w:rPr>
          <w:rFonts w:hint="eastAsia"/>
          <w:color w:val="auto"/>
          <w:highlight w:val="none"/>
        </w:rPr>
        <w:t>（二）不准以任何理由为甲方和相关单位报销应由对方或个人支付的费用。</w:t>
      </w:r>
    </w:p>
    <w:p w14:paraId="05049E41">
      <w:pPr>
        <w:rPr>
          <w:rFonts w:hint="eastAsia"/>
          <w:color w:val="auto"/>
          <w:highlight w:val="none"/>
        </w:rPr>
      </w:pPr>
      <w:r>
        <w:rPr>
          <w:rFonts w:hint="eastAsia"/>
          <w:color w:val="auto"/>
          <w:highlight w:val="none"/>
        </w:rPr>
        <w:t>（三）不准接受或暗示为甲方、相关单位或个人装修住房、婚丧嫁娶、配偶子女的工作安排以及出国（境）、旅游等提供方便。</w:t>
      </w:r>
    </w:p>
    <w:p w14:paraId="67ED3808">
      <w:pPr>
        <w:rPr>
          <w:rFonts w:hint="eastAsia"/>
          <w:color w:val="auto"/>
          <w:highlight w:val="none"/>
        </w:rPr>
      </w:pPr>
      <w:r>
        <w:rPr>
          <w:rFonts w:hint="eastAsia"/>
          <w:color w:val="auto"/>
          <w:highlight w:val="none"/>
        </w:rPr>
        <w:t>（四）不准以任何理由为甲方、相关单位或个人组织有可能影响公正执行公务的宴请、健身、娱乐等活动。</w:t>
      </w:r>
    </w:p>
    <w:p w14:paraId="02672F6D">
      <w:pPr>
        <w:rPr>
          <w:rFonts w:hint="eastAsia"/>
          <w:color w:val="auto"/>
          <w:highlight w:val="none"/>
        </w:rPr>
      </w:pPr>
    </w:p>
    <w:p w14:paraId="02E78637">
      <w:pPr>
        <w:rPr>
          <w:rFonts w:hint="eastAsia"/>
          <w:b/>
          <w:color w:val="auto"/>
          <w:highlight w:val="none"/>
        </w:rPr>
      </w:pPr>
      <w:r>
        <w:rPr>
          <w:rFonts w:hint="eastAsia"/>
          <w:b/>
          <w:color w:val="auto"/>
          <w:highlight w:val="none"/>
        </w:rPr>
        <w:t>第四条　违约责任</w:t>
      </w:r>
    </w:p>
    <w:p w14:paraId="7B5D195A">
      <w:pPr>
        <w:rPr>
          <w:rFonts w:hint="eastAsia"/>
          <w:color w:val="auto"/>
          <w:highlight w:val="none"/>
        </w:rPr>
      </w:pPr>
      <w:r>
        <w:rPr>
          <w:rFonts w:hint="eastAsia"/>
          <w:color w:val="auto"/>
          <w:highlight w:val="none"/>
        </w:rPr>
        <w:t>（一）甲方及其工作人员有违反本协议书第一、二条责任行为的，按照管理权限，依据有关法律法规和规定，给予党纪、政纪处分或组织处理；涉嫌犯罪的，移交司法机关追究刑事责任。</w:t>
      </w:r>
    </w:p>
    <w:p w14:paraId="51B68CF5">
      <w:pPr>
        <w:rPr>
          <w:rFonts w:hint="eastAsia"/>
          <w:color w:val="auto"/>
          <w:highlight w:val="none"/>
        </w:rPr>
      </w:pPr>
      <w:r>
        <w:rPr>
          <w:rFonts w:hint="eastAsia"/>
          <w:color w:val="auto"/>
          <w:highlight w:val="none"/>
        </w:rPr>
        <w:t xml:space="preserve">（二）乙方及其工作人员有违反本协议书第一、三条责任行为的，按照管理权限，依据有关法律法规和规定，给予党纪、政纪处分或组织处理；涉嫌犯罪的，移交司法机关追究刑事责任。 </w:t>
      </w:r>
    </w:p>
    <w:p w14:paraId="053FDE39">
      <w:pPr>
        <w:rPr>
          <w:rFonts w:hint="eastAsia"/>
          <w:color w:val="auto"/>
          <w:highlight w:val="none"/>
        </w:rPr>
      </w:pPr>
    </w:p>
    <w:p w14:paraId="2C78C948">
      <w:pPr>
        <w:rPr>
          <w:rFonts w:hint="eastAsia"/>
          <w:b/>
          <w:color w:val="auto"/>
          <w:highlight w:val="none"/>
        </w:rPr>
      </w:pPr>
      <w:r>
        <w:rPr>
          <w:rFonts w:hint="eastAsia"/>
          <w:b/>
          <w:color w:val="auto"/>
          <w:highlight w:val="none"/>
        </w:rPr>
        <w:t>第五条　本协议书作为工程建设施工合同的附件，与工程建设施工合同具有同等法律效力。经双方签署后立即生效。</w:t>
      </w:r>
    </w:p>
    <w:p w14:paraId="3FAA60AF">
      <w:pPr>
        <w:rPr>
          <w:rFonts w:hint="eastAsia"/>
          <w:color w:val="auto"/>
          <w:highlight w:val="none"/>
        </w:rPr>
      </w:pPr>
    </w:p>
    <w:p w14:paraId="28F590F2">
      <w:pPr>
        <w:rPr>
          <w:rFonts w:hint="eastAsia"/>
          <w:b/>
          <w:color w:val="auto"/>
          <w:highlight w:val="none"/>
        </w:rPr>
      </w:pPr>
      <w:r>
        <w:rPr>
          <w:rFonts w:hint="eastAsia"/>
          <w:b/>
          <w:color w:val="auto"/>
          <w:highlight w:val="none"/>
        </w:rPr>
        <w:t>第六条　本协议书的有效期为双方签署之日起至该工程项目竣工验收合格时止。</w:t>
      </w:r>
    </w:p>
    <w:p w14:paraId="0E748325">
      <w:pPr>
        <w:rPr>
          <w:rFonts w:hint="eastAsia"/>
          <w:color w:val="auto"/>
          <w:highlight w:val="none"/>
        </w:rPr>
      </w:pPr>
    </w:p>
    <w:p w14:paraId="528604F4">
      <w:pPr>
        <w:rPr>
          <w:rFonts w:hint="eastAsia"/>
          <w:b/>
          <w:color w:val="auto"/>
          <w:highlight w:val="none"/>
        </w:rPr>
      </w:pPr>
      <w:r>
        <w:rPr>
          <w:rFonts w:hint="eastAsia"/>
          <w:b/>
          <w:color w:val="auto"/>
          <w:highlight w:val="none"/>
        </w:rPr>
        <w:t>第七条　本协议书一式四份，由甲乙双方各执一份，送交双方监督单位各一份。</w:t>
      </w:r>
    </w:p>
    <w:p w14:paraId="1E02B1DE">
      <w:pPr>
        <w:rPr>
          <w:rFonts w:hint="eastAsia"/>
          <w:color w:val="auto"/>
          <w:highlight w:val="none"/>
        </w:rPr>
      </w:pPr>
    </w:p>
    <w:p w14:paraId="74724258">
      <w:pPr>
        <w:rPr>
          <w:rFonts w:hint="eastAsia"/>
          <w:color w:val="auto"/>
          <w:highlight w:val="none"/>
        </w:rPr>
      </w:pPr>
    </w:p>
    <w:p w14:paraId="2790FACE">
      <w:pPr>
        <w:rPr>
          <w:rFonts w:hint="eastAsia"/>
          <w:color w:val="auto"/>
          <w:highlight w:val="none"/>
        </w:rPr>
      </w:pPr>
    </w:p>
    <w:p w14:paraId="4443342C">
      <w:pPr>
        <w:rPr>
          <w:rFonts w:hint="eastAsia"/>
          <w:color w:val="auto"/>
          <w:highlight w:val="none"/>
        </w:rPr>
      </w:pPr>
    </w:p>
    <w:p w14:paraId="7364B236">
      <w:pPr>
        <w:rPr>
          <w:rFonts w:hint="eastAsia"/>
          <w:color w:val="auto"/>
          <w:highlight w:val="none"/>
        </w:rPr>
      </w:pPr>
    </w:p>
    <w:p w14:paraId="222B007A">
      <w:pPr>
        <w:rPr>
          <w:color w:val="auto"/>
          <w:highlight w:val="none"/>
        </w:rPr>
      </w:pPr>
      <w:r>
        <w:rPr>
          <w:color w:val="auto"/>
          <w:highlight w:val="none"/>
        </w:rPr>
        <w:t xml:space="preserve"> </w:t>
      </w:r>
    </w:p>
    <w:p w14:paraId="05D8EBB9">
      <w:pPr>
        <w:rPr>
          <w:rFonts w:hint="eastAsia"/>
          <w:color w:val="auto"/>
          <w:highlight w:val="none"/>
        </w:rPr>
      </w:pPr>
      <w:r>
        <w:rPr>
          <w:rFonts w:hint="eastAsia"/>
          <w:color w:val="auto"/>
          <w:highlight w:val="none"/>
        </w:rPr>
        <w:t>甲方单位：（盖章）                                乙方单位：（盖章）</w:t>
      </w:r>
    </w:p>
    <w:p w14:paraId="4FC9A6A4">
      <w:pPr>
        <w:rPr>
          <w:rFonts w:hint="eastAsia"/>
          <w:color w:val="auto"/>
          <w:highlight w:val="none"/>
        </w:rPr>
      </w:pPr>
    </w:p>
    <w:p w14:paraId="7DFF81D2">
      <w:pPr>
        <w:rPr>
          <w:rFonts w:hint="eastAsia"/>
          <w:color w:val="auto"/>
          <w:highlight w:val="none"/>
        </w:rPr>
      </w:pPr>
    </w:p>
    <w:p w14:paraId="5C215E66">
      <w:pPr>
        <w:rPr>
          <w:rFonts w:hint="eastAsia"/>
          <w:color w:val="auto"/>
          <w:highlight w:val="none"/>
        </w:rPr>
      </w:pPr>
    </w:p>
    <w:p w14:paraId="2C131377">
      <w:pPr>
        <w:rPr>
          <w:rFonts w:hint="eastAsia"/>
          <w:color w:val="auto"/>
          <w:highlight w:val="none"/>
        </w:rPr>
      </w:pPr>
    </w:p>
    <w:p w14:paraId="3E0726A3">
      <w:pPr>
        <w:rPr>
          <w:rFonts w:hint="eastAsia"/>
          <w:color w:val="auto"/>
          <w:highlight w:val="none"/>
        </w:rPr>
      </w:pPr>
      <w:r>
        <w:rPr>
          <w:rFonts w:hint="eastAsia"/>
          <w:color w:val="auto"/>
          <w:highlight w:val="none"/>
        </w:rPr>
        <w:t>法定代表人或其委托代理人：                       法定代表人或其委托代理人：</w:t>
      </w:r>
    </w:p>
    <w:p w14:paraId="39CFF76D">
      <w:pPr>
        <w:rPr>
          <w:rFonts w:hint="eastAsia"/>
          <w:color w:val="auto"/>
          <w:highlight w:val="none"/>
        </w:rPr>
      </w:pPr>
    </w:p>
    <w:p w14:paraId="532A67E2">
      <w:pPr>
        <w:rPr>
          <w:rFonts w:hint="eastAsia"/>
          <w:color w:val="auto"/>
          <w:highlight w:val="none"/>
        </w:rPr>
      </w:pPr>
    </w:p>
    <w:p w14:paraId="0B07DDC7">
      <w:pPr>
        <w:pStyle w:val="34"/>
        <w:spacing w:line="440" w:lineRule="exact"/>
        <w:rPr>
          <w:rFonts w:hint="eastAsia"/>
          <w:b/>
          <w:bCs/>
          <w:color w:val="auto"/>
          <w:sz w:val="24"/>
          <w:szCs w:val="24"/>
          <w:highlight w:val="none"/>
        </w:rPr>
      </w:pPr>
      <w:r>
        <w:rPr>
          <w:rFonts w:hint="eastAsia"/>
          <w:color w:val="auto"/>
          <w:highlight w:val="none"/>
        </w:rPr>
        <w:t xml:space="preserve">                                       </w:t>
      </w:r>
      <w:r>
        <w:rPr>
          <w:rFonts w:ascii="仿宋_GB2312" w:eastAsia="仿宋_GB2312"/>
          <w:color w:val="auto"/>
          <w:sz w:val="24"/>
          <w:highlight w:val="none"/>
          <w:u w:val="single"/>
        </w:rPr>
        <w:br w:type="page"/>
      </w:r>
      <w:r>
        <w:rPr>
          <w:rFonts w:hint="eastAsia"/>
          <w:b/>
          <w:bCs/>
          <w:color w:val="auto"/>
          <w:sz w:val="24"/>
          <w:szCs w:val="24"/>
          <w:highlight w:val="none"/>
        </w:rPr>
        <w:t xml:space="preserve">附件3： </w:t>
      </w:r>
    </w:p>
    <w:p w14:paraId="277F0C2A">
      <w:pPr>
        <w:jc w:val="center"/>
        <w:rPr>
          <w:rFonts w:hint="eastAsia"/>
          <w:color w:val="auto"/>
          <w:highlight w:val="none"/>
        </w:rPr>
      </w:pPr>
      <w:r>
        <w:rPr>
          <w:rFonts w:hint="eastAsia" w:ascii="黑体" w:eastAsia="黑体"/>
          <w:color w:val="auto"/>
          <w:sz w:val="28"/>
          <w:szCs w:val="28"/>
          <w:highlight w:val="none"/>
        </w:rPr>
        <w:t>建筑施工安全承诺书</w:t>
      </w:r>
    </w:p>
    <w:p w14:paraId="0DD4E2BA">
      <w:pPr>
        <w:rPr>
          <w:rFonts w:hint="eastAsia"/>
          <w:color w:val="auto"/>
          <w:highlight w:val="none"/>
        </w:rPr>
      </w:pPr>
    </w:p>
    <w:p w14:paraId="1EF723C3">
      <w:pPr>
        <w:ind w:firstLine="420" w:firstLineChars="200"/>
        <w:rPr>
          <w:rFonts w:hint="eastAsia"/>
          <w:color w:val="auto"/>
          <w:highlight w:val="none"/>
        </w:rPr>
      </w:pPr>
      <w:r>
        <w:rPr>
          <w:rFonts w:hint="eastAsia"/>
          <w:color w:val="auto"/>
          <w:highlight w:val="none"/>
        </w:rPr>
        <w:t>为确保本次</w:t>
      </w:r>
      <w:r>
        <w:rPr>
          <w:rFonts w:hint="eastAsia"/>
          <w:color w:val="auto"/>
          <w:highlight w:val="none"/>
          <w:u w:val="single"/>
        </w:rPr>
        <w:t xml:space="preserve">           </w:t>
      </w:r>
      <w:r>
        <w:rPr>
          <w:rFonts w:hint="eastAsia"/>
          <w:color w:val="auto"/>
          <w:highlight w:val="none"/>
        </w:rPr>
        <w:t xml:space="preserve">工程组织施工安全， </w:t>
      </w:r>
      <w:r>
        <w:rPr>
          <w:rFonts w:hint="eastAsia"/>
          <w:color w:val="auto"/>
          <w:highlight w:val="none"/>
          <w:u w:val="single"/>
        </w:rPr>
        <w:t xml:space="preserve">            </w:t>
      </w:r>
      <w:r>
        <w:rPr>
          <w:rFonts w:hint="eastAsia"/>
          <w:color w:val="auto"/>
          <w:highlight w:val="none"/>
        </w:rPr>
        <w:t xml:space="preserve"> 负责人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郑重承诺，将依照施工合同对本次施工范围内的安全管理承担责任，承诺基本内容如下：</w:t>
      </w:r>
    </w:p>
    <w:p w14:paraId="1E894D1C">
      <w:pPr>
        <w:rPr>
          <w:color w:val="auto"/>
          <w:highlight w:val="none"/>
        </w:rPr>
      </w:pPr>
      <w:r>
        <w:rPr>
          <w:color w:val="auto"/>
          <w:highlight w:val="none"/>
        </w:rPr>
        <w:t xml:space="preserve">  </w:t>
      </w:r>
    </w:p>
    <w:p w14:paraId="7A9AFC6F">
      <w:pPr>
        <w:ind w:firstLine="420" w:firstLineChars="200"/>
        <w:rPr>
          <w:rFonts w:hint="eastAsia"/>
          <w:color w:val="auto"/>
          <w:highlight w:val="none"/>
        </w:rPr>
      </w:pPr>
      <w:r>
        <w:rPr>
          <w:rFonts w:hint="eastAsia"/>
          <w:color w:val="auto"/>
          <w:highlight w:val="none"/>
        </w:rPr>
        <w:t>一、承诺在施工期间，严格按</w:t>
      </w:r>
      <w:r>
        <w:rPr>
          <w:rFonts w:hint="eastAsia"/>
          <w:color w:val="auto"/>
          <w:highlight w:val="none"/>
          <w:lang w:val="en-US" w:eastAsia="zh-CN"/>
        </w:rPr>
        <w:t>甲方</w:t>
      </w:r>
      <w:r>
        <w:rPr>
          <w:rFonts w:hint="eastAsia"/>
          <w:color w:val="auto"/>
          <w:highlight w:val="none"/>
        </w:rPr>
        <w:t>的要求，依照国家及省市安全法规定、《建筑施工安全检查标准》，明确安全责任，做好施工组织设计和施工安全技术交底，服从</w:t>
      </w:r>
      <w:r>
        <w:rPr>
          <w:rFonts w:hint="eastAsia"/>
          <w:color w:val="auto"/>
          <w:highlight w:val="none"/>
          <w:lang w:val="en-US" w:eastAsia="zh-CN"/>
        </w:rPr>
        <w:t>甲方</w:t>
      </w:r>
      <w:r>
        <w:rPr>
          <w:rFonts w:hint="eastAsia"/>
          <w:color w:val="auto"/>
          <w:highlight w:val="none"/>
        </w:rPr>
        <w:t>相关部门的日常管理和检查。</w:t>
      </w:r>
    </w:p>
    <w:p w14:paraId="71926D62">
      <w:pPr>
        <w:rPr>
          <w:color w:val="auto"/>
          <w:highlight w:val="none"/>
        </w:rPr>
      </w:pPr>
      <w:r>
        <w:rPr>
          <w:color w:val="auto"/>
          <w:highlight w:val="none"/>
        </w:rPr>
        <w:t xml:space="preserve">  </w:t>
      </w:r>
    </w:p>
    <w:p w14:paraId="3B1114EE">
      <w:pPr>
        <w:ind w:firstLine="420" w:firstLineChars="200"/>
        <w:rPr>
          <w:rFonts w:hint="eastAsia"/>
          <w:color w:val="auto"/>
          <w:highlight w:val="none"/>
        </w:rPr>
      </w:pPr>
      <w:r>
        <w:rPr>
          <w:rFonts w:hint="eastAsia"/>
          <w:color w:val="auto"/>
          <w:highlight w:val="none"/>
        </w:rPr>
        <w:t>二、承诺对本单位施工人员进行安全教育，有健全的安全管理制度，保证施工人员遵守相关规范，服从</w:t>
      </w:r>
      <w:r>
        <w:rPr>
          <w:rFonts w:hint="eastAsia"/>
          <w:color w:val="auto"/>
          <w:highlight w:val="none"/>
          <w:lang w:val="en-US" w:eastAsia="zh-CN"/>
        </w:rPr>
        <w:t>甲方</w:t>
      </w:r>
      <w:r>
        <w:rPr>
          <w:rFonts w:hint="eastAsia"/>
          <w:color w:val="auto"/>
          <w:highlight w:val="none"/>
        </w:rPr>
        <w:t>现场管理人员的管理。</w:t>
      </w:r>
    </w:p>
    <w:p w14:paraId="5B40553D">
      <w:pPr>
        <w:ind w:firstLine="420" w:firstLineChars="200"/>
        <w:rPr>
          <w:color w:val="auto"/>
          <w:highlight w:val="none"/>
        </w:rPr>
      </w:pPr>
      <w:r>
        <w:rPr>
          <w:color w:val="auto"/>
          <w:highlight w:val="none"/>
        </w:rPr>
        <w:t xml:space="preserve">  </w:t>
      </w:r>
    </w:p>
    <w:p w14:paraId="672F257D">
      <w:pPr>
        <w:ind w:firstLine="420" w:firstLineChars="200"/>
        <w:rPr>
          <w:rFonts w:hint="eastAsia"/>
          <w:color w:val="auto"/>
          <w:highlight w:val="none"/>
        </w:rPr>
      </w:pPr>
      <w:r>
        <w:rPr>
          <w:rFonts w:hint="eastAsia"/>
          <w:color w:val="auto"/>
          <w:highlight w:val="none"/>
        </w:rPr>
        <w:t>三、承诺文明施工，保证现场不出现消防安全事故和工伤事故，设立现场安全负责人。</w:t>
      </w:r>
      <w:r>
        <w:rPr>
          <w:rFonts w:hint="eastAsia"/>
          <w:color w:val="auto"/>
          <w:highlight w:val="none"/>
          <w:lang w:val="en-US" w:eastAsia="zh-CN"/>
        </w:rPr>
        <w:t>甲方</w:t>
      </w:r>
      <w:r>
        <w:rPr>
          <w:rFonts w:hint="eastAsia"/>
          <w:color w:val="auto"/>
          <w:highlight w:val="none"/>
        </w:rPr>
        <w:t>现场监管人员若发现有重大不安全因素时，随时有权要求施工方停工整改，施工方不得继续违章操作强行施工。如因施工发生任何意外或造成人员伤亡，施工方承诺承担完全负责，与</w:t>
      </w:r>
      <w:r>
        <w:rPr>
          <w:rFonts w:hint="eastAsia"/>
          <w:color w:val="auto"/>
          <w:highlight w:val="none"/>
          <w:lang w:val="en-US" w:eastAsia="zh-CN"/>
        </w:rPr>
        <w:t>甲方</w:t>
      </w:r>
      <w:r>
        <w:rPr>
          <w:rFonts w:hint="eastAsia"/>
          <w:color w:val="auto"/>
          <w:highlight w:val="none"/>
        </w:rPr>
        <w:t>无关。需上报杭州市安监局及有关部门的安全事故，一切手续由施工方负责处理，无需</w:t>
      </w:r>
      <w:r>
        <w:rPr>
          <w:rFonts w:hint="eastAsia"/>
          <w:color w:val="auto"/>
          <w:highlight w:val="none"/>
          <w:lang w:val="en-US" w:eastAsia="zh-CN"/>
        </w:rPr>
        <w:t>甲方</w:t>
      </w:r>
      <w:r>
        <w:rPr>
          <w:rFonts w:hint="eastAsia"/>
          <w:color w:val="auto"/>
          <w:highlight w:val="none"/>
        </w:rPr>
        <w:t>办理。</w:t>
      </w:r>
    </w:p>
    <w:p w14:paraId="6862B040">
      <w:pPr>
        <w:ind w:firstLine="420" w:firstLineChars="200"/>
        <w:rPr>
          <w:color w:val="auto"/>
          <w:highlight w:val="none"/>
        </w:rPr>
      </w:pPr>
      <w:r>
        <w:rPr>
          <w:color w:val="auto"/>
          <w:highlight w:val="none"/>
        </w:rPr>
        <w:t xml:space="preserve">  </w:t>
      </w:r>
    </w:p>
    <w:p w14:paraId="2FFD50B9">
      <w:pPr>
        <w:ind w:firstLine="420" w:firstLineChars="200"/>
        <w:rPr>
          <w:rFonts w:hint="eastAsia"/>
          <w:color w:val="auto"/>
          <w:highlight w:val="none"/>
        </w:rPr>
      </w:pPr>
      <w:r>
        <w:rPr>
          <w:rFonts w:hint="eastAsia"/>
          <w:color w:val="auto"/>
          <w:highlight w:val="none"/>
        </w:rPr>
        <w:t>四、承诺施工期间不影响</w:t>
      </w:r>
      <w:r>
        <w:rPr>
          <w:rFonts w:hint="eastAsia"/>
          <w:color w:val="auto"/>
          <w:highlight w:val="none"/>
          <w:lang w:val="en-US" w:eastAsia="zh-CN"/>
        </w:rPr>
        <w:t>甲方</w:t>
      </w:r>
      <w:r>
        <w:rPr>
          <w:rFonts w:hint="eastAsia"/>
          <w:color w:val="auto"/>
          <w:highlight w:val="none"/>
        </w:rPr>
        <w:t>师生正常教学、工作、生活和学校卫生、环境安全，对本单位施工人员造成的一切不良影响负责。</w:t>
      </w:r>
    </w:p>
    <w:p w14:paraId="7B091EC0">
      <w:pPr>
        <w:ind w:firstLine="420" w:firstLineChars="200"/>
        <w:rPr>
          <w:color w:val="auto"/>
          <w:highlight w:val="none"/>
        </w:rPr>
      </w:pPr>
      <w:r>
        <w:rPr>
          <w:color w:val="auto"/>
          <w:highlight w:val="none"/>
        </w:rPr>
        <w:t xml:space="preserve">  </w:t>
      </w:r>
    </w:p>
    <w:p w14:paraId="26668C41">
      <w:pPr>
        <w:ind w:firstLine="420" w:firstLineChars="200"/>
        <w:rPr>
          <w:rFonts w:hint="eastAsia"/>
          <w:color w:val="auto"/>
          <w:highlight w:val="none"/>
        </w:rPr>
      </w:pPr>
      <w:r>
        <w:rPr>
          <w:rFonts w:hint="eastAsia"/>
          <w:color w:val="auto"/>
          <w:highlight w:val="none"/>
        </w:rPr>
        <w:t>五、本承诺书是</w:t>
      </w:r>
      <w:r>
        <w:rPr>
          <w:rFonts w:hint="eastAsia"/>
          <w:color w:val="auto"/>
          <w:highlight w:val="none"/>
          <w:lang w:val="en-US" w:eastAsia="zh-CN"/>
        </w:rPr>
        <w:t>甲方</w:t>
      </w:r>
      <w:r>
        <w:rPr>
          <w:rFonts w:hint="eastAsia"/>
          <w:color w:val="auto"/>
          <w:highlight w:val="none"/>
        </w:rPr>
        <w:t>对外来施工安全监管的有效证明文件，是合同的附件，具有法律效力。</w:t>
      </w:r>
    </w:p>
    <w:p w14:paraId="4C76407E">
      <w:pPr>
        <w:ind w:firstLine="420" w:firstLineChars="200"/>
        <w:rPr>
          <w:color w:val="auto"/>
          <w:highlight w:val="none"/>
        </w:rPr>
      </w:pPr>
      <w:r>
        <w:rPr>
          <w:color w:val="auto"/>
          <w:highlight w:val="none"/>
        </w:rPr>
        <w:t xml:space="preserve">  </w:t>
      </w:r>
    </w:p>
    <w:p w14:paraId="1018F7B8">
      <w:pPr>
        <w:ind w:firstLine="420" w:firstLineChars="200"/>
        <w:rPr>
          <w:rFonts w:hint="eastAsia"/>
          <w:color w:val="auto"/>
          <w:highlight w:val="none"/>
        </w:rPr>
      </w:pPr>
      <w:r>
        <w:rPr>
          <w:rFonts w:hint="eastAsia"/>
          <w:color w:val="auto"/>
          <w:highlight w:val="none"/>
        </w:rPr>
        <w:t>六、安全问题包括不仅限于上述情况，如有未尽详细事宜，参照国家法律法规的有关条款执行。</w:t>
      </w:r>
    </w:p>
    <w:p w14:paraId="1F67F5E9">
      <w:pPr>
        <w:ind w:firstLine="420" w:firstLineChars="200"/>
        <w:rPr>
          <w:color w:val="auto"/>
          <w:highlight w:val="none"/>
        </w:rPr>
      </w:pPr>
      <w:r>
        <w:rPr>
          <w:color w:val="auto"/>
          <w:highlight w:val="none"/>
        </w:rPr>
        <w:t xml:space="preserve">  </w:t>
      </w:r>
    </w:p>
    <w:p w14:paraId="59A4DD36">
      <w:pPr>
        <w:ind w:firstLine="420" w:firstLineChars="200"/>
        <w:rPr>
          <w:rFonts w:hint="eastAsia"/>
          <w:color w:val="auto"/>
          <w:highlight w:val="none"/>
        </w:rPr>
      </w:pPr>
      <w:r>
        <w:rPr>
          <w:rFonts w:hint="eastAsia"/>
          <w:color w:val="auto"/>
          <w:highlight w:val="none"/>
        </w:rPr>
        <w:t>七、本承诺书一式两份，施工方和</w:t>
      </w:r>
      <w:r>
        <w:rPr>
          <w:rFonts w:hint="eastAsia"/>
          <w:color w:val="auto"/>
          <w:highlight w:val="none"/>
          <w:lang w:val="en-US" w:eastAsia="zh-CN"/>
        </w:rPr>
        <w:t>甲方</w:t>
      </w:r>
      <w:r>
        <w:rPr>
          <w:rFonts w:hint="eastAsia"/>
          <w:color w:val="auto"/>
          <w:highlight w:val="none"/>
        </w:rPr>
        <w:t>各执壹份。</w:t>
      </w:r>
    </w:p>
    <w:p w14:paraId="1A893ED2">
      <w:pPr>
        <w:rPr>
          <w:color w:val="auto"/>
          <w:highlight w:val="none"/>
        </w:rPr>
      </w:pPr>
      <w:r>
        <w:rPr>
          <w:color w:val="auto"/>
          <w:highlight w:val="none"/>
        </w:rPr>
        <w:t xml:space="preserve"> </w:t>
      </w:r>
    </w:p>
    <w:p w14:paraId="7A6684A8">
      <w:pPr>
        <w:rPr>
          <w:rFonts w:hint="eastAsia"/>
          <w:color w:val="auto"/>
          <w:highlight w:val="none"/>
        </w:rPr>
      </w:pPr>
    </w:p>
    <w:p w14:paraId="6099E153">
      <w:pPr>
        <w:rPr>
          <w:rFonts w:hint="eastAsia"/>
          <w:color w:val="auto"/>
          <w:highlight w:val="none"/>
        </w:rPr>
      </w:pPr>
      <w:r>
        <w:rPr>
          <w:rFonts w:hint="eastAsia"/>
          <w:color w:val="auto"/>
          <w:highlight w:val="none"/>
        </w:rPr>
        <w:t>承诺施工单位（盖章）：</w:t>
      </w:r>
    </w:p>
    <w:p w14:paraId="6BD5C102">
      <w:pPr>
        <w:rPr>
          <w:color w:val="auto"/>
          <w:highlight w:val="none"/>
        </w:rPr>
      </w:pPr>
      <w:r>
        <w:rPr>
          <w:color w:val="auto"/>
          <w:highlight w:val="none"/>
        </w:rPr>
        <w:t xml:space="preserve"> </w:t>
      </w:r>
    </w:p>
    <w:p w14:paraId="12540F16">
      <w:pPr>
        <w:rPr>
          <w:rFonts w:hint="eastAsia"/>
          <w:color w:val="auto"/>
          <w:highlight w:val="none"/>
        </w:rPr>
      </w:pPr>
      <w:r>
        <w:rPr>
          <w:rFonts w:hint="eastAsia"/>
          <w:color w:val="auto"/>
          <w:highlight w:val="none"/>
        </w:rPr>
        <w:t>负责人：</w:t>
      </w:r>
    </w:p>
    <w:p w14:paraId="31CFD7D7">
      <w:pPr>
        <w:rPr>
          <w:color w:val="auto"/>
          <w:highlight w:val="none"/>
        </w:rPr>
      </w:pPr>
      <w:r>
        <w:rPr>
          <w:color w:val="auto"/>
          <w:highlight w:val="none"/>
        </w:rPr>
        <w:t xml:space="preserve"> </w:t>
      </w:r>
    </w:p>
    <w:p w14:paraId="466ECA8C">
      <w:pPr>
        <w:rPr>
          <w:rFonts w:hint="eastAsia"/>
          <w:color w:val="auto"/>
          <w:highlight w:val="none"/>
        </w:rPr>
      </w:pPr>
      <w:r>
        <w:rPr>
          <w:rFonts w:hint="eastAsia"/>
          <w:color w:val="auto"/>
          <w:highlight w:val="none"/>
        </w:rPr>
        <w:t>电话：</w:t>
      </w:r>
    </w:p>
    <w:p w14:paraId="6FF571DA">
      <w:pPr>
        <w:rPr>
          <w:color w:val="auto"/>
          <w:highlight w:val="none"/>
        </w:rPr>
      </w:pPr>
      <w:r>
        <w:rPr>
          <w:color w:val="auto"/>
          <w:highlight w:val="none"/>
        </w:rPr>
        <w:t xml:space="preserve"> </w:t>
      </w:r>
    </w:p>
    <w:p w14:paraId="25F2D2A9">
      <w:pPr>
        <w:rPr>
          <w:rFonts w:hint="eastAsia"/>
          <w:color w:val="auto"/>
          <w:szCs w:val="22"/>
          <w:highlight w:val="none"/>
        </w:rPr>
      </w:pPr>
      <w:r>
        <w:rPr>
          <w:rFonts w:hint="eastAsia"/>
          <w:color w:val="auto"/>
          <w:szCs w:val="22"/>
          <w:highlight w:val="none"/>
        </w:rPr>
        <w:t>日期：</w:t>
      </w:r>
    </w:p>
    <w:p w14:paraId="3E948DC2">
      <w:pPr>
        <w:snapToGrid w:val="0"/>
        <w:spacing w:line="360" w:lineRule="auto"/>
        <w:ind w:firstLine="480" w:firstLineChars="200"/>
        <w:jc w:val="left"/>
        <w:rPr>
          <w:rFonts w:ascii="宋体" w:hAnsi="宋体"/>
          <w:snapToGrid w:val="0"/>
          <w:color w:val="auto"/>
          <w:kern w:val="0"/>
          <w:sz w:val="24"/>
          <w:szCs w:val="20"/>
          <w:highlight w:val="none"/>
        </w:rPr>
      </w:pPr>
    </w:p>
    <w:p w14:paraId="41C4B163">
      <w:pPr>
        <w:adjustRightInd/>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320EA08A">
      <w:pPr>
        <w:spacing w:line="480" w:lineRule="auto"/>
        <w:jc w:val="center"/>
        <w:rPr>
          <w:rFonts w:ascii="宋体" w:hAnsi="宋体" w:cs="宋体"/>
          <w:b/>
          <w:color w:val="auto"/>
          <w:sz w:val="28"/>
          <w:szCs w:val="28"/>
          <w:highlight w:val="none"/>
        </w:rPr>
      </w:pPr>
    </w:p>
    <w:p w14:paraId="43D1B7E3">
      <w:pPr>
        <w:spacing w:line="360" w:lineRule="auto"/>
        <w:ind w:left="-420" w:leftChars="-200" w:right="-420" w:rightChars="-200" w:firstLine="480" w:firstLineChars="200"/>
        <w:jc w:val="center"/>
        <w:outlineLvl w:val="0"/>
        <w:rPr>
          <w:rFonts w:ascii="宋体" w:hAnsi="宋体" w:cs="宋体"/>
          <w:color w:val="auto"/>
          <w:sz w:val="24"/>
          <w:highlight w:val="none"/>
        </w:rPr>
      </w:pPr>
    </w:p>
    <w:p w14:paraId="6E111F18">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2E6419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ZJZL-HZ2025-22（2）</w:t>
      </w:r>
      <w:r>
        <w:rPr>
          <w:rFonts w:hint="eastAsia" w:ascii="宋体" w:hAnsi="宋体" w:cs="宋体"/>
          <w:color w:val="auto"/>
          <w:sz w:val="24"/>
          <w:highlight w:val="none"/>
        </w:rPr>
        <w:t>】政府采购活动，郑重承诺：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4C3C441">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24B3327C">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67F79B0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4"/>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2FFD716">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BBA7C2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ZJZL-HZ2025-22（2）</w:t>
      </w:r>
      <w:r>
        <w:rPr>
          <w:rFonts w:hint="eastAsia" w:ascii="宋体" w:hAnsi="宋体" w:cs="宋体"/>
          <w:color w:val="auto"/>
          <w:sz w:val="24"/>
          <w:highlight w:val="none"/>
        </w:rPr>
        <w:t>】采购的有关活动，并对此项目提交响应文件及报价。为此：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82"/>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1306655B">
      <w:pPr>
        <w:snapToGrid w:val="0"/>
        <w:spacing w:line="360" w:lineRule="auto"/>
        <w:ind w:firstLine="480" w:firstLineChars="200"/>
        <w:rPr>
          <w:rFonts w:ascii="宋体" w:hAnsi="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61A3A30B">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D10FA7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A93687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51"/>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708F3C79">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417"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17"/>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46" w:type="dxa"/>
            <w:vAlign w:val="center"/>
          </w:tcPr>
          <w:p w14:paraId="69B8EEAC">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3F10BC8E">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05B7DC7F">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623C8A57">
      <w:pPr>
        <w:jc w:val="center"/>
        <w:rPr>
          <w:rFonts w:ascii="宋体" w:hAnsi="宋体" w:cs="宋体"/>
          <w:b/>
          <w:color w:val="auto"/>
          <w:kern w:val="0"/>
          <w:sz w:val="32"/>
          <w:szCs w:val="32"/>
          <w:highlight w:val="none"/>
        </w:rPr>
      </w:pPr>
    </w:p>
    <w:p w14:paraId="1BF7E7E8">
      <w:pPr>
        <w:jc w:val="center"/>
        <w:rPr>
          <w:rFonts w:ascii="宋体" w:hAnsi="宋体" w:cs="宋体"/>
          <w:b/>
          <w:color w:val="auto"/>
          <w:kern w:val="0"/>
          <w:sz w:val="32"/>
          <w:szCs w:val="32"/>
          <w:highlight w:val="none"/>
        </w:rPr>
      </w:pP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8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8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color w:val="auto"/>
          <w:sz w:val="24"/>
          <w:highlight w:val="none"/>
        </w:rPr>
      </w:pPr>
    </w:p>
    <w:p w14:paraId="08797509">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26DA4AE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D60837">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82"/>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4725543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5A840AF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ZJZL-HZ2025-22（2）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pacing w:line="360" w:lineRule="auto"/>
              <w:jc w:val="center"/>
              <w:rPr>
                <w:rFonts w:ascii="宋体" w:hAnsi="宋体" w:cs="宋体"/>
                <w:b/>
                <w:color w:val="auto"/>
                <w:sz w:val="24"/>
                <w:highlight w:val="none"/>
              </w:rPr>
            </w:pPr>
          </w:p>
          <w:p w14:paraId="1F6AA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D61ED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pacing w:line="360" w:lineRule="auto"/>
              <w:jc w:val="center"/>
              <w:rPr>
                <w:rFonts w:ascii="宋体" w:hAnsi="宋体" w:cs="宋体"/>
                <w:b/>
                <w:color w:val="auto"/>
                <w:sz w:val="24"/>
                <w:highlight w:val="none"/>
              </w:rPr>
            </w:pPr>
          </w:p>
          <w:p w14:paraId="7074A6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pacing w:line="36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3118" w:type="dxa"/>
            <w:vAlign w:val="center"/>
          </w:tcPr>
          <w:p w14:paraId="052ECF62">
            <w:pPr>
              <w:snapToGrid w:val="0"/>
              <w:spacing w:line="360" w:lineRule="auto"/>
              <w:jc w:val="center"/>
              <w:rPr>
                <w:rFonts w:ascii="宋体" w:hAnsi="宋体" w:cs="宋体"/>
                <w:color w:val="auto"/>
                <w:sz w:val="24"/>
                <w:highlight w:val="none"/>
              </w:rPr>
            </w:pPr>
          </w:p>
        </w:tc>
        <w:tc>
          <w:tcPr>
            <w:tcW w:w="2552" w:type="dxa"/>
            <w:vAlign w:val="center"/>
          </w:tcPr>
          <w:p w14:paraId="28D0496E">
            <w:pPr>
              <w:spacing w:line="360" w:lineRule="auto"/>
              <w:jc w:val="center"/>
              <w:rPr>
                <w:rFonts w:ascii="宋体" w:hAnsi="宋体" w:cs="宋体"/>
                <w:color w:val="auto"/>
                <w:sz w:val="24"/>
                <w:highlight w:val="none"/>
              </w:rPr>
            </w:pPr>
          </w:p>
        </w:tc>
        <w:tc>
          <w:tcPr>
            <w:tcW w:w="1984" w:type="dxa"/>
            <w:vAlign w:val="center"/>
          </w:tcPr>
          <w:p w14:paraId="438E67FF">
            <w:pPr>
              <w:spacing w:line="360" w:lineRule="auto"/>
              <w:jc w:val="center"/>
              <w:rPr>
                <w:rFonts w:ascii="宋体" w:hAnsi="宋体" w:cs="宋体"/>
                <w:color w:val="auto"/>
                <w:sz w:val="24"/>
                <w:highlight w:val="none"/>
              </w:rPr>
            </w:pPr>
          </w:p>
        </w:tc>
        <w:tc>
          <w:tcPr>
            <w:tcW w:w="3119" w:type="dxa"/>
            <w:vAlign w:val="center"/>
          </w:tcPr>
          <w:p w14:paraId="624E6030">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color w:val="auto"/>
          <w:kern w:val="0"/>
          <w:sz w:val="24"/>
          <w:highlight w:val="none"/>
        </w:rPr>
      </w:pPr>
    </w:p>
    <w:p w14:paraId="073DF63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F78AD7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5"/>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ind w:right="420"/>
        <w:rPr>
          <w:rFonts w:ascii="宋体" w:hAnsi="宋体" w:cs="宋体"/>
          <w:color w:val="auto"/>
          <w:sz w:val="24"/>
          <w:highlight w:val="none"/>
        </w:rPr>
      </w:pPr>
      <w:r>
        <w:rPr>
          <w:rFonts w:hint="eastAsia" w:ascii="宋体" w:hAnsi="宋体" w:cs="宋体"/>
          <w:color w:val="auto"/>
          <w:sz w:val="24"/>
          <w:highlight w:val="none"/>
        </w:rPr>
        <w:t xml:space="preserve"> </w:t>
      </w:r>
    </w:p>
    <w:p w14:paraId="17477E6C">
      <w:pPr>
        <w:pStyle w:val="26"/>
        <w:ind w:firstLine="480"/>
        <w:rPr>
          <w:rFonts w:cs="宋体"/>
          <w:color w:val="auto"/>
          <w:sz w:val="24"/>
          <w:highlight w:val="none"/>
        </w:rPr>
      </w:pPr>
    </w:p>
    <w:p w14:paraId="2E09B091">
      <w:pPr>
        <w:pStyle w:val="26"/>
        <w:ind w:firstLine="48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8" w:name="_Hlk101259491"/>
      <w:r>
        <w:rPr>
          <w:rFonts w:hint="eastAsia" w:ascii="宋体" w:hAnsi="宋体" w:eastAsia="宋体" w:cs="宋体"/>
          <w:color w:val="auto"/>
          <w:sz w:val="32"/>
          <w:szCs w:val="32"/>
          <w:highlight w:val="none"/>
        </w:rPr>
        <w:t>（如果有）</w:t>
      </w:r>
      <w:bookmarkEnd w:id="418"/>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9" w:name="_Toc465665161"/>
      <w:r>
        <w:rPr>
          <w:rFonts w:hint="eastAsia" w:ascii="宋体" w:hAnsi="宋体" w:cs="宋体"/>
          <w:color w:val="auto"/>
          <w:highlight w:val="none"/>
        </w:rPr>
        <w:t>附件</w:t>
      </w:r>
      <w:bookmarkEnd w:id="419"/>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420" w:name="OLE_LINK14"/>
      <w:bookmarkStart w:id="421" w:name="OLE_LINK13"/>
      <w:r>
        <w:rPr>
          <w:rFonts w:hint="eastAsia" w:ascii="宋体" w:hAnsi="宋体" w:cs="宋体"/>
          <w:b/>
          <w:color w:val="auto"/>
          <w:spacing w:val="6"/>
          <w:sz w:val="32"/>
          <w:szCs w:val="32"/>
          <w:highlight w:val="none"/>
        </w:rPr>
        <w:t>残疾人福利性单位声明函</w:t>
      </w:r>
    </w:p>
    <w:bookmarkEnd w:id="420"/>
    <w:bookmarkEnd w:id="421"/>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2D826E4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浙江筑脸全过程工程咨询有限公司</w:t>
      </w:r>
      <w:r>
        <w:rPr>
          <w:rFonts w:hint="eastAsia" w:ascii="宋体" w:hAnsi="宋体" w:cs="宋体"/>
          <w:color w:val="auto"/>
          <w:sz w:val="24"/>
          <w:highlight w:val="none"/>
        </w:rPr>
        <w:t>：</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ZJZL-HZ2025-22（2）</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42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2"/>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D00CB6">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杭州市人民职业学校食堂内部环境提升改造项目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ZJZL-HZ2025-22（2）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3"/>
    </w:p>
    <w:p w14:paraId="4032C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autoSpaceDE w:val="0"/>
        <w:autoSpaceDN w:val="0"/>
        <w:jc w:val="center"/>
        <w:rPr>
          <w:rFonts w:ascii="宋体" w:hAnsi="宋体" w:cs="宋体"/>
          <w:b/>
          <w:color w:val="auto"/>
          <w:spacing w:val="6"/>
          <w:sz w:val="32"/>
          <w:szCs w:val="32"/>
          <w:highlight w:val="none"/>
        </w:rPr>
      </w:pPr>
    </w:p>
    <w:p w14:paraId="10FB46DD">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杭州市人民职业学校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杭州市人民职业学校食堂内部环境提升改造项目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杭州市人民职业学校食堂内部环境提升改造项目</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kern w:val="0"/>
          <w:sz w:val="24"/>
          <w:highlight w:val="none"/>
          <w:u w:val="single"/>
        </w:rPr>
        <w:t>建筑业</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B922A18">
      <w:pPr>
        <w:pStyle w:val="25"/>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4"/>
      </w:rPr>
    </w:pPr>
    <w:r>
      <w:fldChar w:fldCharType="begin"/>
    </w:r>
    <w:r>
      <w:rPr>
        <w:rStyle w:val="74"/>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24" w:name="_Toc91899912"/>
    <w:bookmarkStart w:id="425" w:name="_Toc164085800"/>
    <w:bookmarkStart w:id="426" w:name="_Toc36110187"/>
    <w:bookmarkStart w:id="427" w:name="_Toc131845147"/>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4"/>
      </w:rPr>
    </w:pPr>
    <w:r>
      <w:fldChar w:fldCharType="begin"/>
    </w:r>
    <w:r>
      <w:rPr>
        <w:rStyle w:val="74"/>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0FC6F05"/>
    <w:multiLevelType w:val="singleLevel"/>
    <w:tmpl w:val="90FC6F05"/>
    <w:lvl w:ilvl="0" w:tentative="0">
      <w:start w:val="1"/>
      <w:numFmt w:val="decimal"/>
      <w:lvlText w:val="(%1)"/>
      <w:lvlJc w:val="left"/>
      <w:pPr>
        <w:ind w:left="425" w:hanging="425"/>
      </w:pPr>
      <w:rPr>
        <w:rFonts w:hint="default"/>
      </w:rPr>
    </w:lvl>
  </w:abstractNum>
  <w:abstractNum w:abstractNumId="2">
    <w:nsid w:val="BE86B77E"/>
    <w:multiLevelType w:val="singleLevel"/>
    <w:tmpl w:val="BE86B77E"/>
    <w:lvl w:ilvl="0" w:tentative="0">
      <w:start w:val="2"/>
      <w:numFmt w:val="chineseCounting"/>
      <w:suff w:val="space"/>
      <w:lvlText w:val="第%1部分"/>
      <w:lvlJc w:val="left"/>
      <w:rPr>
        <w:rFonts w:hint="eastAsia"/>
      </w:rPr>
    </w:lvl>
  </w:abstractNum>
  <w:abstractNum w:abstractNumId="3">
    <w:nsid w:val="2FFCA817"/>
    <w:multiLevelType w:val="singleLevel"/>
    <w:tmpl w:val="2FFCA817"/>
    <w:lvl w:ilvl="0" w:tentative="0">
      <w:start w:val="9"/>
      <w:numFmt w:val="chineseCounting"/>
      <w:suff w:val="nothing"/>
      <w:lvlText w:val="%1、"/>
      <w:lvlJc w:val="left"/>
      <w:rPr>
        <w:rFonts w:hint="eastAsia"/>
      </w:rPr>
    </w:lvl>
  </w:abstractNum>
  <w:abstractNum w:abstractNumId="4">
    <w:nsid w:val="5626B6CE"/>
    <w:multiLevelType w:val="singleLevel"/>
    <w:tmpl w:val="5626B6CE"/>
    <w:lvl w:ilvl="0" w:tentative="0">
      <w:start w:val="1"/>
      <w:numFmt w:val="lowerLetter"/>
      <w:suff w:val="nothing"/>
      <w:lvlText w:val="%1、"/>
      <w:lvlJc w:val="left"/>
      <w:pPr>
        <w:ind w:left="-20"/>
      </w:pPr>
    </w:lvl>
  </w:abstractNum>
  <w:abstractNum w:abstractNumId="5">
    <w:nsid w:val="7A4B6EFD"/>
    <w:multiLevelType w:val="multilevel"/>
    <w:tmpl w:val="7A4B6EFD"/>
    <w:lvl w:ilvl="0" w:tentative="0">
      <w:start w:val="1"/>
      <w:numFmt w:val="decimal"/>
      <w:lvlText w:val="（%1）"/>
      <w:lvlJc w:val="left"/>
      <w:pPr>
        <w:tabs>
          <w:tab w:val="left" w:pos="826"/>
        </w:tabs>
        <w:ind w:left="815" w:hanging="50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102"/>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2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6029"/>
    <w:rsid w:val="011F6449"/>
    <w:rsid w:val="01236AFB"/>
    <w:rsid w:val="013E2A8C"/>
    <w:rsid w:val="01710365"/>
    <w:rsid w:val="017B2F92"/>
    <w:rsid w:val="019F7441"/>
    <w:rsid w:val="01B37585"/>
    <w:rsid w:val="01BD17FD"/>
    <w:rsid w:val="01C65DA5"/>
    <w:rsid w:val="01D55165"/>
    <w:rsid w:val="01DF6BF8"/>
    <w:rsid w:val="01E4322D"/>
    <w:rsid w:val="01E70DB5"/>
    <w:rsid w:val="01EC2C57"/>
    <w:rsid w:val="025F0711"/>
    <w:rsid w:val="026B2E25"/>
    <w:rsid w:val="026D3223"/>
    <w:rsid w:val="02750329"/>
    <w:rsid w:val="02824D4D"/>
    <w:rsid w:val="02DC4B10"/>
    <w:rsid w:val="02DD76CE"/>
    <w:rsid w:val="02F36323"/>
    <w:rsid w:val="02F5619C"/>
    <w:rsid w:val="03261624"/>
    <w:rsid w:val="0326446A"/>
    <w:rsid w:val="032D5555"/>
    <w:rsid w:val="034F46D6"/>
    <w:rsid w:val="036634D2"/>
    <w:rsid w:val="03DD35E4"/>
    <w:rsid w:val="03F040A4"/>
    <w:rsid w:val="04076900"/>
    <w:rsid w:val="041A5A3B"/>
    <w:rsid w:val="042311BA"/>
    <w:rsid w:val="04275653"/>
    <w:rsid w:val="042B157A"/>
    <w:rsid w:val="04575F38"/>
    <w:rsid w:val="04610B65"/>
    <w:rsid w:val="04891E6A"/>
    <w:rsid w:val="048F763B"/>
    <w:rsid w:val="049F330E"/>
    <w:rsid w:val="04AA775C"/>
    <w:rsid w:val="04AF1889"/>
    <w:rsid w:val="04C64E6C"/>
    <w:rsid w:val="04CD1839"/>
    <w:rsid w:val="04DC643E"/>
    <w:rsid w:val="04E86B91"/>
    <w:rsid w:val="04F66F48"/>
    <w:rsid w:val="04FF3EDA"/>
    <w:rsid w:val="050F05C1"/>
    <w:rsid w:val="05191440"/>
    <w:rsid w:val="05251E14"/>
    <w:rsid w:val="056515A7"/>
    <w:rsid w:val="059960DD"/>
    <w:rsid w:val="05A16594"/>
    <w:rsid w:val="05A7762D"/>
    <w:rsid w:val="05C71CCC"/>
    <w:rsid w:val="05F01509"/>
    <w:rsid w:val="060E5941"/>
    <w:rsid w:val="06110FAF"/>
    <w:rsid w:val="061E21DC"/>
    <w:rsid w:val="062A142B"/>
    <w:rsid w:val="06493CA7"/>
    <w:rsid w:val="064F49ED"/>
    <w:rsid w:val="065A6178"/>
    <w:rsid w:val="06640499"/>
    <w:rsid w:val="066F1CF3"/>
    <w:rsid w:val="068428E9"/>
    <w:rsid w:val="068723D9"/>
    <w:rsid w:val="06930BB8"/>
    <w:rsid w:val="06AE5BB8"/>
    <w:rsid w:val="06B27E8C"/>
    <w:rsid w:val="06BC6527"/>
    <w:rsid w:val="0701218C"/>
    <w:rsid w:val="0721282E"/>
    <w:rsid w:val="07245D42"/>
    <w:rsid w:val="07264C62"/>
    <w:rsid w:val="07354BE2"/>
    <w:rsid w:val="0779354C"/>
    <w:rsid w:val="07A46B95"/>
    <w:rsid w:val="07DD49A7"/>
    <w:rsid w:val="08061376"/>
    <w:rsid w:val="08167EB9"/>
    <w:rsid w:val="08297BEC"/>
    <w:rsid w:val="08452D77"/>
    <w:rsid w:val="086401F8"/>
    <w:rsid w:val="08641754"/>
    <w:rsid w:val="08661343"/>
    <w:rsid w:val="086D3F47"/>
    <w:rsid w:val="08751CAA"/>
    <w:rsid w:val="087E4C40"/>
    <w:rsid w:val="08923AEE"/>
    <w:rsid w:val="08A871D0"/>
    <w:rsid w:val="08B84ACC"/>
    <w:rsid w:val="08BF22FE"/>
    <w:rsid w:val="08D35DAA"/>
    <w:rsid w:val="08D66AD6"/>
    <w:rsid w:val="08DA33A3"/>
    <w:rsid w:val="08E80F13"/>
    <w:rsid w:val="090F3BDB"/>
    <w:rsid w:val="09335624"/>
    <w:rsid w:val="0944690F"/>
    <w:rsid w:val="09535675"/>
    <w:rsid w:val="095F057D"/>
    <w:rsid w:val="09642282"/>
    <w:rsid w:val="0971661B"/>
    <w:rsid w:val="09733572"/>
    <w:rsid w:val="09772C16"/>
    <w:rsid w:val="098353B5"/>
    <w:rsid w:val="09992B4F"/>
    <w:rsid w:val="09A92330"/>
    <w:rsid w:val="09B06B87"/>
    <w:rsid w:val="09C13146"/>
    <w:rsid w:val="09C15C02"/>
    <w:rsid w:val="09E04166"/>
    <w:rsid w:val="09E3201C"/>
    <w:rsid w:val="09ED2E9B"/>
    <w:rsid w:val="09F204B1"/>
    <w:rsid w:val="0A1C0718"/>
    <w:rsid w:val="0A3E7710"/>
    <w:rsid w:val="0A5B7E05"/>
    <w:rsid w:val="0A5B7E63"/>
    <w:rsid w:val="0A703465"/>
    <w:rsid w:val="0A7563A2"/>
    <w:rsid w:val="0AA374A5"/>
    <w:rsid w:val="0AAB7649"/>
    <w:rsid w:val="0ABC5606"/>
    <w:rsid w:val="0B301291"/>
    <w:rsid w:val="0B30404E"/>
    <w:rsid w:val="0B4C6C14"/>
    <w:rsid w:val="0B547599"/>
    <w:rsid w:val="0B631A88"/>
    <w:rsid w:val="0B683D45"/>
    <w:rsid w:val="0B7F3F11"/>
    <w:rsid w:val="0B884417"/>
    <w:rsid w:val="0BB93035"/>
    <w:rsid w:val="0BF6188C"/>
    <w:rsid w:val="0BF73C91"/>
    <w:rsid w:val="0C170175"/>
    <w:rsid w:val="0C571A41"/>
    <w:rsid w:val="0C5C1171"/>
    <w:rsid w:val="0C5E1CBC"/>
    <w:rsid w:val="0C615B50"/>
    <w:rsid w:val="0C803B53"/>
    <w:rsid w:val="0C8445DA"/>
    <w:rsid w:val="0C87121B"/>
    <w:rsid w:val="0CA57D36"/>
    <w:rsid w:val="0CB11F5E"/>
    <w:rsid w:val="0CC007F7"/>
    <w:rsid w:val="0CC617AC"/>
    <w:rsid w:val="0CE618DF"/>
    <w:rsid w:val="0CE7614A"/>
    <w:rsid w:val="0CFE707A"/>
    <w:rsid w:val="0D063BDA"/>
    <w:rsid w:val="0D08375F"/>
    <w:rsid w:val="0D110C4F"/>
    <w:rsid w:val="0D184CFB"/>
    <w:rsid w:val="0D4A7419"/>
    <w:rsid w:val="0D643474"/>
    <w:rsid w:val="0D735465"/>
    <w:rsid w:val="0D827401"/>
    <w:rsid w:val="0D84094E"/>
    <w:rsid w:val="0D8A00E9"/>
    <w:rsid w:val="0D8C6527"/>
    <w:rsid w:val="0D8D589E"/>
    <w:rsid w:val="0DA01C73"/>
    <w:rsid w:val="0DD63300"/>
    <w:rsid w:val="0DDF2AFB"/>
    <w:rsid w:val="0DF50604"/>
    <w:rsid w:val="0DF702FE"/>
    <w:rsid w:val="0DFE11D3"/>
    <w:rsid w:val="0E060E51"/>
    <w:rsid w:val="0E2008DB"/>
    <w:rsid w:val="0E5604B2"/>
    <w:rsid w:val="0E6D5D79"/>
    <w:rsid w:val="0E7C659C"/>
    <w:rsid w:val="0E9D0089"/>
    <w:rsid w:val="0EA0228A"/>
    <w:rsid w:val="0EB803EE"/>
    <w:rsid w:val="0EBE0962"/>
    <w:rsid w:val="0EF94D4B"/>
    <w:rsid w:val="0F05645E"/>
    <w:rsid w:val="0F334EAC"/>
    <w:rsid w:val="0F3F1AA3"/>
    <w:rsid w:val="0F4958DC"/>
    <w:rsid w:val="0F515DF7"/>
    <w:rsid w:val="0F596BA8"/>
    <w:rsid w:val="0F6248D2"/>
    <w:rsid w:val="0F693536"/>
    <w:rsid w:val="0F7B0511"/>
    <w:rsid w:val="0F7B76D9"/>
    <w:rsid w:val="0F816ACD"/>
    <w:rsid w:val="0F9832DB"/>
    <w:rsid w:val="0FBA737B"/>
    <w:rsid w:val="0FBF3FD2"/>
    <w:rsid w:val="0FBF7FF3"/>
    <w:rsid w:val="0FCB77DB"/>
    <w:rsid w:val="10036F74"/>
    <w:rsid w:val="102B64CB"/>
    <w:rsid w:val="10646583"/>
    <w:rsid w:val="107D4B15"/>
    <w:rsid w:val="108A3C80"/>
    <w:rsid w:val="10C26171"/>
    <w:rsid w:val="10F33360"/>
    <w:rsid w:val="10FC16EA"/>
    <w:rsid w:val="110F1D40"/>
    <w:rsid w:val="11266F33"/>
    <w:rsid w:val="11292A0B"/>
    <w:rsid w:val="113969C6"/>
    <w:rsid w:val="11765524"/>
    <w:rsid w:val="118963A1"/>
    <w:rsid w:val="11A77DD3"/>
    <w:rsid w:val="11C6522A"/>
    <w:rsid w:val="11D30BC8"/>
    <w:rsid w:val="11E104CC"/>
    <w:rsid w:val="11E20309"/>
    <w:rsid w:val="11E3705D"/>
    <w:rsid w:val="12135469"/>
    <w:rsid w:val="12255233"/>
    <w:rsid w:val="12380A2C"/>
    <w:rsid w:val="12437C74"/>
    <w:rsid w:val="12530213"/>
    <w:rsid w:val="126128B3"/>
    <w:rsid w:val="12747CB6"/>
    <w:rsid w:val="127723A9"/>
    <w:rsid w:val="12862074"/>
    <w:rsid w:val="12883966"/>
    <w:rsid w:val="129E45B4"/>
    <w:rsid w:val="12D81596"/>
    <w:rsid w:val="12E35254"/>
    <w:rsid w:val="12FE3A23"/>
    <w:rsid w:val="13072A44"/>
    <w:rsid w:val="131B66E1"/>
    <w:rsid w:val="135233D3"/>
    <w:rsid w:val="135F4BE2"/>
    <w:rsid w:val="136E2957"/>
    <w:rsid w:val="139B1A0A"/>
    <w:rsid w:val="139D25C7"/>
    <w:rsid w:val="13BF3CE4"/>
    <w:rsid w:val="14072DAB"/>
    <w:rsid w:val="141008D8"/>
    <w:rsid w:val="14117786"/>
    <w:rsid w:val="14125FE6"/>
    <w:rsid w:val="144D63F0"/>
    <w:rsid w:val="146A584F"/>
    <w:rsid w:val="146D271E"/>
    <w:rsid w:val="14982588"/>
    <w:rsid w:val="149A5AD9"/>
    <w:rsid w:val="14A7619D"/>
    <w:rsid w:val="14D42C8D"/>
    <w:rsid w:val="14E05AD6"/>
    <w:rsid w:val="150536C3"/>
    <w:rsid w:val="150C1963"/>
    <w:rsid w:val="151447A0"/>
    <w:rsid w:val="152B4878"/>
    <w:rsid w:val="1537146E"/>
    <w:rsid w:val="154A6454"/>
    <w:rsid w:val="15762120"/>
    <w:rsid w:val="157E0E4B"/>
    <w:rsid w:val="15ED4D6D"/>
    <w:rsid w:val="16184DFC"/>
    <w:rsid w:val="163A32B0"/>
    <w:rsid w:val="16504596"/>
    <w:rsid w:val="16A8729C"/>
    <w:rsid w:val="16B33777"/>
    <w:rsid w:val="16B84C28"/>
    <w:rsid w:val="16BC1C2B"/>
    <w:rsid w:val="16BC70A7"/>
    <w:rsid w:val="16C6339E"/>
    <w:rsid w:val="16F92E7F"/>
    <w:rsid w:val="172F2D79"/>
    <w:rsid w:val="17514A69"/>
    <w:rsid w:val="17557BEF"/>
    <w:rsid w:val="177644D0"/>
    <w:rsid w:val="17942BA8"/>
    <w:rsid w:val="17B80644"/>
    <w:rsid w:val="17D11706"/>
    <w:rsid w:val="17D349C1"/>
    <w:rsid w:val="17D65BAB"/>
    <w:rsid w:val="1830729E"/>
    <w:rsid w:val="18357EE7"/>
    <w:rsid w:val="18602A8A"/>
    <w:rsid w:val="1870062C"/>
    <w:rsid w:val="187A7FF0"/>
    <w:rsid w:val="18817102"/>
    <w:rsid w:val="18830A15"/>
    <w:rsid w:val="18852B28"/>
    <w:rsid w:val="188B5321"/>
    <w:rsid w:val="18AD6BE6"/>
    <w:rsid w:val="19932372"/>
    <w:rsid w:val="19A20DD5"/>
    <w:rsid w:val="19AE03F1"/>
    <w:rsid w:val="19FD68DF"/>
    <w:rsid w:val="19FF69FF"/>
    <w:rsid w:val="1A071A03"/>
    <w:rsid w:val="1A101A2C"/>
    <w:rsid w:val="1A1F16AE"/>
    <w:rsid w:val="1A3B5C77"/>
    <w:rsid w:val="1A473F02"/>
    <w:rsid w:val="1A6C768D"/>
    <w:rsid w:val="1A6E148E"/>
    <w:rsid w:val="1A984BAD"/>
    <w:rsid w:val="1AB8220E"/>
    <w:rsid w:val="1AC9700C"/>
    <w:rsid w:val="1AE4166C"/>
    <w:rsid w:val="1AF06CFB"/>
    <w:rsid w:val="1AF11B8D"/>
    <w:rsid w:val="1AF916A0"/>
    <w:rsid w:val="1B11359C"/>
    <w:rsid w:val="1B2A271F"/>
    <w:rsid w:val="1B300E3A"/>
    <w:rsid w:val="1B530544"/>
    <w:rsid w:val="1B5C39DD"/>
    <w:rsid w:val="1B713184"/>
    <w:rsid w:val="1BA209CF"/>
    <w:rsid w:val="1BB17A77"/>
    <w:rsid w:val="1BB4777D"/>
    <w:rsid w:val="1BD17F27"/>
    <w:rsid w:val="1BD75AB8"/>
    <w:rsid w:val="1BFA1BFB"/>
    <w:rsid w:val="1C0459C2"/>
    <w:rsid w:val="1C1B3B4A"/>
    <w:rsid w:val="1C2838BF"/>
    <w:rsid w:val="1C3D55BC"/>
    <w:rsid w:val="1C444B9D"/>
    <w:rsid w:val="1C705992"/>
    <w:rsid w:val="1C7725CD"/>
    <w:rsid w:val="1C7B4336"/>
    <w:rsid w:val="1C88086E"/>
    <w:rsid w:val="1C8C20A0"/>
    <w:rsid w:val="1CF30371"/>
    <w:rsid w:val="1D0338A4"/>
    <w:rsid w:val="1D266CE1"/>
    <w:rsid w:val="1D3963AF"/>
    <w:rsid w:val="1D3D0FE5"/>
    <w:rsid w:val="1D6A673C"/>
    <w:rsid w:val="1D9247AE"/>
    <w:rsid w:val="1DB567EC"/>
    <w:rsid w:val="1DCE2972"/>
    <w:rsid w:val="1DE2466D"/>
    <w:rsid w:val="1DE779B1"/>
    <w:rsid w:val="1DEA1774"/>
    <w:rsid w:val="1DF51A98"/>
    <w:rsid w:val="1DF667FD"/>
    <w:rsid w:val="1E164317"/>
    <w:rsid w:val="1E340C41"/>
    <w:rsid w:val="1E3D060F"/>
    <w:rsid w:val="1E3F7D2E"/>
    <w:rsid w:val="1E4134E4"/>
    <w:rsid w:val="1E5062B3"/>
    <w:rsid w:val="1E523514"/>
    <w:rsid w:val="1E714A66"/>
    <w:rsid w:val="1E802593"/>
    <w:rsid w:val="1E8B6156"/>
    <w:rsid w:val="1EA703CC"/>
    <w:rsid w:val="1EB261AD"/>
    <w:rsid w:val="1EB7330C"/>
    <w:rsid w:val="1EFD7285"/>
    <w:rsid w:val="1F0A0FF3"/>
    <w:rsid w:val="1F226CEB"/>
    <w:rsid w:val="1F3C1B5B"/>
    <w:rsid w:val="1F572E39"/>
    <w:rsid w:val="1F5771FF"/>
    <w:rsid w:val="1F646BF6"/>
    <w:rsid w:val="1F6D7F66"/>
    <w:rsid w:val="1F74219C"/>
    <w:rsid w:val="1F817EB6"/>
    <w:rsid w:val="1F8C2A73"/>
    <w:rsid w:val="1F904124"/>
    <w:rsid w:val="1F996FAD"/>
    <w:rsid w:val="1FD55EF7"/>
    <w:rsid w:val="1FDF698A"/>
    <w:rsid w:val="1FE868A9"/>
    <w:rsid w:val="1FF93EF0"/>
    <w:rsid w:val="20034907"/>
    <w:rsid w:val="200A7EAB"/>
    <w:rsid w:val="20142AD8"/>
    <w:rsid w:val="20173E4B"/>
    <w:rsid w:val="20476A09"/>
    <w:rsid w:val="204E48BC"/>
    <w:rsid w:val="20653333"/>
    <w:rsid w:val="208921B3"/>
    <w:rsid w:val="20973DEB"/>
    <w:rsid w:val="20B26522"/>
    <w:rsid w:val="20B44310"/>
    <w:rsid w:val="20E701EC"/>
    <w:rsid w:val="211116EB"/>
    <w:rsid w:val="216133FC"/>
    <w:rsid w:val="21624D20"/>
    <w:rsid w:val="21703D3E"/>
    <w:rsid w:val="21BA76AF"/>
    <w:rsid w:val="21D56769"/>
    <w:rsid w:val="21E07116"/>
    <w:rsid w:val="21E52EF3"/>
    <w:rsid w:val="21FB5D7B"/>
    <w:rsid w:val="22015E94"/>
    <w:rsid w:val="220B1C3D"/>
    <w:rsid w:val="221D1D20"/>
    <w:rsid w:val="222B1251"/>
    <w:rsid w:val="22334A87"/>
    <w:rsid w:val="227635D6"/>
    <w:rsid w:val="2288155B"/>
    <w:rsid w:val="22BE6801"/>
    <w:rsid w:val="22C5665C"/>
    <w:rsid w:val="233500BF"/>
    <w:rsid w:val="23377FF7"/>
    <w:rsid w:val="233A0AA7"/>
    <w:rsid w:val="234A68AA"/>
    <w:rsid w:val="235B18DD"/>
    <w:rsid w:val="236B425F"/>
    <w:rsid w:val="23836192"/>
    <w:rsid w:val="23867F9F"/>
    <w:rsid w:val="23901F29"/>
    <w:rsid w:val="2395779C"/>
    <w:rsid w:val="239C0061"/>
    <w:rsid w:val="23B908A4"/>
    <w:rsid w:val="23E95BEF"/>
    <w:rsid w:val="23FD0064"/>
    <w:rsid w:val="243674C1"/>
    <w:rsid w:val="243E0123"/>
    <w:rsid w:val="244119C2"/>
    <w:rsid w:val="245375B0"/>
    <w:rsid w:val="24642C0A"/>
    <w:rsid w:val="2483647E"/>
    <w:rsid w:val="24AB32DF"/>
    <w:rsid w:val="24B22173"/>
    <w:rsid w:val="24B44889"/>
    <w:rsid w:val="24B95AD9"/>
    <w:rsid w:val="24BE24DA"/>
    <w:rsid w:val="24CF5825"/>
    <w:rsid w:val="24D663E6"/>
    <w:rsid w:val="24D77F2B"/>
    <w:rsid w:val="2513335E"/>
    <w:rsid w:val="257179DE"/>
    <w:rsid w:val="257A33DD"/>
    <w:rsid w:val="258B00E2"/>
    <w:rsid w:val="25A917A6"/>
    <w:rsid w:val="25BB5EA7"/>
    <w:rsid w:val="25BE27CC"/>
    <w:rsid w:val="25D9690F"/>
    <w:rsid w:val="25F74A5C"/>
    <w:rsid w:val="26190E48"/>
    <w:rsid w:val="2628662C"/>
    <w:rsid w:val="262D45DE"/>
    <w:rsid w:val="26404627"/>
    <w:rsid w:val="26451C3D"/>
    <w:rsid w:val="2668592C"/>
    <w:rsid w:val="26871DC8"/>
    <w:rsid w:val="26A53EF9"/>
    <w:rsid w:val="26A94201"/>
    <w:rsid w:val="26AC274F"/>
    <w:rsid w:val="26F15921"/>
    <w:rsid w:val="27044A29"/>
    <w:rsid w:val="271D34C8"/>
    <w:rsid w:val="274C2B57"/>
    <w:rsid w:val="275B723E"/>
    <w:rsid w:val="275D6B12"/>
    <w:rsid w:val="276142BF"/>
    <w:rsid w:val="27783712"/>
    <w:rsid w:val="27907362"/>
    <w:rsid w:val="279C24E3"/>
    <w:rsid w:val="27B5694E"/>
    <w:rsid w:val="282615FA"/>
    <w:rsid w:val="282A314C"/>
    <w:rsid w:val="28333E1D"/>
    <w:rsid w:val="283C7070"/>
    <w:rsid w:val="283E4B96"/>
    <w:rsid w:val="28454BD6"/>
    <w:rsid w:val="28455253"/>
    <w:rsid w:val="28551971"/>
    <w:rsid w:val="285B1C53"/>
    <w:rsid w:val="28754330"/>
    <w:rsid w:val="287C56BE"/>
    <w:rsid w:val="288527C5"/>
    <w:rsid w:val="289F7086"/>
    <w:rsid w:val="28B60BD0"/>
    <w:rsid w:val="28C32028"/>
    <w:rsid w:val="28CC490F"/>
    <w:rsid w:val="28D472A8"/>
    <w:rsid w:val="28DE40AA"/>
    <w:rsid w:val="28EF13A8"/>
    <w:rsid w:val="28EF7C3E"/>
    <w:rsid w:val="29345E77"/>
    <w:rsid w:val="29367F08"/>
    <w:rsid w:val="293935AF"/>
    <w:rsid w:val="294C65AD"/>
    <w:rsid w:val="29806583"/>
    <w:rsid w:val="298B3C4C"/>
    <w:rsid w:val="29B03871"/>
    <w:rsid w:val="29F26D24"/>
    <w:rsid w:val="2A0D0CC4"/>
    <w:rsid w:val="2A1060BE"/>
    <w:rsid w:val="2A15033F"/>
    <w:rsid w:val="2A1662C1"/>
    <w:rsid w:val="2A1C2CB5"/>
    <w:rsid w:val="2A1C7367"/>
    <w:rsid w:val="2A2815FA"/>
    <w:rsid w:val="2A443FBA"/>
    <w:rsid w:val="2A677DE2"/>
    <w:rsid w:val="2A6D6092"/>
    <w:rsid w:val="2A6F54DA"/>
    <w:rsid w:val="2A7D76B4"/>
    <w:rsid w:val="2A8B7E3A"/>
    <w:rsid w:val="2A9D36CA"/>
    <w:rsid w:val="2AAE58D7"/>
    <w:rsid w:val="2B437463"/>
    <w:rsid w:val="2B7807EE"/>
    <w:rsid w:val="2BA50BF7"/>
    <w:rsid w:val="2BBD2276"/>
    <w:rsid w:val="2BBF00EC"/>
    <w:rsid w:val="2BC01D66"/>
    <w:rsid w:val="2BC37CFD"/>
    <w:rsid w:val="2BD5237F"/>
    <w:rsid w:val="2BE536CE"/>
    <w:rsid w:val="2BE758D9"/>
    <w:rsid w:val="2BE94E19"/>
    <w:rsid w:val="2C09049E"/>
    <w:rsid w:val="2C0A653C"/>
    <w:rsid w:val="2C0B2FE1"/>
    <w:rsid w:val="2C191F85"/>
    <w:rsid w:val="2C8114F5"/>
    <w:rsid w:val="2C83526D"/>
    <w:rsid w:val="2C866B0B"/>
    <w:rsid w:val="2CDF446E"/>
    <w:rsid w:val="2CE82D6F"/>
    <w:rsid w:val="2D1E6D44"/>
    <w:rsid w:val="2D2C76B3"/>
    <w:rsid w:val="2D343236"/>
    <w:rsid w:val="2D55028C"/>
    <w:rsid w:val="2DBD030B"/>
    <w:rsid w:val="2DD15014"/>
    <w:rsid w:val="2DF72DE4"/>
    <w:rsid w:val="2DF83A39"/>
    <w:rsid w:val="2E0220AF"/>
    <w:rsid w:val="2E4B082A"/>
    <w:rsid w:val="2E505623"/>
    <w:rsid w:val="2E536EC1"/>
    <w:rsid w:val="2E5D4E86"/>
    <w:rsid w:val="2E5D790B"/>
    <w:rsid w:val="2E9A3C18"/>
    <w:rsid w:val="2EBB0FEE"/>
    <w:rsid w:val="2EC63002"/>
    <w:rsid w:val="2F0A6B38"/>
    <w:rsid w:val="2F7E7F6E"/>
    <w:rsid w:val="2F946CCB"/>
    <w:rsid w:val="2FD25781"/>
    <w:rsid w:val="2FDC745C"/>
    <w:rsid w:val="2FFD7934"/>
    <w:rsid w:val="3068449A"/>
    <w:rsid w:val="306929CC"/>
    <w:rsid w:val="30733ACD"/>
    <w:rsid w:val="308C3862"/>
    <w:rsid w:val="309379D8"/>
    <w:rsid w:val="30A270F7"/>
    <w:rsid w:val="30A414E1"/>
    <w:rsid w:val="30A92DC8"/>
    <w:rsid w:val="30AA14F8"/>
    <w:rsid w:val="30AE6544"/>
    <w:rsid w:val="30DF1478"/>
    <w:rsid w:val="30DF67EA"/>
    <w:rsid w:val="30EC586F"/>
    <w:rsid w:val="310F3573"/>
    <w:rsid w:val="311B7F4D"/>
    <w:rsid w:val="319A665C"/>
    <w:rsid w:val="319C6071"/>
    <w:rsid w:val="31A11ECE"/>
    <w:rsid w:val="31A32590"/>
    <w:rsid w:val="31A84DF3"/>
    <w:rsid w:val="31AC537E"/>
    <w:rsid w:val="31C11945"/>
    <w:rsid w:val="31E3679B"/>
    <w:rsid w:val="31E732FD"/>
    <w:rsid w:val="32146967"/>
    <w:rsid w:val="32270449"/>
    <w:rsid w:val="32517576"/>
    <w:rsid w:val="32713DBA"/>
    <w:rsid w:val="32974BE6"/>
    <w:rsid w:val="329B4993"/>
    <w:rsid w:val="32B36180"/>
    <w:rsid w:val="32BE5C2C"/>
    <w:rsid w:val="32C959A4"/>
    <w:rsid w:val="32D63C1D"/>
    <w:rsid w:val="32DC56D7"/>
    <w:rsid w:val="32FB6478"/>
    <w:rsid w:val="33174961"/>
    <w:rsid w:val="332410BB"/>
    <w:rsid w:val="33263B3F"/>
    <w:rsid w:val="33446DD8"/>
    <w:rsid w:val="33591934"/>
    <w:rsid w:val="336963EB"/>
    <w:rsid w:val="33816EEB"/>
    <w:rsid w:val="33EB55CD"/>
    <w:rsid w:val="33EC4C02"/>
    <w:rsid w:val="340D2360"/>
    <w:rsid w:val="3410665D"/>
    <w:rsid w:val="34211214"/>
    <w:rsid w:val="342E63AB"/>
    <w:rsid w:val="3453206A"/>
    <w:rsid w:val="346C0259"/>
    <w:rsid w:val="34727975"/>
    <w:rsid w:val="34950E68"/>
    <w:rsid w:val="34986E94"/>
    <w:rsid w:val="34AF62C9"/>
    <w:rsid w:val="34CB4388"/>
    <w:rsid w:val="34F62A5A"/>
    <w:rsid w:val="34FA6E12"/>
    <w:rsid w:val="354D7158"/>
    <w:rsid w:val="35610116"/>
    <w:rsid w:val="35847960"/>
    <w:rsid w:val="358D5588"/>
    <w:rsid w:val="35B244CD"/>
    <w:rsid w:val="362B1327"/>
    <w:rsid w:val="363A3B40"/>
    <w:rsid w:val="365302AE"/>
    <w:rsid w:val="36590DED"/>
    <w:rsid w:val="36607A0A"/>
    <w:rsid w:val="366E227C"/>
    <w:rsid w:val="366F2E0D"/>
    <w:rsid w:val="367B6A5C"/>
    <w:rsid w:val="368C1C21"/>
    <w:rsid w:val="368D0A96"/>
    <w:rsid w:val="36A74ADA"/>
    <w:rsid w:val="36AA5AEC"/>
    <w:rsid w:val="36AD60D5"/>
    <w:rsid w:val="36B224F9"/>
    <w:rsid w:val="36B52864"/>
    <w:rsid w:val="36EC0CC9"/>
    <w:rsid w:val="373F410B"/>
    <w:rsid w:val="37533A8E"/>
    <w:rsid w:val="379D15D1"/>
    <w:rsid w:val="37EE7094"/>
    <w:rsid w:val="38296C89"/>
    <w:rsid w:val="383002EB"/>
    <w:rsid w:val="38586797"/>
    <w:rsid w:val="38BC0149"/>
    <w:rsid w:val="38D87D1C"/>
    <w:rsid w:val="39636459"/>
    <w:rsid w:val="396B7F6C"/>
    <w:rsid w:val="39B417A9"/>
    <w:rsid w:val="39D864CC"/>
    <w:rsid w:val="39FC5695"/>
    <w:rsid w:val="3A006D8E"/>
    <w:rsid w:val="3A204F94"/>
    <w:rsid w:val="3A2D05C6"/>
    <w:rsid w:val="3A3651E5"/>
    <w:rsid w:val="3A66393D"/>
    <w:rsid w:val="3A6F6E31"/>
    <w:rsid w:val="3A744481"/>
    <w:rsid w:val="3A8C7BEF"/>
    <w:rsid w:val="3A906246"/>
    <w:rsid w:val="3A9E536B"/>
    <w:rsid w:val="3AAF547F"/>
    <w:rsid w:val="3AC56A51"/>
    <w:rsid w:val="3AF64E5C"/>
    <w:rsid w:val="3B2349B7"/>
    <w:rsid w:val="3B616CFF"/>
    <w:rsid w:val="3B6259F6"/>
    <w:rsid w:val="3B726B20"/>
    <w:rsid w:val="3B844B5E"/>
    <w:rsid w:val="3B976654"/>
    <w:rsid w:val="3BC01EFC"/>
    <w:rsid w:val="3BC431AC"/>
    <w:rsid w:val="3BCA786A"/>
    <w:rsid w:val="3BD31E2F"/>
    <w:rsid w:val="3BF15831"/>
    <w:rsid w:val="3BF5780A"/>
    <w:rsid w:val="3C105946"/>
    <w:rsid w:val="3C34763D"/>
    <w:rsid w:val="3C471448"/>
    <w:rsid w:val="3C5F759A"/>
    <w:rsid w:val="3C6851A9"/>
    <w:rsid w:val="3C6C525A"/>
    <w:rsid w:val="3C88242C"/>
    <w:rsid w:val="3CCE23CB"/>
    <w:rsid w:val="3CD17D17"/>
    <w:rsid w:val="3CE024D8"/>
    <w:rsid w:val="3CF8368D"/>
    <w:rsid w:val="3D3C7F39"/>
    <w:rsid w:val="3D440F09"/>
    <w:rsid w:val="3D4504A0"/>
    <w:rsid w:val="3D8734BB"/>
    <w:rsid w:val="3D9428D0"/>
    <w:rsid w:val="3D9655B0"/>
    <w:rsid w:val="3D9A11D4"/>
    <w:rsid w:val="3DA16D89"/>
    <w:rsid w:val="3DA364BE"/>
    <w:rsid w:val="3DE041CB"/>
    <w:rsid w:val="3E0D48F6"/>
    <w:rsid w:val="3E1868B4"/>
    <w:rsid w:val="3E1A70B4"/>
    <w:rsid w:val="3E377251"/>
    <w:rsid w:val="3E42664B"/>
    <w:rsid w:val="3E5A7334"/>
    <w:rsid w:val="3E61098C"/>
    <w:rsid w:val="3E72445E"/>
    <w:rsid w:val="3E7B5D6B"/>
    <w:rsid w:val="3E843E66"/>
    <w:rsid w:val="3E8F51FE"/>
    <w:rsid w:val="3E926F87"/>
    <w:rsid w:val="3E976BD1"/>
    <w:rsid w:val="3E9A59DE"/>
    <w:rsid w:val="3EAF4836"/>
    <w:rsid w:val="3EC33DFA"/>
    <w:rsid w:val="3F060E16"/>
    <w:rsid w:val="3F1D1096"/>
    <w:rsid w:val="3F2D2E17"/>
    <w:rsid w:val="3F2F0234"/>
    <w:rsid w:val="3F422D66"/>
    <w:rsid w:val="3F6363FE"/>
    <w:rsid w:val="3F756B8F"/>
    <w:rsid w:val="3F95482B"/>
    <w:rsid w:val="3FC6654B"/>
    <w:rsid w:val="3FF34060"/>
    <w:rsid w:val="4019356B"/>
    <w:rsid w:val="40592157"/>
    <w:rsid w:val="406B3BF6"/>
    <w:rsid w:val="406E1CAE"/>
    <w:rsid w:val="40A0133A"/>
    <w:rsid w:val="40B97058"/>
    <w:rsid w:val="40C31A53"/>
    <w:rsid w:val="40C66057"/>
    <w:rsid w:val="40CE2A45"/>
    <w:rsid w:val="40FF545D"/>
    <w:rsid w:val="410067C8"/>
    <w:rsid w:val="410A340F"/>
    <w:rsid w:val="414A4154"/>
    <w:rsid w:val="416176D3"/>
    <w:rsid w:val="416B7C26"/>
    <w:rsid w:val="41766CF7"/>
    <w:rsid w:val="418F0D2A"/>
    <w:rsid w:val="41D01505"/>
    <w:rsid w:val="41E579D9"/>
    <w:rsid w:val="4202058A"/>
    <w:rsid w:val="42165DE4"/>
    <w:rsid w:val="421A468E"/>
    <w:rsid w:val="42474939"/>
    <w:rsid w:val="424C3C57"/>
    <w:rsid w:val="42500858"/>
    <w:rsid w:val="42613FF3"/>
    <w:rsid w:val="42660D96"/>
    <w:rsid w:val="428667D2"/>
    <w:rsid w:val="42CD1CE0"/>
    <w:rsid w:val="42E1381E"/>
    <w:rsid w:val="42ED6459"/>
    <w:rsid w:val="42FE58DD"/>
    <w:rsid w:val="43174B3D"/>
    <w:rsid w:val="43454BD3"/>
    <w:rsid w:val="434B790E"/>
    <w:rsid w:val="435B4094"/>
    <w:rsid w:val="4360274F"/>
    <w:rsid w:val="439671DC"/>
    <w:rsid w:val="43977AB6"/>
    <w:rsid w:val="439E42E3"/>
    <w:rsid w:val="43A3342B"/>
    <w:rsid w:val="43C77C27"/>
    <w:rsid w:val="43DE09EE"/>
    <w:rsid w:val="44002FAD"/>
    <w:rsid w:val="441C37AA"/>
    <w:rsid w:val="449101DD"/>
    <w:rsid w:val="44DE1391"/>
    <w:rsid w:val="451B225C"/>
    <w:rsid w:val="452410C9"/>
    <w:rsid w:val="45317DFB"/>
    <w:rsid w:val="456357E4"/>
    <w:rsid w:val="456A747C"/>
    <w:rsid w:val="456D3CE4"/>
    <w:rsid w:val="4579042C"/>
    <w:rsid w:val="45795008"/>
    <w:rsid w:val="457F0571"/>
    <w:rsid w:val="45851176"/>
    <w:rsid w:val="459B6D2C"/>
    <w:rsid w:val="45C55BC2"/>
    <w:rsid w:val="45C63B94"/>
    <w:rsid w:val="45DE130F"/>
    <w:rsid w:val="460E7DA5"/>
    <w:rsid w:val="46422483"/>
    <w:rsid w:val="46440B86"/>
    <w:rsid w:val="4659254A"/>
    <w:rsid w:val="465B0637"/>
    <w:rsid w:val="465E3F0D"/>
    <w:rsid w:val="466A16E6"/>
    <w:rsid w:val="46853538"/>
    <w:rsid w:val="46893F2B"/>
    <w:rsid w:val="46C027C2"/>
    <w:rsid w:val="46C444E6"/>
    <w:rsid w:val="46C4686E"/>
    <w:rsid w:val="46C95B1B"/>
    <w:rsid w:val="476F4F18"/>
    <w:rsid w:val="47781E40"/>
    <w:rsid w:val="477B778F"/>
    <w:rsid w:val="478203EC"/>
    <w:rsid w:val="479F672B"/>
    <w:rsid w:val="47B025FA"/>
    <w:rsid w:val="47B440D5"/>
    <w:rsid w:val="47D12ED9"/>
    <w:rsid w:val="4809698F"/>
    <w:rsid w:val="4811697D"/>
    <w:rsid w:val="487A3E25"/>
    <w:rsid w:val="488B5503"/>
    <w:rsid w:val="48937E21"/>
    <w:rsid w:val="489A0361"/>
    <w:rsid w:val="48A8102D"/>
    <w:rsid w:val="48B94FF3"/>
    <w:rsid w:val="48CC18F2"/>
    <w:rsid w:val="48E37AAB"/>
    <w:rsid w:val="48FD4B4C"/>
    <w:rsid w:val="49042E3A"/>
    <w:rsid w:val="490A68E0"/>
    <w:rsid w:val="491055FE"/>
    <w:rsid w:val="491F1A22"/>
    <w:rsid w:val="495A0CAC"/>
    <w:rsid w:val="495F5B3E"/>
    <w:rsid w:val="496F77D7"/>
    <w:rsid w:val="497654FD"/>
    <w:rsid w:val="497D499A"/>
    <w:rsid w:val="49B64211"/>
    <w:rsid w:val="49BF6D61"/>
    <w:rsid w:val="49C20D29"/>
    <w:rsid w:val="49D41AAC"/>
    <w:rsid w:val="49F6167F"/>
    <w:rsid w:val="49FA6AE9"/>
    <w:rsid w:val="4A064FA0"/>
    <w:rsid w:val="4A16615C"/>
    <w:rsid w:val="4A25750C"/>
    <w:rsid w:val="4A4424D7"/>
    <w:rsid w:val="4A4C4A99"/>
    <w:rsid w:val="4A62606A"/>
    <w:rsid w:val="4AB82D0F"/>
    <w:rsid w:val="4AE90539"/>
    <w:rsid w:val="4AEB7664"/>
    <w:rsid w:val="4AFD7C19"/>
    <w:rsid w:val="4B056479"/>
    <w:rsid w:val="4B0567D1"/>
    <w:rsid w:val="4B1B446B"/>
    <w:rsid w:val="4B236AAE"/>
    <w:rsid w:val="4B2F799D"/>
    <w:rsid w:val="4B5C51AF"/>
    <w:rsid w:val="4B707271"/>
    <w:rsid w:val="4B944949"/>
    <w:rsid w:val="4B9739F7"/>
    <w:rsid w:val="4BA1205A"/>
    <w:rsid w:val="4BC52D55"/>
    <w:rsid w:val="4BEE2503"/>
    <w:rsid w:val="4BF076A6"/>
    <w:rsid w:val="4BF727EA"/>
    <w:rsid w:val="4C150FBA"/>
    <w:rsid w:val="4C1E06B7"/>
    <w:rsid w:val="4C245A30"/>
    <w:rsid w:val="4C787DC7"/>
    <w:rsid w:val="4C873696"/>
    <w:rsid w:val="4CB6685F"/>
    <w:rsid w:val="4CC367FE"/>
    <w:rsid w:val="4D077F3C"/>
    <w:rsid w:val="4D123355"/>
    <w:rsid w:val="4D1D271C"/>
    <w:rsid w:val="4D2A3B31"/>
    <w:rsid w:val="4D2B308B"/>
    <w:rsid w:val="4D312C52"/>
    <w:rsid w:val="4D796F0D"/>
    <w:rsid w:val="4D905305"/>
    <w:rsid w:val="4D964A72"/>
    <w:rsid w:val="4D9C1254"/>
    <w:rsid w:val="4D9E5B15"/>
    <w:rsid w:val="4DB72B71"/>
    <w:rsid w:val="4DE17BEE"/>
    <w:rsid w:val="4DFE254E"/>
    <w:rsid w:val="4E092CA1"/>
    <w:rsid w:val="4E793892"/>
    <w:rsid w:val="4E7A455F"/>
    <w:rsid w:val="4E800872"/>
    <w:rsid w:val="4EC569ED"/>
    <w:rsid w:val="4ED50EA1"/>
    <w:rsid w:val="4ED60DD5"/>
    <w:rsid w:val="4EEC050C"/>
    <w:rsid w:val="4F104EC3"/>
    <w:rsid w:val="4F132029"/>
    <w:rsid w:val="4F47354A"/>
    <w:rsid w:val="4F4C553B"/>
    <w:rsid w:val="4F730D1A"/>
    <w:rsid w:val="4F911C54"/>
    <w:rsid w:val="4FB1539E"/>
    <w:rsid w:val="4FDC066D"/>
    <w:rsid w:val="4FE625E0"/>
    <w:rsid w:val="500110B1"/>
    <w:rsid w:val="5021480F"/>
    <w:rsid w:val="50373299"/>
    <w:rsid w:val="505C301C"/>
    <w:rsid w:val="508D5E0B"/>
    <w:rsid w:val="50962ECB"/>
    <w:rsid w:val="50A42E38"/>
    <w:rsid w:val="50A4577F"/>
    <w:rsid w:val="50B3232E"/>
    <w:rsid w:val="50B73D1F"/>
    <w:rsid w:val="50BD5BC9"/>
    <w:rsid w:val="50C11EEE"/>
    <w:rsid w:val="50E97CFC"/>
    <w:rsid w:val="50FA4028"/>
    <w:rsid w:val="510D65B7"/>
    <w:rsid w:val="511157AB"/>
    <w:rsid w:val="51271DBC"/>
    <w:rsid w:val="5142540C"/>
    <w:rsid w:val="518832C8"/>
    <w:rsid w:val="519D3C50"/>
    <w:rsid w:val="51A0432A"/>
    <w:rsid w:val="51A86090"/>
    <w:rsid w:val="51B7396D"/>
    <w:rsid w:val="51BF315D"/>
    <w:rsid w:val="51C615D4"/>
    <w:rsid w:val="522E4CC3"/>
    <w:rsid w:val="5244713B"/>
    <w:rsid w:val="52615633"/>
    <w:rsid w:val="52642B9B"/>
    <w:rsid w:val="526F4DE4"/>
    <w:rsid w:val="52727066"/>
    <w:rsid w:val="52977FD4"/>
    <w:rsid w:val="52A01E26"/>
    <w:rsid w:val="52A25790"/>
    <w:rsid w:val="52A96B6F"/>
    <w:rsid w:val="52B45975"/>
    <w:rsid w:val="52D94AA4"/>
    <w:rsid w:val="52EA3A62"/>
    <w:rsid w:val="52F50BB8"/>
    <w:rsid w:val="53097272"/>
    <w:rsid w:val="532C658B"/>
    <w:rsid w:val="534C1537"/>
    <w:rsid w:val="534E7AD3"/>
    <w:rsid w:val="53544462"/>
    <w:rsid w:val="536820BE"/>
    <w:rsid w:val="53911318"/>
    <w:rsid w:val="5397158E"/>
    <w:rsid w:val="53C102A5"/>
    <w:rsid w:val="53E325D5"/>
    <w:rsid w:val="53FA7313"/>
    <w:rsid w:val="54013861"/>
    <w:rsid w:val="54212AF2"/>
    <w:rsid w:val="54487265"/>
    <w:rsid w:val="544D6070"/>
    <w:rsid w:val="54605E1E"/>
    <w:rsid w:val="5486504B"/>
    <w:rsid w:val="54B3506A"/>
    <w:rsid w:val="54CA0D16"/>
    <w:rsid w:val="54DD4057"/>
    <w:rsid w:val="54E7490F"/>
    <w:rsid w:val="550764A4"/>
    <w:rsid w:val="550B2BF6"/>
    <w:rsid w:val="55172F00"/>
    <w:rsid w:val="55214EB5"/>
    <w:rsid w:val="552A3C28"/>
    <w:rsid w:val="55364EFD"/>
    <w:rsid w:val="555D4828"/>
    <w:rsid w:val="557A4C8B"/>
    <w:rsid w:val="558931E1"/>
    <w:rsid w:val="559002B6"/>
    <w:rsid w:val="55923347"/>
    <w:rsid w:val="55925180"/>
    <w:rsid w:val="55983B1B"/>
    <w:rsid w:val="55A25F6F"/>
    <w:rsid w:val="55A8376B"/>
    <w:rsid w:val="55DC29B6"/>
    <w:rsid w:val="55DD4241"/>
    <w:rsid w:val="55FF6E63"/>
    <w:rsid w:val="5621327D"/>
    <w:rsid w:val="56372AA1"/>
    <w:rsid w:val="566B6D1E"/>
    <w:rsid w:val="568D26C1"/>
    <w:rsid w:val="56955A19"/>
    <w:rsid w:val="569972B8"/>
    <w:rsid w:val="57032A2C"/>
    <w:rsid w:val="570F5219"/>
    <w:rsid w:val="572E78E5"/>
    <w:rsid w:val="575D12B5"/>
    <w:rsid w:val="57610A87"/>
    <w:rsid w:val="577B1140"/>
    <w:rsid w:val="577B7F21"/>
    <w:rsid w:val="577F181B"/>
    <w:rsid w:val="57921984"/>
    <w:rsid w:val="579737F0"/>
    <w:rsid w:val="57AB7B30"/>
    <w:rsid w:val="57AF5251"/>
    <w:rsid w:val="57B26373"/>
    <w:rsid w:val="57B63F04"/>
    <w:rsid w:val="57B65C47"/>
    <w:rsid w:val="57CA524F"/>
    <w:rsid w:val="57CD20C2"/>
    <w:rsid w:val="57D32355"/>
    <w:rsid w:val="57D675AB"/>
    <w:rsid w:val="57D95FDD"/>
    <w:rsid w:val="58353010"/>
    <w:rsid w:val="58917D2F"/>
    <w:rsid w:val="5894085C"/>
    <w:rsid w:val="58AE4F0C"/>
    <w:rsid w:val="58B85899"/>
    <w:rsid w:val="58BD6B62"/>
    <w:rsid w:val="58E363A9"/>
    <w:rsid w:val="58E97957"/>
    <w:rsid w:val="591702BF"/>
    <w:rsid w:val="591E264C"/>
    <w:rsid w:val="593E7CA2"/>
    <w:rsid w:val="59475365"/>
    <w:rsid w:val="595E1678"/>
    <w:rsid w:val="596C0CB3"/>
    <w:rsid w:val="596D5BD4"/>
    <w:rsid w:val="597E3DD8"/>
    <w:rsid w:val="59F80043"/>
    <w:rsid w:val="5A09252F"/>
    <w:rsid w:val="5A0B2778"/>
    <w:rsid w:val="5A2A7C7B"/>
    <w:rsid w:val="5A2E7D17"/>
    <w:rsid w:val="5A310179"/>
    <w:rsid w:val="5A3E2560"/>
    <w:rsid w:val="5A5D3B6E"/>
    <w:rsid w:val="5A637A76"/>
    <w:rsid w:val="5A6D33BA"/>
    <w:rsid w:val="5A792B1F"/>
    <w:rsid w:val="5A874767"/>
    <w:rsid w:val="5AA038A2"/>
    <w:rsid w:val="5AA85BE2"/>
    <w:rsid w:val="5AA93841"/>
    <w:rsid w:val="5AAD6F28"/>
    <w:rsid w:val="5ABE2749"/>
    <w:rsid w:val="5AD63A24"/>
    <w:rsid w:val="5AE51A4D"/>
    <w:rsid w:val="5B0311A3"/>
    <w:rsid w:val="5B0B0058"/>
    <w:rsid w:val="5B1C04B7"/>
    <w:rsid w:val="5B2E1A1D"/>
    <w:rsid w:val="5B843A1C"/>
    <w:rsid w:val="5B873E3F"/>
    <w:rsid w:val="5BA81D4B"/>
    <w:rsid w:val="5BD82630"/>
    <w:rsid w:val="5C02690E"/>
    <w:rsid w:val="5C196DA7"/>
    <w:rsid w:val="5C1E3DBB"/>
    <w:rsid w:val="5C2A048C"/>
    <w:rsid w:val="5C4D2220"/>
    <w:rsid w:val="5C712EAE"/>
    <w:rsid w:val="5C80234E"/>
    <w:rsid w:val="5C8A680C"/>
    <w:rsid w:val="5C98591B"/>
    <w:rsid w:val="5CC46711"/>
    <w:rsid w:val="5CD54DC2"/>
    <w:rsid w:val="5CD6563D"/>
    <w:rsid w:val="5D017965"/>
    <w:rsid w:val="5D0C4701"/>
    <w:rsid w:val="5D0F0395"/>
    <w:rsid w:val="5D221076"/>
    <w:rsid w:val="5D397964"/>
    <w:rsid w:val="5D447851"/>
    <w:rsid w:val="5D526412"/>
    <w:rsid w:val="5D5A391C"/>
    <w:rsid w:val="5D5F10C0"/>
    <w:rsid w:val="5D790E2F"/>
    <w:rsid w:val="5D891B7B"/>
    <w:rsid w:val="5DAD38EE"/>
    <w:rsid w:val="5DE54B90"/>
    <w:rsid w:val="5E006862"/>
    <w:rsid w:val="5E0207B9"/>
    <w:rsid w:val="5E1834A1"/>
    <w:rsid w:val="5E261785"/>
    <w:rsid w:val="5E4A7017"/>
    <w:rsid w:val="5E552BBA"/>
    <w:rsid w:val="5E611C10"/>
    <w:rsid w:val="5E6E102A"/>
    <w:rsid w:val="5E766130"/>
    <w:rsid w:val="5E7A0F3F"/>
    <w:rsid w:val="5E84084D"/>
    <w:rsid w:val="5E8B1BDC"/>
    <w:rsid w:val="5E8C14B0"/>
    <w:rsid w:val="5E9F7435"/>
    <w:rsid w:val="5EFC7377"/>
    <w:rsid w:val="5F06174D"/>
    <w:rsid w:val="5F20741E"/>
    <w:rsid w:val="5F3A3602"/>
    <w:rsid w:val="5F45733B"/>
    <w:rsid w:val="5F6277C6"/>
    <w:rsid w:val="5F6D0B1D"/>
    <w:rsid w:val="5F7C7776"/>
    <w:rsid w:val="5F8D0B82"/>
    <w:rsid w:val="5F9C5723"/>
    <w:rsid w:val="5FCC5339"/>
    <w:rsid w:val="5FD70E51"/>
    <w:rsid w:val="5FE34A5B"/>
    <w:rsid w:val="5FF90DC7"/>
    <w:rsid w:val="5FFE1E36"/>
    <w:rsid w:val="60232584"/>
    <w:rsid w:val="607330CE"/>
    <w:rsid w:val="607720FA"/>
    <w:rsid w:val="60825176"/>
    <w:rsid w:val="609D7A68"/>
    <w:rsid w:val="609F2AC4"/>
    <w:rsid w:val="60C50CA9"/>
    <w:rsid w:val="60CC64DC"/>
    <w:rsid w:val="60E2116F"/>
    <w:rsid w:val="60FA2EE8"/>
    <w:rsid w:val="61054A27"/>
    <w:rsid w:val="610A52BC"/>
    <w:rsid w:val="610D059B"/>
    <w:rsid w:val="611D2366"/>
    <w:rsid w:val="6133789F"/>
    <w:rsid w:val="61354081"/>
    <w:rsid w:val="61421856"/>
    <w:rsid w:val="615227C4"/>
    <w:rsid w:val="61534507"/>
    <w:rsid w:val="615F3AC8"/>
    <w:rsid w:val="61654E3F"/>
    <w:rsid w:val="6182292A"/>
    <w:rsid w:val="619F7F92"/>
    <w:rsid w:val="61EB0BE3"/>
    <w:rsid w:val="61F94C26"/>
    <w:rsid w:val="62000E56"/>
    <w:rsid w:val="62126170"/>
    <w:rsid w:val="624F3E49"/>
    <w:rsid w:val="62632286"/>
    <w:rsid w:val="62885958"/>
    <w:rsid w:val="62B05356"/>
    <w:rsid w:val="62EA2C49"/>
    <w:rsid w:val="62F40B65"/>
    <w:rsid w:val="62FC2CFE"/>
    <w:rsid w:val="63024505"/>
    <w:rsid w:val="63316ACA"/>
    <w:rsid w:val="635600A5"/>
    <w:rsid w:val="635B1DB5"/>
    <w:rsid w:val="636522D0"/>
    <w:rsid w:val="63711FED"/>
    <w:rsid w:val="6381535B"/>
    <w:rsid w:val="63880DDC"/>
    <w:rsid w:val="638D750D"/>
    <w:rsid w:val="63AC6CC0"/>
    <w:rsid w:val="63D53536"/>
    <w:rsid w:val="63F024E1"/>
    <w:rsid w:val="63F0428F"/>
    <w:rsid w:val="63F23480"/>
    <w:rsid w:val="64055776"/>
    <w:rsid w:val="641F5B67"/>
    <w:rsid w:val="64240056"/>
    <w:rsid w:val="643E143A"/>
    <w:rsid w:val="64491666"/>
    <w:rsid w:val="648B6EEF"/>
    <w:rsid w:val="64C158BF"/>
    <w:rsid w:val="64CA1CB3"/>
    <w:rsid w:val="64CE2EAA"/>
    <w:rsid w:val="6522587A"/>
    <w:rsid w:val="65336B29"/>
    <w:rsid w:val="653C3090"/>
    <w:rsid w:val="654C7BEB"/>
    <w:rsid w:val="65854376"/>
    <w:rsid w:val="658767BE"/>
    <w:rsid w:val="65892531"/>
    <w:rsid w:val="65BA2DA7"/>
    <w:rsid w:val="65BD2897"/>
    <w:rsid w:val="66195831"/>
    <w:rsid w:val="662621EA"/>
    <w:rsid w:val="662E75B1"/>
    <w:rsid w:val="66342C2E"/>
    <w:rsid w:val="663E784C"/>
    <w:rsid w:val="668B6A45"/>
    <w:rsid w:val="66B7400E"/>
    <w:rsid w:val="66C814F3"/>
    <w:rsid w:val="66CE5E35"/>
    <w:rsid w:val="67112C4A"/>
    <w:rsid w:val="672F3F24"/>
    <w:rsid w:val="673E055F"/>
    <w:rsid w:val="6747678F"/>
    <w:rsid w:val="67513297"/>
    <w:rsid w:val="67551CE3"/>
    <w:rsid w:val="67A22552"/>
    <w:rsid w:val="67B22DCC"/>
    <w:rsid w:val="67BE71AA"/>
    <w:rsid w:val="67CF7323"/>
    <w:rsid w:val="67D90273"/>
    <w:rsid w:val="67DE5875"/>
    <w:rsid w:val="67E03A86"/>
    <w:rsid w:val="67E55852"/>
    <w:rsid w:val="67EB1AB4"/>
    <w:rsid w:val="67FA1285"/>
    <w:rsid w:val="68185632"/>
    <w:rsid w:val="681F5143"/>
    <w:rsid w:val="68551F4F"/>
    <w:rsid w:val="687C10C9"/>
    <w:rsid w:val="68840C16"/>
    <w:rsid w:val="68876EFB"/>
    <w:rsid w:val="68884654"/>
    <w:rsid w:val="689F444F"/>
    <w:rsid w:val="68B96DBB"/>
    <w:rsid w:val="68CA2805"/>
    <w:rsid w:val="68E937A3"/>
    <w:rsid w:val="68FB149A"/>
    <w:rsid w:val="690507DD"/>
    <w:rsid w:val="690F6F65"/>
    <w:rsid w:val="69164798"/>
    <w:rsid w:val="693E15D3"/>
    <w:rsid w:val="694729C8"/>
    <w:rsid w:val="69627681"/>
    <w:rsid w:val="6977531D"/>
    <w:rsid w:val="697B0A9F"/>
    <w:rsid w:val="698711F2"/>
    <w:rsid w:val="699658D9"/>
    <w:rsid w:val="69CC2BFF"/>
    <w:rsid w:val="69FD55B8"/>
    <w:rsid w:val="6A0740E0"/>
    <w:rsid w:val="6A0B1C62"/>
    <w:rsid w:val="6A2406C8"/>
    <w:rsid w:val="6A3B7666"/>
    <w:rsid w:val="6A416E23"/>
    <w:rsid w:val="6A5512F0"/>
    <w:rsid w:val="6A9A1ADF"/>
    <w:rsid w:val="6ADE0BD1"/>
    <w:rsid w:val="6AE81378"/>
    <w:rsid w:val="6AE96859"/>
    <w:rsid w:val="6B147746"/>
    <w:rsid w:val="6B24787C"/>
    <w:rsid w:val="6B2F38EF"/>
    <w:rsid w:val="6B3B2294"/>
    <w:rsid w:val="6B3D24B0"/>
    <w:rsid w:val="6B4849B1"/>
    <w:rsid w:val="6B573233"/>
    <w:rsid w:val="6B5B6274"/>
    <w:rsid w:val="6B935D53"/>
    <w:rsid w:val="6BD77B89"/>
    <w:rsid w:val="6C1316F7"/>
    <w:rsid w:val="6C196F71"/>
    <w:rsid w:val="6C226FCB"/>
    <w:rsid w:val="6C31226F"/>
    <w:rsid w:val="6C336341"/>
    <w:rsid w:val="6C517EC7"/>
    <w:rsid w:val="6C552F0B"/>
    <w:rsid w:val="6C8C67B7"/>
    <w:rsid w:val="6C9D744C"/>
    <w:rsid w:val="6CA722BF"/>
    <w:rsid w:val="6CA81BAB"/>
    <w:rsid w:val="6CC85DA9"/>
    <w:rsid w:val="6D0A25E7"/>
    <w:rsid w:val="6D167928"/>
    <w:rsid w:val="6D204AE0"/>
    <w:rsid w:val="6D26299B"/>
    <w:rsid w:val="6D4772EC"/>
    <w:rsid w:val="6D4C4C2C"/>
    <w:rsid w:val="6D611D5A"/>
    <w:rsid w:val="6D8F6F5F"/>
    <w:rsid w:val="6D9078AF"/>
    <w:rsid w:val="6D9B526C"/>
    <w:rsid w:val="6DAA3FEF"/>
    <w:rsid w:val="6DC0172B"/>
    <w:rsid w:val="6DCB690C"/>
    <w:rsid w:val="6DD41A5B"/>
    <w:rsid w:val="6DE244E6"/>
    <w:rsid w:val="6DF43C2E"/>
    <w:rsid w:val="6DF51CA3"/>
    <w:rsid w:val="6E296D1B"/>
    <w:rsid w:val="6E533D98"/>
    <w:rsid w:val="6E764468"/>
    <w:rsid w:val="6E8335BD"/>
    <w:rsid w:val="6E8E12EF"/>
    <w:rsid w:val="6E972936"/>
    <w:rsid w:val="6EAD16FA"/>
    <w:rsid w:val="6EBD1212"/>
    <w:rsid w:val="6ED446C5"/>
    <w:rsid w:val="6F2A2D4B"/>
    <w:rsid w:val="6F2A7D94"/>
    <w:rsid w:val="6F4B0F13"/>
    <w:rsid w:val="6F806E0F"/>
    <w:rsid w:val="6F8331F1"/>
    <w:rsid w:val="6FAE1A09"/>
    <w:rsid w:val="6FD75BF8"/>
    <w:rsid w:val="70425E72"/>
    <w:rsid w:val="7055204A"/>
    <w:rsid w:val="70673B2B"/>
    <w:rsid w:val="707723D0"/>
    <w:rsid w:val="70B0102E"/>
    <w:rsid w:val="70F5661B"/>
    <w:rsid w:val="70FA499F"/>
    <w:rsid w:val="71213CDA"/>
    <w:rsid w:val="71360107"/>
    <w:rsid w:val="713A123F"/>
    <w:rsid w:val="713B688E"/>
    <w:rsid w:val="7148279F"/>
    <w:rsid w:val="714D4ACF"/>
    <w:rsid w:val="716342F2"/>
    <w:rsid w:val="7189187F"/>
    <w:rsid w:val="71A36DE5"/>
    <w:rsid w:val="71C97962"/>
    <w:rsid w:val="71D43752"/>
    <w:rsid w:val="71DB657E"/>
    <w:rsid w:val="71F1796A"/>
    <w:rsid w:val="71FB63D5"/>
    <w:rsid w:val="72154626"/>
    <w:rsid w:val="72262B5D"/>
    <w:rsid w:val="72283FF7"/>
    <w:rsid w:val="722E7212"/>
    <w:rsid w:val="723A0474"/>
    <w:rsid w:val="725923E4"/>
    <w:rsid w:val="72864BF7"/>
    <w:rsid w:val="729023FC"/>
    <w:rsid w:val="72A4291F"/>
    <w:rsid w:val="72E41463"/>
    <w:rsid w:val="7315161C"/>
    <w:rsid w:val="734E4B2E"/>
    <w:rsid w:val="73726A6F"/>
    <w:rsid w:val="73AB1F81"/>
    <w:rsid w:val="73C0646E"/>
    <w:rsid w:val="73DC62CA"/>
    <w:rsid w:val="740C316E"/>
    <w:rsid w:val="742222F5"/>
    <w:rsid w:val="74476126"/>
    <w:rsid w:val="74706664"/>
    <w:rsid w:val="747F3682"/>
    <w:rsid w:val="749C4185"/>
    <w:rsid w:val="74B51309"/>
    <w:rsid w:val="75067759"/>
    <w:rsid w:val="752244C4"/>
    <w:rsid w:val="752E6DCD"/>
    <w:rsid w:val="7551380D"/>
    <w:rsid w:val="755C79D6"/>
    <w:rsid w:val="755D394A"/>
    <w:rsid w:val="75600BE5"/>
    <w:rsid w:val="7564475C"/>
    <w:rsid w:val="7583797F"/>
    <w:rsid w:val="75D20F1D"/>
    <w:rsid w:val="75DA2C18"/>
    <w:rsid w:val="75E874BC"/>
    <w:rsid w:val="75F54412"/>
    <w:rsid w:val="761D08E0"/>
    <w:rsid w:val="76524935"/>
    <w:rsid w:val="765D347C"/>
    <w:rsid w:val="767D5E56"/>
    <w:rsid w:val="76826699"/>
    <w:rsid w:val="769211D6"/>
    <w:rsid w:val="76A809F9"/>
    <w:rsid w:val="76B64EC4"/>
    <w:rsid w:val="76C87133"/>
    <w:rsid w:val="76CD08D5"/>
    <w:rsid w:val="76DB4B92"/>
    <w:rsid w:val="76F65C09"/>
    <w:rsid w:val="77052AA4"/>
    <w:rsid w:val="77136511"/>
    <w:rsid w:val="77340A39"/>
    <w:rsid w:val="77343124"/>
    <w:rsid w:val="77351FD0"/>
    <w:rsid w:val="77472422"/>
    <w:rsid w:val="775C1F10"/>
    <w:rsid w:val="777F31F2"/>
    <w:rsid w:val="77876861"/>
    <w:rsid w:val="77CA01D6"/>
    <w:rsid w:val="77D1700D"/>
    <w:rsid w:val="77EC04CC"/>
    <w:rsid w:val="77F04406"/>
    <w:rsid w:val="77F51A1C"/>
    <w:rsid w:val="78136355"/>
    <w:rsid w:val="78775729"/>
    <w:rsid w:val="789254BD"/>
    <w:rsid w:val="78A42DB0"/>
    <w:rsid w:val="78A656AB"/>
    <w:rsid w:val="78B2245C"/>
    <w:rsid w:val="78DD0E2E"/>
    <w:rsid w:val="78E172CC"/>
    <w:rsid w:val="78EA1D1F"/>
    <w:rsid w:val="79036DC3"/>
    <w:rsid w:val="7904172F"/>
    <w:rsid w:val="790F7E27"/>
    <w:rsid w:val="791505C8"/>
    <w:rsid w:val="792A231A"/>
    <w:rsid w:val="79316829"/>
    <w:rsid w:val="797E66A9"/>
    <w:rsid w:val="798518A4"/>
    <w:rsid w:val="79924211"/>
    <w:rsid w:val="799F4335"/>
    <w:rsid w:val="79A97383"/>
    <w:rsid w:val="79E27E8B"/>
    <w:rsid w:val="79ED32F3"/>
    <w:rsid w:val="79F850CE"/>
    <w:rsid w:val="79FC3536"/>
    <w:rsid w:val="79FD443C"/>
    <w:rsid w:val="79FEE5E2"/>
    <w:rsid w:val="7A0917AF"/>
    <w:rsid w:val="7A1D1975"/>
    <w:rsid w:val="7A3E5150"/>
    <w:rsid w:val="7A4670D6"/>
    <w:rsid w:val="7A534B63"/>
    <w:rsid w:val="7A615382"/>
    <w:rsid w:val="7A67303B"/>
    <w:rsid w:val="7A6A04A0"/>
    <w:rsid w:val="7AAB1D04"/>
    <w:rsid w:val="7AB105BF"/>
    <w:rsid w:val="7ABA4368"/>
    <w:rsid w:val="7AC34054"/>
    <w:rsid w:val="7AD05746"/>
    <w:rsid w:val="7AFF6892"/>
    <w:rsid w:val="7B0F7299"/>
    <w:rsid w:val="7B1D7C08"/>
    <w:rsid w:val="7B257FFD"/>
    <w:rsid w:val="7B343476"/>
    <w:rsid w:val="7B5A2978"/>
    <w:rsid w:val="7B5A7E4C"/>
    <w:rsid w:val="7B667AF9"/>
    <w:rsid w:val="7B691288"/>
    <w:rsid w:val="7B6A2721"/>
    <w:rsid w:val="7B7468F8"/>
    <w:rsid w:val="7BAB5214"/>
    <w:rsid w:val="7BEB3862"/>
    <w:rsid w:val="7BEE0103"/>
    <w:rsid w:val="7C0A0FE4"/>
    <w:rsid w:val="7C254906"/>
    <w:rsid w:val="7C4D62CB"/>
    <w:rsid w:val="7C590818"/>
    <w:rsid w:val="7C792C1C"/>
    <w:rsid w:val="7C7C10F6"/>
    <w:rsid w:val="7C853BEA"/>
    <w:rsid w:val="7C881368"/>
    <w:rsid w:val="7CD564F7"/>
    <w:rsid w:val="7CE27788"/>
    <w:rsid w:val="7D0A475C"/>
    <w:rsid w:val="7D0C32F1"/>
    <w:rsid w:val="7D0F408D"/>
    <w:rsid w:val="7D2B2623"/>
    <w:rsid w:val="7D491C6C"/>
    <w:rsid w:val="7D5429C0"/>
    <w:rsid w:val="7D6513F2"/>
    <w:rsid w:val="7D6E64F9"/>
    <w:rsid w:val="7D6E6D43"/>
    <w:rsid w:val="7DA939D5"/>
    <w:rsid w:val="7DB57A34"/>
    <w:rsid w:val="7DE60973"/>
    <w:rsid w:val="7DEF0916"/>
    <w:rsid w:val="7DF54524"/>
    <w:rsid w:val="7E1E5218"/>
    <w:rsid w:val="7E266DD3"/>
    <w:rsid w:val="7E576F8D"/>
    <w:rsid w:val="7E6C679B"/>
    <w:rsid w:val="7E861620"/>
    <w:rsid w:val="7E9A4E1F"/>
    <w:rsid w:val="7EA321D2"/>
    <w:rsid w:val="7EA7723A"/>
    <w:rsid w:val="7EF078C3"/>
    <w:rsid w:val="7EF56FBB"/>
    <w:rsid w:val="7F0768EB"/>
    <w:rsid w:val="7F0C421B"/>
    <w:rsid w:val="7F143BEC"/>
    <w:rsid w:val="7F2E23E3"/>
    <w:rsid w:val="7F362021"/>
    <w:rsid w:val="7F480FCB"/>
    <w:rsid w:val="7F715AF2"/>
    <w:rsid w:val="7F7B47F9"/>
    <w:rsid w:val="7F886E69"/>
    <w:rsid w:val="7FEE3921"/>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Body Text First Indent 2"/>
    <w:basedOn w:val="25"/>
    <w:next w:val="1"/>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qFormat/>
    <w:uiPriority w:val="0"/>
    <w:rPr>
      <w:b/>
      <w:bCs/>
    </w:rPr>
  </w:style>
  <w:style w:type="paragraph" w:styleId="63">
    <w:name w:val="Body Text First Indent"/>
    <w:basedOn w:val="24"/>
    <w:next w:val="53"/>
    <w:link w:val="323"/>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38978</Words>
  <Characters>41128</Characters>
  <Lines>1</Lines>
  <Paragraphs>1</Paragraphs>
  <TotalTime>5</TotalTime>
  <ScaleCrop>false</ScaleCrop>
  <LinksUpToDate>false</LinksUpToDate>
  <CharactersWithSpaces>44001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2021-12-28T03:06:00Z</cp:lastPrinted>
  <dcterms:created xsi:type="dcterms:W3CDTF">2022-05-07T23:35:00Z</dcterms:created>
  <dcterms:modified xsi:type="dcterms:W3CDTF">2025-06-30T12:37:35Z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eyJoZGlkIjoiMzEwNTM5NzYwMDRjMzkwZTVkZjY2ODkwMGIxNGU0OTUiLCJ1c2VySWQiOiI0ODY2MTU3NDEifQ==</vt:lpwstr>
  </property>
</Properties>
</file>