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adjustRightInd/>
        <w:spacing w:line="24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绍兴市妇幼保健院医用推车采购项目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SXJHCG-2023-N0184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绍兴市妇幼保健院 </w:t>
            </w:r>
          </w:p>
        </w:tc>
      </w:tr>
      <w:tr>
        <w:tblPrEx>
          <w:tblCellMar>
            <w:top w:w="0" w:type="dxa"/>
            <w:left w:w="108" w:type="dxa"/>
            <w:bottom w:w="0" w:type="dxa"/>
            <w:right w:w="108" w:type="dxa"/>
          </w:tblCellMar>
        </w:tblPrEx>
        <w:trPr>
          <w:trHeight w:val="361"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pPr>
        <w:pStyle w:val="640"/>
        <w:rPr>
          <w:rFonts w:hint="eastAsia" w:ascii="仿宋" w:hAnsi="仿宋" w:eastAsia="仿宋" w:cs="仿宋"/>
          <w:color w:val="auto"/>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pPr>
        <w:spacing w:line="360" w:lineRule="auto"/>
        <w:jc w:val="center"/>
        <w:rPr>
          <w:rFonts w:hint="eastAsia" w:ascii="仿宋" w:hAnsi="仿宋" w:eastAsia="仿宋" w:cs="仿宋"/>
          <w:color w:val="auto"/>
          <w:sz w:val="24"/>
          <w:highlight w:val="none"/>
        </w:rPr>
      </w:pPr>
    </w:p>
    <w:p>
      <w:pPr>
        <w:pStyle w:val="114"/>
        <w:rPr>
          <w:rFonts w:hint="eastAsia" w:ascii="仿宋" w:hAnsi="仿宋" w:eastAsia="仿宋" w:cs="仿宋"/>
          <w:color w:val="auto"/>
          <w:sz w:val="24"/>
          <w:highlight w:val="none"/>
        </w:rPr>
      </w:pPr>
    </w:p>
    <w:p>
      <w:pPr>
        <w:pStyle w:val="114"/>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5" w:h="16838"/>
          <w:pgMar w:top="1480" w:right="1474" w:bottom="1559" w:left="1474" w:header="851" w:footer="992" w:gutter="0"/>
          <w:cols w:space="720" w:num="1"/>
          <w:titlePg/>
          <w:rtlGutter w:val="0"/>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绍兴市妇幼保健院医用推车采购项目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SXJHCG-2023-N0184</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绍兴市妇幼保健院医用推车采购项目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1220000.00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1220000.00</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绍兴市妇幼保健院医用推车采购项目</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预算金额（元）：1220000.00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1220000.00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2023年09月25日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2023年09月25日09点30分00秒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2023年09月25日09点30分00秒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越城区中兴南路95号中兴商务楼北6楼</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val="0"/>
          <w:bCs/>
          <w:color w:val="auto"/>
          <w:sz w:val="24"/>
          <w:szCs w:val="24"/>
          <w:highlight w:val="none"/>
          <w:u w:val="none"/>
          <w:lang w:val="en-US" w:eastAsia="zh-CN"/>
        </w:rPr>
      </w:pPr>
      <w:r>
        <w:rPr>
          <w:rFonts w:hint="eastAsia" w:ascii="仿宋" w:hAnsi="仿宋" w:eastAsia="仿宋" w:cs="仿宋"/>
          <w:b w:val="0"/>
          <w:bCs/>
          <w:color w:val="auto"/>
          <w:sz w:val="24"/>
          <w:szCs w:val="24"/>
          <w:highlight w:val="none"/>
          <w:u w:val="none"/>
          <w:lang w:val="en-US" w:eastAsia="zh-CN"/>
        </w:rPr>
        <w:fldChar w:fldCharType="begin"/>
      </w:r>
      <w:r>
        <w:rPr>
          <w:rFonts w:hint="eastAsia" w:ascii="仿宋" w:hAnsi="仿宋" w:eastAsia="仿宋" w:cs="仿宋"/>
          <w:b w:val="0"/>
          <w:bCs/>
          <w:color w:val="auto"/>
          <w:sz w:val="24"/>
          <w:szCs w:val="24"/>
          <w:highlight w:val="none"/>
          <w:u w:val="none"/>
          <w:lang w:val="en-US" w:eastAsia="zh-CN"/>
        </w:rPr>
        <w:instrText xml:space="preserve"> HYPERLINK "https://zfcg.czt.zj.gov.cn/luban/detail?categoryCode=ZcyAnnouncement&amp;parentId=600007&amp;articleId=VGgoK92VOScF2zqfjrN7yQ==&amp;utm=luban.luban-PC-36449.972-pc-websitegroup-zhejiang-mainSearchPage-front.1.738cae60303a11eea4e1fb304b77d05f" </w:instrText>
      </w:r>
      <w:r>
        <w:rPr>
          <w:rFonts w:hint="eastAsia" w:ascii="仿宋" w:hAnsi="仿宋" w:eastAsia="仿宋" w:cs="仿宋"/>
          <w:b w:val="0"/>
          <w:bCs/>
          <w:color w:val="auto"/>
          <w:sz w:val="24"/>
          <w:szCs w:val="24"/>
          <w:highlight w:val="none"/>
          <w:u w:val="none"/>
          <w:lang w:val="en-US" w:eastAsia="zh-CN"/>
        </w:rPr>
        <w:fldChar w:fldCharType="separate"/>
      </w:r>
      <w:r>
        <w:rPr>
          <w:rStyle w:val="76"/>
          <w:rFonts w:hint="eastAsia" w:ascii="仿宋" w:hAnsi="仿宋" w:eastAsia="仿宋" w:cs="仿宋"/>
          <w:b w:val="0"/>
          <w:bCs/>
          <w:sz w:val="24"/>
          <w:szCs w:val="24"/>
          <w:highlight w:val="none"/>
          <w:lang w:val="en-US" w:eastAsia="zh-CN"/>
        </w:rPr>
        <w:t>https://zfcg.czt.zj.gov.cn/luban/detail?categoryCode=ZcyAnnouncement&amp;parentId=600007&amp;articleId=VGgoK92VOScF2zqfjrN7yQ==&amp;utm=luban.luban-PC-36449.972-pc-websitegroup-zhejiang-mainSearchPage-front.1.738cae60303a11eea4e1fb304b77d05f</w:t>
      </w:r>
      <w:r>
        <w:rPr>
          <w:rFonts w:hint="eastAsia" w:ascii="仿宋" w:hAnsi="仿宋" w:eastAsia="仿宋" w:cs="仿宋"/>
          <w:b w:val="0"/>
          <w:bCs/>
          <w:color w:val="auto"/>
          <w:sz w:val="24"/>
          <w:szCs w:val="24"/>
          <w:highlight w:val="none"/>
          <w:u w:val="none"/>
          <w:lang w:val="en-US" w:eastAsia="zh-CN"/>
        </w:rPr>
        <w:fldChar w:fldCharType="end"/>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pPr>
        <w:spacing w:line="440" w:lineRule="exact"/>
        <w:ind w:firstLine="482" w:firstLineChars="200"/>
        <w:rPr>
          <w:rFonts w:hint="eastAsia" w:ascii="仿宋" w:hAnsi="仿宋" w:eastAsia="仿宋" w:cs="仿宋"/>
          <w:color w:val="auto"/>
          <w:sz w:val="24"/>
          <w:highlight w:val="none"/>
        </w:rPr>
      </w:pPr>
      <w:bookmarkStart w:id="11" w:name="_Toc28359019"/>
      <w:bookmarkStart w:id="12" w:name="_Toc35393806"/>
      <w:bookmarkStart w:id="13" w:name="_Toc28359096"/>
      <w:bookmarkStart w:id="14" w:name="_Toc35393637"/>
      <w:r>
        <w:rPr>
          <w:rFonts w:hint="eastAsia" w:ascii="仿宋" w:hAnsi="仿宋" w:eastAsia="仿宋" w:cs="仿宋"/>
          <w:b/>
          <w:bCs/>
          <w:color w:val="auto"/>
          <w:sz w:val="24"/>
          <w:highlight w:val="none"/>
        </w:rPr>
        <w:t>1.采购人信息</w:t>
      </w:r>
      <w:bookmarkEnd w:id="11"/>
      <w:bookmarkEnd w:id="12"/>
      <w:bookmarkEnd w:id="13"/>
      <w:bookmarkEnd w:id="14"/>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称：绍兴市妇幼保健院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址：绍兴市越城区东街305号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项目联系人（询问）：孔月华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项目联系方式（询问）：0575-85081491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质疑联系人：柳雯丽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质疑联系方式：0575-85081491</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val="en-US" w:eastAsia="zh-CN"/>
        </w:rPr>
        <w:t>绍兴市嘉华项目管理有限公司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w:t>
      </w:r>
      <w:r>
        <w:rPr>
          <w:rFonts w:hint="eastAsia" w:ascii="仿宋" w:hAnsi="仿宋" w:eastAsia="仿宋" w:cs="仿宋"/>
          <w:color w:val="auto"/>
          <w:sz w:val="24"/>
          <w:highlight w:val="none"/>
          <w:lang w:val="en-US" w:eastAsia="zh-CN"/>
        </w:rPr>
        <w:t xml:space="preserve">    址：绍兴市越城区中兴南路95号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28359098"/>
      <w:bookmarkStart w:id="16" w:name="_Toc28359021"/>
      <w:bookmarkStart w:id="17" w:name="_Toc35393808"/>
      <w:bookmarkStart w:id="18" w:name="_Toc35393639"/>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王菲尔、王品</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0575-85220681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杨华英</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0575-85209806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0575-85209806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详见招标项目范围及要求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详见招标项目范围及要求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w:t>
            </w: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_GB2312" w:hAnsi="仿宋" w:eastAsia="仿宋_GB2312" w:cs="Times New Roman"/>
                <w:color w:val="auto"/>
                <w:sz w:val="24"/>
                <w:highlight w:val="none"/>
                <w:u w:val="single"/>
                <w:lang w:val="en-US" w:eastAsia="zh-CN"/>
              </w:rPr>
              <w:t>提交投标文件截止时间之前</w:t>
            </w:r>
            <w:r>
              <w:rPr>
                <w:rFonts w:hint="eastAsia" w:ascii="仿宋" w:hAnsi="仿宋" w:eastAsia="仿宋" w:cs="仿宋"/>
                <w:color w:val="auto"/>
                <w:sz w:val="24"/>
                <w:highlight w:val="none"/>
                <w:u w:val="single"/>
              </w:rPr>
              <w:t xml:space="preserve"> </w:t>
            </w:r>
            <w:r>
              <w:rPr>
                <w:rFonts w:hint="eastAsia" w:ascii="仿宋" w:hAnsi="仿宋" w:eastAsia="仿宋" w:cs="仿宋"/>
                <w:kern w:val="0"/>
                <w:sz w:val="24"/>
                <w:highlight w:val="none"/>
              </w:rPr>
              <w:t>；地点：</w:t>
            </w:r>
            <w:r>
              <w:rPr>
                <w:rFonts w:hint="eastAsia" w:ascii="仿宋_GB2312" w:hAnsi="仿宋" w:eastAsia="仿宋_GB2312" w:cs="Times New Roman"/>
                <w:sz w:val="24"/>
                <w:highlight w:val="none"/>
                <w:u w:val="single"/>
                <w:lang w:eastAsia="zh-CN"/>
              </w:rPr>
              <w:t xml:space="preserve"> 绍兴市越城区</w:t>
            </w:r>
            <w:r>
              <w:rPr>
                <w:rFonts w:hint="eastAsia" w:ascii="仿宋_GB2312" w:hAnsi="仿宋" w:eastAsia="仿宋_GB2312" w:cs="Times New Roman"/>
                <w:sz w:val="24"/>
                <w:highlight w:val="none"/>
                <w:u w:val="single"/>
                <w:lang w:val="en-US" w:eastAsia="zh-CN"/>
              </w:rPr>
              <w:t>中兴南路95号中兴商务楼北6楼</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lang w:eastAsia="zh-CN"/>
              </w:rPr>
              <w:t>杨华英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lang w:eastAsia="zh-CN"/>
              </w:rPr>
              <w:t xml:space="preserve"> </w:t>
            </w:r>
            <w:r>
              <w:rPr>
                <w:rFonts w:hint="eastAsia" w:ascii="仿宋" w:hAnsi="仿宋" w:eastAsia="仿宋" w:cs="仿宋"/>
                <w:sz w:val="24"/>
                <w:highlight w:val="none"/>
                <w:u w:val="single"/>
                <w:lang w:val="en-US" w:eastAsia="zh-CN"/>
              </w:rPr>
              <w:t>18888705730</w:t>
            </w:r>
            <w:r>
              <w:rPr>
                <w:rFonts w:hint="eastAsia" w:ascii="仿宋" w:hAnsi="仿宋" w:eastAsia="仿宋" w:cs="仿宋"/>
                <w:sz w:val="24"/>
                <w:highlight w:val="none"/>
                <w:u w:val="single"/>
                <w:lang w:eastAsia="zh-CN"/>
              </w:rPr>
              <w:t xml:space="preserve"> </w:t>
            </w:r>
            <w:r>
              <w:rPr>
                <w:rFonts w:hint="eastAsia" w:ascii="仿宋" w:hAnsi="仿宋" w:eastAsia="仿宋" w:cs="仿宋"/>
                <w:sz w:val="24"/>
                <w:highlight w:val="none"/>
              </w:rPr>
              <w:t>。请投标人在上述时间内提供样品</w:t>
            </w:r>
            <w:r>
              <w:rPr>
                <w:rFonts w:hint="eastAsia" w:ascii="仿宋" w:hAnsi="仿宋" w:eastAsia="仿宋" w:cs="仿宋"/>
                <w:sz w:val="24"/>
                <w:highlight w:val="none"/>
                <w:lang w:eastAsia="zh-CN"/>
              </w:rPr>
              <w:t>（</w:t>
            </w:r>
            <w:r>
              <w:rPr>
                <w:rFonts w:hint="eastAsia" w:ascii="仿宋" w:hAnsi="仿宋" w:eastAsia="仿宋" w:cs="仿宋"/>
                <w:b w:val="0"/>
                <w:bCs/>
                <w:sz w:val="24"/>
                <w:highlight w:val="none"/>
                <w:lang w:eastAsia="zh-CN"/>
              </w:rPr>
              <w:t>样品须贴有标注投标人名称且加盖公章的标签</w:t>
            </w:r>
            <w:r>
              <w:rPr>
                <w:rFonts w:hint="eastAsia" w:ascii="仿宋" w:hAnsi="仿宋" w:eastAsia="仿宋" w:cs="仿宋"/>
                <w:sz w:val="24"/>
                <w:highlight w:val="none"/>
                <w:lang w:eastAsia="zh-CN"/>
              </w:rPr>
              <w:t>）</w:t>
            </w:r>
            <w:r>
              <w:rPr>
                <w:rFonts w:hint="eastAsia" w:ascii="仿宋" w:hAnsi="仿宋" w:eastAsia="仿宋" w:cs="仿宋"/>
                <w:sz w:val="24"/>
                <w:highlight w:val="none"/>
              </w:rPr>
              <w:t>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w:t>
            </w:r>
            <w:r>
              <w:rPr>
                <w:rFonts w:hint="eastAsia" w:ascii="仿宋" w:hAnsi="仿宋" w:eastAsia="仿宋" w:cs="仿宋"/>
                <w:sz w:val="24"/>
                <w:highlight w:val="none"/>
                <w:lang w:eastAsia="zh-CN"/>
              </w:rPr>
              <w:t>自行</w:t>
            </w:r>
            <w:r>
              <w:rPr>
                <w:rFonts w:hint="eastAsia" w:ascii="仿宋" w:hAnsi="仿宋" w:eastAsia="仿宋" w:cs="仿宋"/>
                <w:sz w:val="24"/>
                <w:highlight w:val="none"/>
              </w:rPr>
              <w:t>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大治疗车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中标服务费：</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w:t>
            </w:r>
            <w:r>
              <w:rPr>
                <w:rFonts w:hint="eastAsia" w:ascii="仿宋" w:hAnsi="仿宋" w:eastAsia="仿宋" w:cs="仿宋"/>
                <w:color w:val="auto"/>
                <w:sz w:val="24"/>
                <w:highlight w:val="none"/>
                <w:lang w:val="en-US" w:eastAsia="zh-CN"/>
              </w:rPr>
              <w:t>总</w:t>
            </w:r>
            <w:r>
              <w:rPr>
                <w:rFonts w:hint="eastAsia" w:ascii="仿宋" w:hAnsi="仿宋" w:eastAsia="仿宋" w:cs="仿宋"/>
                <w:color w:val="auto"/>
                <w:sz w:val="24"/>
                <w:highlight w:val="none"/>
              </w:rPr>
              <w:t>金额作为服务费的计算基数，具体比例参照《国家计委关于印发&lt;招标代理服务收费管理暂行办法&gt;的通知》（计价格[2002]1980号）文件收费标准50%执行；最终中标服务费收费标准以招标代理与业主签订的合同为准。本项目不足2000元，按2000元计算。</w:t>
            </w:r>
          </w:p>
          <w:p>
            <w:pPr>
              <w:spacing w:line="42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收费标准：100万元以下部分按1.5%计取，100万元-500万元部分按1.1%计取，500万元-1000万元部分按0.8%计取，1000万元-5000万元部分按0.5%计取。</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9" w:name="_Hlt75236290"/>
      <w:bookmarkEnd w:id="19"/>
      <w:bookmarkStart w:id="20" w:name="_Hlt68057669"/>
      <w:bookmarkEnd w:id="20"/>
      <w:bookmarkStart w:id="21" w:name="_Hlt75236101"/>
      <w:bookmarkEnd w:id="21"/>
      <w:bookmarkStart w:id="22" w:name="_Hlt68403820"/>
      <w:bookmarkEnd w:id="22"/>
      <w:bookmarkStart w:id="23" w:name="_Hlt68072998"/>
      <w:bookmarkEnd w:id="23"/>
      <w:bookmarkStart w:id="24" w:name="_Hlt75236011"/>
      <w:bookmarkEnd w:id="24"/>
      <w:bookmarkStart w:id="25" w:name="_Hlt68072990"/>
      <w:bookmarkEnd w:id="25"/>
      <w:bookmarkStart w:id="26" w:name="_Hlt74729768"/>
      <w:bookmarkEnd w:id="26"/>
      <w:bookmarkStart w:id="27" w:name="_Hlt74714665"/>
      <w:bookmarkEnd w:id="27"/>
      <w:bookmarkStart w:id="28" w:name="_Hlt74730295"/>
      <w:bookmarkEnd w:id="28"/>
      <w:bookmarkStart w:id="29" w:name="_Hlt74707468"/>
      <w:bookmarkEnd w:id="29"/>
      <w:bookmarkStart w:id="30" w:name="_Hlt68073093"/>
      <w:bookmarkEnd w:id="30"/>
      <w:bookmarkStart w:id="31" w:name="第三部分"/>
      <w:bookmarkStart w:id="32"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pStyle w:val="114"/>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5"/>
        <w:rPr>
          <w:rFonts w:hint="eastAsia"/>
          <w:color w:val="auto"/>
          <w:highlight w:val="none"/>
        </w:rPr>
      </w:pPr>
    </w:p>
    <w:p>
      <w:pPr>
        <w:pStyle w:val="164"/>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pStyle w:val="164"/>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64"/>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64"/>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3" w:name="_Toc918999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3"/>
    <w:p>
      <w:pPr>
        <w:pStyle w:val="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4" w:name="_Toc81372953"/>
      <w:bookmarkStart w:id="35" w:name="_Toc84325929"/>
      <w:bookmarkStart w:id="36" w:name="_Toc81372776"/>
      <w:r>
        <w:rPr>
          <w:rFonts w:hint="eastAsia" w:ascii="仿宋" w:hAnsi="仿宋" w:eastAsia="仿宋" w:cs="仿宋"/>
          <w:b/>
          <w:color w:val="auto"/>
          <w:sz w:val="32"/>
          <w:szCs w:val="32"/>
          <w:highlight w:val="none"/>
        </w:rPr>
        <w:t>五、授予合同</w:t>
      </w:r>
    </w:p>
    <w:bookmarkEnd w:id="34"/>
    <w:bookmarkEnd w:id="35"/>
    <w:bookmarkEnd w:id="36"/>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5" w:h="16838"/>
          <w:pgMar w:top="1480" w:right="1474" w:bottom="1559" w:left="1474" w:header="851" w:footer="992" w:gutter="0"/>
          <w:pgNumType w:start="1"/>
          <w:cols w:space="720" w:num="1"/>
          <w:titlePg/>
          <w:rtlGutter w:val="0"/>
          <w:docGrid w:linePitch="312" w:charSpace="0"/>
        </w:sectPr>
      </w:pPr>
    </w:p>
    <w:bookmarkEnd w:id="31"/>
    <w:bookmarkEnd w:id="32"/>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7" w:name="第五部分"/>
      <w:bookmarkStart w:id="38" w:name="_Toc86217003"/>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none"/>
        </w:rPr>
        <w:t>相关声明：以下1-7条款如标段内另有说明的，则按标内要求执行</w:t>
      </w:r>
      <w:r>
        <w:rPr>
          <w:rFonts w:hint="eastAsia" w:ascii="仿宋" w:hAnsi="仿宋" w:eastAsia="仿宋" w:cs="仿宋"/>
          <w:b/>
          <w:color w:val="auto"/>
          <w:sz w:val="24"/>
          <w:highlight w:val="none"/>
        </w:rPr>
        <w:t>。</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将进行抽样检验或试验。</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保留在签约时调整部分方案及定购设备数量和服务的权力，投标人应对系统方案中设备和服务明细报价，按投标单价不变的前提下进行调整，双方不得拒绝。</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确认后实施。</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401"/>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指定人员的参与下进行。在实际实施前必须先经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同意方可进行。调试的原始记录须经各方签字后作为验收的文件之一。</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401"/>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的技术人员培训。投标人须在投标文件中提供详细的培训计划，包括培训内容、培训时间、培训费用等。</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27"/>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16"/>
        <w:keepNext w:val="0"/>
        <w:keepLines w:val="0"/>
        <w:pageBreakBefore w:val="0"/>
        <w:kinsoku/>
        <w:wordWrap/>
        <w:overflowPunct/>
        <w:topLinePunct w:val="0"/>
        <w:autoSpaceDE/>
        <w:autoSpaceDN/>
        <w:bidi w:val="0"/>
        <w:adjustRightInd/>
        <w:spacing w:line="44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w:t>
      </w:r>
      <w:r>
        <w:rPr>
          <w:rFonts w:hint="eastAsia" w:ascii="仿宋" w:hAnsi="仿宋" w:eastAsia="仿宋" w:cs="仿宋"/>
          <w:b/>
          <w:bCs/>
          <w:color w:val="auto"/>
          <w:sz w:val="24"/>
          <w:szCs w:val="24"/>
          <w:highlight w:val="none"/>
          <w:u w:val="single"/>
          <w:lang w:val="en-US" w:eastAsia="zh-CN"/>
        </w:rPr>
        <w:t>3</w:t>
      </w:r>
      <w:r>
        <w:rPr>
          <w:rFonts w:hint="eastAsia" w:ascii="仿宋" w:hAnsi="仿宋" w:eastAsia="仿宋" w:cs="仿宋"/>
          <w:b/>
          <w:bCs/>
          <w:color w:val="auto"/>
          <w:sz w:val="24"/>
          <w:szCs w:val="24"/>
          <w:highlight w:val="none"/>
          <w:u w:val="single"/>
        </w:rPr>
        <w:t>年</w:t>
      </w:r>
      <w:r>
        <w:rPr>
          <w:rFonts w:hint="eastAsia" w:ascii="仿宋" w:hAnsi="仿宋" w:eastAsia="仿宋" w:cs="仿宋"/>
          <w:color w:val="auto"/>
          <w:sz w:val="24"/>
          <w:szCs w:val="24"/>
          <w:highlight w:val="none"/>
        </w:rPr>
        <w:t>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通知后，</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小时内派人赴现场处理设备质量问题。24小时内不能修复的，则无偿提供备机或备用零件供采购人使用。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小时内到达采购人指定地点，</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bookmarkStart w:id="39" w:name="_Toc151354173"/>
      <w:r>
        <w:rPr>
          <w:rFonts w:hint="eastAsia" w:ascii="仿宋" w:hAnsi="仿宋" w:eastAsia="仿宋" w:cs="仿宋"/>
          <w:b/>
          <w:color w:val="auto"/>
          <w:sz w:val="24"/>
          <w:szCs w:val="24"/>
          <w:highlight w:val="none"/>
        </w:rPr>
        <w:t>8.招标项目设备名称及数量：</w:t>
      </w:r>
    </w:p>
    <w:bookmarkEnd w:id="39"/>
    <w:p>
      <w:pPr>
        <w:pStyle w:val="401"/>
        <w:keepNext w:val="0"/>
        <w:keepLines w:val="0"/>
        <w:pageBreakBefore w:val="0"/>
        <w:kinsoku/>
        <w:wordWrap/>
        <w:overflowPunct/>
        <w:topLinePunct w:val="0"/>
        <w:autoSpaceDE/>
        <w:autoSpaceDN/>
        <w:bidi w:val="0"/>
        <w:adjustRightInd/>
        <w:spacing w:afterLines="0" w:line="440" w:lineRule="exact"/>
        <w:ind w:left="0" w:leftChars="0" w:firstLine="0" w:firstLine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kern w:val="2"/>
          <w:sz w:val="24"/>
          <w:szCs w:val="24"/>
          <w:highlight w:val="none"/>
          <w:lang w:val="en-US" w:eastAsia="zh-CN" w:bidi="ar-SA"/>
        </w:rPr>
        <w:t>绍兴市妇幼保健院医用推车采购项目（</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1220000.00元</w:t>
      </w:r>
      <w:r>
        <w:rPr>
          <w:rFonts w:hint="eastAsia" w:ascii="仿宋" w:hAnsi="仿宋" w:eastAsia="仿宋" w:cs="仿宋"/>
          <w:b/>
          <w:color w:val="auto"/>
          <w:kern w:val="2"/>
          <w:sz w:val="24"/>
          <w:szCs w:val="24"/>
          <w:highlight w:val="none"/>
          <w:lang w:val="en-US" w:eastAsia="zh-CN" w:bidi="ar-SA"/>
        </w:rPr>
        <w:t>）</w:t>
      </w:r>
    </w:p>
    <w:p>
      <w:pPr>
        <w:pStyle w:val="5"/>
        <w:pageBreakBefore w:val="0"/>
        <w:kinsoku/>
        <w:wordWrap/>
        <w:overflowPunct/>
        <w:topLinePunct w:val="0"/>
        <w:bidi w:val="0"/>
        <w:snapToGrid/>
        <w:spacing w:line="440" w:lineRule="exact"/>
        <w:ind w:firstLine="426"/>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u w:val="none"/>
          <w14:textFill>
            <w14:solidFill>
              <w14:schemeClr w14:val="tx1"/>
            </w14:solidFill>
          </w14:textFill>
        </w:rPr>
        <w:t>本项目采购内容为</w:t>
      </w:r>
      <w:r>
        <w:rPr>
          <w:rFonts w:hint="eastAsia" w:ascii="仿宋" w:hAnsi="仿宋" w:eastAsia="仿宋" w:cs="仿宋"/>
          <w:b/>
          <w:color w:val="000000" w:themeColor="text1"/>
          <w:sz w:val="24"/>
          <w:szCs w:val="24"/>
          <w:highlight w:val="none"/>
          <w14:textFill>
            <w14:solidFill>
              <w14:schemeClr w14:val="tx1"/>
            </w14:solidFill>
          </w14:textFill>
        </w:rPr>
        <w:t>包含但不限于所需产品的设计、打样、制造、运输（至采购人指定地点）、临时仓储、安装（含辅材辅料）、调试、验收配合、技术培训、售后服务</w:t>
      </w:r>
      <w:r>
        <w:rPr>
          <w:rFonts w:hint="eastAsia" w:ascii="仿宋" w:hAnsi="仿宋" w:eastAsia="仿宋" w:cs="仿宋"/>
          <w:b/>
          <w:color w:val="000000" w:themeColor="text1"/>
          <w:sz w:val="24"/>
          <w:szCs w:val="24"/>
          <w:highlight w:val="none"/>
          <w:lang w:val="en-US" w:eastAsia="zh-CN"/>
          <w14:textFill>
            <w14:solidFill>
              <w14:schemeClr w14:val="tx1"/>
            </w14:solidFill>
          </w14:textFill>
        </w:rPr>
        <w:t>等一系列</w:t>
      </w:r>
      <w:r>
        <w:rPr>
          <w:rFonts w:hint="eastAsia" w:ascii="仿宋" w:hAnsi="仿宋" w:eastAsia="仿宋" w:cs="仿宋"/>
          <w:b/>
          <w:color w:val="000000" w:themeColor="text1"/>
          <w:sz w:val="24"/>
          <w:szCs w:val="24"/>
          <w:highlight w:val="none"/>
          <w14:textFill>
            <w14:solidFill>
              <w14:schemeClr w14:val="tx1"/>
            </w14:solidFill>
          </w14:textFill>
        </w:rPr>
        <w:t>内容。</w:t>
      </w:r>
    </w:p>
    <w:p>
      <w:pPr>
        <w:pStyle w:val="5"/>
        <w:pageBreakBefore w:val="0"/>
        <w:kinsoku/>
        <w:wordWrap/>
        <w:overflowPunct/>
        <w:topLinePunct w:val="0"/>
        <w:bidi w:val="0"/>
        <w:snapToGrid/>
        <w:spacing w:line="440" w:lineRule="exact"/>
        <w:ind w:firstLine="426"/>
        <w:rPr>
          <w:rFonts w:hint="eastAsia" w:ascii="仿宋" w:hAnsi="仿宋" w:eastAsia="仿宋" w:cs="仿宋"/>
          <w:sz w:val="24"/>
          <w:szCs w:val="24"/>
          <w:highlight w:val="none"/>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color w:val="000000" w:themeColor="text1"/>
          <w:sz w:val="24"/>
          <w:szCs w:val="24"/>
          <w:highlight w:val="none"/>
          <w14:textFill>
            <w14:solidFill>
              <w14:schemeClr w14:val="tx1"/>
            </w14:solidFill>
          </w14:textFill>
        </w:rPr>
        <w:t>采购标的清单及技术要求</w:t>
      </w:r>
    </w:p>
    <w:tbl>
      <w:tblPr>
        <w:tblStyle w:val="62"/>
        <w:tblW w:w="9879"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1269"/>
        <w:gridCol w:w="4475"/>
        <w:gridCol w:w="584"/>
        <w:gridCol w:w="76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trPr>
        <w:tc>
          <w:tcPr>
            <w:tcW w:w="851"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采购标的名称</w:t>
            </w:r>
          </w:p>
        </w:tc>
        <w:tc>
          <w:tcPr>
            <w:tcW w:w="4475"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采购要求</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单位</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auto"/>
                <w:sz w:val="24"/>
                <w:szCs w:val="24"/>
                <w:highlight w:val="none"/>
                <w:lang w:val="en-US" w:eastAsia="zh-Hans"/>
              </w:rPr>
            </w:pPr>
            <w:r>
              <w:rPr>
                <w:rFonts w:hint="eastAsia" w:ascii="仿宋" w:hAnsi="仿宋" w:eastAsia="仿宋" w:cs="仿宋"/>
                <w:b/>
                <w:color w:val="auto"/>
                <w:sz w:val="24"/>
                <w:szCs w:val="24"/>
                <w:highlight w:val="none"/>
                <w:lang w:val="en-US" w:eastAsia="zh-Hans"/>
              </w:rPr>
              <w:t>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送药车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rPr>
              <w:t>660×500×900/980</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2.主体结构：正面抽屉×4，右侧抽屉（核对记录本装置）×1</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3.产品组成：左侧：冷水壶装置×1、不锈钢手消挂架×1；右侧：优质塑料污物桶×1；抽屉内部：ABS药盘（56/63格）×3、积木式任意分隔装置×1、通锁</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5.塑料污物桶：环保防撞塑材，新料制作，抗老化，先进技术，防摔、防碎（可做现场摔落测试）</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6.抽屉垫：通过欧盟塑料玩具材料测试（重金属含量测试）（提供由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7.台面操作软垫：通过欧盟塑料玩具材料测试（重金属含量测试）（提供</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b/>
                <w:bCs/>
                <w:color w:val="auto"/>
                <w:sz w:val="24"/>
                <w:szCs w:val="24"/>
                <w:highlight w:val="none"/>
                <w:lang w:val="en-US" w:eastAsia="zh-Hans"/>
              </w:rPr>
              <w:t>※</w:t>
            </w:r>
            <w:r>
              <w:rPr>
                <w:rFonts w:hint="eastAsia" w:ascii="仿宋" w:hAnsi="仿宋" w:eastAsia="仿宋" w:cs="仿宋"/>
                <w:b/>
                <w:bCs/>
                <w:color w:val="auto"/>
                <w:sz w:val="24"/>
                <w:szCs w:val="24"/>
                <w:highlight w:val="none"/>
                <w:lang w:eastAsia="zh-Hans"/>
              </w:rPr>
              <w:t>8.</w:t>
            </w:r>
            <w:r>
              <w:rPr>
                <w:rFonts w:hint="eastAsia" w:ascii="仿宋" w:hAnsi="仿宋" w:eastAsia="仿宋" w:cs="仿宋"/>
                <w:b/>
                <w:bCs/>
                <w:color w:val="auto"/>
                <w:sz w:val="24"/>
                <w:szCs w:val="24"/>
                <w:highlight w:val="none"/>
              </w:rPr>
              <w:t>提供样品：要求提供</w:t>
            </w:r>
            <w:r>
              <w:rPr>
                <w:rFonts w:hint="eastAsia" w:ascii="仿宋" w:hAnsi="仿宋" w:eastAsia="仿宋" w:cs="仿宋"/>
                <w:b/>
                <w:bCs/>
                <w:color w:val="auto"/>
                <w:sz w:val="24"/>
                <w:szCs w:val="24"/>
                <w:highlight w:val="none"/>
                <w:lang w:val="en-US" w:eastAsia="zh-Hans"/>
              </w:rPr>
              <w:t>三</w:t>
            </w:r>
            <w:r>
              <w:rPr>
                <w:rFonts w:hint="eastAsia" w:ascii="仿宋" w:hAnsi="仿宋" w:eastAsia="仿宋" w:cs="仿宋"/>
                <w:b/>
                <w:bCs/>
                <w:color w:val="auto"/>
                <w:sz w:val="24"/>
                <w:szCs w:val="24"/>
                <w:highlight w:val="none"/>
              </w:rPr>
              <w:t>种颜色药盘（尺寸：530×480×70：49/56/63格），药盘可以现场调整为：49格、56格和63格。</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9984" behindDoc="0" locked="0" layoutInCell="1" allowOverlap="1">
                  <wp:simplePos x="0" y="0"/>
                  <wp:positionH relativeFrom="column">
                    <wp:posOffset>12065</wp:posOffset>
                  </wp:positionH>
                  <wp:positionV relativeFrom="paragraph">
                    <wp:posOffset>1512570</wp:posOffset>
                  </wp:positionV>
                  <wp:extent cx="1063625" cy="1504315"/>
                  <wp:effectExtent l="0" t="0" r="3175" b="635"/>
                  <wp:wrapTopAndBottom/>
                  <wp:docPr id="688713" name="ID_A34AA8A71F19440B951BFFE87AD51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3" name="ID_A34AA8A71F19440B951BFFE87AD51DBE"/>
                          <pic:cNvPicPr>
                            <a:picLocks noChangeAspect="1"/>
                          </pic:cNvPicPr>
                        </pic:nvPicPr>
                        <pic:blipFill>
                          <a:blip r:embed="rId25"/>
                          <a:stretch>
                            <a:fillRect/>
                          </a:stretch>
                        </pic:blipFill>
                        <pic:spPr>
                          <a:xfrm>
                            <a:off x="0" y="0"/>
                            <a:ext cx="1063625" cy="15043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治疗车</w:t>
            </w:r>
          </w:p>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eastAsia="zh-CN"/>
              </w:rPr>
            </w:pP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rPr>
              <w:t>600×450×900/980</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2.主体结构：喷涂、双层、正面抽屉×2（上下双抽）,铝型材立柱</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3.产品组成：左侧：不锈钢手消挂架×1，不锈钢储物篮×1，右侧：脚踏机构+桶盖×1、优质塑料污物桶×2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5.塑料污物桶：环保防撞塑材，新料制作，抗老化，先进技术，防摔、防碎（可做现场摔落测试）</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6.抽屉垫：通过欧盟塑料玩具材料测试（重金属含量测试）（提供由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b/>
                <w:bCs/>
                <w:color w:val="auto"/>
                <w:sz w:val="24"/>
                <w:szCs w:val="24"/>
                <w:highlight w:val="none"/>
                <w:lang w:val="en-US" w:eastAsia="zh-Hans"/>
              </w:rPr>
              <w:t>※</w:t>
            </w:r>
            <w:r>
              <w:rPr>
                <w:rFonts w:hint="eastAsia" w:ascii="仿宋" w:hAnsi="仿宋" w:eastAsia="仿宋" w:cs="仿宋"/>
                <w:b/>
                <w:bCs/>
                <w:color w:val="auto"/>
                <w:sz w:val="24"/>
                <w:szCs w:val="24"/>
                <w:highlight w:val="none"/>
                <w:lang w:eastAsia="zh-Hans"/>
              </w:rPr>
              <w:t>7.</w:t>
            </w:r>
            <w:r>
              <w:rPr>
                <w:rFonts w:hint="eastAsia" w:ascii="仿宋" w:hAnsi="仿宋" w:eastAsia="仿宋" w:cs="仿宋"/>
                <w:b/>
                <w:bCs/>
                <w:color w:val="auto"/>
                <w:sz w:val="24"/>
                <w:szCs w:val="24"/>
                <w:highlight w:val="none"/>
              </w:rPr>
              <w:t>提供样品</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8960" behindDoc="0" locked="0" layoutInCell="1" allowOverlap="1">
                  <wp:simplePos x="0" y="0"/>
                  <wp:positionH relativeFrom="column">
                    <wp:posOffset>50165</wp:posOffset>
                  </wp:positionH>
                  <wp:positionV relativeFrom="paragraph">
                    <wp:posOffset>-781685</wp:posOffset>
                  </wp:positionV>
                  <wp:extent cx="989965" cy="996315"/>
                  <wp:effectExtent l="0" t="0" r="635" b="13335"/>
                  <wp:wrapTopAndBottom/>
                  <wp:docPr id="2" name="ID_61E6E1B8C70D4EB48FA858515D3C0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61E6E1B8C70D4EB48FA858515D3C069A"/>
                          <pic:cNvPicPr>
                            <a:picLocks noChangeAspect="1"/>
                          </pic:cNvPicPr>
                        </pic:nvPicPr>
                        <pic:blipFill>
                          <a:blip r:embed="rId26"/>
                          <a:stretch>
                            <a:fillRect/>
                          </a:stretch>
                        </pic:blipFill>
                        <pic:spPr>
                          <a:xfrm>
                            <a:off x="0" y="0"/>
                            <a:ext cx="989965" cy="9963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晨间护理车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rPr>
              <w:t>585～945×460×840/950</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2.主体结构：喷涂、折叠式、三层、正面抽屉×1、加盖、含手消。</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3.产品组成：布袋×2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5.抽屉垫：通过欧盟塑料玩具材料测试（重金属含量测试）（提供由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6.台面操作软垫：通过欧盟塑料玩具材料测试（重金属含量测试）（提供由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7936" behindDoc="0" locked="0" layoutInCell="1" allowOverlap="1">
                  <wp:simplePos x="0" y="0"/>
                  <wp:positionH relativeFrom="column">
                    <wp:posOffset>12065</wp:posOffset>
                  </wp:positionH>
                  <wp:positionV relativeFrom="paragraph">
                    <wp:posOffset>725170</wp:posOffset>
                  </wp:positionV>
                  <wp:extent cx="1059180" cy="889000"/>
                  <wp:effectExtent l="0" t="0" r="7620" b="6350"/>
                  <wp:wrapTopAndBottom/>
                  <wp:docPr id="688732" name="ID_099FB2799AD34BF496A213EE899FD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2" name="ID_099FB2799AD34BF496A213EE899FD625"/>
                          <pic:cNvPicPr>
                            <a:picLocks noChangeAspect="1"/>
                          </pic:cNvPicPr>
                        </pic:nvPicPr>
                        <pic:blipFill>
                          <a:blip r:embed="rId27"/>
                          <a:stretch>
                            <a:fillRect/>
                          </a:stretch>
                        </pic:blipFill>
                        <pic:spPr>
                          <a:xfrm>
                            <a:off x="0" y="0"/>
                            <a:ext cx="1059180" cy="889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Hans"/>
              </w:rPr>
              <w:t>大治疗车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rPr>
              <w:t>690×450×900/1030</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（2）主体结构：喷涂、双层、正面抽屉×2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（3）产品组成：优质塑料污物桶×2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（5）塑料污物桶：环保防撞塑材，新料制作，抗老化，先进技术，防摔、防碎（可做现场摔落测试）</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（6）抽屉垫：通过欧盟塑料玩具材料测试（重金属含量测试）（提供由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（7）台面操作软垫：通过欧盟塑料玩具材料测试（重金属含量测试）（提供由</w:t>
            </w:r>
            <w:r>
              <w:rPr>
                <w:rFonts w:hint="eastAsia" w:ascii="仿宋" w:hAnsi="仿宋" w:eastAsia="仿宋" w:cs="仿宋"/>
                <w:color w:val="auto"/>
                <w:sz w:val="24"/>
                <w:szCs w:val="24"/>
                <w:highlight w:val="none"/>
                <w:lang w:val="en-US" w:eastAsia="zh-CN"/>
              </w:rPr>
              <w:t>第三方具有</w:t>
            </w:r>
            <w:r>
              <w:rPr>
                <w:rFonts w:hint="eastAsia" w:ascii="仿宋" w:hAnsi="仿宋" w:eastAsia="仿宋" w:cs="仿宋"/>
                <w:b w:val="0"/>
                <w:bCs/>
                <w:color w:val="auto"/>
                <w:sz w:val="24"/>
                <w:szCs w:val="24"/>
                <w:highlight w:val="none"/>
              </w:rPr>
              <w:t>相关</w:t>
            </w:r>
            <w:r>
              <w:rPr>
                <w:rFonts w:hint="eastAsia" w:ascii="仿宋" w:hAnsi="仿宋" w:eastAsia="仿宋" w:cs="仿宋"/>
                <w:color w:val="auto"/>
                <w:sz w:val="24"/>
                <w:szCs w:val="24"/>
                <w:highlight w:val="none"/>
                <w:lang w:val="en-US" w:eastAsia="zh-CN"/>
              </w:rPr>
              <w:t>资质的检测机构</w:t>
            </w:r>
            <w:r>
              <w:rPr>
                <w:rFonts w:hint="eastAsia" w:ascii="仿宋" w:hAnsi="仿宋" w:eastAsia="仿宋" w:cs="仿宋"/>
                <w:color w:val="auto"/>
                <w:sz w:val="24"/>
                <w:szCs w:val="24"/>
                <w:highlight w:val="none"/>
              </w:rPr>
              <w:t>检测的证明文件）</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-703580</wp:posOffset>
                  </wp:positionV>
                  <wp:extent cx="1097915" cy="1483360"/>
                  <wp:effectExtent l="0" t="0" r="6985" b="2540"/>
                  <wp:wrapTopAndBottom/>
                  <wp:docPr id="688725" name="ID_5B0FA7E48DCB492694D0474BCA4E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25" name="ID_5B0FA7E48DCB492694D0474BCA4E4136"/>
                          <pic:cNvPicPr>
                            <a:picLocks noChangeAspect="1"/>
                          </pic:cNvPicPr>
                        </pic:nvPicPr>
                        <pic:blipFill>
                          <a:blip r:embed="rId28"/>
                          <a:stretch>
                            <a:fillRect/>
                          </a:stretch>
                        </pic:blipFill>
                        <pic:spPr>
                          <a:xfrm>
                            <a:off x="0" y="0"/>
                            <a:ext cx="1097915" cy="14833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污物转运车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rPr>
              <w:t>1000×500×810/950</w:t>
            </w:r>
            <w:r>
              <w:rPr>
                <w:rFonts w:hint="eastAsia" w:ascii="仿宋" w:hAnsi="仿宋" w:eastAsia="仿宋" w:cs="仿宋"/>
                <w:color w:val="auto"/>
                <w:sz w:val="24"/>
                <w:szCs w:val="24"/>
                <w:highlight w:val="none"/>
                <w:lang w:eastAsia="zh-Hans"/>
              </w:rPr>
              <w:t>（</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（2）主体结构：全不锈钢、三层、正面抽屉×1、带垃圾袋固定卡</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（3）产品组成：布袋×2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（4）主材规格：板材厚度≥1.0mm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4384" behindDoc="0" locked="0" layoutInCell="1" allowOverlap="1">
                  <wp:simplePos x="0" y="0"/>
                  <wp:positionH relativeFrom="column">
                    <wp:posOffset>78740</wp:posOffset>
                  </wp:positionH>
                  <wp:positionV relativeFrom="paragraph">
                    <wp:posOffset>-113030</wp:posOffset>
                  </wp:positionV>
                  <wp:extent cx="922020" cy="889635"/>
                  <wp:effectExtent l="0" t="0" r="11430" b="5715"/>
                  <wp:wrapTopAndBottom/>
                  <wp:docPr id="688731" name="ID_97D94418EF1F45AB9FE6CC9178869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1" name="ID_97D94418EF1F45AB9FE6CC9178869F0A"/>
                          <pic:cNvPicPr>
                            <a:picLocks noChangeAspect="1"/>
                          </pic:cNvPicPr>
                        </pic:nvPicPr>
                        <pic:blipFill>
                          <a:blip r:embed="rId29"/>
                          <a:stretch>
                            <a:fillRect/>
                          </a:stretch>
                        </pic:blipFill>
                        <pic:spPr>
                          <a:xfrm>
                            <a:off x="0" y="0"/>
                            <a:ext cx="922020" cy="8896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269" w:type="dxa"/>
            <w:shd w:val="clear" w:color="auto" w:fill="auto"/>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称车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lang w:val="en-US" w:eastAsia="zh-CN"/>
              </w:rPr>
              <w:t>800×</w:t>
            </w:r>
            <w:r>
              <w:rPr>
                <w:rFonts w:hint="eastAsia" w:ascii="仿宋" w:hAnsi="仿宋" w:eastAsia="仿宋" w:cs="仿宋"/>
                <w:color w:val="auto"/>
                <w:sz w:val="24"/>
                <w:szCs w:val="24"/>
                <w:highlight w:val="none"/>
                <w:lang w:eastAsia="zh-CN"/>
              </w:rPr>
              <w:t>500</w:t>
            </w:r>
            <w:r>
              <w:rPr>
                <w:rFonts w:hint="eastAsia" w:ascii="仿宋" w:hAnsi="仿宋" w:eastAsia="仿宋" w:cs="仿宋"/>
                <w:color w:val="auto"/>
                <w:sz w:val="24"/>
                <w:szCs w:val="24"/>
                <w:highlight w:val="none"/>
                <w:lang w:val="en-US" w:eastAsia="zh-CN"/>
              </w:rPr>
              <w:t>×900/980</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主体结构：喷涂、正面双抽双门，左侧</w:t>
            </w:r>
            <w:r>
              <w:rPr>
                <w:rFonts w:hint="eastAsia" w:ascii="仿宋" w:hAnsi="仿宋" w:eastAsia="仿宋" w:cs="仿宋"/>
                <w:color w:val="auto"/>
                <w:sz w:val="24"/>
                <w:szCs w:val="24"/>
                <w:highlight w:val="none"/>
                <w:lang w:val="en-US" w:eastAsia="zh-Hans"/>
              </w:rPr>
              <w:t>延伸</w:t>
            </w:r>
            <w:r>
              <w:rPr>
                <w:rFonts w:hint="eastAsia" w:ascii="仿宋" w:hAnsi="仿宋" w:eastAsia="仿宋" w:cs="仿宋"/>
                <w:color w:val="auto"/>
                <w:sz w:val="24"/>
                <w:szCs w:val="24"/>
                <w:highlight w:val="none"/>
                <w:lang w:val="en-US" w:eastAsia="zh-CN"/>
              </w:rPr>
              <w:t>台面（活动或固定）,铝型材立柱</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val="en-US" w:eastAsia="zh-CN"/>
              </w:rPr>
              <w:t>产品组成：左侧：不锈钢手消挂架×1，不锈钢储物篮×1</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val="en-US" w:eastAsia="zh-CN"/>
              </w:rPr>
              <w:t>主体材质：国标S304不锈钢+轻型合金铝</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eastAsia="仿宋" w:cs="仿宋"/>
                <w:i w:val="0"/>
                <w:iCs w:val="0"/>
                <w:color w:val="auto"/>
                <w:kern w:val="0"/>
                <w:sz w:val="24"/>
                <w:szCs w:val="24"/>
                <w:highlight w:val="none"/>
                <w:u w:val="none"/>
                <w:lang w:eastAsia="zh-CN" w:bidi="ar"/>
              </w:rPr>
              <w:t>7</w:t>
            </w:r>
          </w:p>
        </w:tc>
        <w:tc>
          <w:tcPr>
            <w:tcW w:w="1934" w:type="dxa"/>
            <w:shd w:val="clear" w:color="auto" w:fill="auto"/>
            <w:noWrap/>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530225</wp:posOffset>
                  </wp:positionV>
                  <wp:extent cx="1089025" cy="877570"/>
                  <wp:effectExtent l="0" t="0" r="15875" b="17780"/>
                  <wp:wrapTopAndBottom/>
                  <wp:docPr id="4" name="图片 4" descr="9896dbdc8696c04a2a8abefcaa36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96dbdc8696c04a2a8abefcaa3602f"/>
                          <pic:cNvPicPr>
                            <a:picLocks noChangeAspect="1"/>
                          </pic:cNvPicPr>
                        </pic:nvPicPr>
                        <pic:blipFill>
                          <a:blip r:embed="rId30"/>
                          <a:stretch>
                            <a:fillRect/>
                          </a:stretch>
                        </pic:blipFill>
                        <pic:spPr>
                          <a:xfrm>
                            <a:off x="0" y="0"/>
                            <a:ext cx="1089025" cy="8775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269" w:type="dxa"/>
            <w:shd w:val="clear" w:color="auto" w:fill="auto"/>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接生车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w:t>
            </w:r>
            <w:r>
              <w:rPr>
                <w:rFonts w:hint="eastAsia" w:ascii="仿宋" w:hAnsi="仿宋" w:eastAsia="仿宋" w:cs="仿宋"/>
                <w:color w:val="auto"/>
                <w:sz w:val="24"/>
                <w:szCs w:val="24"/>
                <w:highlight w:val="none"/>
                <w:lang w:val="en-US" w:eastAsia="zh-CN"/>
              </w:rPr>
              <w:t>600×450×900/980</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主体结构：喷涂、正面抽屉×4，上部双抽,铝型材立柱</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val="en-US" w:eastAsia="zh-CN"/>
              </w:rPr>
              <w:t>产品组成：左侧：不锈钢手消挂架×1，不锈钢储物篮×1</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val="en-US" w:eastAsia="zh-CN"/>
              </w:rPr>
              <w:t>主体材质：国标S304不锈钢+轻型合金铝</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934" w:type="dxa"/>
            <w:shd w:val="clear" w:color="auto" w:fill="auto"/>
            <w:noWrap/>
            <w:vAlign w:val="center"/>
          </w:tcPr>
          <w:p>
            <w:pPr>
              <w:keepNext w:val="0"/>
              <w:keepLines w:val="0"/>
              <w:pageBreakBefore w:val="0"/>
              <w:widowControl/>
              <w:suppressLineNumbers w:val="0"/>
              <w:kinsoku/>
              <w:wordWrap/>
              <w:overflowPunct/>
              <w:topLinePunct w:val="0"/>
              <w:bidi w:val="0"/>
              <w:snapToGrid/>
              <w:spacing w:line="44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drawing>
                <wp:anchor distT="0" distB="0" distL="114300" distR="114300" simplePos="0" relativeHeight="251666432" behindDoc="0" locked="0" layoutInCell="1" allowOverlap="1">
                  <wp:simplePos x="0" y="0"/>
                  <wp:positionH relativeFrom="column">
                    <wp:posOffset>69215</wp:posOffset>
                  </wp:positionH>
                  <wp:positionV relativeFrom="paragraph">
                    <wp:posOffset>-95250</wp:posOffset>
                  </wp:positionV>
                  <wp:extent cx="951865" cy="1016000"/>
                  <wp:effectExtent l="0" t="0" r="635" b="12700"/>
                  <wp:wrapTopAndBottom/>
                  <wp:docPr id="688704" name="ID_4E29D07464E848128DD3D87D62382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4" name="ID_4E29D07464E848128DD3D87D62382F99"/>
                          <pic:cNvPicPr>
                            <a:picLocks noChangeAspect="1"/>
                          </pic:cNvPicPr>
                        </pic:nvPicPr>
                        <pic:blipFill>
                          <a:blip r:embed="rId31"/>
                          <a:stretch>
                            <a:fillRect/>
                          </a:stretch>
                        </pic:blipFill>
                        <pic:spPr>
                          <a:xfrm>
                            <a:off x="0" y="0"/>
                            <a:ext cx="951865" cy="10160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手术室器械台层叠式</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1.尺寸：大号：1120×580×930（mm）；单层</w:t>
            </w:r>
          </w:p>
          <w:p>
            <w:pPr>
              <w:pageBreakBefore w:val="0"/>
              <w:kinsoku/>
              <w:wordWrap/>
              <w:overflowPunct/>
              <w:topLinePunct w:val="0"/>
              <w:bidi w:val="0"/>
              <w:snapToGrid/>
              <w:spacing w:line="440" w:lineRule="exact"/>
              <w:ind w:left="0" w:leftChars="0"/>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 xml:space="preserve">        中号：900×540×8</w:t>
            </w:r>
            <w:r>
              <w:rPr>
                <w:rFonts w:hint="eastAsia" w:ascii="仿宋" w:hAnsi="仿宋" w:eastAsia="仿宋" w:cs="仿宋"/>
                <w:color w:val="auto"/>
                <w:sz w:val="24"/>
                <w:szCs w:val="24"/>
                <w:highlight w:val="none"/>
                <w:lang w:eastAsia="zh-Hans"/>
              </w:rPr>
              <w:t>65（</w:t>
            </w:r>
            <w:r>
              <w:rPr>
                <w:rFonts w:hint="eastAsia" w:ascii="仿宋" w:hAnsi="仿宋" w:eastAsia="仿宋" w:cs="仿宋"/>
                <w:color w:val="auto"/>
                <w:sz w:val="24"/>
                <w:szCs w:val="24"/>
                <w:highlight w:val="none"/>
                <w:lang w:val="en-US" w:eastAsia="zh-Hans"/>
              </w:rPr>
              <w:t>mm）；单层</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 xml:space="preserve">        小号：680×510×800（mm）;  双层</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2.台面均为双层复合，为符合卫生学，台面为凹台面并模压一次成形，台面四角不可有焊接打磨痕迹。</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3.主材规格：板材厚度≥1.0mm，主管材：φ25×1.</w:t>
            </w: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套</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2336" behindDoc="0" locked="0" layoutInCell="1" allowOverlap="1">
                  <wp:simplePos x="0" y="0"/>
                  <wp:positionH relativeFrom="column">
                    <wp:posOffset>512445</wp:posOffset>
                  </wp:positionH>
                  <wp:positionV relativeFrom="paragraph">
                    <wp:posOffset>175895</wp:posOffset>
                  </wp:positionV>
                  <wp:extent cx="575945" cy="502285"/>
                  <wp:effectExtent l="0" t="0" r="14605" b="12065"/>
                  <wp:wrapNone/>
                  <wp:docPr id="691312" name="ID_07046782AC404E12B530D6B9ED2DE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2" name="ID_07046782AC404E12B530D6B9ED2DEF8E"/>
                          <pic:cNvPicPr>
                            <a:picLocks noChangeAspect="1"/>
                          </pic:cNvPicPr>
                        </pic:nvPicPr>
                        <pic:blipFill>
                          <a:blip r:embed="rId32"/>
                          <a:stretch>
                            <a:fillRect/>
                          </a:stretch>
                        </pic:blipFill>
                        <pic:spPr>
                          <a:xfrm>
                            <a:off x="0" y="0"/>
                            <a:ext cx="575945" cy="502285"/>
                          </a:xfrm>
                          <a:prstGeom prst="rect">
                            <a:avLst/>
                          </a:prstGeom>
                          <a:noFill/>
                          <a:ln w="9525">
                            <a:noFill/>
                          </a:ln>
                        </pic:spPr>
                      </pic:pic>
                    </a:graphicData>
                  </a:graphic>
                </wp:anchor>
              </w:drawing>
            </w:r>
            <w:r>
              <w:rPr>
                <w:rFonts w:hint="eastAsia" w:ascii="仿宋" w:hAnsi="仿宋" w:eastAsia="仿宋" w:cs="仿宋"/>
                <w:color w:val="auto"/>
                <w:sz w:val="24"/>
                <w:szCs w:val="24"/>
                <w:highlight w:val="none"/>
              </w:rPr>
              <w:drawing>
                <wp:anchor distT="0" distB="0" distL="114300" distR="114300" simplePos="0" relativeHeight="251661312" behindDoc="0" locked="0" layoutInCell="1" allowOverlap="1">
                  <wp:simplePos x="0" y="0"/>
                  <wp:positionH relativeFrom="column">
                    <wp:posOffset>-21590</wp:posOffset>
                  </wp:positionH>
                  <wp:positionV relativeFrom="paragraph">
                    <wp:posOffset>212090</wp:posOffset>
                  </wp:positionV>
                  <wp:extent cx="541655" cy="492125"/>
                  <wp:effectExtent l="0" t="0" r="10795" b="3175"/>
                  <wp:wrapNone/>
                  <wp:docPr id="691311" name="ID_EB2934B428B1439D86CD2E36467D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1" name="ID_EB2934B428B1439D86CD2E36467D9416"/>
                          <pic:cNvPicPr>
                            <a:picLocks noChangeAspect="1"/>
                          </pic:cNvPicPr>
                        </pic:nvPicPr>
                        <pic:blipFill>
                          <a:blip r:embed="rId33"/>
                          <a:stretch>
                            <a:fillRect/>
                          </a:stretch>
                        </pic:blipFill>
                        <pic:spPr>
                          <a:xfrm>
                            <a:off x="0" y="0"/>
                            <a:ext cx="541655" cy="4921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269"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气动双杆升降台</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尺寸：850×500×900～1250（mm）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规格:不锈钢、双杆升降、跨床式、气动升降（德国进口气动元件、提供报关单）</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主管材：φ32×1.2mm、38×25×1.0mm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万向轮：φ75聚胺酯双轴承静音脚轮，防卷发</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b/>
                <w:bCs/>
                <w:color w:val="auto"/>
                <w:sz w:val="24"/>
                <w:szCs w:val="24"/>
                <w:highlight w:val="none"/>
                <w:lang w:val="en-US" w:eastAsia="zh-Hans"/>
              </w:rPr>
              <w:t>※</w:t>
            </w:r>
            <w:r>
              <w:rPr>
                <w:rFonts w:hint="eastAsia" w:ascii="仿宋" w:hAnsi="仿宋" w:eastAsia="仿宋" w:cs="仿宋"/>
                <w:b/>
                <w:bCs/>
                <w:color w:val="auto"/>
                <w:sz w:val="24"/>
                <w:szCs w:val="24"/>
                <w:highlight w:val="none"/>
                <w:lang w:eastAsia="zh-Hans"/>
              </w:rPr>
              <w:t>5.</w:t>
            </w:r>
            <w:r>
              <w:rPr>
                <w:rFonts w:hint="eastAsia" w:ascii="仿宋" w:hAnsi="仿宋" w:eastAsia="仿宋" w:cs="仿宋"/>
                <w:b/>
                <w:bCs/>
                <w:color w:val="auto"/>
                <w:sz w:val="24"/>
                <w:szCs w:val="24"/>
                <w:highlight w:val="none"/>
                <w:lang w:val="en-US" w:eastAsia="zh-Hans"/>
              </w:rPr>
              <w:t>提供样品</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7456" behindDoc="0" locked="0" layoutInCell="1" allowOverlap="1">
                  <wp:simplePos x="0" y="0"/>
                  <wp:positionH relativeFrom="column">
                    <wp:posOffset>31115</wp:posOffset>
                  </wp:positionH>
                  <wp:positionV relativeFrom="paragraph">
                    <wp:posOffset>-36830</wp:posOffset>
                  </wp:positionV>
                  <wp:extent cx="1010920" cy="1235710"/>
                  <wp:effectExtent l="0" t="0" r="17780" b="2540"/>
                  <wp:wrapTopAndBottom/>
                  <wp:docPr id="691331" name="ID_B8F9D62FCD4D404895099203394C6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1" name="ID_B8F9D62FCD4D404895099203394C645A"/>
                          <pic:cNvPicPr>
                            <a:picLocks noChangeAspect="1"/>
                          </pic:cNvPicPr>
                        </pic:nvPicPr>
                        <pic:blipFill>
                          <a:blip r:embed="rId34"/>
                          <a:stretch>
                            <a:fillRect/>
                          </a:stretch>
                        </pic:blipFill>
                        <pic:spPr>
                          <a:xfrm>
                            <a:off x="0" y="0"/>
                            <a:ext cx="1010920" cy="123571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3"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垃圾分装污物车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1.尺寸：770×450×850（mm）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2.规格：不锈钢、双位、每车标配2×2共4只布袋、固定塑料袋卡扣 、电抛光处理</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4.主材规格：主管材：φ25×1.0mm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5.万向轮：φ100聚胺酯双轴承静音脚轮，防卷发</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6、污物袋材质为易于清洁，防缩水布料</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8480" behindDoc="0" locked="0" layoutInCell="1" allowOverlap="1">
                  <wp:simplePos x="0" y="0"/>
                  <wp:positionH relativeFrom="column">
                    <wp:posOffset>78740</wp:posOffset>
                  </wp:positionH>
                  <wp:positionV relativeFrom="paragraph">
                    <wp:posOffset>-563880</wp:posOffset>
                  </wp:positionV>
                  <wp:extent cx="918210" cy="1048385"/>
                  <wp:effectExtent l="0" t="0" r="15240" b="18415"/>
                  <wp:wrapTopAndBottom/>
                  <wp:docPr id="691286" name="ID_C013DDF8C604481796E5C1A8FEF79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86" name="ID_C013DDF8C604481796E5C1A8FEF79D19"/>
                          <pic:cNvPicPr>
                            <a:picLocks noChangeAspect="1"/>
                          </pic:cNvPicPr>
                        </pic:nvPicPr>
                        <pic:blipFill>
                          <a:blip r:embed="rId35"/>
                          <a:stretch>
                            <a:fillRect/>
                          </a:stretch>
                        </pic:blipFill>
                        <pic:spPr>
                          <a:xfrm>
                            <a:off x="0" y="0"/>
                            <a:ext cx="918210" cy="10483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Hans"/>
              </w:rPr>
              <w:t>圆形</w:t>
            </w:r>
            <w:r>
              <w:rPr>
                <w:rFonts w:hint="eastAsia" w:ascii="仿宋" w:hAnsi="仿宋" w:eastAsia="仿宋" w:cs="仿宋"/>
                <w:color w:val="auto"/>
                <w:sz w:val="24"/>
                <w:szCs w:val="24"/>
                <w:highlight w:val="none"/>
              </w:rPr>
              <w:t>污物车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1.尺寸：φ450×650（mm）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2.规格：不锈钢、圆形，固定塑料袋卡扣  电抛光处理</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4.主材规格：主管材：φ25×1.0mm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5.万向轮：φ100聚胺酯双轴承静音脚轮，防卷发</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6、污物袋材质为易于清洁，防缩水布料</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9504" behindDoc="0" locked="0" layoutInCell="1" allowOverlap="1">
                  <wp:simplePos x="0" y="0"/>
                  <wp:positionH relativeFrom="column">
                    <wp:posOffset>135890</wp:posOffset>
                  </wp:positionH>
                  <wp:positionV relativeFrom="paragraph">
                    <wp:posOffset>-36830</wp:posOffset>
                  </wp:positionV>
                  <wp:extent cx="803910" cy="1232535"/>
                  <wp:effectExtent l="0" t="0" r="15240" b="5715"/>
                  <wp:wrapTopAndBottom/>
                  <wp:docPr id="691332" name="ID_51474A7436EC4C0596A3580A9E9BB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2" name="ID_51474A7436EC4C0596A3580A9E9BB95D"/>
                          <pic:cNvPicPr>
                            <a:picLocks noChangeAspect="1"/>
                          </pic:cNvPicPr>
                        </pic:nvPicPr>
                        <pic:blipFill>
                          <a:blip r:embed="rId36"/>
                          <a:stretch>
                            <a:fillRect/>
                          </a:stretch>
                        </pic:blipFill>
                        <pic:spPr>
                          <a:xfrm>
                            <a:off x="0" y="0"/>
                            <a:ext cx="803910" cy="12325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脚踢式污物桶</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1.尺寸：φ400×360（mm）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2.规格：脚踢式、活动不锈钢拎桶</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4.主材规格：主管材：φ400×360</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5.万向轮：φ50聚胺酯双轴承静音脚轮，防卷发</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0528" behindDoc="0" locked="0" layoutInCell="1" allowOverlap="1">
                  <wp:simplePos x="0" y="0"/>
                  <wp:positionH relativeFrom="column">
                    <wp:posOffset>135890</wp:posOffset>
                  </wp:positionH>
                  <wp:positionV relativeFrom="paragraph">
                    <wp:posOffset>-68580</wp:posOffset>
                  </wp:positionV>
                  <wp:extent cx="817880" cy="977265"/>
                  <wp:effectExtent l="0" t="0" r="1270" b="13335"/>
                  <wp:wrapTopAndBottom/>
                  <wp:docPr id="691333" name="ID_8B733F170B7E4DBAA2C9C4790652F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3" name="ID_8B733F170B7E4DBAA2C9C4790652F1FD"/>
                          <pic:cNvPicPr>
                            <a:picLocks noChangeAspect="1"/>
                          </pic:cNvPicPr>
                        </pic:nvPicPr>
                        <pic:blipFill>
                          <a:blip r:embed="rId37"/>
                          <a:stretch>
                            <a:fillRect/>
                          </a:stretch>
                        </pic:blipFill>
                        <pic:spPr>
                          <a:xfrm>
                            <a:off x="0" y="0"/>
                            <a:ext cx="817880" cy="97726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手术圆凳</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1.尺寸：φ350×500～700mm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.规格：橡塑凳面、不锈钢四腿弯管底架、隐藏丝杆升降</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val="en-US" w:eastAsia="zh-Hans"/>
              </w:rPr>
              <w:t>.主材规格：φ50×1.2mm、32×1.0mm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1552" behindDoc="0" locked="0" layoutInCell="1" allowOverlap="1">
                  <wp:simplePos x="0" y="0"/>
                  <wp:positionH relativeFrom="column">
                    <wp:posOffset>240665</wp:posOffset>
                  </wp:positionH>
                  <wp:positionV relativeFrom="paragraph">
                    <wp:posOffset>-74930</wp:posOffset>
                  </wp:positionV>
                  <wp:extent cx="600710" cy="848360"/>
                  <wp:effectExtent l="0" t="0" r="8890" b="8890"/>
                  <wp:wrapTopAndBottom/>
                  <wp:docPr id="5" name="ID_84C15645448B47DA85A8F351254E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84C15645448B47DA85A8F351254E8380"/>
                          <pic:cNvPicPr>
                            <a:picLocks noChangeAspect="1"/>
                          </pic:cNvPicPr>
                        </pic:nvPicPr>
                        <pic:blipFill>
                          <a:blip r:embed="rId38"/>
                          <a:stretch>
                            <a:fillRect/>
                          </a:stretch>
                        </pic:blipFill>
                        <pic:spPr>
                          <a:xfrm>
                            <a:off x="0" y="0"/>
                            <a:ext cx="600710" cy="8483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麻醉工作凳</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1.尺寸：φ350×500～700（mm）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1.规格：橡塑凳面、五星底架、气动升降</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3.主材规格：φ50×1.2mm、32×1.0mm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2576" behindDoc="0" locked="0" layoutInCell="1" allowOverlap="1">
                  <wp:simplePos x="0" y="0"/>
                  <wp:positionH relativeFrom="column">
                    <wp:posOffset>288290</wp:posOffset>
                  </wp:positionH>
                  <wp:positionV relativeFrom="paragraph">
                    <wp:posOffset>-455930</wp:posOffset>
                  </wp:positionV>
                  <wp:extent cx="497840" cy="801370"/>
                  <wp:effectExtent l="0" t="0" r="16510" b="17780"/>
                  <wp:wrapTopAndBottom/>
                  <wp:docPr id="691079" name="ID_4AC76F2DF62C4F3E9F7F34F0BBCE166D" descr="MHL{Z{[YQD$YX@2)G)~`Z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79" name="ID_4AC76F2DF62C4F3E9F7F34F0BBCE166D" descr="MHL{Z{[YQD$YX@2)G)~`ZSI"/>
                          <pic:cNvPicPr>
                            <a:picLocks noChangeAspect="1"/>
                          </pic:cNvPicPr>
                        </pic:nvPicPr>
                        <pic:blipFill>
                          <a:blip r:embed="rId39"/>
                          <a:stretch>
                            <a:fillRect/>
                          </a:stretch>
                        </pic:blipFill>
                        <pic:spPr>
                          <a:xfrm>
                            <a:off x="0" y="0"/>
                            <a:ext cx="497840" cy="80137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组合式脚凳</w:t>
            </w:r>
          </w:p>
        </w:tc>
        <w:tc>
          <w:tcPr>
            <w:tcW w:w="4475" w:type="dxa"/>
            <w:shd w:val="clear" w:color="auto" w:fill="auto"/>
            <w:vAlign w:val="center"/>
          </w:tcPr>
          <w:p>
            <w:pPr>
              <w:pageBreakBefore w:val="0"/>
              <w:tabs>
                <w:tab w:val="left" w:pos="706"/>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1.尺寸：500×350×150（mm）</w:t>
            </w:r>
          </w:p>
          <w:p>
            <w:pPr>
              <w:pageBreakBefore w:val="0"/>
              <w:tabs>
                <w:tab w:val="left" w:pos="706"/>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2.规格：不锈钢模压防滑面，双层复合式，可叠加放置</w:t>
            </w:r>
          </w:p>
          <w:p>
            <w:pPr>
              <w:pageBreakBefore w:val="0"/>
              <w:tabs>
                <w:tab w:val="left" w:pos="706"/>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3.材质：国标SUS304不锈钢</w:t>
            </w:r>
          </w:p>
          <w:p>
            <w:pPr>
              <w:pageBreakBefore w:val="0"/>
              <w:tabs>
                <w:tab w:val="left" w:pos="706"/>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4.主材规格：板材厚度≥1.0mm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3600" behindDoc="0" locked="0" layoutInCell="1" allowOverlap="1">
                  <wp:simplePos x="0" y="0"/>
                  <wp:positionH relativeFrom="column">
                    <wp:posOffset>12065</wp:posOffset>
                  </wp:positionH>
                  <wp:positionV relativeFrom="paragraph">
                    <wp:posOffset>39370</wp:posOffset>
                  </wp:positionV>
                  <wp:extent cx="1064260" cy="724535"/>
                  <wp:effectExtent l="0" t="0" r="2540" b="18415"/>
                  <wp:wrapTopAndBottom/>
                  <wp:docPr id="691240" name="ID_8CA9B861F1AE4D1182BDEB08B16D7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40" name="ID_8CA9B861F1AE4D1182BDEB08B16D7CFE"/>
                          <pic:cNvPicPr>
                            <a:picLocks noChangeAspect="1"/>
                          </pic:cNvPicPr>
                        </pic:nvPicPr>
                        <pic:blipFill>
                          <a:blip r:embed="rId40"/>
                          <a:stretch>
                            <a:fillRect/>
                          </a:stretch>
                        </pic:blipFill>
                        <pic:spPr>
                          <a:xfrm>
                            <a:off x="0" y="0"/>
                            <a:ext cx="1064260" cy="7245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治疗车</w:t>
            </w:r>
          </w:p>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（手术室）</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w:t>
            </w:r>
            <w:r>
              <w:rPr>
                <w:rFonts w:hint="eastAsia" w:ascii="仿宋" w:hAnsi="仿宋" w:eastAsia="仿宋" w:cs="仿宋"/>
                <w:color w:val="auto"/>
                <w:sz w:val="24"/>
                <w:szCs w:val="24"/>
                <w:highlight w:val="none"/>
                <w:lang w:eastAsia="zh-Hans"/>
              </w:rPr>
              <w:t>500×400×710/840</w:t>
            </w:r>
            <w:r>
              <w:rPr>
                <w:rFonts w:hint="eastAsia" w:ascii="仿宋" w:hAnsi="仿宋" w:eastAsia="仿宋" w:cs="仿宋"/>
                <w:color w:val="auto"/>
                <w:sz w:val="24"/>
                <w:szCs w:val="24"/>
                <w:highlight w:val="none"/>
                <w:lang w:val="en-US" w:eastAsia="zh-Hans"/>
              </w:rPr>
              <w:t>（mm）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2.主体结构：喷涂、双层、正面抽屉×1</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.主体材质：国标SUS304不锈钢+轻型合金铝</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val="en-US" w:eastAsia="zh-Hans"/>
              </w:rPr>
              <w:t>.万向轮：φ100全ABS外罩双轴承，轮面 pu材质，防锈防卷发静音万向轮</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5</w:t>
            </w:r>
            <w:r>
              <w:rPr>
                <w:rFonts w:hint="eastAsia" w:ascii="仿宋" w:hAnsi="仿宋" w:eastAsia="仿宋" w:cs="仿宋"/>
                <w:color w:val="auto"/>
                <w:sz w:val="24"/>
                <w:szCs w:val="24"/>
                <w:highlight w:val="none"/>
                <w:lang w:val="en-US" w:eastAsia="zh-Hans"/>
              </w:rPr>
              <w:t>.导轨：1</w:t>
            </w:r>
            <w:r>
              <w:rPr>
                <w:rFonts w:hint="eastAsia"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val="en-US" w:eastAsia="zh-Hans"/>
              </w:rPr>
              <w:t>寸台湾金斯莱得抽屉导轨为原产地台湾品牌附式。</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6</w:t>
            </w:r>
            <w:r>
              <w:rPr>
                <w:rFonts w:hint="eastAsia" w:ascii="仿宋" w:hAnsi="仿宋" w:eastAsia="仿宋" w:cs="仿宋"/>
                <w:color w:val="auto"/>
                <w:sz w:val="24"/>
                <w:szCs w:val="24"/>
                <w:highlight w:val="none"/>
                <w:lang w:val="en-US" w:eastAsia="zh-Hans"/>
              </w:rPr>
              <w:t>.车体四周安装有强力塑胶防撞圈优质静音伸缩吸</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4624" behindDoc="0" locked="0" layoutInCell="1" allowOverlap="1">
                  <wp:simplePos x="0" y="0"/>
                  <wp:positionH relativeFrom="column">
                    <wp:posOffset>21590</wp:posOffset>
                  </wp:positionH>
                  <wp:positionV relativeFrom="paragraph">
                    <wp:posOffset>433070</wp:posOffset>
                  </wp:positionV>
                  <wp:extent cx="1030605" cy="1038225"/>
                  <wp:effectExtent l="0" t="0" r="17145" b="9525"/>
                  <wp:wrapTopAndBottom/>
                  <wp:docPr id="688719" name="ID_356CE7EB858D4BD69C0F53AD45A6E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9" name="ID_356CE7EB858D4BD69C0F53AD45A6EB58"/>
                          <pic:cNvPicPr>
                            <a:picLocks noChangeAspect="1"/>
                          </pic:cNvPicPr>
                        </pic:nvPicPr>
                        <pic:blipFill>
                          <a:blip r:embed="rId41"/>
                          <a:stretch>
                            <a:fillRect/>
                          </a:stretch>
                        </pic:blipFill>
                        <pic:spPr>
                          <a:xfrm>
                            <a:off x="0" y="0"/>
                            <a:ext cx="1030605" cy="10382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污物转运车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1.尺寸：1000×500×810/950(mm)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2规格：不锈钢管、三层无抽、双袋</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3.材质：国标SUS304不锈钢+轻型合金材料组合</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4.主材规格：板材厚度≥1.0mm，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主管材：φ25×1.0mm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5.表面静电喷涂，颜色于与病房环境和谐一致</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6.万向轮：φ100聚胺酯双轴承静音脚轮，防卷发</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7.优质静音自吸式止动防滑伸缩导轨</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8.车体四周安装有强力塑胶防撞条</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9.污物袋材质为易于清洁、防缩水布料</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5648" behindDoc="0" locked="0" layoutInCell="1" allowOverlap="1">
                  <wp:simplePos x="0" y="0"/>
                  <wp:positionH relativeFrom="column">
                    <wp:posOffset>78740</wp:posOffset>
                  </wp:positionH>
                  <wp:positionV relativeFrom="paragraph">
                    <wp:posOffset>585470</wp:posOffset>
                  </wp:positionV>
                  <wp:extent cx="922020" cy="889635"/>
                  <wp:effectExtent l="0" t="0" r="11430" b="5715"/>
                  <wp:wrapTopAndBottom/>
                  <wp:docPr id="6" name="ID_97D94418EF1F45AB9FE6CC9178869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97D94418EF1F45AB9FE6CC9178869F0A"/>
                          <pic:cNvPicPr>
                            <a:picLocks noChangeAspect="1"/>
                          </pic:cNvPicPr>
                        </pic:nvPicPr>
                        <pic:blipFill>
                          <a:blip r:embed="rId29"/>
                          <a:stretch>
                            <a:fillRect/>
                          </a:stretch>
                        </pic:blipFill>
                        <pic:spPr>
                          <a:xfrm>
                            <a:off x="0" y="0"/>
                            <a:ext cx="922020" cy="8896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污物车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1.尺寸：560×560×850(mm)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2.规格：方型双袋</w:t>
            </w:r>
          </w:p>
          <w:p>
            <w:pPr>
              <w:pageBreakBefore w:val="0"/>
              <w:kinsoku/>
              <w:wordWrap/>
              <w:overflowPunct/>
              <w:topLinePunct w:val="0"/>
              <w:bidi w:val="0"/>
              <w:snapToGrid/>
              <w:spacing w:line="440" w:lineRule="exact"/>
              <w:jc w:val="both"/>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4.主材规格：主管材φ25×1.2mm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5.万向轮：φ100聚胺酯双轴承静音脚轮，防卷发</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6.污物袋材质为易于清洁、防缩水布料</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6672" behindDoc="0" locked="0" layoutInCell="1" allowOverlap="1">
                  <wp:simplePos x="0" y="0"/>
                  <wp:positionH relativeFrom="column">
                    <wp:posOffset>0</wp:posOffset>
                  </wp:positionH>
                  <wp:positionV relativeFrom="paragraph">
                    <wp:posOffset>-138430</wp:posOffset>
                  </wp:positionV>
                  <wp:extent cx="1140460" cy="1184275"/>
                  <wp:effectExtent l="0" t="0" r="2540" b="15875"/>
                  <wp:wrapTopAndBottom/>
                  <wp:docPr id="691235" name="ID_F220309DD49849BFBD448DA391D3D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35" name="ID_F220309DD49849BFBD448DA391D3D00F"/>
                          <pic:cNvPicPr>
                            <a:picLocks noChangeAspect="1"/>
                          </pic:cNvPicPr>
                        </pic:nvPicPr>
                        <pic:blipFill>
                          <a:blip r:embed="rId42"/>
                          <a:stretch>
                            <a:fillRect/>
                          </a:stretch>
                        </pic:blipFill>
                        <pic:spPr>
                          <a:xfrm>
                            <a:off x="0" y="0"/>
                            <a:ext cx="1140460" cy="118427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物品精细化管理存放设施-篮筐式</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1.尺寸：473×627×2000（mm）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拼装式，单列，标配进口透明物品管理盒：400×600×200×3只、400×600×100×4只（每只400×600×200进口透明物品管理盒内标配：长隔片×1、标牌卡×2；每只400×600×100进口透明物品管理盒内标配：长隔片×1、短隔片×1、标牌卡×4），顶部二层为倾斜式，二十六层间距可调、每层间距64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4.表面喷涂处理：管材淡蓝色、层板珍珠白、</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5.工艺：管材电抛光处理，质感更强，更防腐。</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6.材质：06Cr19Ni10标号的不锈钢（并符合GB/T 3280-2007的要求，镍金属含量不低于8%）</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7.主材规格：板材厚度≥1.2mm，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7696" behindDoc="0" locked="0" layoutInCell="1" allowOverlap="1">
                  <wp:simplePos x="0" y="0"/>
                  <wp:positionH relativeFrom="column">
                    <wp:posOffset>164465</wp:posOffset>
                  </wp:positionH>
                  <wp:positionV relativeFrom="paragraph">
                    <wp:posOffset>845820</wp:posOffset>
                  </wp:positionV>
                  <wp:extent cx="746760" cy="1736090"/>
                  <wp:effectExtent l="0" t="0" r="15240" b="16510"/>
                  <wp:wrapTopAndBottom/>
                  <wp:docPr id="690692" name="ID_2C5313DFD40F41A5AB7C3F1880BBF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92" name="ID_2C5313DFD40F41A5AB7C3F1880BBFC68"/>
                          <pic:cNvPicPr>
                            <a:picLocks noChangeAspect="1"/>
                          </pic:cNvPicPr>
                        </pic:nvPicPr>
                        <pic:blipFill>
                          <a:blip r:embed="rId43"/>
                          <a:stretch>
                            <a:fillRect/>
                          </a:stretch>
                        </pic:blipFill>
                        <pic:spPr>
                          <a:xfrm>
                            <a:off x="0" y="0"/>
                            <a:ext cx="746760" cy="17360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德式组合型存放架</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1.尺寸：1200×500×2000（mm）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2.规格：拼装式、标配四块激光开孔层板、十层间距可调、每层三面围栏</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3.为节省空间及产品整体美观度，此产品需为‘组合拼装式’相邻两台存放架只能共用两根立柱</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4.层板及调节支耳需为数控加工一体成型，不可有锐角、断面及任何焊接点，以保证层板调节时的强度及避免划伤工作人员</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5.工艺：管材电抛光处理，质感更强，更防腐。</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6</w:t>
            </w:r>
            <w:r>
              <w:rPr>
                <w:rFonts w:hint="eastAsia" w:ascii="仿宋" w:hAnsi="仿宋" w:eastAsia="仿宋" w:cs="仿宋"/>
                <w:color w:val="auto"/>
                <w:sz w:val="24"/>
                <w:szCs w:val="24"/>
                <w:highlight w:val="none"/>
                <w:lang w:val="en-US" w:eastAsia="zh-Hans"/>
              </w:rPr>
              <w:t>.主材规格：板材厚度≥1.2mm，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 xml:space="preserve">  主管材：25×25×1.2mm</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8720" behindDoc="0" locked="0" layoutInCell="1" allowOverlap="1">
                  <wp:simplePos x="0" y="0"/>
                  <wp:positionH relativeFrom="column">
                    <wp:posOffset>0</wp:posOffset>
                  </wp:positionH>
                  <wp:positionV relativeFrom="paragraph">
                    <wp:posOffset>-1429385</wp:posOffset>
                  </wp:positionV>
                  <wp:extent cx="1167130" cy="1650365"/>
                  <wp:effectExtent l="0" t="0" r="13970" b="6985"/>
                  <wp:wrapTopAndBottom/>
                  <wp:docPr id="690978" name="ID_4DC938D1F8AD469EAD3A9D4BC3267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8" name="ID_4DC938D1F8AD469EAD3A9D4BC326783C"/>
                          <pic:cNvPicPr>
                            <a:picLocks noChangeAspect="1"/>
                          </pic:cNvPicPr>
                        </pic:nvPicPr>
                        <pic:blipFill>
                          <a:blip r:embed="rId44"/>
                          <a:stretch>
                            <a:fillRect/>
                          </a:stretch>
                        </pic:blipFill>
                        <pic:spPr>
                          <a:xfrm>
                            <a:off x="0" y="0"/>
                            <a:ext cx="1167130" cy="165036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28"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rPr>
              <w:t>硬质容器转运</w:t>
            </w:r>
            <w:r>
              <w:rPr>
                <w:rFonts w:hint="eastAsia" w:ascii="仿宋" w:hAnsi="仿宋" w:eastAsia="仿宋" w:cs="仿宋"/>
                <w:color w:val="auto"/>
                <w:sz w:val="24"/>
                <w:szCs w:val="24"/>
                <w:highlight w:val="none"/>
                <w:lang w:val="en-US" w:eastAsia="zh-Hans"/>
              </w:rPr>
              <w:t>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1.尺寸：690/785×645×1450（mm）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2.规格：主体结构：双列，每列标配五层导轨、十五层间距可调、每层间距75mm、存放硬质容器最大宽度为：295mm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3.材质SUS304。</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4.工艺：管材电抛光处理，质感更强，更防腐。</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5</w:t>
            </w:r>
            <w:r>
              <w:rPr>
                <w:rFonts w:hint="eastAsia" w:ascii="仿宋" w:hAnsi="仿宋" w:eastAsia="仿宋" w:cs="仿宋"/>
                <w:color w:val="auto"/>
                <w:sz w:val="24"/>
                <w:szCs w:val="24"/>
                <w:highlight w:val="none"/>
                <w:lang w:val="en-US" w:eastAsia="zh-Hans"/>
              </w:rPr>
              <w:t>.主材规格：板材厚度≥1.2mm，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6</w:t>
            </w:r>
            <w:r>
              <w:rPr>
                <w:rFonts w:hint="eastAsia" w:ascii="仿宋" w:hAnsi="仿宋" w:eastAsia="仿宋" w:cs="仿宋"/>
                <w:color w:val="auto"/>
                <w:sz w:val="24"/>
                <w:szCs w:val="24"/>
                <w:highlight w:val="none"/>
                <w:lang w:val="en-US" w:eastAsia="zh-Hans"/>
              </w:rPr>
              <w:t>.万向轮：φ100聚胺酯双轴承静音脚轮，防卷发</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79744" behindDoc="0" locked="0" layoutInCell="1" allowOverlap="1">
                  <wp:simplePos x="0" y="0"/>
                  <wp:positionH relativeFrom="column">
                    <wp:posOffset>0</wp:posOffset>
                  </wp:positionH>
                  <wp:positionV relativeFrom="paragraph">
                    <wp:posOffset>-104140</wp:posOffset>
                  </wp:positionV>
                  <wp:extent cx="1159510" cy="1736090"/>
                  <wp:effectExtent l="0" t="0" r="2540" b="16510"/>
                  <wp:wrapTopAndBottom/>
                  <wp:docPr id="690623" name="ID_0A03E74A93A34E86B17217D0A7107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23" name="ID_0A03E74A93A34E86B17217D0A7107F4D"/>
                          <pic:cNvPicPr>
                            <a:picLocks noChangeAspect="1"/>
                          </pic:cNvPicPr>
                        </pic:nvPicPr>
                        <pic:blipFill>
                          <a:blip r:embed="rId45"/>
                          <a:stretch>
                            <a:fillRect/>
                          </a:stretch>
                        </pic:blipFill>
                        <pic:spPr>
                          <a:xfrm>
                            <a:off x="0" y="0"/>
                            <a:ext cx="1159510" cy="17360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无菌物品室内运转车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1.尺寸：800×500×1600(mm)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2.规格：四层、三层棒料网格层板、底层为整板、整体电抛光处理</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3.材质：国标SUS304不锈钢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4.主材规格：主管材φ25×1.2mm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5.万向轮：φ100聚胺酯双轴承静音脚轮，防卷发</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0768" behindDoc="0" locked="0" layoutInCell="1" allowOverlap="1">
                  <wp:simplePos x="0" y="0"/>
                  <wp:positionH relativeFrom="column">
                    <wp:posOffset>59690</wp:posOffset>
                  </wp:positionH>
                  <wp:positionV relativeFrom="paragraph">
                    <wp:posOffset>-995680</wp:posOffset>
                  </wp:positionV>
                  <wp:extent cx="969010" cy="1637030"/>
                  <wp:effectExtent l="0" t="0" r="2540" b="1270"/>
                  <wp:wrapTopAndBottom/>
                  <wp:docPr id="691232" name="ID_0057C3B76F7B4708921FEF25C5A02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32" name="ID_0057C3B76F7B4708921FEF25C5A0244B"/>
                          <pic:cNvPicPr>
                            <a:picLocks noChangeAspect="1"/>
                          </pic:cNvPicPr>
                        </pic:nvPicPr>
                        <pic:blipFill>
                          <a:blip r:embed="rId46"/>
                          <a:stretch>
                            <a:fillRect/>
                          </a:stretch>
                        </pic:blipFill>
                        <pic:spPr>
                          <a:xfrm>
                            <a:off x="0" y="0"/>
                            <a:ext cx="969010" cy="163703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分类耗材储运车单列</w:t>
            </w:r>
          </w:p>
        </w:tc>
        <w:tc>
          <w:tcPr>
            <w:tcW w:w="4475" w:type="dxa"/>
            <w:shd w:val="clear" w:color="auto" w:fill="auto"/>
            <w:vAlign w:val="center"/>
          </w:tcPr>
          <w:p>
            <w:pPr>
              <w:pageBreakBefore w:val="0"/>
              <w:tabs>
                <w:tab w:val="left" w:pos="1990"/>
              </w:tabs>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1.尺寸：555×580×1620（</w:t>
            </w:r>
            <w:r>
              <w:rPr>
                <w:rFonts w:hint="eastAsia" w:ascii="仿宋" w:hAnsi="仿宋" w:eastAsia="仿宋" w:cs="仿宋"/>
                <w:color w:val="auto"/>
                <w:sz w:val="24"/>
                <w:szCs w:val="24"/>
                <w:highlight w:val="none"/>
                <w:lang w:val="en-US" w:eastAsia="zh-Hans"/>
              </w:rPr>
              <w:t>mm)</w:t>
            </w:r>
          </w:p>
          <w:p>
            <w:pPr>
              <w:pageBreakBefore w:val="0"/>
              <w:tabs>
                <w:tab w:val="left" w:pos="1990"/>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2.规格：双侧使用，“DIN”标准灭菌篮筐（575×280×265）×4只，“DIN”标准灭菌篮筐（575×280×65/180）×4只、整车电抛光处理。</w:t>
            </w:r>
          </w:p>
          <w:p>
            <w:pPr>
              <w:pageBreakBefore w:val="0"/>
              <w:tabs>
                <w:tab w:val="left" w:pos="1990"/>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2.材质：国标SUS304不锈钢</w:t>
            </w:r>
          </w:p>
          <w:p>
            <w:pPr>
              <w:pageBreakBefore w:val="0"/>
              <w:tabs>
                <w:tab w:val="left" w:pos="1990"/>
              </w:tabs>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3.万向轮：φ100聚胺脂双轴承静音角轮防卷发</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1792" behindDoc="0" locked="0" layoutInCell="1" allowOverlap="1">
                  <wp:simplePos x="0" y="0"/>
                  <wp:positionH relativeFrom="column">
                    <wp:posOffset>126365</wp:posOffset>
                  </wp:positionH>
                  <wp:positionV relativeFrom="paragraph">
                    <wp:posOffset>-551180</wp:posOffset>
                  </wp:positionV>
                  <wp:extent cx="835025" cy="1736090"/>
                  <wp:effectExtent l="0" t="0" r="3175" b="16510"/>
                  <wp:wrapTopAndBottom/>
                  <wp:docPr id="690617" name="ID_5E057302123B411DA03D050570B8C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17" name="ID_5E057302123B411DA03D050570B8C6BC"/>
                          <pic:cNvPicPr>
                            <a:picLocks noChangeAspect="1"/>
                          </pic:cNvPicPr>
                        </pic:nvPicPr>
                        <pic:blipFill>
                          <a:blip r:embed="rId47"/>
                          <a:stretch>
                            <a:fillRect/>
                          </a:stretch>
                        </pic:blipFill>
                        <pic:spPr>
                          <a:xfrm>
                            <a:off x="0" y="0"/>
                            <a:ext cx="835025" cy="17360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篮筐推车（BUS）车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1.尺寸：660×445×1600(mm)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2.规格：全不锈钢、五层，带倾斜放置及锁定功能，可做大输液分类转运车</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3.产品组成：标配“SPRI”灭菌篮筐（585×395×195）×5只</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4.表面处理：整车电抛光处理</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5.主材规格：主管材φ25×1.2mm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6.万向轮：φ100聚胺酯双轴承静音脚轮，防卷发</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2816" behindDoc="0" locked="0" layoutInCell="1" allowOverlap="1">
                  <wp:simplePos x="0" y="0"/>
                  <wp:positionH relativeFrom="column">
                    <wp:posOffset>88265</wp:posOffset>
                  </wp:positionH>
                  <wp:positionV relativeFrom="paragraph">
                    <wp:posOffset>-411480</wp:posOffset>
                  </wp:positionV>
                  <wp:extent cx="906145" cy="1736090"/>
                  <wp:effectExtent l="0" t="0" r="8255" b="16510"/>
                  <wp:wrapTopAndBottom/>
                  <wp:docPr id="690934" name="ID_6C163762B9BB4A98A1CCE9757266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34" name="ID_6C163762B9BB4A98A1CCE97572669957"/>
                          <pic:cNvPicPr>
                            <a:picLocks noChangeAspect="1"/>
                          </pic:cNvPicPr>
                        </pic:nvPicPr>
                        <pic:blipFill>
                          <a:blip r:embed="rId48"/>
                          <a:stretch>
                            <a:fillRect/>
                          </a:stretch>
                        </pic:blipFill>
                        <pic:spPr>
                          <a:xfrm>
                            <a:off x="0" y="0"/>
                            <a:ext cx="906145" cy="17360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手术器械台</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尺寸：1120×580×930/1010(mm)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 xml:space="preserve">.主体结构：层叠式、台面模压一次成型、大号、单层（复合工艺），台面三面弯管式围栏，上台面加四面加强管。                                                                                                                                             </w:t>
            </w: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 xml:space="preserve">.主体材质：国标S304不锈钢                        </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3840" behindDoc="0" locked="0" layoutInCell="1" allowOverlap="1">
                  <wp:simplePos x="0" y="0"/>
                  <wp:positionH relativeFrom="column">
                    <wp:posOffset>193040</wp:posOffset>
                  </wp:positionH>
                  <wp:positionV relativeFrom="paragraph">
                    <wp:posOffset>96520</wp:posOffset>
                  </wp:positionV>
                  <wp:extent cx="703580" cy="680085"/>
                  <wp:effectExtent l="0" t="0" r="1270" b="5715"/>
                  <wp:wrapTopAndBottom/>
                  <wp:docPr id="691309" name="ID_97D2E7BCD1684978A7BCEADC8450A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09" name="ID_97D2E7BCD1684978A7BCEADC8450A499"/>
                          <pic:cNvPicPr>
                            <a:picLocks noChangeAspect="1"/>
                          </pic:cNvPicPr>
                        </pic:nvPicPr>
                        <pic:blipFill>
                          <a:blip r:embed="rId49"/>
                          <a:stretch>
                            <a:fillRect/>
                          </a:stretch>
                        </pic:blipFill>
                        <pic:spPr>
                          <a:xfrm>
                            <a:off x="0" y="0"/>
                            <a:ext cx="703580" cy="6800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清洗双槽柜</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尺寸：1800×700×850/950（mm)</w:t>
            </w:r>
          </w:p>
          <w:p>
            <w:pPr>
              <w:pageBreakBefore w:val="0"/>
              <w:kinsoku/>
              <w:wordWrap/>
              <w:overflowPunct/>
              <w:topLinePunct w:val="0"/>
              <w:bidi w:val="0"/>
              <w:snapToGrid/>
              <w:spacing w:line="440" w:lineRule="exact"/>
              <w:jc w:val="left"/>
              <w:rPr>
                <w:rFonts w:hint="eastAsia" w:ascii="仿宋" w:hAnsi="仿宋" w:eastAsia="仿宋" w:cs="仿宋"/>
                <w:b/>
                <w:bCs/>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主体结构：双槽+操作平台，下部四门组合柜，水槽台面及槽体均为模压成型（非拼接），</w:t>
            </w:r>
            <w:r>
              <w:rPr>
                <w:rFonts w:hint="eastAsia" w:ascii="仿宋" w:hAnsi="仿宋" w:eastAsia="仿宋" w:cs="仿宋"/>
                <w:b/>
                <w:bCs/>
                <w:color w:val="auto"/>
                <w:sz w:val="24"/>
                <w:szCs w:val="24"/>
                <w:highlight w:val="none"/>
                <w:lang w:val="en-US" w:eastAsia="zh-Hans"/>
              </w:rPr>
              <w:t>为满足各种型号清洗网篮的放置，水槽槽体定制尺寸为620×500×275（mm）；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产品组成：优质手动混合水龙头</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val="en-US" w:eastAsia="zh-Hans"/>
              </w:rPr>
              <w:t>主体材质：槽体为国标S316不锈钢，其余为国标S304不锈钢</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b/>
                <w:bCs/>
                <w:color w:val="auto"/>
                <w:sz w:val="24"/>
                <w:szCs w:val="24"/>
                <w:highlight w:val="none"/>
                <w:lang w:val="en-US" w:eastAsia="zh-Hans"/>
              </w:rPr>
              <w:t>※5.提供水槽槽体样品</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4864" behindDoc="0" locked="0" layoutInCell="1" allowOverlap="1">
                  <wp:simplePos x="0" y="0"/>
                  <wp:positionH relativeFrom="column">
                    <wp:posOffset>31115</wp:posOffset>
                  </wp:positionH>
                  <wp:positionV relativeFrom="paragraph">
                    <wp:posOffset>661670</wp:posOffset>
                  </wp:positionV>
                  <wp:extent cx="1028700" cy="802005"/>
                  <wp:effectExtent l="0" t="0" r="0" b="17145"/>
                  <wp:wrapTopAndBottom/>
                  <wp:docPr id="691186" name="ID_D5E64CC9C9D149EFAA49983EAD88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86" name="ID_D5E64CC9C9D149EFAA49983EAD88EE29"/>
                          <pic:cNvPicPr>
                            <a:picLocks noChangeAspect="1"/>
                          </pic:cNvPicPr>
                        </pic:nvPicPr>
                        <pic:blipFill>
                          <a:blip r:embed="rId50"/>
                          <a:stretch>
                            <a:fillRect/>
                          </a:stretch>
                        </pic:blipFill>
                        <pic:spPr>
                          <a:xfrm>
                            <a:off x="0" y="0"/>
                            <a:ext cx="1028700" cy="8020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不锈钢输液车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尺寸：415×550×790/920（mm)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主体结构：上部：不锈钢活动方盘×2；下部：优质塑料污物桶×2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.主体材质：国标S304不锈钢</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5888" behindDoc="0" locked="0" layoutInCell="1" allowOverlap="1">
                  <wp:simplePos x="0" y="0"/>
                  <wp:positionH relativeFrom="column">
                    <wp:posOffset>78740</wp:posOffset>
                  </wp:positionH>
                  <wp:positionV relativeFrom="paragraph">
                    <wp:posOffset>-557530</wp:posOffset>
                  </wp:positionV>
                  <wp:extent cx="919480" cy="1189355"/>
                  <wp:effectExtent l="0" t="0" r="13970" b="10795"/>
                  <wp:wrapTopAndBottom/>
                  <wp:docPr id="688728" name="ID_F1AEEABD97064BA09A246E37BA7A9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28" name="ID_F1AEEABD97064BA09A246E37BA7A983E"/>
                          <pic:cNvPicPr>
                            <a:picLocks noChangeAspect="1"/>
                          </pic:cNvPicPr>
                        </pic:nvPicPr>
                        <pic:blipFill>
                          <a:blip r:embed="rId51"/>
                          <a:stretch>
                            <a:fillRect/>
                          </a:stretch>
                        </pic:blipFill>
                        <pic:spPr>
                          <a:xfrm>
                            <a:off x="0" y="0"/>
                            <a:ext cx="919480" cy="11893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w:t>
            </w:r>
          </w:p>
        </w:tc>
        <w:tc>
          <w:tcPr>
            <w:tcW w:w="1269"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输液车</w:t>
            </w:r>
          </w:p>
        </w:tc>
        <w:tc>
          <w:tcPr>
            <w:tcW w:w="4475"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1.</w:t>
            </w:r>
            <w:r>
              <w:rPr>
                <w:rFonts w:hint="eastAsia" w:ascii="仿宋" w:hAnsi="仿宋" w:eastAsia="仿宋" w:cs="仿宋"/>
                <w:color w:val="auto"/>
                <w:sz w:val="24"/>
                <w:szCs w:val="24"/>
                <w:highlight w:val="none"/>
                <w:lang w:val="en-US" w:eastAsia="zh-Hans"/>
              </w:rPr>
              <w:t>尺寸：450×500×900/980（mm)</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2.</w:t>
            </w:r>
            <w:r>
              <w:rPr>
                <w:rFonts w:hint="eastAsia" w:ascii="仿宋" w:hAnsi="仿宋" w:eastAsia="仿宋" w:cs="仿宋"/>
                <w:color w:val="auto"/>
                <w:sz w:val="24"/>
                <w:szCs w:val="24"/>
                <w:highlight w:val="none"/>
                <w:lang w:val="en-US" w:eastAsia="zh-Hans"/>
              </w:rPr>
              <w:t>主体结构：喷涂、三层、正面抽屉×1</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3.</w:t>
            </w:r>
            <w:r>
              <w:rPr>
                <w:rFonts w:hint="eastAsia" w:ascii="仿宋" w:hAnsi="仿宋" w:eastAsia="仿宋" w:cs="仿宋"/>
                <w:color w:val="auto"/>
                <w:sz w:val="24"/>
                <w:szCs w:val="24"/>
                <w:highlight w:val="none"/>
                <w:lang w:val="en-US" w:eastAsia="zh-Hans"/>
              </w:rPr>
              <w:t>产品组成：左侧：不锈钢储物篮×1；右侧：不锈钢手消挂架×1；下台面：优质塑料污物桶×2</w:t>
            </w:r>
          </w:p>
          <w:p>
            <w:pPr>
              <w:pageBreakBefore w:val="0"/>
              <w:kinsoku/>
              <w:wordWrap/>
              <w:overflowPunct/>
              <w:topLinePunct w:val="0"/>
              <w:bidi w:val="0"/>
              <w:snapToGrid/>
              <w:spacing w:line="440" w:lineRule="exact"/>
              <w:jc w:val="left"/>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eastAsia="zh-Hans"/>
              </w:rPr>
              <w:t>4.</w:t>
            </w:r>
            <w:r>
              <w:rPr>
                <w:rFonts w:hint="eastAsia" w:ascii="仿宋" w:hAnsi="仿宋" w:eastAsia="仿宋" w:cs="仿宋"/>
                <w:color w:val="auto"/>
                <w:sz w:val="24"/>
                <w:szCs w:val="24"/>
                <w:highlight w:val="none"/>
                <w:lang w:val="en-US" w:eastAsia="zh-Hans"/>
              </w:rPr>
              <w:t>.主体材质：国标S304不锈钢+轻型合金铝</w:t>
            </w:r>
          </w:p>
        </w:tc>
        <w:tc>
          <w:tcPr>
            <w:tcW w:w="58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lang w:val="en-US" w:eastAsia="zh-Hans"/>
              </w:rPr>
            </w:pPr>
            <w:r>
              <w:rPr>
                <w:rFonts w:hint="eastAsia" w:ascii="仿宋" w:hAnsi="仿宋" w:eastAsia="仿宋" w:cs="仿宋"/>
                <w:color w:val="auto"/>
                <w:sz w:val="24"/>
                <w:szCs w:val="24"/>
                <w:highlight w:val="none"/>
                <w:lang w:val="en-US" w:eastAsia="zh-Hans"/>
              </w:rPr>
              <w:t>台</w:t>
            </w:r>
          </w:p>
        </w:tc>
        <w:tc>
          <w:tcPr>
            <w:tcW w:w="766"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34"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86912" behindDoc="0" locked="0" layoutInCell="1" allowOverlap="1">
                  <wp:simplePos x="0" y="0"/>
                  <wp:positionH relativeFrom="column">
                    <wp:posOffset>88265</wp:posOffset>
                  </wp:positionH>
                  <wp:positionV relativeFrom="paragraph">
                    <wp:posOffset>-271780</wp:posOffset>
                  </wp:positionV>
                  <wp:extent cx="908050" cy="1333500"/>
                  <wp:effectExtent l="0" t="0" r="6350" b="0"/>
                  <wp:wrapTopAndBottom/>
                  <wp:docPr id="688727" name="ID_87B50ADFF1B64F53AC491BC2A65BD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27" name="ID_87B50ADFF1B64F53AC491BC2A65BD9BF"/>
                          <pic:cNvPicPr>
                            <a:picLocks noChangeAspect="1"/>
                          </pic:cNvPicPr>
                        </pic:nvPicPr>
                        <pic:blipFill>
                          <a:blip r:embed="rId52"/>
                          <a:stretch>
                            <a:fillRect/>
                          </a:stretch>
                        </pic:blipFill>
                        <pic:spPr>
                          <a:xfrm>
                            <a:off x="0" y="0"/>
                            <a:ext cx="908050" cy="1333500"/>
                          </a:xfrm>
                          <a:prstGeom prst="rect">
                            <a:avLst/>
                          </a:prstGeom>
                          <a:noFill/>
                          <a:ln w="9525">
                            <a:noFill/>
                          </a:ln>
                        </pic:spPr>
                      </pic:pic>
                    </a:graphicData>
                  </a:graphic>
                </wp:anchor>
              </w:drawing>
            </w:r>
          </w:p>
        </w:tc>
      </w:tr>
    </w:tbl>
    <w:p>
      <w:pPr>
        <w:pageBreakBefore w:val="0"/>
        <w:kinsoku/>
        <w:wordWrap/>
        <w:overflowPunct/>
        <w:topLinePunct w:val="0"/>
        <w:bidi w:val="0"/>
        <w:snapToGrid/>
        <w:spacing w:after="240" w:line="440" w:lineRule="exact"/>
        <w:ind w:firstLine="424" w:firstLineChars="177"/>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备注：以上采购清单中的所有产品的尺寸是由采购人根据场地情况、布局设计和实际需要确定，在不影响实际使用、现场安装和质量的前提下，实际交付的产品尺寸允许存在合理的误差（合理误差范围为±5㎜以内）</w:t>
      </w:r>
      <w:r>
        <w:rPr>
          <w:rFonts w:hint="eastAsia" w:ascii="仿宋" w:hAnsi="仿宋" w:eastAsia="仿宋" w:cs="仿宋"/>
          <w:b w:val="0"/>
          <w:bCs/>
          <w:color w:val="000000" w:themeColor="text1"/>
          <w:sz w:val="24"/>
          <w:szCs w:val="24"/>
          <w:highlight w:val="none"/>
          <w:lang w:eastAsia="zh-Hans"/>
          <w14:textFill>
            <w14:solidFill>
              <w14:schemeClr w14:val="tx1"/>
            </w14:solidFill>
          </w14:textFill>
        </w:rPr>
        <w:t>，</w:t>
      </w: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所有图</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片</w:t>
      </w: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需更换为投产</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的产品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实物照片</w:t>
      </w:r>
      <w:r>
        <w:rPr>
          <w:rFonts w:hint="eastAsia" w:ascii="仿宋" w:hAnsi="仿宋" w:eastAsia="仿宋" w:cs="仿宋"/>
          <w:b w:val="0"/>
          <w:bCs/>
          <w:color w:val="000000" w:themeColor="text1"/>
          <w:sz w:val="24"/>
          <w:szCs w:val="24"/>
          <w:highlight w:val="none"/>
          <w14:textFill>
            <w14:solidFill>
              <w14:schemeClr w14:val="tx1"/>
            </w14:solidFill>
          </w14:textFill>
        </w:rPr>
        <w:t>。</w:t>
      </w:r>
    </w:p>
    <w:p>
      <w:pPr>
        <w:pStyle w:val="4"/>
        <w:pageBreakBefore w:val="0"/>
        <w:numPr>
          <w:ilvl w:val="0"/>
          <w:numId w:val="0"/>
        </w:numPr>
        <w:tabs>
          <w:tab w:val="left" w:pos="2651"/>
          <w:tab w:val="clear" w:pos="900"/>
        </w:tabs>
        <w:kinsoku/>
        <w:wordWrap/>
        <w:overflowPunct/>
        <w:topLinePunct w:val="0"/>
        <w:bidi w:val="0"/>
        <w:snapToGrid/>
        <w:spacing w:line="44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color w:val="000000" w:themeColor="text1"/>
          <w:sz w:val="24"/>
          <w:szCs w:val="24"/>
          <w:highlight w:val="none"/>
          <w14:textFill>
            <w14:solidFill>
              <w14:schemeClr w14:val="tx1"/>
            </w14:solidFill>
          </w14:textFill>
        </w:rPr>
        <w:t>材质、主要配件及工艺技术要求</w:t>
      </w:r>
    </w:p>
    <w:tbl>
      <w:tblPr>
        <w:tblStyle w:val="62"/>
        <w:tblW w:w="10490"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3"/>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trPr>
        <w:tc>
          <w:tcPr>
            <w:tcW w:w="993"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9497" w:type="dxa"/>
            <w:shd w:val="clear" w:color="auto" w:fill="auto"/>
            <w:noWrap/>
            <w:vAlign w:val="center"/>
          </w:tcPr>
          <w:p>
            <w:pPr>
              <w:pageBreakBefore w:val="0"/>
              <w:kinsoku/>
              <w:wordWrap/>
              <w:overflowPunct/>
              <w:topLinePunct w:val="0"/>
              <w:bidi w:val="0"/>
              <w:snapToGrid/>
              <w:spacing w:line="440" w:lineRule="exact"/>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993"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9497"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主体材质：国标S304不锈钢+轻型合金铝（不锈钢符合GB/T3280-2015（自2020年1月1日起</w:t>
            </w: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每年</w:t>
            </w:r>
            <w:r>
              <w:rPr>
                <w:rFonts w:hint="eastAsia" w:ascii="仿宋" w:hAnsi="仿宋" w:eastAsia="仿宋" w:cs="仿宋"/>
                <w:b w:val="0"/>
                <w:bCs/>
                <w:color w:val="000000" w:themeColor="text1"/>
                <w:sz w:val="24"/>
                <w:szCs w:val="24"/>
                <w:highlight w:val="none"/>
                <w14:textFill>
                  <w14:solidFill>
                    <w14:schemeClr w14:val="tx1"/>
                  </w14:solidFill>
                </w14:textFill>
              </w:rPr>
              <w:t>检测一次“不锈”“Ni”的化学成分：8%~10%）</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（证明材料：提供第三方具有相关资质检测机构出具的检测报告，复印件加盖投标人公章）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993"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9497"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抽屉导轨：静音导轨，具有止动防滑功能。“过载、功能、耐腐蚀”三类项目均符合QB/T 2454-2013标准要求（证明材料：提供第三方具有相关资质检测机构出具的检测报告，复印件加盖投标人公章）。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993"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9497"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脚轮（万向轮）：φ100全ABS外罩双轴承静音轮，轮面pu材质，防锈防卷发。“外观、装配、静载荷”三类项目均符合QB/T 4765-2014标准要求（证明材料：提供第三方具有相关资质检测机构出具的检测报告，复印件加盖投标人公章）。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993"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9497"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表面处理：喷涂，色彩设计，（表面静电喷涂工艺（符合GB/T3325-2017（</w:t>
            </w: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自2020年1月1日起</w:t>
            </w:r>
            <w:r>
              <w:rPr>
                <w:rFonts w:hint="eastAsia" w:ascii="仿宋" w:hAnsi="仿宋" w:eastAsia="仿宋" w:cs="仿宋"/>
                <w:b w:val="0"/>
                <w:bCs/>
                <w:color w:val="000000" w:themeColor="text1"/>
                <w:sz w:val="24"/>
                <w:szCs w:val="24"/>
                <w:highlight w:val="none"/>
                <w14:textFill>
                  <w14:solidFill>
                    <w14:schemeClr w14:val="tx1"/>
                  </w14:solidFill>
                </w14:textFill>
              </w:rPr>
              <w:t>每年检测一次产品表面喷涂的冲击强度及耐腐蚀性——①硬度≥H；2、冲击强度：应无剥落、裂纹、皱纹；3、附着力：应不低于2级；4、耐腐蚀（100h内，观察在溶剂中样板上划道两侧3mm以外，应无气泡产生；100h后，检查划道两侧3mm外，应无锈迹、剥落、起皱、变色和失光等现象</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（证明材料：提供第三方具有相关资质检测机构出具的检测报告，复印件加盖投标人公章）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993" w:type="dxa"/>
            <w:shd w:val="clear" w:color="auto" w:fill="auto"/>
            <w:vAlign w:val="center"/>
          </w:tcPr>
          <w:p>
            <w:pPr>
              <w:pageBreakBefore w:val="0"/>
              <w:kinsoku/>
              <w:wordWrap/>
              <w:overflowPunct/>
              <w:topLinePunct w:val="0"/>
              <w:bidi w:val="0"/>
              <w:snapToGrid/>
              <w:spacing w:line="44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9497" w:type="dxa"/>
            <w:shd w:val="clear" w:color="auto" w:fill="auto"/>
            <w:vAlign w:val="center"/>
          </w:tcPr>
          <w:p>
            <w:pPr>
              <w:pageBreakBefore w:val="0"/>
              <w:kinsoku/>
              <w:wordWrap/>
              <w:overflowPunct/>
              <w:topLinePunct w:val="0"/>
              <w:bidi w:val="0"/>
              <w:snapToGrid/>
              <w:spacing w:line="440" w:lineRule="exact"/>
              <w:jc w:val="left"/>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Hans"/>
                <w14:textFill>
                  <w14:solidFill>
                    <w14:schemeClr w14:val="tx1"/>
                  </w14:solidFill>
                </w14:textFill>
              </w:rPr>
              <w:t>静音测试：</w:t>
            </w:r>
            <w:r>
              <w:rPr>
                <w:rFonts w:hint="eastAsia" w:ascii="仿宋" w:hAnsi="仿宋" w:eastAsia="仿宋" w:cs="仿宋"/>
                <w:b w:val="0"/>
                <w:bCs/>
                <w:color w:val="000000" w:themeColor="text1"/>
                <w:sz w:val="24"/>
                <w:szCs w:val="24"/>
                <w:highlight w:val="none"/>
                <w14:textFill>
                  <w14:solidFill>
                    <w14:schemeClr w14:val="tx1"/>
                  </w14:solidFill>
                </w14:textFill>
              </w:rPr>
              <w:t>车辆通过行走噪音测试（符合GB3096-2008声环境质量标准（移动类产品、设施符合医疗机构（1类）的环境噪声限值dB（A）要求（夜间50 dB（A）以内）</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（证明材料：提供第三方具有相关资质检测机构出具的检测报告，复印件加盖投标人公章）</w:t>
            </w:r>
          </w:p>
        </w:tc>
      </w:tr>
    </w:tbl>
    <w:p>
      <w:pPr>
        <w:pStyle w:val="114"/>
        <w:pageBreakBefore w:val="0"/>
        <w:kinsoku/>
        <w:wordWrap/>
        <w:overflowPunct/>
        <w:topLinePunct w:val="0"/>
        <w:bidi w:val="0"/>
        <w:snapToGrid/>
        <w:spacing w:line="440" w:lineRule="exact"/>
        <w:rPr>
          <w:rFonts w:hint="eastAsia" w:ascii="仿宋" w:hAnsi="仿宋" w:eastAsia="仿宋" w:cs="仿宋"/>
          <w:sz w:val="24"/>
          <w:szCs w:val="24"/>
          <w:highlight w:val="none"/>
        </w:rPr>
      </w:pPr>
    </w:p>
    <w:p>
      <w:pPr>
        <w:pStyle w:val="3"/>
        <w:pageBreakBefore w:val="0"/>
        <w:kinsoku/>
        <w:wordWrap/>
        <w:overflowPunct/>
        <w:topLinePunct w:val="0"/>
        <w:bidi w:val="0"/>
        <w:snapToGrid/>
        <w:spacing w:line="440" w:lineRule="exact"/>
        <w:rPr>
          <w:rFonts w:hint="eastAsia" w:ascii="仿宋" w:hAnsi="仿宋" w:eastAsia="仿宋" w:cs="仿宋"/>
          <w:color w:val="000000" w:themeColor="text1"/>
          <w:sz w:val="24"/>
          <w:szCs w:val="24"/>
          <w:highlight w:val="none"/>
          <w14:textFill>
            <w14:solidFill>
              <w14:schemeClr w14:val="tx1"/>
            </w14:solidFill>
          </w14:textFill>
        </w:rPr>
      </w:pPr>
      <w:bookmarkStart w:id="40" w:name="_Toc136869474"/>
      <w:r>
        <w:rPr>
          <w:rFonts w:hint="eastAsia" w:ascii="仿宋" w:hAnsi="仿宋" w:eastAsia="仿宋" w:cs="仿宋"/>
          <w:color w:val="000000" w:themeColor="text1"/>
          <w:sz w:val="24"/>
          <w:szCs w:val="24"/>
          <w:highlight w:val="none"/>
          <w:lang w:val="en-US" w:eastAsia="zh-Hans"/>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、投标样品</w:t>
      </w:r>
      <w:bookmarkEnd w:id="40"/>
    </w:p>
    <w:p>
      <w:pPr>
        <w:pageBreakBefore w:val="0"/>
        <w:kinsoku/>
        <w:wordWrap/>
        <w:overflowPunct/>
        <w:topLinePunct w:val="0"/>
        <w:bidi w:val="0"/>
        <w:snapToGrid/>
        <w:spacing w:line="440" w:lineRule="exact"/>
        <w:ind w:firstLine="422" w:firstLineChars="176"/>
        <w:rPr>
          <w:rFonts w:hint="eastAsia" w:ascii="仿宋" w:hAnsi="仿宋" w:eastAsia="仿宋" w:cs="仿宋"/>
          <w:b w:val="0"/>
          <w:bCs/>
          <w:snapToGrid w:val="0"/>
          <w:color w:val="000000" w:themeColor="text1"/>
          <w:kern w:val="28"/>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为更加直观、准确的评价各投标人所投定制类产品与采购需求的符合性以及评价各投标人所投定制类产品的材质、工艺、整体美观度及质量，本项目要求投标人按以下要求递交投标样品</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14:textFill>
            <w14:solidFill>
              <w14:schemeClr w14:val="tx1"/>
            </w14:solidFill>
          </w14:textFill>
        </w:rPr>
        <w:t>样品清单</w:t>
      </w:r>
      <w:r>
        <w:rPr>
          <w:rFonts w:hint="eastAsia" w:ascii="仿宋" w:hAnsi="仿宋" w:eastAsia="仿宋" w:cs="仿宋"/>
          <w:b w:val="0"/>
          <w:bCs/>
          <w:snapToGrid w:val="0"/>
          <w:color w:val="000000" w:themeColor="text1"/>
          <w:kern w:val="28"/>
          <w:sz w:val="24"/>
          <w:szCs w:val="24"/>
          <w:highlight w:val="none"/>
          <w:lang w:val="en-US" w:eastAsia="zh-CN"/>
          <w14:textFill>
            <w14:solidFill>
              <w14:schemeClr w14:val="tx1"/>
            </w14:solidFill>
          </w14:textFill>
        </w:rPr>
        <w:t>如下</w:t>
      </w:r>
      <w:r>
        <w:rPr>
          <w:rFonts w:hint="eastAsia" w:ascii="仿宋" w:hAnsi="仿宋" w:eastAsia="仿宋" w:cs="仿宋"/>
          <w:b w:val="0"/>
          <w:bCs/>
          <w:snapToGrid w:val="0"/>
          <w:color w:val="000000" w:themeColor="text1"/>
          <w:kern w:val="28"/>
          <w:sz w:val="24"/>
          <w:szCs w:val="24"/>
          <w:highlight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1、</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采购标的序号1</w:t>
      </w:r>
      <w:r>
        <w:rPr>
          <w:rFonts w:hint="eastAsia" w:ascii="仿宋" w:hAnsi="仿宋" w:eastAsia="仿宋" w:cs="仿宋"/>
          <w:b w:val="0"/>
          <w:bCs/>
          <w:snapToGrid w:val="0"/>
          <w:color w:val="000000" w:themeColor="text1"/>
          <w:kern w:val="28"/>
          <w:sz w:val="24"/>
          <w:szCs w:val="24"/>
          <w:highlight w:val="none"/>
          <w:u w:val="none"/>
          <w:lang w:val="en-US" w:eastAsia="zh-Hans"/>
          <w14:textFill>
            <w14:solidFill>
              <w14:schemeClr w14:val="tx1"/>
            </w14:solidFill>
          </w14:textFill>
        </w:rPr>
        <w:t>送药车</w:t>
      </w:r>
      <w:r>
        <w:rPr>
          <w:rFonts w:hint="eastAsia" w:ascii="仿宋" w:hAnsi="仿宋" w:eastAsia="仿宋" w:cs="仿宋"/>
          <w:b w:val="0"/>
          <w:bCs/>
          <w:snapToGrid w:val="0"/>
          <w:color w:val="000000" w:themeColor="text1"/>
          <w:kern w:val="28"/>
          <w:sz w:val="24"/>
          <w:szCs w:val="24"/>
          <w:highlight w:val="none"/>
          <w:u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1个</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2、</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采购标的序号</w:t>
      </w: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4</w:t>
      </w:r>
      <w:r>
        <w:rPr>
          <w:rFonts w:hint="eastAsia" w:ascii="仿宋" w:hAnsi="仿宋" w:eastAsia="仿宋" w:cs="仿宋"/>
          <w:b w:val="0"/>
          <w:bCs/>
          <w:snapToGrid w:val="0"/>
          <w:color w:val="auto"/>
          <w:kern w:val="28"/>
          <w:sz w:val="24"/>
          <w:szCs w:val="24"/>
          <w:highlight w:val="none"/>
          <w:u w:val="none"/>
          <w:lang w:val="en-US" w:eastAsia="zh-CN"/>
        </w:rPr>
        <w:t>大</w:t>
      </w:r>
      <w:r>
        <w:rPr>
          <w:rFonts w:hint="eastAsia" w:ascii="仿宋" w:hAnsi="仿宋" w:eastAsia="仿宋" w:cs="仿宋"/>
          <w:b w:val="0"/>
          <w:bCs/>
          <w:snapToGrid w:val="0"/>
          <w:color w:val="auto"/>
          <w:kern w:val="28"/>
          <w:sz w:val="24"/>
          <w:szCs w:val="24"/>
          <w:highlight w:val="none"/>
          <w:u w:val="none"/>
          <w:lang w:val="en-US" w:eastAsia="zh-Hans"/>
        </w:rPr>
        <w:t>治疗车</w:t>
      </w:r>
      <w:r>
        <w:rPr>
          <w:rFonts w:hint="eastAsia" w:ascii="仿宋" w:hAnsi="仿宋" w:eastAsia="仿宋" w:cs="仿宋"/>
          <w:b w:val="0"/>
          <w:bCs/>
          <w:snapToGrid w:val="0"/>
          <w:color w:val="000000" w:themeColor="text1"/>
          <w:kern w:val="28"/>
          <w:sz w:val="24"/>
          <w:szCs w:val="24"/>
          <w:highlight w:val="none"/>
          <w:u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1个</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3、</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采购标的序号9</w:t>
      </w:r>
      <w:r>
        <w:rPr>
          <w:rFonts w:hint="eastAsia" w:ascii="仿宋" w:hAnsi="仿宋" w:eastAsia="仿宋" w:cs="仿宋"/>
          <w:b w:val="0"/>
          <w:bCs/>
          <w:snapToGrid w:val="0"/>
          <w:color w:val="000000" w:themeColor="text1"/>
          <w:kern w:val="28"/>
          <w:sz w:val="24"/>
          <w:szCs w:val="24"/>
          <w:highlight w:val="none"/>
          <w:u w:val="none"/>
          <w:lang w:val="en-US" w:eastAsia="zh-Hans"/>
          <w14:textFill>
            <w14:solidFill>
              <w14:schemeClr w14:val="tx1"/>
            </w14:solidFill>
          </w14:textFill>
        </w:rPr>
        <w:t>气动双杆升降台</w:t>
      </w:r>
      <w:r>
        <w:rPr>
          <w:rFonts w:hint="eastAsia" w:ascii="仿宋" w:hAnsi="仿宋" w:eastAsia="仿宋" w:cs="仿宋"/>
          <w:b w:val="0"/>
          <w:bCs/>
          <w:snapToGrid w:val="0"/>
          <w:color w:val="000000" w:themeColor="text1"/>
          <w:kern w:val="28"/>
          <w:sz w:val="24"/>
          <w:szCs w:val="24"/>
          <w:highlight w:val="none"/>
          <w:u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1个</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4、</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采购标的序号26</w:t>
      </w: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清洗双槽柜（</w:t>
      </w:r>
      <w:r>
        <w:rPr>
          <w:rFonts w:hint="eastAsia" w:ascii="仿宋" w:hAnsi="仿宋" w:eastAsia="仿宋" w:cs="仿宋"/>
          <w:b/>
          <w:bCs/>
          <w:color w:val="auto"/>
          <w:sz w:val="24"/>
          <w:szCs w:val="24"/>
          <w:highlight w:val="none"/>
          <w:lang w:val="en-US" w:eastAsia="zh-Hans"/>
        </w:rPr>
        <w:t>水槽槽体</w:t>
      </w: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1个</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5、</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导轨</w:t>
      </w:r>
      <w:r>
        <w:rPr>
          <w:rFonts w:hint="eastAsia" w:ascii="仿宋" w:hAnsi="仿宋" w:eastAsia="仿宋" w:cs="仿宋"/>
          <w:b w:val="0"/>
          <w:bCs/>
          <w:snapToGrid w:val="0"/>
          <w:color w:val="000000" w:themeColor="text1"/>
          <w:kern w:val="28"/>
          <w:sz w:val="24"/>
          <w:szCs w:val="24"/>
          <w:highlight w:val="none"/>
          <w:u w:val="none"/>
          <w:lang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1副</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ind w:firstLine="564" w:firstLineChars="235"/>
        <w:rPr>
          <w:rFonts w:hint="eastAsia" w:ascii="仿宋" w:hAnsi="仿宋" w:eastAsia="仿宋" w:cs="仿宋"/>
          <w:b w:val="0"/>
          <w:bCs/>
          <w:color w:val="000000" w:themeColor="text1"/>
          <w:kern w:val="0"/>
          <w:sz w:val="24"/>
          <w:szCs w:val="24"/>
          <w:highlight w:val="none"/>
          <w:u w:val="none"/>
          <w14:textFill>
            <w14:solidFill>
              <w14:schemeClr w14:val="tx1"/>
            </w14:solidFill>
          </w14:textFill>
        </w:rPr>
      </w:pP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6、</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脚轮（万向轮）</w:t>
      </w:r>
      <w:r>
        <w:rPr>
          <w:rFonts w:hint="eastAsia" w:ascii="仿宋" w:hAnsi="仿宋" w:eastAsia="仿宋" w:cs="仿宋"/>
          <w:b w:val="0"/>
          <w:bCs/>
          <w:snapToGrid w:val="0"/>
          <w:color w:val="000000" w:themeColor="text1"/>
          <w:kern w:val="28"/>
          <w:sz w:val="24"/>
          <w:szCs w:val="24"/>
          <w:highlight w:val="none"/>
          <w:u w:val="none"/>
          <w:lang w:val="en-US" w:eastAsia="zh-CN"/>
          <w14:textFill>
            <w14:solidFill>
              <w14:schemeClr w14:val="tx1"/>
            </w14:solidFill>
          </w14:textFill>
        </w:rPr>
        <w:t>:</w:t>
      </w:r>
      <w:r>
        <w:rPr>
          <w:rFonts w:hint="eastAsia" w:ascii="仿宋" w:hAnsi="仿宋" w:eastAsia="仿宋" w:cs="仿宋"/>
          <w:b w:val="0"/>
          <w:bCs/>
          <w:snapToGrid w:val="0"/>
          <w:color w:val="000000" w:themeColor="text1"/>
          <w:kern w:val="28"/>
          <w:sz w:val="24"/>
          <w:szCs w:val="24"/>
          <w:highlight w:val="none"/>
          <w:u w:val="none"/>
          <w14:textFill>
            <w14:solidFill>
              <w14:schemeClr w14:val="tx1"/>
            </w14:solidFill>
          </w14:textFill>
        </w:rPr>
        <w:t>1只</w:t>
      </w:r>
      <w:r>
        <w:rPr>
          <w:rFonts w:hint="eastAsia" w:ascii="仿宋" w:hAnsi="仿宋" w:eastAsia="仿宋" w:cs="仿宋"/>
          <w:b w:val="0"/>
          <w:bCs/>
          <w:color w:val="000000" w:themeColor="text1"/>
          <w:kern w:val="0"/>
          <w:sz w:val="24"/>
          <w:szCs w:val="24"/>
          <w:highlight w:val="none"/>
          <w:u w:val="none"/>
          <w14:textFill>
            <w14:solidFill>
              <w14:schemeClr w14:val="tx1"/>
            </w14:solidFill>
          </w14:textFill>
        </w:rPr>
        <w:t>。</w:t>
      </w:r>
    </w:p>
    <w:p>
      <w:pPr>
        <w:pageBreakBefore w:val="0"/>
        <w:kinsoku/>
        <w:wordWrap/>
        <w:overflowPunct/>
        <w:topLinePunct w:val="0"/>
        <w:bidi w:val="0"/>
        <w:snapToGrid/>
        <w:spacing w:line="440" w:lineRule="exac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lang w:val="en-US" w:eastAsia="zh-CN"/>
        </w:rPr>
        <w:t>四、</w:t>
      </w:r>
      <w:r>
        <w:rPr>
          <w:rFonts w:hint="eastAsia" w:ascii="仿宋" w:hAnsi="仿宋" w:eastAsia="仿宋" w:cs="仿宋"/>
          <w:b/>
          <w:kern w:val="0"/>
          <w:sz w:val="24"/>
          <w:szCs w:val="24"/>
          <w:highlight w:val="none"/>
        </w:rPr>
        <w:t>相关要求：</w:t>
      </w:r>
    </w:p>
    <w:p>
      <w:pPr>
        <w:pageBreakBefore w:val="0"/>
        <w:kinsoku/>
        <w:wordWrap/>
        <w:overflowPunct/>
        <w:topLinePunct w:val="0"/>
        <w:bidi w:val="0"/>
        <w:snapToGrid/>
        <w:spacing w:line="44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保修服务要求：</w:t>
      </w:r>
      <w:r>
        <w:rPr>
          <w:rFonts w:hint="eastAsia" w:ascii="仿宋" w:hAnsi="仿宋" w:eastAsia="仿宋" w:cs="仿宋"/>
          <w:color w:val="auto"/>
          <w:kern w:val="0"/>
          <w:sz w:val="24"/>
          <w:szCs w:val="24"/>
          <w:highlight w:val="none"/>
          <w:lang w:val="en-US" w:eastAsia="zh-CN"/>
        </w:rPr>
        <w:t>中标人提供的</w:t>
      </w:r>
      <w:r>
        <w:rPr>
          <w:rFonts w:hint="eastAsia" w:ascii="仿宋" w:hAnsi="仿宋" w:eastAsia="仿宋" w:cs="仿宋"/>
          <w:color w:val="auto"/>
          <w:kern w:val="0"/>
          <w:sz w:val="24"/>
          <w:szCs w:val="24"/>
          <w:highlight w:val="none"/>
        </w:rPr>
        <w:t>产品</w:t>
      </w:r>
      <w:r>
        <w:rPr>
          <w:rFonts w:hint="eastAsia" w:ascii="仿宋" w:hAnsi="仿宋" w:eastAsia="仿宋" w:cs="仿宋"/>
          <w:color w:val="auto"/>
          <w:kern w:val="0"/>
          <w:sz w:val="24"/>
          <w:szCs w:val="24"/>
          <w:highlight w:val="none"/>
          <w:lang w:val="en-US" w:eastAsia="zh-CN"/>
        </w:rPr>
        <w:t>需提供至少3年的质保期</w:t>
      </w:r>
      <w:r>
        <w:rPr>
          <w:rFonts w:hint="eastAsia" w:ascii="仿宋" w:hAnsi="仿宋" w:eastAsia="仿宋" w:cs="仿宋"/>
          <w:color w:val="auto"/>
          <w:kern w:val="0"/>
          <w:sz w:val="24"/>
          <w:szCs w:val="24"/>
          <w:highlight w:val="none"/>
        </w:rPr>
        <w:t>。在质保期内，如提供产品因本身质量问题导致</w:t>
      </w:r>
      <w:r>
        <w:rPr>
          <w:rFonts w:hint="eastAsia" w:ascii="仿宋" w:hAnsi="仿宋" w:eastAsia="仿宋" w:cs="仿宋"/>
          <w:color w:val="auto"/>
          <w:kern w:val="0"/>
          <w:sz w:val="24"/>
          <w:szCs w:val="24"/>
          <w:highlight w:val="none"/>
          <w:lang w:val="en-US" w:eastAsia="zh-CN"/>
        </w:rPr>
        <w:t>采购人</w:t>
      </w:r>
      <w:r>
        <w:rPr>
          <w:rFonts w:hint="eastAsia" w:ascii="仿宋" w:hAnsi="仿宋" w:eastAsia="仿宋" w:cs="仿宋"/>
          <w:kern w:val="0"/>
          <w:sz w:val="24"/>
          <w:szCs w:val="24"/>
          <w:highlight w:val="none"/>
        </w:rPr>
        <w:t>无法正常使用，中标人</w:t>
      </w:r>
      <w:r>
        <w:rPr>
          <w:rFonts w:hint="eastAsia" w:ascii="仿宋" w:hAnsi="仿宋" w:eastAsia="仿宋" w:cs="仿宋"/>
          <w:kern w:val="0"/>
          <w:sz w:val="24"/>
          <w:szCs w:val="24"/>
          <w:highlight w:val="none"/>
          <w:lang w:val="en-US" w:eastAsia="zh-CN"/>
        </w:rPr>
        <w:t>应</w:t>
      </w:r>
      <w:r>
        <w:rPr>
          <w:rFonts w:hint="eastAsia" w:ascii="仿宋" w:hAnsi="仿宋" w:eastAsia="仿宋" w:cs="仿宋"/>
          <w:kern w:val="0"/>
          <w:sz w:val="24"/>
          <w:szCs w:val="24"/>
          <w:highlight w:val="none"/>
        </w:rPr>
        <w:t>无条件更换产品。</w:t>
      </w:r>
    </w:p>
    <w:p>
      <w:pPr>
        <w:pageBreakBefore w:val="0"/>
        <w:kinsoku/>
        <w:wordWrap/>
        <w:overflowPunct/>
        <w:topLinePunct w:val="0"/>
        <w:bidi w:val="0"/>
        <w:snapToGrid/>
        <w:spacing w:line="44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2.保修质量要求：符合质量要求，发现质量问题必需及时维修，无法维修的需及时调换。</w:t>
      </w:r>
    </w:p>
    <w:p>
      <w:pPr>
        <w:pageBreakBefore w:val="0"/>
        <w:kinsoku/>
        <w:wordWrap/>
        <w:overflowPunct/>
        <w:topLinePunct w:val="0"/>
        <w:bidi w:val="0"/>
        <w:snapToGrid/>
        <w:spacing w:line="440" w:lineRule="exact"/>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工期要求</w:t>
      </w:r>
      <w:r>
        <w:rPr>
          <w:rFonts w:hint="eastAsia" w:ascii="仿宋" w:hAnsi="仿宋" w:eastAsia="仿宋" w:cs="仿宋"/>
          <w:kern w:val="0"/>
          <w:sz w:val="24"/>
          <w:szCs w:val="24"/>
          <w:highlight w:val="none"/>
        </w:rPr>
        <w:t>：</w:t>
      </w:r>
      <w:r>
        <w:rPr>
          <w:rFonts w:hint="eastAsia" w:ascii="仿宋" w:hAnsi="仿宋" w:eastAsia="仿宋" w:cs="仿宋"/>
          <w:bCs/>
          <w:sz w:val="24"/>
          <w:szCs w:val="24"/>
          <w:highlight w:val="none"/>
        </w:rPr>
        <w:t>合同生效之日起</w:t>
      </w:r>
      <w:r>
        <w:rPr>
          <w:rFonts w:hint="eastAsia" w:ascii="仿宋" w:hAnsi="仿宋" w:eastAsia="仿宋" w:cs="仿宋"/>
          <w:b/>
          <w:sz w:val="24"/>
          <w:szCs w:val="24"/>
          <w:highlight w:val="none"/>
          <w:u w:val="single"/>
          <w:lang w:val="en-US" w:eastAsia="zh-CN"/>
        </w:rPr>
        <w:t>30</w:t>
      </w:r>
      <w:r>
        <w:rPr>
          <w:rFonts w:hint="eastAsia" w:ascii="仿宋" w:hAnsi="仿宋" w:eastAsia="仿宋" w:cs="仿宋"/>
          <w:b/>
          <w:sz w:val="24"/>
          <w:szCs w:val="24"/>
          <w:highlight w:val="none"/>
          <w:u w:val="single"/>
        </w:rPr>
        <w:t>个日历日</w:t>
      </w:r>
      <w:r>
        <w:rPr>
          <w:rFonts w:hint="eastAsia" w:ascii="仿宋" w:hAnsi="仿宋" w:eastAsia="仿宋" w:cs="仿宋"/>
          <w:bCs/>
          <w:sz w:val="24"/>
          <w:szCs w:val="24"/>
          <w:highlight w:val="none"/>
        </w:rPr>
        <w:t>内完成全部</w:t>
      </w:r>
      <w:r>
        <w:rPr>
          <w:rFonts w:hint="eastAsia" w:ascii="仿宋" w:hAnsi="仿宋" w:eastAsia="仿宋" w:cs="仿宋"/>
          <w:bCs/>
          <w:sz w:val="24"/>
          <w:szCs w:val="24"/>
          <w:highlight w:val="none"/>
          <w:lang w:val="en-US" w:eastAsia="zh-CN"/>
        </w:rPr>
        <w:t>内容</w:t>
      </w:r>
      <w:r>
        <w:rPr>
          <w:rFonts w:hint="eastAsia" w:ascii="仿宋" w:hAnsi="仿宋" w:eastAsia="仿宋" w:cs="仿宋"/>
          <w:bCs/>
          <w:sz w:val="24"/>
          <w:szCs w:val="24"/>
          <w:highlight w:val="none"/>
        </w:rPr>
        <w:t>，并经验收合格后交付采购人使用。</w:t>
      </w:r>
      <w:r>
        <w:rPr>
          <w:rFonts w:hint="eastAsia" w:ascii="仿宋" w:hAnsi="仿宋" w:eastAsia="仿宋" w:cs="仿宋"/>
          <w:kern w:val="0"/>
          <w:sz w:val="24"/>
          <w:szCs w:val="24"/>
          <w:highlight w:val="none"/>
        </w:rPr>
        <w:t>。</w:t>
      </w:r>
    </w:p>
    <w:p>
      <w:pPr>
        <w:pageBreakBefore w:val="0"/>
        <w:kinsoku/>
        <w:wordWrap/>
        <w:overflowPunct/>
        <w:topLinePunct w:val="0"/>
        <w:bidi w:val="0"/>
        <w:snapToGrid/>
        <w:spacing w:line="44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rPr>
        <w:t>4.付款方式：</w:t>
      </w:r>
      <w:r>
        <w:rPr>
          <w:rFonts w:hint="eastAsia" w:ascii="仿宋" w:hAnsi="仿宋" w:eastAsia="仿宋" w:cs="仿宋"/>
          <w:bCs/>
          <w:sz w:val="24"/>
          <w:szCs w:val="24"/>
          <w:highlight w:val="none"/>
        </w:rPr>
        <w:t>本项目根据财政资金拨款计划进行分期支付。按《浙江省财政厅关于进一步发挥政府采购政策功能全力推动经济稳进提质的通知》（浙财采监〔2022〕3号）文件要求执行，具体付款方式由双方协商后在合同中明确。不得把履约保证金转为质量保证金或收取质量保证金</w:t>
      </w:r>
      <w:r>
        <w:rPr>
          <w:rFonts w:hint="eastAsia" w:ascii="仿宋" w:hAnsi="仿宋" w:eastAsia="仿宋" w:cs="仿宋"/>
          <w:kern w:val="0"/>
          <w:sz w:val="24"/>
          <w:szCs w:val="24"/>
          <w:highlight w:val="none"/>
          <w:lang w:eastAsia="zh-CN"/>
        </w:rPr>
        <w:t>。</w:t>
      </w:r>
    </w:p>
    <w:p>
      <w:pPr>
        <w:pageBreakBefore w:val="0"/>
        <w:kinsoku/>
        <w:wordWrap/>
        <w:overflowPunct/>
        <w:topLinePunct w:val="0"/>
        <w:bidi w:val="0"/>
        <w:snapToGrid/>
        <w:spacing w:line="440" w:lineRule="exact"/>
        <w:ind w:firstLine="480" w:firstLineChars="200"/>
        <w:jc w:val="left"/>
        <w:rPr>
          <w:rFonts w:hint="eastAsia" w:ascii="仿宋" w:hAnsi="仿宋" w:eastAsia="仿宋" w:cs="仿宋"/>
          <w:bCs/>
          <w:sz w:val="24"/>
          <w:szCs w:val="24"/>
          <w:highlight w:val="none"/>
        </w:rPr>
      </w:pP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w:t>
      </w:r>
      <w:r>
        <w:rPr>
          <w:rFonts w:hint="eastAsia" w:ascii="仿宋" w:hAnsi="仿宋" w:eastAsia="仿宋" w:cs="仿宋"/>
          <w:bCs/>
          <w:sz w:val="24"/>
          <w:szCs w:val="24"/>
          <w:highlight w:val="none"/>
        </w:rPr>
        <w:t>中标人必须按照招标文件及其投标文件规定的时间及要求完成供货和安装，如未按期完成的，由中标人按照中标总价的10%向采购人进行赔偿，因此造成的任何损失和损伤，一切责</w:t>
      </w:r>
      <w:r>
        <w:rPr>
          <w:rFonts w:hint="eastAsia" w:ascii="仿宋" w:hAnsi="仿宋" w:eastAsia="仿宋" w:cs="仿宋"/>
          <w:bCs/>
          <w:color w:val="auto"/>
          <w:sz w:val="24"/>
          <w:szCs w:val="24"/>
          <w:highlight w:val="none"/>
        </w:rPr>
        <w:t>任由</w:t>
      </w:r>
      <w:r>
        <w:rPr>
          <w:rFonts w:hint="eastAsia" w:ascii="仿宋" w:hAnsi="仿宋" w:eastAsia="仿宋" w:cs="仿宋"/>
          <w:bCs/>
          <w:color w:val="auto"/>
          <w:sz w:val="24"/>
          <w:szCs w:val="24"/>
          <w:highlight w:val="none"/>
          <w:shd w:val="clear"/>
        </w:rPr>
        <w:t>中标人负</w:t>
      </w:r>
      <w:r>
        <w:rPr>
          <w:rFonts w:hint="eastAsia" w:ascii="仿宋" w:hAnsi="仿宋" w:eastAsia="仿宋" w:cs="仿宋"/>
          <w:bCs/>
          <w:sz w:val="24"/>
          <w:szCs w:val="24"/>
          <w:highlight w:val="none"/>
        </w:rPr>
        <w:t>责。</w:t>
      </w:r>
    </w:p>
    <w:p>
      <w:pPr>
        <w:pStyle w:val="114"/>
        <w:pageBreakBefore w:val="0"/>
        <w:kinsoku/>
        <w:wordWrap/>
        <w:overflowPunct/>
        <w:topLinePunct w:val="0"/>
        <w:bidi w:val="0"/>
        <w:snapToGrid/>
        <w:spacing w:line="440" w:lineRule="exact"/>
        <w:rPr>
          <w:rFonts w:hint="eastAsia" w:ascii="仿宋" w:hAnsi="仿宋" w:eastAsia="仿宋" w:cs="仿宋"/>
          <w:sz w:val="24"/>
          <w:szCs w:val="24"/>
          <w:highlight w:val="none"/>
        </w:rPr>
      </w:pPr>
    </w:p>
    <w:p>
      <w:pPr>
        <w:pageBreakBefore w:val="0"/>
        <w:numPr>
          <w:ilvl w:val="0"/>
          <w:numId w:val="0"/>
        </w:numPr>
        <w:kinsoku/>
        <w:wordWrap/>
        <w:overflowPunct/>
        <w:topLinePunct w:val="0"/>
        <w:bidi w:val="0"/>
        <w:snapToGrid/>
        <w:spacing w:line="440" w:lineRule="exact"/>
        <w:rPr>
          <w:rFonts w:hint="eastAsia" w:ascii="仿宋" w:hAnsi="仿宋" w:eastAsia="仿宋" w:cs="仿宋"/>
          <w:sz w:val="24"/>
          <w:szCs w:val="24"/>
          <w:highlight w:val="none"/>
        </w:rPr>
      </w:pPr>
    </w:p>
    <w:p>
      <w:pPr>
        <w:pageBreakBefore w:val="0"/>
        <w:kinsoku/>
        <w:wordWrap/>
        <w:overflowPunct/>
        <w:topLinePunct w:val="0"/>
        <w:bidi w:val="0"/>
        <w:snapToGrid/>
        <w:spacing w:line="440" w:lineRule="exact"/>
        <w:ind w:left="720" w:leftChars="343" w:firstLine="723" w:firstLineChars="300"/>
        <w:outlineLvl w:val="0"/>
        <w:rPr>
          <w:rFonts w:hint="eastAsia" w:ascii="仿宋" w:hAnsi="仿宋" w:eastAsia="仿宋" w:cs="仿宋"/>
          <w:b/>
          <w:color w:val="auto"/>
          <w:sz w:val="24"/>
          <w:szCs w:val="24"/>
          <w:highlight w:val="none"/>
        </w:rPr>
      </w:pPr>
    </w:p>
    <w:p>
      <w:pPr>
        <w:spacing w:line="360" w:lineRule="auto"/>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5"/>
        <w:ind w:left="0" w:leftChars="0" w:firstLine="0" w:firstLineChars="0"/>
        <w:rPr>
          <w:rFonts w:hint="eastAsia" w:ascii="仿宋" w:hAnsi="仿宋" w:eastAsia="仿宋" w:cs="仿宋"/>
          <w:color w:val="auto"/>
          <w:szCs w:val="24"/>
          <w:highlight w:val="none"/>
        </w:rPr>
      </w:pPr>
    </w:p>
    <w:p>
      <w:pPr>
        <w:pStyle w:val="705"/>
        <w:jc w:val="center"/>
        <w:rPr>
          <w:rFonts w:hint="eastAsia" w:ascii="仿宋" w:hAnsi="仿宋" w:eastAsia="仿宋" w:cs="仿宋"/>
          <w:color w:val="auto"/>
          <w:szCs w:val="24"/>
          <w:highlight w:val="none"/>
        </w:rPr>
      </w:pPr>
    </w:p>
    <w:p>
      <w:pPr>
        <w:pStyle w:val="70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5"/>
        <w:rPr>
          <w:rFonts w:hint="eastAsia" w:ascii="仿宋" w:hAnsi="仿宋" w:eastAsia="仿宋" w:cs="仿宋"/>
          <w:color w:val="auto"/>
          <w:szCs w:val="24"/>
          <w:highlight w:val="none"/>
        </w:rPr>
      </w:pPr>
    </w:p>
    <w:p>
      <w:pPr>
        <w:pStyle w:val="705"/>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2"/>
        <w:spacing w:before="120" w:line="22" w:lineRule="atLeast"/>
        <w:rPr>
          <w:rFonts w:hint="eastAsia" w:ascii="仿宋" w:hAnsi="仿宋" w:eastAsia="仿宋" w:cs="仿宋"/>
          <w:color w:val="auto"/>
          <w:szCs w:val="24"/>
          <w:highlight w:val="none"/>
        </w:rPr>
      </w:pPr>
    </w:p>
    <w:p>
      <w:pPr>
        <w:pStyle w:val="602"/>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5" w:h="16838"/>
          <w:pgMar w:top="1480" w:right="1474" w:bottom="1559" w:left="1474" w:header="851" w:footer="992" w:gutter="0"/>
          <w:cols w:space="720" w:num="1"/>
          <w:titlePg/>
          <w:rtlGutter w:val="0"/>
          <w:docGrid w:linePitch="1" w:charSpace="0"/>
        </w:sectPr>
      </w:pP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hint="eastAsia" w:ascii="仿宋" w:hAnsi="仿宋" w:eastAsia="仿宋" w:cs="仿宋"/>
          <w:b/>
          <w:color w:val="auto"/>
          <w:sz w:val="24"/>
          <w:highlight w:val="none"/>
        </w:rPr>
      </w:pPr>
      <w:bookmarkStart w:id="41" w:name="_Toc3029"/>
      <w:bookmarkStart w:id="42" w:name="_Toc24059"/>
      <w:bookmarkStart w:id="43" w:name="_Toc2232"/>
      <w:r>
        <w:rPr>
          <w:rFonts w:hint="eastAsia" w:ascii="仿宋" w:hAnsi="仿宋" w:eastAsia="仿宋" w:cs="仿宋"/>
          <w:b/>
          <w:color w:val="auto"/>
          <w:sz w:val="24"/>
          <w:highlight w:val="none"/>
        </w:rPr>
        <w:t>1.1 合同组成部分</w:t>
      </w:r>
      <w:bookmarkEnd w:id="41"/>
      <w:bookmarkEnd w:id="42"/>
      <w:bookmarkEnd w:id="43"/>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hint="eastAsia" w:ascii="仿宋" w:hAnsi="仿宋" w:eastAsia="仿宋" w:cs="仿宋"/>
          <w:b/>
          <w:color w:val="auto"/>
          <w:sz w:val="24"/>
          <w:highlight w:val="none"/>
        </w:rPr>
      </w:pPr>
      <w:bookmarkStart w:id="44" w:name="_Toc21295"/>
      <w:bookmarkStart w:id="45" w:name="_Toc27126"/>
      <w:bookmarkStart w:id="46" w:name="_Toc24300"/>
      <w:r>
        <w:rPr>
          <w:rFonts w:hint="eastAsia" w:ascii="仿宋" w:hAnsi="仿宋" w:eastAsia="仿宋" w:cs="仿宋"/>
          <w:b/>
          <w:color w:val="auto"/>
          <w:sz w:val="24"/>
          <w:highlight w:val="none"/>
        </w:rPr>
        <w:t>1.2 货物</w:t>
      </w:r>
      <w:bookmarkEnd w:id="44"/>
      <w:bookmarkEnd w:id="45"/>
      <w:bookmarkEnd w:id="46"/>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440" w:lineRule="exact"/>
        <w:ind w:firstLine="482" w:firstLineChars="200"/>
        <w:outlineLvl w:val="0"/>
        <w:rPr>
          <w:rFonts w:hint="eastAsia" w:ascii="仿宋" w:hAnsi="仿宋" w:eastAsia="仿宋" w:cs="仿宋"/>
          <w:b/>
          <w:color w:val="auto"/>
          <w:sz w:val="24"/>
          <w:highlight w:val="none"/>
        </w:rPr>
      </w:pPr>
      <w:bookmarkStart w:id="47" w:name="_Toc21551"/>
      <w:bookmarkStart w:id="48" w:name="_Toc23292"/>
      <w:bookmarkStart w:id="49" w:name="_Toc21631"/>
      <w:r>
        <w:rPr>
          <w:rFonts w:hint="eastAsia" w:ascii="仿宋" w:hAnsi="仿宋" w:eastAsia="仿宋" w:cs="仿宋"/>
          <w:b/>
          <w:color w:val="auto"/>
          <w:sz w:val="24"/>
          <w:highlight w:val="none"/>
        </w:rPr>
        <w:t>1.3 价款</w:t>
      </w:r>
      <w:bookmarkEnd w:id="47"/>
      <w:bookmarkEnd w:id="48"/>
      <w:bookmarkEnd w:id="49"/>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3"/>
              <w:spacing w:line="440" w:lineRule="exact"/>
              <w:ind w:firstLine="200"/>
              <w:jc w:val="center"/>
              <w:rPr>
                <w:rFonts w:hint="eastAsia" w:ascii="仿宋" w:hAnsi="仿宋" w:eastAsia="仿宋" w:cs="仿宋"/>
                <w:color w:val="auto"/>
                <w:sz w:val="24"/>
                <w:szCs w:val="24"/>
                <w:highlight w:val="none"/>
              </w:rPr>
            </w:pPr>
          </w:p>
        </w:tc>
      </w:tr>
    </w:tbl>
    <w:p>
      <w:pPr>
        <w:pStyle w:val="959"/>
        <w:spacing w:before="0" w:beforeAutospacing="0" w:after="0" w:afterAutospacing="0" w:line="440" w:lineRule="exact"/>
        <w:ind w:firstLine="480"/>
        <w:rPr>
          <w:rFonts w:hint="eastAsia" w:ascii="仿宋" w:hAnsi="仿宋" w:eastAsia="仿宋" w:cs="仿宋"/>
          <w:b/>
          <w:color w:val="auto"/>
          <w:highlight w:val="none"/>
        </w:rPr>
      </w:pPr>
      <w:bookmarkStart w:id="50" w:name="_Toc1814"/>
      <w:bookmarkStart w:id="51" w:name="_Toc22618"/>
      <w:bookmarkStart w:id="52" w:name="_Toc10340"/>
      <w:r>
        <w:rPr>
          <w:rFonts w:hint="eastAsia" w:ascii="仿宋" w:hAnsi="仿宋" w:eastAsia="仿宋" w:cs="仿宋"/>
          <w:b/>
          <w:color w:val="auto"/>
          <w:highlight w:val="none"/>
        </w:rPr>
        <w:t>1.4履约保证金</w:t>
      </w:r>
    </w:p>
    <w:p>
      <w:pPr>
        <w:pStyle w:val="959"/>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tabs>
          <w:tab w:val="clear" w:pos="432"/>
        </w:tabs>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hint="eastAsia" w:ascii="仿宋" w:hAnsi="仿宋" w:eastAsia="仿宋" w:cs="仿宋"/>
          <w:b w:val="0"/>
          <w:color w:val="auto"/>
          <w:kern w:val="0"/>
          <w:sz w:val="24"/>
          <w:highlight w:val="none"/>
        </w:rPr>
      </w:pPr>
      <w:r>
        <w:rPr>
          <w:rFonts w:hint="eastAsia" w:ascii="仿宋" w:hAnsi="仿宋" w:eastAsia="仿宋" w:cs="仿宋"/>
          <w:b/>
          <w:bCs/>
          <w:color w:val="auto"/>
          <w:kern w:val="0"/>
          <w:sz w:val="24"/>
          <w:highlight w:val="none"/>
        </w:rPr>
        <w:t>1.5</w:t>
      </w:r>
      <w:bookmarkEnd w:id="50"/>
      <w:bookmarkEnd w:id="51"/>
      <w:bookmarkEnd w:id="52"/>
      <w:r>
        <w:rPr>
          <w:rFonts w:hint="eastAsia" w:ascii="仿宋" w:hAnsi="仿宋" w:eastAsia="仿宋" w:cs="仿宋"/>
          <w:b/>
          <w:bCs/>
          <w:color w:val="auto"/>
          <w:kern w:val="0"/>
          <w:sz w:val="24"/>
          <w:highlight w:val="none"/>
        </w:rPr>
        <w:t>预付款</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甲方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（是/否）需要支付预付款。若需要支付预付款的，则：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1.5.2预付款的扣回方式详见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u w:val="none"/>
        </w:rPr>
      </w:pPr>
      <w:r>
        <w:rPr>
          <w:rFonts w:hint="eastAsia" w:ascii="仿宋" w:hAnsi="仿宋" w:eastAsia="仿宋" w:cs="仿宋"/>
          <w:color w:val="auto"/>
          <w:kern w:val="0"/>
          <w:sz w:val="24"/>
          <w:highlight w:val="none"/>
        </w:rPr>
        <w:t>1.5.3预付款的担保措施详见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b w:val="0"/>
          <w:bCs w:val="0"/>
          <w:color w:val="auto"/>
          <w:kern w:val="0"/>
          <w:sz w:val="24"/>
          <w:highlight w:val="none"/>
        </w:rPr>
      </w:pPr>
      <w:r>
        <w:rPr>
          <w:rFonts w:hint="eastAsia" w:ascii="仿宋" w:hAnsi="仿宋" w:eastAsia="仿宋" w:cs="仿宋"/>
          <w:b/>
          <w:bCs/>
          <w:color w:val="auto"/>
          <w:kern w:val="0"/>
          <w:sz w:val="24"/>
          <w:highlight w:val="none"/>
        </w:rPr>
        <w:t>1.6资金支付</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bCs/>
          <w:i/>
          <w:iCs/>
          <w:color w:val="auto"/>
          <w:kern w:val="0"/>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3" w:name="_Toc2846"/>
      <w:bookmarkStart w:id="54" w:name="_Toc19304"/>
      <w:bookmarkStart w:id="55" w:name="_Toc32071"/>
      <w:r>
        <w:rPr>
          <w:rFonts w:hint="eastAsia" w:ascii="仿宋" w:hAnsi="仿宋" w:eastAsia="仿宋" w:cs="仿宋"/>
          <w:b/>
          <w:color w:val="auto"/>
          <w:sz w:val="24"/>
          <w:highlight w:val="none"/>
        </w:rPr>
        <w:t>1.7货物交付期限、地点和方式</w:t>
      </w:r>
      <w:bookmarkEnd w:id="53"/>
      <w:bookmarkEnd w:id="54"/>
      <w:bookmarkEnd w:id="55"/>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6" w:name="_Toc27250"/>
      <w:bookmarkStart w:id="57" w:name="_Toc21423"/>
      <w:bookmarkStart w:id="58" w:name="_Toc19554"/>
      <w:r>
        <w:rPr>
          <w:rFonts w:hint="eastAsia" w:ascii="仿宋" w:hAnsi="仿宋" w:eastAsia="仿宋" w:cs="仿宋"/>
          <w:b/>
          <w:color w:val="auto"/>
          <w:sz w:val="24"/>
          <w:highlight w:val="none"/>
        </w:rPr>
        <w:t>1.8违约责任</w:t>
      </w:r>
      <w:bookmarkEnd w:id="56"/>
      <w:bookmarkEnd w:id="57"/>
      <w:bookmarkEnd w:id="58"/>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440" w:lineRule="exact"/>
        <w:ind w:firstLine="482" w:firstLineChars="200"/>
        <w:outlineLvl w:val="0"/>
        <w:rPr>
          <w:rFonts w:hint="eastAsia" w:ascii="仿宋" w:hAnsi="仿宋" w:eastAsia="仿宋" w:cs="仿宋"/>
          <w:b/>
          <w:color w:val="auto"/>
          <w:sz w:val="24"/>
          <w:highlight w:val="none"/>
        </w:rPr>
      </w:pPr>
      <w:bookmarkStart w:id="59" w:name="_Toc16021"/>
      <w:bookmarkStart w:id="60" w:name="_Toc15583"/>
      <w:bookmarkStart w:id="61" w:name="_Toc28375"/>
      <w:r>
        <w:rPr>
          <w:rFonts w:hint="eastAsia" w:ascii="仿宋" w:hAnsi="仿宋" w:eastAsia="仿宋" w:cs="仿宋"/>
          <w:b/>
          <w:color w:val="auto"/>
          <w:sz w:val="24"/>
          <w:highlight w:val="none"/>
        </w:rPr>
        <w:t>1.9合同争议的解决</w:t>
      </w:r>
      <w:bookmarkEnd w:id="59"/>
      <w:bookmarkEnd w:id="60"/>
      <w:bookmarkEnd w:id="61"/>
    </w:p>
    <w:p>
      <w:pPr>
        <w:spacing w:line="44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0"/>
        <w:rPr>
          <w:rFonts w:hint="eastAsia" w:ascii="仿宋" w:hAnsi="仿宋" w:eastAsia="仿宋" w:cs="仿宋"/>
          <w:b/>
          <w:color w:val="auto"/>
          <w:sz w:val="24"/>
          <w:highlight w:val="none"/>
        </w:rPr>
      </w:pPr>
      <w:bookmarkStart w:id="62" w:name="_Toc7245"/>
      <w:bookmarkStart w:id="63" w:name="_Toc11173"/>
      <w:bookmarkStart w:id="64" w:name="_Toc15322"/>
      <w:r>
        <w:rPr>
          <w:rFonts w:hint="eastAsia" w:ascii="仿宋" w:hAnsi="仿宋" w:eastAsia="仿宋" w:cs="仿宋"/>
          <w:b/>
          <w:color w:val="auto"/>
          <w:sz w:val="24"/>
          <w:highlight w:val="none"/>
        </w:rPr>
        <w:t>2.0 合同生效</w:t>
      </w:r>
      <w:bookmarkEnd w:id="62"/>
      <w:bookmarkEnd w:id="63"/>
      <w:bookmarkEnd w:id="64"/>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hint="eastAsia" w:ascii="仿宋" w:hAnsi="仿宋" w:eastAsia="仿宋" w:cs="仿宋"/>
          <w:color w:val="auto"/>
          <w:sz w:val="24"/>
          <w:highlight w:val="none"/>
          <w:lang w:val="zh-CN"/>
        </w:rPr>
      </w:pP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3"/>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3"/>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3"/>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p>
    <w:p>
      <w:pPr>
        <w:pStyle w:val="70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5" w:name="_Ref467379214"/>
      <w:bookmarkStart w:id="66" w:name="_Ref467379225"/>
      <w:bookmarkStart w:id="67" w:name="_Toc16917"/>
      <w:bookmarkStart w:id="68" w:name="_Toc279701240"/>
      <w:bookmarkStart w:id="69" w:name="_Ref467378499"/>
      <w:bookmarkStart w:id="70" w:name="_Toc19614"/>
      <w:bookmarkStart w:id="71" w:name="_Toc28763"/>
      <w:bookmarkStart w:id="72" w:name="_Ref467379094"/>
      <w:bookmarkStart w:id="73" w:name="_Toc259093669"/>
      <w:bookmarkStart w:id="74" w:name="_Ref467379109"/>
      <w:bookmarkStart w:id="75" w:name="_Toc487900349"/>
      <w:bookmarkStart w:id="76" w:name="_Ref467378404"/>
      <w:bookmarkStart w:id="77" w:name="_Ref467379195"/>
      <w:bookmarkStart w:id="78" w:name="_Ref467379205"/>
      <w:bookmarkStart w:id="79" w:name="_Ref467379101"/>
      <w:bookmarkStart w:id="80" w:name="_Ref467378463"/>
      <w:r>
        <w:rPr>
          <w:rFonts w:hint="eastAsia" w:ascii="仿宋" w:hAnsi="仿宋" w:eastAsia="仿宋" w:cs="仿宋"/>
          <w:b/>
          <w:color w:val="auto"/>
          <w:sz w:val="24"/>
          <w:highlight w:val="none"/>
        </w:rPr>
        <w:t>2.1 定义</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本合同中的下列词语应按以下内容进行解释：</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“合同”系指采购人和中标或成交供应商签订的载明双方当事人所达成的协议，并包括所有的附件、附录和构成合同的其他文件。</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“合同价”系指根据合同约定，中标或成交供应商在完全履行合同义务后，采购人应支付给中标或成交供应商的价格。</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2.1.3 “货物”系指中标或成交供应商根据合同约定应向采购人交付的一切各种形态和种类的物品，包括原材料、燃料、设备、机械、仪表、备件、计算机软件、产品等，并包括工具、手册等其他相关资料。</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1" w:name="_Ref467378840"/>
      <w:r>
        <w:rPr>
          <w:rFonts w:hint="eastAsia" w:ascii="仿宋" w:hAnsi="仿宋" w:eastAsia="仿宋" w:cs="仿宋"/>
          <w:color w:val="auto"/>
          <w:kern w:val="0"/>
          <w:sz w:val="24"/>
          <w:szCs w:val="20"/>
          <w:highlight w:val="none"/>
        </w:rPr>
        <w:t>2.1.4 “甲方”系指与中标或成交供应商签署合同的采购人</w:t>
      </w:r>
      <w:bookmarkEnd w:id="81"/>
      <w:r>
        <w:rPr>
          <w:rFonts w:hint="eastAsia" w:ascii="仿宋" w:hAnsi="仿宋" w:eastAsia="仿宋" w:cs="仿宋"/>
          <w:color w:val="auto"/>
          <w:kern w:val="0"/>
          <w:sz w:val="24"/>
          <w:szCs w:val="20"/>
          <w:highlight w:val="none"/>
        </w:rPr>
        <w:t>；采购人委托采购代理机构代表其与乙方签订合同的，采购人的授权委托书作为合同附件。</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2" w:name="_Ref467379400"/>
      <w:r>
        <w:rPr>
          <w:rFonts w:hint="eastAsia" w:ascii="仿宋" w:hAnsi="仿宋" w:eastAsia="仿宋" w:cs="仿宋"/>
          <w:color w:val="auto"/>
          <w:kern w:val="0"/>
          <w:sz w:val="24"/>
          <w:szCs w:val="20"/>
          <w:highlight w:val="none"/>
        </w:rPr>
        <w:t>2.1.5 “乙方”系指根据合同约定交付货物的中标或成交供应商</w:t>
      </w:r>
      <w:bookmarkEnd w:id="82"/>
      <w:r>
        <w:rPr>
          <w:rFonts w:hint="eastAsia" w:ascii="仿宋" w:hAnsi="仿宋" w:eastAsia="仿宋" w:cs="仿宋"/>
          <w:color w:val="auto"/>
          <w:kern w:val="0"/>
          <w:sz w:val="24"/>
          <w:szCs w:val="20"/>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3" w:name="_Ref467379436"/>
      <w:r>
        <w:rPr>
          <w:rFonts w:hint="eastAsia" w:ascii="仿宋" w:hAnsi="仿宋" w:eastAsia="仿宋" w:cs="仿宋"/>
          <w:color w:val="auto"/>
          <w:kern w:val="0"/>
          <w:sz w:val="24"/>
          <w:szCs w:val="20"/>
          <w:highlight w:val="none"/>
        </w:rPr>
        <w:t>2.1.6 “现场”系指合同约定货物将要运至或者安装的地点。</w:t>
      </w:r>
      <w:bookmarkEnd w:id="83"/>
    </w:p>
    <w:p>
      <w:pPr>
        <w:spacing w:line="560" w:lineRule="exact"/>
        <w:ind w:firstLine="482" w:firstLineChars="200"/>
        <w:outlineLvl w:val="0"/>
        <w:rPr>
          <w:rFonts w:hint="eastAsia" w:ascii="仿宋" w:hAnsi="仿宋" w:eastAsia="仿宋" w:cs="仿宋"/>
          <w:b/>
          <w:color w:val="auto"/>
          <w:sz w:val="24"/>
          <w:highlight w:val="none"/>
        </w:rPr>
      </w:pPr>
      <w:bookmarkStart w:id="84" w:name="_Toc487900350"/>
      <w:bookmarkStart w:id="85" w:name="_Toc32504"/>
      <w:bookmarkStart w:id="86" w:name="_Toc13336"/>
      <w:bookmarkStart w:id="87" w:name="_Toc259093670"/>
      <w:bookmarkStart w:id="88" w:name="_Toc279701241"/>
      <w:bookmarkStart w:id="89" w:name="_Toc27635"/>
      <w:r>
        <w:rPr>
          <w:rFonts w:hint="eastAsia" w:ascii="仿宋" w:hAnsi="仿宋" w:eastAsia="仿宋" w:cs="仿宋"/>
          <w:b/>
          <w:color w:val="auto"/>
          <w:sz w:val="24"/>
          <w:highlight w:val="none"/>
        </w:rPr>
        <w:t>2.2 技术规范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0" w:name="_Toc487900351"/>
      <w:bookmarkStart w:id="91" w:name="_Toc9829"/>
      <w:bookmarkStart w:id="92" w:name="_Toc27853"/>
      <w:bookmarkStart w:id="93" w:name="_Toc31634"/>
      <w:bookmarkStart w:id="94" w:name="_Toc279701242"/>
      <w:bookmarkStart w:id="95" w:name="_Toc259093671"/>
      <w:r>
        <w:rPr>
          <w:rFonts w:hint="eastAsia" w:ascii="仿宋" w:hAnsi="仿宋" w:eastAsia="仿宋" w:cs="仿宋"/>
          <w:b/>
          <w:color w:val="auto"/>
          <w:sz w:val="24"/>
          <w:highlight w:val="none"/>
        </w:rPr>
        <w:t>2.3 知识产权</w:t>
      </w:r>
      <w:bookmarkEnd w:id="90"/>
      <w:bookmarkEnd w:id="91"/>
      <w:bookmarkEnd w:id="92"/>
      <w:bookmarkEnd w:id="93"/>
      <w:bookmarkEnd w:id="94"/>
      <w:bookmarkEnd w:id="9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6" w:name="_Toc29149"/>
      <w:bookmarkStart w:id="97" w:name="_Toc11932"/>
      <w:bookmarkStart w:id="98" w:name="_Toc4194"/>
      <w:r>
        <w:rPr>
          <w:rFonts w:hint="eastAsia" w:ascii="仿宋" w:hAnsi="仿宋" w:eastAsia="仿宋" w:cs="仿宋"/>
          <w:b/>
          <w:color w:val="auto"/>
          <w:sz w:val="24"/>
          <w:highlight w:val="none"/>
        </w:rPr>
        <w:t>2.4 包装和装运</w:t>
      </w:r>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9" w:name="_Toc487900354"/>
      <w:bookmarkStart w:id="100" w:name="_Ref467378541"/>
      <w:bookmarkStart w:id="101" w:name="_Toc259093674"/>
      <w:bookmarkStart w:id="102" w:name="_Toc279701245"/>
      <w:bookmarkStart w:id="103" w:name="_Ref467379542"/>
      <w:bookmarkStart w:id="104" w:name="_Ref467378591"/>
      <w:bookmarkStart w:id="105" w:name="_Ref467379536"/>
      <w:bookmarkStart w:id="106" w:name="_Ref467379527"/>
      <w:bookmarkStart w:id="107" w:name="_Toc19074"/>
      <w:bookmarkStart w:id="108" w:name="_Toc26182"/>
      <w:bookmarkStart w:id="109" w:name="_Toc30272"/>
      <w:r>
        <w:rPr>
          <w:rFonts w:hint="eastAsia" w:ascii="仿宋" w:hAnsi="仿宋" w:eastAsia="仿宋" w:cs="仿宋"/>
          <w:b/>
          <w:color w:val="auto"/>
          <w:sz w:val="24"/>
          <w:highlight w:val="none"/>
        </w:rPr>
        <w:t>2.</w:t>
      </w:r>
      <w:bookmarkEnd w:id="99"/>
      <w:bookmarkEnd w:id="100"/>
      <w:bookmarkEnd w:id="101"/>
      <w:bookmarkEnd w:id="102"/>
      <w:bookmarkEnd w:id="103"/>
      <w:bookmarkEnd w:id="104"/>
      <w:bookmarkEnd w:id="105"/>
      <w:bookmarkEnd w:id="106"/>
      <w:r>
        <w:rPr>
          <w:rFonts w:hint="eastAsia" w:ascii="仿宋" w:hAnsi="仿宋" w:eastAsia="仿宋" w:cs="仿宋"/>
          <w:b/>
          <w:color w:val="auto"/>
          <w:sz w:val="24"/>
          <w:highlight w:val="none"/>
        </w:rPr>
        <w:t>5 履约检查和问题反馈</w:t>
      </w:r>
      <w:bookmarkEnd w:id="107"/>
      <w:bookmarkEnd w:id="108"/>
      <w:bookmarkEnd w:id="109"/>
    </w:p>
    <w:p>
      <w:pPr>
        <w:spacing w:line="560" w:lineRule="exact"/>
        <w:ind w:firstLine="480" w:firstLineChars="200"/>
        <w:rPr>
          <w:rFonts w:hint="eastAsia" w:ascii="仿宋" w:hAnsi="仿宋" w:eastAsia="仿宋" w:cs="仿宋"/>
          <w:color w:val="auto"/>
          <w:sz w:val="24"/>
          <w:highlight w:val="none"/>
        </w:rPr>
      </w:pPr>
      <w:bookmarkStart w:id="110" w:name="_Ref467379657"/>
      <w:r>
        <w:rPr>
          <w:rFonts w:hint="eastAsia" w:ascii="仿宋" w:hAnsi="仿宋" w:eastAsia="仿宋" w:cs="仿宋"/>
          <w:color w:val="auto"/>
          <w:sz w:val="24"/>
          <w:highlight w:val="none"/>
        </w:rPr>
        <w:t>2.5.1</w:t>
      </w:r>
      <w:bookmarkEnd w:id="110"/>
      <w:bookmarkStart w:id="111" w:name="_Toc186431854"/>
      <w:bookmarkStart w:id="112" w:name="_Ref467379807"/>
      <w:bookmarkStart w:id="113" w:name="_Ref467379793"/>
      <w:bookmarkStart w:id="114" w:name="_Toc259093676"/>
      <w:bookmarkStart w:id="115" w:name="_Toc487900357"/>
      <w:bookmarkStart w:id="116"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1"/>
      <w:bookmarkStart w:id="117" w:name="_Toc186431855"/>
      <w:r>
        <w:rPr>
          <w:rFonts w:hint="eastAsia" w:ascii="仿宋" w:hAnsi="仿宋" w:eastAsia="仿宋" w:cs="仿宋"/>
          <w:color w:val="auto"/>
          <w:sz w:val="24"/>
          <w:highlight w:val="none"/>
        </w:rPr>
        <w:t>。</w:t>
      </w:r>
    </w:p>
    <w:bookmarkEnd w:id="112"/>
    <w:bookmarkEnd w:id="113"/>
    <w:bookmarkEnd w:id="114"/>
    <w:bookmarkEnd w:id="115"/>
    <w:bookmarkEnd w:id="116"/>
    <w:bookmarkEnd w:id="117"/>
    <w:p>
      <w:pPr>
        <w:spacing w:line="560" w:lineRule="exact"/>
        <w:ind w:firstLine="482" w:firstLineChars="200"/>
        <w:outlineLvl w:val="0"/>
        <w:rPr>
          <w:rFonts w:hint="eastAsia" w:ascii="仿宋" w:hAnsi="仿宋" w:eastAsia="仿宋" w:cs="仿宋"/>
          <w:b/>
          <w:color w:val="auto"/>
          <w:sz w:val="24"/>
          <w:highlight w:val="none"/>
        </w:rPr>
      </w:pPr>
      <w:bookmarkStart w:id="118" w:name="_Ref467379923"/>
      <w:bookmarkStart w:id="119" w:name="_Ref467379863"/>
      <w:bookmarkStart w:id="120" w:name="_Toc259093677"/>
      <w:bookmarkStart w:id="121" w:name="_Ref467379852"/>
      <w:bookmarkStart w:id="122" w:name="_Toc487900358"/>
      <w:bookmarkStart w:id="123" w:name="_Toc279701248"/>
      <w:bookmarkStart w:id="124" w:name="_Toc16110"/>
      <w:bookmarkStart w:id="125" w:name="_Toc3225"/>
      <w:bookmarkStart w:id="126" w:name="_Toc774"/>
      <w:r>
        <w:rPr>
          <w:rFonts w:hint="eastAsia" w:ascii="仿宋" w:hAnsi="仿宋" w:eastAsia="仿宋" w:cs="仿宋"/>
          <w:b/>
          <w:color w:val="auto"/>
          <w:sz w:val="24"/>
          <w:highlight w:val="none"/>
        </w:rPr>
        <w:t>2.6 技术资料</w:t>
      </w:r>
      <w:bookmarkEnd w:id="118"/>
      <w:bookmarkEnd w:id="119"/>
      <w:bookmarkEnd w:id="120"/>
      <w:bookmarkEnd w:id="121"/>
      <w:bookmarkEnd w:id="122"/>
      <w:bookmarkEnd w:id="123"/>
      <w:r>
        <w:rPr>
          <w:rFonts w:hint="eastAsia" w:ascii="仿宋" w:hAnsi="仿宋" w:eastAsia="仿宋" w:cs="仿宋"/>
          <w:b/>
          <w:color w:val="auto"/>
          <w:sz w:val="24"/>
          <w:highlight w:val="none"/>
        </w:rPr>
        <w:t>和保密义务</w:t>
      </w:r>
      <w:bookmarkEnd w:id="124"/>
      <w:bookmarkEnd w:id="125"/>
      <w:bookmarkEnd w:id="12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7" w:name="_Toc7860"/>
      <w:r>
        <w:rPr>
          <w:rFonts w:hint="eastAsia" w:ascii="仿宋" w:hAnsi="仿宋" w:eastAsia="仿宋" w:cs="仿宋"/>
          <w:b/>
          <w:color w:val="auto"/>
          <w:sz w:val="24"/>
          <w:highlight w:val="none"/>
        </w:rPr>
        <w:t>2.7 质量保证</w:t>
      </w:r>
      <w:bookmarkEnd w:id="12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8" w:name="_Toc17244"/>
      <w:bookmarkStart w:id="129" w:name="_Toc279701252"/>
      <w:bookmarkStart w:id="130" w:name="_Toc259093681"/>
      <w:bookmarkStart w:id="131" w:name="_Toc487900362"/>
      <w:r>
        <w:rPr>
          <w:rFonts w:hint="eastAsia" w:ascii="仿宋" w:hAnsi="仿宋" w:eastAsia="仿宋" w:cs="仿宋"/>
          <w:b/>
          <w:color w:val="auto"/>
          <w:sz w:val="24"/>
          <w:highlight w:val="none"/>
        </w:rPr>
        <w:t>2.8 货物的风险负担</w:t>
      </w:r>
      <w:bookmarkEnd w:id="128"/>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2" w:name="_Toc14055"/>
      <w:r>
        <w:rPr>
          <w:rFonts w:hint="eastAsia" w:ascii="仿宋" w:hAnsi="仿宋" w:eastAsia="仿宋" w:cs="仿宋"/>
          <w:b/>
          <w:color w:val="auto"/>
          <w:sz w:val="24"/>
          <w:highlight w:val="none"/>
        </w:rPr>
        <w:t>2.9 延迟交货</w:t>
      </w:r>
      <w:bookmarkEnd w:id="129"/>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3" w:name="_Toc7502"/>
      <w:bookmarkStart w:id="134" w:name="_Toc279701254"/>
      <w:bookmarkStart w:id="135" w:name="_Ref467378121"/>
      <w:bookmarkStart w:id="136" w:name="_Toc259093683"/>
      <w:bookmarkStart w:id="137" w:name="_Toc487900364"/>
      <w:r>
        <w:rPr>
          <w:rFonts w:hint="eastAsia" w:ascii="仿宋" w:hAnsi="仿宋" w:eastAsia="仿宋" w:cs="仿宋"/>
          <w:b/>
          <w:color w:val="auto"/>
          <w:sz w:val="24"/>
          <w:highlight w:val="none"/>
        </w:rPr>
        <w:t>2.10 合同变更</w:t>
      </w:r>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8" w:name="_Toc279701259"/>
      <w:bookmarkStart w:id="139" w:name="_Toc259093688"/>
      <w:bookmarkStart w:id="140" w:name="_Toc487900369"/>
    </w:p>
    <w:p>
      <w:pPr>
        <w:spacing w:line="560" w:lineRule="exact"/>
        <w:ind w:firstLine="482" w:firstLineChars="200"/>
        <w:outlineLvl w:val="0"/>
        <w:rPr>
          <w:rFonts w:hint="eastAsia" w:ascii="仿宋" w:hAnsi="仿宋" w:eastAsia="仿宋" w:cs="仿宋"/>
          <w:b/>
          <w:color w:val="auto"/>
          <w:sz w:val="24"/>
          <w:highlight w:val="none"/>
        </w:rPr>
      </w:pPr>
      <w:bookmarkStart w:id="141" w:name="_Toc10366"/>
      <w:bookmarkStart w:id="142" w:name="_Toc15237"/>
      <w:bookmarkStart w:id="143" w:name="_Toc22955"/>
      <w:r>
        <w:rPr>
          <w:rFonts w:hint="eastAsia" w:ascii="仿宋" w:hAnsi="仿宋" w:eastAsia="仿宋" w:cs="仿宋"/>
          <w:b/>
          <w:color w:val="auto"/>
          <w:sz w:val="24"/>
          <w:highlight w:val="none"/>
        </w:rPr>
        <w:t>2.11 合同转让</w:t>
      </w:r>
      <w:bookmarkEnd w:id="138"/>
      <w:bookmarkEnd w:id="139"/>
      <w:bookmarkEnd w:id="140"/>
      <w:r>
        <w:rPr>
          <w:rFonts w:hint="eastAsia" w:ascii="仿宋" w:hAnsi="仿宋" w:eastAsia="仿宋" w:cs="仿宋"/>
          <w:b/>
          <w:color w:val="auto"/>
          <w:sz w:val="24"/>
          <w:highlight w:val="none"/>
        </w:rPr>
        <w:t>和分包</w:t>
      </w:r>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4" w:name="_Toc14066"/>
      <w:bookmarkStart w:id="145" w:name="_Toc16508"/>
      <w:bookmarkStart w:id="146" w:name="_Toc13566"/>
      <w:r>
        <w:rPr>
          <w:rFonts w:hint="eastAsia" w:ascii="仿宋" w:hAnsi="仿宋" w:eastAsia="仿宋" w:cs="仿宋"/>
          <w:b/>
          <w:color w:val="auto"/>
          <w:sz w:val="24"/>
          <w:highlight w:val="none"/>
        </w:rPr>
        <w:t>2.12 不可抗力</w:t>
      </w:r>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7" w:name="_Toc30676"/>
      <w:bookmarkStart w:id="148" w:name="_Toc259093684"/>
      <w:bookmarkStart w:id="149" w:name="_Toc279701255"/>
      <w:bookmarkStart w:id="150" w:name="_Toc6969"/>
      <w:bookmarkStart w:id="151" w:name="_Toc689"/>
      <w:bookmarkStart w:id="152" w:name="_Toc487900365"/>
      <w:r>
        <w:rPr>
          <w:rFonts w:hint="eastAsia" w:ascii="仿宋" w:hAnsi="仿宋" w:eastAsia="仿宋" w:cs="仿宋"/>
          <w:b/>
          <w:color w:val="auto"/>
          <w:sz w:val="24"/>
          <w:highlight w:val="none"/>
        </w:rPr>
        <w:t>2.13 税费</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3" w:name="_Toc259093687"/>
      <w:bookmarkStart w:id="154" w:name="_Toc16959"/>
      <w:bookmarkStart w:id="155" w:name="_Toc8298"/>
      <w:bookmarkStart w:id="156" w:name="_Toc7102"/>
      <w:bookmarkStart w:id="157" w:name="_Toc487900368"/>
      <w:bookmarkStart w:id="158" w:name="_Toc279701258"/>
      <w:r>
        <w:rPr>
          <w:rFonts w:hint="eastAsia" w:ascii="仿宋" w:hAnsi="仿宋" w:eastAsia="仿宋" w:cs="仿宋"/>
          <w:b/>
          <w:color w:val="auto"/>
          <w:sz w:val="24"/>
          <w:highlight w:val="none"/>
        </w:rPr>
        <w:t>2.14乙方破产</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9" w:name="_Toc15387"/>
      <w:bookmarkStart w:id="160" w:name="_Toc29333"/>
      <w:bookmarkStart w:id="161" w:name="_Toc6134"/>
      <w:r>
        <w:rPr>
          <w:rFonts w:hint="eastAsia" w:ascii="仿宋" w:hAnsi="仿宋" w:eastAsia="仿宋" w:cs="仿宋"/>
          <w:b/>
          <w:color w:val="auto"/>
          <w:sz w:val="24"/>
          <w:highlight w:val="none"/>
        </w:rPr>
        <w:t>2.15 合同中止、终止</w:t>
      </w:r>
      <w:bookmarkEnd w:id="159"/>
      <w:bookmarkEnd w:id="160"/>
      <w:bookmarkEnd w:id="16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2" w:name="_Toc1125"/>
      <w:bookmarkStart w:id="163" w:name="_Toc14563"/>
      <w:bookmarkStart w:id="164" w:name="_Toc6596"/>
      <w:r>
        <w:rPr>
          <w:rFonts w:hint="eastAsia" w:ascii="仿宋" w:hAnsi="仿宋" w:eastAsia="仿宋" w:cs="仿宋"/>
          <w:b/>
          <w:color w:val="auto"/>
          <w:sz w:val="24"/>
          <w:highlight w:val="none"/>
        </w:rPr>
        <w:t>2.16检验和验收</w:t>
      </w:r>
      <w:bookmarkEnd w:id="162"/>
      <w:bookmarkEnd w:id="163"/>
      <w:bookmarkEnd w:id="164"/>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4"/>
    <w:bookmarkEnd w:id="135"/>
    <w:bookmarkEnd w:id="136"/>
    <w:bookmarkEnd w:id="137"/>
    <w:p>
      <w:pPr>
        <w:spacing w:line="560" w:lineRule="exact"/>
        <w:ind w:firstLine="482" w:firstLineChars="200"/>
        <w:outlineLvl w:val="0"/>
        <w:rPr>
          <w:rFonts w:hint="eastAsia" w:ascii="仿宋" w:hAnsi="仿宋" w:eastAsia="仿宋" w:cs="仿宋"/>
          <w:b/>
          <w:color w:val="auto"/>
          <w:sz w:val="24"/>
          <w:highlight w:val="none"/>
        </w:rPr>
      </w:pPr>
      <w:bookmarkStart w:id="165" w:name="_Toc259093690"/>
      <w:bookmarkStart w:id="166" w:name="_Toc487900371"/>
      <w:bookmarkStart w:id="167" w:name="_Toc279701261"/>
      <w:bookmarkStart w:id="168" w:name="_Toc11284"/>
      <w:bookmarkStart w:id="169" w:name="_Toc19604"/>
      <w:bookmarkStart w:id="170" w:name="_Toc25182"/>
      <w:r>
        <w:rPr>
          <w:rFonts w:hint="eastAsia" w:ascii="仿宋" w:hAnsi="仿宋" w:eastAsia="仿宋" w:cs="仿宋"/>
          <w:b/>
          <w:color w:val="auto"/>
          <w:sz w:val="24"/>
          <w:highlight w:val="none"/>
        </w:rPr>
        <w:t>2.17 通知</w:t>
      </w:r>
      <w:bookmarkEnd w:id="165"/>
      <w:bookmarkEnd w:id="166"/>
      <w:bookmarkEnd w:id="167"/>
      <w:r>
        <w:rPr>
          <w:rFonts w:hint="eastAsia" w:ascii="仿宋" w:hAnsi="仿宋" w:eastAsia="仿宋" w:cs="仿宋"/>
          <w:b/>
          <w:color w:val="auto"/>
          <w:sz w:val="24"/>
          <w:highlight w:val="none"/>
        </w:rPr>
        <w:t>和送达</w:t>
      </w:r>
      <w:bookmarkEnd w:id="168"/>
      <w:bookmarkEnd w:id="169"/>
      <w:bookmarkEnd w:id="170"/>
    </w:p>
    <w:p>
      <w:pPr>
        <w:spacing w:line="560" w:lineRule="exact"/>
        <w:ind w:firstLine="480" w:firstLineChars="200"/>
        <w:rPr>
          <w:rFonts w:hint="eastAsia" w:ascii="仿宋" w:hAnsi="仿宋" w:eastAsia="仿宋" w:cs="仿宋"/>
          <w:color w:val="auto"/>
          <w:sz w:val="24"/>
          <w:highlight w:val="none"/>
        </w:rPr>
      </w:pPr>
      <w:bookmarkStart w:id="171" w:name="_Toc3135"/>
      <w:bookmarkStart w:id="172" w:name="_Toc6698"/>
      <w:bookmarkStart w:id="173" w:name="_Toc487900372"/>
      <w:bookmarkStart w:id="174" w:name="_Toc279701262"/>
      <w:bookmarkStart w:id="175"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1"/>
      <w:bookmarkEnd w:id="172"/>
    </w:p>
    <w:p>
      <w:pPr>
        <w:spacing w:line="560" w:lineRule="exact"/>
        <w:ind w:firstLine="480" w:firstLineChars="200"/>
        <w:rPr>
          <w:rFonts w:hint="eastAsia" w:ascii="仿宋" w:hAnsi="仿宋" w:eastAsia="仿宋" w:cs="仿宋"/>
          <w:color w:val="auto"/>
          <w:sz w:val="24"/>
          <w:highlight w:val="none"/>
        </w:rPr>
      </w:pPr>
      <w:bookmarkStart w:id="176" w:name="_Toc23294"/>
      <w:bookmarkStart w:id="177"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6"/>
      <w:bookmarkEnd w:id="177"/>
    </w:p>
    <w:p>
      <w:pPr>
        <w:spacing w:line="560" w:lineRule="exact"/>
        <w:ind w:firstLine="482" w:firstLineChars="200"/>
        <w:outlineLvl w:val="0"/>
        <w:rPr>
          <w:rFonts w:hint="eastAsia" w:ascii="仿宋" w:hAnsi="仿宋" w:eastAsia="仿宋" w:cs="仿宋"/>
          <w:b/>
          <w:color w:val="auto"/>
          <w:sz w:val="24"/>
          <w:highlight w:val="none"/>
        </w:rPr>
      </w:pPr>
      <w:bookmarkStart w:id="178" w:name="_Toc30599"/>
      <w:bookmarkStart w:id="179" w:name="_Toc18540"/>
      <w:bookmarkStart w:id="180" w:name="_Toc4355"/>
      <w:r>
        <w:rPr>
          <w:rFonts w:hint="eastAsia" w:ascii="仿宋" w:hAnsi="仿宋" w:eastAsia="仿宋" w:cs="仿宋"/>
          <w:b/>
          <w:color w:val="auto"/>
          <w:sz w:val="24"/>
          <w:highlight w:val="none"/>
        </w:rPr>
        <w:t>2.18 计量单位</w:t>
      </w:r>
      <w:bookmarkEnd w:id="173"/>
      <w:bookmarkEnd w:id="174"/>
      <w:bookmarkEnd w:id="175"/>
      <w:bookmarkEnd w:id="178"/>
      <w:bookmarkEnd w:id="179"/>
      <w:bookmarkEnd w:id="18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1" w:name="_Toc12773"/>
      <w:bookmarkStart w:id="182" w:name="_Toc279701263"/>
      <w:bookmarkStart w:id="183" w:name="_Toc259093692"/>
      <w:bookmarkStart w:id="184" w:name="_Toc487900373"/>
      <w:bookmarkStart w:id="185" w:name="_Toc18567"/>
      <w:bookmarkStart w:id="186" w:name="_Toc10330"/>
      <w:r>
        <w:rPr>
          <w:rFonts w:hint="eastAsia" w:ascii="仿宋" w:hAnsi="仿宋" w:eastAsia="仿宋" w:cs="仿宋"/>
          <w:b/>
          <w:color w:val="auto"/>
          <w:sz w:val="24"/>
          <w:highlight w:val="none"/>
        </w:rPr>
        <w:t>2.19 合同使用的文字和适用的法律</w:t>
      </w:r>
      <w:bookmarkEnd w:id="181"/>
      <w:bookmarkEnd w:id="182"/>
      <w:bookmarkEnd w:id="183"/>
      <w:bookmarkEnd w:id="184"/>
      <w:bookmarkEnd w:id="185"/>
      <w:bookmarkEnd w:id="1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7" w:name="_Toc6885"/>
      <w:bookmarkStart w:id="188" w:name="_Toc19890"/>
      <w:bookmarkStart w:id="189" w:name="_Toc14001"/>
      <w:r>
        <w:rPr>
          <w:rFonts w:hint="eastAsia" w:ascii="仿宋" w:hAnsi="仿宋" w:eastAsia="仿宋" w:cs="仿宋"/>
          <w:b/>
          <w:color w:val="auto"/>
          <w:sz w:val="24"/>
          <w:highlight w:val="none"/>
        </w:rPr>
        <w:t>2.20 合同份数</w:t>
      </w:r>
      <w:bookmarkEnd w:id="187"/>
      <w:bookmarkEnd w:id="188"/>
      <w:bookmarkEnd w:id="1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noWrap w:val="0"/>
            <w:vAlign w:val="top"/>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noWrap w:val="0"/>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noWrap w:val="0"/>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bCs/>
          <w:iCs/>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1276"/>
        <w:gridCol w:w="666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trPr>
        <w:tc>
          <w:tcPr>
            <w:tcW w:w="709" w:type="dxa"/>
            <w:shd w:val="clear" w:color="auto" w:fill="auto"/>
            <w:vAlign w:val="center"/>
          </w:tcPr>
          <w:p>
            <w:pPr>
              <w:spacing w:line="276" w:lineRule="auto"/>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1276" w:type="dxa"/>
            <w:shd w:val="clear" w:color="auto" w:fill="auto"/>
            <w:vAlign w:val="center"/>
          </w:tcPr>
          <w:p>
            <w:pPr>
              <w:spacing w:line="276" w:lineRule="auto"/>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评分内容</w:t>
            </w:r>
          </w:p>
        </w:tc>
        <w:tc>
          <w:tcPr>
            <w:tcW w:w="6663" w:type="dxa"/>
            <w:shd w:val="clear" w:color="auto" w:fill="auto"/>
            <w:vAlign w:val="center"/>
          </w:tcPr>
          <w:p>
            <w:pPr>
              <w:spacing w:line="276" w:lineRule="auto"/>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评标标准</w:t>
            </w:r>
          </w:p>
        </w:tc>
        <w:tc>
          <w:tcPr>
            <w:tcW w:w="993" w:type="dxa"/>
            <w:shd w:val="clear" w:color="auto" w:fill="auto"/>
            <w:vAlign w:val="center"/>
          </w:tcPr>
          <w:p>
            <w:pPr>
              <w:spacing w:line="276" w:lineRule="auto"/>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276"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企业认证</w:t>
            </w:r>
          </w:p>
        </w:tc>
        <w:tc>
          <w:tcPr>
            <w:tcW w:w="6663" w:type="dxa"/>
            <w:shd w:val="clear" w:color="auto" w:fill="auto"/>
            <w:vAlign w:val="center"/>
          </w:tcPr>
          <w:p>
            <w:pPr>
              <w:spacing w:line="276" w:lineRule="auto"/>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highlight w:val="none"/>
              </w:rPr>
              <w:t>投标人</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有效期内质量管理体系认证证书、环境管理体系认证证书、职业健康安全管理体系认证证书</w:t>
            </w:r>
            <w:r>
              <w:rPr>
                <w:rFonts w:hint="eastAsia" w:ascii="仿宋" w:hAnsi="仿宋" w:eastAsia="仿宋" w:cs="仿宋"/>
                <w:sz w:val="24"/>
                <w:szCs w:val="24"/>
                <w:highlight w:val="none"/>
                <w:lang w:val="en-US" w:eastAsia="zh-CN"/>
              </w:rPr>
              <w:t>且</w:t>
            </w:r>
            <w:r>
              <w:rPr>
                <w:rFonts w:hint="eastAsia" w:ascii="仿宋" w:hAnsi="仿宋" w:eastAsia="仿宋" w:cs="仿宋"/>
                <w:b/>
                <w:color w:val="000000" w:themeColor="text1"/>
                <w:sz w:val="24"/>
                <w:szCs w:val="24"/>
                <w:highlight w:val="none"/>
                <w14:textFill>
                  <w14:solidFill>
                    <w14:schemeClr w14:val="tx1"/>
                  </w14:solidFill>
                </w14:textFill>
              </w:rPr>
              <w:t>认证范围</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包含</w:t>
            </w:r>
            <w:r>
              <w:rPr>
                <w:rFonts w:hint="eastAsia" w:ascii="仿宋" w:hAnsi="仿宋" w:eastAsia="仿宋" w:cs="仿宋"/>
                <w:b/>
                <w:color w:val="000000" w:themeColor="text1"/>
                <w:sz w:val="24"/>
                <w:szCs w:val="24"/>
                <w:highlight w:val="none"/>
                <w14:textFill>
                  <w14:solidFill>
                    <w14:schemeClr w14:val="tx1"/>
                  </w14:solidFill>
                </w14:textFill>
              </w:rPr>
              <w:t>“不锈钢制品”</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每提供1个</w:t>
            </w:r>
            <w:r>
              <w:rPr>
                <w:rFonts w:hint="eastAsia" w:ascii="仿宋" w:hAnsi="仿宋" w:eastAsia="仿宋" w:cs="仿宋"/>
                <w:b/>
                <w:color w:val="000000" w:themeColor="text1"/>
                <w:sz w:val="24"/>
                <w:szCs w:val="24"/>
                <w:highlight w:val="none"/>
                <w14:textFill>
                  <w14:solidFill>
                    <w14:schemeClr w14:val="tx1"/>
                  </w14:solidFill>
                </w14:textFill>
              </w:rPr>
              <w:t>得1分，</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最高得3分</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证明材料：认证证书复印件，加盖投标人公章。</w:t>
            </w:r>
          </w:p>
        </w:tc>
        <w:tc>
          <w:tcPr>
            <w:tcW w:w="993" w:type="dxa"/>
            <w:shd w:val="clear" w:color="auto" w:fill="auto"/>
            <w:vAlign w:val="center"/>
          </w:tcPr>
          <w:p>
            <w:pPr>
              <w:spacing w:line="276" w:lineRule="auto"/>
              <w:jc w:val="center"/>
              <w:rPr>
                <w:rFonts w:hint="eastAsia" w:ascii="仿宋" w:hAnsi="仿宋" w:eastAsia="仿宋" w:cs="仿宋"/>
                <w:b/>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投标人自2020年1月1日以来</w:t>
            </w:r>
            <w:r>
              <w:rPr>
                <w:rFonts w:hint="eastAsia" w:ascii="仿宋" w:hAnsi="仿宋" w:eastAsia="仿宋" w:cs="仿宋"/>
                <w:b/>
                <w:color w:val="000000" w:themeColor="text1"/>
                <w:sz w:val="24"/>
                <w:szCs w:val="24"/>
                <w:highlight w:val="none"/>
                <w:lang w:eastAsia="zh-CN"/>
                <w14:textFill>
                  <w14:solidFill>
                    <w14:schemeClr w14:val="tx1"/>
                  </w14:solidFill>
                </w14:textFill>
              </w:rPr>
              <w:t>（以合同签订时间为准）</w:t>
            </w:r>
            <w:r>
              <w:rPr>
                <w:rFonts w:hint="eastAsia" w:ascii="仿宋" w:hAnsi="仿宋" w:eastAsia="仿宋" w:cs="仿宋"/>
                <w:b/>
                <w:color w:val="000000" w:themeColor="text1"/>
                <w:sz w:val="24"/>
                <w:szCs w:val="24"/>
                <w:highlight w:val="none"/>
                <w14:textFill>
                  <w14:solidFill>
                    <w14:schemeClr w14:val="tx1"/>
                  </w14:solidFill>
                </w14:textFill>
              </w:rPr>
              <w:t>，具有类似项目成功业绩的，每个业绩得1分，最多得3分。</w:t>
            </w:r>
            <w:r>
              <w:rPr>
                <w:rFonts w:hint="eastAsia" w:ascii="仿宋" w:hAnsi="仿宋" w:eastAsia="仿宋" w:cs="仿宋"/>
                <w:color w:val="000000" w:themeColor="text1"/>
                <w:sz w:val="24"/>
                <w:szCs w:val="24"/>
                <w:highlight w:val="none"/>
                <w14:textFill>
                  <w14:solidFill>
                    <w14:schemeClr w14:val="tx1"/>
                  </w14:solidFill>
                </w14:textFill>
              </w:rPr>
              <w:t>证明材料：合同复印件加盖投标人公章，业绩时间以合同签订时间为准。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276"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投标产品与招标要求的符合性评价</w:t>
            </w:r>
          </w:p>
        </w:tc>
        <w:tc>
          <w:tcPr>
            <w:tcW w:w="6663" w:type="dxa"/>
            <w:shd w:val="clear" w:color="auto" w:fill="auto"/>
            <w:vAlign w:val="center"/>
          </w:tcPr>
          <w:p>
            <w:pPr>
              <w:spacing w:line="276" w:lineRule="auto"/>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投标产品的技术</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参数</w:t>
            </w:r>
            <w:r>
              <w:rPr>
                <w:rFonts w:hint="eastAsia" w:ascii="仿宋" w:hAnsi="仿宋" w:eastAsia="仿宋" w:cs="仿宋"/>
                <w:b/>
                <w:color w:val="000000" w:themeColor="text1"/>
                <w:sz w:val="24"/>
                <w:szCs w:val="24"/>
                <w:highlight w:val="none"/>
                <w14:textFill>
                  <w14:solidFill>
                    <w14:schemeClr w14:val="tx1"/>
                  </w14:solidFill>
                </w14:textFill>
              </w:rPr>
              <w:t>与招标文件采购需求（技术要求）的符合性评价：</w:t>
            </w:r>
          </w:p>
          <w:p>
            <w:pPr>
              <w:spacing w:line="276" w:lineRule="auto"/>
              <w:jc w:val="left"/>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sz w:val="24"/>
                <w:szCs w:val="24"/>
                <w:highlight w:val="none"/>
                <w:u w:val="none"/>
                <w14:textFill>
                  <w14:solidFill>
                    <w14:schemeClr w14:val="tx1"/>
                  </w14:solidFill>
                </w14:textFill>
              </w:rPr>
              <w:t>（1）完全符合招标文件采购需求（技术要求）的此项得</w:t>
            </w:r>
            <w:r>
              <w:rPr>
                <w:rFonts w:hint="eastAsia" w:ascii="仿宋" w:hAnsi="仿宋" w:eastAsia="仿宋" w:cs="仿宋"/>
                <w:b/>
                <w:i w:val="0"/>
                <w:iCs w:val="0"/>
                <w:color w:val="000000" w:themeColor="text1"/>
                <w:sz w:val="24"/>
                <w:szCs w:val="24"/>
                <w:highlight w:val="none"/>
                <w:u w:val="none"/>
                <w:lang w:val="en-US" w:eastAsia="zh-CN"/>
                <w14:textFill>
                  <w14:solidFill>
                    <w14:schemeClr w14:val="tx1"/>
                  </w14:solidFill>
                </w14:textFill>
              </w:rPr>
              <w:t>35</w:t>
            </w:r>
            <w:r>
              <w:rPr>
                <w:rFonts w:hint="eastAsia" w:ascii="仿宋" w:hAnsi="仿宋" w:eastAsia="仿宋" w:cs="仿宋"/>
                <w:i w:val="0"/>
                <w:iCs w:val="0"/>
                <w:color w:val="000000" w:themeColor="text1"/>
                <w:sz w:val="24"/>
                <w:szCs w:val="24"/>
                <w:highlight w:val="none"/>
                <w:u w:val="none"/>
                <w14:textFill>
                  <w14:solidFill>
                    <w14:schemeClr w14:val="tx1"/>
                  </w14:solidFill>
                </w14:textFill>
              </w:rPr>
              <w:t>分；</w:t>
            </w:r>
          </w:p>
          <w:p>
            <w:pPr>
              <w:spacing w:line="276" w:lineRule="auto"/>
              <w:jc w:val="left"/>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sz w:val="24"/>
                <w:szCs w:val="24"/>
                <w:highlight w:val="none"/>
                <w:u w:val="none"/>
                <w14:textFill>
                  <w14:solidFill>
                    <w14:schemeClr w14:val="tx1"/>
                  </w14:solidFill>
                </w14:textFill>
              </w:rPr>
              <w:t>（2）一般技术</w:t>
            </w:r>
            <w:r>
              <w:rPr>
                <w:rFonts w:hint="eastAsia" w:ascii="仿宋" w:hAnsi="仿宋" w:eastAsia="仿宋" w:cs="仿宋"/>
                <w:i w:val="0"/>
                <w:iCs w:val="0"/>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i w:val="0"/>
                <w:iCs w:val="0"/>
                <w:color w:val="auto"/>
                <w:sz w:val="24"/>
                <w:szCs w:val="24"/>
                <w:highlight w:val="none"/>
                <w:u w:val="none"/>
                <w:lang w:eastAsia="zh-CN"/>
              </w:rPr>
              <w:t>产品配置</w:t>
            </w:r>
            <w:r>
              <w:rPr>
                <w:rFonts w:hint="eastAsia" w:ascii="仿宋" w:hAnsi="仿宋" w:eastAsia="仿宋" w:cs="仿宋"/>
                <w:i w:val="0"/>
                <w:iCs w:val="0"/>
                <w:color w:val="000000" w:themeColor="text1"/>
                <w:sz w:val="24"/>
                <w:szCs w:val="24"/>
                <w:highlight w:val="none"/>
                <w:u w:val="none"/>
                <w14:textFill>
                  <w14:solidFill>
                    <w14:schemeClr w14:val="tx1"/>
                  </w14:solidFill>
                </w14:textFill>
              </w:rPr>
              <w:t>或功能要求存在负偏离的，每一条负偏离扣</w:t>
            </w:r>
            <w:r>
              <w:rPr>
                <w:rFonts w:hint="eastAsia" w:ascii="仿宋" w:hAnsi="仿宋" w:eastAsia="仿宋" w:cs="仿宋"/>
                <w:b/>
                <w:i w:val="0"/>
                <w:iCs w:val="0"/>
                <w:color w:val="000000" w:themeColor="text1"/>
                <w:sz w:val="24"/>
                <w:szCs w:val="24"/>
                <w:highlight w:val="none"/>
                <w:u w:val="none"/>
                <w:lang w:val="en-US" w:eastAsia="zh-CN"/>
                <w14:textFill>
                  <w14:solidFill>
                    <w14:schemeClr w14:val="tx1"/>
                  </w14:solidFill>
                </w14:textFill>
              </w:rPr>
              <w:t>1</w:t>
            </w:r>
            <w:r>
              <w:rPr>
                <w:rFonts w:hint="eastAsia" w:ascii="仿宋" w:hAnsi="仿宋" w:eastAsia="仿宋" w:cs="仿宋"/>
                <w:i w:val="0"/>
                <w:iCs w:val="0"/>
                <w:color w:val="000000" w:themeColor="text1"/>
                <w:sz w:val="24"/>
                <w:szCs w:val="24"/>
                <w:highlight w:val="none"/>
                <w:u w:val="none"/>
                <w14:textFill>
                  <w14:solidFill>
                    <w14:schemeClr w14:val="tx1"/>
                  </w14:solidFill>
                </w14:textFill>
              </w:rPr>
              <w:t>分</w:t>
            </w:r>
            <w:r>
              <w:rPr>
                <w:rFonts w:hint="eastAsia" w:ascii="仿宋" w:hAnsi="仿宋" w:eastAsia="仿宋" w:cs="仿宋"/>
                <w:i w:val="0"/>
                <w:iCs w:val="0"/>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扣完为止</w:t>
            </w:r>
            <w:r>
              <w:rPr>
                <w:rFonts w:hint="eastAsia" w:ascii="仿宋" w:hAnsi="仿宋" w:eastAsia="仿宋" w:cs="仿宋"/>
                <w:i w:val="0"/>
                <w:iCs w:val="0"/>
                <w:color w:val="000000" w:themeColor="text1"/>
                <w:sz w:val="24"/>
                <w:szCs w:val="24"/>
                <w:highlight w:val="none"/>
                <w:u w:val="none"/>
                <w14:textFill>
                  <w14:solidFill>
                    <w14:schemeClr w14:val="tx1"/>
                  </w14:solidFill>
                </w14:textFill>
              </w:rPr>
              <w:t>；</w:t>
            </w:r>
          </w:p>
          <w:p>
            <w:pPr>
              <w:spacing w:line="276" w:lineRule="auto"/>
              <w:jc w:val="left"/>
              <w:rPr>
                <w:rFonts w:hint="eastAsia" w:ascii="仿宋" w:hAnsi="仿宋" w:eastAsia="仿宋" w:cs="仿宋"/>
                <w:i w:val="0"/>
                <w:iCs w:val="0"/>
                <w:strike/>
                <w:dstrike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sz w:val="24"/>
                <w:szCs w:val="24"/>
                <w:highlight w:val="none"/>
                <w:u w:val="none"/>
                <w14:textFill>
                  <w14:solidFill>
                    <w14:schemeClr w14:val="tx1"/>
                  </w14:solidFill>
                </w14:textFill>
              </w:rPr>
              <w:t>（3）标注▲的【重要技术要求】项存在负偏离的，每一条负偏离扣</w:t>
            </w:r>
            <w:r>
              <w:rPr>
                <w:rFonts w:hint="eastAsia" w:ascii="仿宋" w:hAnsi="仿宋" w:eastAsia="仿宋" w:cs="仿宋"/>
                <w:b/>
                <w:i w:val="0"/>
                <w:iCs w:val="0"/>
                <w:color w:val="000000" w:themeColor="text1"/>
                <w:sz w:val="24"/>
                <w:szCs w:val="24"/>
                <w:highlight w:val="none"/>
                <w:u w:val="none"/>
                <w:lang w:val="en-US" w:eastAsia="zh-CN"/>
                <w14:textFill>
                  <w14:solidFill>
                    <w14:schemeClr w14:val="tx1"/>
                  </w14:solidFill>
                </w14:textFill>
              </w:rPr>
              <w:t>2</w:t>
            </w:r>
            <w:r>
              <w:rPr>
                <w:rFonts w:hint="eastAsia" w:ascii="仿宋" w:hAnsi="仿宋" w:eastAsia="仿宋" w:cs="仿宋"/>
                <w:i w:val="0"/>
                <w:iCs w:val="0"/>
                <w:color w:val="000000" w:themeColor="text1"/>
                <w:sz w:val="24"/>
                <w:szCs w:val="24"/>
                <w:highlight w:val="none"/>
                <w:u w:val="none"/>
                <w14:textFill>
                  <w14:solidFill>
                    <w14:schemeClr w14:val="tx1"/>
                  </w14:solidFill>
                </w14:textFill>
              </w:rPr>
              <w:t>分</w:t>
            </w:r>
            <w:r>
              <w:rPr>
                <w:rFonts w:hint="eastAsia" w:ascii="仿宋" w:hAnsi="仿宋" w:eastAsia="仿宋" w:cs="仿宋"/>
                <w:i w:val="0"/>
                <w:iCs w:val="0"/>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扣完为止</w:t>
            </w:r>
            <w:r>
              <w:rPr>
                <w:rFonts w:hint="eastAsia" w:ascii="仿宋" w:hAnsi="仿宋" w:eastAsia="仿宋" w:cs="仿宋"/>
                <w:i w:val="0"/>
                <w:iCs w:val="0"/>
                <w:color w:val="000000" w:themeColor="text1"/>
                <w:sz w:val="24"/>
                <w:szCs w:val="24"/>
                <w:highlight w:val="none"/>
                <w:u w:val="none"/>
                <w14:textFill>
                  <w14:solidFill>
                    <w14:schemeClr w14:val="tx1"/>
                  </w14:solidFill>
                </w14:textFill>
              </w:rPr>
              <w:t>；</w:t>
            </w:r>
          </w:p>
          <w:p>
            <w:pPr>
              <w:spacing w:line="276"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备注：</w:t>
            </w:r>
            <w:r>
              <w:rPr>
                <w:rFonts w:hint="eastAsia" w:ascii="仿宋" w:hAnsi="仿宋" w:eastAsia="仿宋" w:cs="仿宋"/>
                <w:i w:val="0"/>
                <w:iCs/>
                <w:color w:val="000000" w:themeColor="text1"/>
                <w:sz w:val="24"/>
                <w:szCs w:val="24"/>
                <w:highlight w:val="none"/>
                <w:u w:val="none"/>
                <w14:textFill>
                  <w14:solidFill>
                    <w14:schemeClr w14:val="tx1"/>
                  </w14:solidFill>
                </w14:textFill>
              </w:rPr>
              <w:t>（1）上述“采购需求（技术要求）是指本招标文件第三章采购需求“</w:t>
            </w:r>
            <w:r>
              <w:rPr>
                <w:rFonts w:hint="eastAsia" w:ascii="仿宋" w:hAnsi="仿宋" w:eastAsia="仿宋" w:cs="仿宋"/>
                <w:i w:val="0"/>
                <w:iCs/>
                <w:color w:val="000000" w:themeColor="text1"/>
                <w:sz w:val="24"/>
                <w:szCs w:val="24"/>
                <w:highlight w:val="none"/>
                <w:u w:val="none"/>
                <w:lang w:val="en-US" w:eastAsia="zh-CN"/>
                <w14:textFill>
                  <w14:solidFill>
                    <w14:schemeClr w14:val="tx1"/>
                  </w14:solidFill>
                </w14:textFill>
              </w:rPr>
              <w:t>一</w:t>
            </w:r>
            <w:r>
              <w:rPr>
                <w:rFonts w:hint="eastAsia" w:ascii="仿宋" w:hAnsi="仿宋" w:eastAsia="仿宋" w:cs="仿宋"/>
                <w:i w:val="0"/>
                <w:iCs/>
                <w:color w:val="000000" w:themeColor="text1"/>
                <w:sz w:val="24"/>
                <w:szCs w:val="24"/>
                <w:highlight w:val="none"/>
                <w:u w:val="none"/>
                <w14:textFill>
                  <w14:solidFill>
                    <w14:schemeClr w14:val="tx1"/>
                  </w14:solidFill>
                </w14:textFill>
              </w:rPr>
              <w:t>、采购标的清单及技术要求”</w:t>
            </w:r>
            <w:r>
              <w:rPr>
                <w:rFonts w:hint="eastAsia" w:ascii="仿宋" w:hAnsi="仿宋" w:eastAsia="仿宋" w:cs="仿宋"/>
                <w:i w:val="0"/>
                <w:iCs/>
                <w:color w:val="000000" w:themeColor="text1"/>
                <w:sz w:val="24"/>
                <w:szCs w:val="24"/>
                <w:highlight w:val="none"/>
                <w:u w:val="none"/>
                <w:lang w:val="en-US" w:eastAsia="zh-CN"/>
                <w14:textFill>
                  <w14:solidFill>
                    <w14:schemeClr w14:val="tx1"/>
                  </w14:solidFill>
                </w14:textFill>
              </w:rPr>
              <w:t>和“二、</w:t>
            </w:r>
            <w:r>
              <w:rPr>
                <w:rFonts w:hint="eastAsia" w:ascii="仿宋" w:hAnsi="仿宋" w:eastAsia="仿宋" w:cs="仿宋"/>
                <w:color w:val="000000" w:themeColor="text1"/>
                <w:sz w:val="24"/>
                <w:szCs w:val="24"/>
                <w:highlight w:val="none"/>
                <w:u w:val="none"/>
                <w14:textFill>
                  <w14:solidFill>
                    <w14:schemeClr w14:val="tx1"/>
                  </w14:solidFill>
                </w14:textFill>
              </w:rPr>
              <w:t>材质、主要配件及工艺技术要求</w:t>
            </w:r>
            <w:r>
              <w:rPr>
                <w:rFonts w:hint="eastAsia" w:ascii="仿宋" w:hAnsi="仿宋" w:eastAsia="仿宋" w:cs="仿宋"/>
                <w:i w:val="0"/>
                <w:iCs/>
                <w:color w:val="000000" w:themeColor="text1"/>
                <w:sz w:val="24"/>
                <w:szCs w:val="24"/>
                <w:highlight w:val="none"/>
                <w:u w:val="none"/>
                <w:lang w:val="en-US" w:eastAsia="zh-CN"/>
                <w14:textFill>
                  <w14:solidFill>
                    <w14:schemeClr w14:val="tx1"/>
                  </w14:solidFill>
                </w14:textFill>
              </w:rPr>
              <w:t>”</w:t>
            </w:r>
            <w:r>
              <w:rPr>
                <w:rFonts w:hint="eastAsia" w:ascii="仿宋" w:hAnsi="仿宋" w:eastAsia="仿宋" w:cs="仿宋"/>
                <w:i w:val="0"/>
                <w:iCs/>
                <w:color w:val="000000" w:themeColor="text1"/>
                <w:sz w:val="24"/>
                <w:szCs w:val="24"/>
                <w:highlight w:val="none"/>
                <w:u w:val="none"/>
                <w14:textFill>
                  <w14:solidFill>
                    <w14:schemeClr w14:val="tx1"/>
                  </w14:solidFill>
                </w14:textFill>
              </w:rPr>
              <w:t>中所列的要求”；（2）投标人在投标时应当在《技术响应与偏离表中》注意对照采购要求进行投标响应，并按照要求提供相关证明资料（如有）。投标文件《技术响应与偏离表》响应情况与投标文件中所提供的产品技术材料不一致时，以投标文件中所提供的产品技术材料为准；要求提供证明材料而未提供证明材料的，视为未响应，按负偏离处理。</w:t>
            </w:r>
          </w:p>
        </w:tc>
        <w:tc>
          <w:tcPr>
            <w:tcW w:w="993" w:type="dxa"/>
            <w:shd w:val="clear" w:color="auto" w:fill="auto"/>
            <w:vAlign w:val="center"/>
          </w:tcPr>
          <w:p>
            <w:pPr>
              <w:spacing w:line="276" w:lineRule="auto"/>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1276"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投标样品评价</w:t>
            </w:r>
          </w:p>
        </w:tc>
        <w:tc>
          <w:tcPr>
            <w:tcW w:w="6663" w:type="dxa"/>
            <w:shd w:val="clear" w:color="auto" w:fill="auto"/>
            <w:vAlign w:val="center"/>
          </w:tcPr>
          <w:p>
            <w:pPr>
              <w:spacing w:line="276" w:lineRule="auto"/>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snapToGrid w:val="0"/>
                <w:color w:val="000000" w:themeColor="text1"/>
                <w:kern w:val="28"/>
                <w:sz w:val="24"/>
                <w:szCs w:val="24"/>
                <w:highlight w:val="none"/>
                <w:lang w:val="en-US" w:eastAsia="zh-Hans"/>
                <w14:textFill>
                  <w14:solidFill>
                    <w14:schemeClr w14:val="tx1"/>
                  </w14:solidFill>
                </w14:textFill>
              </w:rPr>
              <w:t>送药车</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样品评价：</w:t>
            </w:r>
            <w:r>
              <w:rPr>
                <w:rFonts w:hint="eastAsia" w:ascii="仿宋" w:hAnsi="仿宋" w:eastAsia="仿宋" w:cs="仿宋"/>
                <w:snapToGrid w:val="0"/>
                <w:color w:val="000000" w:themeColor="text1"/>
                <w:kern w:val="28"/>
                <w:sz w:val="24"/>
                <w:szCs w:val="24"/>
                <w:highlight w:val="none"/>
                <w14:textFill>
                  <w14:solidFill>
                    <w14:schemeClr w14:val="tx1"/>
                  </w14:solidFill>
                </w14:textFill>
              </w:rPr>
              <w:t>尺寸符合招标要求（误差范围≤±5mm），模压成型，表面平整，折弯规整，内置刻度清晰、准确，完全满足上述要求的视为符合。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b/>
                <w:snapToGrid w:val="0"/>
                <w:color w:val="auto"/>
                <w:kern w:val="28"/>
                <w:sz w:val="24"/>
                <w:szCs w:val="24"/>
                <w:highlight w:val="none"/>
                <w:u w:val="none"/>
                <w:lang w:val="en-US" w:eastAsia="zh-CN"/>
              </w:rPr>
              <w:t>大</w:t>
            </w:r>
            <w:r>
              <w:rPr>
                <w:rFonts w:hint="eastAsia" w:ascii="仿宋" w:hAnsi="仿宋" w:eastAsia="仿宋" w:cs="仿宋"/>
                <w:b/>
                <w:snapToGrid w:val="0"/>
                <w:color w:val="auto"/>
                <w:kern w:val="28"/>
                <w:sz w:val="24"/>
                <w:szCs w:val="24"/>
                <w:highlight w:val="none"/>
                <w:u w:val="none"/>
                <w:lang w:val="en-US" w:eastAsia="zh-Hans"/>
              </w:rPr>
              <w:t>治疗车</w:t>
            </w:r>
            <w:r>
              <w:rPr>
                <w:rFonts w:hint="eastAsia" w:ascii="仿宋" w:hAnsi="仿宋" w:eastAsia="仿宋" w:cs="仿宋"/>
                <w:b/>
                <w:snapToGrid w:val="0"/>
                <w:color w:val="000000" w:themeColor="text1"/>
                <w:kern w:val="28"/>
                <w:sz w:val="24"/>
                <w:szCs w:val="24"/>
                <w:highlight w:val="none"/>
                <w:u w:val="none"/>
                <w:lang w:val="en-US" w:eastAsia="zh-CN"/>
                <w14:textFill>
                  <w14:solidFill>
                    <w14:schemeClr w14:val="tx1"/>
                  </w14:solidFill>
                </w14:textFill>
              </w:rPr>
              <w:t>样品评价：</w:t>
            </w:r>
            <w:r>
              <w:rPr>
                <w:rFonts w:hint="eastAsia" w:ascii="仿宋" w:hAnsi="仿宋" w:eastAsia="仿宋" w:cs="仿宋"/>
                <w:snapToGrid w:val="0"/>
                <w:color w:val="000000" w:themeColor="text1"/>
                <w:kern w:val="28"/>
                <w:sz w:val="24"/>
                <w:szCs w:val="24"/>
                <w:highlight w:val="none"/>
                <w14:textFill>
                  <w14:solidFill>
                    <w14:schemeClr w14:val="tx1"/>
                  </w14:solidFill>
                </w14:textFill>
              </w:rPr>
              <w:t>尺寸符合招标要求（误差范围≤±5mm），模压成型，表面平整，折弯规整，内置刻度清晰、准确，完全满足上述要求的视为符合。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3.1-5.0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snapToGrid w:val="0"/>
                <w:color w:val="000000" w:themeColor="text1"/>
                <w:kern w:val="28"/>
                <w:sz w:val="24"/>
                <w:szCs w:val="24"/>
                <w:highlight w:val="none"/>
                <w:u w:val="none"/>
                <w:lang w:val="en-US" w:eastAsia="zh-Hans"/>
                <w14:textFill>
                  <w14:solidFill>
                    <w14:schemeClr w14:val="tx1"/>
                  </w14:solidFill>
                </w14:textFill>
              </w:rPr>
              <w:t>气动双杆升降台</w:t>
            </w:r>
            <w:r>
              <w:rPr>
                <w:rFonts w:hint="eastAsia" w:ascii="仿宋" w:hAnsi="仿宋" w:eastAsia="仿宋" w:cs="仿宋"/>
                <w:b/>
                <w:snapToGrid w:val="0"/>
                <w:color w:val="000000" w:themeColor="text1"/>
                <w:kern w:val="28"/>
                <w:sz w:val="24"/>
                <w:szCs w:val="24"/>
                <w:highlight w:val="none"/>
                <w:u w:val="none"/>
                <w:lang w:val="en-US" w:eastAsia="zh-CN"/>
                <w14:textFill>
                  <w14:solidFill>
                    <w14:schemeClr w14:val="tx1"/>
                  </w14:solidFill>
                </w14:textFill>
              </w:rPr>
              <w:t>样品评价：</w:t>
            </w:r>
            <w:r>
              <w:rPr>
                <w:rFonts w:hint="eastAsia" w:ascii="仿宋" w:hAnsi="仿宋" w:eastAsia="仿宋" w:cs="仿宋"/>
                <w:snapToGrid w:val="0"/>
                <w:color w:val="000000" w:themeColor="text1"/>
                <w:kern w:val="28"/>
                <w:sz w:val="24"/>
                <w:szCs w:val="24"/>
                <w:highlight w:val="none"/>
                <w14:textFill>
                  <w14:solidFill>
                    <w14:schemeClr w14:val="tx1"/>
                  </w14:solidFill>
                </w14:textFill>
              </w:rPr>
              <w:t>尺寸符合招标要求（误差范围≤±5mm），模压成型，表面平整，折弯规整，内置刻度清晰、准确，完全满足上述要求的视为符合。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b/>
                <w:snapToGrid w:val="0"/>
                <w:color w:val="000000" w:themeColor="text1"/>
                <w:kern w:val="28"/>
                <w:sz w:val="24"/>
                <w:szCs w:val="24"/>
                <w:highlight w:val="none"/>
                <w:u w:val="none"/>
                <w:lang w:val="en-US" w:eastAsia="zh-Hans"/>
                <w14:textFill>
                  <w14:solidFill>
                    <w14:schemeClr w14:val="tx1"/>
                  </w14:solidFill>
                </w14:textFill>
              </w:rPr>
            </w:pPr>
            <w:r>
              <w:rPr>
                <w:rFonts w:hint="eastAsia" w:ascii="仿宋" w:hAnsi="仿宋" w:eastAsia="仿宋" w:cs="仿宋"/>
                <w:b/>
                <w:snapToGrid w:val="0"/>
                <w:color w:val="000000" w:themeColor="text1"/>
                <w:kern w:val="28"/>
                <w:sz w:val="24"/>
                <w:szCs w:val="24"/>
                <w:highlight w:val="none"/>
                <w:u w:val="none"/>
                <w:lang w:val="en-US" w:eastAsia="zh-CN"/>
                <w14:textFill>
                  <w14:solidFill>
                    <w14:schemeClr w14:val="tx1"/>
                  </w14:solidFill>
                </w14:textFill>
              </w:rPr>
              <w:t>清洗双槽柜（</w:t>
            </w:r>
            <w:r>
              <w:rPr>
                <w:rFonts w:hint="eastAsia" w:ascii="仿宋" w:hAnsi="仿宋" w:eastAsia="仿宋" w:cs="仿宋"/>
                <w:b/>
                <w:bCs/>
                <w:color w:val="auto"/>
                <w:sz w:val="24"/>
                <w:szCs w:val="24"/>
                <w:highlight w:val="none"/>
                <w:lang w:val="en-US" w:eastAsia="zh-Hans"/>
              </w:rPr>
              <w:t>水槽槽体</w:t>
            </w:r>
            <w:r>
              <w:rPr>
                <w:rFonts w:hint="eastAsia" w:ascii="仿宋" w:hAnsi="仿宋" w:eastAsia="仿宋" w:cs="仿宋"/>
                <w:b/>
                <w:snapToGrid w:val="0"/>
                <w:color w:val="000000" w:themeColor="text1"/>
                <w:kern w:val="28"/>
                <w:sz w:val="24"/>
                <w:szCs w:val="24"/>
                <w:highlight w:val="none"/>
                <w:u w:val="none"/>
                <w:lang w:val="en-US" w:eastAsia="zh-CN"/>
                <w14:textFill>
                  <w14:solidFill>
                    <w14:schemeClr w14:val="tx1"/>
                  </w14:solidFill>
                </w14:textFill>
              </w:rPr>
              <w:t>）样品评价：</w:t>
            </w:r>
            <w:r>
              <w:rPr>
                <w:rFonts w:hint="eastAsia" w:ascii="仿宋" w:hAnsi="仿宋" w:eastAsia="仿宋" w:cs="仿宋"/>
                <w:snapToGrid w:val="0"/>
                <w:color w:val="000000" w:themeColor="text1"/>
                <w:kern w:val="28"/>
                <w:sz w:val="24"/>
                <w:szCs w:val="24"/>
                <w:highlight w:val="none"/>
                <w14:textFill>
                  <w14:solidFill>
                    <w14:schemeClr w14:val="tx1"/>
                  </w14:solidFill>
                </w14:textFill>
              </w:rPr>
              <w:t>尺寸符合招标要求（误差范围≤±5mm），模压成型，表面平整，折弯规整，内置刻度清晰、准确，完全满足上述要求的视为符合。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snapToGrid w:val="0"/>
                <w:color w:val="000000" w:themeColor="text1"/>
                <w:kern w:val="28"/>
                <w:sz w:val="24"/>
                <w:szCs w:val="24"/>
                <w:highlight w:val="none"/>
                <w:lang w:val="en-US" w:eastAsia="zh-Hans"/>
                <w14:textFill>
                  <w14:solidFill>
                    <w14:schemeClr w14:val="tx1"/>
                  </w14:solidFill>
                </w14:textFill>
              </w:rPr>
              <w:t>导轨</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样品</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评价：</w:t>
            </w:r>
            <w:r>
              <w:rPr>
                <w:rFonts w:hint="eastAsia" w:ascii="仿宋" w:hAnsi="仿宋" w:eastAsia="仿宋" w:cs="仿宋"/>
                <w:color w:val="000000" w:themeColor="text1"/>
                <w:sz w:val="24"/>
                <w:szCs w:val="24"/>
                <w:highlight w:val="none"/>
                <w14:textFill>
                  <w14:solidFill>
                    <w14:schemeClr w14:val="tx1"/>
                  </w14:solidFill>
                </w14:textFill>
              </w:rPr>
              <w:t>无锈蚀、刃口、锐棱，表面细密，无裂纹、毛刺等缺陷，</w:t>
            </w:r>
            <w:r>
              <w:rPr>
                <w:rFonts w:hint="eastAsia" w:ascii="仿宋" w:hAnsi="仿宋" w:eastAsia="仿宋" w:cs="仿宋"/>
                <w:snapToGrid w:val="0"/>
                <w:color w:val="000000" w:themeColor="text1"/>
                <w:kern w:val="28"/>
                <w:sz w:val="24"/>
                <w:szCs w:val="24"/>
                <w:highlight w:val="none"/>
                <w14:textFill>
                  <w14:solidFill>
                    <w14:schemeClr w14:val="tx1"/>
                  </w14:solidFill>
                </w14:textFill>
              </w:rPr>
              <w:t>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1.6-2.0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0.6-1.5</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部分符合项目需求的得0.1-0.5分，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snapToGrid w:val="0"/>
                <w:color w:val="000000" w:themeColor="text1"/>
                <w:kern w:val="28"/>
                <w:sz w:val="24"/>
                <w:szCs w:val="24"/>
                <w:highlight w:val="none"/>
                <w14:textFill>
                  <w14:solidFill>
                    <w14:schemeClr w14:val="tx1"/>
                  </w14:solidFill>
                </w14:textFill>
              </w:rPr>
              <w:t>脚轮（万向轮）样品评价：</w:t>
            </w:r>
            <w:r>
              <w:rPr>
                <w:rFonts w:hint="eastAsia" w:ascii="仿宋" w:hAnsi="仿宋" w:eastAsia="仿宋" w:cs="仿宋"/>
                <w:snapToGrid w:val="0"/>
                <w:color w:val="000000" w:themeColor="text1"/>
                <w:kern w:val="28"/>
                <w:sz w:val="24"/>
                <w:szCs w:val="24"/>
                <w:highlight w:val="none"/>
                <w14:textFill>
                  <w14:solidFill>
                    <w14:schemeClr w14:val="tx1"/>
                  </w14:solidFill>
                </w14:textFill>
              </w:rPr>
              <w:t>脚轮轮面光洁、无裂纹、伤痕、毛边，金属部位表面光滑平整，无锈蚀、毛刺刃口、露底等缺陷，转动零部件灵活、无卡滞及松脱现象，脚轮零部件之间装配牢固，轮轴不随车轮转动</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snapToGrid w:val="0"/>
                <w:color w:val="000000" w:themeColor="text1"/>
                <w:kern w:val="28"/>
                <w:sz w:val="24"/>
                <w:szCs w:val="24"/>
                <w:highlight w:val="none"/>
                <w14:textFill>
                  <w14:solidFill>
                    <w14:schemeClr w14:val="tx1"/>
                  </w14:solidFill>
                </w14:textFill>
              </w:rPr>
              <w:t>完全满足上述要求的视为符合。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1.6-2.0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0.6-1.5</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部分符合项目需求的得0.1-0.5分，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1276" w:type="dxa"/>
            <w:vMerge w:val="restart"/>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投标技术、服务方案评价</w:t>
            </w:r>
          </w:p>
        </w:tc>
        <w:tc>
          <w:tcPr>
            <w:tcW w:w="6663" w:type="dxa"/>
            <w:shd w:val="clear" w:color="auto" w:fill="auto"/>
            <w:vAlign w:val="center"/>
          </w:tcPr>
          <w:p>
            <w:pPr>
              <w:spacing w:line="276" w:lineRule="auto"/>
              <w:jc w:val="left"/>
              <w:rPr>
                <w:rFonts w:hint="eastAsia" w:ascii="仿宋" w:hAnsi="仿宋" w:eastAsia="仿宋" w:cs="仿宋"/>
                <w:b/>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产品安装与调试方案，</w:t>
            </w:r>
            <w:r>
              <w:rPr>
                <w:rFonts w:hint="eastAsia" w:ascii="仿宋" w:hAnsi="仿宋" w:eastAsia="仿宋" w:cs="仿宋"/>
                <w:color w:val="000000" w:themeColor="text1"/>
                <w:sz w:val="24"/>
                <w:szCs w:val="24"/>
                <w:highlight w:val="none"/>
                <w14:textFill>
                  <w14:solidFill>
                    <w14:schemeClr w14:val="tx1"/>
                  </w14:solidFill>
                </w14:textFill>
              </w:rPr>
              <w:t>包括安装调试的方式、方法、技术标准、规范等，方案内容完整、清晰、明确且可行的视为符合。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b/>
                <w:color w:val="000000" w:themeColor="text1"/>
                <w:w w:val="90"/>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技术培训方案与承诺</w:t>
            </w:r>
            <w:r>
              <w:rPr>
                <w:rFonts w:hint="eastAsia" w:ascii="仿宋" w:hAnsi="仿宋" w:eastAsia="仿宋" w:cs="仿宋"/>
                <w:color w:val="000000" w:themeColor="text1"/>
                <w:sz w:val="24"/>
                <w:szCs w:val="24"/>
                <w:highlight w:val="none"/>
                <w14:textFill>
                  <w14:solidFill>
                    <w14:schemeClr w14:val="tx1"/>
                  </w14:solidFill>
                </w14:textFill>
              </w:rPr>
              <w:t>，包括培训的次数时长、形式、成果目标等，方案与承诺内容完整、清晰、明确且可行的视为符合。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产品售后服务方案，</w:t>
            </w:r>
            <w:r>
              <w:rPr>
                <w:rFonts w:hint="eastAsia" w:ascii="仿宋" w:hAnsi="仿宋" w:eastAsia="仿宋" w:cs="仿宋"/>
                <w:color w:val="000000" w:themeColor="text1"/>
                <w:sz w:val="24"/>
                <w:szCs w:val="24"/>
                <w:highlight w:val="none"/>
                <w14:textFill>
                  <w14:solidFill>
                    <w14:schemeClr w14:val="tx1"/>
                  </w14:solidFill>
                </w14:textFill>
              </w:rPr>
              <w:t>包括售后服务的形式、售后服务技术标准、人员配置、机构配置、时效响应、质量承诺，方案内容完整、清晰、明确且可行的视为符合。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全面</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2.1-3.0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基本</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符合</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项目需求</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的得</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1.1-2.0</w:t>
            </w:r>
            <w:r>
              <w:rPr>
                <w:rFonts w:hint="eastAsia" w:ascii="仿宋" w:hAnsi="仿宋" w:eastAsia="仿宋" w:cs="仿宋"/>
                <w:b/>
                <w:snapToGrid w:val="0"/>
                <w:color w:val="000000" w:themeColor="text1"/>
                <w:kern w:val="28"/>
                <w:sz w:val="24"/>
                <w:szCs w:val="24"/>
                <w:highlight w:val="none"/>
                <w14:textFill>
                  <w14:solidFill>
                    <w14:schemeClr w14:val="tx1"/>
                  </w14:solidFill>
                </w14:textFill>
              </w:rPr>
              <w:t>分，</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部分符合项目需求的得0.1-1.0分，</w:t>
            </w:r>
            <w:r>
              <w:rPr>
                <w:rFonts w:hint="eastAsia" w:ascii="仿宋" w:hAnsi="仿宋" w:eastAsia="仿宋" w:cs="仿宋"/>
                <w:b/>
                <w:snapToGrid w:val="0"/>
                <w:color w:val="000000" w:themeColor="text1"/>
                <w:kern w:val="28"/>
                <w:sz w:val="24"/>
                <w:szCs w:val="24"/>
                <w:highlight w:val="none"/>
                <w:lang w:eastAsia="zh-CN"/>
                <w14:textFill>
                  <w14:solidFill>
                    <w14:schemeClr w14:val="tx1"/>
                  </w14:solidFill>
                </w14:textFill>
              </w:rPr>
              <w:t>不提供</w:t>
            </w:r>
            <w:r>
              <w:rPr>
                <w:rFonts w:hint="eastAsia" w:ascii="仿宋" w:hAnsi="仿宋" w:eastAsia="仿宋" w:cs="仿宋"/>
                <w:b/>
                <w:snapToGrid w:val="0"/>
                <w:color w:val="000000" w:themeColor="text1"/>
                <w:kern w:val="28"/>
                <w:sz w:val="24"/>
                <w:szCs w:val="24"/>
                <w:highlight w:val="none"/>
                <w:lang w:val="en-US" w:eastAsia="zh-CN"/>
                <w14:textFill>
                  <w14:solidFill>
                    <w14:schemeClr w14:val="tx1"/>
                  </w14:solidFill>
                </w14:textFill>
              </w:rPr>
              <w:t>不得分。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76" w:type="dxa"/>
            <w:vMerge w:val="continue"/>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663" w:type="dxa"/>
            <w:shd w:val="clear" w:color="auto" w:fill="auto"/>
            <w:vAlign w:val="center"/>
          </w:tcPr>
          <w:p>
            <w:pPr>
              <w:spacing w:line="276" w:lineRule="auto"/>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产品质保期（原厂质保期）承诺：</w:t>
            </w:r>
            <w:r>
              <w:rPr>
                <w:rFonts w:hint="eastAsia" w:ascii="仿宋" w:hAnsi="仿宋" w:eastAsia="仿宋" w:cs="仿宋"/>
                <w:color w:val="000000" w:themeColor="text1"/>
                <w:sz w:val="24"/>
                <w:szCs w:val="24"/>
                <w:highlight w:val="none"/>
                <w14:textFill>
                  <w14:solidFill>
                    <w14:schemeClr w14:val="tx1"/>
                  </w14:solidFill>
                </w14:textFill>
              </w:rPr>
              <w:t>投标人承诺的投标产品质保期在采购要求的基础上，</w:t>
            </w:r>
            <w:r>
              <w:rPr>
                <w:rFonts w:hint="eastAsia" w:ascii="仿宋" w:hAnsi="仿宋" w:eastAsia="仿宋" w:cs="仿宋"/>
                <w:b/>
                <w:color w:val="000000" w:themeColor="text1"/>
                <w:sz w:val="24"/>
                <w:szCs w:val="24"/>
                <w:highlight w:val="none"/>
                <w14:textFill>
                  <w14:solidFill>
                    <w14:schemeClr w14:val="tx1"/>
                  </w14:solidFill>
                </w14:textFill>
              </w:rPr>
              <w:t>整体每增加1年的得1分，最多得2分（整体增加部分不足1年的不计分）。</w:t>
            </w:r>
          </w:p>
        </w:tc>
        <w:tc>
          <w:tcPr>
            <w:tcW w:w="993" w:type="dxa"/>
            <w:shd w:val="clear" w:color="auto" w:fill="auto"/>
            <w:vAlign w:val="center"/>
          </w:tcPr>
          <w:p>
            <w:pPr>
              <w:spacing w:line="276"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shd w:val="clear" w:color="auto" w:fill="auto"/>
          <w:lang w:eastAsia="zh-CN"/>
        </w:rPr>
      </w:pPr>
      <w:r>
        <w:rPr>
          <w:rFonts w:hint="eastAsia" w:ascii="仿宋" w:hAnsi="仿宋" w:eastAsia="仿宋" w:cs="仿宋"/>
          <w:b/>
          <w:bCs/>
          <w:iCs/>
          <w:color w:val="auto"/>
          <w:sz w:val="24"/>
          <w:highlight w:val="none"/>
          <w:shd w:val="clear" w:color="auto" w:fill="auto"/>
        </w:rPr>
        <w:t>2.2价格分</w:t>
      </w:r>
      <w:r>
        <w:rPr>
          <w:rFonts w:hint="eastAsia" w:ascii="仿宋" w:hAnsi="仿宋" w:eastAsia="仿宋" w:cs="仿宋"/>
          <w:b/>
          <w:bCs/>
          <w:iCs/>
          <w:color w:val="auto"/>
          <w:sz w:val="24"/>
          <w:highlight w:val="none"/>
          <w:shd w:val="clear" w:color="auto" w:fill="auto"/>
          <w:lang w:eastAsia="zh-CN"/>
        </w:rPr>
        <w:t>（</w:t>
      </w:r>
      <w:r>
        <w:rPr>
          <w:rFonts w:hint="eastAsia" w:ascii="仿宋" w:hAnsi="仿宋" w:eastAsia="仿宋" w:cs="仿宋"/>
          <w:b/>
          <w:bCs/>
          <w:iCs/>
          <w:color w:val="auto"/>
          <w:sz w:val="24"/>
          <w:highlight w:val="none"/>
          <w:u w:val="single"/>
          <w:shd w:val="clear" w:color="auto" w:fill="auto"/>
          <w:lang w:val="en-US" w:eastAsia="zh-CN"/>
        </w:rPr>
        <w:t>30</w:t>
      </w:r>
      <w:r>
        <w:rPr>
          <w:rFonts w:hint="eastAsia" w:ascii="仿宋" w:hAnsi="仿宋" w:eastAsia="仿宋" w:cs="仿宋"/>
          <w:b/>
          <w:bCs/>
          <w:iCs/>
          <w:color w:val="auto"/>
          <w:sz w:val="24"/>
          <w:highlight w:val="none"/>
          <w:shd w:val="clear" w:color="auto" w:fill="auto"/>
        </w:rPr>
        <w:t>分</w:t>
      </w:r>
      <w:r>
        <w:rPr>
          <w:rFonts w:hint="eastAsia" w:ascii="仿宋" w:hAnsi="仿宋" w:eastAsia="仿宋" w:cs="仿宋"/>
          <w:b/>
          <w:bCs/>
          <w:iCs/>
          <w:color w:val="auto"/>
          <w:sz w:val="24"/>
          <w:highlight w:val="none"/>
          <w:shd w:val="clear" w:color="auto" w:fill="auto"/>
          <w:lang w:eastAsia="zh-CN"/>
        </w:rPr>
        <w:t>）</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2.2.2其他投标响应人的价格分统一按照下列公式计算：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bookmarkEnd w:id="37"/>
    <w:bookmarkEnd w:id="38"/>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pStyle w:val="114"/>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15"/>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right"/>
        <w:rPr>
          <w:rFonts w:hint="eastAsia" w:ascii="仿宋" w:hAnsi="仿宋" w:eastAsia="仿宋" w:cs="仿宋"/>
          <w:color w:val="auto"/>
          <w:sz w:val="24"/>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7"/>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（1）</w:t>
      </w: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7"/>
        <w:numPr>
          <w:ilvl w:val="0"/>
          <w:numId w:val="0"/>
        </w:numPr>
        <w:spacing w:line="336" w:lineRule="auto"/>
        <w:ind w:left="0" w:leftChars="0" w:firstLine="0" w:firstLineChars="0"/>
        <w:jc w:val="both"/>
        <w:rPr>
          <w:rFonts w:ascii="仿宋" w:eastAsia="仿宋" w:cs="仿宋"/>
          <w:color w:val="auto"/>
          <w:highlight w:val="none"/>
        </w:rPr>
      </w:pPr>
      <w:r>
        <w:rPr>
          <w:rFonts w:ascii="仿宋" w:hAnsi="仿宋" w:eastAsia="仿宋" w:cs="仿宋"/>
          <w:color w:val="auto"/>
          <w:kern w:val="2"/>
          <w:sz w:val="24"/>
          <w:szCs w:val="24"/>
          <w:highlight w:val="none"/>
          <w:lang w:val="en-US" w:eastAsia="zh-CN" w:bidi="ar-SA"/>
        </w:rPr>
        <w:t>（2）</w:t>
      </w:r>
      <w:r>
        <w:rPr>
          <w:rFonts w:hint="eastAsia" w:ascii="仿宋" w:eastAsia="仿宋" w:cs="仿宋"/>
          <w:color w:val="auto"/>
          <w:highlight w:val="none"/>
        </w:rPr>
        <w:t>法定代表人授权书 ………………………………………………………… （页码）</w:t>
      </w:r>
    </w:p>
    <w:p>
      <w:pPr>
        <w:pStyle w:val="907"/>
        <w:spacing w:line="336" w:lineRule="auto"/>
        <w:ind w:left="0" w:firstLine="0" w:firstLineChars="0"/>
        <w:rPr>
          <w:rFonts w:cs="仿宋"/>
          <w:highlight w:val="none"/>
        </w:rPr>
      </w:pPr>
      <w:r>
        <w:rPr>
          <w:rFonts w:hint="eastAsia" w:hAnsi="仿宋_GB2312" w:cs="仿宋_GB2312"/>
          <w:highlight w:val="none"/>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907"/>
        <w:spacing w:line="336" w:lineRule="auto"/>
        <w:ind w:left="0" w:firstLine="0" w:firstLineChars="0"/>
        <w:rPr>
          <w:rFonts w:cs="仿宋"/>
          <w:highlight w:val="none"/>
        </w:rPr>
      </w:pPr>
      <w:r>
        <w:rPr>
          <w:rFonts w:hint="eastAsia" w:hAnsi="仿宋_GB2312" w:cs="仿宋_GB2312"/>
          <w:highlight w:val="none"/>
        </w:rPr>
        <w:t>（5）</w:t>
      </w:r>
      <w:r>
        <w:rPr>
          <w:rFonts w:hint="eastAsia" w:cs="仿宋"/>
          <w:highlight w:val="none"/>
        </w:rPr>
        <w:t>法定代表人身份证明书…………………………………………………… （页码）</w:t>
      </w:r>
    </w:p>
    <w:p>
      <w:pPr>
        <w:pStyle w:val="907"/>
        <w:spacing w:line="336" w:lineRule="auto"/>
        <w:ind w:left="0" w:firstLine="0" w:firstLineChars="0"/>
        <w:rPr>
          <w:rFonts w:cs="仿宋"/>
          <w:highlight w:val="none"/>
        </w:rPr>
      </w:pPr>
      <w:r>
        <w:rPr>
          <w:rFonts w:hint="eastAsia" w:hAnsi="仿宋_GB2312" w:cs="仿宋_GB2312"/>
          <w:highlight w:val="none"/>
        </w:rPr>
        <w:t>（6）</w:t>
      </w:r>
      <w:r>
        <w:rPr>
          <w:rFonts w:hint="eastAsia" w:cs="仿宋"/>
          <w:highlight w:val="none"/>
        </w:rPr>
        <w:t>商务技术偏离表…………………………………………………………… （页码）</w:t>
      </w:r>
    </w:p>
    <w:p>
      <w:pPr>
        <w:pStyle w:val="907"/>
        <w:spacing w:line="336" w:lineRule="auto"/>
        <w:ind w:left="0" w:firstLine="0" w:firstLineChars="0"/>
        <w:rPr>
          <w:rFonts w:cs="仿宋"/>
          <w:highlight w:val="none"/>
        </w:rPr>
      </w:pPr>
      <w:r>
        <w:rPr>
          <w:rFonts w:hint="eastAsia" w:hAnsi="仿宋_GB2312" w:cs="仿宋_GB2312"/>
          <w:highlight w:val="none"/>
        </w:rPr>
        <w:t>（7）</w:t>
      </w:r>
      <w:r>
        <w:rPr>
          <w:rFonts w:hint="eastAsia" w:cs="仿宋"/>
          <w:highlight w:val="none"/>
          <w:lang w:val="zh-CN"/>
        </w:rPr>
        <w:t>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401"/>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401"/>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w:t>
      </w:r>
    </w:p>
    <w:p>
      <w:pPr>
        <w:spacing w:line="800" w:lineRule="exact"/>
        <w:ind w:firstLine="480" w:firstLineChars="200"/>
        <w:rPr>
          <w:rFonts w:ascii="仿宋_GB2312" w:hAnsi="仿宋" w:eastAsia="仿宋_GB2312" w:cs="仿宋"/>
          <w:b/>
          <w:sz w:val="30"/>
          <w:szCs w:val="30"/>
          <w:highlight w:val="none"/>
          <w:u w:val="none"/>
        </w:rPr>
      </w:pPr>
      <w:r>
        <w:rPr>
          <w:rFonts w:hint="eastAsia" w:ascii="仿宋_GB2312" w:hAnsi="宋体" w:eastAsia="仿宋_GB2312"/>
          <w:sz w:val="24"/>
          <w:highlight w:val="none"/>
          <w:u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Style w:val="2"/>
        <w:rPr>
          <w:rFonts w:hint="eastAsia" w:ascii="仿宋" w:hAnsi="仿宋" w:eastAsia="仿宋" w:cs="仿宋"/>
          <w:b/>
          <w:color w:val="auto"/>
          <w:kern w:val="0"/>
          <w:sz w:val="32"/>
          <w:szCs w:val="32"/>
          <w:highlight w:val="none"/>
          <w:lang w:val="zh-CN"/>
        </w:rPr>
      </w:pPr>
      <w:bookmarkStart w:id="200" w:name="_GoBack"/>
      <w:bookmarkEnd w:id="200"/>
    </w:p>
    <w:p>
      <w:pPr>
        <w:rPr>
          <w:rFonts w:hint="eastAsia"/>
          <w:highlight w:val="none"/>
          <w:lang w:val="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pStyle w:val="114"/>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pPr>
        <w:pStyle w:val="114"/>
        <w:rPr>
          <w:rFonts w:hint="eastAsia" w:ascii="仿宋" w:hAnsi="仿宋" w:eastAsia="仿宋" w:cs="仿宋"/>
          <w:b/>
          <w:bCs/>
          <w:color w:val="auto"/>
          <w:sz w:val="32"/>
          <w:szCs w:val="32"/>
          <w:highlight w:val="none"/>
        </w:rPr>
      </w:pPr>
    </w:p>
    <w:p>
      <w:pPr>
        <w:pStyle w:val="114"/>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54" o:title=""/>
            <o:lock v:ext="edit" aspectratio="t"/>
            <w10:wrap type="none"/>
            <w10:anchorlock/>
          </v:shape>
          <o:OLEObject Type="Embed" ProgID="Package" ShapeID="_x0000_i1025" DrawAspect="Content" ObjectID="_1468075725" r:id="rId5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56" o:title=""/>
            <o:lock v:ext="edit" aspectratio="t"/>
            <w10:wrap type="none"/>
            <w10:anchorlock/>
          </v:shape>
          <o:OLEObject Type="Embed" ProgID="Package" ShapeID="_x0000_i1026" DrawAspect="Content" ObjectID="_1468075726" r:id="rId5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5"/>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114"/>
        <w:rPr>
          <w:rFonts w:hint="eastAsia"/>
          <w:color w:val="auto"/>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115"/>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1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pStyle w:val="114"/>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pStyle w:val="115"/>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6"/>
        <w:rPr>
          <w:rFonts w:hint="eastAsia"/>
          <w:color w:val="auto"/>
          <w:highlight w:val="none"/>
        </w:rPr>
        <w:sectPr>
          <w:headerReference r:id="rId14" w:type="first"/>
          <w:footerReference r:id="rId16" w:type="first"/>
          <w:headerReference r:id="rId13" w:type="default"/>
          <w:footerReference r:id="rId15" w:type="default"/>
          <w:pgSz w:w="11905" w:h="16838"/>
          <w:pgMar w:top="1480" w:right="1474" w:bottom="1559" w:left="1474" w:header="851" w:footer="992" w:gutter="0"/>
          <w:cols w:space="720" w:num="1"/>
          <w:titlePg/>
          <w:rtlGutter w:val="0"/>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5" w:h="16838"/>
          <w:pgMar w:top="1480" w:right="1474" w:bottom="1559" w:left="1474" w:header="851" w:footer="992" w:gutter="0"/>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0" w:name="_Hlk101259491"/>
      <w:r>
        <w:rPr>
          <w:rFonts w:hint="eastAsia" w:ascii="仿宋" w:hAnsi="仿宋" w:eastAsia="仿宋" w:cs="仿宋"/>
          <w:color w:val="auto"/>
          <w:sz w:val="32"/>
          <w:szCs w:val="32"/>
          <w:highlight w:val="none"/>
        </w:rPr>
        <w:t>（如果有）</w:t>
      </w:r>
      <w:bookmarkEnd w:id="190"/>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5"/>
        <w:rPr>
          <w:rFonts w:hint="eastAsia" w:ascii="仿宋" w:hAnsi="仿宋" w:eastAsia="仿宋" w:cs="仿宋"/>
          <w:b/>
          <w:color w:val="auto"/>
          <w:sz w:val="24"/>
          <w:highlight w:val="none"/>
        </w:rPr>
      </w:pPr>
    </w:p>
    <w:p>
      <w:pPr>
        <w:pStyle w:val="116"/>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15"/>
        <w:rPr>
          <w:rFonts w:hint="eastAsia" w:ascii="仿宋" w:hAnsi="仿宋" w:eastAsia="仿宋" w:cs="仿宋"/>
          <w:b/>
          <w:color w:val="auto"/>
          <w:sz w:val="24"/>
          <w:highlight w:val="none"/>
        </w:rPr>
      </w:pPr>
    </w:p>
    <w:p>
      <w:pPr>
        <w:pStyle w:val="116"/>
        <w:rPr>
          <w:rFonts w:hint="eastAsia"/>
          <w:color w:val="auto"/>
          <w:highlight w:val="none"/>
        </w:rPr>
      </w:pPr>
    </w:p>
    <w:p>
      <w:pPr>
        <w:pStyle w:val="116"/>
        <w:rPr>
          <w:rFonts w:hint="eastAsia"/>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15"/>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116"/>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pStyle w:val="114"/>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rPr>
          <w:rFonts w:hint="default" w:ascii="Times New Roman" w:hAnsi="Times New Roman" w:eastAsia="宋体" w:cs="Times New Roman"/>
          <w:color w:val="auto"/>
          <w:highlight w:val="none"/>
        </w:rPr>
      </w:pPr>
      <w:bookmarkStart w:id="191" w:name="_Toc465665161"/>
    </w:p>
    <w:p>
      <w:pPr>
        <w:rPr>
          <w:rFonts w:hint="default" w:ascii="Times New Roman" w:hAnsi="Times New Roman" w:eastAsia="宋体" w:cs="Times New Roman"/>
          <w:color w:val="auto"/>
          <w:highlight w:val="none"/>
        </w:rPr>
      </w:pPr>
    </w:p>
    <w:p>
      <w:pPr>
        <w:pStyle w:val="2"/>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91"/>
    </w:p>
    <w:p>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5"/>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2"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2"/>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3"/>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115"/>
        <w:rPr>
          <w:rFonts w:hint="eastAsia" w:ascii="仿宋" w:hAnsi="仿宋" w:eastAsia="仿宋" w:cs="仿宋"/>
          <w:b/>
          <w:color w:val="auto"/>
          <w:spacing w:val="6"/>
          <w:sz w:val="32"/>
          <w:szCs w:val="32"/>
          <w:highlight w:val="none"/>
        </w:rPr>
      </w:pPr>
    </w:p>
    <w:p>
      <w:pPr>
        <w:pStyle w:val="116"/>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115"/>
        <w:rPr>
          <w:rFonts w:hint="eastAsia" w:ascii="仿宋" w:hAnsi="仿宋" w:eastAsia="仿宋" w:cs="仿宋"/>
          <w:b/>
          <w:color w:val="auto"/>
          <w:spacing w:val="6"/>
          <w:sz w:val="32"/>
          <w:szCs w:val="32"/>
          <w:highlight w:val="none"/>
        </w:rPr>
      </w:pPr>
    </w:p>
    <w:p>
      <w:pPr>
        <w:pStyle w:val="116"/>
        <w:rPr>
          <w:rFonts w:hint="eastAsia"/>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4" w:name="OLE_LINK14"/>
      <w:bookmarkStart w:id="195" w:name="OLE_LINK13"/>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194"/>
    <w:bookmarkEnd w:id="195"/>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pStyle w:val="114"/>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footerReference r:id="rId23" w:type="first"/>
      <w:footerReference r:id="rId21" w:type="default"/>
      <w:footerReference r:id="rId22"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6" w:name="_Toc36110187"/>
    <w:bookmarkStart w:id="197" w:name="_Toc131845147"/>
    <w:bookmarkStart w:id="198" w:name="_Toc164085800"/>
    <w:bookmarkStart w:id="199" w:name="_Toc91899912"/>
    <w:r>
      <w:rPr>
        <w:rFonts w:hint="eastAsia" w:ascii="仿宋_GB2312" w:eastAsia="仿宋_GB2312"/>
        <w:kern w:val="0"/>
        <w:szCs w:val="21"/>
      </w:rPr>
      <w:t xml:space="preserve"> 页</w:t>
    </w:r>
    <w:bookmarkEnd w:id="196"/>
    <w:bookmarkEnd w:id="197"/>
    <w:bookmarkEnd w:id="198"/>
    <w:bookmarkEnd w:id="19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p>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highlight w:val="none"/>
      </w:rPr>
    </w:pPr>
    <w:r>
      <w:rPr>
        <w:rFonts w:hint="eastAsia" w:ascii="仿宋" w:hAnsi="仿宋" w:eastAsia="仿宋" w:cs="仿宋"/>
        <w:highlight w:val="none"/>
        <w:u w:val="single"/>
        <w:lang w:val="en-US" w:eastAsia="zh-CN"/>
      </w:rPr>
      <w:t xml:space="preserve">绍兴市嘉华项目管理有限公司             </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rPr>
      <w:t xml:space="preserve"> 文件编号:</w:t>
    </w:r>
    <w:r>
      <w:rPr>
        <w:rFonts w:hint="eastAsia" w:ascii="仿宋" w:hAnsi="仿宋" w:eastAsia="仿宋" w:cs="仿宋"/>
        <w:highlight w:val="none"/>
        <w:u w:val="single"/>
        <w:lang w:val="en-US" w:eastAsia="zh-CN"/>
      </w:rPr>
      <w:t>SXJHCG-2023-N0184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highlight w:val="none"/>
        <w:u w:val="single"/>
        <w:lang w:val="en-US"/>
      </w:rPr>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SXJHCG-2023-N0184</w:t>
    </w: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2DB41D1"/>
    <w:rsid w:val="033E089E"/>
    <w:rsid w:val="06D74677"/>
    <w:rsid w:val="0983157E"/>
    <w:rsid w:val="0DFB570C"/>
    <w:rsid w:val="0E0362E7"/>
    <w:rsid w:val="0EA52FF6"/>
    <w:rsid w:val="0FA0239A"/>
    <w:rsid w:val="116A1633"/>
    <w:rsid w:val="14127BE9"/>
    <w:rsid w:val="162014CF"/>
    <w:rsid w:val="169E17AF"/>
    <w:rsid w:val="17192AC1"/>
    <w:rsid w:val="1F9830A9"/>
    <w:rsid w:val="1FB7399D"/>
    <w:rsid w:val="22727BBA"/>
    <w:rsid w:val="23A25A78"/>
    <w:rsid w:val="240A36C4"/>
    <w:rsid w:val="24A75056"/>
    <w:rsid w:val="24AA4D00"/>
    <w:rsid w:val="26947E4E"/>
    <w:rsid w:val="2A655225"/>
    <w:rsid w:val="2A674403"/>
    <w:rsid w:val="2B0F6BD2"/>
    <w:rsid w:val="2CDA6E57"/>
    <w:rsid w:val="2CEF6931"/>
    <w:rsid w:val="3493397B"/>
    <w:rsid w:val="35E77AB3"/>
    <w:rsid w:val="36FB35B6"/>
    <w:rsid w:val="3EEB0A50"/>
    <w:rsid w:val="3F326AC0"/>
    <w:rsid w:val="3F8278DE"/>
    <w:rsid w:val="40703AC8"/>
    <w:rsid w:val="40F47FEF"/>
    <w:rsid w:val="42121129"/>
    <w:rsid w:val="45AD4ECA"/>
    <w:rsid w:val="4A20188F"/>
    <w:rsid w:val="4DE4148C"/>
    <w:rsid w:val="4FAE554B"/>
    <w:rsid w:val="50C301CB"/>
    <w:rsid w:val="52A4326C"/>
    <w:rsid w:val="534878B2"/>
    <w:rsid w:val="5537541B"/>
    <w:rsid w:val="57DAE6E1"/>
    <w:rsid w:val="583666BC"/>
    <w:rsid w:val="5E9856CE"/>
    <w:rsid w:val="5EF81254"/>
    <w:rsid w:val="5F665FB3"/>
    <w:rsid w:val="5FF54E0E"/>
    <w:rsid w:val="61233F25"/>
    <w:rsid w:val="6240566A"/>
    <w:rsid w:val="642152E2"/>
    <w:rsid w:val="647629E6"/>
    <w:rsid w:val="65077AE2"/>
    <w:rsid w:val="67AB3E63"/>
    <w:rsid w:val="684150B9"/>
    <w:rsid w:val="686C725B"/>
    <w:rsid w:val="6AEF1016"/>
    <w:rsid w:val="6B585EED"/>
    <w:rsid w:val="6BE76250"/>
    <w:rsid w:val="6D9817F8"/>
    <w:rsid w:val="6FB13984"/>
    <w:rsid w:val="6FC33560"/>
    <w:rsid w:val="703419F4"/>
    <w:rsid w:val="729E74BD"/>
    <w:rsid w:val="7372042B"/>
    <w:rsid w:val="747B0440"/>
    <w:rsid w:val="75BE368C"/>
    <w:rsid w:val="796F3E19"/>
    <w:rsid w:val="7A090B1C"/>
    <w:rsid w:val="7E534B96"/>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Plain Text"/>
    <w:basedOn w:val="1"/>
    <w:link w:val="96"/>
    <w:qFormat/>
    <w:uiPriority w:val="0"/>
    <w:rPr>
      <w:rFonts w:ascii="宋体" w:hAnsi="Courier New" w:cs="Arial"/>
      <w:snapToGrid w:val="0"/>
      <w:szCs w:val="21"/>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8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89"/>
    <w:qFormat/>
    <w:uiPriority w:val="0"/>
    <w:pPr>
      <w:shd w:val="clear" w:color="auto" w:fill="000080"/>
    </w:pPr>
  </w:style>
  <w:style w:type="paragraph" w:styleId="20">
    <w:name w:val="annotation text"/>
    <w:basedOn w:val="1"/>
    <w:link w:val="90"/>
    <w:qFormat/>
    <w:uiPriority w:val="99"/>
    <w:pPr>
      <w:jc w:val="left"/>
    </w:pPr>
  </w:style>
  <w:style w:type="paragraph" w:styleId="21">
    <w:name w:val="Salutation"/>
    <w:basedOn w:val="1"/>
    <w:next w:val="1"/>
    <w:link w:val="91"/>
    <w:qFormat/>
    <w:uiPriority w:val="0"/>
    <w:rPr>
      <w:rFonts w:ascii="仿宋_GB2312" w:eastAsia="仿宋_GB2312"/>
      <w:sz w:val="28"/>
      <w:szCs w:val="20"/>
    </w:rPr>
  </w:style>
  <w:style w:type="paragraph" w:styleId="22">
    <w:name w:val="Body Text 3"/>
    <w:basedOn w:val="1"/>
    <w:link w:val="92"/>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9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94"/>
    <w:qFormat/>
    <w:uiPriority w:val="0"/>
    <w:pPr>
      <w:spacing w:line="480" w:lineRule="exact"/>
      <w:ind w:firstLine="480" w:firstLineChars="200"/>
    </w:pPr>
    <w:rPr>
      <w:rFonts w:ascii="宋体" w:hAnsi="宋体"/>
      <w:sz w:val="24"/>
    </w:rPr>
  </w:style>
  <w:style w:type="paragraph" w:styleId="26">
    <w:name w:val="Body Text First Indent 2"/>
    <w:basedOn w:val="25"/>
    <w:link w:val="112"/>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7"/>
    <w:qFormat/>
    <w:uiPriority w:val="0"/>
    <w:pPr>
      <w:ind w:left="100" w:leftChars="2500"/>
    </w:pPr>
    <w:rPr>
      <w:rFonts w:ascii="宋体"/>
      <w:sz w:val="24"/>
      <w:szCs w:val="21"/>
      <w:lang w:val="zh-CN"/>
    </w:rPr>
  </w:style>
  <w:style w:type="paragraph" w:styleId="37">
    <w:name w:val="Body Text Indent 2"/>
    <w:basedOn w:val="1"/>
    <w:link w:val="98"/>
    <w:qFormat/>
    <w:uiPriority w:val="0"/>
    <w:pPr>
      <w:spacing w:line="360" w:lineRule="auto"/>
      <w:ind w:firstLine="601"/>
      <w:textAlignment w:val="baseline"/>
    </w:pPr>
    <w:rPr>
      <w:rFonts w:ascii="宋体"/>
      <w:kern w:val="0"/>
      <w:sz w:val="28"/>
      <w:szCs w:val="20"/>
    </w:rPr>
  </w:style>
  <w:style w:type="paragraph" w:styleId="38">
    <w:name w:val="endnote text"/>
    <w:basedOn w:val="1"/>
    <w:link w:val="99"/>
    <w:qFormat/>
    <w:uiPriority w:val="0"/>
    <w:rPr>
      <w:lang w:val="zh-CN"/>
    </w:rPr>
  </w:style>
  <w:style w:type="paragraph" w:styleId="39">
    <w:name w:val="Balloon Text"/>
    <w:basedOn w:val="1"/>
    <w:link w:val="10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105"/>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7"/>
    <w:qFormat/>
    <w:uiPriority w:val="0"/>
    <w:pPr>
      <w:spacing w:after="120" w:line="480" w:lineRule="auto"/>
    </w:pPr>
  </w:style>
  <w:style w:type="paragraph" w:styleId="57">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10"/>
    <w:qFormat/>
    <w:uiPriority w:val="0"/>
    <w:rPr>
      <w:b/>
      <w:bCs/>
    </w:rPr>
  </w:style>
  <w:style w:type="paragraph" w:styleId="61">
    <w:name w:val="Body Text First Indent"/>
    <w:basedOn w:val="24"/>
    <w:next w:val="1"/>
    <w:link w:val="111"/>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next w:val="1"/>
    <w:qFormat/>
    <w:uiPriority w:val="0"/>
    <w:pPr>
      <w:spacing w:line="360" w:lineRule="auto"/>
      <w:ind w:firstLine="480" w:firstLineChars="200"/>
    </w:pPr>
    <w:rPr>
      <w:rFonts w:ascii="宋体"/>
      <w:sz w:val="24"/>
      <w:szCs w:val="20"/>
    </w:rPr>
  </w:style>
  <w:style w:type="character" w:customStyle="1" w:styleId="80">
    <w:name w:val="标题 1 Char"/>
    <w:link w:val="2"/>
    <w:qFormat/>
    <w:uiPriority w:val="9"/>
    <w:rPr>
      <w:b/>
      <w:bCs/>
      <w:kern w:val="44"/>
      <w:sz w:val="44"/>
      <w:szCs w:val="44"/>
    </w:rPr>
  </w:style>
  <w:style w:type="character" w:customStyle="1" w:styleId="81">
    <w:name w:val="正文缩进 Char2"/>
    <w:link w:val="16"/>
    <w:qFormat/>
    <w:uiPriority w:val="0"/>
    <w:rPr>
      <w:rFonts w:ascii="宋体" w:eastAsia="宋体"/>
      <w:snapToGrid w:val="0"/>
      <w:color w:val="000000"/>
      <w:kern w:val="28"/>
      <w:sz w:val="28"/>
      <w:lang w:val="en-US" w:eastAsia="zh-CN" w:bidi="ar-SA"/>
    </w:rPr>
  </w:style>
  <w:style w:type="character" w:customStyle="1" w:styleId="82">
    <w:name w:val="标题 4 Char2"/>
    <w:link w:val="6"/>
    <w:qFormat/>
    <w:uiPriority w:val="9"/>
    <w:rPr>
      <w:rFonts w:ascii="Arial" w:hAnsi="Arial" w:eastAsia="黑体"/>
      <w:b/>
      <w:bCs/>
      <w:kern w:val="2"/>
      <w:sz w:val="28"/>
      <w:szCs w:val="28"/>
      <w:lang w:val="zh-CN"/>
    </w:rPr>
  </w:style>
  <w:style w:type="character" w:customStyle="1" w:styleId="83">
    <w:name w:val="标题 5 Char"/>
    <w:link w:val="7"/>
    <w:qFormat/>
    <w:uiPriority w:val="9"/>
    <w:rPr>
      <w:b/>
      <w:bCs/>
      <w:kern w:val="2"/>
      <w:sz w:val="28"/>
      <w:szCs w:val="28"/>
    </w:rPr>
  </w:style>
  <w:style w:type="character" w:customStyle="1" w:styleId="84">
    <w:name w:val="标题 6 Char"/>
    <w:link w:val="8"/>
    <w:qFormat/>
    <w:uiPriority w:val="0"/>
    <w:rPr>
      <w:rFonts w:ascii="Arial" w:hAnsi="Arial" w:eastAsia="黑体"/>
      <w:b/>
      <w:bCs/>
      <w:kern w:val="2"/>
      <w:sz w:val="24"/>
      <w:szCs w:val="24"/>
    </w:rPr>
  </w:style>
  <w:style w:type="character" w:customStyle="1" w:styleId="85">
    <w:name w:val="标题 7 Char"/>
    <w:link w:val="9"/>
    <w:qFormat/>
    <w:uiPriority w:val="0"/>
    <w:rPr>
      <w:b/>
      <w:bCs/>
      <w:kern w:val="2"/>
      <w:sz w:val="24"/>
      <w:szCs w:val="24"/>
    </w:rPr>
  </w:style>
  <w:style w:type="character" w:customStyle="1" w:styleId="86">
    <w:name w:val="标题 8 Char"/>
    <w:link w:val="10"/>
    <w:qFormat/>
    <w:uiPriority w:val="0"/>
    <w:rPr>
      <w:rFonts w:ascii="Arial" w:hAnsi="Arial" w:eastAsia="黑体"/>
      <w:kern w:val="2"/>
      <w:sz w:val="24"/>
      <w:szCs w:val="24"/>
    </w:rPr>
  </w:style>
  <w:style w:type="character" w:customStyle="1" w:styleId="87">
    <w:name w:val="标题 9 Char"/>
    <w:link w:val="11"/>
    <w:qFormat/>
    <w:uiPriority w:val="0"/>
    <w:rPr>
      <w:rFonts w:ascii="Arial" w:hAnsi="Arial" w:eastAsia="黑体"/>
      <w:kern w:val="2"/>
      <w:sz w:val="21"/>
      <w:szCs w:val="21"/>
    </w:rPr>
  </w:style>
  <w:style w:type="character" w:customStyle="1" w:styleId="88">
    <w:name w:val="题注 Char"/>
    <w:link w:val="17"/>
    <w:qFormat/>
    <w:uiPriority w:val="0"/>
    <w:rPr>
      <w:b/>
      <w:kern w:val="2"/>
      <w:sz w:val="28"/>
    </w:rPr>
  </w:style>
  <w:style w:type="character" w:customStyle="1" w:styleId="89">
    <w:name w:val="文档结构图 Char1"/>
    <w:link w:val="19"/>
    <w:qFormat/>
    <w:uiPriority w:val="0"/>
    <w:rPr>
      <w:kern w:val="2"/>
      <w:sz w:val="21"/>
      <w:szCs w:val="24"/>
      <w:shd w:val="clear" w:color="auto" w:fill="000080"/>
    </w:rPr>
  </w:style>
  <w:style w:type="character" w:customStyle="1" w:styleId="90">
    <w:name w:val="批注文字 Char1"/>
    <w:link w:val="20"/>
    <w:qFormat/>
    <w:uiPriority w:val="0"/>
    <w:rPr>
      <w:kern w:val="2"/>
      <w:sz w:val="21"/>
      <w:szCs w:val="24"/>
    </w:rPr>
  </w:style>
  <w:style w:type="character" w:customStyle="1" w:styleId="91">
    <w:name w:val="称呼 Char"/>
    <w:link w:val="21"/>
    <w:qFormat/>
    <w:uiPriority w:val="0"/>
    <w:rPr>
      <w:rFonts w:ascii="仿宋_GB2312" w:eastAsia="仿宋_GB2312"/>
      <w:kern w:val="2"/>
      <w:sz w:val="28"/>
    </w:rPr>
  </w:style>
  <w:style w:type="character" w:customStyle="1" w:styleId="92">
    <w:name w:val="正文文本 3 Char"/>
    <w:link w:val="22"/>
    <w:qFormat/>
    <w:uiPriority w:val="0"/>
    <w:rPr>
      <w:kern w:val="2"/>
      <w:sz w:val="21"/>
    </w:rPr>
  </w:style>
  <w:style w:type="character" w:customStyle="1" w:styleId="9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25"/>
    <w:qFormat/>
    <w:uiPriority w:val="0"/>
    <w:rPr>
      <w:rFonts w:ascii="宋体" w:hAnsi="宋体"/>
      <w:kern w:val="2"/>
      <w:sz w:val="24"/>
      <w:szCs w:val="24"/>
    </w:rPr>
  </w:style>
  <w:style w:type="character" w:customStyle="1" w:styleId="95">
    <w:name w:val="HTML 地址 Char"/>
    <w:link w:val="31"/>
    <w:qFormat/>
    <w:uiPriority w:val="0"/>
    <w:rPr>
      <w:rFonts w:ascii="宋体" w:hAnsi="宋体"/>
      <w:i/>
      <w:iCs/>
      <w:sz w:val="24"/>
      <w:szCs w:val="24"/>
    </w:rPr>
  </w:style>
  <w:style w:type="character" w:customStyle="1" w:styleId="96">
    <w:name w:val="纯文本 Char"/>
    <w:link w:val="5"/>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6"/>
    <w:qFormat/>
    <w:uiPriority w:val="0"/>
    <w:rPr>
      <w:rFonts w:ascii="宋体"/>
      <w:kern w:val="2"/>
      <w:sz w:val="24"/>
      <w:szCs w:val="21"/>
      <w:lang w:val="zh-CN"/>
    </w:rPr>
  </w:style>
  <w:style w:type="character" w:customStyle="1" w:styleId="98">
    <w:name w:val="正文文本缩进 2 Char"/>
    <w:link w:val="37"/>
    <w:qFormat/>
    <w:uiPriority w:val="0"/>
    <w:rPr>
      <w:rFonts w:ascii="宋体"/>
      <w:sz w:val="28"/>
    </w:rPr>
  </w:style>
  <w:style w:type="character" w:customStyle="1" w:styleId="99">
    <w:name w:val="尾注文本 Char"/>
    <w:link w:val="38"/>
    <w:qFormat/>
    <w:uiPriority w:val="0"/>
    <w:rPr>
      <w:kern w:val="2"/>
      <w:sz w:val="21"/>
      <w:szCs w:val="24"/>
      <w:lang w:val="zh-CN"/>
    </w:rPr>
  </w:style>
  <w:style w:type="character" w:customStyle="1" w:styleId="100">
    <w:name w:val="批注框文本 Char"/>
    <w:link w:val="39"/>
    <w:qFormat/>
    <w:uiPriority w:val="0"/>
    <w:rPr>
      <w:kern w:val="2"/>
      <w:sz w:val="18"/>
      <w:szCs w:val="18"/>
    </w:rPr>
  </w:style>
  <w:style w:type="character" w:customStyle="1" w:styleId="101">
    <w:name w:val="页脚 Char2"/>
    <w:link w:val="40"/>
    <w:qFormat/>
    <w:uiPriority w:val="99"/>
    <w:rPr>
      <w:kern w:val="2"/>
      <w:sz w:val="18"/>
      <w:szCs w:val="18"/>
    </w:rPr>
  </w:style>
  <w:style w:type="character" w:customStyle="1" w:styleId="102">
    <w:name w:val="页眉 Char2"/>
    <w:link w:val="41"/>
    <w:qFormat/>
    <w:uiPriority w:val="99"/>
    <w:rPr>
      <w:kern w:val="2"/>
      <w:sz w:val="18"/>
      <w:szCs w:val="18"/>
    </w:rPr>
  </w:style>
  <w:style w:type="character" w:customStyle="1" w:styleId="103">
    <w:name w:val="签名 Char"/>
    <w:link w:val="42"/>
    <w:qFormat/>
    <w:uiPriority w:val="0"/>
    <w:rPr>
      <w:rFonts w:eastAsia="仿宋_GB2312"/>
      <w:sz w:val="24"/>
    </w:rPr>
  </w:style>
  <w:style w:type="character" w:customStyle="1" w:styleId="104">
    <w:name w:val="副标题 Char"/>
    <w:link w:val="47"/>
    <w:qFormat/>
    <w:uiPriority w:val="0"/>
    <w:rPr>
      <w:rFonts w:ascii="Arial" w:hAnsi="Arial" w:eastAsia="隶书"/>
      <w:b/>
      <w:bCs/>
      <w:kern w:val="28"/>
      <w:sz w:val="44"/>
      <w:szCs w:val="32"/>
      <w:lang w:val="en-US" w:eastAsia="zh-CN" w:bidi="ar-SA"/>
    </w:rPr>
  </w:style>
  <w:style w:type="character" w:customStyle="1" w:styleId="105">
    <w:name w:val="脚注文本 Char"/>
    <w:link w:val="50"/>
    <w:qFormat/>
    <w:uiPriority w:val="0"/>
    <w:rPr>
      <w:color w:val="0000FF"/>
      <w:sz w:val="21"/>
    </w:rPr>
  </w:style>
  <w:style w:type="character" w:customStyle="1" w:styleId="106">
    <w:name w:val="正文文本缩进 3 Char"/>
    <w:link w:val="53"/>
    <w:qFormat/>
    <w:uiPriority w:val="0"/>
    <w:rPr>
      <w:kern w:val="2"/>
      <w:sz w:val="24"/>
    </w:rPr>
  </w:style>
  <w:style w:type="character" w:customStyle="1" w:styleId="107">
    <w:name w:val="正文文本 2 Char1"/>
    <w:link w:val="56"/>
    <w:qFormat/>
    <w:uiPriority w:val="0"/>
    <w:rPr>
      <w:kern w:val="2"/>
      <w:sz w:val="21"/>
      <w:szCs w:val="24"/>
    </w:rPr>
  </w:style>
  <w:style w:type="character" w:customStyle="1" w:styleId="108">
    <w:name w:val="HTML 预设格式 Char"/>
    <w:link w:val="57"/>
    <w:qFormat/>
    <w:uiPriority w:val="0"/>
    <w:rPr>
      <w:rFonts w:ascii="黑体" w:hAnsi="Courier New" w:eastAsia="黑体"/>
    </w:rPr>
  </w:style>
  <w:style w:type="character" w:customStyle="1" w:styleId="109">
    <w:name w:val="标题 Char2"/>
    <w:link w:val="59"/>
    <w:qFormat/>
    <w:uiPriority w:val="10"/>
    <w:rPr>
      <w:b/>
      <w:sz w:val="24"/>
      <w:lang w:val="en-GB"/>
    </w:rPr>
  </w:style>
  <w:style w:type="character" w:customStyle="1" w:styleId="110">
    <w:name w:val="批注主题 Char1"/>
    <w:link w:val="60"/>
    <w:qFormat/>
    <w:uiPriority w:val="0"/>
    <w:rPr>
      <w:b/>
      <w:bCs/>
      <w:kern w:val="2"/>
      <w:sz w:val="21"/>
      <w:szCs w:val="24"/>
    </w:rPr>
  </w:style>
  <w:style w:type="character" w:customStyle="1" w:styleId="111">
    <w:name w:val="正文首行缩进 Char"/>
    <w:link w:val="61"/>
    <w:qFormat/>
    <w:uiPriority w:val="0"/>
    <w:rPr>
      <w:rFonts w:ascii="宋体"/>
      <w:kern w:val="2"/>
      <w:sz w:val="24"/>
      <w:lang w:val="zh-CN"/>
    </w:rPr>
  </w:style>
  <w:style w:type="character" w:customStyle="1" w:styleId="112">
    <w:name w:val="正文首行缩进 2 Char"/>
    <w:link w:val="26"/>
    <w:qFormat/>
    <w:uiPriority w:val="0"/>
    <w:rPr>
      <w:rFonts w:ascii="宋体" w:hAnsi="宋体"/>
      <w:kern w:val="2"/>
      <w:sz w:val="21"/>
      <w:szCs w:val="24"/>
    </w:rPr>
  </w:style>
  <w:style w:type="paragraph" w:customStyle="1" w:styleId="113">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114">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7bee19d-6ee1-4f59-9a95-63e8ae457081"/>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349d8ccd-87a8-4174-b318-483ee852d82b"/>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3"/>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0"/>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napToGrid/>
      <w:sz w:val="28"/>
    </w:rPr>
  </w:style>
  <w:style w:type="paragraph" w:customStyle="1" w:styleId="226">
    <w:name w:val="3级"/>
    <w:basedOn w:val="227"/>
    <w:link w:val="225"/>
    <w:qFormat/>
    <w:uiPriority w:val="0"/>
    <w:pPr>
      <w:ind w:left="0" w:right="466" w:firstLine="288"/>
    </w:pPr>
    <w:rPr>
      <w:rFonts w:hAnsi="宋体"/>
      <w:snapToGrid/>
    </w:rPr>
  </w:style>
  <w:style w:type="paragraph" w:customStyle="1" w:styleId="22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6"/>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72f22585-e026-41c0-b855-8ac788c27b1e"/>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280"/>
    <w:link w:val="27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0">
    <w:name w:val="List Paragraph"/>
    <w:basedOn w:val="1"/>
    <w:qFormat/>
    <w:uiPriority w:val="34"/>
    <w:pPr>
      <w:spacing w:line="360" w:lineRule="auto"/>
      <w:ind w:firstLine="200" w:firstLineChars="200"/>
    </w:pPr>
    <w:rPr>
      <w:rFonts w:eastAsia="楷体_GB2312" w:cs="Lucida Sans"/>
      <w:sz w:val="24"/>
    </w:rPr>
  </w:style>
  <w:style w:type="character" w:customStyle="1" w:styleId="281">
    <w:name w:val="Char Char8"/>
    <w:qFormat/>
    <w:uiPriority w:val="0"/>
    <w:rPr>
      <w:rFonts w:eastAsia="宋体"/>
      <w:b/>
      <w:sz w:val="24"/>
      <w:lang w:val="en-GB" w:eastAsia="zh-CN"/>
    </w:rPr>
  </w:style>
  <w:style w:type="character" w:customStyle="1" w:styleId="282">
    <w:name w:val="Normal Indent Char Char"/>
    <w:qFormat/>
    <w:uiPriority w:val="0"/>
    <w:rPr>
      <w:rFonts w:eastAsia="宋体"/>
      <w:kern w:val="2"/>
      <w:sz w:val="21"/>
      <w:lang w:val="en-US" w:eastAsia="zh-CN" w:bidi="ar-SA"/>
    </w:rPr>
  </w:style>
  <w:style w:type="character" w:customStyle="1" w:styleId="283">
    <w:name w:val="列表段落 字符"/>
    <w:qFormat/>
    <w:uiPriority w:val="99"/>
  </w:style>
  <w:style w:type="character" w:customStyle="1" w:styleId="284">
    <w:name w:val="Ò³Ã¼ Char Char1"/>
    <w:qFormat/>
    <w:uiPriority w:val="0"/>
    <w:rPr>
      <w:rFonts w:eastAsia="宋体"/>
      <w:kern w:val="2"/>
      <w:sz w:val="18"/>
      <w:szCs w:val="18"/>
      <w:lang w:val="en-US" w:eastAsia="zh-CN" w:bidi="ar-SA"/>
    </w:rPr>
  </w:style>
  <w:style w:type="character" w:customStyle="1" w:styleId="285">
    <w:name w:val="方案正文 Char"/>
    <w:qFormat/>
    <w:uiPriority w:val="0"/>
    <w:rPr>
      <w:rFonts w:ascii="仿宋_GB2312" w:eastAsia="仿宋_GB2312"/>
      <w:b/>
      <w:color w:val="000000"/>
      <w:kern w:val="2"/>
      <w:sz w:val="24"/>
      <w:lang w:val="en-US" w:eastAsia="zh-CN" w:bidi="ar-SA"/>
    </w:rPr>
  </w:style>
  <w:style w:type="character" w:customStyle="1" w:styleId="286">
    <w:name w:val="Char Char30"/>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qFormat/>
    <w:uiPriority w:val="0"/>
    <w:rPr>
      <w:rFonts w:eastAsia="宋体"/>
      <w:kern w:val="2"/>
      <w:sz w:val="18"/>
      <w:lang w:val="en-US" w:eastAsia="zh-CN" w:bidi="ar-SA"/>
    </w:rPr>
  </w:style>
  <w:style w:type="character" w:customStyle="1" w:styleId="294">
    <w:name w:val="message1"/>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qFormat/>
    <w:uiPriority w:val="6"/>
    <w:rPr>
      <w:rFonts w:ascii="宋体" w:hAnsi="宋体"/>
      <w:kern w:val="1"/>
      <w:sz w:val="24"/>
      <w:lang w:val="zh-CN"/>
    </w:rPr>
  </w:style>
  <w:style w:type="character" w:customStyle="1" w:styleId="299">
    <w:name w:val="Char Char411"/>
    <w:qFormat/>
    <w:uiPriority w:val="0"/>
    <w:rPr>
      <w:rFonts w:eastAsia="宋体"/>
      <w:b/>
      <w:sz w:val="24"/>
      <w:lang w:val="en-GB" w:eastAsia="zh-CN" w:bidi="ar-SA"/>
    </w:rPr>
  </w:style>
  <w:style w:type="character" w:customStyle="1" w:styleId="30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1">
    <w:name w:val="此正文 Char"/>
    <w:link w:val="302"/>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qFormat/>
    <w:uiPriority w:val="0"/>
    <w:rPr>
      <w:rFonts w:ascii="仿宋_GB2312" w:eastAsia="仿宋_GB2312"/>
      <w:color w:val="000000"/>
      <w:sz w:val="24"/>
      <w:lang w:bidi="ar-SA"/>
    </w:rPr>
  </w:style>
  <w:style w:type="character" w:customStyle="1" w:styleId="314">
    <w:name w:val="unnamed31"/>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qFormat/>
    <w:uiPriority w:val="0"/>
    <w:rPr>
      <w:rFonts w:ascii="宋体" w:eastAsia="宋体"/>
      <w:kern w:val="2"/>
      <w:sz w:val="24"/>
      <w:szCs w:val="24"/>
      <w:lang w:val="zh-CN" w:bidi="ar-SA"/>
    </w:rPr>
  </w:style>
  <w:style w:type="character" w:customStyle="1" w:styleId="316">
    <w:name w:val="文本正文 Char Char"/>
    <w:qFormat/>
    <w:uiPriority w:val="0"/>
    <w:rPr>
      <w:sz w:val="24"/>
      <w:lang w:bidi="ar-SA"/>
    </w:rPr>
  </w:style>
  <w:style w:type="character" w:customStyle="1" w:styleId="317">
    <w:name w:val="正文缩进 字符"/>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qFormat/>
    <w:uiPriority w:val="0"/>
    <w:pPr>
      <w:tabs>
        <w:tab w:val="left" w:pos="2356"/>
      </w:tabs>
    </w:pPr>
  </w:style>
  <w:style w:type="paragraph" w:customStyle="1" w:styleId="320">
    <w:name w:val="样式 标题 4h4H4Fab-4T5Ref Heading 1rh1Heading sqlsect 1.2.3...."/>
    <w:basedOn w:val="6"/>
    <w:link w:val="3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qFormat/>
    <w:uiPriority w:val="0"/>
    <w:rPr>
      <w:rFonts w:ascii="宋体" w:eastAsia="宋体"/>
      <w:snapToGrid w:val="0"/>
      <w:color w:val="000000"/>
      <w:kern w:val="28"/>
      <w:sz w:val="28"/>
      <w:lang w:val="en-US" w:eastAsia="zh-CN" w:bidi="ar-SA"/>
    </w:rPr>
  </w:style>
  <w:style w:type="character" w:customStyle="1" w:styleId="327">
    <w:name w:val="font21"/>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8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486"/>
    <w:qFormat/>
    <w:uiPriority w:val="99"/>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5"/>
    <w:next w:val="115"/>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5"/>
    <w:next w:val="115"/>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5"/>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7"/>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3"/>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8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5"/>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80"/>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0.emf"/><Relationship Id="rId55" Type="http://schemas.openxmlformats.org/officeDocument/2006/relationships/oleObject" Target="embeddings/oleObject2.bin"/><Relationship Id="rId54" Type="http://schemas.openxmlformats.org/officeDocument/2006/relationships/image" Target="media/image29.emf"/><Relationship Id="rId53" Type="http://schemas.openxmlformats.org/officeDocument/2006/relationships/oleObject" Target="embeddings/oleObject1.bin"/><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1.xml"/><Relationship Id="rId49" Type="http://schemas.openxmlformats.org/officeDocument/2006/relationships/image" Target="media/image25.png"/><Relationship Id="rId48" Type="http://schemas.openxmlformats.org/officeDocument/2006/relationships/image" Target="media/image24.jpe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header" Target="head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49607</Words>
  <Characters>53805</Characters>
  <Paragraphs>2030</Paragraphs>
  <TotalTime>4</TotalTime>
  <ScaleCrop>false</ScaleCrop>
  <LinksUpToDate>false</LinksUpToDate>
  <CharactersWithSpaces>61233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嘉华</cp:lastModifiedBy>
  <cp:lastPrinted>2023-08-03T05:04:00Z</cp:lastPrinted>
  <dcterms:modified xsi:type="dcterms:W3CDTF">2023-09-04T07:52:42Z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21ACB9D2E603426CB4D2C15E9B2D36CB_13</vt:lpwstr>
  </property>
</Properties>
</file>