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80"/>
        <w:rPr>
          <w:rFonts w:hint="eastAsia" w:ascii="微软雅黑" w:hAnsi="微软雅黑" w:eastAsia="微软雅黑" w:cs="微软雅黑"/>
          <w:b/>
          <w:bCs/>
          <w:color w:val="585858"/>
          <w:sz w:val="24"/>
          <w:szCs w:val="24"/>
        </w:rPr>
      </w:pPr>
      <w:bookmarkStart w:id="0" w:name="_Toc27772"/>
      <w:bookmarkStart w:id="1" w:name="_Toc25872"/>
      <w:bookmarkStart w:id="2" w:name="_Toc11228"/>
      <w:bookmarkStart w:id="3" w:name="_Toc25497"/>
      <w:bookmarkStart w:id="4" w:name="_Toc6629"/>
      <w:bookmarkStart w:id="5" w:name="_Toc17823"/>
      <w:bookmarkStart w:id="6" w:name="_Toc3226"/>
      <w:bookmarkStart w:id="7" w:name="_Toc18356"/>
      <w:bookmarkStart w:id="8" w:name="_Toc15391"/>
      <w:bookmarkStart w:id="9" w:name="_Toc16788"/>
    </w:p>
    <w:p>
      <w:pPr>
        <w:ind w:firstLine="0" w:firstLineChars="0"/>
        <w:rPr>
          <w:rFonts w:ascii="微软雅黑" w:hAnsi="微软雅黑" w:eastAsia="微软雅黑" w:cs="微软雅黑"/>
        </w:rPr>
      </w:pPr>
      <w:r>
        <w:rPr>
          <w:rFonts w:ascii="等线" w:hAnsi="等线" w:eastAsia="等线"/>
          <w:szCs w:val="2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268605</wp:posOffset>
                </wp:positionV>
                <wp:extent cx="6521450" cy="2000250"/>
                <wp:effectExtent l="0" t="0" r="0" b="0"/>
                <wp:wrapNone/>
                <wp:docPr id="3" name="矩形 3"/>
                <wp:cNvGraphicFramePr/>
                <a:graphic xmlns:a="http://schemas.openxmlformats.org/drawingml/2006/main">
                  <a:graphicData uri="http://schemas.microsoft.com/office/word/2010/wordprocessingShape">
                    <wps:wsp>
                      <wps:cNvSpPr/>
                      <wps:spPr>
                        <a:xfrm>
                          <a:off x="0" y="0"/>
                          <a:ext cx="6521450" cy="2000250"/>
                        </a:xfrm>
                        <a:prstGeom prst="rect">
                          <a:avLst/>
                        </a:prstGeom>
                        <a:noFill/>
                        <a:ln>
                          <a:noFill/>
                        </a:ln>
                      </wps:spPr>
                      <wps:txbx>
                        <w:txbxContent>
                          <w:p>
                            <w:pPr>
                              <w:spacing w:before="180" w:line="360" w:lineRule="auto"/>
                              <w:ind w:firstLine="0" w:firstLineChars="0"/>
                              <w:jc w:val="center"/>
                              <w:rPr>
                                <w:rFonts w:hint="default" w:ascii="思源宋体 Heavy" w:hAnsi="思源宋体 Heavy" w:eastAsia="思源宋体 Heavy" w:cs="Times New Roman"/>
                                <w:b/>
                                <w:bCs/>
                                <w:color w:val="auto"/>
                                <w:kern w:val="24"/>
                                <w:sz w:val="48"/>
                                <w:szCs w:val="48"/>
                                <w:lang w:val="en-US" w:eastAsia="zh-CN"/>
                              </w:rPr>
                            </w:pPr>
                            <w:r>
                              <w:rPr>
                                <w:rFonts w:hint="eastAsia" w:ascii="思源宋体 Heavy" w:hAnsi="思源宋体 Heavy" w:eastAsia="思源宋体 Heavy"/>
                                <w:b/>
                                <w:bCs/>
                                <w:color w:val="000000" w:themeColor="text1"/>
                                <w:kern w:val="24"/>
                                <w:sz w:val="52"/>
                                <w:szCs w:val="52"/>
                                <w:highlight w:val="none"/>
                                <w:lang w:eastAsia="zh-CN"/>
                                <w14:textFill>
                                  <w14:solidFill>
                                    <w14:schemeClr w14:val="tx1"/>
                                  </w14:solidFill>
                                </w14:textFill>
                              </w:rPr>
                              <w:t>嵊州市殡仪馆改扩建工程环境监测服务项目</w:t>
                            </w:r>
                          </w:p>
                        </w:txbxContent>
                      </wps:txbx>
                      <wps:bodyPr upright="1"/>
                    </wps:wsp>
                  </a:graphicData>
                </a:graphic>
              </wp:anchor>
            </w:drawing>
          </mc:Choice>
          <mc:Fallback>
            <w:pict>
              <v:rect id="_x0000_s1026" o:spid="_x0000_s1026" o:spt="1" style="position:absolute;left:0pt;margin-top:21.15pt;height:157.5pt;width:513.5pt;mso-position-horizontal:center;mso-position-horizontal-relative:margin;z-index:251660288;mso-width-relative:page;mso-height-relative:page;" filled="f" stroked="f" coordsize="21600,21600" o:gfxdata="UEsDBAoAAAAAAIdO4kAAAAAAAAAAAAAAAAAEAAAAZHJzL1BLAwQUAAAACACHTuJAN5vgGNkAAAAI&#10;AQAADwAAAGRycy9kb3ducmV2LnhtbE2PwU7DMBBE70j8g7VIXBC1mwBFIZseKiEqhFSRQs9uvCQR&#10;8TqN3aT8Pe4JjrOzmnmTL0+2EyMNvnWMMJ8pEMSVMy3XCB/b59tHED5oNrpzTAg/5GFZXF7kOjNu&#10;4ncay1CLGMI+0whNCH0mpa8astrPXE8cvS83WB2iHGppBj3FcNvJRKkHaXXLsaHRPa0aqr7Lo0WY&#10;qs242769yM3Nbu34sD6sys9XxOuruXoCEegU/p7hjB/RoYhMe3dk40WHEIcEhLskBXF2VbKIlz1C&#10;er9IQRa5/D+g+AVQSwMEFAAAAAgAh07iQKr7e/KiAQAAQgMAAA4AAABkcnMvZTJvRG9jLnhtbK1S&#10;S27bMBDdF8gdCO5ryk4TFILlbIx0E7QB0h6ApkiLAH+YoS35NAW66yF6nKLX6FBSnE83WXRDzQxH&#10;b957w/XN4B07akAbQ8OXi4ozHVRsbdg3/NvX2/cfOcMsQytdDLrhJ438ZnPxbt2nWq9iF12rgRFI&#10;wLpPDe9yTrUQqDrtJS5i0oEuTQQvM6WwFy3IntC9E6uquhZ9hDZBVBqRqtvpks+I8BbAaIxVehvV&#10;weuQJ1TQTmaShJ1NyDcjW2O0yl+MQZ2ZazgpzeNJQyjelVNs1rLeg0ydVTMF+RYKrzR5aQMNPUNt&#10;ZZbsAPYfKG8VRIwmL1T0YhIyOkIqltUrbx46mfSohazGdDYd/x+s+ny8B2bbhl9yFqSnhf/5/vP3&#10;rx/ssnjTJ6yp5SHdw5whhUXoYMCXL0lgw+jn6eynHjJTVLy+Wi0/XJHViu5o99WKEsIRT78nwPxJ&#10;R89K0HCghY0+yuMd5qn1saVMC/HWOkd1WbvwokCYpSIK44ljifKwG2biu9ieSOohgd13NGo5MilN&#10;ZO3IaX4GZXfP8xH06elv/g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3m+AY2QAAAAgBAAAPAAAA&#10;AAAAAAEAIAAAACIAAABkcnMvZG93bnJldi54bWxQSwECFAAUAAAACACHTuJAqvt78qIBAABCAwAA&#10;DgAAAAAAAAABACAAAAAoAQAAZHJzL2Uyb0RvYy54bWxQSwUGAAAAAAYABgBZAQAAPAUAAAAA&#10;">
                <v:fill on="f" focussize="0,0"/>
                <v:stroke on="f"/>
                <v:imagedata o:title=""/>
                <o:lock v:ext="edit" aspectratio="f"/>
                <v:textbox>
                  <w:txbxContent>
                    <w:p>
                      <w:pPr>
                        <w:spacing w:before="180" w:line="360" w:lineRule="auto"/>
                        <w:ind w:firstLine="0" w:firstLineChars="0"/>
                        <w:jc w:val="center"/>
                        <w:rPr>
                          <w:rFonts w:hint="default" w:ascii="思源宋体 Heavy" w:hAnsi="思源宋体 Heavy" w:eastAsia="思源宋体 Heavy" w:cs="Times New Roman"/>
                          <w:b/>
                          <w:bCs/>
                          <w:color w:val="auto"/>
                          <w:kern w:val="24"/>
                          <w:sz w:val="48"/>
                          <w:szCs w:val="48"/>
                          <w:lang w:val="en-US" w:eastAsia="zh-CN"/>
                        </w:rPr>
                      </w:pPr>
                      <w:r>
                        <w:rPr>
                          <w:rFonts w:hint="eastAsia" w:ascii="思源宋体 Heavy" w:hAnsi="思源宋体 Heavy" w:eastAsia="思源宋体 Heavy"/>
                          <w:b/>
                          <w:bCs/>
                          <w:color w:val="000000" w:themeColor="text1"/>
                          <w:kern w:val="24"/>
                          <w:sz w:val="52"/>
                          <w:szCs w:val="52"/>
                          <w:highlight w:val="none"/>
                          <w:lang w:eastAsia="zh-CN"/>
                          <w14:textFill>
                            <w14:solidFill>
                              <w14:schemeClr w14:val="tx1"/>
                            </w14:solidFill>
                          </w14:textFill>
                        </w:rPr>
                        <w:t>嵊州市殡仪馆改扩建工程环境监测服务项目</w:t>
                      </w:r>
                    </w:p>
                  </w:txbxContent>
                </v:textbox>
              </v:rect>
            </w:pict>
          </mc:Fallback>
        </mc:AlternateContent>
      </w:r>
    </w:p>
    <w:p>
      <w:pPr>
        <w:spacing w:line="360" w:lineRule="auto"/>
        <w:ind w:firstLine="883"/>
        <w:jc w:val="center"/>
        <w:rPr>
          <w:rFonts w:ascii="宋体" w:hAnsi="宋体"/>
          <w:b/>
          <w:color w:val="000000"/>
          <w:sz w:val="44"/>
        </w:rPr>
      </w:pPr>
    </w:p>
    <w:p>
      <w:pPr>
        <w:pStyle w:val="376"/>
        <w:rPr>
          <w:rFonts w:hAnsi="宋体"/>
          <w:b/>
          <w:color w:val="000000"/>
          <w:sz w:val="44"/>
        </w:rPr>
      </w:pPr>
    </w:p>
    <w:p>
      <w:pPr>
        <w:pStyle w:val="376"/>
        <w:rPr>
          <w:rFonts w:hAnsi="宋体"/>
          <w:b/>
          <w:color w:val="000000"/>
          <w:sz w:val="44"/>
        </w:rPr>
      </w:pPr>
    </w:p>
    <w:p>
      <w:pPr>
        <w:pStyle w:val="376"/>
        <w:rPr>
          <w:rFonts w:hAnsi="宋体"/>
          <w:b/>
          <w:color w:val="000000"/>
          <w:sz w:val="24"/>
          <w:szCs w:val="11"/>
        </w:rPr>
      </w:pPr>
    </w:p>
    <w:p>
      <w:pPr>
        <w:pStyle w:val="376"/>
        <w:rPr>
          <w:rFonts w:hAnsi="宋体"/>
          <w:b/>
          <w:color w:val="000000"/>
          <w:sz w:val="44"/>
        </w:rPr>
      </w:pPr>
    </w:p>
    <w:p>
      <w:pPr>
        <w:pStyle w:val="376"/>
        <w:rPr>
          <w:rFonts w:hAnsi="宋体"/>
          <w:b/>
          <w:color w:val="000000"/>
          <w:sz w:val="44"/>
        </w:rPr>
      </w:pPr>
      <w:r>
        <w:rPr>
          <w:rFonts w:ascii="微软雅黑" w:hAnsi="微软雅黑" w:eastAsia="微软雅黑" w:cs="微软雅黑"/>
          <w:sz w:val="24"/>
        </w:rPr>
        <mc:AlternateContent>
          <mc:Choice Requires="wps">
            <w:drawing>
              <wp:inline distT="0" distB="0" distL="114300" distR="114300">
                <wp:extent cx="5918200" cy="2266315"/>
                <wp:effectExtent l="0" t="0" r="0" b="0"/>
                <wp:docPr id="9" name="矩形 9"/>
                <wp:cNvGraphicFramePr/>
                <a:graphic xmlns:a="http://schemas.openxmlformats.org/drawingml/2006/main">
                  <a:graphicData uri="http://schemas.microsoft.com/office/word/2010/wordprocessingShape">
                    <wps:wsp>
                      <wps:cNvSpPr>
                        <a:spLocks noRot="1" noChangeArrowheads="1"/>
                      </wps:cNvSpPr>
                      <wps:spPr bwMode="auto">
                        <a:xfrm>
                          <a:off x="0" y="0"/>
                          <a:ext cx="5918200" cy="2266315"/>
                        </a:xfrm>
                        <a:prstGeom prst="rect">
                          <a:avLst/>
                        </a:prstGeom>
                        <a:noFill/>
                        <a:ln>
                          <a:noFill/>
                        </a:ln>
                        <a:effectLst/>
                      </wps:spPr>
                      <wps:txbx>
                        <w:txbxContent>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黑体" w:hAnsi="黑体" w:eastAsia="黑体"/>
                                <w:bCs/>
                                <w:color w:val="000000"/>
                                <w:kern w:val="24"/>
                                <w:sz w:val="44"/>
                                <w:szCs w:val="44"/>
                              </w:rPr>
                            </w:pPr>
                            <w:bookmarkStart w:id="168" w:name="_Hlk33650697"/>
                            <w:bookmarkStart w:id="169" w:name="_Hlk33650696"/>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黑体" w:hAnsi="黑体" w:eastAsia="黑体"/>
                                <w:bCs/>
                                <w:color w:val="000000"/>
                                <w:kern w:val="0"/>
                                <w:sz w:val="24"/>
                                <w:szCs w:val="24"/>
                                <w:lang w:eastAsia="zh-CN"/>
                              </w:rPr>
                            </w:pPr>
                            <w:r>
                              <w:rPr>
                                <w:rFonts w:hint="eastAsia" w:ascii="黑体" w:hAnsi="黑体" w:eastAsia="黑体"/>
                                <w:bCs/>
                                <w:color w:val="000000"/>
                                <w:kern w:val="24"/>
                                <w:sz w:val="72"/>
                                <w:szCs w:val="72"/>
                                <w:lang w:val="en-US" w:eastAsia="zh-CN"/>
                              </w:rPr>
                              <w:t>竞争性磋商</w:t>
                            </w:r>
                            <w:r>
                              <w:rPr>
                                <w:rFonts w:hint="eastAsia" w:ascii="黑体" w:hAnsi="黑体" w:eastAsia="黑体"/>
                                <w:bCs/>
                                <w:color w:val="000000"/>
                                <w:kern w:val="24"/>
                                <w:sz w:val="72"/>
                                <w:szCs w:val="72"/>
                              </w:rPr>
                              <w:t>采购文件</w:t>
                            </w:r>
                            <w:bookmarkEnd w:id="168"/>
                            <w:bookmarkEnd w:id="169"/>
                            <w:r>
                              <w:rPr>
                                <w:rFonts w:hint="eastAsia" w:ascii="黑体" w:hAnsi="黑体" w:eastAsia="黑体"/>
                                <w:bCs/>
                                <w:color w:val="000000"/>
                                <w:kern w:val="24"/>
                                <w:sz w:val="72"/>
                                <w:szCs w:val="72"/>
                                <w:lang w:val="en-US" w:eastAsia="zh-CN"/>
                              </w:rPr>
                              <w:t xml:space="preserve"> </w:t>
                            </w:r>
                            <w:r>
                              <w:rPr>
                                <w:rFonts w:hint="eastAsia" w:ascii="黑体" w:hAnsi="黑体" w:eastAsia="黑体"/>
                                <w:bCs/>
                                <w:color w:val="000000"/>
                                <w:kern w:val="24"/>
                                <w:sz w:val="84"/>
                                <w:szCs w:val="84"/>
                                <w:lang w:val="en-US" w:eastAsia="zh-CN"/>
                              </w:rPr>
                              <w:t xml:space="preserve">        </w:t>
                            </w:r>
                            <w:r>
                              <w:rPr>
                                <w:rFonts w:hint="eastAsia" w:ascii="黑体" w:hAnsi="黑体" w:eastAsia="黑体"/>
                                <w:bCs/>
                                <w:color w:val="000000"/>
                                <w:kern w:val="24"/>
                                <w:sz w:val="36"/>
                                <w:szCs w:val="36"/>
                                <w:lang w:eastAsia="zh-CN"/>
                              </w:rPr>
                              <w:t>（</w:t>
                            </w:r>
                            <w:r>
                              <w:rPr>
                                <w:rFonts w:hint="eastAsia" w:ascii="黑体" w:hAnsi="黑体" w:eastAsia="黑体"/>
                                <w:bCs/>
                                <w:color w:val="000000"/>
                                <w:kern w:val="24"/>
                                <w:sz w:val="36"/>
                                <w:szCs w:val="36"/>
                                <w:lang w:val="en-US" w:eastAsia="zh-CN"/>
                              </w:rPr>
                              <w:t>国企采购</w:t>
                            </w:r>
                            <w:r>
                              <w:rPr>
                                <w:rFonts w:hint="eastAsia" w:ascii="黑体" w:hAnsi="黑体" w:eastAsia="黑体"/>
                                <w:bCs/>
                                <w:color w:val="000000"/>
                                <w:kern w:val="24"/>
                                <w:sz w:val="36"/>
                                <w:szCs w:val="36"/>
                                <w:lang w:eastAsia="zh-CN"/>
                              </w:rPr>
                              <w:t>）</w:t>
                            </w:r>
                          </w:p>
                        </w:txbxContent>
                      </wps:txbx>
                      <wps:bodyPr rot="0" vert="horz" wrap="square" lIns="91440" tIns="45720" rIns="91440" bIns="45720" anchor="t" anchorCtr="0" upright="1">
                        <a:noAutofit/>
                      </wps:bodyPr>
                    </wps:wsp>
                  </a:graphicData>
                </a:graphic>
              </wp:inline>
            </w:drawing>
          </mc:Choice>
          <mc:Fallback>
            <w:pict>
              <v:rect id="_x0000_s1026" o:spid="_x0000_s1026" o:spt="1" style="height:178.45pt;width:466pt;" filled="f" stroked="f" coordsize="21600,21600" o:gfxdata="UEsDBAoAAAAAAIdO4kAAAAAAAAAAAAAAAAAEAAAAZHJzL1BLAwQUAAAACACHTuJA+cmeDNYAAAAF&#10;AQAADwAAAGRycy9kb3ducmV2LnhtbE2PQUvDQBCF74L/YRnBi9hNWyw2ZtNDQSwiFFPteZodk2B2&#10;Ns1uk/rvHb3o5cHjDe99k63OrlUD9aHxbGA6SUARl942XBl42z3e3oMKEdli65kMfFGAVX55kWFq&#10;/civNBSxUlLCIUUDdYxdqnUoa3IYJr4jluzD9w6j2L7StsdRyl2rZ0my0A4bloUaO1rXVH4WJ2dg&#10;LLfDfvfypLc3+43n4+a4Lt6fjbm+miYPoCKd498x/OALOuTCdPAntkG1BuSR+KuSLeczsQcD87vF&#10;EnSe6f/0+TdQSwMEFAAAAAgAh07iQA3OWMkXAgAAIQQAAA4AAABkcnMvZTJvRG9jLnhtbK1TwY7T&#10;MBC9I/EPlu80TWnLNmq6Wm21CGmBFQsf4DpOY5F4zNhtUn4GiRsfwecgfoOxk5buctkDl8jj8bx5&#10;781kedk1NdsrdBpMztPRmDNlJBTabHP+6ePNiwvOnBemEDUYlfODcvxy9fzZsrWZmkAFdaGQEYhx&#10;WWtzXnlvsyRxslKNcCOwylCyBGyEpxC3SYGiJfSmTibj8TxpAQuLIJVzdLvuk3xAxKcAQllqqdYg&#10;d40yvkdFVQtPklylreOryLYslfTvy9Ipz+qck1Ifv9SEzpvwTVZLkW1R2ErLgYJ4CoVHmhqhDTU9&#10;Qa2FF2yH+h+oRksEB6UfSWiSXkh0hFSk40fe3FfCqqiFrHb2ZLr7f7Dy3f4OmS5yvuDMiIYG/vvb&#10;j18/v7NF8Ka1LqMn9/YOgzpnb0F+dszAByArUyqB60qYrbpChLZSoiBuaahMHpSGwBEI27RvoaAm&#10;YuchGtaV2ARosoJ1cS6H01xU55mky9kivaDV4UxSbjKZz1+ms9hDZMdyi86/VtCwcMg50uAjvNjf&#10;Oh/oiOz4JHQzcKPrOg6/Ng8u6GF/o+L2DNVH/r0jvtt0gzkbKA4kC4MdRJD+KzpUgF85a2mrcu6+&#10;7AQqzuo3hqxZpNNpWMMYTGevJhTgeWZznhFGElTOPWf98dr3q7uzqLdVnEBP/orsLHUUGqj2rIYh&#10;0OZE/cOWh9U8j+Orv3/26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D5yZ4M1gAAAAUBAAAPAAAA&#10;AAAAAAEAIAAAACIAAABkcnMvZG93bnJldi54bWxQSwECFAAUAAAACACHTuJADc5YyRcCAAAhBAAA&#10;DgAAAAAAAAABACAAAAAlAQAAZHJzL2Uyb0RvYy54bWxQSwUGAAAAAAYABgBZAQAArgUAAAAA&#10;">
                <v:fill on="f" focussize="0,0"/>
                <v:stroke on="f"/>
                <v:imagedata o:title=""/>
                <o:lock v:ext="edit" rotation="t" aspectratio="f"/>
                <v:textbox>
                  <w:txbxContent>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hint="eastAsia" w:ascii="黑体" w:hAnsi="黑体" w:eastAsia="黑体"/>
                          <w:bCs/>
                          <w:color w:val="000000"/>
                          <w:kern w:val="24"/>
                          <w:sz w:val="44"/>
                          <w:szCs w:val="44"/>
                        </w:rPr>
                      </w:pPr>
                      <w:bookmarkStart w:id="168" w:name="_Hlk33650697"/>
                      <w:bookmarkStart w:id="169" w:name="_Hlk33650696"/>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黑体" w:hAnsi="黑体" w:eastAsia="黑体"/>
                          <w:bCs/>
                          <w:color w:val="000000"/>
                          <w:kern w:val="0"/>
                          <w:sz w:val="24"/>
                          <w:szCs w:val="24"/>
                          <w:lang w:eastAsia="zh-CN"/>
                        </w:rPr>
                      </w:pPr>
                      <w:r>
                        <w:rPr>
                          <w:rFonts w:hint="eastAsia" w:ascii="黑体" w:hAnsi="黑体" w:eastAsia="黑体"/>
                          <w:bCs/>
                          <w:color w:val="000000"/>
                          <w:kern w:val="24"/>
                          <w:sz w:val="72"/>
                          <w:szCs w:val="72"/>
                          <w:lang w:val="en-US" w:eastAsia="zh-CN"/>
                        </w:rPr>
                        <w:t>竞争性磋商</w:t>
                      </w:r>
                      <w:r>
                        <w:rPr>
                          <w:rFonts w:hint="eastAsia" w:ascii="黑体" w:hAnsi="黑体" w:eastAsia="黑体"/>
                          <w:bCs/>
                          <w:color w:val="000000"/>
                          <w:kern w:val="24"/>
                          <w:sz w:val="72"/>
                          <w:szCs w:val="72"/>
                        </w:rPr>
                        <w:t>采购文件</w:t>
                      </w:r>
                      <w:bookmarkEnd w:id="168"/>
                      <w:bookmarkEnd w:id="169"/>
                      <w:r>
                        <w:rPr>
                          <w:rFonts w:hint="eastAsia" w:ascii="黑体" w:hAnsi="黑体" w:eastAsia="黑体"/>
                          <w:bCs/>
                          <w:color w:val="000000"/>
                          <w:kern w:val="24"/>
                          <w:sz w:val="72"/>
                          <w:szCs w:val="72"/>
                          <w:lang w:val="en-US" w:eastAsia="zh-CN"/>
                        </w:rPr>
                        <w:t xml:space="preserve"> </w:t>
                      </w:r>
                      <w:r>
                        <w:rPr>
                          <w:rFonts w:hint="eastAsia" w:ascii="黑体" w:hAnsi="黑体" w:eastAsia="黑体"/>
                          <w:bCs/>
                          <w:color w:val="000000"/>
                          <w:kern w:val="24"/>
                          <w:sz w:val="84"/>
                          <w:szCs w:val="84"/>
                          <w:lang w:val="en-US" w:eastAsia="zh-CN"/>
                        </w:rPr>
                        <w:t xml:space="preserve">        </w:t>
                      </w:r>
                      <w:r>
                        <w:rPr>
                          <w:rFonts w:hint="eastAsia" w:ascii="黑体" w:hAnsi="黑体" w:eastAsia="黑体"/>
                          <w:bCs/>
                          <w:color w:val="000000"/>
                          <w:kern w:val="24"/>
                          <w:sz w:val="36"/>
                          <w:szCs w:val="36"/>
                          <w:lang w:eastAsia="zh-CN"/>
                        </w:rPr>
                        <w:t>（</w:t>
                      </w:r>
                      <w:r>
                        <w:rPr>
                          <w:rFonts w:hint="eastAsia" w:ascii="黑体" w:hAnsi="黑体" w:eastAsia="黑体"/>
                          <w:bCs/>
                          <w:color w:val="000000"/>
                          <w:kern w:val="24"/>
                          <w:sz w:val="36"/>
                          <w:szCs w:val="36"/>
                          <w:lang w:val="en-US" w:eastAsia="zh-CN"/>
                        </w:rPr>
                        <w:t>国企采购</w:t>
                      </w:r>
                      <w:r>
                        <w:rPr>
                          <w:rFonts w:hint="eastAsia" w:ascii="黑体" w:hAnsi="黑体" w:eastAsia="黑体"/>
                          <w:bCs/>
                          <w:color w:val="000000"/>
                          <w:kern w:val="24"/>
                          <w:sz w:val="36"/>
                          <w:szCs w:val="36"/>
                          <w:lang w:eastAsia="zh-CN"/>
                        </w:rPr>
                        <w:t>）</w:t>
                      </w:r>
                    </w:p>
                  </w:txbxContent>
                </v:textbox>
                <w10:wrap type="none"/>
                <w10:anchorlock/>
              </v:rect>
            </w:pict>
          </mc:Fallback>
        </mc:AlternateContent>
      </w:r>
    </w:p>
    <w:p>
      <w:pPr>
        <w:pStyle w:val="376"/>
        <w:rPr>
          <w:rFonts w:hAnsi="宋体"/>
          <w:b/>
          <w:color w:val="000000"/>
          <w:sz w:val="44"/>
        </w:rPr>
      </w:pPr>
    </w:p>
    <w:p>
      <w:pPr>
        <w:pStyle w:val="376"/>
        <w:rPr>
          <w:rFonts w:hAnsi="宋体"/>
          <w:b/>
          <w:color w:val="000000"/>
          <w:sz w:val="36"/>
          <w:szCs w:val="16"/>
        </w:rPr>
      </w:pPr>
    </w:p>
    <w:p>
      <w:pPr>
        <w:pStyle w:val="376"/>
        <w:rPr>
          <w:rFonts w:hAnsi="宋体"/>
          <w:b/>
          <w:color w:val="000000"/>
          <w:sz w:val="36"/>
          <w:szCs w:val="16"/>
        </w:rPr>
      </w:pPr>
    </w:p>
    <w:tbl>
      <w:tblPr>
        <w:tblStyle w:val="55"/>
        <w:tblpPr w:leftFromText="180" w:rightFromText="180" w:vertAnchor="text" w:horzAnchor="page" w:tblpX="2034" w:tblpY="257"/>
        <w:tblW w:w="0" w:type="auto"/>
        <w:tblInd w:w="0" w:type="dxa"/>
        <w:tblLayout w:type="fixed"/>
        <w:tblCellMar>
          <w:top w:w="0" w:type="dxa"/>
          <w:left w:w="0" w:type="dxa"/>
          <w:bottom w:w="0" w:type="dxa"/>
          <w:right w:w="0" w:type="dxa"/>
        </w:tblCellMar>
      </w:tblPr>
      <w:tblGrid>
        <w:gridCol w:w="7837"/>
      </w:tblGrid>
      <w:tr>
        <w:tblPrEx>
          <w:tblCellMar>
            <w:top w:w="0" w:type="dxa"/>
            <w:left w:w="0" w:type="dxa"/>
            <w:bottom w:w="0" w:type="dxa"/>
            <w:right w:w="0" w:type="dxa"/>
          </w:tblCellMar>
        </w:tblPrEx>
        <w:trPr>
          <w:trHeight w:val="602" w:hRule="atLeast"/>
        </w:trPr>
        <w:tc>
          <w:tcPr>
            <w:tcW w:w="7837" w:type="dxa"/>
            <w:tcBorders>
              <w:top w:val="nil"/>
              <w:left w:val="nil"/>
              <w:bottom w:val="nil"/>
              <w:right w:val="nil"/>
            </w:tcBorders>
            <w:noWrap w:val="0"/>
            <w:tcMar>
              <w:top w:w="15" w:type="dxa"/>
              <w:left w:w="15" w:type="dxa"/>
              <w:bottom w:w="0" w:type="dxa"/>
              <w:right w:w="15" w:type="dxa"/>
            </w:tcMar>
            <w:vAlign w:val="center"/>
          </w:tcPr>
          <w:p>
            <w:pPr>
              <w:widowControl/>
              <w:ind w:firstLine="560"/>
              <w:jc w:val="left"/>
              <w:rPr>
                <w:rFonts w:hint="eastAsia" w:ascii="宋体" w:hAnsi="黑体" w:eastAsia="黑体" w:cs="宋体"/>
                <w:color w:val="000000"/>
                <w:kern w:val="24"/>
                <w:sz w:val="28"/>
                <w:szCs w:val="28"/>
                <w:lang w:eastAsia="zh-CN"/>
              </w:rPr>
            </w:pPr>
            <w:bookmarkStart w:id="10" w:name="_Hlk33715684"/>
            <w:r>
              <w:rPr>
                <w:rFonts w:hint="eastAsia" w:ascii="宋体" w:hAnsi="黑体" w:eastAsia="黑体" w:cs="宋体"/>
                <w:color w:val="000000"/>
                <w:kern w:val="24"/>
                <w:sz w:val="28"/>
                <w:szCs w:val="28"/>
                <w:lang w:eastAsia="zh-CN"/>
              </w:rPr>
              <w:t>项目编号：ZJZL-F240228JC</w:t>
            </w:r>
            <w:r>
              <w:rPr>
                <w:rFonts w:hint="eastAsia" w:ascii="宋体" w:hAnsi="黑体" w:eastAsia="黑体" w:cs="宋体"/>
                <w:color w:val="000000"/>
                <w:kern w:val="24"/>
                <w:sz w:val="28"/>
                <w:szCs w:val="28"/>
                <w:lang w:val="en-US" w:eastAsia="zh-CN"/>
              </w:rPr>
              <w:t xml:space="preserve"> </w:t>
            </w:r>
          </w:p>
        </w:tc>
      </w:tr>
      <w:tr>
        <w:tblPrEx>
          <w:tblCellMar>
            <w:top w:w="0" w:type="dxa"/>
            <w:left w:w="0" w:type="dxa"/>
            <w:bottom w:w="0" w:type="dxa"/>
            <w:right w:w="0" w:type="dxa"/>
          </w:tblCellMar>
        </w:tblPrEx>
        <w:trPr>
          <w:trHeight w:val="602" w:hRule="atLeast"/>
        </w:trPr>
        <w:tc>
          <w:tcPr>
            <w:tcW w:w="7837" w:type="dxa"/>
            <w:tcBorders>
              <w:top w:val="nil"/>
              <w:left w:val="nil"/>
              <w:bottom w:val="nil"/>
              <w:right w:val="nil"/>
            </w:tcBorders>
            <w:noWrap w:val="0"/>
            <w:tcMar>
              <w:top w:w="15" w:type="dxa"/>
              <w:left w:w="15" w:type="dxa"/>
              <w:bottom w:w="0" w:type="dxa"/>
              <w:right w:w="15" w:type="dxa"/>
            </w:tcMar>
            <w:vAlign w:val="center"/>
          </w:tcPr>
          <w:p>
            <w:pPr>
              <w:widowControl/>
              <w:ind w:firstLine="560"/>
              <w:jc w:val="left"/>
              <w:rPr>
                <w:rFonts w:hint="eastAsia" w:ascii="宋体" w:hAnsi="黑体" w:eastAsia="黑体" w:cs="宋体"/>
                <w:color w:val="000000"/>
                <w:kern w:val="24"/>
                <w:sz w:val="28"/>
                <w:szCs w:val="28"/>
                <w:lang w:val="en-US" w:eastAsia="zh-CN"/>
              </w:rPr>
            </w:pPr>
            <w:r>
              <w:rPr>
                <w:rFonts w:hint="eastAsia" w:ascii="宋体" w:hAnsi="黑体" w:eastAsia="黑体" w:cs="宋体"/>
                <w:color w:val="000000"/>
                <w:kern w:val="24"/>
                <w:sz w:val="28"/>
                <w:szCs w:val="28"/>
                <w:lang w:val="en-US" w:eastAsia="zh-CN"/>
              </w:rPr>
              <w:t>采购</w:t>
            </w:r>
            <w:r>
              <w:rPr>
                <w:rFonts w:hint="eastAsia" w:ascii="宋体" w:hAnsi="黑体" w:eastAsia="黑体" w:cs="宋体"/>
                <w:color w:val="000000"/>
                <w:kern w:val="24"/>
                <w:sz w:val="28"/>
                <w:szCs w:val="28"/>
              </w:rPr>
              <w:t>单位：</w:t>
            </w:r>
            <w:r>
              <w:rPr>
                <w:rFonts w:hint="eastAsia" w:ascii="宋体" w:hAnsi="黑体" w:eastAsia="黑体" w:cs="宋体"/>
                <w:color w:val="000000"/>
                <w:kern w:val="24"/>
                <w:sz w:val="28"/>
                <w:szCs w:val="28"/>
                <w:lang w:eastAsia="zh-CN"/>
              </w:rPr>
              <w:t>嵊州市天伦园开发有限公司</w:t>
            </w:r>
          </w:p>
        </w:tc>
      </w:tr>
      <w:tr>
        <w:tblPrEx>
          <w:tblCellMar>
            <w:top w:w="0" w:type="dxa"/>
            <w:left w:w="0" w:type="dxa"/>
            <w:bottom w:w="0" w:type="dxa"/>
            <w:right w:w="0" w:type="dxa"/>
          </w:tblCellMar>
        </w:tblPrEx>
        <w:trPr>
          <w:trHeight w:val="605" w:hRule="atLeast"/>
        </w:trPr>
        <w:tc>
          <w:tcPr>
            <w:tcW w:w="7837" w:type="dxa"/>
            <w:tcBorders>
              <w:top w:val="nil"/>
              <w:left w:val="nil"/>
              <w:bottom w:val="nil"/>
              <w:right w:val="nil"/>
            </w:tcBorders>
            <w:noWrap w:val="0"/>
            <w:tcMar>
              <w:top w:w="15" w:type="dxa"/>
              <w:left w:w="15" w:type="dxa"/>
              <w:bottom w:w="0" w:type="dxa"/>
              <w:right w:w="15" w:type="dxa"/>
            </w:tcMar>
            <w:vAlign w:val="center"/>
          </w:tcPr>
          <w:p>
            <w:pPr>
              <w:widowControl/>
              <w:ind w:firstLine="560"/>
              <w:jc w:val="left"/>
              <w:rPr>
                <w:rFonts w:hint="eastAsia" w:ascii="宋体" w:hAnsi="黑体" w:eastAsia="黑体" w:cs="宋体"/>
                <w:color w:val="000000"/>
                <w:kern w:val="24"/>
                <w:sz w:val="28"/>
                <w:szCs w:val="28"/>
                <w:lang w:eastAsia="zh-CN"/>
              </w:rPr>
            </w:pPr>
            <w:r>
              <w:rPr>
                <w:rFonts w:hint="eastAsia" w:ascii="宋体" w:hAnsi="黑体" w:eastAsia="黑体" w:cs="宋体"/>
                <w:color w:val="000000"/>
                <w:kern w:val="24"/>
                <w:sz w:val="28"/>
                <w:szCs w:val="28"/>
              </w:rPr>
              <w:t>代理机构：</w:t>
            </w:r>
            <w:r>
              <w:rPr>
                <w:rFonts w:hint="eastAsia" w:ascii="宋体" w:hAnsi="黑体" w:eastAsia="黑体" w:cs="宋体"/>
                <w:color w:val="000000"/>
                <w:kern w:val="24"/>
                <w:sz w:val="28"/>
                <w:szCs w:val="28"/>
                <w:lang w:eastAsia="zh-CN"/>
              </w:rPr>
              <w:t>浙江筑脸全过程工程咨询有限公司</w:t>
            </w:r>
          </w:p>
        </w:tc>
      </w:tr>
      <w:tr>
        <w:tblPrEx>
          <w:tblCellMar>
            <w:top w:w="0" w:type="dxa"/>
            <w:left w:w="0" w:type="dxa"/>
            <w:bottom w:w="0" w:type="dxa"/>
            <w:right w:w="0" w:type="dxa"/>
          </w:tblCellMar>
        </w:tblPrEx>
        <w:trPr>
          <w:trHeight w:val="602" w:hRule="atLeast"/>
        </w:trPr>
        <w:tc>
          <w:tcPr>
            <w:tcW w:w="7837" w:type="dxa"/>
            <w:tcBorders>
              <w:top w:val="nil"/>
              <w:left w:val="nil"/>
              <w:bottom w:val="nil"/>
              <w:right w:val="nil"/>
            </w:tcBorders>
            <w:noWrap w:val="0"/>
            <w:tcMar>
              <w:top w:w="15" w:type="dxa"/>
              <w:left w:w="15" w:type="dxa"/>
              <w:bottom w:w="0" w:type="dxa"/>
              <w:right w:w="15" w:type="dxa"/>
            </w:tcMar>
            <w:vAlign w:val="center"/>
          </w:tcPr>
          <w:p>
            <w:pPr>
              <w:widowControl/>
              <w:ind w:firstLine="560"/>
              <w:jc w:val="left"/>
              <w:rPr>
                <w:rFonts w:ascii="Arial" w:hAnsi="Arial" w:cs="Arial"/>
                <w:color w:val="000000"/>
                <w:kern w:val="0"/>
                <w:sz w:val="36"/>
                <w:szCs w:val="36"/>
              </w:rPr>
            </w:pPr>
            <w:r>
              <w:rPr>
                <w:rFonts w:hint="eastAsia" w:ascii="宋体" w:hAnsi="黑体" w:eastAsia="黑体" w:cs="宋体"/>
                <w:color w:val="000000"/>
                <w:kern w:val="24"/>
                <w:sz w:val="28"/>
                <w:szCs w:val="28"/>
              </w:rPr>
              <w:t>日</w:t>
            </w:r>
            <w:r>
              <w:rPr>
                <w:rFonts w:hint="eastAsia" w:ascii="宋体" w:hAnsi="黑体" w:eastAsia="黑体" w:cs="宋体"/>
                <w:color w:val="000000"/>
                <w:kern w:val="24"/>
                <w:sz w:val="28"/>
                <w:szCs w:val="28"/>
              </w:rPr>
              <w:tab/>
            </w:r>
            <w:r>
              <w:rPr>
                <w:rFonts w:hint="eastAsia" w:ascii="宋体" w:hAnsi="黑体" w:eastAsia="黑体" w:cs="宋体"/>
                <w:color w:val="000000"/>
                <w:kern w:val="24"/>
                <w:sz w:val="28"/>
                <w:szCs w:val="28"/>
              </w:rPr>
              <w:t xml:space="preserve"> 期：202</w:t>
            </w:r>
            <w:r>
              <w:rPr>
                <w:rFonts w:hint="eastAsia" w:ascii="宋体" w:hAnsi="黑体" w:eastAsia="黑体" w:cs="宋体"/>
                <w:color w:val="000000"/>
                <w:kern w:val="24"/>
                <w:sz w:val="28"/>
                <w:szCs w:val="28"/>
                <w:lang w:val="en-US" w:eastAsia="zh-CN"/>
              </w:rPr>
              <w:t>4</w:t>
            </w:r>
            <w:r>
              <w:rPr>
                <w:rFonts w:hint="eastAsia" w:ascii="宋体" w:hAnsi="黑体" w:eastAsia="黑体" w:cs="宋体"/>
                <w:color w:val="000000"/>
                <w:kern w:val="24"/>
                <w:sz w:val="28"/>
                <w:szCs w:val="28"/>
              </w:rPr>
              <w:t>年</w:t>
            </w:r>
            <w:r>
              <w:rPr>
                <w:rFonts w:hint="eastAsia" w:ascii="宋体" w:hAnsi="黑体" w:eastAsia="黑体" w:cs="宋体"/>
                <w:color w:val="000000"/>
                <w:kern w:val="24"/>
                <w:sz w:val="28"/>
                <w:szCs w:val="28"/>
                <w:lang w:val="en-US" w:eastAsia="zh-CN"/>
              </w:rPr>
              <w:t>3</w:t>
            </w:r>
            <w:r>
              <w:rPr>
                <w:rFonts w:hint="eastAsia" w:ascii="宋体" w:hAnsi="黑体" w:eastAsia="黑体" w:cs="宋体"/>
                <w:color w:val="000000"/>
                <w:kern w:val="24"/>
                <w:sz w:val="28"/>
                <w:szCs w:val="28"/>
              </w:rPr>
              <w:t>月</w:t>
            </w:r>
          </w:p>
        </w:tc>
      </w:tr>
      <w:bookmarkEnd w:id="10"/>
    </w:tbl>
    <w:p>
      <w:pPr>
        <w:pStyle w:val="376"/>
        <w:rPr>
          <w:rFonts w:hAnsi="宋体"/>
          <w:b/>
          <w:color w:val="000000"/>
          <w:sz w:val="44"/>
        </w:rPr>
      </w:pPr>
    </w:p>
    <w:p>
      <w:pPr>
        <w:pStyle w:val="376"/>
        <w:rPr>
          <w:rFonts w:hAnsi="宋体"/>
          <w:b/>
          <w:color w:val="000000"/>
          <w:sz w:val="44"/>
        </w:rPr>
      </w:pPr>
    </w:p>
    <w:p>
      <w:pPr>
        <w:pStyle w:val="376"/>
        <w:rPr>
          <w:rFonts w:hAnsi="宋体"/>
          <w:b/>
          <w:color w:val="000000"/>
          <w:sz w:val="44"/>
        </w:rPr>
      </w:pPr>
    </w:p>
    <w:p>
      <w:pPr>
        <w:pStyle w:val="376"/>
        <w:rPr>
          <w:rFonts w:hAnsi="宋体"/>
          <w:b/>
          <w:color w:val="000000"/>
          <w:sz w:val="44"/>
        </w:rPr>
      </w:pPr>
    </w:p>
    <w:p>
      <w:pPr>
        <w:pStyle w:val="376"/>
        <w:rPr>
          <w:rFonts w:hAnsi="宋体"/>
          <w:b/>
          <w:color w:val="000000"/>
          <w:sz w:val="44"/>
        </w:rPr>
      </w:pPr>
    </w:p>
    <w:p>
      <w:pPr>
        <w:spacing w:line="480" w:lineRule="auto"/>
        <w:ind w:firstLine="198" w:firstLineChars="45"/>
        <w:jc w:val="center"/>
        <w:rPr>
          <w:rFonts w:hint="eastAsia" w:ascii="宋体" w:hAnsi="宋体"/>
          <w:b/>
          <w:color w:val="000000"/>
          <w:sz w:val="44"/>
          <w:szCs w:val="44"/>
        </w:rPr>
        <w:sectPr>
          <w:headerReference r:id="rId3" w:type="default"/>
          <w:footerReference r:id="rId4" w:type="default"/>
          <w:pgSz w:w="11906" w:h="16838"/>
          <w:pgMar w:top="1304" w:right="1021" w:bottom="1304" w:left="1247" w:header="720" w:footer="720" w:gutter="0"/>
          <w:pgBorders>
            <w:top w:val="none" w:sz="0" w:space="0"/>
            <w:left w:val="none" w:sz="0" w:space="0"/>
            <w:bottom w:val="none" w:sz="0" w:space="0"/>
            <w:right w:val="none" w:sz="0" w:space="0"/>
          </w:pgBorders>
          <w:pgNumType w:fmt="decimal" w:start="1"/>
          <w:cols w:space="720" w:num="1"/>
          <w:titlePg/>
          <w:docGrid w:type="linesAndChars" w:linePitch="326" w:charSpace="0"/>
        </w:sectPr>
      </w:pPr>
    </w:p>
    <w:p>
      <w:pPr>
        <w:pStyle w:val="30"/>
        <w:spacing w:beforeLines="0" w:afterLines="0" w:line="360" w:lineRule="auto"/>
        <w:jc w:val="center"/>
        <w:outlineLvl w:val="0"/>
        <w:rPr>
          <w:rFonts w:hint="eastAsia" w:asciiTheme="minorEastAsia" w:hAnsiTheme="minorEastAsia" w:eastAsiaTheme="minorEastAsia" w:cstheme="minorEastAsia"/>
          <w:color w:val="auto"/>
          <w:kern w:val="2"/>
          <w:sz w:val="32"/>
          <w:szCs w:val="32"/>
          <w:lang w:val="en-US" w:eastAsia="zh-CN" w:bidi="ar-SA"/>
        </w:rPr>
      </w:pPr>
      <w:r>
        <w:rPr>
          <w:rFonts w:hint="eastAsia" w:asciiTheme="minorEastAsia" w:hAnsiTheme="minorEastAsia" w:eastAsiaTheme="minorEastAsia" w:cstheme="minorEastAsia"/>
          <w:b/>
          <w:color w:val="auto"/>
          <w:sz w:val="44"/>
          <w:szCs w:val="44"/>
          <w:lang w:val="en-US" w:eastAsia="zh-CN"/>
        </w:rPr>
        <w:t xml:space="preserve"> </w:t>
      </w:r>
      <w:r>
        <w:rPr>
          <w:rFonts w:hint="eastAsia" w:asciiTheme="minorEastAsia" w:hAnsiTheme="minorEastAsia" w:eastAsiaTheme="minorEastAsia" w:cstheme="minorEastAsia"/>
          <w:b/>
          <w:color w:val="auto"/>
          <w:sz w:val="44"/>
          <w:szCs w:val="44"/>
        </w:rPr>
        <w:t>目 录</w:t>
      </w:r>
      <w:bookmarkEnd w:id="0"/>
      <w:bookmarkEnd w:id="1"/>
      <w:bookmarkEnd w:id="2"/>
      <w:bookmarkEnd w:id="3"/>
      <w:bookmarkEnd w:id="4"/>
      <w:bookmarkEnd w:id="5"/>
      <w:bookmarkEnd w:id="6"/>
      <w:bookmarkEnd w:id="7"/>
      <w:bookmarkEnd w:id="8"/>
      <w:bookmarkEnd w:id="9"/>
      <w:r>
        <w:rPr>
          <w:rFonts w:hint="eastAsia" w:asciiTheme="minorEastAsia" w:hAnsiTheme="minorEastAsia" w:eastAsiaTheme="minorEastAsia" w:cstheme="minorEastAsia"/>
          <w:color w:val="auto"/>
          <w:sz w:val="32"/>
          <w:szCs w:val="32"/>
        </w:rPr>
        <w:fldChar w:fldCharType="begin"/>
      </w:r>
      <w:r>
        <w:rPr>
          <w:rFonts w:hint="eastAsia" w:asciiTheme="minorEastAsia" w:hAnsiTheme="minorEastAsia" w:eastAsiaTheme="minorEastAsia" w:cstheme="minorEastAsia"/>
          <w:color w:val="auto"/>
          <w:sz w:val="32"/>
          <w:szCs w:val="32"/>
        </w:rPr>
        <w:instrText xml:space="preserve"> TOC \o "1-2" \h \z \u </w:instrText>
      </w:r>
      <w:r>
        <w:rPr>
          <w:rFonts w:hint="eastAsia" w:asciiTheme="minorEastAsia" w:hAnsiTheme="minorEastAsia" w:eastAsiaTheme="minorEastAsia" w:cstheme="minorEastAsia"/>
          <w:color w:val="auto"/>
          <w:sz w:val="32"/>
          <w:szCs w:val="32"/>
        </w:rPr>
        <w:fldChar w:fldCharType="separate"/>
      </w:r>
    </w:p>
    <w:p>
      <w:pPr>
        <w:pStyle w:val="39"/>
        <w:keepNext w:val="0"/>
        <w:keepLines w:val="0"/>
        <w:pageBreakBefore w:val="0"/>
        <w:tabs>
          <w:tab w:val="right" w:leader="dot" w:pos="8941"/>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HYPERLINK \l _Toc21058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第一章  竞争性磋商公告</w:t>
      </w:r>
      <w:r>
        <w:rPr>
          <w:rFonts w:hint="eastAsia" w:asciiTheme="minorEastAsia" w:hAnsiTheme="minorEastAsia" w:eastAsiaTheme="minorEastAsia" w:cstheme="minorEastAsia"/>
          <w:b/>
          <w:bCs/>
          <w:color w:val="auto"/>
          <w:sz w:val="24"/>
          <w:szCs w:val="24"/>
        </w:rPr>
        <w:tab/>
      </w: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PAGEREF _Toc21058 \h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1</w:t>
      </w:r>
      <w:r>
        <w:rPr>
          <w:rFonts w:hint="eastAsia" w:asciiTheme="minorEastAsia" w:hAnsiTheme="minorEastAsia" w:eastAsiaTheme="minorEastAsia" w:cstheme="minorEastAsia"/>
          <w:b/>
          <w:bCs/>
          <w:color w:val="auto"/>
          <w:sz w:val="24"/>
          <w:szCs w:val="24"/>
        </w:rPr>
        <w:fldChar w:fldCharType="end"/>
      </w:r>
      <w:r>
        <w:rPr>
          <w:rFonts w:hint="eastAsia" w:asciiTheme="minorEastAsia" w:hAnsiTheme="minorEastAsia" w:eastAsiaTheme="minorEastAsia" w:cstheme="minorEastAsia"/>
          <w:b/>
          <w:bCs/>
          <w:color w:val="auto"/>
          <w:sz w:val="24"/>
          <w:szCs w:val="24"/>
        </w:rPr>
        <w:fldChar w:fldCharType="end"/>
      </w:r>
    </w:p>
    <w:p>
      <w:pPr>
        <w:pStyle w:val="39"/>
        <w:keepNext w:val="0"/>
        <w:keepLines w:val="0"/>
        <w:pageBreakBefore w:val="0"/>
        <w:tabs>
          <w:tab w:val="right" w:leader="dot" w:pos="8941"/>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HYPERLINK \l _Toc27907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第二章  响应方须知</w:t>
      </w:r>
      <w:r>
        <w:rPr>
          <w:rFonts w:hint="eastAsia" w:asciiTheme="minorEastAsia" w:hAnsiTheme="minorEastAsia" w:eastAsiaTheme="minorEastAsia" w:cstheme="minorEastAsia"/>
          <w:b/>
          <w:bCs/>
          <w:color w:val="auto"/>
          <w:sz w:val="24"/>
          <w:szCs w:val="24"/>
        </w:rPr>
        <w:tab/>
      </w: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PAGEREF _Toc27907 \h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5</w:t>
      </w:r>
      <w:r>
        <w:rPr>
          <w:rFonts w:hint="eastAsia" w:asciiTheme="minorEastAsia" w:hAnsiTheme="minorEastAsia" w:eastAsiaTheme="minorEastAsia" w:cstheme="minorEastAsia"/>
          <w:b/>
          <w:bCs/>
          <w:color w:val="auto"/>
          <w:sz w:val="24"/>
          <w:szCs w:val="24"/>
        </w:rPr>
        <w:fldChar w:fldCharType="end"/>
      </w:r>
      <w:r>
        <w:rPr>
          <w:rFonts w:hint="eastAsia" w:asciiTheme="minorEastAsia" w:hAnsiTheme="minorEastAsia" w:eastAsiaTheme="minorEastAsia" w:cstheme="minorEastAsia"/>
          <w:b/>
          <w:bCs/>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_Toc21556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前附表</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_Toc21556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5</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_Toc1082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一、总则</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_Toc1082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7</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_Toc24460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二、磋商响应文件的编制</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_Toc24460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12</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_Toc30425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三、组织竞争性磋商程序</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_Toc30425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15</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_Toc13015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四、磋商小组程序</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_Toc13015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18</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_Toc16413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五、定标</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_Toc16413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22</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_Toc16312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六、合同授予</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_Toc16312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22</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47"/>
        <w:keepNext w:val="0"/>
        <w:keepLines w:val="0"/>
        <w:pageBreakBefore w:val="0"/>
        <w:tabs>
          <w:tab w:val="right" w:leader="dot" w:pos="8941"/>
          <w:tab w:val="clear" w:pos="8302"/>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\l _Toc18704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七、款项的结算</w:t>
      </w:r>
      <w:r>
        <w:rPr>
          <w:rFonts w:hint="eastAsia" w:asciiTheme="minorEastAsia" w:hAnsiTheme="minorEastAsia" w:eastAsiaTheme="minorEastAsia" w:cstheme="minorEastAsia"/>
          <w:color w:val="auto"/>
          <w:sz w:val="24"/>
          <w:szCs w:val="24"/>
        </w:rPr>
        <w:tab/>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PAGEREF _Toc18704 \h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rPr>
        <w:fldChar w:fldCharType="end"/>
      </w:r>
      <w:r>
        <w:rPr>
          <w:rFonts w:hint="eastAsia" w:asciiTheme="minorEastAsia" w:hAnsiTheme="minorEastAsia" w:eastAsiaTheme="minorEastAsia" w:cstheme="minorEastAsia"/>
          <w:color w:val="auto"/>
          <w:sz w:val="24"/>
          <w:szCs w:val="24"/>
        </w:rPr>
        <w:fldChar w:fldCharType="end"/>
      </w:r>
    </w:p>
    <w:p>
      <w:pPr>
        <w:pStyle w:val="39"/>
        <w:keepNext w:val="0"/>
        <w:keepLines w:val="0"/>
        <w:pageBreakBefore w:val="0"/>
        <w:tabs>
          <w:tab w:val="right" w:leader="dot" w:pos="8941"/>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HYPERLINK \l _Toc22845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第三章  采购需求</w:t>
      </w:r>
      <w:r>
        <w:rPr>
          <w:rFonts w:hint="eastAsia" w:asciiTheme="minorEastAsia" w:hAnsiTheme="minorEastAsia" w:eastAsiaTheme="minorEastAsia" w:cstheme="minorEastAsia"/>
          <w:b/>
          <w:bCs/>
          <w:color w:val="auto"/>
          <w:sz w:val="24"/>
          <w:szCs w:val="24"/>
        </w:rPr>
        <w:tab/>
      </w: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PAGEREF _Toc22845 \h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24</w:t>
      </w:r>
      <w:r>
        <w:rPr>
          <w:rFonts w:hint="eastAsia" w:asciiTheme="minorEastAsia" w:hAnsiTheme="minorEastAsia" w:eastAsiaTheme="minorEastAsia" w:cstheme="minorEastAsia"/>
          <w:b/>
          <w:bCs/>
          <w:color w:val="auto"/>
          <w:sz w:val="24"/>
          <w:szCs w:val="24"/>
        </w:rPr>
        <w:fldChar w:fldCharType="end"/>
      </w:r>
      <w:r>
        <w:rPr>
          <w:rFonts w:hint="eastAsia" w:asciiTheme="minorEastAsia" w:hAnsiTheme="minorEastAsia" w:eastAsiaTheme="minorEastAsia" w:cstheme="minorEastAsia"/>
          <w:b/>
          <w:bCs/>
          <w:color w:val="auto"/>
          <w:sz w:val="24"/>
          <w:szCs w:val="24"/>
        </w:rPr>
        <w:fldChar w:fldCharType="end"/>
      </w:r>
    </w:p>
    <w:p>
      <w:pPr>
        <w:pStyle w:val="39"/>
        <w:keepNext w:val="0"/>
        <w:keepLines w:val="0"/>
        <w:pageBreakBefore w:val="0"/>
        <w:tabs>
          <w:tab w:val="right" w:leader="dot" w:pos="8941"/>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HYPERLINK \l _Toc5643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 xml:space="preserve">第五章  </w:t>
      </w:r>
      <w:r>
        <w:rPr>
          <w:rFonts w:hint="eastAsia" w:asciiTheme="minorEastAsia" w:hAnsiTheme="minorEastAsia" w:eastAsiaTheme="minorEastAsia" w:cstheme="minorEastAsia"/>
          <w:b/>
          <w:bCs/>
          <w:color w:val="auto"/>
          <w:sz w:val="24"/>
          <w:szCs w:val="24"/>
          <w:lang w:eastAsia="zh-CN"/>
        </w:rPr>
        <w:t>采购合同主要条款指引</w:t>
      </w:r>
      <w:r>
        <w:rPr>
          <w:rFonts w:hint="eastAsia" w:asciiTheme="minorEastAsia" w:hAnsiTheme="minorEastAsia" w:eastAsiaTheme="minorEastAsia" w:cstheme="minorEastAsia"/>
          <w:b/>
          <w:bCs/>
          <w:color w:val="auto"/>
          <w:sz w:val="24"/>
          <w:szCs w:val="24"/>
        </w:rPr>
        <w:tab/>
      </w: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PAGEREF _Toc5643 \h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sz w:val="24"/>
          <w:szCs w:val="24"/>
        </w:rPr>
        <w:fldChar w:fldCharType="end"/>
      </w:r>
      <w:r>
        <w:rPr>
          <w:rFonts w:hint="eastAsia" w:asciiTheme="minorEastAsia" w:hAnsiTheme="minorEastAsia" w:eastAsiaTheme="minorEastAsia" w:cstheme="minorEastAsia"/>
          <w:b/>
          <w:bCs/>
          <w:color w:val="auto"/>
          <w:sz w:val="24"/>
          <w:szCs w:val="24"/>
        </w:rPr>
        <w:fldChar w:fldCharType="end"/>
      </w:r>
    </w:p>
    <w:p>
      <w:pPr>
        <w:pStyle w:val="39"/>
        <w:keepNext w:val="0"/>
        <w:keepLines w:val="0"/>
        <w:pageBreakBefore w:val="0"/>
        <w:tabs>
          <w:tab w:val="right" w:leader="dot" w:pos="8941"/>
        </w:tabs>
        <w:kinsoku/>
        <w:wordWrap/>
        <w:overflowPunct/>
        <w:topLinePunct w:val="0"/>
        <w:autoSpaceDE/>
        <w:autoSpaceDN/>
        <w:bidi w:val="0"/>
        <w:adjustRightInd/>
        <w:snapToGrid/>
        <w:spacing w:line="480" w:lineRule="auto"/>
        <w:textAlignment w:val="auto"/>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HYPERLINK \l _Toc466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 xml:space="preserve">第六章 </w:t>
      </w:r>
      <w:r>
        <w:rPr>
          <w:rFonts w:hint="eastAsia" w:asciiTheme="minorEastAsia" w:hAnsiTheme="minorEastAsia" w:eastAsiaTheme="minorEastAsia" w:cstheme="minorEastAsia"/>
          <w:b/>
          <w:bCs/>
          <w:color w:val="auto"/>
          <w:sz w:val="24"/>
          <w:szCs w:val="24"/>
          <w:lang w:val="en-US" w:eastAsia="zh-CN"/>
        </w:rPr>
        <w:t xml:space="preserve"> </w:t>
      </w:r>
      <w:r>
        <w:rPr>
          <w:rFonts w:hint="eastAsia" w:asciiTheme="minorEastAsia" w:hAnsiTheme="minorEastAsia" w:eastAsiaTheme="minorEastAsia" w:cstheme="minorEastAsia"/>
          <w:b/>
          <w:bCs/>
          <w:color w:val="auto"/>
          <w:sz w:val="24"/>
          <w:szCs w:val="24"/>
        </w:rPr>
        <w:t>磋商响应文件格式附件</w:t>
      </w:r>
      <w:r>
        <w:rPr>
          <w:rFonts w:hint="eastAsia" w:asciiTheme="minorEastAsia" w:hAnsiTheme="minorEastAsia" w:eastAsiaTheme="minorEastAsia" w:cstheme="minorEastAsia"/>
          <w:b/>
          <w:bCs/>
          <w:color w:val="auto"/>
          <w:sz w:val="24"/>
          <w:szCs w:val="24"/>
        </w:rPr>
        <w:tab/>
      </w:r>
      <w:r>
        <w:rPr>
          <w:rFonts w:hint="eastAsia" w:asciiTheme="minorEastAsia" w:hAnsiTheme="minorEastAsia" w:eastAsiaTheme="minorEastAsia" w:cstheme="minorEastAsia"/>
          <w:b/>
          <w:bCs/>
          <w:color w:val="auto"/>
          <w:sz w:val="24"/>
          <w:szCs w:val="24"/>
        </w:rPr>
        <w:fldChar w:fldCharType="begin"/>
      </w:r>
      <w:r>
        <w:rPr>
          <w:rFonts w:hint="eastAsia" w:asciiTheme="minorEastAsia" w:hAnsiTheme="minorEastAsia" w:eastAsiaTheme="minorEastAsia" w:cstheme="minorEastAsia"/>
          <w:b/>
          <w:bCs/>
          <w:color w:val="auto"/>
          <w:sz w:val="24"/>
          <w:szCs w:val="24"/>
        </w:rPr>
        <w:instrText xml:space="preserve"> PAGEREF _Toc466 \h </w:instrText>
      </w:r>
      <w:r>
        <w:rPr>
          <w:rFonts w:hint="eastAsia" w:asciiTheme="minorEastAsia" w:hAnsiTheme="minorEastAsia" w:eastAsiaTheme="minorEastAsia" w:cstheme="minorEastAsia"/>
          <w:b/>
          <w:bCs/>
          <w:color w:val="auto"/>
          <w:sz w:val="24"/>
          <w:szCs w:val="24"/>
        </w:rPr>
        <w:fldChar w:fldCharType="separate"/>
      </w:r>
      <w:r>
        <w:rPr>
          <w:rFonts w:hint="eastAsia" w:asciiTheme="minorEastAsia" w:hAnsiTheme="minorEastAsia" w:eastAsiaTheme="minorEastAsia" w:cstheme="minorEastAsia"/>
          <w:b/>
          <w:bCs/>
          <w:color w:val="auto"/>
          <w:sz w:val="24"/>
          <w:szCs w:val="24"/>
        </w:rPr>
        <w:t>10</w:t>
      </w:r>
      <w:r>
        <w:rPr>
          <w:rFonts w:hint="eastAsia" w:asciiTheme="minorEastAsia" w:hAnsiTheme="minorEastAsia" w:eastAsiaTheme="minorEastAsia" w:cstheme="minorEastAsia"/>
          <w:b/>
          <w:bCs/>
          <w:color w:val="auto"/>
          <w:sz w:val="24"/>
          <w:szCs w:val="24"/>
        </w:rPr>
        <w:fldChar w:fldCharType="end"/>
      </w:r>
      <w:r>
        <w:rPr>
          <w:rFonts w:hint="eastAsia" w:asciiTheme="minorEastAsia" w:hAnsiTheme="minorEastAsia" w:eastAsiaTheme="minorEastAsia" w:cstheme="minorEastAsia"/>
          <w:b/>
          <w:bCs/>
          <w:color w:val="auto"/>
          <w:sz w:val="24"/>
          <w:szCs w:val="24"/>
        </w:rPr>
        <w:fldChar w:fldCharType="end"/>
      </w:r>
    </w:p>
    <w:p>
      <w:pPr>
        <w:pStyle w:val="30"/>
        <w:spacing w:beforeLines="0" w:afterLines="0" w:line="360" w:lineRule="auto"/>
        <w:jc w:val="center"/>
        <w:outlineLvl w:val="0"/>
        <w:rPr>
          <w:rFonts w:hint="eastAsia" w:asciiTheme="minorEastAsia" w:hAnsiTheme="minorEastAsia" w:eastAsiaTheme="minorEastAsia" w:cstheme="minorEastAsia"/>
          <w:color w:val="auto"/>
          <w:sz w:val="32"/>
          <w:szCs w:val="32"/>
        </w:rPr>
        <w:sectPr>
          <w:footerReference r:id="rId5" w:type="default"/>
          <w:pgSz w:w="11850" w:h="16783"/>
          <w:pgMar w:top="1304" w:right="1565" w:bottom="1247" w:left="1344" w:header="851" w:footer="992" w:gutter="0"/>
          <w:pgNumType w:start="1"/>
          <w:cols w:space="720" w:num="1"/>
          <w:docGrid w:linePitch="312" w:charSpace="0"/>
        </w:sectPr>
      </w:pPr>
      <w:r>
        <w:rPr>
          <w:rFonts w:hint="eastAsia" w:asciiTheme="minorEastAsia" w:hAnsiTheme="minorEastAsia" w:eastAsiaTheme="minorEastAsia" w:cstheme="minorEastAsia"/>
          <w:color w:val="auto"/>
          <w:sz w:val="32"/>
          <w:szCs w:val="32"/>
        </w:rPr>
        <w:fldChar w:fldCharType="end"/>
      </w:r>
    </w:p>
    <w:p>
      <w:pPr>
        <w:pStyle w:val="30"/>
        <w:spacing w:beforeLines="0" w:afterLines="0" w:line="360" w:lineRule="auto"/>
        <w:jc w:val="center"/>
        <w:outlineLvl w:val="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 xml:space="preserve"> </w:t>
      </w:r>
      <w:bookmarkStart w:id="11" w:name="_Toc21058"/>
      <w:bookmarkStart w:id="12" w:name="_Toc451762242"/>
      <w:r>
        <w:rPr>
          <w:rFonts w:hint="eastAsia" w:asciiTheme="minorEastAsia" w:hAnsiTheme="minorEastAsia" w:eastAsiaTheme="minorEastAsia" w:cstheme="minorEastAsia"/>
          <w:b/>
          <w:color w:val="auto"/>
          <w:sz w:val="36"/>
          <w:szCs w:val="36"/>
        </w:rPr>
        <w:t>第一章  竞争性磋商公告</w:t>
      </w:r>
      <w:bookmarkEnd w:id="11"/>
      <w:bookmarkEnd w:id="12"/>
      <w:bookmarkStart w:id="13" w:name="_Toc451762243"/>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lang w:eastAsia="zh-CN"/>
        </w:rPr>
        <w:t>嵊州市殡仪馆改扩建工程环境监测服务项目</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项目的潜在供应商应在乐采云平台（https://www.lecaiyun.com/）获取（下载）</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文件，并于</w:t>
      </w:r>
      <w:r>
        <w:rPr>
          <w:rFonts w:hint="eastAsia" w:asciiTheme="minorEastAsia" w:hAnsiTheme="minorEastAsia" w:eastAsiaTheme="minorEastAsia" w:cstheme="minorEastAsia"/>
          <w:color w:val="auto"/>
          <w:sz w:val="24"/>
          <w:szCs w:val="24"/>
          <w:u w:val="single"/>
          <w:lang w:eastAsia="zh-CN"/>
        </w:rPr>
        <w:t>202</w:t>
      </w:r>
      <w:r>
        <w:rPr>
          <w:rFonts w:hint="eastAsia" w:asciiTheme="minorEastAsia" w:hAnsiTheme="minorEastAsia" w:eastAsiaTheme="minorEastAsia" w:cstheme="minorEastAsia"/>
          <w:color w:val="auto"/>
          <w:sz w:val="24"/>
          <w:szCs w:val="24"/>
          <w:u w:val="single"/>
          <w:lang w:val="en-US" w:eastAsia="zh-CN"/>
        </w:rPr>
        <w:t>4</w:t>
      </w:r>
      <w:r>
        <w:rPr>
          <w:rFonts w:hint="eastAsia" w:asciiTheme="minorEastAsia" w:hAnsiTheme="minorEastAsia" w:eastAsiaTheme="minorEastAsia" w:cstheme="minorEastAsia"/>
          <w:color w:val="auto"/>
          <w:sz w:val="24"/>
          <w:szCs w:val="24"/>
          <w:u w:val="single"/>
          <w:lang w:eastAsia="zh-CN"/>
        </w:rPr>
        <w:t>年</w:t>
      </w:r>
      <w:r>
        <w:rPr>
          <w:rFonts w:hint="eastAsia" w:asciiTheme="minorEastAsia" w:hAnsiTheme="minorEastAsia" w:eastAsiaTheme="minorEastAsia" w:cstheme="minorEastAsia"/>
          <w:color w:val="auto"/>
          <w:sz w:val="24"/>
          <w:szCs w:val="24"/>
          <w:u w:val="single"/>
          <w:lang w:val="en-US" w:eastAsia="zh-CN"/>
        </w:rPr>
        <w:t xml:space="preserve">3月26 </w:t>
      </w:r>
      <w:r>
        <w:rPr>
          <w:rFonts w:hint="eastAsia" w:asciiTheme="minorEastAsia" w:hAnsiTheme="minorEastAsia" w:eastAsiaTheme="minorEastAsia" w:cstheme="minorEastAsia"/>
          <w:color w:val="auto"/>
          <w:sz w:val="24"/>
          <w:szCs w:val="24"/>
          <w:u w:val="single"/>
          <w:lang w:eastAsia="zh-CN"/>
        </w:rPr>
        <w:t>日</w:t>
      </w:r>
      <w:r>
        <w:rPr>
          <w:rFonts w:hint="eastAsia" w:asciiTheme="minorEastAsia" w:hAnsiTheme="minorEastAsia" w:eastAsiaTheme="minorEastAsia" w:cstheme="minorEastAsia"/>
          <w:color w:val="auto"/>
          <w:sz w:val="24"/>
          <w:szCs w:val="24"/>
          <w:u w:val="single"/>
          <w:lang w:val="en-US" w:eastAsia="zh-CN"/>
        </w:rPr>
        <w:t>09点00分</w:t>
      </w:r>
      <w:r>
        <w:rPr>
          <w:rFonts w:hint="eastAsia" w:asciiTheme="minorEastAsia" w:hAnsiTheme="minorEastAsia" w:eastAsiaTheme="minorEastAsia" w:cstheme="minorEastAsia"/>
          <w:color w:val="auto"/>
          <w:spacing w:val="6"/>
          <w:sz w:val="24"/>
          <w:szCs w:val="24"/>
        </w:rPr>
        <w:t>（北京时间）前提交（上传）响应文件</w:t>
      </w:r>
      <w:r>
        <w:rPr>
          <w:rFonts w:hint="eastAsia" w:asciiTheme="minorEastAsia" w:hAnsiTheme="minorEastAsia" w:eastAsiaTheme="minorEastAsia" w:cstheme="minorEastAsia"/>
          <w:color w:val="auto"/>
          <w:sz w:val="24"/>
          <w:szCs w:val="24"/>
        </w:rPr>
        <w:t>。</w:t>
      </w:r>
    </w:p>
    <w:p>
      <w:pPr>
        <w:spacing w:line="360" w:lineRule="auto"/>
        <w:ind w:firstLine="506" w:firstLineChars="200"/>
        <w:rPr>
          <w:rFonts w:hint="eastAsia" w:asciiTheme="minorEastAsia" w:hAnsiTheme="minorEastAsia" w:eastAsiaTheme="minorEastAsia" w:cstheme="minorEastAsia"/>
          <w:b/>
          <w:color w:val="auto"/>
          <w:sz w:val="24"/>
          <w:szCs w:val="24"/>
        </w:rPr>
      </w:pPr>
      <w:bookmarkStart w:id="14" w:name="_Toc35393790"/>
      <w:bookmarkStart w:id="15" w:name="_Toc29837"/>
      <w:bookmarkStart w:id="16" w:name="_Toc28359002"/>
      <w:bookmarkStart w:id="17" w:name="_Toc17364"/>
      <w:bookmarkStart w:id="18" w:name="_Toc28359079"/>
      <w:bookmarkStart w:id="19" w:name="_Toc35393621"/>
      <w:r>
        <w:rPr>
          <w:rFonts w:hint="eastAsia" w:asciiTheme="minorEastAsia" w:hAnsiTheme="minorEastAsia" w:eastAsiaTheme="minorEastAsia" w:cstheme="minorEastAsia"/>
          <w:b/>
          <w:bCs/>
          <w:color w:val="auto"/>
          <w:spacing w:val="6"/>
          <w:sz w:val="24"/>
          <w:szCs w:val="24"/>
        </w:rPr>
        <w:t>一、项目基本情况</w:t>
      </w:r>
      <w:bookmarkEnd w:id="14"/>
      <w:bookmarkEnd w:id="15"/>
      <w:bookmarkEnd w:id="16"/>
      <w:bookmarkEnd w:id="17"/>
      <w:bookmarkEnd w:id="18"/>
      <w:bookmarkEnd w:id="19"/>
    </w:p>
    <w:p>
      <w:pPr>
        <w:snapToGrid w:val="0"/>
        <w:spacing w:line="360" w:lineRule="auto"/>
        <w:ind w:firstLine="468" w:firstLineChars="195"/>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项目编号：</w:t>
      </w:r>
      <w:r>
        <w:rPr>
          <w:rFonts w:hint="eastAsia" w:asciiTheme="minorEastAsia" w:hAnsiTheme="minorEastAsia" w:eastAsiaTheme="minorEastAsia" w:cstheme="minorEastAsia"/>
          <w:color w:val="auto"/>
          <w:sz w:val="24"/>
          <w:szCs w:val="24"/>
          <w:lang w:eastAsia="zh-CN"/>
        </w:rPr>
        <w:t>ZJZL-F240228JC</w:t>
      </w:r>
    </w:p>
    <w:p>
      <w:pPr>
        <w:snapToGrid w:val="0"/>
        <w:spacing w:line="360" w:lineRule="auto"/>
        <w:ind w:left="1921" w:leftChars="228" w:hanging="1442" w:hangingChars="601"/>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rPr>
        <w:t>项目名称</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嵊州市殡仪馆改扩建工程环境监测服务项目</w:t>
      </w:r>
    </w:p>
    <w:p>
      <w:pPr>
        <w:snapToGrid w:val="0"/>
        <w:spacing w:line="360" w:lineRule="auto"/>
        <w:ind w:firstLine="468" w:firstLineChars="19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采购方式：竞争性磋商</w:t>
      </w:r>
    </w:p>
    <w:p>
      <w:pPr>
        <w:snapToGrid w:val="0"/>
        <w:spacing w:line="360" w:lineRule="auto"/>
        <w:ind w:firstLine="468" w:firstLineChars="195"/>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预算金额（元）：</w:t>
      </w:r>
      <w:r>
        <w:rPr>
          <w:rFonts w:hint="eastAsia" w:asciiTheme="minorEastAsia" w:hAnsiTheme="minorEastAsia" w:eastAsiaTheme="minorEastAsia" w:cstheme="minorEastAsia"/>
          <w:b w:val="0"/>
          <w:bCs/>
          <w:color w:val="auto"/>
          <w:sz w:val="24"/>
          <w:szCs w:val="24"/>
          <w:highlight w:val="none"/>
          <w:lang w:val="en-US" w:eastAsia="zh-CN"/>
        </w:rPr>
        <w:t>268171.00</w:t>
      </w:r>
    </w:p>
    <w:p>
      <w:pPr>
        <w:snapToGrid w:val="0"/>
        <w:spacing w:line="360" w:lineRule="auto"/>
        <w:ind w:firstLine="468" w:firstLineChars="195"/>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最高限价（元）：</w:t>
      </w:r>
      <w:r>
        <w:rPr>
          <w:rFonts w:hint="eastAsia" w:asciiTheme="minorEastAsia" w:hAnsiTheme="minorEastAsia" w:eastAsiaTheme="minorEastAsia" w:cstheme="minorEastAsia"/>
          <w:b w:val="0"/>
          <w:bCs/>
          <w:color w:val="auto"/>
          <w:sz w:val="24"/>
          <w:szCs w:val="24"/>
          <w:highlight w:val="none"/>
          <w:lang w:val="en-US" w:eastAsia="zh-CN"/>
        </w:rPr>
        <w:t>268171.00</w:t>
      </w:r>
    </w:p>
    <w:p>
      <w:pPr>
        <w:snapToGrid w:val="0"/>
        <w:spacing w:line="360" w:lineRule="auto"/>
        <w:ind w:firstLine="468" w:firstLineChars="195"/>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采购需求：</w:t>
      </w:r>
      <w:r>
        <w:rPr>
          <w:rFonts w:hint="eastAsia" w:asciiTheme="minorEastAsia" w:hAnsiTheme="minorEastAsia" w:eastAsiaTheme="minorEastAsia" w:cstheme="minorEastAsia"/>
          <w:color w:val="auto"/>
          <w:sz w:val="24"/>
          <w:szCs w:val="24"/>
          <w:highlight w:val="none"/>
          <w:lang w:val="en-US" w:eastAsia="zh-CN"/>
        </w:rPr>
        <w:t>详见采购需求</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bookmarkStart w:id="20" w:name="_Toc23031"/>
      <w:bookmarkStart w:id="21" w:name="_Toc17011"/>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标项名称：</w:t>
      </w:r>
      <w:r>
        <w:rPr>
          <w:rFonts w:hint="eastAsia" w:asciiTheme="minorEastAsia" w:hAnsiTheme="minorEastAsia" w:eastAsiaTheme="minorEastAsia" w:cstheme="minorEastAsia"/>
          <w:b w:val="0"/>
          <w:bCs w:val="0"/>
          <w:color w:val="auto"/>
          <w:sz w:val="24"/>
          <w:szCs w:val="24"/>
          <w:highlight w:val="none"/>
          <w:lang w:eastAsia="zh-CN"/>
        </w:rPr>
        <w:t>嵊州市殡仪馆改扩建工程环境监测服务项目</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default"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数量：1项</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default" w:asciiTheme="minorEastAsia" w:hAnsiTheme="minorEastAsia" w:eastAsiaTheme="minorEastAsia" w:cstheme="minorEastAsia"/>
          <w:b w:val="0"/>
          <w:bCs/>
          <w:color w:val="auto"/>
          <w:sz w:val="24"/>
          <w:szCs w:val="24"/>
          <w:highlight w:val="none"/>
          <w:lang w:val="en-US"/>
        </w:rPr>
      </w:pPr>
      <w:r>
        <w:rPr>
          <w:rFonts w:hint="eastAsia" w:asciiTheme="minorEastAsia" w:hAnsiTheme="minorEastAsia" w:eastAsiaTheme="minorEastAsia" w:cstheme="minorEastAsia"/>
          <w:b w:val="0"/>
          <w:bCs/>
          <w:color w:val="auto"/>
          <w:sz w:val="24"/>
          <w:szCs w:val="24"/>
          <w:highlight w:val="none"/>
          <w:lang w:val="en-US" w:eastAsia="zh-CN"/>
        </w:rPr>
        <w:t>预算金额：268171.00元</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highlight w:val="none"/>
        </w:rPr>
        <w:t>简要规格描述或项目基本概况介绍</w:t>
      </w:r>
      <w:r>
        <w:rPr>
          <w:rFonts w:hint="eastAsia" w:asciiTheme="minorEastAsia" w:hAnsiTheme="minorEastAsia" w:eastAsiaTheme="minorEastAsia" w:cstheme="minorEastAsia"/>
          <w:b w:val="0"/>
          <w:bCs/>
          <w:color w:val="auto"/>
          <w:sz w:val="24"/>
          <w:szCs w:val="24"/>
        </w:rPr>
        <w:t>、用途：详见</w:t>
      </w:r>
      <w:r>
        <w:rPr>
          <w:rFonts w:hint="eastAsia" w:asciiTheme="minorEastAsia" w:hAnsiTheme="minorEastAsia" w:eastAsiaTheme="minorEastAsia" w:cstheme="minorEastAsia"/>
          <w:b w:val="0"/>
          <w:bCs/>
          <w:color w:val="auto"/>
          <w:sz w:val="24"/>
          <w:szCs w:val="24"/>
          <w:lang w:val="en-US" w:eastAsia="zh-CN"/>
        </w:rPr>
        <w:t>磋商</w:t>
      </w:r>
      <w:r>
        <w:rPr>
          <w:rFonts w:hint="eastAsia" w:asciiTheme="minorEastAsia" w:hAnsiTheme="minorEastAsia" w:eastAsiaTheme="minorEastAsia" w:cstheme="minorEastAsia"/>
          <w:b w:val="0"/>
          <w:bCs/>
          <w:color w:val="auto"/>
          <w:sz w:val="24"/>
          <w:szCs w:val="24"/>
        </w:rPr>
        <w:t>文件。</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color w:val="auto"/>
          <w:sz w:val="24"/>
          <w:szCs w:val="24"/>
        </w:rPr>
      </w:pP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color w:val="auto"/>
          <w:sz w:val="24"/>
          <w:szCs w:val="24"/>
          <w:u w:val="single"/>
        </w:rPr>
      </w:pPr>
      <w:r>
        <w:rPr>
          <w:rFonts w:hint="eastAsia" w:asciiTheme="minorEastAsia" w:hAnsiTheme="minorEastAsia" w:eastAsiaTheme="minorEastAsia" w:cstheme="minorEastAsia"/>
          <w:b w:val="0"/>
          <w:bCs/>
          <w:color w:val="auto"/>
          <w:sz w:val="24"/>
          <w:szCs w:val="24"/>
        </w:rPr>
        <w:t>合同履行期限：详见</w:t>
      </w:r>
      <w:r>
        <w:rPr>
          <w:rFonts w:hint="eastAsia" w:asciiTheme="minorEastAsia" w:hAnsiTheme="minorEastAsia" w:eastAsiaTheme="minorEastAsia" w:cstheme="minorEastAsia"/>
          <w:b w:val="0"/>
          <w:bCs/>
          <w:color w:val="auto"/>
          <w:sz w:val="24"/>
          <w:szCs w:val="24"/>
          <w:lang w:val="en-US" w:eastAsia="zh-CN"/>
        </w:rPr>
        <w:t>磋商</w:t>
      </w:r>
      <w:r>
        <w:rPr>
          <w:rFonts w:hint="eastAsia" w:asciiTheme="minorEastAsia" w:hAnsiTheme="minorEastAsia" w:eastAsiaTheme="minorEastAsia" w:cstheme="minorEastAsia"/>
          <w:b w:val="0"/>
          <w:bCs/>
          <w:color w:val="auto"/>
          <w:sz w:val="24"/>
          <w:szCs w:val="24"/>
        </w:rPr>
        <w:t>文件。</w:t>
      </w:r>
    </w:p>
    <w:p>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bCs/>
          <w:color w:val="auto"/>
          <w:kern w:val="0"/>
          <w:sz w:val="24"/>
        </w:rPr>
      </w:pPr>
      <w:r>
        <w:rPr>
          <w:rFonts w:hint="eastAsia" w:asciiTheme="minorEastAsia" w:hAnsiTheme="minorEastAsia" w:eastAsiaTheme="minorEastAsia" w:cstheme="minorEastAsia"/>
          <w:b w:val="0"/>
          <w:bCs/>
          <w:color w:val="auto"/>
          <w:sz w:val="24"/>
          <w:szCs w:val="24"/>
        </w:rPr>
        <w:t>本项目接受联合体磋商：</w:t>
      </w:r>
      <w:r>
        <w:rPr>
          <w:rFonts w:hint="eastAsia" w:asciiTheme="minorEastAsia" w:hAnsiTheme="minorEastAsia" w:eastAsiaTheme="minorEastAsia" w:cstheme="minorEastAsia"/>
          <w:b w:val="0"/>
          <w:bCs/>
          <w:color w:val="auto"/>
          <w:sz w:val="24"/>
          <w:szCs w:val="24"/>
          <w:lang w:eastAsia="zh-CN"/>
        </w:rPr>
        <w:t>□</w:t>
      </w:r>
      <w:r>
        <w:rPr>
          <w:rFonts w:hint="eastAsia" w:asciiTheme="minorEastAsia" w:hAnsiTheme="minorEastAsia" w:eastAsiaTheme="minorEastAsia" w:cstheme="minorEastAsia"/>
          <w:b w:val="0"/>
          <w:bCs/>
          <w:color w:val="auto"/>
          <w:sz w:val="24"/>
          <w:szCs w:val="24"/>
        </w:rPr>
        <w:t>是，</w:t>
      </w:r>
      <w:r>
        <w:rPr>
          <w:rFonts w:hint="eastAsia" w:asciiTheme="minorEastAsia" w:hAnsiTheme="minorEastAsia" w:eastAsiaTheme="minorEastAsia" w:cstheme="minorEastAsia"/>
          <w:b w:val="0"/>
          <w:bCs/>
          <w:color w:val="auto"/>
          <w:sz w:val="24"/>
          <w:szCs w:val="24"/>
          <w:lang w:eastAsia="zh-CN"/>
        </w:rPr>
        <w:t>☑</w:t>
      </w:r>
      <w:r>
        <w:rPr>
          <w:rFonts w:hint="eastAsia" w:asciiTheme="minorEastAsia" w:hAnsiTheme="minorEastAsia" w:eastAsiaTheme="minorEastAsia" w:cstheme="minorEastAsia"/>
          <w:b w:val="0"/>
          <w:bCs/>
          <w:color w:val="auto"/>
          <w:sz w:val="24"/>
          <w:szCs w:val="24"/>
        </w:rPr>
        <w:t>否。</w:t>
      </w:r>
    </w:p>
    <w:p>
      <w:pPr>
        <w:keepNext w:val="0"/>
        <w:keepLines w:val="0"/>
        <w:pageBreakBefore w:val="0"/>
        <w:widowControl/>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color w:val="auto"/>
          <w:kern w:val="0"/>
          <w:sz w:val="24"/>
        </w:rPr>
      </w:pPr>
      <w:r>
        <w:rPr>
          <w:rFonts w:hint="eastAsia" w:asciiTheme="minorEastAsia" w:hAnsiTheme="minorEastAsia" w:eastAsiaTheme="minorEastAsia" w:cstheme="minorEastAsia"/>
          <w:b/>
          <w:bCs/>
          <w:color w:val="auto"/>
          <w:kern w:val="0"/>
          <w:sz w:val="24"/>
        </w:rPr>
        <w:t>二、</w:t>
      </w:r>
      <w:r>
        <w:rPr>
          <w:rFonts w:hint="eastAsia" w:asciiTheme="minorEastAsia" w:hAnsiTheme="minorEastAsia" w:eastAsiaTheme="minorEastAsia" w:cstheme="minorEastAsia"/>
          <w:b/>
          <w:bCs/>
          <w:color w:val="auto"/>
          <w:kern w:val="0"/>
          <w:sz w:val="24"/>
          <w:lang w:val="en-US" w:eastAsia="zh-CN"/>
        </w:rPr>
        <w:t>供应商</w:t>
      </w:r>
      <w:r>
        <w:rPr>
          <w:rFonts w:hint="eastAsia" w:asciiTheme="minorEastAsia" w:hAnsiTheme="minorEastAsia" w:eastAsiaTheme="minorEastAsia" w:cstheme="minorEastAsia"/>
          <w:b/>
          <w:bCs/>
          <w:color w:val="auto"/>
          <w:kern w:val="0"/>
          <w:sz w:val="24"/>
        </w:rPr>
        <w:t>资格要求</w:t>
      </w:r>
      <w:bookmarkEnd w:id="20"/>
      <w:bookmarkEnd w:id="21"/>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bookmarkStart w:id="22" w:name="_Toc3659"/>
      <w:r>
        <w:rPr>
          <w:rFonts w:hint="eastAsia" w:asciiTheme="minorEastAsia" w:hAnsiTheme="minorEastAsia" w:eastAsiaTheme="minorEastAsia" w:cstheme="minorEastAsia"/>
          <w:b w:val="0"/>
          <w:bCs w:val="0"/>
          <w:color w:val="auto"/>
          <w:sz w:val="24"/>
          <w:szCs w:val="24"/>
          <w:highlight w:val="none"/>
          <w:lang w:eastAsia="zh-CN"/>
        </w:rPr>
        <w:t>（一）供应商参加采购活动应当具备下列条件：</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1.具有独立承担民事责任的能力；</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2.具有良好的商业信誉；</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3.具有履行合同所必需的设备和专业技术，售后保障等能力；</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4.有依法缴纳税收和社会保障资金的良好记录；</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5.参加采购活动前三年内，没有重大违法记录，严重失信行为和行贿记录；</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6.法律、行政法规规定的其他条件。</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7.未被“信用中国”（www.creditchina.gov.cn)、中国政府采购网（www.ccgp.gov.cn）列入失信被执行人、重大税收违法案件当事人名单、政府采购严重违法失信行为记录名单。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val="0"/>
        <w:spacing w:line="360" w:lineRule="auto"/>
        <w:ind w:left="0" w:firstLine="480" w:firstLineChars="200"/>
        <w:textAlignment w:val="auto"/>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8.本项目的特定资格要求：</w:t>
      </w:r>
      <w:r>
        <w:rPr>
          <w:rFonts w:hint="eastAsia" w:asciiTheme="minorEastAsia" w:hAnsiTheme="minorEastAsia" w:eastAsiaTheme="minorEastAsia" w:cstheme="minorEastAsia"/>
          <w:b w:val="0"/>
          <w:bCs w:val="0"/>
          <w:color w:val="auto"/>
          <w:sz w:val="24"/>
          <w:szCs w:val="24"/>
          <w:highlight w:val="none"/>
          <w:lang w:val="en-US" w:eastAsia="zh-CN"/>
        </w:rPr>
        <w:t>无。</w:t>
      </w:r>
    </w:p>
    <w:p>
      <w:pPr>
        <w:keepNext w:val="0"/>
        <w:keepLines w:val="0"/>
        <w:pageBreakBefore w:val="0"/>
        <w:kinsoku/>
        <w:wordWrap/>
        <w:overflowPunct/>
        <w:topLinePunct w:val="0"/>
        <w:autoSpaceDE/>
        <w:autoSpaceDN/>
        <w:bidi w:val="0"/>
        <w:adjustRightInd/>
        <w:spacing w:line="360" w:lineRule="auto"/>
        <w:ind w:firstLine="482" w:firstLineChars="200"/>
        <w:textAlignment w:val="auto"/>
        <w:rPr>
          <w:rFonts w:hint="eastAsia" w:asciiTheme="minorEastAsia" w:hAnsiTheme="minorEastAsia" w:eastAsiaTheme="minorEastAsia" w:cstheme="minorEastAsia"/>
          <w:b/>
          <w:bCs/>
          <w:color w:val="auto"/>
          <w:sz w:val="24"/>
        </w:rPr>
      </w:pPr>
      <w:bookmarkStart w:id="23" w:name="_Toc15297"/>
      <w:r>
        <w:rPr>
          <w:rFonts w:hint="eastAsia" w:asciiTheme="minorEastAsia" w:hAnsiTheme="minorEastAsia" w:eastAsiaTheme="minorEastAsia" w:cstheme="minorEastAsia"/>
          <w:b/>
          <w:bCs/>
          <w:color w:val="auto"/>
          <w:sz w:val="24"/>
        </w:rPr>
        <w:t>三、</w:t>
      </w:r>
      <w:bookmarkEnd w:id="22"/>
      <w:r>
        <w:rPr>
          <w:rFonts w:hint="eastAsia" w:asciiTheme="minorEastAsia" w:hAnsiTheme="minorEastAsia" w:eastAsiaTheme="minorEastAsia" w:cstheme="minorEastAsia"/>
          <w:b/>
          <w:bCs/>
          <w:color w:val="auto"/>
          <w:sz w:val="24"/>
        </w:rPr>
        <w:t>获取（下载）采购文件</w:t>
      </w:r>
      <w:bookmarkEnd w:id="23"/>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bookmarkStart w:id="24" w:name="_Toc10774"/>
      <w:bookmarkStart w:id="25" w:name="_Toc7627"/>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时间：</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lang w:eastAsia="zh-CN"/>
        </w:rPr>
        <w:t>202</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年</w:t>
      </w:r>
      <w:r>
        <w:rPr>
          <w:rFonts w:hint="eastAsia" w:asciiTheme="minorEastAsia" w:hAnsiTheme="minorEastAsia" w:eastAsiaTheme="minorEastAsia" w:cstheme="minorEastAsia"/>
          <w:color w:val="auto"/>
          <w:sz w:val="24"/>
          <w:szCs w:val="24"/>
          <w:lang w:val="en-US" w:eastAsia="zh-CN"/>
        </w:rPr>
        <w:t>3月26</w:t>
      </w:r>
      <w:r>
        <w:rPr>
          <w:rFonts w:hint="eastAsia" w:asciiTheme="minorEastAsia" w:hAnsiTheme="minorEastAsia" w:eastAsiaTheme="minorEastAsia" w:cstheme="minorEastAsia"/>
          <w:color w:val="auto"/>
          <w:sz w:val="24"/>
          <w:szCs w:val="24"/>
          <w:lang w:eastAsia="zh-CN"/>
        </w:rPr>
        <w:t>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bookmarkEnd w:id="24"/>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bookmarkStart w:id="26" w:name="_Toc6869"/>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地点（网址）：乐采云平台（https://www.lecaiyun.com/）；</w:t>
      </w:r>
      <w:bookmarkEnd w:id="26"/>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b/>
          <w:bCs/>
          <w:color w:val="auto"/>
          <w:sz w:val="24"/>
          <w:szCs w:val="24"/>
        </w:rPr>
      </w:pPr>
      <w:bookmarkStart w:id="27" w:name="_Toc7907"/>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方式：供应商登录乐采云平台https://www.lecaiyun.com/在线申请获取采购文件（进入“项目采购”应用，在获取采购文件菜单中选择项目，申请获取采购文件）。</w:t>
      </w:r>
      <w:bookmarkEnd w:id="27"/>
      <w:r>
        <w:rPr>
          <w:rFonts w:hint="eastAsia" w:asciiTheme="minorEastAsia" w:hAnsiTheme="minorEastAsia" w:eastAsiaTheme="minorEastAsia" w:cstheme="minorEastAsia"/>
          <w:color w:val="auto"/>
          <w:sz w:val="24"/>
          <w:szCs w:val="24"/>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Theme="minorEastAsia" w:hAnsiTheme="minorEastAsia" w:eastAsiaTheme="minorEastAsia" w:cstheme="minorEastAsia"/>
          <w:color w:val="auto"/>
          <w:sz w:val="24"/>
          <w:szCs w:val="24"/>
          <w:lang w:eastAsia="zh-CN"/>
        </w:rPr>
      </w:pPr>
      <w:bookmarkStart w:id="28" w:name="_Toc2950"/>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售价（元）：0</w:t>
      </w:r>
      <w:bookmarkEnd w:id="28"/>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5.提示：采购公告附件内的采购文件（或采购需求）仅供阅览使用，供应商只有在“乐采云平台”完成获取采购文件申请并下载了采购文件后才视作依法获取采购文件（法律法规所指的供应商获取采购文件时间以供应商完成获取采购文件申请后下载采购文件的时间为准）。</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outlineLvl w:val="9"/>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注：请供应商按上述要求获取采购文件，如未在“乐采云”系统内完成相关流程，引起的响应无效责任自负。</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val="0"/>
          <w:bCs w:val="0"/>
          <w:color w:val="auto"/>
          <w:sz w:val="24"/>
          <w:szCs w:val="24"/>
          <w:highlight w:val="none"/>
          <w:lang w:val="en-US" w:eastAsia="zh-CN"/>
        </w:rPr>
        <w:t>6.公告信息及更正补充公告请自行登录浙江政府采购网，在采购公告及更正公告页面中下载。</w:t>
      </w:r>
    </w:p>
    <w:p>
      <w:pPr>
        <w:snapToGrid w:val="0"/>
        <w:spacing w:line="360" w:lineRule="auto"/>
        <w:ind w:firstLine="482" w:firstLineChars="200"/>
        <w:rPr>
          <w:rFonts w:hint="eastAsia" w:asciiTheme="minorEastAsia" w:hAnsiTheme="minorEastAsia" w:eastAsiaTheme="minorEastAsia" w:cstheme="minorEastAsia"/>
          <w:b/>
          <w:bCs/>
          <w:color w:val="auto"/>
          <w:sz w:val="24"/>
          <w:szCs w:val="24"/>
        </w:rPr>
      </w:pPr>
      <w:bookmarkStart w:id="29" w:name="_Toc8961"/>
      <w:r>
        <w:rPr>
          <w:rFonts w:hint="eastAsia" w:asciiTheme="minorEastAsia" w:hAnsiTheme="minorEastAsia" w:eastAsiaTheme="minorEastAsia" w:cstheme="minorEastAsia"/>
          <w:b/>
          <w:bCs/>
          <w:color w:val="auto"/>
          <w:sz w:val="24"/>
          <w:szCs w:val="24"/>
        </w:rPr>
        <w:t>四、</w:t>
      </w:r>
      <w:bookmarkEnd w:id="25"/>
      <w:r>
        <w:rPr>
          <w:rFonts w:hint="eastAsia" w:asciiTheme="minorEastAsia" w:hAnsiTheme="minorEastAsia" w:eastAsiaTheme="minorEastAsia" w:cstheme="minorEastAsia"/>
          <w:b/>
          <w:bCs/>
          <w:color w:val="auto"/>
          <w:sz w:val="24"/>
          <w:szCs w:val="24"/>
        </w:rPr>
        <w:t>响应文件提交（上传）</w:t>
      </w:r>
      <w:bookmarkEnd w:id="29"/>
      <w:r>
        <w:rPr>
          <w:rFonts w:hint="eastAsia" w:asciiTheme="minorEastAsia" w:hAnsiTheme="minorEastAsia" w:eastAsiaTheme="minorEastAsia" w:cstheme="minorEastAsia"/>
          <w:b/>
          <w:bCs/>
          <w:color w:val="auto"/>
          <w:sz w:val="24"/>
          <w:szCs w:val="24"/>
        </w:rPr>
        <w:t xml:space="preserve"> </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bookmarkStart w:id="30" w:name="_Toc1009"/>
      <w:bookmarkStart w:id="31" w:name="_Toc6977"/>
      <w:r>
        <w:rPr>
          <w:rFonts w:hint="eastAsia" w:asciiTheme="minorEastAsia" w:hAnsiTheme="minorEastAsia" w:eastAsiaTheme="minorEastAsia" w:cstheme="minorEastAsia"/>
          <w:color w:val="auto"/>
          <w:sz w:val="24"/>
          <w:szCs w:val="24"/>
        </w:rPr>
        <w:t>截止时间：</w:t>
      </w:r>
      <w:r>
        <w:rPr>
          <w:rFonts w:hint="eastAsia" w:asciiTheme="minorEastAsia" w:hAnsiTheme="minorEastAsia" w:eastAsiaTheme="minorEastAsia" w:cstheme="minorEastAsia"/>
          <w:color w:val="auto"/>
          <w:sz w:val="24"/>
          <w:szCs w:val="24"/>
          <w:lang w:eastAsia="zh-CN"/>
        </w:rPr>
        <w:t>202</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年</w:t>
      </w:r>
      <w:r>
        <w:rPr>
          <w:rFonts w:hint="eastAsia" w:asciiTheme="minorEastAsia" w:hAnsiTheme="minorEastAsia" w:eastAsiaTheme="minorEastAsia" w:cstheme="minorEastAsia"/>
          <w:color w:val="auto"/>
          <w:sz w:val="24"/>
          <w:szCs w:val="24"/>
          <w:lang w:val="en-US" w:eastAsia="zh-CN"/>
        </w:rPr>
        <w:t>3月26</w:t>
      </w:r>
      <w:r>
        <w:rPr>
          <w:rFonts w:hint="eastAsia" w:asciiTheme="minorEastAsia" w:hAnsiTheme="minorEastAsia" w:eastAsiaTheme="minorEastAsia" w:cstheme="minorEastAsia"/>
          <w:color w:val="auto"/>
          <w:sz w:val="24"/>
          <w:szCs w:val="24"/>
          <w:lang w:eastAsia="zh-CN"/>
        </w:rPr>
        <w:t>日</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val="en-US" w:eastAsia="zh-CN"/>
        </w:rPr>
        <w:t>09:00</w:t>
      </w:r>
      <w:r>
        <w:rPr>
          <w:rFonts w:hint="eastAsia" w:asciiTheme="minorEastAsia" w:hAnsiTheme="minorEastAsia" w:eastAsiaTheme="minorEastAsia" w:cstheme="minorEastAsia"/>
          <w:color w:val="auto"/>
          <w:sz w:val="24"/>
          <w:szCs w:val="24"/>
        </w:rPr>
        <w:t>（北京时间）；</w:t>
      </w:r>
      <w:bookmarkEnd w:id="30"/>
    </w:p>
    <w:p>
      <w:pPr>
        <w:snapToGrid w:val="0"/>
        <w:spacing w:line="360" w:lineRule="auto"/>
        <w:ind w:firstLine="480" w:firstLineChars="200"/>
        <w:rPr>
          <w:rFonts w:hint="eastAsia" w:asciiTheme="minorEastAsia" w:hAnsiTheme="minorEastAsia" w:eastAsiaTheme="minorEastAsia" w:cstheme="minorEastAsia"/>
          <w:color w:val="auto"/>
          <w:sz w:val="24"/>
          <w:szCs w:val="24"/>
        </w:rPr>
      </w:pPr>
      <w:bookmarkStart w:id="32" w:name="_Toc4110"/>
      <w:r>
        <w:rPr>
          <w:rFonts w:hint="eastAsia" w:asciiTheme="minorEastAsia" w:hAnsiTheme="minorEastAsia" w:eastAsiaTheme="minorEastAsia" w:cstheme="minorEastAsia"/>
          <w:color w:val="auto"/>
          <w:sz w:val="24"/>
          <w:szCs w:val="24"/>
        </w:rPr>
        <w:t>地点（网址）：乐采云平台（https://www.lecaiyun.com/）。</w:t>
      </w:r>
      <w:bookmarkEnd w:id="32"/>
    </w:p>
    <w:p>
      <w:pPr>
        <w:snapToGrid w:val="0"/>
        <w:spacing w:line="360" w:lineRule="auto"/>
        <w:ind w:firstLine="482" w:firstLineChars="200"/>
        <w:rPr>
          <w:rFonts w:hint="eastAsia" w:asciiTheme="minorEastAsia" w:hAnsiTheme="minorEastAsia" w:eastAsiaTheme="minorEastAsia" w:cstheme="minorEastAsia"/>
          <w:color w:val="auto"/>
          <w:sz w:val="24"/>
          <w:szCs w:val="24"/>
        </w:rPr>
      </w:pPr>
      <w:bookmarkStart w:id="33" w:name="_Toc12236"/>
      <w:bookmarkStart w:id="34" w:name="_Toc7094"/>
      <w:r>
        <w:rPr>
          <w:rFonts w:hint="eastAsia" w:asciiTheme="minorEastAsia" w:hAnsiTheme="minorEastAsia" w:eastAsiaTheme="minorEastAsia" w:cstheme="minorEastAsia"/>
          <w:b/>
          <w:bCs/>
          <w:color w:val="auto"/>
          <w:sz w:val="24"/>
          <w:szCs w:val="24"/>
        </w:rPr>
        <w:t>五、响应文件开启</w:t>
      </w:r>
      <w:bookmarkEnd w:id="33"/>
      <w:bookmarkEnd w:id="34"/>
    </w:p>
    <w:p>
      <w:pPr>
        <w:snapToGrid w:val="0"/>
        <w:spacing w:line="360" w:lineRule="auto"/>
        <w:ind w:firstLine="480" w:firstLineChars="200"/>
        <w:rPr>
          <w:rFonts w:hint="eastAsia" w:asciiTheme="minorEastAsia" w:hAnsiTheme="minorEastAsia" w:eastAsiaTheme="minorEastAsia" w:cstheme="minorEastAsia"/>
          <w:color w:val="auto"/>
          <w:sz w:val="24"/>
          <w:szCs w:val="24"/>
        </w:rPr>
      </w:pPr>
      <w:bookmarkStart w:id="35" w:name="_Toc23619"/>
      <w:r>
        <w:rPr>
          <w:rFonts w:hint="eastAsia" w:asciiTheme="minorEastAsia" w:hAnsiTheme="minorEastAsia" w:eastAsiaTheme="minorEastAsia" w:cstheme="minorEastAsia"/>
          <w:color w:val="auto"/>
          <w:sz w:val="24"/>
          <w:szCs w:val="24"/>
        </w:rPr>
        <w:t>开启时间：</w:t>
      </w:r>
      <w:r>
        <w:rPr>
          <w:rFonts w:hint="eastAsia" w:asciiTheme="minorEastAsia" w:hAnsiTheme="minorEastAsia" w:eastAsiaTheme="minorEastAsia" w:cstheme="minorEastAsia"/>
          <w:color w:val="auto"/>
          <w:sz w:val="24"/>
          <w:szCs w:val="24"/>
          <w:lang w:eastAsia="zh-CN"/>
        </w:rPr>
        <w:t>202</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年</w:t>
      </w:r>
      <w:r>
        <w:rPr>
          <w:rFonts w:hint="eastAsia" w:asciiTheme="minorEastAsia" w:hAnsiTheme="minorEastAsia" w:eastAsiaTheme="minorEastAsia" w:cstheme="minorEastAsia"/>
          <w:color w:val="auto"/>
          <w:sz w:val="24"/>
          <w:szCs w:val="24"/>
          <w:lang w:val="en-US" w:eastAsia="zh-CN"/>
        </w:rPr>
        <w:t>3月26</w:t>
      </w:r>
      <w:r>
        <w:rPr>
          <w:rFonts w:hint="eastAsia" w:asciiTheme="minorEastAsia" w:hAnsiTheme="minorEastAsia" w:eastAsiaTheme="minorEastAsia" w:cstheme="minorEastAsia"/>
          <w:color w:val="auto"/>
          <w:sz w:val="24"/>
          <w:szCs w:val="24"/>
          <w:lang w:eastAsia="zh-CN"/>
        </w:rPr>
        <w:t>日</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z w:val="24"/>
          <w:szCs w:val="24"/>
          <w:lang w:val="en-US" w:eastAsia="zh-CN"/>
        </w:rPr>
        <w:t>09:00</w:t>
      </w:r>
      <w:r>
        <w:rPr>
          <w:rFonts w:hint="eastAsia" w:asciiTheme="minorEastAsia" w:hAnsiTheme="minorEastAsia" w:eastAsiaTheme="minorEastAsia" w:cstheme="minorEastAsia"/>
          <w:color w:val="auto"/>
          <w:sz w:val="24"/>
          <w:szCs w:val="24"/>
        </w:rPr>
        <w:t>（北京时间）；</w:t>
      </w:r>
      <w:bookmarkEnd w:id="35"/>
    </w:p>
    <w:p>
      <w:pPr>
        <w:snapToGrid w:val="0"/>
        <w:spacing w:line="360" w:lineRule="auto"/>
        <w:ind w:firstLine="482"/>
        <w:rPr>
          <w:rFonts w:hint="eastAsia" w:asciiTheme="minorEastAsia" w:hAnsiTheme="minorEastAsia" w:eastAsiaTheme="minorEastAsia" w:cstheme="minorEastAsia"/>
          <w:color w:val="auto"/>
          <w:sz w:val="24"/>
          <w:szCs w:val="24"/>
          <w:lang w:eastAsia="zh-CN"/>
        </w:rPr>
      </w:pPr>
      <w:bookmarkStart w:id="36" w:name="_Toc27645"/>
      <w:r>
        <w:rPr>
          <w:rFonts w:hint="eastAsia" w:asciiTheme="minorEastAsia" w:hAnsiTheme="minorEastAsia" w:eastAsiaTheme="minorEastAsia" w:cstheme="minorEastAsia"/>
          <w:color w:val="auto"/>
          <w:sz w:val="24"/>
          <w:szCs w:val="24"/>
        </w:rPr>
        <w:t>地点（网址）：</w:t>
      </w:r>
      <w:bookmarkEnd w:id="36"/>
      <w:r>
        <w:rPr>
          <w:rFonts w:hint="eastAsia" w:asciiTheme="minorEastAsia" w:hAnsiTheme="minorEastAsia" w:eastAsiaTheme="minorEastAsia" w:cstheme="minorEastAsia"/>
          <w:color w:val="auto"/>
          <w:sz w:val="24"/>
          <w:szCs w:val="24"/>
          <w:lang w:eastAsia="zh-CN"/>
        </w:rPr>
        <w:t>嵊州市北直街81号粮食局附楼二楼</w:t>
      </w:r>
      <w:r>
        <w:rPr>
          <w:rFonts w:hint="eastAsia" w:asciiTheme="minorEastAsia" w:hAnsiTheme="minorEastAsia" w:eastAsiaTheme="minorEastAsia" w:cstheme="minorEastAsia"/>
          <w:sz w:val="24"/>
          <w:szCs w:val="24"/>
        </w:rPr>
        <w:t>（供应商通过“乐采云平台（https://www.lecaiyun.com/）”实行在线解密）</w:t>
      </w:r>
      <w:r>
        <w:rPr>
          <w:rFonts w:hint="eastAsia" w:asciiTheme="minorEastAsia" w:hAnsiTheme="minorEastAsia" w:eastAsiaTheme="minorEastAsia" w:cstheme="minorEastAsia"/>
          <w:color w:val="auto"/>
          <w:sz w:val="24"/>
          <w:szCs w:val="24"/>
          <w:lang w:eastAsia="zh-CN"/>
        </w:rPr>
        <w:t>。</w:t>
      </w:r>
    </w:p>
    <w:p>
      <w:pPr>
        <w:pStyle w:val="2"/>
        <w:tabs>
          <w:tab w:val="left" w:pos="480"/>
        </w:tabs>
        <w:spacing w:beforeLines="0" w:afterLines="0" w:line="500" w:lineRule="exact"/>
        <w:ind w:firstLine="482" w:firstLineChars="200"/>
        <w:jc w:val="both"/>
        <w:outlineLvl w:val="1"/>
        <w:rPr>
          <w:rFonts w:hint="eastAsia" w:ascii="宋体" w:hAnsi="宋体"/>
          <w:color w:val="auto"/>
          <w:kern w:val="2"/>
          <w:sz w:val="24"/>
          <w:szCs w:val="24"/>
          <w:highlight w:val="none"/>
          <w:lang w:val="en-US" w:eastAsia="zh-CN"/>
        </w:rPr>
      </w:pPr>
      <w:bookmarkStart w:id="37" w:name="_Toc28265"/>
      <w:r>
        <w:rPr>
          <w:rFonts w:hint="eastAsia" w:asciiTheme="minorEastAsia" w:hAnsiTheme="minorEastAsia" w:eastAsiaTheme="minorEastAsia" w:cstheme="minorEastAsia"/>
          <w:b/>
          <w:bCs/>
          <w:color w:val="auto"/>
          <w:sz w:val="24"/>
          <w:szCs w:val="24"/>
        </w:rPr>
        <w:t>六</w:t>
      </w:r>
      <w:bookmarkStart w:id="38" w:name="_Toc2440"/>
      <w:bookmarkStart w:id="39" w:name="_Toc8562"/>
      <w:bookmarkStart w:id="40" w:name="_Toc25442"/>
      <w:r>
        <w:rPr>
          <w:rFonts w:hint="eastAsia" w:ascii="宋体" w:hAnsi="宋体"/>
          <w:color w:val="auto"/>
          <w:kern w:val="2"/>
          <w:sz w:val="24"/>
          <w:szCs w:val="24"/>
          <w:highlight w:val="none"/>
          <w:lang w:val="en-US" w:eastAsia="zh-CN"/>
        </w:rPr>
        <w:t>、磋商保证金</w:t>
      </w:r>
      <w:bookmarkEnd w:id="38"/>
      <w:bookmarkEnd w:id="39"/>
      <w:bookmarkEnd w:id="40"/>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保证金：</w:t>
      </w:r>
      <w:r>
        <w:rPr>
          <w:rFonts w:hint="eastAsia" w:asciiTheme="minorEastAsia" w:hAnsiTheme="minorEastAsia" w:eastAsiaTheme="minorEastAsia" w:cstheme="minorEastAsia"/>
          <w:color w:val="auto"/>
          <w:sz w:val="24"/>
          <w:szCs w:val="24"/>
          <w:lang w:val="en-US" w:eastAsia="zh-CN"/>
        </w:rPr>
        <w:t>人</w:t>
      </w:r>
      <w:r>
        <w:rPr>
          <w:rFonts w:hint="eastAsia" w:asciiTheme="minorEastAsia" w:hAnsiTheme="minorEastAsia" w:eastAsiaTheme="minorEastAsia" w:cstheme="minorEastAsia"/>
          <w:color w:val="auto"/>
          <w:sz w:val="24"/>
          <w:szCs w:val="24"/>
        </w:rPr>
        <w:t>民币</w:t>
      </w:r>
      <w:r>
        <w:rPr>
          <w:rFonts w:hint="eastAsia" w:asciiTheme="minorEastAsia" w:hAnsiTheme="minorEastAsia" w:eastAsiaTheme="minorEastAsia" w:cstheme="minorEastAsia"/>
          <w:color w:val="auto"/>
          <w:sz w:val="24"/>
          <w:szCs w:val="24"/>
          <w:lang w:val="en-US" w:eastAsia="zh-CN"/>
        </w:rPr>
        <w:t>5200.00</w:t>
      </w:r>
      <w:r>
        <w:rPr>
          <w:rFonts w:hint="eastAsia" w:asciiTheme="minorEastAsia" w:hAnsiTheme="minorEastAsia" w:eastAsiaTheme="minorEastAsia" w:cstheme="minorEastAsia"/>
          <w:color w:val="auto"/>
          <w:sz w:val="24"/>
          <w:szCs w:val="24"/>
        </w:rPr>
        <w:t xml:space="preserve">元。  </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w:t>
      </w:r>
      <w:r>
        <w:rPr>
          <w:rFonts w:hint="eastAsia" w:asciiTheme="minorEastAsia" w:hAnsiTheme="minorEastAsia" w:eastAsiaTheme="minorEastAsia" w:cstheme="minorEastAsia"/>
          <w:color w:val="auto"/>
          <w:sz w:val="24"/>
          <w:szCs w:val="24"/>
          <w:lang w:val="en-US" w:eastAsia="zh-CN"/>
        </w:rPr>
        <w:t>供应商</w:t>
      </w:r>
      <w:r>
        <w:rPr>
          <w:rFonts w:hint="eastAsia" w:asciiTheme="minorEastAsia" w:hAnsiTheme="minorEastAsia" w:eastAsiaTheme="minorEastAsia" w:cstheme="minorEastAsia"/>
          <w:color w:val="auto"/>
          <w:sz w:val="24"/>
          <w:szCs w:val="24"/>
        </w:rPr>
        <w:t>应于202</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val="en-US" w:eastAsia="zh-CN"/>
        </w:rPr>
        <w:t xml:space="preserve">3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lang w:val="en-US" w:eastAsia="zh-CN"/>
        </w:rPr>
        <w:t>25</w:t>
      </w:r>
      <w:r>
        <w:rPr>
          <w:rFonts w:hint="eastAsia" w:asciiTheme="minorEastAsia" w:hAnsiTheme="minorEastAsia" w:eastAsiaTheme="minorEastAsia" w:cstheme="minorEastAsia"/>
          <w:color w:val="auto"/>
          <w:sz w:val="24"/>
          <w:szCs w:val="24"/>
        </w:rPr>
        <w:t>日16：00时前将</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保证金以电汇、转账、网上银行</w:t>
      </w:r>
      <w:r>
        <w:rPr>
          <w:rFonts w:hint="eastAsia" w:asciiTheme="minorEastAsia" w:hAnsiTheme="minorEastAsia" w:eastAsiaTheme="minorEastAsia" w:cstheme="minorEastAsia"/>
          <w:color w:val="auto"/>
          <w:sz w:val="24"/>
          <w:szCs w:val="24"/>
          <w:lang w:val="en-US" w:eastAsia="zh-CN"/>
        </w:rPr>
        <w:t>形式</w:t>
      </w:r>
      <w:r>
        <w:rPr>
          <w:rFonts w:hint="eastAsia" w:asciiTheme="minorEastAsia" w:hAnsiTheme="minorEastAsia" w:eastAsiaTheme="minorEastAsia" w:cstheme="minorEastAsia"/>
          <w:color w:val="auto"/>
          <w:sz w:val="24"/>
          <w:szCs w:val="24"/>
        </w:rPr>
        <w:t>交至</w:t>
      </w:r>
      <w:r>
        <w:rPr>
          <w:rFonts w:hint="eastAsia" w:asciiTheme="minorEastAsia" w:hAnsiTheme="minorEastAsia" w:eastAsiaTheme="minorEastAsia" w:cstheme="minorEastAsia"/>
          <w:color w:val="auto"/>
          <w:sz w:val="24"/>
          <w:szCs w:val="24"/>
          <w:lang w:eastAsia="zh-CN"/>
        </w:rPr>
        <w:t>浙江筑脸全过程工程咨询有限公司</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保证金以到账时间为准。如因投标</w:t>
      </w:r>
      <w:r>
        <w:rPr>
          <w:rFonts w:hint="eastAsia" w:asciiTheme="minorEastAsia" w:hAnsiTheme="minorEastAsia" w:eastAsiaTheme="minorEastAsia" w:cstheme="minorEastAsia"/>
          <w:color w:val="auto"/>
          <w:sz w:val="24"/>
          <w:szCs w:val="24"/>
          <w:lang w:val="en-US" w:eastAsia="zh-CN"/>
        </w:rPr>
        <w:t>供应商</w:t>
      </w:r>
      <w:r>
        <w:rPr>
          <w:rFonts w:hint="eastAsia" w:asciiTheme="minorEastAsia" w:hAnsiTheme="minorEastAsia" w:eastAsiaTheme="minorEastAsia" w:cstheme="minorEastAsia"/>
          <w:color w:val="auto"/>
          <w:sz w:val="24"/>
          <w:szCs w:val="24"/>
        </w:rPr>
        <w:t>自身原因，造成投标单位保证金未及时到账的，一律视为不响应</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文件，</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文件不予接收。投标</w:t>
      </w:r>
      <w:r>
        <w:rPr>
          <w:rFonts w:hint="eastAsia" w:asciiTheme="minorEastAsia" w:hAnsiTheme="minorEastAsia" w:eastAsiaTheme="minorEastAsia" w:cstheme="minorEastAsia"/>
          <w:color w:val="auto"/>
          <w:sz w:val="24"/>
          <w:szCs w:val="24"/>
          <w:lang w:val="en-US" w:eastAsia="zh-CN"/>
        </w:rPr>
        <w:t>供应商</w:t>
      </w:r>
      <w:r>
        <w:rPr>
          <w:rFonts w:hint="eastAsia" w:asciiTheme="minorEastAsia" w:hAnsiTheme="minorEastAsia" w:eastAsiaTheme="minorEastAsia" w:cstheme="minorEastAsia"/>
          <w:color w:val="auto"/>
          <w:sz w:val="24"/>
          <w:szCs w:val="24"/>
        </w:rPr>
        <w:t>的</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保证金必须从其基本账户转出。</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户 名：浙江筑脸全过程工程咨询有限公司嵊州分公司</w:t>
      </w:r>
      <w:bookmarkStart w:id="170" w:name="_GoBack"/>
      <w:bookmarkEnd w:id="170"/>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开户银行：浦发银行绍兴嵊州支行 </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银行账号：85090078801400000070 </w:t>
      </w:r>
    </w:p>
    <w:p>
      <w:pPr>
        <w:snapToGrid w:val="0"/>
        <w:spacing w:line="360" w:lineRule="auto"/>
        <w:ind w:firstLine="482"/>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val="en-US" w:eastAsia="zh-CN"/>
        </w:rPr>
        <w:t>七</w:t>
      </w:r>
      <w:r>
        <w:rPr>
          <w:rFonts w:hint="eastAsia" w:asciiTheme="minorEastAsia" w:hAnsiTheme="minorEastAsia" w:eastAsiaTheme="minorEastAsia" w:cstheme="minorEastAsia"/>
          <w:b/>
          <w:bCs/>
          <w:color w:val="auto"/>
          <w:sz w:val="24"/>
          <w:szCs w:val="24"/>
        </w:rPr>
        <w:t>公告期限</w:t>
      </w:r>
      <w:bookmarkEnd w:id="31"/>
      <w:bookmarkEnd w:id="37"/>
    </w:p>
    <w:p>
      <w:pPr>
        <w:snapToGrid w:val="0"/>
        <w:spacing w:line="360" w:lineRule="auto"/>
        <w:ind w:firstLine="48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自本公告发布之日起3个工作日。</w:t>
      </w:r>
    </w:p>
    <w:p>
      <w:pPr>
        <w:snapToGrid w:val="0"/>
        <w:spacing w:line="360" w:lineRule="auto"/>
        <w:ind w:firstLine="482"/>
        <w:rPr>
          <w:rFonts w:hint="eastAsia" w:asciiTheme="minorEastAsia" w:hAnsiTheme="minorEastAsia" w:eastAsiaTheme="minorEastAsia" w:cstheme="minorEastAsia"/>
          <w:b/>
          <w:bCs/>
          <w:color w:val="auto"/>
          <w:sz w:val="24"/>
          <w:szCs w:val="24"/>
        </w:rPr>
      </w:pPr>
      <w:bookmarkStart w:id="41" w:name="_Toc19114"/>
      <w:bookmarkStart w:id="42" w:name="_Toc10056"/>
      <w:r>
        <w:rPr>
          <w:rFonts w:hint="eastAsia" w:asciiTheme="minorEastAsia" w:hAnsiTheme="minorEastAsia" w:eastAsiaTheme="minorEastAsia" w:cstheme="minorEastAsia"/>
          <w:b/>
          <w:bCs/>
          <w:color w:val="auto"/>
          <w:sz w:val="24"/>
          <w:szCs w:val="24"/>
          <w:lang w:val="en-US" w:eastAsia="zh-CN"/>
        </w:rPr>
        <w:t>八</w:t>
      </w:r>
      <w:r>
        <w:rPr>
          <w:rFonts w:hint="eastAsia" w:asciiTheme="minorEastAsia" w:hAnsiTheme="minorEastAsia" w:eastAsiaTheme="minorEastAsia" w:cstheme="minorEastAsia"/>
          <w:b/>
          <w:bCs/>
          <w:color w:val="auto"/>
          <w:sz w:val="24"/>
          <w:szCs w:val="24"/>
        </w:rPr>
        <w:t>、其他补充事宜</w:t>
      </w:r>
      <w:bookmarkEnd w:id="41"/>
      <w:bookmarkEnd w:id="42"/>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bookmarkStart w:id="43" w:name="_Toc514"/>
      <w:bookmarkStart w:id="44" w:name="_Toc29559"/>
      <w:r>
        <w:rPr>
          <w:rFonts w:hint="eastAsia" w:asciiTheme="minorEastAsia" w:hAnsiTheme="minorEastAsia" w:eastAsiaTheme="minorEastAsia" w:cstheme="minorEastAsia"/>
          <w:color w:val="auto"/>
          <w:kern w:val="1"/>
          <w:sz w:val="24"/>
        </w:rPr>
        <w:t>1.本项目通过“乐采云平台（www.lecaiyun.com）”实行在线响应（电子投标），供应商应先安装“乐采云电子交易客户端”，并按照本</w:t>
      </w:r>
      <w:r>
        <w:rPr>
          <w:rFonts w:hint="eastAsia" w:asciiTheme="minorEastAsia" w:hAnsiTheme="minorEastAsia" w:eastAsiaTheme="minorEastAsia" w:cstheme="minorEastAsia"/>
          <w:color w:val="auto"/>
          <w:kern w:val="1"/>
          <w:sz w:val="24"/>
          <w:lang w:val="en-US" w:eastAsia="zh-CN"/>
        </w:rPr>
        <w:t>磋商</w:t>
      </w:r>
      <w:r>
        <w:rPr>
          <w:rFonts w:hint="eastAsia" w:asciiTheme="minorEastAsia" w:hAnsiTheme="minorEastAsia" w:eastAsiaTheme="minorEastAsia" w:cstheme="minorEastAsia"/>
          <w:color w:val="auto"/>
          <w:kern w:val="1"/>
          <w:sz w:val="24"/>
        </w:rPr>
        <w:t>文件和“乐采云”的要求，通过“乐采云电子交易客户端”编制并加密</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文件。供应商未按规定加密的</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文件，“乐采云”将予以拒收。</w:t>
      </w:r>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r>
        <w:rPr>
          <w:rFonts w:hint="eastAsia" w:asciiTheme="minorEastAsia" w:hAnsiTheme="minorEastAsia" w:eastAsiaTheme="minorEastAsia" w:cstheme="minorEastAsia"/>
          <w:color w:val="auto"/>
          <w:kern w:val="1"/>
          <w:sz w:val="24"/>
        </w:rPr>
        <w:t>2.“乐采云电子交易客户端”请自行前往“浙江政府采购网-下载专区-电子交易客户端”进行下载；电子投标具体操作流程详见本公告附件《供应商项目采购-电子招投标操作指南》；通过“乐采云”参与在线投标时如遇平台技术问题详询95763。</w:t>
      </w:r>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r>
        <w:rPr>
          <w:rFonts w:hint="eastAsia" w:asciiTheme="minorEastAsia" w:hAnsiTheme="minorEastAsia" w:eastAsiaTheme="minorEastAsia" w:cstheme="minorEastAsia"/>
          <w:color w:val="auto"/>
          <w:kern w:val="1"/>
          <w:sz w:val="24"/>
        </w:rPr>
        <w:t>3.为确保网上操作合法、有效和安全，供应商应当在投标截止时间前完成在“乐采云平台”的身份认证，确保在电子投标过程中能够对相关数据电文进行加密和使用电子签章。使用“乐采云电子交易客户端”需要提前申领CA数字证书，申领流程请自行前往“浙江政府采购网-下载专区-电子交易客户端-CA驱动和申领流程”进行查阅；在使用乐采云投标客户端时，建议使用WIN7及以上操作系统。完成CA数字证书办理在资料齐全的情况下预计7个工作日左右，建议供应商获取</w:t>
      </w:r>
      <w:r>
        <w:rPr>
          <w:rFonts w:hint="eastAsia" w:asciiTheme="minorEastAsia" w:hAnsiTheme="minorEastAsia" w:eastAsiaTheme="minorEastAsia" w:cstheme="minorEastAsia"/>
          <w:color w:val="auto"/>
          <w:kern w:val="1"/>
          <w:sz w:val="24"/>
          <w:lang w:val="en-US" w:eastAsia="zh-CN"/>
        </w:rPr>
        <w:t>磋商</w:t>
      </w:r>
      <w:r>
        <w:rPr>
          <w:rFonts w:hint="eastAsia" w:asciiTheme="minorEastAsia" w:hAnsiTheme="minorEastAsia" w:eastAsiaTheme="minorEastAsia" w:cstheme="minorEastAsia"/>
          <w:color w:val="auto"/>
          <w:kern w:val="1"/>
          <w:sz w:val="24"/>
        </w:rPr>
        <w:t>文件后立即办理。</w:t>
      </w:r>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r>
        <w:rPr>
          <w:rFonts w:hint="eastAsia" w:asciiTheme="minorEastAsia" w:hAnsiTheme="minorEastAsia" w:eastAsiaTheme="minorEastAsia" w:cstheme="minorEastAsia"/>
          <w:color w:val="auto"/>
          <w:kern w:val="1"/>
          <w:sz w:val="24"/>
        </w:rPr>
        <w:t>4.</w:t>
      </w:r>
      <w:r>
        <w:rPr>
          <w:rFonts w:hint="eastAsia" w:asciiTheme="minorEastAsia" w:hAnsiTheme="minorEastAsia" w:eastAsiaTheme="minorEastAsia" w:cstheme="minorEastAsia"/>
          <w:color w:val="auto"/>
          <w:kern w:val="1"/>
          <w:sz w:val="24"/>
          <w:lang w:eastAsia="zh-CN"/>
        </w:rPr>
        <w:t>磋商响应方</w:t>
      </w:r>
      <w:r>
        <w:rPr>
          <w:rFonts w:hint="eastAsia" w:asciiTheme="minorEastAsia" w:hAnsiTheme="minorEastAsia" w:eastAsiaTheme="minorEastAsia" w:cstheme="minorEastAsia"/>
          <w:color w:val="auto"/>
          <w:kern w:val="1"/>
          <w:sz w:val="24"/>
        </w:rPr>
        <w:t>应当在投标截止时间前，将生成的“电子加密</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文件”上传至“乐采云平台”。投标截止时间以后上传递交的</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文件将被“乐采云平台”拒收。</w:t>
      </w:r>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r>
        <w:rPr>
          <w:rFonts w:hint="eastAsia" w:asciiTheme="minorEastAsia" w:hAnsiTheme="minorEastAsia" w:eastAsiaTheme="minorEastAsia" w:cstheme="minorEastAsia"/>
          <w:color w:val="auto"/>
          <w:kern w:val="1"/>
          <w:sz w:val="24"/>
        </w:rPr>
        <w:t>5.</w:t>
      </w:r>
      <w:r>
        <w:rPr>
          <w:rFonts w:hint="eastAsia" w:asciiTheme="minorEastAsia" w:hAnsiTheme="minorEastAsia" w:eastAsiaTheme="minorEastAsia" w:cstheme="minorEastAsia"/>
          <w:color w:val="auto"/>
          <w:kern w:val="1"/>
          <w:sz w:val="24"/>
          <w:lang w:eastAsia="zh-CN"/>
        </w:rPr>
        <w:t>磋商响应方</w:t>
      </w:r>
      <w:r>
        <w:rPr>
          <w:rFonts w:hint="eastAsia" w:asciiTheme="minorEastAsia" w:hAnsiTheme="minorEastAsia" w:eastAsiaTheme="minorEastAsia" w:cstheme="minorEastAsia"/>
          <w:color w:val="auto"/>
          <w:kern w:val="1"/>
          <w:sz w:val="24"/>
        </w:rPr>
        <w:t>在“乐采云平台”完成“电子加密</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文件”的上传递交后，还可以（邮寄形式）在投标截止时间前递交以介质（U盘）存储的数据电文形式的“备份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文件”应当密封包装并在包装上标注投标项目名称、</w:t>
      </w:r>
      <w:r>
        <w:rPr>
          <w:rFonts w:hint="eastAsia" w:asciiTheme="minorEastAsia" w:hAnsiTheme="minorEastAsia" w:eastAsiaTheme="minorEastAsia" w:cstheme="minorEastAsia"/>
          <w:color w:val="auto"/>
          <w:kern w:val="1"/>
          <w:sz w:val="24"/>
          <w:lang w:eastAsia="zh-CN"/>
        </w:rPr>
        <w:t>磋商响应方</w:t>
      </w:r>
      <w:r>
        <w:rPr>
          <w:rFonts w:hint="eastAsia" w:asciiTheme="minorEastAsia" w:hAnsiTheme="minorEastAsia" w:eastAsiaTheme="minorEastAsia" w:cstheme="minorEastAsia"/>
          <w:color w:val="auto"/>
          <w:kern w:val="1"/>
          <w:sz w:val="24"/>
        </w:rPr>
        <w:t>名称并加盖公章。</w:t>
      </w:r>
    </w:p>
    <w:p>
      <w:pPr>
        <w:snapToGrid w:val="0"/>
        <w:spacing w:line="360" w:lineRule="auto"/>
        <w:ind w:firstLine="480" w:firstLineChars="200"/>
        <w:jc w:val="left"/>
        <w:rPr>
          <w:rFonts w:hint="eastAsia" w:asciiTheme="minorEastAsia" w:hAnsiTheme="minorEastAsia" w:eastAsiaTheme="minorEastAsia" w:cstheme="minorEastAsia"/>
          <w:color w:val="auto"/>
          <w:kern w:val="1"/>
          <w:sz w:val="24"/>
        </w:rPr>
      </w:pPr>
      <w:r>
        <w:rPr>
          <w:rFonts w:hint="eastAsia" w:asciiTheme="minorEastAsia" w:hAnsiTheme="minorEastAsia" w:eastAsiaTheme="minorEastAsia" w:cstheme="minorEastAsia"/>
          <w:color w:val="auto"/>
          <w:kern w:val="1"/>
          <w:sz w:val="24"/>
        </w:rPr>
        <w:t>6.通过“乐采云平台”上传递交的“电子加密</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文件”无法按时解密，</w:t>
      </w:r>
      <w:r>
        <w:rPr>
          <w:rFonts w:hint="eastAsia" w:asciiTheme="minorEastAsia" w:hAnsiTheme="minorEastAsia" w:eastAsiaTheme="minorEastAsia" w:cstheme="minorEastAsia"/>
          <w:color w:val="auto"/>
          <w:kern w:val="1"/>
          <w:sz w:val="24"/>
          <w:lang w:eastAsia="zh-CN"/>
        </w:rPr>
        <w:t>磋商响应方</w:t>
      </w:r>
      <w:r>
        <w:rPr>
          <w:rFonts w:hint="eastAsia" w:asciiTheme="minorEastAsia" w:hAnsiTheme="minorEastAsia" w:eastAsiaTheme="minorEastAsia" w:cstheme="minorEastAsia"/>
          <w:color w:val="auto"/>
          <w:kern w:val="1"/>
          <w:sz w:val="24"/>
        </w:rPr>
        <w:t>递交了备份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文件的，以备份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文件为依据，否则视为</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文件撤回。通过“乐采云平台”上传递交的“电子加密</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文件”已按时解密的，“备份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文件”自动失效。</w:t>
      </w:r>
      <w:r>
        <w:rPr>
          <w:rFonts w:hint="eastAsia" w:asciiTheme="minorEastAsia" w:hAnsiTheme="minorEastAsia" w:eastAsiaTheme="minorEastAsia" w:cstheme="minorEastAsia"/>
          <w:color w:val="auto"/>
          <w:kern w:val="1"/>
          <w:sz w:val="24"/>
          <w:lang w:eastAsia="zh-CN"/>
        </w:rPr>
        <w:t>磋商响应方</w:t>
      </w:r>
      <w:r>
        <w:rPr>
          <w:rFonts w:hint="eastAsia" w:asciiTheme="minorEastAsia" w:hAnsiTheme="minorEastAsia" w:eastAsiaTheme="minorEastAsia" w:cstheme="minorEastAsia"/>
          <w:color w:val="auto"/>
          <w:kern w:val="1"/>
          <w:sz w:val="24"/>
        </w:rPr>
        <w:t>仅递交备份</w:t>
      </w:r>
      <w:r>
        <w:rPr>
          <w:rFonts w:hint="eastAsia" w:asciiTheme="minorEastAsia" w:hAnsiTheme="minorEastAsia" w:eastAsiaTheme="minorEastAsia" w:cstheme="minorEastAsia"/>
          <w:color w:val="auto"/>
          <w:kern w:val="1"/>
          <w:sz w:val="24"/>
          <w:lang w:val="en-US" w:eastAsia="zh-CN"/>
        </w:rPr>
        <w:t>响应</w:t>
      </w:r>
      <w:r>
        <w:rPr>
          <w:rFonts w:hint="eastAsia" w:asciiTheme="minorEastAsia" w:hAnsiTheme="minorEastAsia" w:eastAsiaTheme="minorEastAsia" w:cstheme="minorEastAsia"/>
          <w:color w:val="auto"/>
          <w:kern w:val="1"/>
          <w:sz w:val="24"/>
        </w:rPr>
        <w:t>文件的，投标无效。</w:t>
      </w:r>
    </w:p>
    <w:p>
      <w:pPr>
        <w:snapToGrid w:val="0"/>
        <w:spacing w:line="360" w:lineRule="auto"/>
        <w:ind w:firstLine="480" w:firstLineChars="200"/>
        <w:jc w:val="left"/>
        <w:rPr>
          <w:rFonts w:hint="eastAsia" w:asciiTheme="minorEastAsia" w:hAnsiTheme="minorEastAsia" w:eastAsiaTheme="minorEastAsia" w:cstheme="minorEastAsia"/>
          <w:b/>
          <w:bCs/>
          <w:color w:val="auto"/>
          <w:sz w:val="24"/>
        </w:rPr>
      </w:pPr>
      <w:r>
        <w:rPr>
          <w:rFonts w:hint="eastAsia" w:asciiTheme="minorEastAsia" w:hAnsiTheme="minorEastAsia" w:eastAsiaTheme="minorEastAsia" w:cstheme="minorEastAsia"/>
          <w:color w:val="auto"/>
          <w:kern w:val="1"/>
          <w:sz w:val="24"/>
        </w:rPr>
        <w:t>7.投标人依法获取</w:t>
      </w:r>
      <w:r>
        <w:rPr>
          <w:rFonts w:hint="eastAsia" w:asciiTheme="minorEastAsia" w:hAnsiTheme="minorEastAsia" w:eastAsiaTheme="minorEastAsia" w:cstheme="minorEastAsia"/>
          <w:color w:val="auto"/>
          <w:kern w:val="1"/>
          <w:sz w:val="24"/>
          <w:lang w:eastAsia="zh-CN"/>
        </w:rPr>
        <w:t>采购</w:t>
      </w:r>
      <w:r>
        <w:rPr>
          <w:rFonts w:hint="eastAsia" w:asciiTheme="minorEastAsia" w:hAnsiTheme="minorEastAsia" w:eastAsiaTheme="minorEastAsia" w:cstheme="minorEastAsia"/>
          <w:color w:val="auto"/>
          <w:kern w:val="1"/>
          <w:sz w:val="24"/>
        </w:rPr>
        <w:t>文件后认为</w:t>
      </w:r>
      <w:r>
        <w:rPr>
          <w:rFonts w:hint="eastAsia" w:asciiTheme="minorEastAsia" w:hAnsiTheme="minorEastAsia" w:eastAsiaTheme="minorEastAsia" w:cstheme="minorEastAsia"/>
          <w:color w:val="auto"/>
          <w:kern w:val="1"/>
          <w:sz w:val="24"/>
          <w:lang w:eastAsia="zh-CN"/>
        </w:rPr>
        <w:t>采购</w:t>
      </w:r>
      <w:r>
        <w:rPr>
          <w:rFonts w:hint="eastAsia" w:asciiTheme="minorEastAsia" w:hAnsiTheme="minorEastAsia" w:eastAsiaTheme="minorEastAsia" w:cstheme="minorEastAsia"/>
          <w:color w:val="auto"/>
          <w:kern w:val="1"/>
          <w:sz w:val="24"/>
        </w:rPr>
        <w:t>文件使自己的权益受到损害的，可以自收到</w:t>
      </w:r>
      <w:r>
        <w:rPr>
          <w:rFonts w:hint="eastAsia" w:asciiTheme="minorEastAsia" w:hAnsiTheme="minorEastAsia" w:eastAsiaTheme="minorEastAsia" w:cstheme="minorEastAsia"/>
          <w:color w:val="auto"/>
          <w:kern w:val="1"/>
          <w:sz w:val="24"/>
          <w:lang w:eastAsia="zh-CN"/>
        </w:rPr>
        <w:t>采购</w:t>
      </w:r>
      <w:r>
        <w:rPr>
          <w:rFonts w:hint="eastAsia" w:asciiTheme="minorEastAsia" w:hAnsiTheme="minorEastAsia" w:eastAsiaTheme="minorEastAsia" w:cstheme="minorEastAsia"/>
          <w:color w:val="auto"/>
          <w:kern w:val="1"/>
          <w:sz w:val="24"/>
        </w:rPr>
        <w:t>文件之日（</w:t>
      </w:r>
      <w:r>
        <w:rPr>
          <w:rFonts w:hint="eastAsia" w:asciiTheme="minorEastAsia" w:hAnsiTheme="minorEastAsia" w:eastAsiaTheme="minorEastAsia" w:cstheme="minorEastAsia"/>
          <w:color w:val="auto"/>
          <w:kern w:val="1"/>
          <w:sz w:val="24"/>
          <w:lang w:eastAsia="zh-CN"/>
        </w:rPr>
        <w:t>采购</w:t>
      </w:r>
      <w:r>
        <w:rPr>
          <w:rFonts w:hint="eastAsia" w:asciiTheme="minorEastAsia" w:hAnsiTheme="minorEastAsia" w:eastAsiaTheme="minorEastAsia" w:cstheme="minorEastAsia"/>
          <w:color w:val="auto"/>
          <w:kern w:val="1"/>
          <w:sz w:val="24"/>
        </w:rPr>
        <w:t>文件获取之日在</w:t>
      </w:r>
      <w:r>
        <w:rPr>
          <w:rFonts w:hint="eastAsia" w:asciiTheme="minorEastAsia" w:hAnsiTheme="minorEastAsia" w:eastAsiaTheme="minorEastAsia" w:cstheme="minorEastAsia"/>
          <w:color w:val="auto"/>
          <w:kern w:val="1"/>
          <w:sz w:val="24"/>
          <w:lang w:eastAsia="zh-CN"/>
        </w:rPr>
        <w:t>采购</w:t>
      </w:r>
      <w:r>
        <w:rPr>
          <w:rFonts w:hint="eastAsia" w:asciiTheme="minorEastAsia" w:hAnsiTheme="minorEastAsia" w:eastAsiaTheme="minorEastAsia" w:cstheme="minorEastAsia"/>
          <w:color w:val="auto"/>
          <w:kern w:val="1"/>
          <w:sz w:val="24"/>
        </w:rPr>
        <w:t>文件公告期限届满之日后的以公告期限届满之日为准，即公告发布后的第6个工作日）起7个工作日内，以书面形式一次性向采购人和</w:t>
      </w:r>
      <w:r>
        <w:rPr>
          <w:rFonts w:hint="eastAsia" w:asciiTheme="minorEastAsia" w:hAnsiTheme="minorEastAsia" w:eastAsiaTheme="minorEastAsia" w:cstheme="minorEastAsia"/>
          <w:color w:val="auto"/>
          <w:kern w:val="1"/>
          <w:sz w:val="24"/>
          <w:lang w:val="en-US" w:eastAsia="zh-CN"/>
        </w:rPr>
        <w:t>采购</w:t>
      </w:r>
      <w:r>
        <w:rPr>
          <w:rFonts w:hint="eastAsia" w:asciiTheme="minorEastAsia" w:hAnsiTheme="minorEastAsia" w:eastAsiaTheme="minorEastAsia" w:cstheme="minorEastAsia"/>
          <w:color w:val="auto"/>
          <w:kern w:val="1"/>
          <w:sz w:val="24"/>
        </w:rPr>
        <w:t>代理机构提出针对同一采购程序环节的质疑。质疑投标人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r>
        <w:rPr>
          <w:rFonts w:hint="eastAsia" w:asciiTheme="minorEastAsia" w:hAnsiTheme="minorEastAsia" w:eastAsiaTheme="minorEastAsia" w:cstheme="minorEastAsia"/>
          <w:color w:val="auto"/>
          <w:sz w:val="24"/>
        </w:rPr>
        <w:t>。</w:t>
      </w:r>
    </w:p>
    <w:p>
      <w:pPr>
        <w:snapToGrid w:val="0"/>
        <w:spacing w:line="360" w:lineRule="auto"/>
        <w:ind w:firstLine="482" w:firstLineChars="200"/>
        <w:jc w:val="left"/>
        <w:rPr>
          <w:rFonts w:hint="eastAsia" w:asciiTheme="minorEastAsia" w:hAnsiTheme="minorEastAsia" w:eastAsiaTheme="minorEastAsia" w:cstheme="minorEastAsia"/>
          <w:b/>
          <w:bCs/>
          <w:color w:val="auto"/>
          <w:sz w:val="24"/>
          <w:lang w:eastAsia="zh-CN"/>
        </w:rPr>
      </w:pPr>
      <w:r>
        <w:rPr>
          <w:rFonts w:hint="eastAsia" w:asciiTheme="minorEastAsia" w:hAnsiTheme="minorEastAsia" w:eastAsiaTheme="minorEastAsia" w:cstheme="minorEastAsia"/>
          <w:b/>
          <w:bCs/>
          <w:color w:val="auto"/>
          <w:sz w:val="24"/>
          <w:lang w:val="en-US" w:eastAsia="zh-CN"/>
        </w:rPr>
        <w:t>九</w:t>
      </w:r>
      <w:r>
        <w:rPr>
          <w:rFonts w:hint="eastAsia" w:asciiTheme="minorEastAsia" w:hAnsiTheme="minorEastAsia" w:eastAsiaTheme="minorEastAsia" w:cstheme="minorEastAsia"/>
          <w:b/>
          <w:bCs/>
          <w:color w:val="auto"/>
          <w:sz w:val="24"/>
        </w:rPr>
        <w:t>、</w:t>
      </w:r>
      <w:bookmarkEnd w:id="43"/>
      <w:bookmarkEnd w:id="44"/>
      <w:r>
        <w:rPr>
          <w:rFonts w:hint="eastAsia" w:asciiTheme="minorEastAsia" w:hAnsiTheme="minorEastAsia" w:eastAsiaTheme="minorEastAsia" w:cstheme="minorEastAsia"/>
          <w:b/>
          <w:bCs/>
          <w:color w:val="auto"/>
          <w:sz w:val="24"/>
          <w:lang w:eastAsia="zh-CN"/>
        </w:rPr>
        <w:t>对本次采购提出询问、质疑、投诉，请按以下方式联系</w:t>
      </w:r>
    </w:p>
    <w:p>
      <w:pPr>
        <w:keepNext w:val="0"/>
        <w:keepLines w:val="0"/>
        <w:pageBreakBefore w:val="0"/>
        <w:widowControl w:val="0"/>
        <w:kinsoku/>
        <w:wordWrap/>
        <w:overflowPunct/>
        <w:topLinePunct w:val="0"/>
        <w:autoSpaceDE/>
        <w:autoSpaceDN/>
        <w:bidi w:val="0"/>
        <w:adjustRightInd/>
        <w:snapToGrid w:val="0"/>
        <w:spacing w:line="360" w:lineRule="auto"/>
        <w:ind w:left="0" w:leftChars="0" w:firstLine="42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hd w:val="clear" w:color="auto" w:fill="FFFFFF"/>
        </w:rPr>
        <w:t> </w:t>
      </w:r>
      <w:bookmarkStart w:id="45" w:name="_Hlk521314288"/>
      <w:r>
        <w:rPr>
          <w:rFonts w:hint="eastAsia" w:asciiTheme="minorEastAsia" w:hAnsiTheme="minorEastAsia" w:eastAsiaTheme="minorEastAsia" w:cstheme="minorEastAsia"/>
          <w:color w:val="auto"/>
          <w:sz w:val="24"/>
          <w:szCs w:val="24"/>
          <w:highlight w:val="none"/>
        </w:rPr>
        <w:t>1.采购人信息</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名    称：</w:t>
      </w:r>
      <w:r>
        <w:rPr>
          <w:rFonts w:hint="eastAsia" w:asciiTheme="minorEastAsia" w:hAnsiTheme="minorEastAsia" w:eastAsiaTheme="minorEastAsia" w:cstheme="minorEastAsia"/>
          <w:color w:val="000000" w:themeColor="text1"/>
          <w:kern w:val="1"/>
          <w:sz w:val="24"/>
          <w:szCs w:val="24"/>
          <w:highlight w:val="none"/>
          <w:lang w:eastAsia="zh-CN"/>
          <w14:textFill>
            <w14:solidFill>
              <w14:schemeClr w14:val="tx1"/>
            </w14:solidFill>
          </w14:textFill>
        </w:rPr>
        <w:t>嵊州市天伦园开发有限公司</w:t>
      </w: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地    址：</w:t>
      </w:r>
      <w:r>
        <w:rPr>
          <w:rFonts w:hint="eastAsia" w:asciiTheme="minorEastAsia" w:hAnsiTheme="minorEastAsia" w:eastAsiaTheme="minorEastAsia" w:cstheme="minorEastAsia"/>
          <w:color w:val="auto"/>
          <w:kern w:val="1"/>
          <w:sz w:val="24"/>
          <w:szCs w:val="24"/>
          <w:highlight w:val="none"/>
          <w:lang w:eastAsia="zh-CN"/>
        </w:rPr>
        <w:t>嵊州市</w:t>
      </w:r>
      <w:r>
        <w:rPr>
          <w:rFonts w:hint="default" w:asciiTheme="minorEastAsia" w:hAnsiTheme="minorEastAsia" w:eastAsiaTheme="minorEastAsia" w:cstheme="minorEastAsia"/>
          <w:color w:val="auto"/>
          <w:kern w:val="1"/>
          <w:sz w:val="24"/>
          <w:szCs w:val="24"/>
          <w:highlight w:val="none"/>
          <w:lang w:eastAsia="zh-CN"/>
        </w:rPr>
        <w:t>鹿山街道钱塘村外半塘</w:t>
      </w:r>
      <w:r>
        <w:rPr>
          <w:rFonts w:hint="eastAsia" w:asciiTheme="minorEastAsia" w:hAnsiTheme="minorEastAsia" w:eastAsiaTheme="minorEastAsia" w:cstheme="minorEastAsia"/>
          <w:color w:val="auto"/>
          <w:kern w:val="1"/>
          <w:sz w:val="24"/>
          <w:szCs w:val="24"/>
          <w:highlight w:val="none"/>
          <w:lang w:eastAsia="zh-CN"/>
        </w:rPr>
        <w:t> </w:t>
      </w: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项目联系人（询问）：</w:t>
      </w:r>
      <w:r>
        <w:rPr>
          <w:rFonts w:hint="eastAsia" w:asciiTheme="minorEastAsia" w:hAnsiTheme="minorEastAsia" w:eastAsiaTheme="minorEastAsia" w:cstheme="minorEastAsia"/>
          <w:color w:val="000000" w:themeColor="text1"/>
          <w:kern w:val="1"/>
          <w:sz w:val="24"/>
          <w:szCs w:val="24"/>
          <w:highlight w:val="none"/>
          <w:lang w:val="en-US" w:eastAsia="zh-CN"/>
          <w14:textFill>
            <w14:solidFill>
              <w14:schemeClr w14:val="tx1"/>
            </w14:solidFill>
          </w14:textFill>
        </w:rPr>
        <w:t xml:space="preserve">佳女士 </w:t>
      </w: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default" w:asciiTheme="minorEastAsia" w:hAnsiTheme="minorEastAsia" w:eastAsiaTheme="minorEastAsia" w:cstheme="minorEastAsia"/>
          <w:color w:val="000000" w:themeColor="text1"/>
          <w:kern w:val="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项目联系方式（询问）：</w:t>
      </w:r>
      <w:r>
        <w:rPr>
          <w:rFonts w:hint="eastAsia" w:asciiTheme="minorEastAsia" w:hAnsiTheme="minorEastAsia" w:eastAsiaTheme="minorEastAsia" w:cstheme="minorEastAsia"/>
          <w:color w:val="auto"/>
          <w:kern w:val="1"/>
          <w:sz w:val="24"/>
          <w:szCs w:val="24"/>
          <w:highlight w:val="none"/>
          <w:lang w:eastAsia="zh-CN"/>
        </w:rPr>
        <w:t>0575-83296708</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 xml:space="preserve">2.采购代理机构信息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lang w:eastAsia="zh-CN"/>
        </w:rPr>
      </w:pPr>
      <w:r>
        <w:rPr>
          <w:rFonts w:hint="eastAsia" w:asciiTheme="minorEastAsia" w:hAnsiTheme="minorEastAsia" w:eastAsiaTheme="minorEastAsia" w:cstheme="minorEastAsia"/>
          <w:color w:val="auto"/>
          <w:kern w:val="1"/>
          <w:sz w:val="24"/>
          <w:szCs w:val="24"/>
          <w:highlight w:val="none"/>
        </w:rPr>
        <w:t>名    称：</w:t>
      </w:r>
      <w:r>
        <w:rPr>
          <w:rFonts w:hint="eastAsia" w:asciiTheme="minorEastAsia" w:hAnsiTheme="minorEastAsia" w:eastAsiaTheme="minorEastAsia" w:cstheme="minorEastAsia"/>
          <w:color w:val="auto"/>
          <w:kern w:val="1"/>
          <w:sz w:val="24"/>
          <w:szCs w:val="24"/>
          <w:highlight w:val="none"/>
          <w:lang w:eastAsia="zh-CN"/>
        </w:rPr>
        <w:t>浙江筑脸全过程工程咨询有限公司</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地    址：</w:t>
      </w:r>
      <w:r>
        <w:rPr>
          <w:rFonts w:hint="eastAsia" w:asciiTheme="minorEastAsia" w:hAnsiTheme="minorEastAsia" w:eastAsiaTheme="minorEastAsia" w:cstheme="minorEastAsia"/>
          <w:color w:val="auto"/>
          <w:kern w:val="1"/>
          <w:sz w:val="24"/>
          <w:szCs w:val="24"/>
          <w:highlight w:val="none"/>
          <w:lang w:eastAsia="zh-CN"/>
        </w:rPr>
        <w:t>嵊州市北直街81号粮食局附楼二楼</w:t>
      </w:r>
      <w:r>
        <w:rPr>
          <w:rFonts w:hint="eastAsia" w:asciiTheme="minorEastAsia" w:hAnsiTheme="minorEastAsia" w:eastAsiaTheme="minorEastAsia" w:cstheme="minorEastAsia"/>
          <w:color w:val="auto"/>
          <w:kern w:val="1"/>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项目联系人（询问）：</w:t>
      </w:r>
      <w:r>
        <w:rPr>
          <w:rFonts w:hint="eastAsia" w:asciiTheme="minorEastAsia" w:hAnsiTheme="minorEastAsia" w:eastAsiaTheme="minorEastAsia" w:cstheme="minorEastAsia"/>
          <w:color w:val="auto"/>
          <w:kern w:val="1"/>
          <w:sz w:val="24"/>
          <w:szCs w:val="24"/>
          <w:highlight w:val="none"/>
          <w:lang w:val="en-US" w:eastAsia="zh-CN"/>
        </w:rPr>
        <w:t>金女士</w:t>
      </w:r>
      <w:r>
        <w:rPr>
          <w:rFonts w:hint="eastAsia" w:asciiTheme="minorEastAsia" w:hAnsiTheme="minorEastAsia" w:eastAsiaTheme="minorEastAsia" w:cstheme="minorEastAsia"/>
          <w:color w:val="auto"/>
          <w:kern w:val="1"/>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default" w:asciiTheme="minorEastAsia" w:hAnsiTheme="minorEastAsia" w:eastAsiaTheme="minorEastAsia" w:cstheme="minorEastAsia"/>
          <w:color w:val="auto"/>
          <w:kern w:val="1"/>
          <w:sz w:val="24"/>
          <w:szCs w:val="24"/>
          <w:highlight w:val="none"/>
          <w:lang w:val="en-US"/>
        </w:rPr>
      </w:pPr>
      <w:r>
        <w:rPr>
          <w:rFonts w:hint="eastAsia" w:asciiTheme="minorEastAsia" w:hAnsiTheme="minorEastAsia" w:eastAsiaTheme="minorEastAsia" w:cstheme="minorEastAsia"/>
          <w:color w:val="auto"/>
          <w:kern w:val="1"/>
          <w:sz w:val="24"/>
          <w:szCs w:val="24"/>
          <w:highlight w:val="none"/>
        </w:rPr>
        <w:t>项目联系方式（询问）：</w:t>
      </w:r>
      <w:r>
        <w:rPr>
          <w:rFonts w:hint="eastAsia" w:asciiTheme="minorEastAsia" w:hAnsiTheme="minorEastAsia" w:eastAsiaTheme="minorEastAsia" w:cstheme="minorEastAsia"/>
          <w:color w:val="auto"/>
          <w:kern w:val="1"/>
          <w:sz w:val="24"/>
          <w:szCs w:val="24"/>
          <w:highlight w:val="none"/>
          <w:lang w:eastAsia="zh-CN"/>
        </w:rPr>
        <w:t>0575-8</w:t>
      </w:r>
      <w:r>
        <w:rPr>
          <w:rFonts w:hint="eastAsia" w:asciiTheme="minorEastAsia" w:hAnsiTheme="minorEastAsia" w:eastAsiaTheme="minorEastAsia" w:cstheme="minorEastAsia"/>
          <w:color w:val="auto"/>
          <w:kern w:val="1"/>
          <w:sz w:val="24"/>
          <w:szCs w:val="24"/>
          <w:highlight w:val="none"/>
          <w:lang w:val="en-US" w:eastAsia="zh-CN"/>
        </w:rPr>
        <w:t>3018232</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质疑联系人：</w:t>
      </w:r>
      <w:r>
        <w:rPr>
          <w:rFonts w:hint="eastAsia" w:asciiTheme="minorEastAsia" w:hAnsiTheme="minorEastAsia" w:eastAsiaTheme="minorEastAsia" w:cstheme="minorEastAsia"/>
          <w:color w:val="auto"/>
          <w:kern w:val="1"/>
          <w:sz w:val="24"/>
          <w:szCs w:val="24"/>
          <w:highlight w:val="none"/>
          <w:lang w:val="en-US" w:eastAsia="zh-CN"/>
        </w:rPr>
        <w:t>任女士</w:t>
      </w:r>
      <w:r>
        <w:rPr>
          <w:rFonts w:hint="eastAsia" w:asciiTheme="minorEastAsia" w:hAnsiTheme="minorEastAsia" w:eastAsiaTheme="minorEastAsia" w:cstheme="minorEastAsia"/>
          <w:color w:val="auto"/>
          <w:kern w:val="1"/>
          <w:sz w:val="24"/>
          <w:szCs w:val="24"/>
          <w:highlight w:val="none"/>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default" w:asciiTheme="minorEastAsia" w:hAnsiTheme="minorEastAsia" w:eastAsiaTheme="minorEastAsia" w:cstheme="minorEastAsia"/>
          <w:color w:val="auto"/>
          <w:kern w:val="1"/>
          <w:sz w:val="24"/>
          <w:szCs w:val="24"/>
          <w:highlight w:val="none"/>
          <w:lang w:val="en-US"/>
        </w:rPr>
      </w:pPr>
      <w:r>
        <w:rPr>
          <w:rFonts w:hint="eastAsia" w:asciiTheme="minorEastAsia" w:hAnsiTheme="minorEastAsia" w:eastAsiaTheme="minorEastAsia" w:cstheme="minorEastAsia"/>
          <w:color w:val="auto"/>
          <w:kern w:val="1"/>
          <w:sz w:val="24"/>
          <w:szCs w:val="24"/>
          <w:highlight w:val="none"/>
        </w:rPr>
        <w:t>质疑联系方式：</w:t>
      </w:r>
      <w:r>
        <w:rPr>
          <w:rFonts w:hint="eastAsia" w:asciiTheme="minorEastAsia" w:hAnsiTheme="minorEastAsia" w:eastAsiaTheme="minorEastAsia" w:cstheme="minorEastAsia"/>
          <w:color w:val="auto"/>
          <w:kern w:val="1"/>
          <w:sz w:val="24"/>
          <w:szCs w:val="24"/>
          <w:highlight w:val="none"/>
          <w:lang w:eastAsia="zh-CN"/>
        </w:rPr>
        <w:t>0575-8</w:t>
      </w:r>
      <w:r>
        <w:rPr>
          <w:rFonts w:hint="eastAsia" w:asciiTheme="minorEastAsia" w:hAnsiTheme="minorEastAsia" w:eastAsiaTheme="minorEastAsia" w:cstheme="minorEastAsia"/>
          <w:color w:val="auto"/>
          <w:kern w:val="1"/>
          <w:sz w:val="24"/>
          <w:szCs w:val="24"/>
          <w:highlight w:val="none"/>
          <w:lang w:val="en-US" w:eastAsia="zh-CN"/>
        </w:rPr>
        <w:t>3018232</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 xml:space="preserve">3.同级采购监督管理部门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pPr>
      <w:r>
        <w:rPr>
          <w:rFonts w:hint="eastAsia" w:asciiTheme="minorEastAsia" w:hAnsiTheme="minorEastAsia" w:eastAsiaTheme="minorEastAsia" w:cstheme="minorEastAsia"/>
          <w:color w:val="auto"/>
          <w:kern w:val="1"/>
          <w:sz w:val="24"/>
          <w:szCs w:val="24"/>
          <w:highlight w:val="none"/>
        </w:rPr>
        <w:t>名    称：</w:t>
      </w:r>
      <w:r>
        <w:rPr>
          <w:rFonts w:hint="eastAsia" w:asciiTheme="minorEastAsia" w:hAnsiTheme="minorEastAsia" w:eastAsiaTheme="minorEastAsia" w:cstheme="minorEastAsia"/>
          <w:color w:val="auto"/>
          <w:kern w:val="1"/>
          <w:sz w:val="24"/>
          <w:szCs w:val="24"/>
          <w:highlight w:val="none"/>
          <w:lang w:val="en-US" w:eastAsia="zh-CN"/>
        </w:rPr>
        <w:t>嵊州市民政局</w:t>
      </w: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kern w:val="1"/>
          <w:sz w:val="24"/>
          <w:szCs w:val="24"/>
          <w:highlight w:val="none"/>
          <w:lang w:eastAsia="zh-CN"/>
          <w14:textFill>
            <w14:solidFill>
              <w14:schemeClr w14:val="tx1"/>
            </w14:solidFill>
          </w14:textFill>
        </w:rPr>
        <w:t> </w:t>
      </w:r>
      <w:r>
        <w:rPr>
          <w:rFonts w:hint="eastAsia" w:asciiTheme="minorEastAsia" w:hAnsiTheme="minorEastAsia" w:eastAsiaTheme="minorEastAsia" w:cstheme="minorEastAsia"/>
          <w:color w:val="000000" w:themeColor="text1"/>
          <w:kern w:val="1"/>
          <w:sz w:val="24"/>
          <w:szCs w:val="24"/>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default" w:asciiTheme="minorEastAsia" w:hAnsiTheme="minorEastAsia" w:eastAsiaTheme="minorEastAsia" w:cstheme="minorEastAsia"/>
          <w:color w:val="auto"/>
          <w:kern w:val="1"/>
          <w:sz w:val="24"/>
          <w:szCs w:val="24"/>
          <w:highlight w:val="none"/>
          <w:lang w:val="en-US" w:eastAsia="zh-CN"/>
        </w:rPr>
      </w:pPr>
      <w:r>
        <w:rPr>
          <w:rFonts w:hint="eastAsia" w:asciiTheme="minorEastAsia" w:hAnsiTheme="minorEastAsia" w:eastAsiaTheme="minorEastAsia" w:cstheme="minorEastAsia"/>
          <w:color w:val="auto"/>
          <w:kern w:val="1"/>
          <w:sz w:val="24"/>
          <w:szCs w:val="24"/>
          <w:highlight w:val="none"/>
        </w:rPr>
        <w:t>质疑联系人：</w:t>
      </w:r>
      <w:r>
        <w:rPr>
          <w:rFonts w:hint="eastAsia" w:asciiTheme="minorEastAsia" w:hAnsiTheme="minorEastAsia" w:eastAsiaTheme="minorEastAsia" w:cstheme="minorEastAsia"/>
          <w:color w:val="auto"/>
          <w:kern w:val="1"/>
          <w:sz w:val="24"/>
          <w:szCs w:val="24"/>
          <w:highlight w:val="none"/>
          <w:lang w:val="en-US" w:eastAsia="zh-CN"/>
        </w:rPr>
        <w:t>喻先生</w:t>
      </w:r>
    </w:p>
    <w:p>
      <w:pPr>
        <w:keepNext w:val="0"/>
        <w:keepLines w:val="0"/>
        <w:pageBreakBefore w:val="0"/>
        <w:widowControl w:val="0"/>
        <w:kinsoku/>
        <w:wordWrap/>
        <w:overflowPunct/>
        <w:topLinePunct w:val="0"/>
        <w:autoSpaceDE/>
        <w:autoSpaceDN/>
        <w:bidi w:val="0"/>
        <w:adjustRightInd/>
        <w:snapToGrid w:val="0"/>
        <w:spacing w:line="360" w:lineRule="auto"/>
        <w:ind w:left="0" w:firstLine="480"/>
        <w:textAlignment w:val="auto"/>
        <w:outlineLvl w:val="9"/>
        <w:rPr>
          <w:rFonts w:hint="default" w:asciiTheme="minorEastAsia" w:hAnsiTheme="minorEastAsia" w:eastAsiaTheme="minorEastAsia" w:cstheme="minorEastAsia"/>
          <w:color w:val="auto"/>
          <w:kern w:val="1"/>
          <w:sz w:val="24"/>
          <w:szCs w:val="24"/>
          <w:highlight w:val="none"/>
          <w:lang w:val="en-US" w:eastAsia="zh-CN"/>
        </w:rPr>
      </w:pPr>
      <w:r>
        <w:rPr>
          <w:rFonts w:hint="eastAsia" w:asciiTheme="minorEastAsia" w:hAnsiTheme="minorEastAsia" w:eastAsiaTheme="minorEastAsia" w:cstheme="minorEastAsia"/>
          <w:color w:val="auto"/>
          <w:kern w:val="1"/>
          <w:sz w:val="24"/>
          <w:szCs w:val="24"/>
          <w:highlight w:val="none"/>
        </w:rPr>
        <w:t>联系电话：</w:t>
      </w:r>
      <w:r>
        <w:rPr>
          <w:rFonts w:hint="eastAsia" w:asciiTheme="minorEastAsia" w:hAnsiTheme="minorEastAsia" w:eastAsiaTheme="minorEastAsia" w:cstheme="minorEastAsia"/>
          <w:color w:val="auto"/>
          <w:kern w:val="1"/>
          <w:sz w:val="24"/>
          <w:szCs w:val="24"/>
          <w:highlight w:val="none"/>
          <w:lang w:val="en-US" w:eastAsia="zh-CN"/>
        </w:rPr>
        <w:t>0575-83290258</w:t>
      </w:r>
    </w:p>
    <w:bookmarkEnd w:id="45"/>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color w:val="auto"/>
          <w:kern w:val="1"/>
          <w:sz w:val="24"/>
          <w:szCs w:val="24"/>
          <w:highlight w:val="yellow"/>
        </w:rPr>
      </w:pP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0"/>
        <w:textAlignment w:val="auto"/>
        <w:outlineLvl w:val="9"/>
        <w:rPr>
          <w:rFonts w:hint="eastAsia" w:asciiTheme="minorEastAsia" w:hAnsiTheme="minorEastAsia" w:eastAsiaTheme="minorEastAsia" w:cstheme="minorEastAsia"/>
          <w:color w:val="auto"/>
          <w:kern w:val="1"/>
          <w:sz w:val="24"/>
          <w:szCs w:val="24"/>
          <w:highlight w:val="none"/>
        </w:rPr>
      </w:pPr>
      <w:r>
        <w:rPr>
          <w:rFonts w:hint="eastAsia" w:asciiTheme="minorEastAsia" w:hAnsiTheme="minorEastAsia" w:eastAsiaTheme="minorEastAsia" w:cstheme="minorEastAsia"/>
          <w:color w:val="auto"/>
          <w:kern w:val="1"/>
          <w:sz w:val="24"/>
          <w:szCs w:val="24"/>
          <w:highlight w:val="none"/>
        </w:rPr>
        <w:t>若对项目采购电子交易系统操作有疑问，可登录</w:t>
      </w:r>
      <w:r>
        <w:rPr>
          <w:rFonts w:hint="eastAsia" w:asciiTheme="minorEastAsia" w:hAnsiTheme="minorEastAsia" w:eastAsiaTheme="minorEastAsia" w:cstheme="minorEastAsia"/>
          <w:color w:val="auto"/>
          <w:kern w:val="1"/>
          <w:sz w:val="24"/>
          <w:szCs w:val="24"/>
          <w:highlight w:val="none"/>
          <w:lang w:eastAsia="zh-CN"/>
        </w:rPr>
        <w:t>乐采云</w:t>
      </w:r>
      <w:r>
        <w:rPr>
          <w:rFonts w:hint="eastAsia" w:asciiTheme="minorEastAsia" w:hAnsiTheme="minorEastAsia" w:eastAsiaTheme="minorEastAsia" w:cstheme="minorEastAsia"/>
          <w:color w:val="auto"/>
          <w:kern w:val="1"/>
          <w:sz w:val="24"/>
          <w:szCs w:val="24"/>
          <w:highlight w:val="none"/>
        </w:rPr>
        <w:t>（https://www.lecaiyun.com/），点击右侧咨询小采，获取采小蜜智能服务管家帮助，或拨打</w:t>
      </w:r>
      <w:r>
        <w:rPr>
          <w:rFonts w:hint="eastAsia" w:asciiTheme="minorEastAsia" w:hAnsiTheme="minorEastAsia" w:eastAsiaTheme="minorEastAsia" w:cstheme="minorEastAsia"/>
          <w:color w:val="auto"/>
          <w:kern w:val="1"/>
          <w:sz w:val="24"/>
          <w:szCs w:val="24"/>
          <w:highlight w:val="none"/>
          <w:lang w:eastAsia="zh-CN"/>
        </w:rPr>
        <w:t>乐采云</w:t>
      </w:r>
      <w:r>
        <w:rPr>
          <w:rFonts w:hint="eastAsia" w:asciiTheme="minorEastAsia" w:hAnsiTheme="minorEastAsia" w:eastAsiaTheme="minorEastAsia" w:cstheme="minorEastAsia"/>
          <w:color w:val="auto"/>
          <w:kern w:val="1"/>
          <w:sz w:val="24"/>
          <w:szCs w:val="24"/>
          <w:highlight w:val="none"/>
        </w:rPr>
        <w:t>服务热线</w:t>
      </w:r>
      <w:r>
        <w:rPr>
          <w:rFonts w:hint="eastAsia" w:asciiTheme="minorEastAsia" w:hAnsiTheme="minorEastAsia" w:eastAsiaTheme="minorEastAsia" w:cstheme="minorEastAsia"/>
          <w:color w:val="auto"/>
          <w:kern w:val="1"/>
          <w:sz w:val="24"/>
          <w:szCs w:val="24"/>
          <w:highlight w:val="none"/>
          <w:lang w:val="en-US" w:eastAsia="zh-CN"/>
        </w:rPr>
        <w:t>95763</w:t>
      </w:r>
      <w:r>
        <w:rPr>
          <w:rFonts w:hint="eastAsia" w:asciiTheme="minorEastAsia" w:hAnsiTheme="minorEastAsia" w:eastAsiaTheme="minorEastAsia" w:cstheme="minorEastAsia"/>
          <w:color w:val="auto"/>
          <w:kern w:val="1"/>
          <w:sz w:val="24"/>
          <w:szCs w:val="24"/>
          <w:highlight w:val="none"/>
        </w:rPr>
        <w:t>获取热线服务帮助。</w:t>
      </w:r>
    </w:p>
    <w:p>
      <w:pPr>
        <w:widowControl/>
        <w:spacing w:line="360" w:lineRule="auto"/>
        <w:jc w:val="left"/>
        <w:outlineLvl w:val="9"/>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val="0"/>
          <w:bCs/>
          <w:color w:val="auto"/>
          <w:kern w:val="1"/>
          <w:sz w:val="24"/>
          <w:szCs w:val="24"/>
          <w:highlight w:val="none"/>
        </w:rPr>
        <w:t>CA问题联系电话（人工）：汇信CA 400-888-4636；天谷CA 400-087-8198</w:t>
      </w:r>
      <w:r>
        <w:rPr>
          <w:rFonts w:hint="eastAsia" w:asciiTheme="minorEastAsia" w:hAnsiTheme="minorEastAsia" w:eastAsiaTheme="minorEastAsia" w:cstheme="minorEastAsia"/>
          <w:b w:val="0"/>
          <w:bCs/>
          <w:color w:val="auto"/>
          <w:kern w:val="1"/>
          <w:sz w:val="24"/>
          <w:szCs w:val="24"/>
          <w:highlight w:val="none"/>
          <w:lang w:eastAsia="zh-CN"/>
        </w:rPr>
        <w:t>。</w:t>
      </w:r>
      <w:r>
        <w:rPr>
          <w:rFonts w:hint="eastAsia" w:asciiTheme="minorEastAsia" w:hAnsiTheme="minorEastAsia" w:eastAsiaTheme="minorEastAsia" w:cstheme="minorEastAsia"/>
          <w:b/>
          <w:color w:val="auto"/>
          <w:sz w:val="36"/>
          <w:szCs w:val="36"/>
        </w:rPr>
        <w:br w:type="page"/>
      </w:r>
    </w:p>
    <w:p>
      <w:pPr>
        <w:pStyle w:val="30"/>
        <w:spacing w:beforeLines="0" w:afterLines="0" w:line="360" w:lineRule="auto"/>
        <w:jc w:val="center"/>
        <w:outlineLvl w:val="0"/>
        <w:rPr>
          <w:rFonts w:hint="eastAsia" w:asciiTheme="minorEastAsia" w:hAnsiTheme="minorEastAsia" w:eastAsiaTheme="minorEastAsia" w:cstheme="minorEastAsia"/>
          <w:b/>
          <w:color w:val="auto"/>
          <w:sz w:val="36"/>
          <w:szCs w:val="36"/>
        </w:rPr>
      </w:pPr>
      <w:bookmarkStart w:id="46" w:name="_Toc27907"/>
      <w:r>
        <w:rPr>
          <w:rFonts w:hint="eastAsia" w:asciiTheme="minorEastAsia" w:hAnsiTheme="minorEastAsia" w:eastAsiaTheme="minorEastAsia" w:cstheme="minorEastAsia"/>
          <w:b/>
          <w:color w:val="auto"/>
          <w:sz w:val="36"/>
          <w:szCs w:val="36"/>
        </w:rPr>
        <w:t>第二章  响应方须知</w:t>
      </w:r>
      <w:bookmarkEnd w:id="13"/>
      <w:bookmarkEnd w:id="46"/>
    </w:p>
    <w:p>
      <w:pPr>
        <w:snapToGrid w:val="0"/>
        <w:spacing w:line="360" w:lineRule="auto"/>
        <w:ind w:firstLine="281" w:firstLineChars="100"/>
        <w:jc w:val="center"/>
        <w:outlineLvl w:val="1"/>
        <w:rPr>
          <w:rFonts w:hint="eastAsia" w:asciiTheme="minorEastAsia" w:hAnsiTheme="minorEastAsia" w:eastAsiaTheme="minorEastAsia" w:cstheme="minorEastAsia"/>
          <w:b/>
          <w:color w:val="auto"/>
          <w:sz w:val="28"/>
          <w:szCs w:val="28"/>
        </w:rPr>
      </w:pPr>
      <w:bookmarkStart w:id="47" w:name="_Toc21556"/>
      <w:r>
        <w:rPr>
          <w:rFonts w:hint="eastAsia" w:asciiTheme="minorEastAsia" w:hAnsiTheme="minorEastAsia" w:eastAsiaTheme="minorEastAsia" w:cstheme="minorEastAsia"/>
          <w:b/>
          <w:color w:val="auto"/>
          <w:sz w:val="28"/>
          <w:szCs w:val="28"/>
        </w:rPr>
        <w:t>前附表</w:t>
      </w:r>
      <w:bookmarkEnd w:id="47"/>
    </w:p>
    <w:tbl>
      <w:tblPr>
        <w:tblStyle w:val="55"/>
        <w:tblW w:w="9667" w:type="dxa"/>
        <w:tblInd w:w="-27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
        <w:gridCol w:w="1532"/>
        <w:gridCol w:w="728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2" w:type="dxa"/>
            <w:tcBorders>
              <w:top w:val="single" w:color="000000" w:sz="4" w:space="0"/>
              <w:bottom w:val="single" w:color="000000"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序号</w:t>
            </w:r>
          </w:p>
        </w:tc>
        <w:tc>
          <w:tcPr>
            <w:tcW w:w="1532" w:type="dxa"/>
            <w:tcBorders>
              <w:top w:val="single" w:color="000000" w:sz="4" w:space="0"/>
              <w:left w:val="single" w:color="auto" w:sz="4" w:space="0"/>
              <w:bottom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名目</w:t>
            </w:r>
          </w:p>
        </w:tc>
        <w:tc>
          <w:tcPr>
            <w:tcW w:w="7283" w:type="dxa"/>
            <w:tcBorders>
              <w:top w:val="single" w:color="000000" w:sz="4" w:space="0"/>
              <w:left w:val="single" w:color="auto" w:sz="4" w:space="0"/>
              <w:bottom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内容规定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852" w:type="dxa"/>
            <w:tcBorders>
              <w:top w:val="single" w:color="000000"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1532" w:type="dxa"/>
            <w:tcBorders>
              <w:top w:val="single" w:color="000000" w:sz="4" w:space="0"/>
              <w:left w:val="single" w:color="auto" w:sz="4" w:space="0"/>
              <w:bottom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项目名称</w:t>
            </w:r>
          </w:p>
        </w:tc>
        <w:tc>
          <w:tcPr>
            <w:tcW w:w="7283" w:type="dxa"/>
            <w:tcBorders>
              <w:top w:val="single" w:color="000000" w:sz="4" w:space="0"/>
              <w:left w:val="single" w:color="auto" w:sz="4" w:space="0"/>
              <w:bottom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both"/>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嵊州市殡仪馆改扩建工程环境监测服务项目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52" w:type="dxa"/>
            <w:tcBorders>
              <w:top w:val="single" w:color="000000"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1532" w:type="dxa"/>
            <w:tcBorders>
              <w:top w:val="single" w:color="000000" w:sz="4" w:space="0"/>
              <w:left w:val="single" w:color="000000" w:sz="4" w:space="0"/>
              <w:bottom w:val="single" w:color="auto"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采购人</w:t>
            </w:r>
          </w:p>
        </w:tc>
        <w:tc>
          <w:tcPr>
            <w:tcW w:w="7283" w:type="dxa"/>
            <w:tcBorders>
              <w:top w:val="single" w:color="000000" w:sz="4" w:space="0"/>
              <w:left w:val="single" w:color="auto" w:sz="4" w:space="0"/>
              <w:bottom w:val="single" w:color="auto"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pacing w:line="440" w:lineRule="exact"/>
              <w:ind w:left="0" w:leftChars="0" w:firstLine="0" w:firstLineChars="0"/>
              <w:jc w:val="left"/>
              <w:textAlignment w:val="bottom"/>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lang w:eastAsia="zh-CN"/>
              </w:rPr>
              <w:t>嵊州市天伦园开发有限公司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2" w:type="dxa"/>
            <w:tcBorders>
              <w:top w:val="single" w:color="000000"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1532" w:type="dxa"/>
            <w:tcBorders>
              <w:top w:val="single" w:color="000000" w:sz="4" w:space="0"/>
              <w:left w:val="single" w:color="000000" w:sz="4" w:space="0"/>
              <w:bottom w:val="single" w:color="auto"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磋商报价</w:t>
            </w:r>
          </w:p>
        </w:tc>
        <w:tc>
          <w:tcPr>
            <w:tcW w:w="7283" w:type="dxa"/>
            <w:tcBorders>
              <w:top w:val="single" w:color="000000" w:sz="4" w:space="0"/>
              <w:left w:val="single" w:color="auto" w:sz="4" w:space="0"/>
              <w:bottom w:val="single" w:color="auto" w:sz="4" w:space="0"/>
              <w:right w:val="single" w:color="000000"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1.本项目磋商应以人民币报价；</w:t>
            </w:r>
          </w:p>
          <w:p>
            <w:pPr>
              <w:keepNext w:val="0"/>
              <w:keepLines w:val="0"/>
              <w:pageBreakBefore w:val="0"/>
              <w:kinsoku/>
              <w:wordWrap/>
              <w:overflowPunct/>
              <w:topLinePunct w:val="0"/>
              <w:bidi w:val="0"/>
              <w:adjustRightInd/>
              <w:snapToGrid w:val="0"/>
              <w:spacing w:line="440" w:lineRule="exact"/>
              <w:ind w:left="0" w:leftChars="0" w:firstLine="0" w:firstLineChars="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2.不论投标结果如何，磋商响应方均应自行承担所有与投标有关的全部费用。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2" w:type="dxa"/>
            <w:tcBorders>
              <w:top w:val="single" w:color="000000" w:sz="4" w:space="0"/>
              <w:bottom w:val="single" w:color="000000"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4</w:t>
            </w:r>
          </w:p>
        </w:tc>
        <w:tc>
          <w:tcPr>
            <w:tcW w:w="1532" w:type="dxa"/>
            <w:tcBorders>
              <w:top w:val="single" w:color="000000" w:sz="4" w:space="0"/>
              <w:left w:val="single" w:color="000000" w:sz="4" w:space="0"/>
              <w:bottom w:val="single" w:color="auto"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响应有效期</w:t>
            </w:r>
          </w:p>
        </w:tc>
        <w:tc>
          <w:tcPr>
            <w:tcW w:w="7283" w:type="dxa"/>
            <w:tcBorders>
              <w:top w:val="single" w:color="000000" w:sz="4" w:space="0"/>
              <w:left w:val="single" w:color="auto"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自磋商响应截止日起90天内磋商响应文件应保持有效。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2" w:type="dxa"/>
            <w:tcBorders>
              <w:top w:val="single" w:color="000000" w:sz="4" w:space="0"/>
              <w:bottom w:val="single" w:color="000000"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5</w:t>
            </w:r>
          </w:p>
        </w:tc>
        <w:tc>
          <w:tcPr>
            <w:tcW w:w="1532" w:type="dxa"/>
            <w:tcBorders>
              <w:top w:val="single" w:color="000000" w:sz="4" w:space="0"/>
              <w:left w:val="single" w:color="000000" w:sz="4" w:space="0"/>
              <w:bottom w:val="single" w:color="auto" w:sz="4" w:space="0"/>
              <w:right w:val="single" w:color="auto"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信用记录</w:t>
            </w:r>
          </w:p>
        </w:tc>
        <w:tc>
          <w:tcPr>
            <w:tcW w:w="7283" w:type="dxa"/>
            <w:tcBorders>
              <w:top w:val="single" w:color="000000" w:sz="4" w:space="0"/>
              <w:left w:val="single" w:color="auto"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根据财库[2016]125号文件，通过“信用中国”网站（www.creditchina.gov.cn）、中国政府采购网（www.ccgp.gov.cn），以磋商当日网页查询记录为准。对列入失信被执行人、重大税收违法案件当事人名单、政府采购严重违法失信行为记录名单的供应商，</w:t>
            </w:r>
            <w:r>
              <w:rPr>
                <w:rFonts w:hint="eastAsia" w:asciiTheme="minorEastAsia" w:hAnsiTheme="minorEastAsia" w:eastAsiaTheme="minorEastAsia" w:cstheme="minorEastAsia"/>
                <w:b/>
                <w:color w:val="auto"/>
                <w:sz w:val="24"/>
                <w:szCs w:val="24"/>
              </w:rPr>
              <w:t>其响应将作无效标处理</w:t>
            </w:r>
            <w:r>
              <w:rPr>
                <w:rFonts w:hint="eastAsia" w:asciiTheme="minorEastAsia" w:hAnsiTheme="minorEastAsia" w:eastAsiaTheme="minorEastAsia" w:cstheme="minorEastAsia"/>
                <w:color w:val="auto"/>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2" w:type="dxa"/>
            <w:tcBorders>
              <w:top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6</w:t>
            </w:r>
          </w:p>
        </w:tc>
        <w:tc>
          <w:tcPr>
            <w:tcW w:w="1532" w:type="dxa"/>
            <w:tcBorders>
              <w:top w:val="single" w:color="000000"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spacing w:line="440" w:lineRule="exact"/>
              <w:ind w:left="0" w:leftChars="0" w:firstLine="0" w:firstLineChars="0"/>
              <w:jc w:val="center"/>
              <w:outlineLvl w:val="9"/>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转包与分包</w:t>
            </w:r>
          </w:p>
        </w:tc>
        <w:tc>
          <w:tcPr>
            <w:tcW w:w="7283" w:type="dxa"/>
            <w:tcBorders>
              <w:top w:val="single" w:color="000000" w:sz="4" w:space="0"/>
              <w:left w:val="single" w:color="auto" w:sz="4" w:space="0"/>
              <w:bottom w:val="single" w:color="auto" w:sz="4" w:space="0"/>
              <w:right w:val="single" w:color="000000"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w:t>
            </w:r>
            <w:r>
              <w:rPr>
                <w:rFonts w:hint="eastAsia" w:asciiTheme="minorEastAsia" w:hAnsiTheme="minorEastAsia" w:eastAsiaTheme="minorEastAsia" w:cstheme="minorEastAsia"/>
                <w:color w:val="auto"/>
                <w:sz w:val="24"/>
                <w:szCs w:val="24"/>
              </w:rPr>
              <w:t>不允许；</w:t>
            </w:r>
          </w:p>
          <w:p>
            <w:pPr>
              <w:keepNext w:val="0"/>
              <w:keepLines w:val="0"/>
              <w:pageBreakBefore w:val="0"/>
              <w:kinsoku/>
              <w:wordWrap/>
              <w:overflowPunct/>
              <w:topLinePunct w:val="0"/>
              <w:bidi w:val="0"/>
              <w:adjustRightInd/>
              <w:snapToGrid w:val="0"/>
              <w:spacing w:line="440" w:lineRule="exact"/>
              <w:ind w:left="0" w:leftChars="0" w:firstLine="0" w:firstLineChars="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w:t>
            </w:r>
            <w:r>
              <w:rPr>
                <w:rFonts w:hint="eastAsia" w:asciiTheme="minorEastAsia" w:hAnsiTheme="minorEastAsia" w:eastAsiaTheme="minorEastAsia" w:cstheme="minorEastAsia"/>
                <w:color w:val="auto"/>
                <w:sz w:val="24"/>
                <w:szCs w:val="24"/>
              </w:rPr>
              <w:t>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852" w:type="dxa"/>
            <w:tcBorders>
              <w:top w:val="single" w:color="000000"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9</w:t>
            </w:r>
          </w:p>
        </w:tc>
        <w:tc>
          <w:tcPr>
            <w:tcW w:w="1532" w:type="dxa"/>
            <w:tcBorders>
              <w:top w:val="single" w:color="auto" w:sz="4" w:space="0"/>
              <w:left w:val="single" w:color="000000" w:sz="4" w:space="0"/>
              <w:bottom w:val="single" w:color="000000" w:sz="4" w:space="0"/>
              <w:right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现场踏勘</w:t>
            </w:r>
          </w:p>
        </w:tc>
        <w:tc>
          <w:tcPr>
            <w:tcW w:w="7283" w:type="dxa"/>
            <w:tcBorders>
              <w:top w:val="single" w:color="auto" w:sz="4" w:space="0"/>
              <w:left w:val="single" w:color="auto" w:sz="4" w:space="0"/>
              <w:bottom w:val="single" w:color="000000" w:sz="4" w:space="0"/>
            </w:tcBorders>
            <w:vAlign w:val="center"/>
          </w:tcPr>
          <w:p>
            <w:pPr>
              <w:keepNext w:val="0"/>
              <w:keepLines w:val="0"/>
              <w:pageBreakBefore w:val="0"/>
              <w:widowControl/>
              <w:kinsoku/>
              <w:wordWrap/>
              <w:overflowPunct/>
              <w:topLinePunct w:val="0"/>
              <w:bidi w:val="0"/>
              <w:adjustRightInd/>
              <w:spacing w:line="440" w:lineRule="exact"/>
              <w:ind w:left="0" w:leftChars="0" w:firstLine="0" w:firstLineChars="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rPr>
              <w:t>自行前往现场踏勘，因自身原因未进行实地踏勘的，成交后签订合同时和履约过程中，不得以不完全了解现场情况为由，提出任何形式的增加合同外造价或索赔的要求。</w:t>
            </w:r>
            <w:r>
              <w:rPr>
                <w:rFonts w:hint="eastAsia" w:asciiTheme="minorEastAsia" w:hAnsiTheme="minorEastAsia" w:eastAsiaTheme="minorEastAsia" w:cstheme="minorEastAsia"/>
                <w:color w:val="auto"/>
                <w:kern w:val="0"/>
                <w:sz w:val="24"/>
                <w:szCs w:val="24"/>
                <w:highlight w:val="none"/>
              </w:rPr>
              <w:t>踏勘期间发生的费用或意外导致伤亡等一切责任和损失均由</w:t>
            </w:r>
            <w:r>
              <w:rPr>
                <w:rFonts w:hint="eastAsia" w:asciiTheme="minorEastAsia" w:hAnsiTheme="minorEastAsia" w:eastAsiaTheme="minorEastAsia" w:cstheme="minorEastAsia"/>
                <w:color w:val="auto"/>
                <w:kern w:val="0"/>
                <w:sz w:val="24"/>
                <w:szCs w:val="24"/>
                <w:highlight w:val="none"/>
                <w:lang w:val="en-US" w:eastAsia="zh-CN"/>
              </w:rPr>
              <w:t>供应商</w:t>
            </w:r>
            <w:r>
              <w:rPr>
                <w:rFonts w:hint="eastAsia" w:asciiTheme="minorEastAsia" w:hAnsiTheme="minorEastAsia" w:eastAsiaTheme="minorEastAsia" w:cstheme="minorEastAsia"/>
                <w:color w:val="auto"/>
                <w:kern w:val="0"/>
                <w:sz w:val="24"/>
                <w:szCs w:val="24"/>
                <w:highlight w:val="none"/>
              </w:rPr>
              <w:t>自负</w:t>
            </w:r>
            <w:r>
              <w:rPr>
                <w:rFonts w:hint="eastAsia" w:asciiTheme="minorEastAsia" w:hAnsiTheme="minorEastAsia" w:eastAsiaTheme="minorEastAsia" w:cstheme="minorEastAsia"/>
                <w:color w:val="auto"/>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852" w:type="dxa"/>
            <w:tcBorders>
              <w:top w:val="single" w:color="000000"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10</w:t>
            </w:r>
          </w:p>
        </w:tc>
        <w:tc>
          <w:tcPr>
            <w:tcW w:w="1532" w:type="dxa"/>
            <w:tcBorders>
              <w:top w:val="single" w:color="auto" w:sz="4" w:space="0"/>
              <w:left w:val="single" w:color="000000" w:sz="4" w:space="0"/>
              <w:bottom w:val="single" w:color="000000" w:sz="4" w:space="0"/>
              <w:right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磋商响应文件的形式</w:t>
            </w:r>
          </w:p>
        </w:tc>
        <w:tc>
          <w:tcPr>
            <w:tcW w:w="7283" w:type="dxa"/>
            <w:tcBorders>
              <w:top w:val="single" w:color="auto" w:sz="4" w:space="0"/>
              <w:left w:val="single" w:color="auto" w:sz="4" w:space="0"/>
              <w:bottom w:val="single" w:color="000000" w:sz="4" w:space="0"/>
            </w:tcBorders>
            <w:vAlign w:val="center"/>
          </w:tcPr>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电子磋商响应文件（包括“电子加密磋商响应文件”和“备份磋商响应文件”，在磋商响应文件编制完成后同时生成）；</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（1）“电子加密磋商响应文件”是指通过“</w:t>
            </w:r>
            <w:r>
              <w:rPr>
                <w:rFonts w:hint="eastAsia" w:asciiTheme="minorEastAsia" w:hAnsiTheme="minorEastAsia" w:eastAsiaTheme="minorEastAsia" w:cstheme="minorEastAsia"/>
                <w:color w:val="auto"/>
                <w:kern w:val="0"/>
                <w:sz w:val="24"/>
                <w:szCs w:val="24"/>
                <w:highlight w:val="none"/>
                <w:lang w:val="en-US" w:eastAsia="zh-CN"/>
              </w:rPr>
              <w:t>乐</w:t>
            </w:r>
            <w:r>
              <w:rPr>
                <w:rFonts w:hint="eastAsia" w:asciiTheme="minorEastAsia" w:hAnsiTheme="minorEastAsia" w:eastAsiaTheme="minorEastAsia" w:cstheme="minorEastAsia"/>
                <w:color w:val="auto"/>
                <w:kern w:val="0"/>
                <w:sz w:val="24"/>
                <w:szCs w:val="24"/>
                <w:highlight w:val="none"/>
              </w:rPr>
              <w:t>采云电子交易客户端</w:t>
            </w:r>
            <w:r>
              <w:rPr>
                <w:rFonts w:hint="eastAsia" w:asciiTheme="minorEastAsia" w:hAnsiTheme="minorEastAsia" w:eastAsiaTheme="minorEastAsia" w:cstheme="minorEastAsia"/>
                <w:color w:val="auto"/>
                <w:sz w:val="24"/>
                <w:szCs w:val="24"/>
              </w:rPr>
              <w:t>”完成磋商响应文件编制后生成并加密的数据电文形式的磋商响应文件。</w:t>
            </w:r>
          </w:p>
          <w:p>
            <w:pPr>
              <w:keepNext w:val="0"/>
              <w:keepLines w:val="0"/>
              <w:pageBreakBefore w:val="0"/>
              <w:widowControl/>
              <w:kinsoku/>
              <w:wordWrap/>
              <w:overflowPunct/>
              <w:topLinePunct w:val="0"/>
              <w:bidi w:val="0"/>
              <w:adjustRightInd/>
              <w:spacing w:line="440" w:lineRule="exact"/>
              <w:ind w:left="0" w:leftChars="0" w:firstLine="0" w:firstLineChars="0"/>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sz w:val="24"/>
                <w:szCs w:val="24"/>
              </w:rPr>
              <w:t>（2）“备份磋商响应文件”是指与“电子加密磋商响应文件”同时生成的数据电文形式的电子文件（备份标书），其他方式编制的备份磋商响应文件视为无效备份磋商响应文件。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852" w:type="dxa"/>
            <w:tcBorders>
              <w:top w:val="single" w:color="000000" w:sz="4" w:space="0"/>
              <w:bottom w:val="single" w:color="auto"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1</w:t>
            </w:r>
          </w:p>
        </w:tc>
        <w:tc>
          <w:tcPr>
            <w:tcW w:w="1532" w:type="dxa"/>
            <w:tcBorders>
              <w:top w:val="single" w:color="auto" w:sz="4" w:space="0"/>
              <w:left w:val="single" w:color="000000" w:sz="4" w:space="0"/>
              <w:bottom w:val="single" w:color="000000" w:sz="4" w:space="0"/>
              <w:right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磋商响应文件份数</w:t>
            </w:r>
          </w:p>
        </w:tc>
        <w:tc>
          <w:tcPr>
            <w:tcW w:w="7283" w:type="dxa"/>
            <w:tcBorders>
              <w:top w:val="single" w:color="auto" w:sz="4" w:space="0"/>
              <w:left w:val="single" w:color="auto" w:sz="4" w:space="0"/>
              <w:bottom w:val="single" w:color="000000" w:sz="4" w:space="0"/>
            </w:tcBorders>
            <w:vAlign w:val="center"/>
          </w:tcPr>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（1）“电子加密磋商响应文件”：在线上传递交、一份。</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（2）“备份磋商响应文件”：密封包装后（EMS、顺丰邮寄形式）磋商响应截止时间前递交、一份（邮寄地址：</w:t>
            </w:r>
            <w:r>
              <w:rPr>
                <w:rFonts w:hint="eastAsia" w:asciiTheme="minorEastAsia" w:hAnsiTheme="minorEastAsia" w:eastAsiaTheme="minorEastAsia" w:cstheme="minorEastAsia"/>
                <w:bCs/>
                <w:color w:val="auto"/>
                <w:kern w:val="0"/>
                <w:sz w:val="24"/>
                <w:szCs w:val="24"/>
                <w:lang w:eastAsia="zh-CN"/>
              </w:rPr>
              <w:t>嵊州市北直街81号粮食局附楼二楼</w:t>
            </w:r>
            <w:r>
              <w:rPr>
                <w:rFonts w:hint="eastAsia" w:asciiTheme="minorEastAsia" w:hAnsiTheme="minorEastAsia" w:eastAsiaTheme="minorEastAsia" w:cstheme="minorEastAsia"/>
                <w:bCs/>
                <w:color w:val="auto"/>
                <w:kern w:val="0"/>
                <w:sz w:val="24"/>
                <w:szCs w:val="24"/>
                <w:lang w:val="en-US" w:eastAsia="zh-CN"/>
              </w:rPr>
              <w:t xml:space="preserve">   </w:t>
            </w:r>
            <w:r>
              <w:rPr>
                <w:rFonts w:hint="eastAsia" w:asciiTheme="minorEastAsia" w:hAnsiTheme="minorEastAsia" w:eastAsiaTheme="minorEastAsia" w:cstheme="minorEastAsia"/>
                <w:bCs/>
                <w:color w:val="auto"/>
                <w:kern w:val="0"/>
                <w:sz w:val="24"/>
                <w:szCs w:val="24"/>
                <w:highlight w:val="none"/>
                <w:lang w:val="en-US" w:eastAsia="zh-CN"/>
              </w:rPr>
              <w:t>金女士</w:t>
            </w:r>
            <w:r>
              <w:rPr>
                <w:rFonts w:hint="eastAsia" w:asciiTheme="minorEastAsia" w:hAnsiTheme="minorEastAsia" w:eastAsiaTheme="minorEastAsia" w:cstheme="minorEastAsia"/>
                <w:color w:val="auto"/>
                <w:kern w:val="0"/>
                <w:sz w:val="24"/>
                <w:szCs w:val="24"/>
                <w:highlight w:val="none"/>
              </w:rPr>
              <w:t>收</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0575-83018232</w:t>
            </w:r>
            <w:r>
              <w:rPr>
                <w:rFonts w:hint="eastAsia" w:asciiTheme="minorEastAsia" w:hAnsiTheme="minorEastAsia" w:eastAsiaTheme="minorEastAsia" w:cstheme="minorEastAsia"/>
                <w:color w:val="auto"/>
                <w:sz w:val="24"/>
                <w:szCs w:val="24"/>
              </w:rPr>
              <w:t>）。</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（3）如中标，</w:t>
            </w:r>
            <w:r>
              <w:rPr>
                <w:rFonts w:hint="eastAsia" w:asciiTheme="minorEastAsia" w:hAnsiTheme="minorEastAsia" w:eastAsiaTheme="minorEastAsia" w:cstheme="minorEastAsia"/>
                <w:b/>
                <w:bCs/>
                <w:color w:val="auto"/>
                <w:sz w:val="24"/>
                <w:szCs w:val="24"/>
                <w:lang w:val="en-US" w:eastAsia="zh-CN"/>
              </w:rPr>
              <w:t>成交供应商</w:t>
            </w:r>
            <w:r>
              <w:rPr>
                <w:rFonts w:hint="eastAsia" w:asciiTheme="minorEastAsia" w:hAnsiTheme="minorEastAsia" w:eastAsiaTheme="minorEastAsia" w:cstheme="minorEastAsia"/>
                <w:b/>
                <w:bCs/>
                <w:color w:val="auto"/>
                <w:sz w:val="24"/>
                <w:szCs w:val="24"/>
              </w:rPr>
              <w:t>需根据</w:t>
            </w:r>
            <w:r>
              <w:rPr>
                <w:rFonts w:hint="eastAsia" w:asciiTheme="minorEastAsia" w:hAnsiTheme="minorEastAsia" w:eastAsiaTheme="minorEastAsia" w:cstheme="minorEastAsia"/>
                <w:b/>
                <w:bCs/>
                <w:color w:val="auto"/>
                <w:sz w:val="24"/>
                <w:szCs w:val="24"/>
                <w:lang w:val="en-US" w:eastAsia="zh-CN"/>
              </w:rPr>
              <w:t>采购</w:t>
            </w:r>
            <w:r>
              <w:rPr>
                <w:rFonts w:hint="eastAsia" w:asciiTheme="minorEastAsia" w:hAnsiTheme="minorEastAsia" w:eastAsiaTheme="minorEastAsia" w:cstheme="minorEastAsia"/>
                <w:b/>
                <w:bCs/>
                <w:color w:val="auto"/>
                <w:sz w:val="24"/>
                <w:szCs w:val="24"/>
              </w:rPr>
              <w:t>人要求提供纸质</w:t>
            </w:r>
            <w:r>
              <w:rPr>
                <w:rFonts w:hint="eastAsia" w:asciiTheme="minorEastAsia" w:hAnsiTheme="minorEastAsia" w:eastAsiaTheme="minorEastAsia" w:cstheme="minorEastAsia"/>
                <w:b/>
                <w:bCs/>
                <w:color w:val="auto"/>
                <w:sz w:val="24"/>
                <w:szCs w:val="24"/>
                <w:lang w:val="en-US" w:eastAsia="zh-CN"/>
              </w:rPr>
              <w:t>响应</w:t>
            </w:r>
            <w:r>
              <w:rPr>
                <w:rFonts w:hint="eastAsia" w:asciiTheme="minorEastAsia" w:hAnsiTheme="minorEastAsia" w:eastAsiaTheme="minorEastAsia" w:cstheme="minorEastAsia"/>
                <w:b/>
                <w:bCs/>
                <w:color w:val="auto"/>
                <w:sz w:val="24"/>
                <w:szCs w:val="24"/>
              </w:rPr>
              <w:t>文件至少三份。内容需与电子</w:t>
            </w:r>
            <w:r>
              <w:rPr>
                <w:rFonts w:hint="eastAsia" w:asciiTheme="minorEastAsia" w:hAnsiTheme="minorEastAsia" w:eastAsiaTheme="minorEastAsia" w:cstheme="minorEastAsia"/>
                <w:b/>
                <w:bCs/>
                <w:color w:val="auto"/>
                <w:sz w:val="24"/>
                <w:szCs w:val="24"/>
                <w:lang w:val="en-US" w:eastAsia="zh-CN"/>
              </w:rPr>
              <w:t>响应</w:t>
            </w:r>
            <w:r>
              <w:rPr>
                <w:rFonts w:hint="eastAsia" w:asciiTheme="minorEastAsia" w:hAnsiTheme="minorEastAsia" w:eastAsiaTheme="minorEastAsia" w:cstheme="minorEastAsia"/>
                <w:b/>
                <w:bCs/>
                <w:color w:val="auto"/>
                <w:sz w:val="24"/>
                <w:szCs w:val="24"/>
              </w:rPr>
              <w:t>文件完全一致，标明页码，如与电子</w:t>
            </w:r>
            <w:r>
              <w:rPr>
                <w:rFonts w:hint="eastAsia" w:asciiTheme="minorEastAsia" w:hAnsiTheme="minorEastAsia" w:eastAsiaTheme="minorEastAsia" w:cstheme="minorEastAsia"/>
                <w:b/>
                <w:bCs/>
                <w:color w:val="auto"/>
                <w:sz w:val="24"/>
                <w:szCs w:val="24"/>
                <w:lang w:val="en-US" w:eastAsia="zh-CN"/>
              </w:rPr>
              <w:t>响应</w:t>
            </w:r>
            <w:r>
              <w:rPr>
                <w:rFonts w:hint="eastAsia" w:asciiTheme="minorEastAsia" w:hAnsiTheme="minorEastAsia" w:eastAsiaTheme="minorEastAsia" w:cstheme="minorEastAsia"/>
                <w:b/>
                <w:bCs/>
                <w:color w:val="auto"/>
                <w:sz w:val="24"/>
                <w:szCs w:val="24"/>
              </w:rPr>
              <w:t>文件不符将影响中标人领取中标通知书。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852" w:type="dxa"/>
            <w:tcBorders>
              <w:top w:val="single" w:color="000000" w:sz="4" w:space="0"/>
              <w:bottom w:val="single" w:color="000000" w:sz="4" w:space="0"/>
              <w:right w:val="single" w:color="000000" w:sz="4" w:space="0"/>
            </w:tcBorders>
            <w:vAlign w:val="center"/>
          </w:tcPr>
          <w:p>
            <w:pPr>
              <w:keepNext w:val="0"/>
              <w:keepLines w:val="0"/>
              <w:pageBreakBefore w:val="0"/>
              <w:tabs>
                <w:tab w:val="left" w:pos="3780"/>
              </w:tabs>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12</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磋商响应文件的上传和递交</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（1）“电子加密磋商响应文件”的上传、递交：</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a.磋商响应方应在投标截止时间前将“电子加密磋商响应文件”成功上传递交至“乐采云平台（www.lecaiyun.com）”，否则响应无效。</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b.“电子加密磋商响应文件”成功上传递交后，磋商响应方可自行打印磋商响应文件接收回执。</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（2）“备份磋商响应文件”的密封包装、递交：</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a.磋商响应方在“</w:t>
            </w:r>
            <w:r>
              <w:rPr>
                <w:rFonts w:hint="eastAsia" w:asciiTheme="minorEastAsia" w:hAnsiTheme="minorEastAsia" w:eastAsiaTheme="minorEastAsia" w:cstheme="minorEastAsia"/>
                <w:color w:val="auto"/>
                <w:kern w:val="0"/>
                <w:sz w:val="24"/>
                <w:szCs w:val="24"/>
                <w:highlight w:val="none"/>
                <w:lang w:val="en-US" w:eastAsia="zh-CN"/>
              </w:rPr>
              <w:t>乐采云平台</w:t>
            </w:r>
            <w:r>
              <w:rPr>
                <w:rFonts w:hint="eastAsia" w:asciiTheme="minorEastAsia" w:hAnsiTheme="minorEastAsia" w:eastAsiaTheme="minorEastAsia" w:cstheme="minorEastAsia"/>
                <w:color w:val="auto"/>
                <w:spacing w:val="6"/>
                <w:kern w:val="0"/>
                <w:sz w:val="24"/>
                <w:szCs w:val="24"/>
                <w:highlight w:val="none"/>
              </w:rPr>
              <w:t>（www.</w:t>
            </w:r>
            <w:r>
              <w:rPr>
                <w:rFonts w:hint="eastAsia" w:asciiTheme="minorEastAsia" w:hAnsiTheme="minorEastAsia" w:eastAsiaTheme="minorEastAsia" w:cstheme="minorEastAsia"/>
                <w:color w:val="auto"/>
                <w:spacing w:val="6"/>
                <w:kern w:val="0"/>
                <w:sz w:val="24"/>
                <w:szCs w:val="24"/>
                <w:highlight w:val="none"/>
                <w:lang w:eastAsia="zh-CN"/>
              </w:rPr>
              <w:t>lecaiyun.com）</w:t>
            </w:r>
            <w:r>
              <w:rPr>
                <w:rFonts w:hint="eastAsia" w:asciiTheme="minorEastAsia" w:hAnsiTheme="minorEastAsia" w:eastAsiaTheme="minorEastAsia" w:cstheme="minorEastAsia"/>
                <w:color w:val="auto"/>
                <w:sz w:val="24"/>
                <w:szCs w:val="24"/>
              </w:rPr>
              <w:t>”完成“电子加密磋商响应文件”的上传递交后，还可以（EMS、顺丰邮寄形式）在磋商截止时间前递交以介质（U盘）存储的 “备份磋商响应文件”（一份）；</w:t>
            </w:r>
          </w:p>
          <w:p>
            <w:pPr>
              <w:keepNext w:val="0"/>
              <w:keepLines w:val="0"/>
              <w:pageBreakBefore w:val="0"/>
              <w:kinsoku/>
              <w:wordWrap/>
              <w:overflowPunct/>
              <w:topLinePunct w:val="0"/>
              <w:bidi w:val="0"/>
              <w:adjustRightInd/>
              <w:spacing w:line="440" w:lineRule="exact"/>
              <w:ind w:left="0" w:leftChars="0" w:firstLine="0" w:firstLineChars="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b.“备份磋商响应文件”应当密封包装，并在包装上标注项目名称、单位名称并加盖公章。没有密封包装或者逾期邮寄送达至磋商地点的“备份磋商响应文件”将不予接收；</w:t>
            </w:r>
          </w:p>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textAlignment w:val="bottom"/>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c.通过“</w:t>
            </w:r>
            <w:r>
              <w:rPr>
                <w:rFonts w:hint="eastAsia" w:asciiTheme="minorEastAsia" w:hAnsiTheme="minorEastAsia" w:eastAsiaTheme="minorEastAsia" w:cstheme="minorEastAsia"/>
                <w:color w:val="auto"/>
                <w:kern w:val="0"/>
                <w:sz w:val="24"/>
                <w:szCs w:val="24"/>
                <w:highlight w:val="none"/>
                <w:lang w:val="en-US" w:eastAsia="zh-CN"/>
              </w:rPr>
              <w:t>乐采云平台</w:t>
            </w:r>
            <w:r>
              <w:rPr>
                <w:rFonts w:hint="eastAsia" w:asciiTheme="minorEastAsia" w:hAnsiTheme="minorEastAsia" w:eastAsiaTheme="minorEastAsia" w:cstheme="minorEastAsia"/>
                <w:color w:val="auto"/>
                <w:spacing w:val="6"/>
                <w:kern w:val="0"/>
                <w:sz w:val="24"/>
                <w:szCs w:val="24"/>
                <w:highlight w:val="none"/>
              </w:rPr>
              <w:t>（www.</w:t>
            </w:r>
            <w:r>
              <w:rPr>
                <w:rFonts w:hint="eastAsia" w:asciiTheme="minorEastAsia" w:hAnsiTheme="minorEastAsia" w:eastAsiaTheme="minorEastAsia" w:cstheme="minorEastAsia"/>
                <w:color w:val="auto"/>
                <w:spacing w:val="6"/>
                <w:kern w:val="0"/>
                <w:sz w:val="24"/>
                <w:szCs w:val="24"/>
                <w:highlight w:val="none"/>
                <w:lang w:eastAsia="zh-CN"/>
              </w:rPr>
              <w:t>lecaiyun.com）</w:t>
            </w:r>
            <w:r>
              <w:rPr>
                <w:rFonts w:hint="eastAsia" w:asciiTheme="minorEastAsia" w:hAnsiTheme="minorEastAsia" w:eastAsiaTheme="minorEastAsia" w:cstheme="minorEastAsia"/>
                <w:color w:val="auto"/>
                <w:sz w:val="24"/>
                <w:szCs w:val="24"/>
              </w:rPr>
              <w:t>”成功上传递交的“电子加密磋商响应文件”已按时解密的，“备份磋商响应文件”自动失效。磋商响应截止时间前，磋商响应方仅递交了“备份磋商响应文件”而未将“电子加密磋商响应文件”成功上传至“</w:t>
            </w:r>
            <w:r>
              <w:rPr>
                <w:rFonts w:hint="eastAsia" w:asciiTheme="minorEastAsia" w:hAnsiTheme="minorEastAsia" w:eastAsiaTheme="minorEastAsia" w:cstheme="minorEastAsia"/>
                <w:color w:val="auto"/>
                <w:kern w:val="0"/>
                <w:sz w:val="24"/>
                <w:szCs w:val="24"/>
                <w:highlight w:val="none"/>
                <w:lang w:val="en-US" w:eastAsia="zh-CN"/>
              </w:rPr>
              <w:t>乐采云平台</w:t>
            </w:r>
            <w:r>
              <w:rPr>
                <w:rFonts w:hint="eastAsia" w:asciiTheme="minorEastAsia" w:hAnsiTheme="minorEastAsia" w:eastAsiaTheme="minorEastAsia" w:cstheme="minorEastAsia"/>
                <w:color w:val="auto"/>
                <w:spacing w:val="6"/>
                <w:kern w:val="0"/>
                <w:sz w:val="24"/>
                <w:szCs w:val="24"/>
                <w:highlight w:val="none"/>
              </w:rPr>
              <w:t>（www.</w:t>
            </w:r>
            <w:r>
              <w:rPr>
                <w:rFonts w:hint="eastAsia" w:asciiTheme="minorEastAsia" w:hAnsiTheme="minorEastAsia" w:eastAsiaTheme="minorEastAsia" w:cstheme="minorEastAsia"/>
                <w:color w:val="auto"/>
                <w:spacing w:val="6"/>
                <w:kern w:val="0"/>
                <w:sz w:val="24"/>
                <w:szCs w:val="24"/>
                <w:highlight w:val="none"/>
                <w:lang w:eastAsia="zh-CN"/>
              </w:rPr>
              <w:t>lecaiyun.com）</w:t>
            </w:r>
            <w:r>
              <w:rPr>
                <w:rFonts w:hint="eastAsia" w:asciiTheme="minorEastAsia" w:hAnsiTheme="minorEastAsia" w:eastAsiaTheme="minorEastAsia" w:cstheme="minorEastAsia"/>
                <w:color w:val="auto"/>
                <w:sz w:val="24"/>
                <w:szCs w:val="24"/>
              </w:rPr>
              <w:t>”的，响应无效。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3" w:hRule="atLeast"/>
        </w:trPr>
        <w:tc>
          <w:tcPr>
            <w:tcW w:w="852" w:type="dxa"/>
            <w:tcBorders>
              <w:top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13</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autoSpaceDE w:val="0"/>
              <w:autoSpaceDN w:val="0"/>
              <w:bidi w:val="0"/>
              <w:snapToGrid w:val="0"/>
              <w:spacing w:line="440" w:lineRule="exact"/>
              <w:ind w:firstLine="0" w:firstLineChars="0"/>
              <w:jc w:val="center"/>
              <w:textAlignment w:val="bottom"/>
              <w:outlineLvl w:val="9"/>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kern w:val="0"/>
                <w:sz w:val="24"/>
                <w:szCs w:val="24"/>
                <w:highlight w:val="none"/>
              </w:rPr>
              <w:t>电子加密</w:t>
            </w:r>
            <w:r>
              <w:rPr>
                <w:rFonts w:hint="eastAsia" w:asciiTheme="minorEastAsia" w:hAnsiTheme="minorEastAsia" w:eastAsiaTheme="minorEastAsia" w:cstheme="minorEastAsia"/>
                <w:b w:val="0"/>
                <w:bCs/>
                <w:color w:val="auto"/>
                <w:kern w:val="0"/>
                <w:sz w:val="24"/>
                <w:szCs w:val="24"/>
                <w:highlight w:val="none"/>
                <w:lang w:val="en-US" w:eastAsia="zh-CN"/>
              </w:rPr>
              <w:t>响应</w:t>
            </w:r>
            <w:r>
              <w:rPr>
                <w:rFonts w:hint="eastAsia" w:asciiTheme="minorEastAsia" w:hAnsiTheme="minorEastAsia" w:eastAsiaTheme="minorEastAsia" w:cstheme="minorEastAsia"/>
                <w:b w:val="0"/>
                <w:bCs/>
                <w:color w:val="auto"/>
                <w:kern w:val="0"/>
                <w:sz w:val="24"/>
                <w:szCs w:val="24"/>
                <w:highlight w:val="none"/>
              </w:rPr>
              <w:t>文件的解密和异常情况处理</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440" w:lineRule="exact"/>
              <w:ind w:firstLine="0" w:firstLineChars="0"/>
              <w:textAlignment w:val="bottom"/>
              <w:outlineLvl w:val="9"/>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1.开标后，采购组织机构将向各</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color w:val="auto"/>
                <w:kern w:val="0"/>
                <w:sz w:val="24"/>
                <w:szCs w:val="24"/>
                <w:highlight w:val="none"/>
              </w:rPr>
              <w:t>发出“电子加密</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文件”的解密通知，</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color w:val="auto"/>
                <w:kern w:val="0"/>
                <w:sz w:val="24"/>
                <w:szCs w:val="24"/>
                <w:highlight w:val="none"/>
              </w:rPr>
              <w:t>代表应当在接到解密通知后30分钟内自行完成“电子加密</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文件”的在线解密。</w:t>
            </w:r>
          </w:p>
          <w:p>
            <w:pPr>
              <w:keepNext w:val="0"/>
              <w:keepLines w:val="0"/>
              <w:pageBreakBefore w:val="0"/>
              <w:kinsoku/>
              <w:wordWrap/>
              <w:overflowPunct/>
              <w:topLinePunct w:val="0"/>
              <w:autoSpaceDE w:val="0"/>
              <w:autoSpaceDN w:val="0"/>
              <w:bidi w:val="0"/>
              <w:adjustRightInd w:val="0"/>
              <w:snapToGrid w:val="0"/>
              <w:spacing w:line="440" w:lineRule="exact"/>
              <w:ind w:firstLine="0" w:firstLineChars="0"/>
              <w:textAlignment w:val="bottom"/>
              <w:outlineLvl w:val="9"/>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2.通过“</w:t>
            </w:r>
            <w:r>
              <w:rPr>
                <w:rFonts w:hint="eastAsia" w:asciiTheme="minorEastAsia" w:hAnsiTheme="minorEastAsia" w:eastAsiaTheme="minorEastAsia" w:cstheme="minorEastAsia"/>
                <w:color w:val="auto"/>
                <w:spacing w:val="6"/>
                <w:kern w:val="0"/>
                <w:sz w:val="24"/>
                <w:szCs w:val="24"/>
                <w:highlight w:val="none"/>
                <w:lang w:val="en-US" w:eastAsia="zh-CN"/>
              </w:rPr>
              <w:t>乐采云平台</w:t>
            </w:r>
            <w:r>
              <w:rPr>
                <w:rFonts w:hint="eastAsia" w:asciiTheme="minorEastAsia" w:hAnsiTheme="minorEastAsia" w:eastAsiaTheme="minorEastAsia" w:cstheme="minorEastAsia"/>
                <w:color w:val="auto"/>
                <w:spacing w:val="6"/>
                <w:kern w:val="0"/>
                <w:sz w:val="24"/>
                <w:szCs w:val="24"/>
                <w:highlight w:val="none"/>
              </w:rPr>
              <w:t>（www.</w:t>
            </w:r>
            <w:r>
              <w:rPr>
                <w:rFonts w:hint="eastAsia" w:asciiTheme="minorEastAsia" w:hAnsiTheme="minorEastAsia" w:eastAsiaTheme="minorEastAsia" w:cstheme="minorEastAsia"/>
                <w:color w:val="auto"/>
                <w:spacing w:val="6"/>
                <w:kern w:val="0"/>
                <w:sz w:val="24"/>
                <w:szCs w:val="24"/>
                <w:highlight w:val="none"/>
                <w:lang w:eastAsia="zh-CN"/>
              </w:rPr>
              <w:t>lecaiyun.com）</w:t>
            </w:r>
            <w:r>
              <w:rPr>
                <w:rFonts w:hint="eastAsia" w:asciiTheme="minorEastAsia" w:hAnsiTheme="minorEastAsia" w:eastAsiaTheme="minorEastAsia" w:cstheme="minorEastAsia"/>
                <w:color w:val="auto"/>
                <w:kern w:val="0"/>
                <w:sz w:val="24"/>
                <w:szCs w:val="24"/>
                <w:highlight w:val="none"/>
              </w:rPr>
              <w:t>”成功上传递交的“电子加密</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文件”无法按时解密，</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color w:val="auto"/>
                <w:kern w:val="0"/>
                <w:sz w:val="24"/>
                <w:szCs w:val="24"/>
                <w:highlight w:val="none"/>
              </w:rPr>
              <w:t>如按规定递交了“备份</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文件”的，以“备份</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文件”为依据（由采购组织机构按“</w:t>
            </w:r>
            <w:r>
              <w:rPr>
                <w:rFonts w:hint="eastAsia" w:asciiTheme="minorEastAsia" w:hAnsiTheme="minorEastAsia" w:eastAsiaTheme="minorEastAsia" w:cstheme="minorEastAsia"/>
                <w:color w:val="auto"/>
                <w:kern w:val="0"/>
                <w:sz w:val="24"/>
                <w:szCs w:val="24"/>
                <w:highlight w:val="none"/>
                <w:lang w:val="en-US" w:eastAsia="zh-CN"/>
              </w:rPr>
              <w:t>乐采云</w:t>
            </w:r>
            <w:r>
              <w:rPr>
                <w:rFonts w:hint="eastAsia" w:asciiTheme="minorEastAsia" w:hAnsiTheme="minorEastAsia" w:eastAsiaTheme="minorEastAsia" w:cstheme="minorEastAsia"/>
                <w:color w:val="auto"/>
                <w:kern w:val="0"/>
                <w:sz w:val="24"/>
                <w:szCs w:val="24"/>
                <w:highlight w:val="none"/>
              </w:rPr>
              <w:t>”操作规范将“备份</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文件”上传至“</w:t>
            </w:r>
            <w:r>
              <w:rPr>
                <w:rFonts w:hint="eastAsia" w:asciiTheme="minorEastAsia" w:hAnsiTheme="minorEastAsia" w:eastAsiaTheme="minorEastAsia" w:cstheme="minorEastAsia"/>
                <w:color w:val="auto"/>
                <w:kern w:val="0"/>
                <w:sz w:val="24"/>
                <w:szCs w:val="24"/>
                <w:highlight w:val="none"/>
                <w:lang w:val="en-US" w:eastAsia="zh-CN"/>
              </w:rPr>
              <w:t>乐采云平台</w:t>
            </w:r>
            <w:r>
              <w:rPr>
                <w:rFonts w:hint="eastAsia" w:asciiTheme="minorEastAsia" w:hAnsiTheme="minorEastAsia" w:eastAsiaTheme="minorEastAsia" w:cstheme="minorEastAsia"/>
                <w:color w:val="auto"/>
                <w:kern w:val="0"/>
                <w:sz w:val="24"/>
                <w:szCs w:val="24"/>
                <w:highlight w:val="none"/>
              </w:rPr>
              <w:t>”，上传成功后，“电子加密</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文件”自动失效），否则视为</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文件撤回。</w:t>
            </w:r>
          </w:p>
          <w:p>
            <w:pPr>
              <w:keepNext w:val="0"/>
              <w:keepLines w:val="0"/>
              <w:pageBreakBefore w:val="0"/>
              <w:kinsoku/>
              <w:wordWrap/>
              <w:overflowPunct/>
              <w:topLinePunct w:val="0"/>
              <w:autoSpaceDE w:val="0"/>
              <w:autoSpaceDN w:val="0"/>
              <w:bidi w:val="0"/>
              <w:adjustRightInd w:val="0"/>
              <w:snapToGrid w:val="0"/>
              <w:spacing w:line="440" w:lineRule="exact"/>
              <w:ind w:firstLine="0" w:firstLineChars="0"/>
              <w:textAlignment w:val="bottom"/>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highlight w:val="none"/>
              </w:rPr>
              <w:t>3.投标截止时间前，</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color w:val="auto"/>
                <w:kern w:val="0"/>
                <w:sz w:val="24"/>
                <w:szCs w:val="24"/>
                <w:highlight w:val="none"/>
              </w:rPr>
              <w:t>仅递交了“备份</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文件”而未将电子加密</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kern w:val="0"/>
                <w:sz w:val="24"/>
                <w:szCs w:val="24"/>
                <w:highlight w:val="none"/>
              </w:rPr>
              <w:t>文件上传至“</w:t>
            </w:r>
            <w:r>
              <w:rPr>
                <w:rFonts w:hint="eastAsia" w:asciiTheme="minorEastAsia" w:hAnsiTheme="minorEastAsia" w:eastAsiaTheme="minorEastAsia" w:cstheme="minorEastAsia"/>
                <w:color w:val="auto"/>
                <w:kern w:val="0"/>
                <w:sz w:val="24"/>
                <w:szCs w:val="24"/>
                <w:highlight w:val="none"/>
                <w:lang w:val="en-US" w:eastAsia="zh-CN"/>
              </w:rPr>
              <w:t>乐采云平台</w:t>
            </w:r>
            <w:r>
              <w:rPr>
                <w:rFonts w:hint="eastAsia" w:asciiTheme="minorEastAsia" w:hAnsiTheme="minorEastAsia" w:eastAsiaTheme="minorEastAsia" w:cstheme="minorEastAsia"/>
                <w:color w:val="auto"/>
                <w:kern w:val="0"/>
                <w:sz w:val="24"/>
                <w:szCs w:val="24"/>
                <w:highlight w:val="none"/>
              </w:rPr>
              <w:t>”的，投标无效。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9" w:hRule="atLeast"/>
        </w:trPr>
        <w:tc>
          <w:tcPr>
            <w:tcW w:w="852" w:type="dxa"/>
            <w:tcBorders>
              <w:top w:val="single" w:color="auto" w:sz="4" w:space="0"/>
              <w:bottom w:val="single" w:color="auto"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16</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autoSpaceDE w:val="0"/>
              <w:autoSpaceDN w:val="0"/>
              <w:bidi w:val="0"/>
              <w:snapToGrid w:val="0"/>
              <w:spacing w:line="360" w:lineRule="auto"/>
              <w:ind w:firstLine="0" w:firstLineChars="0"/>
              <w:jc w:val="center"/>
              <w:textAlignment w:val="bottom"/>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rPr>
              <w:t>演示</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440" w:lineRule="exact"/>
              <w:ind w:firstLine="0" w:firstLineChars="0"/>
              <w:textAlignment w:val="bottom"/>
              <w:outlineLvl w:val="9"/>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不提供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852" w:type="dxa"/>
            <w:tcBorders>
              <w:top w:val="single" w:color="auto" w:sz="4" w:space="0"/>
              <w:bottom w:val="single" w:color="auto"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17</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招标代理服务费</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①招标代理机构参照国家计委计价格[2002]1980号文、[2011]534号文规定的收费标准，其他费用按实际支出支付</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在</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成功后向</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单位收取。</w:t>
            </w:r>
          </w:p>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②用银行支票、电汇、现金等付款方式直接交纳代理服务费。</w:t>
            </w:r>
          </w:p>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单位：</w:t>
            </w:r>
            <w:r>
              <w:rPr>
                <w:rFonts w:hint="eastAsia" w:ascii="宋体" w:hAnsi="Times New Roman" w:eastAsia="宋体" w:cs="Times New Roman"/>
                <w:kern w:val="2"/>
                <w:sz w:val="24"/>
                <w:szCs w:val="24"/>
                <w:highlight w:val="none"/>
                <w:lang w:val="zh-CN" w:eastAsia="zh-CN" w:bidi="ar-SA"/>
              </w:rPr>
              <w:t>浙江筑脸全过程工程咨询有限公司嵊州分公司</w:t>
            </w:r>
          </w:p>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开户银行：</w:t>
            </w:r>
            <w:r>
              <w:rPr>
                <w:rFonts w:hint="eastAsia" w:ascii="宋体" w:hAnsi="Times New Roman" w:eastAsia="宋体" w:cs="Times New Roman"/>
                <w:kern w:val="2"/>
                <w:sz w:val="24"/>
                <w:szCs w:val="24"/>
                <w:highlight w:val="none"/>
                <w:lang w:val="zh-CN" w:eastAsia="zh-CN" w:bidi="ar-SA"/>
              </w:rPr>
              <w:t>建设银行嵊州支行</w:t>
            </w:r>
          </w:p>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帐号：</w:t>
            </w:r>
            <w:r>
              <w:rPr>
                <w:rFonts w:hint="eastAsia" w:ascii="宋体" w:hAnsi="Times New Roman" w:eastAsia="宋体" w:cs="Times New Roman"/>
                <w:kern w:val="2"/>
                <w:sz w:val="24"/>
                <w:szCs w:val="24"/>
                <w:highlight w:val="none"/>
                <w:lang w:val="zh-CN" w:eastAsia="zh-CN" w:bidi="ar-SA"/>
              </w:rPr>
              <w:t>33001656535053009834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3" w:hRule="atLeast"/>
        </w:trPr>
        <w:tc>
          <w:tcPr>
            <w:tcW w:w="852" w:type="dxa"/>
            <w:tcBorders>
              <w:top w:val="single" w:color="auto" w:sz="4" w:space="0"/>
              <w:bottom w:val="single" w:color="000000"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18</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磋商响应文件的接收</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textAlignment w:val="bottom"/>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应当在磋商响应截止时间前完成电子磋商响应文件的传输递交，并可以补充、修改或者撤回电子磋商响应文件。补充或者修改电子磋商响应文件的，应当先行撤回原文件，补充、修改后重新传输递交。磋商截止时间前未完成传输的，视为撤回磋商响应文件。磋商响应截止时间后送达的磋商响应文件，将被</w:t>
            </w:r>
            <w:r>
              <w:rPr>
                <w:rFonts w:hint="eastAsia" w:asciiTheme="minorEastAsia" w:hAnsiTheme="minorEastAsia" w:eastAsiaTheme="minorEastAsia" w:cstheme="minorEastAsia"/>
                <w:color w:val="auto"/>
                <w:sz w:val="24"/>
                <w:szCs w:val="24"/>
                <w:lang w:eastAsia="zh-CN"/>
              </w:rPr>
              <w:t>乐采云</w:t>
            </w:r>
            <w:r>
              <w:rPr>
                <w:rFonts w:hint="eastAsia" w:asciiTheme="minorEastAsia" w:hAnsiTheme="minorEastAsia" w:eastAsiaTheme="minorEastAsia" w:cstheme="minorEastAsia"/>
                <w:color w:val="auto"/>
                <w:sz w:val="24"/>
                <w:szCs w:val="24"/>
              </w:rPr>
              <w:t>平台拒收。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852" w:type="dxa"/>
            <w:tcBorders>
              <w:top w:val="single" w:color="auto" w:sz="4" w:space="0"/>
              <w:bottom w:val="single" w:color="000000"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19</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kinsoku/>
              <w:wordWrap/>
              <w:overflowPunct/>
              <w:topLinePunct w:val="0"/>
              <w:autoSpaceDE w:val="0"/>
              <w:autoSpaceDN w:val="0"/>
              <w:bidi w:val="0"/>
              <w:snapToGrid w:val="0"/>
              <w:spacing w:line="440" w:lineRule="exact"/>
              <w:ind w:firstLine="0" w:firstLineChars="0"/>
              <w:jc w:val="center"/>
              <w:textAlignment w:val="bottom"/>
              <w:outlineLvl w:val="9"/>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kern w:val="0"/>
                <w:sz w:val="24"/>
                <w:szCs w:val="24"/>
                <w:highlight w:val="none"/>
              </w:rPr>
              <w:t>讲标询标</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440" w:lineRule="exact"/>
              <w:ind w:firstLine="0" w:firstLineChars="0"/>
              <w:textAlignment w:val="bottom"/>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highlight w:val="none"/>
              </w:rPr>
              <w:t>在评标时各投标人需准备并接受评委在线询标，开评标时需保持网络的通畅及在线。</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852" w:type="dxa"/>
            <w:tcBorders>
              <w:top w:val="single" w:color="auto" w:sz="4" w:space="0"/>
              <w:bottom w:val="single" w:color="000000" w:sz="4" w:space="0"/>
              <w:right w:val="single" w:color="000000" w:sz="4" w:space="0"/>
            </w:tcBorders>
            <w:vAlign w:val="center"/>
          </w:tcPr>
          <w:p>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w:t>
            </w:r>
          </w:p>
        </w:tc>
        <w:tc>
          <w:tcPr>
            <w:tcW w:w="1532" w:type="dxa"/>
            <w:tcBorders>
              <w:top w:val="single" w:color="auto" w:sz="4" w:space="0"/>
              <w:left w:val="single" w:color="000000" w:sz="4" w:space="0"/>
              <w:bottom w:val="single" w:color="auto" w:sz="4" w:space="0"/>
              <w:right w:val="single" w:color="auto" w:sz="4" w:space="0"/>
            </w:tcBorders>
            <w:vAlign w:val="center"/>
          </w:tcPr>
          <w:p>
            <w:pPr>
              <w:keepNext w:val="0"/>
              <w:keepLines w:val="0"/>
              <w:pageBreakBefore w:val="0"/>
              <w:widowControl/>
              <w:kinsoku/>
              <w:wordWrap/>
              <w:overflowPunct/>
              <w:topLinePunct w:val="0"/>
              <w:bidi w:val="0"/>
              <w:adjustRightInd/>
              <w:spacing w:line="440" w:lineRule="exact"/>
              <w:ind w:left="0" w:leftChars="0" w:firstLine="0" w:firstLineChars="0"/>
              <w:jc w:val="center"/>
              <w:rPr>
                <w:rFonts w:hint="eastAsia" w:asciiTheme="minorEastAsia" w:hAnsiTheme="minorEastAsia" w:eastAsiaTheme="minorEastAsia" w:cstheme="minorEastAsia"/>
                <w:b w:val="0"/>
                <w:bCs/>
                <w:color w:val="auto"/>
                <w:sz w:val="24"/>
                <w:szCs w:val="24"/>
              </w:rPr>
            </w:pPr>
            <w:r>
              <w:rPr>
                <w:rFonts w:hint="eastAsia" w:asciiTheme="minorEastAsia" w:hAnsiTheme="minorEastAsia" w:eastAsiaTheme="minorEastAsia" w:cstheme="minorEastAsia"/>
                <w:b w:val="0"/>
                <w:bCs/>
                <w:color w:val="auto"/>
                <w:sz w:val="24"/>
                <w:szCs w:val="24"/>
              </w:rPr>
              <w:t>解释</w:t>
            </w:r>
          </w:p>
        </w:tc>
        <w:tc>
          <w:tcPr>
            <w:tcW w:w="7283" w:type="dxa"/>
            <w:tcBorders>
              <w:top w:val="single" w:color="auto" w:sz="4" w:space="0"/>
              <w:left w:val="single" w:color="auto" w:sz="4" w:space="0"/>
              <w:bottom w:val="single" w:color="auto" w:sz="4" w:space="0"/>
            </w:tcBorders>
            <w:vAlign w:val="center"/>
          </w:tcPr>
          <w:p>
            <w:pPr>
              <w:keepNext w:val="0"/>
              <w:keepLines w:val="0"/>
              <w:pageBreakBefore w:val="0"/>
              <w:kinsoku/>
              <w:wordWrap/>
              <w:overflowPunct/>
              <w:topLinePunct w:val="0"/>
              <w:bidi w:val="0"/>
              <w:adjustRightInd/>
              <w:snapToGrid w:val="0"/>
              <w:spacing w:line="440" w:lineRule="exact"/>
              <w:ind w:left="0" w:leftChars="0" w:firstLine="0" w:firstLineChars="0"/>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sz w:val="24"/>
                <w:szCs w:val="24"/>
              </w:rPr>
              <w:t>本磋商文件的解释权属于采购人和</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代理机构。</w:t>
            </w:r>
          </w:p>
        </w:tc>
      </w:tr>
    </w:tbl>
    <w:p>
      <w:pPr>
        <w:outlineLvl w:val="1"/>
        <w:rPr>
          <w:rFonts w:hint="eastAsia" w:asciiTheme="minorEastAsia" w:hAnsiTheme="minorEastAsia" w:eastAsiaTheme="minorEastAsia" w:cstheme="minorEastAsia"/>
          <w:b/>
          <w:color w:val="auto"/>
          <w:sz w:val="24"/>
          <w:szCs w:val="24"/>
        </w:rPr>
      </w:pPr>
      <w:bookmarkStart w:id="48" w:name="_Toc1082"/>
      <w:r>
        <w:rPr>
          <w:rFonts w:hint="eastAsia" w:asciiTheme="minorEastAsia" w:hAnsiTheme="minorEastAsia" w:eastAsiaTheme="minorEastAsia" w:cstheme="minorEastAsia"/>
          <w:b/>
          <w:color w:val="auto"/>
          <w:sz w:val="24"/>
          <w:szCs w:val="24"/>
        </w:rPr>
        <w:t>一、总则</w:t>
      </w:r>
      <w:bookmarkEnd w:id="48"/>
    </w:p>
    <w:p>
      <w:pPr>
        <w:snapToGrid w:val="0"/>
        <w:spacing w:line="360" w:lineRule="auto"/>
        <w:ind w:firstLine="357" w:firstLineChars="148"/>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（一）适用范围</w:t>
      </w:r>
    </w:p>
    <w:p>
      <w:pPr>
        <w:snapToGrid w:val="0"/>
        <w:spacing w:line="360" w:lineRule="auto"/>
        <w:ind w:firstLine="355" w:firstLineChars="148"/>
        <w:jc w:val="left"/>
        <w:rPr>
          <w:rFonts w:hint="eastAsia" w:asciiTheme="minorEastAsia" w:hAnsiTheme="minorEastAsia" w:eastAsiaTheme="minorEastAsia" w:cstheme="minorEastAsia"/>
          <w:color w:val="auto"/>
          <w:sz w:val="24"/>
          <w:szCs w:val="24"/>
        </w:rPr>
      </w:pPr>
      <w:bookmarkStart w:id="49" w:name="_Toc5014998"/>
      <w:bookmarkStart w:id="50" w:name="_Toc11860786"/>
      <w:r>
        <w:rPr>
          <w:rFonts w:hint="eastAsia" w:asciiTheme="minorEastAsia" w:hAnsiTheme="minorEastAsia" w:eastAsiaTheme="minorEastAsia" w:cstheme="minorEastAsia"/>
          <w:color w:val="auto"/>
          <w:sz w:val="24"/>
          <w:szCs w:val="24"/>
        </w:rPr>
        <w:t>本</w:t>
      </w:r>
      <w:r>
        <w:rPr>
          <w:rFonts w:hint="eastAsia" w:asciiTheme="minorEastAsia" w:hAnsiTheme="minorEastAsia" w:eastAsiaTheme="minorEastAsia" w:cstheme="minorEastAsia"/>
          <w:color w:val="auto"/>
          <w:sz w:val="24"/>
          <w:szCs w:val="24"/>
          <w:lang w:eastAsia="zh-CN"/>
        </w:rPr>
        <w:t>磋商</w:t>
      </w:r>
      <w:r>
        <w:rPr>
          <w:rFonts w:hint="eastAsia" w:asciiTheme="minorEastAsia" w:hAnsiTheme="minorEastAsia" w:eastAsiaTheme="minorEastAsia" w:cstheme="minorEastAsia"/>
          <w:color w:val="auto"/>
          <w:sz w:val="24"/>
          <w:szCs w:val="24"/>
        </w:rPr>
        <w:t>文件适用于</w:t>
      </w:r>
      <w:r>
        <w:rPr>
          <w:rFonts w:hint="eastAsia" w:asciiTheme="minorEastAsia" w:hAnsiTheme="minorEastAsia" w:eastAsiaTheme="minorEastAsia" w:cstheme="minorEastAsia"/>
          <w:color w:val="auto"/>
          <w:sz w:val="24"/>
          <w:szCs w:val="24"/>
          <w:lang w:eastAsia="zh-CN"/>
        </w:rPr>
        <w:t>嵊州市殡仪馆改扩建工程环境监测服务项目</w:t>
      </w:r>
      <w:r>
        <w:rPr>
          <w:rFonts w:hint="eastAsia" w:asciiTheme="minorEastAsia" w:hAnsiTheme="minorEastAsia" w:eastAsiaTheme="minorEastAsia" w:cstheme="minorEastAsia"/>
          <w:color w:val="auto"/>
          <w:sz w:val="24"/>
          <w:szCs w:val="24"/>
        </w:rPr>
        <w:t>（项目编号：</w:t>
      </w:r>
      <w:r>
        <w:rPr>
          <w:rFonts w:hint="eastAsia" w:asciiTheme="minorEastAsia" w:hAnsiTheme="minorEastAsia" w:eastAsiaTheme="minorEastAsia" w:cstheme="minorEastAsia"/>
          <w:color w:val="auto"/>
          <w:sz w:val="24"/>
          <w:szCs w:val="24"/>
          <w:lang w:val="en-US" w:eastAsia="zh-CN"/>
        </w:rPr>
        <w:t>ZJZL-F240228JC</w:t>
      </w:r>
      <w:r>
        <w:rPr>
          <w:rFonts w:hint="eastAsia" w:asciiTheme="minorEastAsia" w:hAnsiTheme="minorEastAsia" w:eastAsiaTheme="minorEastAsia" w:cstheme="minorEastAsia"/>
          <w:color w:val="auto"/>
          <w:sz w:val="24"/>
          <w:szCs w:val="24"/>
        </w:rPr>
        <w:t>）的招标、投标、评标、定标、验收、合同履约、付款等行为（法律、法规另有规定的，从其规定）。</w:t>
      </w:r>
      <w:bookmarkEnd w:id="49"/>
      <w:bookmarkEnd w:id="50"/>
    </w:p>
    <w:p>
      <w:pPr>
        <w:snapToGrid w:val="0"/>
        <w:spacing w:line="360" w:lineRule="auto"/>
        <w:ind w:firstLine="357" w:firstLineChars="148"/>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（二）定义</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1.“采购人”系指组织本次</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的</w:t>
      </w:r>
      <w:r>
        <w:rPr>
          <w:rFonts w:hint="eastAsia" w:asciiTheme="minorEastAsia" w:hAnsiTheme="minorEastAsia" w:eastAsiaTheme="minorEastAsia" w:cstheme="minorEastAsia"/>
          <w:color w:val="auto"/>
          <w:sz w:val="24"/>
          <w:szCs w:val="24"/>
          <w:lang w:val="en-US" w:eastAsia="zh-CN"/>
        </w:rPr>
        <w:t>采购</w:t>
      </w:r>
      <w:r>
        <w:rPr>
          <w:rFonts w:hint="eastAsia" w:asciiTheme="minorEastAsia" w:hAnsiTheme="minorEastAsia" w:eastAsiaTheme="minorEastAsia" w:cstheme="minorEastAsia"/>
          <w:color w:val="auto"/>
          <w:sz w:val="24"/>
          <w:szCs w:val="24"/>
        </w:rPr>
        <w:t>单位(或采购人)。</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2.“磋商方”系指组织本次磋商的</w:t>
      </w:r>
      <w:r>
        <w:rPr>
          <w:rFonts w:hint="eastAsia" w:asciiTheme="minorEastAsia" w:hAnsiTheme="minorEastAsia" w:eastAsiaTheme="minorEastAsia" w:cstheme="minorEastAsia"/>
          <w:color w:val="auto"/>
          <w:sz w:val="24"/>
          <w:szCs w:val="24"/>
          <w:lang w:eastAsia="zh-CN"/>
        </w:rPr>
        <w:t>浙江筑脸全过程工程咨询有限公司</w:t>
      </w:r>
      <w:r>
        <w:rPr>
          <w:rFonts w:hint="eastAsia" w:asciiTheme="minorEastAsia" w:hAnsiTheme="minorEastAsia" w:eastAsiaTheme="minorEastAsia" w:cstheme="minorEastAsia"/>
          <w:color w:val="auto"/>
          <w:sz w:val="24"/>
          <w:szCs w:val="24"/>
        </w:rPr>
        <w:t>。</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3.“磋商响应方”系指向磋商方提交磋商响应文件的单位。</w:t>
      </w:r>
    </w:p>
    <w:p>
      <w:pPr>
        <w:snapToGrid w:val="0"/>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4.“中标单位”：是指经评标委员会推荐并经采购人确认的中标成交单位</w:t>
      </w:r>
      <w:r>
        <w:rPr>
          <w:rFonts w:hint="eastAsia" w:asciiTheme="minorEastAsia" w:hAnsiTheme="minorEastAsia" w:eastAsiaTheme="minorEastAsia" w:cstheme="minorEastAsia"/>
          <w:color w:val="auto"/>
          <w:sz w:val="24"/>
          <w:szCs w:val="24"/>
          <w:lang w:eastAsia="zh-CN"/>
        </w:rPr>
        <w:t>。</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项目</w:t>
      </w:r>
      <w:r>
        <w:rPr>
          <w:rFonts w:hint="eastAsia" w:asciiTheme="minorEastAsia" w:hAnsiTheme="minorEastAsia" w:eastAsiaTheme="minorEastAsia" w:cstheme="minorEastAsia"/>
          <w:color w:val="auto"/>
          <w:sz w:val="24"/>
          <w:szCs w:val="24"/>
        </w:rPr>
        <w:t>”系指磋商响应方按采购文件规定向采购人提供的货物或服务或工程。</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6.特殊符号定义与说明</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“★”系指实质性指标要求条款。如任意一条打“★”的指标出现负偏离视为实质性不响应招标文件要求，作无效投标处理；“☑”系指适用本项目的要求，“□”系指不适用本项目的要求。</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9.其他定义</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fldChar w:fldCharType="begin"/>
      </w:r>
      <w:r>
        <w:rPr>
          <w:rFonts w:hint="eastAsia" w:asciiTheme="minorEastAsia" w:hAnsiTheme="minorEastAsia" w:eastAsiaTheme="minorEastAsia" w:cstheme="minorEastAsia"/>
          <w:b w:val="0"/>
          <w:bCs/>
          <w:color w:val="auto"/>
          <w:sz w:val="24"/>
          <w:szCs w:val="24"/>
          <w:lang w:val="en-US" w:eastAsia="zh-CN"/>
        </w:rPr>
        <w:instrText xml:space="preserve"> = 1 \* GB3 \* MERGEFORMAT </w:instrText>
      </w:r>
      <w:r>
        <w:rPr>
          <w:rFonts w:hint="eastAsia" w:asciiTheme="minorEastAsia" w:hAnsiTheme="minorEastAsia" w:eastAsiaTheme="minorEastAsia" w:cstheme="minorEastAsia"/>
          <w:b w:val="0"/>
          <w:bCs/>
          <w:color w:val="auto"/>
          <w:sz w:val="24"/>
          <w:szCs w:val="24"/>
          <w:lang w:val="en-US" w:eastAsia="zh-CN"/>
        </w:rPr>
        <w:fldChar w:fldCharType="separate"/>
      </w:r>
      <w:r>
        <w:rPr>
          <w:rFonts w:hint="eastAsia" w:asciiTheme="minorEastAsia" w:hAnsiTheme="minorEastAsia" w:eastAsiaTheme="minorEastAsia" w:cstheme="minorEastAsia"/>
          <w:b w:val="0"/>
          <w:bCs/>
          <w:color w:val="auto"/>
          <w:sz w:val="24"/>
          <w:szCs w:val="24"/>
          <w:lang w:val="en-US" w:eastAsia="zh-CN"/>
        </w:rPr>
        <w:t>①</w:t>
      </w:r>
      <w:r>
        <w:rPr>
          <w:rFonts w:hint="eastAsia" w:asciiTheme="minorEastAsia" w:hAnsiTheme="minorEastAsia" w:eastAsiaTheme="minorEastAsia" w:cstheme="minorEastAsia"/>
          <w:b w:val="0"/>
          <w:bCs/>
          <w:color w:val="auto"/>
          <w:sz w:val="24"/>
          <w:szCs w:val="24"/>
          <w:lang w:val="en-US" w:eastAsia="zh-CN"/>
        </w:rPr>
        <w:fldChar w:fldCharType="end"/>
      </w:r>
      <w:r>
        <w:rPr>
          <w:rFonts w:hint="eastAsia" w:asciiTheme="minorEastAsia" w:hAnsiTheme="minorEastAsia" w:eastAsiaTheme="minorEastAsia" w:cstheme="minorEastAsia"/>
          <w:b w:val="0"/>
          <w:bCs/>
          <w:color w:val="auto"/>
          <w:sz w:val="24"/>
          <w:szCs w:val="24"/>
          <w:lang w:val="en-US" w:eastAsia="zh-CN"/>
        </w:rPr>
        <w:t>“书面形式”是合同书、信件、电报、电传、传真等可以有形地表现所载内容的形式。以电子数据交换、电子邮件等方式能够有形地表现所载内容，并可以随时调取查用的数据电文，视为书面形式。</w:t>
      </w:r>
    </w:p>
    <w:p>
      <w:pPr>
        <w:snapToGrid w:val="0"/>
        <w:spacing w:line="360" w:lineRule="auto"/>
        <w:ind w:firstLine="480" w:firstLineChars="200"/>
        <w:jc w:val="left"/>
        <w:rPr>
          <w:rFonts w:hint="eastAsia" w:asciiTheme="minorEastAsia" w:hAnsiTheme="minorEastAsia" w:eastAsiaTheme="minorEastAsia" w:cstheme="minorEastAsia"/>
          <w:b/>
          <w:bCs/>
          <w:color w:val="auto"/>
          <w:kern w:val="0"/>
          <w:sz w:val="24"/>
          <w:szCs w:val="24"/>
          <w:lang w:eastAsia="zh-CN"/>
        </w:rPr>
      </w:pPr>
      <w:r>
        <w:rPr>
          <w:rFonts w:hint="eastAsia" w:asciiTheme="minorEastAsia" w:hAnsiTheme="minorEastAsia" w:eastAsiaTheme="minorEastAsia" w:cstheme="minorEastAsia"/>
          <w:b w:val="0"/>
          <w:bCs/>
          <w:color w:val="auto"/>
          <w:sz w:val="24"/>
          <w:szCs w:val="24"/>
          <w:lang w:val="en-US" w:eastAsia="zh-CN"/>
        </w:rPr>
        <w:t>②</w:t>
      </w:r>
      <w:r>
        <w:rPr>
          <w:rFonts w:hint="eastAsia" w:asciiTheme="minorEastAsia" w:hAnsiTheme="minorEastAsia" w:eastAsiaTheme="minorEastAsia" w:cstheme="minorEastAsia"/>
          <w:b/>
          <w:color w:val="auto"/>
          <w:kern w:val="0"/>
          <w:sz w:val="24"/>
          <w:szCs w:val="24"/>
        </w:rPr>
        <w:t>“复制件”</w:t>
      </w:r>
      <w:r>
        <w:rPr>
          <w:rFonts w:hint="eastAsia" w:asciiTheme="minorEastAsia" w:hAnsiTheme="minorEastAsia" w:eastAsiaTheme="minorEastAsia" w:cstheme="minorEastAsia"/>
          <w:color w:val="auto"/>
          <w:kern w:val="0"/>
          <w:sz w:val="24"/>
          <w:szCs w:val="24"/>
        </w:rPr>
        <w:t>是指原件的复印件或扫描件</w:t>
      </w:r>
      <w:r>
        <w:rPr>
          <w:rFonts w:hint="eastAsia" w:asciiTheme="minorEastAsia" w:hAnsiTheme="minorEastAsia" w:eastAsiaTheme="minorEastAsia" w:cstheme="minorEastAsia"/>
          <w:color w:val="auto"/>
          <w:kern w:val="0"/>
          <w:sz w:val="24"/>
          <w:szCs w:val="24"/>
          <w:lang w:eastAsia="zh-CN"/>
        </w:rPr>
        <w:t>。</w:t>
      </w:r>
    </w:p>
    <w:p>
      <w:pPr>
        <w:snapToGrid w:val="0"/>
        <w:spacing w:line="360" w:lineRule="auto"/>
        <w:ind w:firstLine="357" w:firstLineChars="148"/>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（三）语言</w:t>
      </w:r>
    </w:p>
    <w:p>
      <w:pPr>
        <w:pStyle w:val="390"/>
        <w:spacing w:beforeLines="0" w:afterLines="0" w:line="360" w:lineRule="auto"/>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磋商响应文件及报价人与采购单位之间的与磋商响应文件有关的往来函电和文件均须使用中文。</w:t>
      </w:r>
    </w:p>
    <w:p>
      <w:pPr>
        <w:snapToGrid w:val="0"/>
        <w:spacing w:line="360" w:lineRule="auto"/>
        <w:ind w:firstLine="357" w:firstLineChars="148"/>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（四）其他</w:t>
      </w:r>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bookmarkStart w:id="51" w:name="_Toc5014999"/>
      <w:bookmarkStart w:id="52" w:name="_Toc11860787"/>
      <w:r>
        <w:rPr>
          <w:rFonts w:hint="eastAsia" w:asciiTheme="minorEastAsia" w:hAnsiTheme="minorEastAsia" w:eastAsiaTheme="minorEastAsia" w:cstheme="minorEastAsia"/>
          <w:color w:val="auto"/>
          <w:sz w:val="24"/>
          <w:szCs w:val="24"/>
        </w:rPr>
        <w:t>1.如全权代表不是法定代表人，须有法定代表人出具的授权委托书（格式见</w:t>
      </w:r>
      <w:r>
        <w:rPr>
          <w:rFonts w:hint="eastAsia" w:asciiTheme="minorEastAsia" w:hAnsiTheme="minorEastAsia" w:eastAsiaTheme="minorEastAsia" w:cstheme="minorEastAsia"/>
          <w:color w:val="auto"/>
          <w:sz w:val="24"/>
          <w:szCs w:val="24"/>
          <w:lang w:eastAsia="zh-CN"/>
        </w:rPr>
        <w:t>第六章</w:t>
      </w:r>
      <w:r>
        <w:rPr>
          <w:rFonts w:hint="eastAsia" w:asciiTheme="minorEastAsia" w:hAnsiTheme="minorEastAsia" w:eastAsiaTheme="minorEastAsia" w:cstheme="minorEastAsia"/>
          <w:color w:val="auto"/>
          <w:sz w:val="24"/>
          <w:szCs w:val="24"/>
        </w:rPr>
        <w:t>）。</w:t>
      </w:r>
      <w:bookmarkEnd w:id="51"/>
      <w:bookmarkEnd w:id="52"/>
    </w:p>
    <w:p>
      <w:pPr>
        <w:pStyle w:val="30"/>
        <w:snapToGrid w:val="0"/>
        <w:spacing w:beforeLines="0" w:afterLines="0" w:line="360" w:lineRule="auto"/>
        <w:ind w:left="2" w:leftChars="1"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2.磋商响应方所使用的资格、信誉、荣誉、业绩与企业认证必须为本法人所拥有。其所使用的采购项目实施人员必须为本法人员工（或必须为本法人或其控股公司正式员工）。</w:t>
      </w:r>
    </w:p>
    <w:p>
      <w:pPr>
        <w:snapToGri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3.单位负责人为同一人或者存在直接控股、管理关系的不同供应商，不得参加同一合同项下的政</w:t>
      </w:r>
      <w:r>
        <w:rPr>
          <w:rFonts w:hint="eastAsia" w:asciiTheme="minorEastAsia" w:hAnsiTheme="minorEastAsia" w:eastAsiaTheme="minorEastAsia" w:cstheme="minorEastAsia"/>
          <w:color w:val="auto"/>
          <w:sz w:val="24"/>
          <w:szCs w:val="24"/>
          <w:lang w:eastAsia="zh-CN"/>
        </w:rPr>
        <w:t>企</w:t>
      </w:r>
      <w:r>
        <w:rPr>
          <w:rFonts w:hint="eastAsia" w:asciiTheme="minorEastAsia" w:hAnsiTheme="minorEastAsia" w:eastAsiaTheme="minorEastAsia" w:cstheme="minorEastAsia"/>
          <w:color w:val="auto"/>
          <w:sz w:val="24"/>
          <w:szCs w:val="24"/>
        </w:rPr>
        <w:t>采购活动。</w:t>
      </w:r>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bookmarkStart w:id="53" w:name="_Toc5015000"/>
      <w:bookmarkStart w:id="54" w:name="_Toc11860788"/>
      <w:r>
        <w:rPr>
          <w:rFonts w:hint="eastAsia" w:asciiTheme="minorEastAsia" w:hAnsiTheme="minorEastAsia" w:eastAsiaTheme="minorEastAsia" w:cstheme="minorEastAsia"/>
          <w:color w:val="auto"/>
          <w:sz w:val="24"/>
          <w:szCs w:val="24"/>
        </w:rPr>
        <w:t>4.磋商响应方应仔细阅读竞争性磋商文件的所有内容，按照竞争性磋商文件的要求提交磋商响应文件，并对所提供的全部资料的真实性承担法律责任。</w:t>
      </w:r>
      <w:bookmarkEnd w:id="53"/>
      <w:bookmarkEnd w:id="54"/>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bookmarkStart w:id="55" w:name="_Toc11860789"/>
      <w:bookmarkStart w:id="56" w:name="_Toc5015001"/>
      <w:r>
        <w:rPr>
          <w:rFonts w:hint="eastAsia" w:asciiTheme="minorEastAsia" w:hAnsiTheme="minorEastAsia" w:eastAsiaTheme="minorEastAsia" w:cstheme="minorEastAsia"/>
          <w:b/>
          <w:color w:val="auto"/>
          <w:sz w:val="24"/>
          <w:szCs w:val="24"/>
        </w:rPr>
        <w:t>（五）磋商响应费用</w:t>
      </w:r>
      <w:bookmarkEnd w:id="55"/>
      <w:bookmarkEnd w:id="56"/>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bookmarkStart w:id="57" w:name="_Toc11860790"/>
      <w:bookmarkStart w:id="58" w:name="_Toc5015002"/>
      <w:r>
        <w:rPr>
          <w:rFonts w:hint="eastAsia" w:asciiTheme="minorEastAsia" w:hAnsiTheme="minorEastAsia" w:eastAsiaTheme="minorEastAsia" w:cstheme="minorEastAsia"/>
          <w:color w:val="auto"/>
          <w:sz w:val="24"/>
          <w:szCs w:val="24"/>
        </w:rPr>
        <w:t>不论磋商采购结果如何，磋商响应方均应自行承担所有与磋商响应有关的全部费用（磋商文件有其他规定除外）。</w:t>
      </w:r>
      <w:bookmarkEnd w:id="57"/>
      <w:bookmarkEnd w:id="58"/>
    </w:p>
    <w:p>
      <w:pPr>
        <w:pStyle w:val="13"/>
        <w:widowControl w:val="0"/>
        <w:tabs>
          <w:tab w:val="clear" w:pos="454"/>
        </w:tabs>
        <w:snapToGrid w:val="0"/>
        <w:spacing w:afterLines="0" w:line="360" w:lineRule="auto"/>
        <w:ind w:left="0" w:firstLine="472" w:firstLineChars="196"/>
        <w:rPr>
          <w:rFonts w:hint="eastAsia" w:asciiTheme="minorEastAsia" w:hAnsiTheme="minorEastAsia" w:eastAsiaTheme="minorEastAsia" w:cstheme="minorEastAsia"/>
          <w:b/>
          <w:color w:val="auto"/>
          <w:szCs w:val="24"/>
        </w:rPr>
      </w:pPr>
      <w:r>
        <w:rPr>
          <w:rFonts w:hint="eastAsia" w:asciiTheme="minorEastAsia" w:hAnsiTheme="minorEastAsia" w:eastAsiaTheme="minorEastAsia" w:cstheme="minorEastAsia"/>
          <w:b/>
          <w:color w:val="auto"/>
          <w:szCs w:val="24"/>
        </w:rPr>
        <w:t>（六）联合体投标</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本项目不接受联合体投标。</w:t>
      </w:r>
    </w:p>
    <w:p>
      <w:pPr>
        <w:pStyle w:val="13"/>
        <w:widowControl w:val="0"/>
        <w:tabs>
          <w:tab w:val="clear" w:pos="454"/>
        </w:tabs>
        <w:snapToGrid w:val="0"/>
        <w:spacing w:afterLines="0" w:line="360" w:lineRule="auto"/>
        <w:ind w:left="0" w:firstLine="472" w:firstLineChars="196"/>
        <w:rPr>
          <w:rFonts w:hint="eastAsia" w:asciiTheme="minorEastAsia" w:hAnsiTheme="minorEastAsia" w:eastAsiaTheme="minorEastAsia" w:cstheme="minorEastAsia"/>
          <w:b/>
          <w:color w:val="auto"/>
          <w:szCs w:val="24"/>
        </w:rPr>
      </w:pPr>
      <w:r>
        <w:rPr>
          <w:rFonts w:hint="eastAsia" w:asciiTheme="minorEastAsia" w:hAnsiTheme="minorEastAsia" w:eastAsiaTheme="minorEastAsia" w:cstheme="minorEastAsia"/>
          <w:b/>
          <w:color w:val="auto"/>
          <w:szCs w:val="24"/>
        </w:rPr>
        <w:t>（七）转包或分包</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转包或分包：详见《前附表》。</w:t>
      </w:r>
    </w:p>
    <w:p>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outlineLvl w:val="9"/>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eastAsia="zh-CN"/>
        </w:rPr>
        <w:t>（</w:t>
      </w: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lang w:eastAsia="zh-CN"/>
        </w:rPr>
        <w:t>）特殊供应商参加采购活动的规定</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根据</w:t>
      </w:r>
      <w:r>
        <w:rPr>
          <w:rFonts w:hint="eastAsia" w:asciiTheme="minorEastAsia" w:hAnsiTheme="minorEastAsia" w:eastAsiaTheme="minorEastAsia" w:cstheme="minorEastAsia"/>
          <w:bCs/>
          <w:color w:val="auto"/>
          <w:sz w:val="24"/>
          <w:szCs w:val="24"/>
          <w:lang w:val="en-US" w:eastAsia="zh-CN"/>
        </w:rPr>
        <w:t>相关文件</w:t>
      </w:r>
      <w:r>
        <w:rPr>
          <w:rFonts w:hint="eastAsia" w:asciiTheme="minorEastAsia" w:hAnsiTheme="minorEastAsia" w:eastAsiaTheme="minorEastAsia" w:cstheme="minorEastAsia"/>
          <w:bCs/>
          <w:color w:val="auto"/>
          <w:sz w:val="24"/>
          <w:szCs w:val="24"/>
        </w:rPr>
        <w:t>规定，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本次采购活动。上述单位参加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w:t>
      </w:r>
      <w:r>
        <w:rPr>
          <w:rFonts w:hint="eastAsia" w:asciiTheme="minorEastAsia" w:hAnsiTheme="minorEastAsia" w:eastAsiaTheme="minorEastAsia" w:cstheme="minorEastAsia"/>
          <w:bCs/>
          <w:color w:val="auto"/>
          <w:sz w:val="24"/>
          <w:szCs w:val="24"/>
          <w:lang w:eastAsia="zh-CN"/>
        </w:rPr>
        <w:t>法定代表人（单位负责人、自然人本人）</w:t>
      </w:r>
      <w:r>
        <w:rPr>
          <w:rFonts w:hint="eastAsia" w:asciiTheme="minorEastAsia" w:hAnsiTheme="minorEastAsia" w:eastAsiaTheme="minorEastAsia" w:cstheme="minorEastAsia"/>
          <w:bCs/>
          <w:color w:val="auto"/>
          <w:sz w:val="24"/>
          <w:szCs w:val="24"/>
        </w:rPr>
        <w:t>签署的文件材料具有同等效力。</w:t>
      </w:r>
    </w:p>
    <w:p>
      <w:pPr>
        <w:pStyle w:val="13"/>
        <w:widowControl w:val="0"/>
        <w:tabs>
          <w:tab w:val="clear" w:pos="454"/>
        </w:tabs>
        <w:snapToGrid w:val="0"/>
        <w:spacing w:afterLines="0" w:line="360" w:lineRule="auto"/>
        <w:ind w:left="0" w:firstLine="472" w:firstLineChars="196"/>
        <w:rPr>
          <w:rFonts w:hint="eastAsia" w:asciiTheme="minorEastAsia" w:hAnsiTheme="minorEastAsia" w:eastAsiaTheme="minorEastAsia" w:cstheme="minorEastAsia"/>
          <w:b/>
          <w:color w:val="auto"/>
          <w:szCs w:val="24"/>
          <w:lang w:eastAsia="zh-CN"/>
        </w:rPr>
      </w:pPr>
      <w:r>
        <w:rPr>
          <w:rFonts w:hint="eastAsia" w:asciiTheme="minorEastAsia" w:hAnsiTheme="minorEastAsia" w:eastAsiaTheme="minorEastAsia" w:cstheme="minorEastAsia"/>
          <w:b/>
          <w:color w:val="auto"/>
          <w:szCs w:val="24"/>
          <w:lang w:eastAsia="zh-CN"/>
        </w:rPr>
        <w:t>（</w:t>
      </w:r>
      <w:r>
        <w:rPr>
          <w:rFonts w:hint="eastAsia" w:asciiTheme="minorEastAsia" w:hAnsiTheme="minorEastAsia" w:eastAsiaTheme="minorEastAsia" w:cstheme="minorEastAsia"/>
          <w:b/>
          <w:color w:val="auto"/>
          <w:szCs w:val="24"/>
          <w:lang w:val="en-US" w:eastAsia="zh-CN"/>
        </w:rPr>
        <w:t>九</w:t>
      </w:r>
      <w:r>
        <w:rPr>
          <w:rFonts w:hint="eastAsia" w:asciiTheme="minorEastAsia" w:hAnsiTheme="minorEastAsia" w:eastAsiaTheme="minorEastAsia" w:cstheme="minorEastAsia"/>
          <w:b/>
          <w:color w:val="auto"/>
          <w:szCs w:val="24"/>
          <w:lang w:eastAsia="zh-CN"/>
        </w:rPr>
        <w:t>）</w:t>
      </w:r>
      <w:bookmarkStart w:id="59" w:name="_Toc15715"/>
      <w:r>
        <w:rPr>
          <w:rFonts w:hint="eastAsia" w:asciiTheme="minorEastAsia" w:hAnsiTheme="minorEastAsia" w:eastAsiaTheme="minorEastAsia" w:cstheme="minorEastAsia"/>
          <w:b/>
          <w:color w:val="auto"/>
          <w:sz w:val="24"/>
          <w:szCs w:val="24"/>
        </w:rPr>
        <w:t>关联</w:t>
      </w:r>
      <w:r>
        <w:rPr>
          <w:rFonts w:hint="eastAsia" w:asciiTheme="minorEastAsia" w:hAnsiTheme="minorEastAsia" w:eastAsiaTheme="minorEastAsia" w:cstheme="minorEastAsia"/>
          <w:b/>
          <w:color w:val="auto"/>
          <w:sz w:val="24"/>
          <w:szCs w:val="24"/>
          <w:lang w:eastAsia="zh-CN"/>
        </w:rPr>
        <w:t>投标人</w:t>
      </w:r>
      <w:r>
        <w:rPr>
          <w:rFonts w:hint="eastAsia" w:asciiTheme="minorEastAsia" w:hAnsiTheme="minorEastAsia" w:eastAsiaTheme="minorEastAsia" w:cstheme="minorEastAsia"/>
          <w:b/>
          <w:color w:val="auto"/>
          <w:sz w:val="24"/>
          <w:szCs w:val="24"/>
        </w:rPr>
        <w:t>投标限制</w:t>
      </w:r>
      <w:bookmarkEnd w:id="59"/>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本采购文件所称“关联企业”，是指存在关联关系的企业；“关联关系”的界定适用《中华人民共和国公司法》217条之规定。</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rPr>
        <w:t>单位负责人为同一人或者存在直接控股、管理关系的不同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参加同一合同项下的采购活动的，相关</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均作资格无效处理。</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rPr>
        <w:t>不同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之间存在以下利害关系并且存在影响采购公平竞争行为的，不得参加同一合同项下的采购活动，相关</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的投标均作无效处理：</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（1）法定代表人或负责人或实际控制人是夫妻关系；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（2）法定代表人或负责人或实际控制人是直系血亲关系；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（3）法定代表人或负责人或实际控制人存在三代以内旁系血亲关系；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（4）法定代表人或负责人或实际控制人存在近姻亲关系；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（5）法定代表人或负责人或实际控制人存在股份控制或实际控制关系；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（6）存在共同直接或间接投资设立子公司、联营企业和合营企业情况；</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（7）存在分级代理或代销关系、同一生产制造商关系、管理关系、重要业务（占主营业务收入50%以上）或重要财务往来关系（如融资）等其他实质性控制关系。</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rPr>
        <w:t>除单一来源采购项目外，为采购项目提供整体设计、规范编制或者项目管理、监理、检测等服务的</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，不得再参加该采购项目的其他采购活动，相关</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的投标作无效处理。</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rPr>
        <w:t>（综合评分法、单一产品采购项目适用）提供相同品牌产品且通过资格审查、符合性审查的不同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参加同一合同项下投标的，按一家</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计算，评审后综合得分最高的同品牌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获得</w:t>
      </w:r>
      <w:r>
        <w:rPr>
          <w:rFonts w:hint="eastAsia" w:asciiTheme="minorEastAsia" w:hAnsiTheme="minorEastAsia" w:eastAsiaTheme="minorEastAsia" w:cstheme="minorEastAsia"/>
          <w:bCs/>
          <w:color w:val="auto"/>
          <w:sz w:val="24"/>
          <w:szCs w:val="24"/>
          <w:lang w:eastAsia="zh-CN"/>
        </w:rPr>
        <w:t>中标单位</w:t>
      </w:r>
      <w:r>
        <w:rPr>
          <w:rFonts w:hint="eastAsia" w:asciiTheme="minorEastAsia" w:hAnsiTheme="minorEastAsia" w:eastAsiaTheme="minorEastAsia" w:cstheme="minorEastAsia"/>
          <w:bCs/>
          <w:color w:val="auto"/>
          <w:sz w:val="24"/>
          <w:szCs w:val="24"/>
        </w:rPr>
        <w:t>推荐资格；综合得分相同时，投标报价最低的</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获得</w:t>
      </w:r>
      <w:r>
        <w:rPr>
          <w:rFonts w:hint="eastAsia" w:asciiTheme="minorEastAsia" w:hAnsiTheme="minorEastAsia" w:eastAsiaTheme="minorEastAsia" w:cstheme="minorEastAsia"/>
          <w:bCs/>
          <w:color w:val="auto"/>
          <w:sz w:val="24"/>
          <w:szCs w:val="24"/>
          <w:lang w:eastAsia="zh-CN"/>
        </w:rPr>
        <w:t>中标单位</w:t>
      </w:r>
      <w:r>
        <w:rPr>
          <w:rFonts w:hint="eastAsia" w:asciiTheme="minorEastAsia" w:hAnsiTheme="minorEastAsia" w:eastAsiaTheme="minorEastAsia" w:cstheme="minorEastAsia"/>
          <w:bCs/>
          <w:color w:val="auto"/>
          <w:sz w:val="24"/>
          <w:szCs w:val="24"/>
        </w:rPr>
        <w:t>推荐资格；综合得分和投标报价均相同时，商务技术分最高的</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获得</w:t>
      </w:r>
      <w:r>
        <w:rPr>
          <w:rFonts w:hint="eastAsia" w:asciiTheme="minorEastAsia" w:hAnsiTheme="minorEastAsia" w:eastAsiaTheme="minorEastAsia" w:cstheme="minorEastAsia"/>
          <w:bCs/>
          <w:color w:val="auto"/>
          <w:sz w:val="24"/>
          <w:szCs w:val="24"/>
          <w:lang w:eastAsia="zh-CN"/>
        </w:rPr>
        <w:t>中标单位</w:t>
      </w:r>
      <w:r>
        <w:rPr>
          <w:rFonts w:hint="eastAsia" w:asciiTheme="minorEastAsia" w:hAnsiTheme="minorEastAsia" w:eastAsiaTheme="minorEastAsia" w:cstheme="minorEastAsia"/>
          <w:bCs/>
          <w:color w:val="auto"/>
          <w:sz w:val="24"/>
          <w:szCs w:val="24"/>
        </w:rPr>
        <w:t>推荐资格；综合得分、投标报价、商务技术分均相同时，由评标委员会按少数服从多数的原则，集体决定；其他同品牌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不作为</w:t>
      </w:r>
      <w:r>
        <w:rPr>
          <w:rFonts w:hint="eastAsia" w:asciiTheme="minorEastAsia" w:hAnsiTheme="minorEastAsia" w:eastAsiaTheme="minorEastAsia" w:cstheme="minorEastAsia"/>
          <w:bCs/>
          <w:color w:val="auto"/>
          <w:sz w:val="24"/>
          <w:szCs w:val="24"/>
          <w:lang w:eastAsia="zh-CN"/>
        </w:rPr>
        <w:t>中标候选人</w:t>
      </w:r>
      <w:r>
        <w:rPr>
          <w:rFonts w:hint="eastAsia" w:asciiTheme="minorEastAsia" w:hAnsiTheme="minorEastAsia" w:eastAsiaTheme="minorEastAsia" w:cstheme="minorEastAsia"/>
          <w:bCs/>
          <w:color w:val="auto"/>
          <w:sz w:val="24"/>
          <w:szCs w:val="24"/>
        </w:rPr>
        <w:t>。</w:t>
      </w:r>
    </w:p>
    <w:p>
      <w:pPr>
        <w:pStyle w:val="13"/>
        <w:widowControl w:val="0"/>
        <w:tabs>
          <w:tab w:val="clear" w:pos="454"/>
        </w:tabs>
        <w:snapToGrid w:val="0"/>
        <w:spacing w:afterLines="0" w:line="360" w:lineRule="auto"/>
        <w:ind w:left="0" w:firstLine="470" w:firstLineChars="196"/>
        <w:rPr>
          <w:rFonts w:hint="eastAsia" w:asciiTheme="minorEastAsia" w:hAnsiTheme="minorEastAsia" w:eastAsiaTheme="minorEastAsia" w:cstheme="minorEastAsia"/>
          <w:b/>
          <w:color w:val="auto"/>
          <w:szCs w:val="24"/>
        </w:rPr>
      </w:pPr>
      <w:r>
        <w:rPr>
          <w:rFonts w:hint="eastAsia" w:asciiTheme="minorEastAsia" w:hAnsiTheme="minorEastAsia" w:eastAsiaTheme="minorEastAsia" w:cstheme="minorEastAsia"/>
          <w:bCs/>
          <w:color w:val="auto"/>
          <w:sz w:val="24"/>
          <w:szCs w:val="24"/>
        </w:rPr>
        <w:t>5</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rPr>
        <w:t>（综合评分法、非单一产品采购项目适用）通过资格审查、符合性审查的不同</w:t>
      </w:r>
      <w:r>
        <w:rPr>
          <w:rFonts w:hint="eastAsia" w:asciiTheme="minorEastAsia" w:hAnsiTheme="minorEastAsia" w:eastAsiaTheme="minorEastAsia" w:cstheme="minorEastAsia"/>
          <w:bCs/>
          <w:color w:val="auto"/>
          <w:sz w:val="24"/>
          <w:szCs w:val="24"/>
          <w:lang w:eastAsia="zh-CN"/>
        </w:rPr>
        <w:t>投标人</w:t>
      </w:r>
      <w:r>
        <w:rPr>
          <w:rFonts w:hint="eastAsia" w:asciiTheme="minorEastAsia" w:hAnsiTheme="minorEastAsia" w:eastAsiaTheme="minorEastAsia" w:cstheme="minorEastAsia"/>
          <w:bCs/>
          <w:color w:val="auto"/>
          <w:sz w:val="24"/>
          <w:szCs w:val="24"/>
        </w:rPr>
        <w:t>参加同一合同项下投标时，提供的核心产品品牌均相同的，按照</w:t>
      </w:r>
      <w:r>
        <w:rPr>
          <w:rFonts w:hint="eastAsia" w:asciiTheme="minorEastAsia" w:hAnsiTheme="minorEastAsia" w:eastAsiaTheme="minorEastAsia" w:cstheme="minorEastAsia"/>
          <w:bCs/>
          <w:color w:val="auto"/>
          <w:sz w:val="24"/>
          <w:szCs w:val="24"/>
          <w:lang w:val="en-US" w:eastAsia="zh-CN"/>
        </w:rPr>
        <w:t>上条</w:t>
      </w:r>
      <w:r>
        <w:rPr>
          <w:rFonts w:hint="eastAsia" w:asciiTheme="minorEastAsia" w:hAnsiTheme="minorEastAsia" w:eastAsiaTheme="minorEastAsia" w:cstheme="minorEastAsia"/>
          <w:bCs/>
          <w:color w:val="auto"/>
          <w:sz w:val="24"/>
          <w:szCs w:val="24"/>
        </w:rPr>
        <w:t>款处理</w:t>
      </w:r>
      <w:r>
        <w:rPr>
          <w:rFonts w:hint="eastAsia" w:asciiTheme="minorEastAsia" w:hAnsiTheme="minorEastAsia" w:eastAsiaTheme="minorEastAsia" w:cstheme="minorEastAsia"/>
          <w:bCs/>
          <w:color w:val="auto"/>
          <w:sz w:val="24"/>
          <w:szCs w:val="24"/>
          <w:lang w:eastAsia="zh-CN"/>
        </w:rPr>
        <w:t>。</w:t>
      </w:r>
    </w:p>
    <w:p>
      <w:pPr>
        <w:pStyle w:val="13"/>
        <w:widowControl w:val="0"/>
        <w:tabs>
          <w:tab w:val="clear" w:pos="454"/>
        </w:tabs>
        <w:snapToGrid w:val="0"/>
        <w:spacing w:afterLines="0" w:line="360" w:lineRule="auto"/>
        <w:ind w:left="0" w:firstLine="472" w:firstLineChars="196"/>
        <w:rPr>
          <w:rFonts w:hint="eastAsia" w:asciiTheme="minorEastAsia" w:hAnsiTheme="minorEastAsia" w:eastAsiaTheme="minorEastAsia" w:cstheme="minorEastAsia"/>
          <w:b/>
          <w:color w:val="auto"/>
          <w:szCs w:val="24"/>
          <w:lang w:eastAsia="zh-CN"/>
        </w:rPr>
      </w:pPr>
      <w:r>
        <w:rPr>
          <w:rFonts w:hint="eastAsia" w:asciiTheme="minorEastAsia" w:hAnsiTheme="minorEastAsia" w:eastAsiaTheme="minorEastAsia" w:cstheme="minorEastAsia"/>
          <w:b/>
          <w:color w:val="auto"/>
          <w:szCs w:val="24"/>
        </w:rPr>
        <w:t>（</w:t>
      </w:r>
      <w:r>
        <w:rPr>
          <w:rFonts w:hint="eastAsia" w:asciiTheme="minorEastAsia" w:hAnsiTheme="minorEastAsia" w:eastAsiaTheme="minorEastAsia" w:cstheme="minorEastAsia"/>
          <w:b/>
          <w:color w:val="auto"/>
          <w:szCs w:val="24"/>
          <w:lang w:val="en-US" w:eastAsia="zh-CN"/>
        </w:rPr>
        <w:t>十</w:t>
      </w:r>
      <w:r>
        <w:rPr>
          <w:rFonts w:hint="eastAsia" w:asciiTheme="minorEastAsia" w:hAnsiTheme="minorEastAsia" w:eastAsiaTheme="minorEastAsia" w:cstheme="minorEastAsia"/>
          <w:b/>
          <w:color w:val="auto"/>
          <w:szCs w:val="24"/>
        </w:rPr>
        <w:t>）质疑</w:t>
      </w:r>
      <w:r>
        <w:rPr>
          <w:rFonts w:hint="eastAsia" w:asciiTheme="minorEastAsia" w:hAnsiTheme="minorEastAsia" w:eastAsiaTheme="minorEastAsia" w:cstheme="minorEastAsia"/>
          <w:b/>
          <w:color w:val="auto"/>
          <w:szCs w:val="24"/>
          <w:lang w:eastAsia="zh-CN"/>
        </w:rPr>
        <w:t>和投诉</w:t>
      </w:r>
    </w:p>
    <w:p>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sz w:val="24"/>
          <w:szCs w:val="24"/>
          <w:highlight w:val="none"/>
        </w:rPr>
        <w:t>1.</w:t>
      </w:r>
      <w:r>
        <w:rPr>
          <w:rFonts w:hint="eastAsia" w:asciiTheme="minorEastAsia" w:hAnsiTheme="minorEastAsia" w:eastAsiaTheme="minorEastAsia" w:cstheme="minorEastAsia"/>
          <w:bCs/>
          <w:color w:val="auto"/>
          <w:sz w:val="24"/>
          <w:szCs w:val="24"/>
          <w:highlight w:val="none"/>
          <w:lang w:eastAsia="zh-CN"/>
        </w:rPr>
        <w:t>磋商响应方</w:t>
      </w:r>
      <w:r>
        <w:rPr>
          <w:rFonts w:hint="eastAsia" w:asciiTheme="minorEastAsia" w:hAnsiTheme="minorEastAsia" w:eastAsiaTheme="minorEastAsia" w:cstheme="minorEastAsia"/>
          <w:bCs/>
          <w:color w:val="auto"/>
          <w:sz w:val="24"/>
          <w:szCs w:val="24"/>
          <w:highlight w:val="none"/>
        </w:rPr>
        <w:t>认为</w:t>
      </w:r>
      <w:r>
        <w:rPr>
          <w:rFonts w:hint="eastAsia" w:asciiTheme="minorEastAsia" w:hAnsiTheme="minorEastAsia" w:eastAsiaTheme="minorEastAsia" w:cstheme="minorEastAsia"/>
          <w:bCs/>
          <w:color w:val="auto"/>
          <w:sz w:val="24"/>
          <w:szCs w:val="24"/>
          <w:highlight w:val="none"/>
          <w:lang w:val="en-US" w:eastAsia="zh-CN"/>
        </w:rPr>
        <w:t>磋商</w:t>
      </w:r>
      <w:r>
        <w:rPr>
          <w:rFonts w:hint="eastAsia" w:asciiTheme="minorEastAsia" w:hAnsiTheme="minorEastAsia" w:eastAsiaTheme="minorEastAsia" w:cstheme="minorEastAsia"/>
          <w:bCs/>
          <w:color w:val="auto"/>
          <w:sz w:val="24"/>
          <w:szCs w:val="24"/>
          <w:highlight w:val="none"/>
        </w:rPr>
        <w:t>文件、</w:t>
      </w:r>
      <w:r>
        <w:rPr>
          <w:rFonts w:hint="eastAsia" w:asciiTheme="minorEastAsia" w:hAnsiTheme="minorEastAsia" w:eastAsiaTheme="minorEastAsia" w:cstheme="minorEastAsia"/>
          <w:bCs/>
          <w:color w:val="auto"/>
          <w:sz w:val="24"/>
          <w:szCs w:val="24"/>
          <w:highlight w:val="none"/>
          <w:lang w:val="en-US" w:eastAsia="zh-CN"/>
        </w:rPr>
        <w:t>磋商</w:t>
      </w:r>
      <w:r>
        <w:rPr>
          <w:rFonts w:hint="eastAsia" w:asciiTheme="minorEastAsia" w:hAnsiTheme="minorEastAsia" w:eastAsiaTheme="minorEastAsia" w:cstheme="minorEastAsia"/>
          <w:bCs/>
          <w:color w:val="auto"/>
          <w:sz w:val="24"/>
          <w:szCs w:val="24"/>
          <w:highlight w:val="none"/>
        </w:rPr>
        <w:t>过程或</w:t>
      </w:r>
      <w:r>
        <w:rPr>
          <w:rFonts w:hint="eastAsia" w:asciiTheme="minorEastAsia" w:hAnsiTheme="minorEastAsia" w:eastAsiaTheme="minorEastAsia" w:cstheme="minorEastAsia"/>
          <w:bCs/>
          <w:color w:val="auto"/>
          <w:sz w:val="24"/>
          <w:szCs w:val="24"/>
          <w:highlight w:val="none"/>
          <w:lang w:val="en-US" w:eastAsia="zh-CN"/>
        </w:rPr>
        <w:t>成交</w:t>
      </w:r>
      <w:r>
        <w:rPr>
          <w:rFonts w:hint="eastAsia" w:asciiTheme="minorEastAsia" w:hAnsiTheme="minorEastAsia" w:eastAsiaTheme="minorEastAsia" w:cstheme="minorEastAsia"/>
          <w:bCs/>
          <w:color w:val="auto"/>
          <w:sz w:val="24"/>
          <w:szCs w:val="24"/>
          <w:highlight w:val="none"/>
        </w:rPr>
        <w:t>结果使自己的合法权益受到损害的，应当在知道或者应知其权益受到损害之日起七个工作日内，以书面形式</w:t>
      </w:r>
      <w:r>
        <w:rPr>
          <w:rFonts w:hint="eastAsia" w:asciiTheme="minorEastAsia" w:hAnsiTheme="minorEastAsia" w:eastAsiaTheme="minorEastAsia" w:cstheme="minorEastAsia"/>
          <w:bCs/>
          <w:color w:val="auto"/>
          <w:sz w:val="24"/>
          <w:szCs w:val="24"/>
          <w:highlight w:val="none"/>
          <w:lang w:val="en-US" w:eastAsia="zh-CN"/>
        </w:rPr>
        <w:t>一次性</w:t>
      </w:r>
      <w:r>
        <w:rPr>
          <w:rFonts w:hint="eastAsia" w:asciiTheme="minorEastAsia" w:hAnsiTheme="minorEastAsia" w:eastAsiaTheme="minorEastAsia" w:cstheme="minorEastAsia"/>
          <w:bCs/>
          <w:color w:val="auto"/>
          <w:sz w:val="24"/>
          <w:szCs w:val="24"/>
          <w:highlight w:val="none"/>
        </w:rPr>
        <w:t>向采购人、采购代理机构提出质疑。</w:t>
      </w:r>
      <w:r>
        <w:rPr>
          <w:rFonts w:hint="eastAsia" w:asciiTheme="minorEastAsia" w:hAnsiTheme="minorEastAsia" w:eastAsiaTheme="minorEastAsia" w:cstheme="minorEastAsia"/>
          <w:color w:val="auto"/>
          <w:sz w:val="24"/>
          <w:szCs w:val="24"/>
          <w:highlight w:val="none"/>
        </w:rPr>
        <w:t>磋商响应方对采购单位的质疑答复不满意或者采购单位未在规定时间内作出答复的，可以在答复期满后十五个工作日内向同级采购监督管理部门投诉。</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lang w:eastAsia="zh-CN"/>
        </w:rPr>
        <w:t>上述所指“</w:t>
      </w:r>
      <w:r>
        <w:rPr>
          <w:rFonts w:hint="eastAsia" w:asciiTheme="minorEastAsia" w:hAnsiTheme="minorEastAsia" w:eastAsiaTheme="minorEastAsia" w:cstheme="minorEastAsia"/>
          <w:color w:val="auto"/>
          <w:spacing w:val="-4"/>
          <w:sz w:val="24"/>
          <w:szCs w:val="24"/>
          <w:highlight w:val="none"/>
        </w:rPr>
        <w:t>.磋商响应方应知其权益受到损害之日</w:t>
      </w:r>
      <w:r>
        <w:rPr>
          <w:rFonts w:hint="eastAsia" w:asciiTheme="minorEastAsia" w:hAnsiTheme="minorEastAsia" w:eastAsiaTheme="minorEastAsia" w:cstheme="minorEastAsia"/>
          <w:color w:val="auto"/>
          <w:spacing w:val="-4"/>
          <w:sz w:val="24"/>
          <w:szCs w:val="24"/>
          <w:highlight w:val="none"/>
          <w:lang w:eastAsia="zh-CN"/>
        </w:rPr>
        <w:t>”</w:t>
      </w:r>
      <w:r>
        <w:rPr>
          <w:rFonts w:hint="eastAsia" w:asciiTheme="minorEastAsia" w:hAnsiTheme="minorEastAsia" w:eastAsiaTheme="minorEastAsia" w:cstheme="minorEastAsia"/>
          <w:color w:val="auto"/>
          <w:spacing w:val="-4"/>
          <w:sz w:val="24"/>
          <w:szCs w:val="24"/>
          <w:highlight w:val="none"/>
        </w:rPr>
        <w:t>，是指：</w:t>
      </w:r>
    </w:p>
    <w:p>
      <w:pPr>
        <w:keepNext w:val="0"/>
        <w:keepLines w:val="0"/>
        <w:pageBreakBefore w:val="0"/>
        <w:widowControl w:val="0"/>
        <w:kinsoku/>
        <w:wordWrap/>
        <w:overflowPunct/>
        <w:topLinePunct w:val="0"/>
        <w:autoSpaceDE/>
        <w:autoSpaceDN/>
        <w:bidi w:val="0"/>
        <w:adjustRightInd/>
        <w:snapToGrid/>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（1）对采购文件提出质疑的，为获取采购文件之日或者采购文件公告期限届满之日（采购文件公告期限届满后获取采购文件的，以采购文件公告期限届满之日为准）；</w:t>
      </w:r>
    </w:p>
    <w:p>
      <w:pPr>
        <w:keepNext w:val="0"/>
        <w:keepLines w:val="0"/>
        <w:pageBreakBefore w:val="0"/>
        <w:widowControl w:val="0"/>
        <w:kinsoku/>
        <w:wordWrap/>
        <w:overflowPunct/>
        <w:topLinePunct w:val="0"/>
        <w:autoSpaceDE/>
        <w:autoSpaceDN/>
        <w:bidi w:val="0"/>
        <w:adjustRightInd/>
        <w:snapToGrid/>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rPr>
        <w:t>（2）对采购过程提出质疑的，为各采购程序环节结束之日</w:t>
      </w:r>
      <w:r>
        <w:rPr>
          <w:rFonts w:hint="eastAsia" w:asciiTheme="minorEastAsia" w:hAnsiTheme="minorEastAsia" w:eastAsiaTheme="minorEastAsia" w:cstheme="minorEastAsia"/>
          <w:color w:val="auto"/>
          <w:spacing w:val="-4"/>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rPr>
        <w:t>（3）对中标或者成交结果提出质疑的，为中标或者成交结果公告期限届满之日</w:t>
      </w:r>
      <w:r>
        <w:rPr>
          <w:rFonts w:hint="eastAsia" w:asciiTheme="minorEastAsia" w:hAnsiTheme="minorEastAsia" w:eastAsiaTheme="minorEastAsia" w:cstheme="minorEastAsia"/>
          <w:color w:val="auto"/>
          <w:spacing w:val="-4"/>
          <w:sz w:val="24"/>
          <w:szCs w:val="24"/>
          <w:highlight w:val="none"/>
          <w:lang w:eastAsia="zh-CN"/>
        </w:rPr>
        <w:t>。</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rPr>
        <w:t>2.质疑、投诉应当采用书面形式（原件一式三份），经</w:t>
      </w:r>
      <w:r>
        <w:rPr>
          <w:rFonts w:hint="eastAsia" w:asciiTheme="minorEastAsia" w:hAnsiTheme="minorEastAsia" w:eastAsiaTheme="minorEastAsia" w:cstheme="minorEastAsia"/>
          <w:color w:val="auto"/>
          <w:spacing w:val="-4"/>
          <w:sz w:val="24"/>
          <w:szCs w:val="24"/>
          <w:highlight w:val="none"/>
          <w:lang w:eastAsia="zh-CN"/>
        </w:rPr>
        <w:t>法定代表人（单位负责人、自然人本人）（单位负责人、自然人本人）</w:t>
      </w:r>
      <w:r>
        <w:rPr>
          <w:rFonts w:hint="eastAsia" w:asciiTheme="minorEastAsia" w:hAnsiTheme="minorEastAsia" w:eastAsiaTheme="minorEastAsia" w:cstheme="minorEastAsia"/>
          <w:color w:val="auto"/>
          <w:spacing w:val="-4"/>
          <w:sz w:val="24"/>
          <w:szCs w:val="24"/>
          <w:highlight w:val="none"/>
        </w:rPr>
        <w:t>或其授权代表签署后加盖单位公章，质疑书、投诉书均应明确阐述采购文件、</w:t>
      </w:r>
      <w:r>
        <w:rPr>
          <w:rFonts w:hint="eastAsia" w:asciiTheme="minorEastAsia" w:hAnsiTheme="minorEastAsia" w:eastAsiaTheme="minorEastAsia" w:cstheme="minorEastAsia"/>
          <w:color w:val="auto"/>
          <w:spacing w:val="-4"/>
          <w:sz w:val="24"/>
          <w:szCs w:val="24"/>
          <w:highlight w:val="none"/>
          <w:lang w:val="en-US" w:eastAsia="zh-CN"/>
        </w:rPr>
        <w:t>采购</w:t>
      </w:r>
      <w:r>
        <w:rPr>
          <w:rFonts w:hint="eastAsia" w:asciiTheme="minorEastAsia" w:hAnsiTheme="minorEastAsia" w:eastAsiaTheme="minorEastAsia" w:cstheme="minorEastAsia"/>
          <w:color w:val="auto"/>
          <w:spacing w:val="-4"/>
          <w:sz w:val="24"/>
          <w:szCs w:val="24"/>
          <w:highlight w:val="none"/>
        </w:rPr>
        <w:t>过程和</w:t>
      </w:r>
      <w:r>
        <w:rPr>
          <w:rFonts w:hint="eastAsia" w:asciiTheme="minorEastAsia" w:hAnsiTheme="minorEastAsia" w:eastAsiaTheme="minorEastAsia" w:cstheme="minorEastAsia"/>
          <w:color w:val="auto"/>
          <w:spacing w:val="-4"/>
          <w:sz w:val="24"/>
          <w:szCs w:val="24"/>
          <w:highlight w:val="none"/>
          <w:lang w:val="en-US" w:eastAsia="zh-CN"/>
        </w:rPr>
        <w:t>成交</w:t>
      </w:r>
      <w:r>
        <w:rPr>
          <w:rFonts w:hint="eastAsia" w:asciiTheme="minorEastAsia" w:hAnsiTheme="minorEastAsia" w:eastAsiaTheme="minorEastAsia" w:cstheme="minorEastAsia"/>
          <w:color w:val="auto"/>
          <w:spacing w:val="-4"/>
          <w:sz w:val="24"/>
          <w:szCs w:val="24"/>
          <w:highlight w:val="none"/>
        </w:rPr>
        <w:t>结果中使自己合法权益受到损害的实质性内容，</w:t>
      </w:r>
      <w:r>
        <w:rPr>
          <w:rFonts w:hint="eastAsia" w:asciiTheme="minorEastAsia" w:hAnsiTheme="minorEastAsia" w:eastAsiaTheme="minorEastAsia" w:cstheme="minorEastAsia"/>
          <w:color w:val="auto"/>
          <w:spacing w:val="-4"/>
          <w:sz w:val="24"/>
          <w:szCs w:val="24"/>
          <w:highlight w:val="none"/>
          <w:lang w:eastAsia="zh-CN"/>
        </w:rPr>
        <w:t>投标人</w:t>
      </w:r>
      <w:r>
        <w:rPr>
          <w:rFonts w:hint="eastAsia" w:asciiTheme="minorEastAsia" w:hAnsiTheme="minorEastAsia" w:eastAsiaTheme="minorEastAsia" w:cstheme="minorEastAsia"/>
          <w:color w:val="auto"/>
          <w:spacing w:val="-4"/>
          <w:sz w:val="24"/>
          <w:szCs w:val="24"/>
          <w:highlight w:val="none"/>
        </w:rPr>
        <w:t>提出的质疑、投诉应当有明确的诉求（即通过质疑所要达到的具体目标）和必要的证明材料（即通过合法手段获得的能够证明</w:t>
      </w:r>
      <w:r>
        <w:rPr>
          <w:rFonts w:hint="eastAsia" w:asciiTheme="minorEastAsia" w:hAnsiTheme="minorEastAsia" w:eastAsiaTheme="minorEastAsia" w:cstheme="minorEastAsia"/>
          <w:color w:val="auto"/>
          <w:spacing w:val="-4"/>
          <w:sz w:val="24"/>
          <w:szCs w:val="24"/>
          <w:highlight w:val="none"/>
          <w:lang w:eastAsia="zh-CN"/>
        </w:rPr>
        <w:t>投标人</w:t>
      </w:r>
      <w:r>
        <w:rPr>
          <w:rFonts w:hint="eastAsia" w:asciiTheme="minorEastAsia" w:hAnsiTheme="minorEastAsia" w:eastAsiaTheme="minorEastAsia" w:cstheme="minorEastAsia"/>
          <w:color w:val="auto"/>
          <w:spacing w:val="-4"/>
          <w:sz w:val="24"/>
          <w:szCs w:val="24"/>
          <w:highlight w:val="none"/>
        </w:rPr>
        <w:t>的诉求成立的必要材料</w:t>
      </w:r>
      <w:r>
        <w:rPr>
          <w:rFonts w:hint="eastAsia" w:asciiTheme="minorEastAsia" w:hAnsiTheme="minorEastAsia" w:eastAsiaTheme="minorEastAsia" w:cstheme="minorEastAsia"/>
          <w:color w:val="auto"/>
          <w:spacing w:val="-4"/>
          <w:sz w:val="24"/>
          <w:szCs w:val="24"/>
          <w:highlight w:val="none"/>
          <w:lang w:eastAsia="zh-CN"/>
        </w:rPr>
        <w:t>，</w:t>
      </w:r>
      <w:r>
        <w:rPr>
          <w:rFonts w:hint="eastAsia" w:asciiTheme="minorEastAsia" w:hAnsiTheme="minorEastAsia" w:eastAsiaTheme="minorEastAsia" w:cstheme="minorEastAsia"/>
          <w:color w:val="auto"/>
          <w:spacing w:val="-4"/>
          <w:sz w:val="24"/>
          <w:szCs w:val="24"/>
          <w:highlight w:val="none"/>
          <w:lang w:val="en-US" w:eastAsia="zh-CN"/>
        </w:rPr>
        <w:t>如相关事实、依据和证据及其来源或线索</w:t>
      </w:r>
      <w:r>
        <w:rPr>
          <w:rFonts w:hint="eastAsia" w:asciiTheme="minorEastAsia" w:hAnsiTheme="minorEastAsia" w:eastAsiaTheme="minorEastAsia" w:cstheme="minorEastAsia"/>
          <w:color w:val="auto"/>
          <w:spacing w:val="-4"/>
          <w:sz w:val="24"/>
          <w:szCs w:val="24"/>
          <w:highlight w:val="none"/>
        </w:rPr>
        <w:t>）</w:t>
      </w:r>
      <w:r>
        <w:rPr>
          <w:rFonts w:hint="eastAsia" w:asciiTheme="minorEastAsia" w:hAnsiTheme="minorEastAsia" w:eastAsiaTheme="minorEastAsia" w:cstheme="minorEastAsia"/>
          <w:color w:val="auto"/>
          <w:spacing w:val="-4"/>
          <w:sz w:val="24"/>
          <w:szCs w:val="24"/>
          <w:highlight w:val="none"/>
          <w:lang w:eastAsia="zh-CN"/>
        </w:rPr>
        <w:t>，便于有关单位调查、答复和处理, 质疑函不符合相关规定的，应在规定期限内补齐的，</w:t>
      </w:r>
      <w:r>
        <w:rPr>
          <w:rFonts w:hint="eastAsia" w:asciiTheme="minorEastAsia" w:hAnsiTheme="minorEastAsia" w:eastAsiaTheme="minorEastAsia" w:cstheme="minorEastAsia"/>
          <w:color w:val="auto"/>
          <w:spacing w:val="-4"/>
          <w:sz w:val="24"/>
          <w:szCs w:val="24"/>
          <w:highlight w:val="none"/>
          <w:lang w:val="en-US" w:eastAsia="zh-CN"/>
        </w:rPr>
        <w:t>采购</w:t>
      </w:r>
      <w:r>
        <w:rPr>
          <w:rFonts w:hint="eastAsia" w:asciiTheme="minorEastAsia" w:hAnsiTheme="minorEastAsia" w:eastAsiaTheme="minorEastAsia" w:cstheme="minorEastAsia"/>
          <w:color w:val="auto"/>
          <w:spacing w:val="-4"/>
          <w:sz w:val="24"/>
          <w:szCs w:val="24"/>
          <w:highlight w:val="none"/>
          <w:lang w:eastAsia="zh-CN"/>
        </w:rPr>
        <w:t>方自收到补齐材料之日起受理；逾期未补齐的，按自动撤回质疑处理。</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质疑函应当包括下列内容：</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（1）</w:t>
      </w:r>
      <w:r>
        <w:rPr>
          <w:rFonts w:hint="eastAsia" w:asciiTheme="minorEastAsia" w:hAnsiTheme="minorEastAsia" w:eastAsiaTheme="minorEastAsia" w:cstheme="minorEastAsia"/>
          <w:color w:val="auto"/>
          <w:spacing w:val="-4"/>
          <w:sz w:val="24"/>
          <w:szCs w:val="24"/>
          <w:highlight w:val="none"/>
          <w:lang w:eastAsia="zh-CN"/>
        </w:rPr>
        <w:t>磋商响应方</w:t>
      </w:r>
      <w:r>
        <w:rPr>
          <w:rFonts w:hint="eastAsia" w:asciiTheme="minorEastAsia" w:hAnsiTheme="minorEastAsia" w:eastAsiaTheme="minorEastAsia" w:cstheme="minorEastAsia"/>
          <w:color w:val="auto"/>
          <w:spacing w:val="-4"/>
          <w:sz w:val="24"/>
          <w:szCs w:val="24"/>
          <w:highlight w:val="none"/>
        </w:rPr>
        <w:t>的姓名或者名称、地址、邮编、联系人及联系电话；</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（2）质疑项目的名称、编号；</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（3）具体、明确的质疑事项和与质疑事项相关的请求；</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（4）事实依据；</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color w:val="auto"/>
          <w:spacing w:val="-4"/>
          <w:sz w:val="24"/>
          <w:szCs w:val="24"/>
          <w:highlight w:val="none"/>
        </w:rPr>
      </w:pPr>
      <w:r>
        <w:rPr>
          <w:rFonts w:hint="eastAsia" w:asciiTheme="minorEastAsia" w:hAnsiTheme="minorEastAsia" w:eastAsiaTheme="minorEastAsia" w:cstheme="minorEastAsia"/>
          <w:color w:val="auto"/>
          <w:spacing w:val="-4"/>
          <w:sz w:val="24"/>
          <w:szCs w:val="24"/>
          <w:highlight w:val="none"/>
        </w:rPr>
        <w:t>（5）必要的法律依据；</w:t>
      </w:r>
    </w:p>
    <w:p>
      <w:pPr>
        <w:keepNext w:val="0"/>
        <w:keepLines w:val="0"/>
        <w:pageBreakBefore w:val="0"/>
        <w:widowControl w:val="0"/>
        <w:kinsoku/>
        <w:wordWrap/>
        <w:overflowPunct/>
        <w:topLinePunct w:val="0"/>
        <w:autoSpaceDE/>
        <w:autoSpaceDN/>
        <w:bidi w:val="0"/>
        <w:spacing w:line="360" w:lineRule="auto"/>
        <w:ind w:firstLine="464" w:firstLineChars="200"/>
        <w:jc w:val="left"/>
        <w:textAlignment w:val="auto"/>
        <w:outlineLvl w:val="9"/>
        <w:rPr>
          <w:rFonts w:hint="eastAsia" w:asciiTheme="minorEastAsia" w:hAnsiTheme="minorEastAsia" w:eastAsiaTheme="minorEastAsia" w:cstheme="minorEastAsia"/>
          <w:b w:val="0"/>
          <w:bCs/>
          <w:color w:val="auto"/>
          <w:kern w:val="0"/>
          <w:sz w:val="24"/>
          <w:szCs w:val="24"/>
          <w:highlight w:val="none"/>
          <w:lang w:val="en-US" w:eastAsia="zh-CN" w:bidi="ar-SA"/>
        </w:rPr>
      </w:pPr>
      <w:r>
        <w:rPr>
          <w:rFonts w:hint="eastAsia" w:asciiTheme="minorEastAsia" w:hAnsiTheme="minorEastAsia" w:eastAsiaTheme="minorEastAsia" w:cstheme="minorEastAsia"/>
          <w:color w:val="auto"/>
          <w:spacing w:val="-4"/>
          <w:sz w:val="24"/>
          <w:szCs w:val="24"/>
          <w:highlight w:val="none"/>
        </w:rPr>
        <w:t>（6）提出质疑的日期。</w:t>
      </w:r>
    </w:p>
    <w:p>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outlineLvl w:val="9"/>
        <w:rPr>
          <w:rFonts w:hint="eastAsia" w:asciiTheme="minorEastAsia" w:hAnsiTheme="minorEastAsia" w:eastAsiaTheme="minorEastAsia" w:cstheme="minorEastAsia"/>
          <w:b/>
          <w:color w:val="auto"/>
          <w:kern w:val="0"/>
          <w:sz w:val="24"/>
          <w:szCs w:val="24"/>
          <w:highlight w:val="none"/>
          <w:lang w:val="en-US" w:eastAsia="zh-CN" w:bidi="ar-SA"/>
        </w:rPr>
      </w:pPr>
      <w:r>
        <w:rPr>
          <w:rFonts w:hint="eastAsia" w:asciiTheme="minorEastAsia" w:hAnsiTheme="minorEastAsia" w:eastAsiaTheme="minorEastAsia" w:cstheme="minorEastAsia"/>
          <w:b/>
          <w:color w:val="auto"/>
          <w:kern w:val="0"/>
          <w:sz w:val="24"/>
          <w:szCs w:val="24"/>
          <w:highlight w:val="none"/>
          <w:lang w:val="en-US" w:eastAsia="zh-CN" w:bidi="ar-SA"/>
        </w:rPr>
        <w:t>3.磋商响应方为自然人的，应当由本人签字并附上身份证明；磋商响应方为法人或者其他组织的，应当由法定代表人（单位负责人、自然人本人）或者其授权代表签字或者盖章，并加盖公章。</w:t>
      </w:r>
    </w:p>
    <w:p>
      <w:pPr>
        <w:widowControl/>
        <w:spacing w:line="360" w:lineRule="auto"/>
        <w:ind w:firstLine="482" w:firstLineChars="200"/>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kern w:val="0"/>
          <w:sz w:val="24"/>
          <w:szCs w:val="24"/>
          <w:highlight w:val="none"/>
          <w:lang w:val="en-US" w:eastAsia="zh-CN" w:bidi="ar-SA"/>
        </w:rPr>
        <w:t>4.对同一采购程序环节的质疑，磋商响应方须在法定质疑期内一次性提出</w:t>
      </w:r>
      <w:r>
        <w:rPr>
          <w:rFonts w:hint="eastAsia" w:asciiTheme="minorEastAsia" w:hAnsiTheme="minorEastAsia" w:eastAsiaTheme="minorEastAsia" w:cstheme="minorEastAsia"/>
          <w:bCs/>
          <w:snapToGrid w:val="0"/>
          <w:color w:val="auto"/>
          <w:sz w:val="24"/>
          <w:szCs w:val="24"/>
        </w:rPr>
        <w:t>。</w:t>
      </w:r>
    </w:p>
    <w:p>
      <w:pPr>
        <w:pStyle w:val="30"/>
        <w:snapToGrid w:val="0"/>
        <w:spacing w:beforeLines="0" w:afterLines="0" w:line="360" w:lineRule="auto"/>
        <w:ind w:firstLine="472" w:firstLineChars="196"/>
        <w:outlineLvl w:val="9"/>
        <w:rPr>
          <w:rFonts w:hint="eastAsia" w:asciiTheme="minorEastAsia" w:hAnsiTheme="minorEastAsia" w:eastAsiaTheme="minorEastAsia" w:cstheme="minorEastAsia"/>
          <w:b/>
          <w:color w:val="auto"/>
          <w:szCs w:val="24"/>
        </w:rPr>
      </w:pPr>
      <w:bookmarkStart w:id="60" w:name="_Toc11860794"/>
      <w:bookmarkStart w:id="61" w:name="_Toc5015006"/>
      <w:r>
        <w:rPr>
          <w:rFonts w:hint="eastAsia" w:asciiTheme="minorEastAsia" w:hAnsiTheme="minorEastAsia" w:eastAsiaTheme="minorEastAsia" w:cstheme="minorEastAsia"/>
          <w:b/>
          <w:color w:val="auto"/>
          <w:szCs w:val="24"/>
        </w:rPr>
        <w:t>（十</w:t>
      </w:r>
      <w:r>
        <w:rPr>
          <w:rFonts w:hint="eastAsia" w:asciiTheme="minorEastAsia" w:hAnsiTheme="minorEastAsia" w:eastAsiaTheme="minorEastAsia" w:cstheme="minorEastAsia"/>
          <w:b/>
          <w:color w:val="auto"/>
          <w:szCs w:val="24"/>
          <w:lang w:val="en-US" w:eastAsia="zh-CN"/>
        </w:rPr>
        <w:t>一</w:t>
      </w:r>
      <w:r>
        <w:rPr>
          <w:rFonts w:hint="eastAsia" w:asciiTheme="minorEastAsia" w:hAnsiTheme="minorEastAsia" w:eastAsiaTheme="minorEastAsia" w:cstheme="minorEastAsia"/>
          <w:b/>
          <w:color w:val="auto"/>
          <w:szCs w:val="24"/>
        </w:rPr>
        <w:t>）磋商文件的澄清与修改</w:t>
      </w:r>
    </w:p>
    <w:p>
      <w:pPr>
        <w:pStyle w:val="30"/>
        <w:snapToGrid w:val="0"/>
        <w:spacing w:beforeLines="0" w:afterLines="0" w:line="360" w:lineRule="auto"/>
        <w:ind w:firstLine="470" w:firstLineChars="196"/>
        <w:outlineLvl w:val="9"/>
        <w:rPr>
          <w:rFonts w:hint="eastAsia" w:asciiTheme="minorEastAsia" w:hAnsiTheme="minorEastAsia" w:eastAsiaTheme="minorEastAsia" w:cstheme="minorEastAsia"/>
          <w:b w:val="0"/>
          <w:bCs/>
          <w:color w:val="auto"/>
          <w:szCs w:val="24"/>
        </w:rPr>
      </w:pPr>
      <w:r>
        <w:rPr>
          <w:rFonts w:hint="eastAsia" w:asciiTheme="minorEastAsia" w:hAnsiTheme="minorEastAsia" w:eastAsiaTheme="minorEastAsia" w:cstheme="minorEastAsia"/>
          <w:b w:val="0"/>
          <w:bCs/>
          <w:color w:val="auto"/>
          <w:szCs w:val="24"/>
        </w:rPr>
        <w:t>1.磋商响应方应认真阅读本磋商文件，发现其中有误或有不合理要求的，磋商响应方应当在磋商响应截止之日三个工作日前以书面形式向</w:t>
      </w:r>
      <w:r>
        <w:rPr>
          <w:rFonts w:hint="eastAsia" w:asciiTheme="minorEastAsia" w:hAnsiTheme="minorEastAsia" w:eastAsiaTheme="minorEastAsia" w:cstheme="minorEastAsia"/>
          <w:b w:val="0"/>
          <w:bCs/>
          <w:color w:val="auto"/>
          <w:szCs w:val="24"/>
          <w:lang w:eastAsia="zh-CN"/>
        </w:rPr>
        <w:t>浙江筑脸全过程工程咨询有限公司</w:t>
      </w:r>
      <w:r>
        <w:rPr>
          <w:rFonts w:hint="eastAsia" w:asciiTheme="minorEastAsia" w:hAnsiTheme="minorEastAsia" w:eastAsiaTheme="minorEastAsia" w:cstheme="minorEastAsia"/>
          <w:b w:val="0"/>
          <w:bCs/>
          <w:color w:val="auto"/>
          <w:szCs w:val="24"/>
        </w:rPr>
        <w:t>提出。</w:t>
      </w:r>
      <w:r>
        <w:rPr>
          <w:rFonts w:hint="eastAsia" w:asciiTheme="minorEastAsia" w:hAnsiTheme="minorEastAsia" w:eastAsiaTheme="minorEastAsia" w:cstheme="minorEastAsia"/>
          <w:b w:val="0"/>
          <w:bCs/>
          <w:color w:val="auto"/>
          <w:szCs w:val="24"/>
          <w:lang w:eastAsia="zh-CN"/>
        </w:rPr>
        <w:t>浙江筑脸全过程工程咨询有限公司</w:t>
      </w:r>
      <w:r>
        <w:rPr>
          <w:rFonts w:hint="eastAsia" w:asciiTheme="minorEastAsia" w:hAnsiTheme="minorEastAsia" w:eastAsiaTheme="minorEastAsia" w:cstheme="minorEastAsia"/>
          <w:b w:val="0"/>
          <w:bCs/>
          <w:color w:val="auto"/>
          <w:szCs w:val="24"/>
        </w:rPr>
        <w:t>将在规定的时间内，在相关部门指定的采购信息发布媒体上发布更正公告，并以书面形式通知所有磋商文件收受人。</w:t>
      </w:r>
    </w:p>
    <w:p>
      <w:pPr>
        <w:pStyle w:val="30"/>
        <w:snapToGrid w:val="0"/>
        <w:spacing w:beforeLines="0" w:afterLines="0" w:line="360" w:lineRule="auto"/>
        <w:ind w:firstLine="470" w:firstLineChars="196"/>
        <w:outlineLvl w:val="9"/>
        <w:rPr>
          <w:rFonts w:hint="eastAsia" w:asciiTheme="minorEastAsia" w:hAnsiTheme="minorEastAsia" w:eastAsiaTheme="minorEastAsia" w:cstheme="minorEastAsia"/>
          <w:b w:val="0"/>
          <w:bCs/>
          <w:color w:val="auto"/>
          <w:szCs w:val="24"/>
        </w:rPr>
      </w:pPr>
      <w:r>
        <w:rPr>
          <w:rFonts w:hint="eastAsia" w:asciiTheme="minorEastAsia" w:hAnsiTheme="minorEastAsia" w:eastAsiaTheme="minorEastAsia" w:cstheme="minorEastAsia"/>
          <w:b w:val="0"/>
          <w:bCs/>
          <w:color w:val="auto"/>
          <w:szCs w:val="24"/>
        </w:rPr>
        <w:t>2.在磋商过程中，磋商小组可以根据磋商文件和磋商情况实质性变动采购需求中的技术、服务要求以及合同草案条款，但不得变动磋商文件中的其他内容。实质性变动的内容，须经采购人代表确认，该实质性变动是磋商文件的有效组成部分，并以书面形式同时通知所有参加磋商的磋商响应方。磋商响应方应当按照磋商文件的变动情况和磋商小组的要求重新提交磋商响应文件，并由其法定代表人或授权代表签字或者加盖公章。</w:t>
      </w:r>
    </w:p>
    <w:p>
      <w:pPr>
        <w:pStyle w:val="30"/>
        <w:snapToGrid w:val="0"/>
        <w:spacing w:beforeLines="0" w:afterLines="0" w:line="360" w:lineRule="auto"/>
        <w:ind w:firstLine="470" w:firstLineChars="196"/>
        <w:outlineLvl w:val="9"/>
        <w:rPr>
          <w:rFonts w:hint="eastAsia" w:asciiTheme="minorEastAsia" w:hAnsiTheme="minorEastAsia" w:eastAsiaTheme="minorEastAsia" w:cstheme="minorEastAsia"/>
          <w:b w:val="0"/>
          <w:bCs/>
          <w:color w:val="auto"/>
          <w:szCs w:val="24"/>
        </w:rPr>
      </w:pPr>
      <w:r>
        <w:rPr>
          <w:rFonts w:hint="eastAsia" w:asciiTheme="minorEastAsia" w:hAnsiTheme="minorEastAsia" w:eastAsiaTheme="minorEastAsia" w:cstheme="minorEastAsia"/>
          <w:b w:val="0"/>
          <w:bCs/>
          <w:color w:val="auto"/>
          <w:szCs w:val="24"/>
        </w:rPr>
        <w:t>3.磋商文件澄清、答复、修改、补充的内容为磋商文件的组成部分。当磋商文件与磋商文件的答复、澄清、修改、补充通知就同一内容的表述不一致时，以最后发出的书面文件为准。</w:t>
      </w:r>
    </w:p>
    <w:p>
      <w:pPr>
        <w:pStyle w:val="30"/>
        <w:snapToGrid w:val="0"/>
        <w:spacing w:beforeLines="0" w:afterLines="0" w:line="360" w:lineRule="auto"/>
        <w:ind w:firstLine="472" w:firstLineChars="196"/>
        <w:outlineLvl w:val="9"/>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Cs w:val="24"/>
        </w:rPr>
        <w:t>（十</w:t>
      </w:r>
      <w:r>
        <w:rPr>
          <w:rFonts w:hint="eastAsia" w:asciiTheme="minorEastAsia" w:hAnsiTheme="minorEastAsia" w:eastAsiaTheme="minorEastAsia" w:cstheme="minorEastAsia"/>
          <w:b/>
          <w:color w:val="auto"/>
          <w:szCs w:val="24"/>
          <w:lang w:val="en-US" w:eastAsia="zh-CN"/>
        </w:rPr>
        <w:t>二</w:t>
      </w:r>
      <w:r>
        <w:rPr>
          <w:rFonts w:hint="eastAsia" w:asciiTheme="minorEastAsia" w:hAnsiTheme="minorEastAsia" w:eastAsiaTheme="minorEastAsia" w:cstheme="minorEastAsia"/>
          <w:b/>
          <w:color w:val="auto"/>
          <w:szCs w:val="24"/>
        </w:rPr>
        <w:t>）在磋商过程中，因磋商小组实质性变动了采购需求，已提交磋商响应文件的磋商响应方，在提交最后报价之前，可以根据磋商情况退出磋商</w:t>
      </w:r>
      <w:r>
        <w:rPr>
          <w:rFonts w:hint="eastAsia" w:asciiTheme="minorEastAsia" w:hAnsiTheme="minorEastAsia" w:eastAsiaTheme="minorEastAsia" w:cstheme="minorEastAsia"/>
          <w:b/>
          <w:bCs/>
          <w:color w:val="auto"/>
        </w:rPr>
        <w:t>。</w:t>
      </w:r>
      <w:bookmarkEnd w:id="60"/>
      <w:bookmarkEnd w:id="61"/>
    </w:p>
    <w:p>
      <w:pPr>
        <w:snapToGrid w:val="0"/>
        <w:spacing w:line="360" w:lineRule="auto"/>
        <w:ind w:firstLine="482" w:firstLineChars="200"/>
        <w:jc w:val="left"/>
        <w:outlineLvl w:val="1"/>
        <w:rPr>
          <w:rFonts w:hint="eastAsia" w:asciiTheme="minorEastAsia" w:hAnsiTheme="minorEastAsia" w:eastAsiaTheme="minorEastAsia" w:cstheme="minorEastAsia"/>
          <w:b/>
          <w:color w:val="auto"/>
          <w:sz w:val="24"/>
          <w:szCs w:val="24"/>
        </w:rPr>
      </w:pPr>
      <w:bookmarkStart w:id="62" w:name="_Toc24460"/>
      <w:r>
        <w:rPr>
          <w:rFonts w:hint="eastAsia" w:asciiTheme="minorEastAsia" w:hAnsiTheme="minorEastAsia" w:eastAsiaTheme="minorEastAsia" w:cstheme="minorEastAsia"/>
          <w:b/>
          <w:color w:val="auto"/>
          <w:sz w:val="24"/>
          <w:szCs w:val="24"/>
        </w:rPr>
        <w:t>二、磋商响应文件的编制</w:t>
      </w:r>
      <w:bookmarkEnd w:id="62"/>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（一）磋商响应文件的形式和效力</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电子磋商响应文件（包括“电子加密磋商响应文件”和“备份磋商响应文件”，在磋商响应文件编制完成后同时生成）；</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1.“电子加密磋商响应文件”是指通过“</w:t>
      </w:r>
      <w:r>
        <w:rPr>
          <w:rFonts w:hint="eastAsia" w:asciiTheme="minorEastAsia" w:hAnsiTheme="minorEastAsia" w:eastAsiaTheme="minorEastAsia" w:cstheme="minorEastAsia"/>
          <w:color w:val="auto"/>
          <w:sz w:val="24"/>
          <w:szCs w:val="24"/>
          <w:lang w:eastAsia="zh-CN"/>
        </w:rPr>
        <w:t>乐</w:t>
      </w:r>
      <w:r>
        <w:rPr>
          <w:rFonts w:hint="eastAsia" w:asciiTheme="minorEastAsia" w:hAnsiTheme="minorEastAsia" w:eastAsiaTheme="minorEastAsia" w:cstheme="minorEastAsia"/>
          <w:color w:val="auto"/>
          <w:sz w:val="24"/>
          <w:szCs w:val="24"/>
        </w:rPr>
        <w:t>采云电子交易客户端”完成磋商响应文件编制后生成并加密的数据电文形式的磋商响应文件。</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2.“备份磋商响应文件”是指与“电子加密磋商响应文件”同时生成的数据电文形式的电子文件（备份标书），其他方式编制的备份磋商响应文件视为无效备份磋商响应文件。</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3.磋商响应文件的效力</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（1）磋商响应文件的启用，按先后顺位分别为电子加密磋商响应文件、备份磋商响应文件。在下一顺位的磋商响应文件启用时，前一顺位的磋商响应文件自动失效。</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（2）磋商响应文件未按时解密</w:t>
      </w:r>
      <w:r>
        <w:rPr>
          <w:rFonts w:hint="eastAsia" w:asciiTheme="minorEastAsia" w:hAnsiTheme="minorEastAsia" w:eastAsiaTheme="minorEastAsia" w:cstheme="minorEastAsia"/>
          <w:b w:val="0"/>
          <w:bCs w:val="0"/>
          <w:color w:val="auto"/>
          <w:sz w:val="24"/>
          <w:szCs w:val="24"/>
        </w:rPr>
        <w:t>，磋商响应方</w:t>
      </w:r>
      <w:r>
        <w:rPr>
          <w:rFonts w:hint="eastAsia" w:asciiTheme="minorEastAsia" w:hAnsiTheme="minorEastAsia" w:eastAsiaTheme="minorEastAsia" w:cstheme="minorEastAsia"/>
          <w:color w:val="auto"/>
          <w:sz w:val="24"/>
          <w:szCs w:val="24"/>
        </w:rPr>
        <w:t>提供了备份磋商响应文件的，以备份磋商响应文件作为依据，否则视为磋商响应文件撤回。磋商响应文件已按时解密的，备份磋商响应文件自动失效。</w:t>
      </w:r>
    </w:p>
    <w:p>
      <w:pPr>
        <w:snapToGrid w:val="0"/>
        <w:spacing w:line="360" w:lineRule="auto"/>
        <w:ind w:firstLine="482" w:firstLineChars="200"/>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（二）磋商响应文件的组成</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磋商响应文件组成为</w:t>
      </w:r>
      <w:r>
        <w:rPr>
          <w:rFonts w:hint="eastAsia" w:asciiTheme="minorEastAsia" w:hAnsiTheme="minorEastAsia" w:eastAsiaTheme="minorEastAsia" w:cstheme="minorEastAsia"/>
          <w:bCs/>
          <w:color w:val="auto"/>
          <w:sz w:val="24"/>
          <w:szCs w:val="24"/>
        </w:rPr>
        <w:t>资格文件</w:t>
      </w:r>
      <w:r>
        <w:rPr>
          <w:rFonts w:hint="eastAsia" w:asciiTheme="minorEastAsia" w:hAnsiTheme="minorEastAsia" w:eastAsiaTheme="minorEastAsia" w:cstheme="minorEastAsia"/>
          <w:color w:val="auto"/>
          <w:sz w:val="24"/>
          <w:szCs w:val="24"/>
        </w:rPr>
        <w:t>、商务技术文件、报价文件</w:t>
      </w:r>
      <w:r>
        <w:rPr>
          <w:rFonts w:hint="eastAsia" w:asciiTheme="minorEastAsia" w:hAnsiTheme="minorEastAsia" w:eastAsiaTheme="minorEastAsia" w:cstheme="minorEastAsia"/>
          <w:color w:val="auto"/>
          <w:sz w:val="24"/>
          <w:szCs w:val="24"/>
          <w:lang w:val="en-US" w:eastAsia="zh-CN"/>
        </w:rPr>
        <w:t>三部分</w:t>
      </w:r>
      <w:r>
        <w:rPr>
          <w:rFonts w:hint="eastAsia" w:asciiTheme="minorEastAsia" w:hAnsiTheme="minorEastAsia" w:eastAsiaTheme="minorEastAsia" w:cstheme="minorEastAsia"/>
          <w:color w:val="auto"/>
          <w:sz w:val="24"/>
          <w:szCs w:val="24"/>
        </w:rPr>
        <w:t>组成。其中电子磋商响应文件中所须加盖公章部分均采用CA签章。</w:t>
      </w:r>
    </w:p>
    <w:p>
      <w:pPr>
        <w:pageBreakBefore w:val="0"/>
        <w:kinsoku/>
        <w:wordWrap/>
        <w:overflowPunct/>
        <w:topLinePunct w:val="0"/>
        <w:bidi w:val="0"/>
        <w:snapToGrid w:val="0"/>
        <w:spacing w:line="500" w:lineRule="exact"/>
        <w:ind w:firstLine="482"/>
        <w:textAlignment w:val="auto"/>
        <w:rPr>
          <w:highlight w:val="none"/>
        </w:rPr>
      </w:pPr>
      <w:bookmarkStart w:id="63" w:name="_Toc451762176"/>
      <w:bookmarkStart w:id="64" w:name="_Toc451762245"/>
      <w:r>
        <w:rPr>
          <w:rFonts w:hint="eastAsia" w:ascii="宋体" w:hAnsi="宋体" w:cs="宋体"/>
          <w:b/>
          <w:color w:val="000000"/>
          <w:highlight w:val="none"/>
        </w:rPr>
        <w:t>资格文件的组成</w:t>
      </w:r>
      <w:r>
        <w:rPr>
          <w:rFonts w:hint="eastAsia" w:ascii="宋体" w:hAnsi="宋体" w:cs="宋体"/>
          <w:b/>
          <w:bCs/>
          <w:color w:val="000000"/>
          <w:highlight w:val="none"/>
        </w:rPr>
        <w:t>（均需加盖公章）</w:t>
      </w:r>
      <w:r>
        <w:rPr>
          <w:rFonts w:hint="eastAsia" w:ascii="宋体" w:hAnsi="宋体" w:cs="宋体"/>
          <w:b/>
          <w:color w:val="000000"/>
          <w:highlight w:val="none"/>
        </w:rPr>
        <w:t>：</w:t>
      </w:r>
    </w:p>
    <w:tbl>
      <w:tblPr>
        <w:tblStyle w:val="55"/>
        <w:tblW w:w="10003" w:type="dxa"/>
        <w:tblInd w:w="-245" w:type="dxa"/>
        <w:tblLayout w:type="fixed"/>
        <w:tblCellMar>
          <w:top w:w="0" w:type="dxa"/>
          <w:left w:w="0" w:type="dxa"/>
          <w:bottom w:w="0" w:type="dxa"/>
          <w:right w:w="0" w:type="dxa"/>
        </w:tblCellMar>
      </w:tblPr>
      <w:tblGrid>
        <w:gridCol w:w="780"/>
        <w:gridCol w:w="7246"/>
        <w:gridCol w:w="1977"/>
      </w:tblGrid>
      <w:tr>
        <w:tblPrEx>
          <w:tblCellMar>
            <w:top w:w="0" w:type="dxa"/>
            <w:left w:w="0" w:type="dxa"/>
            <w:bottom w:w="0" w:type="dxa"/>
            <w:right w:w="0" w:type="dxa"/>
          </w:tblCellMar>
        </w:tblPrEx>
        <w:trPr>
          <w:trHeight w:val="66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highlight w:val="none"/>
              </w:rPr>
            </w:pPr>
            <w:r>
              <w:rPr>
                <w:rFonts w:ascii="宋体" w:hAnsi="宋体" w:cs="宋体"/>
                <w:sz w:val="24"/>
                <w:highlight w:val="none"/>
              </w:rPr>
              <w:t>序号</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right="1" w:firstLine="0" w:firstLineChars="0"/>
              <w:jc w:val="center"/>
              <w:textAlignment w:val="auto"/>
              <w:rPr>
                <w:rFonts w:ascii="宋体" w:hAnsi="宋体" w:cs="宋体"/>
                <w:sz w:val="24"/>
                <w:highlight w:val="none"/>
              </w:rPr>
            </w:pPr>
            <w:r>
              <w:rPr>
                <w:rFonts w:ascii="宋体" w:hAnsi="宋体" w:cs="宋体"/>
                <w:sz w:val="24"/>
                <w:highlight w:val="none"/>
              </w:rPr>
              <w:t>内容</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highlight w:val="none"/>
              </w:rPr>
            </w:pPr>
            <w:r>
              <w:rPr>
                <w:rFonts w:ascii="宋体" w:hAnsi="宋体" w:cs="宋体"/>
                <w:sz w:val="24"/>
                <w:highlight w:val="none"/>
              </w:rPr>
              <w:t>备注</w:t>
            </w:r>
          </w:p>
        </w:tc>
      </w:tr>
      <w:tr>
        <w:tblPrEx>
          <w:tblCellMar>
            <w:top w:w="0" w:type="dxa"/>
            <w:left w:w="0" w:type="dxa"/>
            <w:bottom w:w="0" w:type="dxa"/>
            <w:right w:w="0" w:type="dxa"/>
          </w:tblCellMar>
        </w:tblPrEx>
        <w:trPr>
          <w:trHeight w:val="64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1</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textAlignment w:val="auto"/>
              <w:rPr>
                <w:rFonts w:ascii="宋体" w:hAnsi="宋体" w:cs="宋体"/>
                <w:sz w:val="24"/>
                <w:szCs w:val="24"/>
                <w:highlight w:val="none"/>
              </w:rPr>
            </w:pPr>
            <w:r>
              <w:rPr>
                <w:rFonts w:ascii="宋体" w:hAnsi="宋体" w:cs="宋体"/>
                <w:sz w:val="24"/>
                <w:szCs w:val="24"/>
                <w:highlight w:val="none"/>
              </w:rPr>
              <w:t>封面</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59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2</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textAlignment w:val="auto"/>
              <w:rPr>
                <w:rFonts w:ascii="宋体" w:hAnsi="宋体" w:cs="宋体"/>
                <w:sz w:val="24"/>
                <w:szCs w:val="24"/>
                <w:highlight w:val="none"/>
              </w:rPr>
            </w:pPr>
            <w:r>
              <w:rPr>
                <w:rFonts w:ascii="宋体" w:hAnsi="宋体" w:cs="宋体"/>
                <w:sz w:val="24"/>
                <w:szCs w:val="24"/>
                <w:highlight w:val="none"/>
              </w:rPr>
              <w:t>目录</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highlight w:val="none"/>
              </w:rPr>
            </w:pPr>
            <w:r>
              <w:rPr>
                <w:rFonts w:ascii="宋体" w:hAnsi="宋体" w:cs="宋体"/>
                <w:sz w:val="24"/>
                <w:highlight w:val="none"/>
              </w:rPr>
              <w:t>格式、内容自拟</w:t>
            </w:r>
          </w:p>
        </w:tc>
      </w:tr>
      <w:tr>
        <w:tblPrEx>
          <w:tblCellMar>
            <w:top w:w="0" w:type="dxa"/>
            <w:left w:w="0" w:type="dxa"/>
            <w:bottom w:w="0" w:type="dxa"/>
            <w:right w:w="0" w:type="dxa"/>
          </w:tblCellMar>
        </w:tblPrEx>
        <w:trPr>
          <w:trHeight w:val="62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3</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textAlignment w:val="auto"/>
              <w:rPr>
                <w:rFonts w:ascii="宋体" w:hAnsi="宋体" w:cs="宋体"/>
                <w:sz w:val="24"/>
                <w:szCs w:val="24"/>
                <w:highlight w:val="none"/>
              </w:rPr>
            </w:pPr>
            <w:r>
              <w:rPr>
                <w:rFonts w:ascii="宋体" w:hAnsi="宋体" w:cs="宋体"/>
                <w:sz w:val="24"/>
                <w:szCs w:val="24"/>
                <w:highlight w:val="none"/>
              </w:rPr>
              <w:t>投标</w:t>
            </w:r>
            <w:r>
              <w:rPr>
                <w:rFonts w:hint="eastAsia" w:cs="宋体"/>
                <w:sz w:val="24"/>
                <w:szCs w:val="24"/>
                <w:highlight w:val="none"/>
                <w:lang w:val="en-US" w:eastAsia="zh-CN"/>
              </w:rPr>
              <w:t>资格</w:t>
            </w:r>
            <w:r>
              <w:rPr>
                <w:rFonts w:ascii="宋体" w:hAnsi="宋体" w:cs="宋体"/>
                <w:sz w:val="24"/>
                <w:szCs w:val="24"/>
                <w:highlight w:val="none"/>
              </w:rPr>
              <w:t>声明书</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588"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4</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spacing w:line="372" w:lineRule="exact"/>
              <w:ind w:firstLine="0" w:firstLineChars="0"/>
              <w:rPr>
                <w:rFonts w:ascii="宋体" w:hAnsi="宋体" w:cs="宋体"/>
                <w:sz w:val="24"/>
                <w:szCs w:val="24"/>
                <w:highlight w:val="none"/>
              </w:rPr>
            </w:pPr>
            <w:r>
              <w:rPr>
                <w:rFonts w:ascii="宋体" w:hAnsi="宋体" w:cs="宋体"/>
                <w:color w:val="000000"/>
                <w:sz w:val="24"/>
                <w:highlight w:val="none"/>
              </w:rPr>
              <w:t>营业执照(或事业法人登记证或其他工商等登记证明材料)复印件</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spacing w:line="372" w:lineRule="exact"/>
              <w:ind w:firstLine="0" w:firstLineChars="0"/>
              <w:jc w:val="center"/>
              <w:rPr>
                <w:rFonts w:ascii="宋体" w:hAnsi="宋体" w:cs="宋体"/>
                <w:sz w:val="24"/>
                <w:highlight w:val="none"/>
              </w:rPr>
            </w:pPr>
            <w:r>
              <w:rPr>
                <w:rFonts w:ascii="宋体" w:hAnsi="宋体" w:cs="宋体"/>
                <w:sz w:val="24"/>
                <w:highlight w:val="none"/>
              </w:rPr>
              <w:t>格式、内容自拟</w:t>
            </w:r>
          </w:p>
        </w:tc>
      </w:tr>
      <w:tr>
        <w:tblPrEx>
          <w:tblCellMar>
            <w:top w:w="0" w:type="dxa"/>
            <w:left w:w="0" w:type="dxa"/>
            <w:bottom w:w="0" w:type="dxa"/>
            <w:right w:w="0" w:type="dxa"/>
          </w:tblCellMar>
        </w:tblPrEx>
        <w:trPr>
          <w:trHeight w:val="64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5</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spacing w:line="240" w:lineRule="auto"/>
              <w:ind w:firstLine="0" w:firstLineChars="0"/>
              <w:rPr>
                <w:rFonts w:hint="eastAsia" w:ascii="宋体" w:hAnsi="宋体" w:cs="宋体"/>
                <w:color w:val="000000"/>
                <w:kern w:val="2"/>
                <w:sz w:val="24"/>
                <w:szCs w:val="24"/>
                <w:highlight w:val="none"/>
                <w:lang w:val="en-US" w:eastAsia="zh-CN" w:bidi="ar-SA"/>
              </w:rPr>
            </w:pPr>
            <w:r>
              <w:rPr>
                <w:rFonts w:ascii="宋体" w:hAnsi="宋体"/>
                <w:sz w:val="24"/>
                <w:highlight w:val="none"/>
              </w:rPr>
              <w:t>符合参加采购活动应当具备的一般条件的承诺函</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spacing w:line="372" w:lineRule="exact"/>
              <w:ind w:firstLine="0" w:firstLineChars="0"/>
              <w:jc w:val="center"/>
              <w:rPr>
                <w:rFonts w:ascii="宋体" w:hAnsi="宋体" w:cs="宋体"/>
                <w:kern w:val="2"/>
                <w:sz w:val="24"/>
                <w:szCs w:val="24"/>
                <w:highlight w:val="none"/>
                <w:lang w:val="en-US" w:eastAsia="zh-CN" w:bidi="ar-SA"/>
              </w:rPr>
            </w:pPr>
            <w:r>
              <w:rPr>
                <w:rFonts w:ascii="宋体" w:hAnsi="宋体" w:cs="宋体"/>
                <w:sz w:val="24"/>
                <w:highlight w:val="none"/>
              </w:rPr>
              <w:t>格式附后</w:t>
            </w:r>
          </w:p>
        </w:tc>
      </w:tr>
      <w:tr>
        <w:tblPrEx>
          <w:tblCellMar>
            <w:top w:w="0" w:type="dxa"/>
            <w:left w:w="0" w:type="dxa"/>
            <w:bottom w:w="0" w:type="dxa"/>
            <w:right w:w="0" w:type="dxa"/>
          </w:tblCellMar>
        </w:tblPrEx>
        <w:trPr>
          <w:trHeight w:val="117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keepNext w:val="0"/>
              <w:keepLines w:val="0"/>
              <w:pageBreakBefore w:val="0"/>
              <w:widowControl w:val="0"/>
              <w:kinsoku/>
              <w:wordWrap/>
              <w:overflowPunct/>
              <w:topLinePunct w:val="0"/>
              <w:autoSpaceDE/>
              <w:autoSpaceDN/>
              <w:bidi w:val="0"/>
              <w:adjustRightInd/>
              <w:spacing w:line="50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6</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ind w:firstLine="0" w:firstLineChars="0"/>
              <w:rPr>
                <w:rFonts w:hint="eastAsia" w:ascii="宋体" w:hAnsi="宋体" w:cs="宋体"/>
                <w:kern w:val="2"/>
                <w:sz w:val="24"/>
                <w:szCs w:val="24"/>
                <w:highlight w:val="none"/>
                <w:lang w:val="en-US" w:eastAsia="zh-CN" w:bidi="ar-SA"/>
              </w:rPr>
            </w:pPr>
            <w:r>
              <w:rPr>
                <w:rFonts w:ascii="宋体" w:hAnsi="宋体" w:cs="宋体"/>
                <w:color w:val="000000"/>
                <w:sz w:val="24"/>
                <w:highlight w:val="none"/>
                <w:lang w:val="zh-CN"/>
              </w:rPr>
              <w:t>投标供应商</w:t>
            </w:r>
            <w:r>
              <w:rPr>
                <w:rFonts w:ascii="宋体" w:hAnsi="宋体" w:cs="宋体"/>
                <w:color w:val="000000"/>
                <w:sz w:val="24"/>
                <w:highlight w:val="none"/>
              </w:rPr>
              <w:t>“</w:t>
            </w:r>
            <w:r>
              <w:rPr>
                <w:rFonts w:ascii="宋体" w:hAnsi="宋体" w:cs="宋体"/>
                <w:color w:val="000000"/>
                <w:sz w:val="24"/>
                <w:highlight w:val="none"/>
                <w:lang w:val="zh-CN"/>
              </w:rPr>
              <w:t>信用中国</w:t>
            </w:r>
            <w:r>
              <w:rPr>
                <w:rFonts w:ascii="宋体" w:hAnsi="宋体" w:cs="宋体"/>
                <w:color w:val="000000"/>
                <w:sz w:val="24"/>
                <w:highlight w:val="none"/>
              </w:rPr>
              <w:t>”(www.creditchina.gov.cn)；“</w:t>
            </w:r>
            <w:r>
              <w:rPr>
                <w:rFonts w:ascii="宋体" w:hAnsi="宋体" w:cs="宋体"/>
                <w:color w:val="000000"/>
                <w:sz w:val="24"/>
                <w:highlight w:val="none"/>
                <w:lang w:val="zh-CN"/>
              </w:rPr>
              <w:t>中国政府采购网</w:t>
            </w:r>
            <w:r>
              <w:rPr>
                <w:rFonts w:ascii="宋体" w:hAnsi="宋体" w:cs="宋体"/>
                <w:color w:val="000000"/>
                <w:sz w:val="24"/>
                <w:highlight w:val="none"/>
              </w:rPr>
              <w:t>”（www.ccgp.gov.cn）</w:t>
            </w:r>
            <w:r>
              <w:rPr>
                <w:rFonts w:ascii="宋体" w:hAnsi="宋体" w:cs="宋体"/>
                <w:color w:val="000000"/>
                <w:sz w:val="24"/>
                <w:highlight w:val="none"/>
                <w:lang w:val="zh-CN"/>
              </w:rPr>
              <w:t>信用记录查询网页截图</w:t>
            </w:r>
            <w:r>
              <w:rPr>
                <w:rFonts w:ascii="宋体" w:hAnsi="宋体" w:cs="宋体"/>
                <w:color w:val="000000"/>
                <w:sz w:val="24"/>
                <w:highlight w:val="none"/>
              </w:rPr>
              <w:t>（</w:t>
            </w:r>
            <w:r>
              <w:rPr>
                <w:rFonts w:ascii="宋体" w:hAnsi="宋体" w:cs="宋体"/>
                <w:color w:val="000000"/>
                <w:sz w:val="24"/>
                <w:highlight w:val="none"/>
                <w:lang w:val="zh-CN"/>
              </w:rPr>
              <w:t>采购公告发布之日至响应文件递交截止时间前</w:t>
            </w:r>
            <w:r>
              <w:rPr>
                <w:rFonts w:ascii="宋体" w:hAnsi="宋体" w:cs="宋体"/>
                <w:color w:val="000000"/>
                <w:sz w:val="24"/>
                <w:highlight w:val="none"/>
              </w:rPr>
              <w:t>）</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spacing w:line="372" w:lineRule="exact"/>
              <w:ind w:firstLine="0" w:firstLineChars="0"/>
              <w:jc w:val="center"/>
              <w:rPr>
                <w:rFonts w:ascii="宋体" w:hAnsi="宋体" w:cs="宋体"/>
                <w:kern w:val="2"/>
                <w:sz w:val="24"/>
                <w:szCs w:val="24"/>
                <w:highlight w:val="none"/>
                <w:lang w:val="en-US" w:eastAsia="zh-CN" w:bidi="ar-SA"/>
              </w:rPr>
            </w:pPr>
            <w:r>
              <w:rPr>
                <w:rFonts w:ascii="宋体" w:hAnsi="宋体" w:cs="宋体"/>
                <w:sz w:val="24"/>
                <w:highlight w:val="none"/>
              </w:rPr>
              <w:t>格式、内容自拟</w:t>
            </w:r>
          </w:p>
        </w:tc>
      </w:tr>
    </w:tbl>
    <w:p>
      <w:pPr>
        <w:pageBreakBefore w:val="0"/>
        <w:kinsoku/>
        <w:wordWrap/>
        <w:overflowPunct/>
        <w:topLinePunct w:val="0"/>
        <w:bidi w:val="0"/>
        <w:snapToGrid w:val="0"/>
        <w:spacing w:line="440" w:lineRule="exact"/>
        <w:ind w:firstLine="482"/>
        <w:textAlignment w:val="auto"/>
        <w:rPr>
          <w:rFonts w:ascii="宋体" w:hAnsi="宋体" w:cs="宋体"/>
          <w:b/>
          <w:color w:val="000000"/>
          <w:highlight w:val="none"/>
        </w:rPr>
      </w:pPr>
      <w:r>
        <w:rPr>
          <w:rFonts w:hint="eastAsia" w:ascii="宋体" w:hAnsi="宋体" w:cs="宋体"/>
          <w:b/>
          <w:color w:val="000000"/>
          <w:highlight w:val="none"/>
        </w:rPr>
        <w:t>1</w:t>
      </w:r>
      <w:r>
        <w:rPr>
          <w:rFonts w:hint="eastAsia" w:ascii="宋体" w:hAnsi="宋体" w:cs="宋体"/>
          <w:b/>
          <w:color w:val="000000"/>
          <w:highlight w:val="none"/>
          <w:lang w:val="en-US" w:eastAsia="zh-CN"/>
        </w:rPr>
        <w:t>5</w:t>
      </w:r>
      <w:r>
        <w:rPr>
          <w:rFonts w:hint="eastAsia" w:ascii="宋体" w:hAnsi="宋体" w:cs="宋体"/>
          <w:b/>
          <w:color w:val="000000"/>
          <w:highlight w:val="none"/>
        </w:rPr>
        <w:t>.2资信技术文件的组成：</w:t>
      </w:r>
    </w:p>
    <w:tbl>
      <w:tblPr>
        <w:tblStyle w:val="55"/>
        <w:tblW w:w="10030" w:type="dxa"/>
        <w:tblInd w:w="-245" w:type="dxa"/>
        <w:tblLayout w:type="fixed"/>
        <w:tblCellMar>
          <w:top w:w="0" w:type="dxa"/>
          <w:left w:w="0" w:type="dxa"/>
          <w:bottom w:w="0" w:type="dxa"/>
          <w:right w:w="0" w:type="dxa"/>
        </w:tblCellMar>
      </w:tblPr>
      <w:tblGrid>
        <w:gridCol w:w="780"/>
        <w:gridCol w:w="7246"/>
        <w:gridCol w:w="2004"/>
      </w:tblGrid>
      <w:tr>
        <w:tblPrEx>
          <w:tblCellMar>
            <w:top w:w="0" w:type="dxa"/>
            <w:left w:w="0" w:type="dxa"/>
            <w:bottom w:w="0" w:type="dxa"/>
            <w:right w:w="0" w:type="dxa"/>
          </w:tblCellMar>
        </w:tblPrEx>
        <w:trPr>
          <w:trHeight w:val="70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序号</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right="1" w:firstLine="0" w:firstLineChars="0"/>
              <w:jc w:val="center"/>
              <w:textAlignment w:val="auto"/>
              <w:rPr>
                <w:rFonts w:ascii="宋体" w:hAnsi="宋体" w:cs="宋体"/>
                <w:sz w:val="24"/>
                <w:highlight w:val="none"/>
              </w:rPr>
            </w:pPr>
            <w:r>
              <w:rPr>
                <w:rFonts w:ascii="宋体" w:hAnsi="宋体" w:cs="宋体"/>
                <w:sz w:val="24"/>
                <w:highlight w:val="none"/>
              </w:rPr>
              <w:t>内容</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备注</w:t>
            </w:r>
          </w:p>
        </w:tc>
      </w:tr>
      <w:tr>
        <w:tblPrEx>
          <w:tblCellMar>
            <w:top w:w="0" w:type="dxa"/>
            <w:left w:w="0" w:type="dxa"/>
            <w:bottom w:w="0" w:type="dxa"/>
            <w:right w:w="0" w:type="dxa"/>
          </w:tblCellMar>
        </w:tblPrEx>
        <w:trPr>
          <w:trHeight w:val="49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1</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ascii="宋体" w:hAnsi="宋体" w:cs="宋体"/>
                <w:sz w:val="24"/>
                <w:szCs w:val="24"/>
                <w:highlight w:val="none"/>
              </w:rPr>
            </w:pPr>
            <w:r>
              <w:rPr>
                <w:rFonts w:ascii="宋体" w:hAnsi="宋体" w:cs="宋体"/>
                <w:sz w:val="24"/>
                <w:szCs w:val="24"/>
                <w:highlight w:val="none"/>
              </w:rPr>
              <w:t>封面</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52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szCs w:val="24"/>
                <w:highlight w:val="none"/>
              </w:rPr>
            </w:pPr>
            <w:r>
              <w:rPr>
                <w:rFonts w:ascii="宋体" w:hAnsi="宋体" w:cs="宋体"/>
                <w:sz w:val="24"/>
                <w:szCs w:val="24"/>
                <w:highlight w:val="none"/>
              </w:rPr>
              <w:t>2</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ascii="宋体" w:hAnsi="宋体" w:cs="宋体"/>
                <w:sz w:val="24"/>
                <w:szCs w:val="24"/>
                <w:highlight w:val="none"/>
              </w:rPr>
            </w:pPr>
            <w:r>
              <w:rPr>
                <w:rFonts w:ascii="宋体" w:hAnsi="宋体" w:cs="宋体"/>
                <w:sz w:val="24"/>
                <w:szCs w:val="24"/>
                <w:highlight w:val="none"/>
              </w:rPr>
              <w:t>目录</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格式、内容自拟</w:t>
            </w:r>
          </w:p>
        </w:tc>
      </w:tr>
      <w:tr>
        <w:tblPrEx>
          <w:tblCellMar>
            <w:top w:w="0" w:type="dxa"/>
            <w:left w:w="0" w:type="dxa"/>
            <w:bottom w:w="0" w:type="dxa"/>
            <w:right w:w="0" w:type="dxa"/>
          </w:tblCellMar>
        </w:tblPrEx>
        <w:trPr>
          <w:trHeight w:val="42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3</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default" w:ascii="宋体" w:hAnsi="宋体" w:eastAsia="宋体" w:cs="宋体"/>
                <w:sz w:val="24"/>
                <w:szCs w:val="24"/>
                <w:highlight w:val="none"/>
                <w:lang w:val="en-US" w:eastAsia="zh-CN"/>
              </w:rPr>
            </w:pPr>
            <w:r>
              <w:rPr>
                <w:rFonts w:ascii="宋体" w:hAnsi="宋体" w:cs="宋体"/>
                <w:sz w:val="24"/>
                <w:szCs w:val="24"/>
                <w:highlight w:val="none"/>
              </w:rPr>
              <w:t>投标声明书</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569"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4</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ascii="宋体" w:hAnsi="宋体" w:cs="宋体"/>
                <w:sz w:val="24"/>
                <w:szCs w:val="24"/>
                <w:highlight w:val="none"/>
              </w:rPr>
            </w:pPr>
            <w:r>
              <w:rPr>
                <w:rFonts w:ascii="宋体" w:hAnsi="宋体" w:cs="宋体"/>
                <w:color w:val="000000"/>
                <w:sz w:val="24"/>
                <w:szCs w:val="24"/>
                <w:highlight w:val="none"/>
              </w:rPr>
              <w:t>营业执照(或事业法人登记证或其他工商等登记证明材料)复印件</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ascii="宋体" w:hAnsi="宋体" w:cs="宋体"/>
                <w:sz w:val="24"/>
                <w:highlight w:val="none"/>
              </w:rPr>
            </w:pPr>
            <w:r>
              <w:rPr>
                <w:rFonts w:ascii="宋体" w:hAnsi="宋体" w:cs="宋体"/>
                <w:sz w:val="24"/>
                <w:highlight w:val="none"/>
              </w:rPr>
              <w:t>格式、内容自拟</w:t>
            </w:r>
          </w:p>
        </w:tc>
      </w:tr>
      <w:tr>
        <w:tblPrEx>
          <w:tblCellMar>
            <w:top w:w="0" w:type="dxa"/>
            <w:left w:w="0" w:type="dxa"/>
            <w:bottom w:w="0" w:type="dxa"/>
            <w:right w:w="0" w:type="dxa"/>
          </w:tblCellMar>
        </w:tblPrEx>
        <w:trPr>
          <w:trHeight w:val="939"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5</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color w:val="000000"/>
                <w:sz w:val="24"/>
                <w:szCs w:val="24"/>
                <w:highlight w:val="none"/>
              </w:rPr>
              <w:t>法定代表人授权委托书及身份证复印件；投标代表是法定代表人不需提供</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ageBreakBefore w:val="0"/>
              <w:kinsoku/>
              <w:wordWrap/>
              <w:overflowPunct/>
              <w:topLinePunct w:val="0"/>
              <w:bidi w:val="0"/>
              <w:spacing w:line="440" w:lineRule="exact"/>
              <w:ind w:firstLine="480" w:firstLineChars="200"/>
              <w:jc w:val="both"/>
              <w:textAlignment w:val="auto"/>
              <w:rPr>
                <w:rFonts w:ascii="宋体" w:hAnsi="宋体" w:cs="宋体"/>
                <w:kern w:val="2"/>
                <w:sz w:val="24"/>
                <w:szCs w:val="24"/>
                <w:highlight w:val="none"/>
                <w:lang w:val="en-US" w:eastAsia="zh-CN" w:bidi="ar-SA"/>
              </w:rPr>
            </w:pPr>
            <w:r>
              <w:rPr>
                <w:rFonts w:ascii="宋体" w:hAnsi="宋体" w:cs="宋体"/>
                <w:sz w:val="24"/>
                <w:highlight w:val="none"/>
              </w:rPr>
              <w:t>格式附后</w:t>
            </w:r>
          </w:p>
        </w:tc>
      </w:tr>
      <w:tr>
        <w:tblPrEx>
          <w:tblCellMar>
            <w:top w:w="0" w:type="dxa"/>
            <w:left w:w="0" w:type="dxa"/>
            <w:bottom w:w="0" w:type="dxa"/>
            <w:right w:w="0" w:type="dxa"/>
          </w:tblCellMar>
        </w:tblPrEx>
        <w:trPr>
          <w:trHeight w:val="60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6</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hint="eastAsia" w:ascii="宋体" w:hAnsi="宋体" w:cs="宋体"/>
                <w:sz w:val="24"/>
                <w:szCs w:val="24"/>
                <w:highlight w:val="none"/>
                <w:lang w:val="en-GB"/>
              </w:rPr>
              <w:t>磋商响应方</w:t>
            </w:r>
            <w:r>
              <w:rPr>
                <w:rFonts w:ascii="宋体" w:hAnsi="宋体" w:cs="宋体"/>
                <w:sz w:val="24"/>
                <w:szCs w:val="24"/>
                <w:highlight w:val="none"/>
              </w:rPr>
              <w:t>基本情况表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ageBreakBefore w:val="0"/>
              <w:kinsoku/>
              <w:wordWrap/>
              <w:overflowPunct/>
              <w:topLinePunct w:val="0"/>
              <w:bidi w:val="0"/>
              <w:spacing w:line="440" w:lineRule="exact"/>
              <w:ind w:firstLine="480" w:firstLineChars="200"/>
              <w:jc w:val="both"/>
              <w:textAlignment w:val="auto"/>
              <w:rPr>
                <w:rFonts w:ascii="宋体" w:hAnsi="宋体" w:cs="宋体"/>
                <w:kern w:val="2"/>
                <w:sz w:val="24"/>
                <w:szCs w:val="24"/>
                <w:highlight w:val="none"/>
                <w:lang w:val="en-US" w:eastAsia="zh-CN" w:bidi="ar-SA"/>
              </w:rPr>
            </w:pPr>
            <w:r>
              <w:rPr>
                <w:rFonts w:ascii="宋体" w:hAnsi="宋体" w:cs="宋体"/>
                <w:sz w:val="24"/>
                <w:highlight w:val="none"/>
              </w:rPr>
              <w:t>格式附后</w:t>
            </w:r>
          </w:p>
        </w:tc>
      </w:tr>
      <w:tr>
        <w:tblPrEx>
          <w:tblCellMar>
            <w:top w:w="0" w:type="dxa"/>
            <w:left w:w="0" w:type="dxa"/>
            <w:bottom w:w="0" w:type="dxa"/>
            <w:right w:w="0" w:type="dxa"/>
          </w:tblCellMar>
        </w:tblPrEx>
        <w:trPr>
          <w:trHeight w:val="50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7</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项目实施人员一览表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ageBreakBefore w:val="0"/>
              <w:kinsoku/>
              <w:wordWrap/>
              <w:overflowPunct/>
              <w:topLinePunct w:val="0"/>
              <w:bidi w:val="0"/>
              <w:spacing w:line="440" w:lineRule="exact"/>
              <w:ind w:firstLine="480" w:firstLineChars="200"/>
              <w:jc w:val="both"/>
              <w:textAlignment w:val="auto"/>
              <w:rPr>
                <w:rFonts w:ascii="宋体" w:hAnsi="宋体" w:cs="宋体"/>
                <w:kern w:val="2"/>
                <w:sz w:val="24"/>
                <w:szCs w:val="24"/>
                <w:highlight w:val="none"/>
                <w:lang w:val="en-US" w:eastAsia="zh-CN" w:bidi="ar-SA"/>
              </w:rPr>
            </w:pPr>
            <w:r>
              <w:rPr>
                <w:rFonts w:ascii="宋体" w:hAnsi="宋体" w:cs="宋体"/>
                <w:sz w:val="24"/>
                <w:highlight w:val="none"/>
              </w:rPr>
              <w:t>格式自拟</w:t>
            </w:r>
          </w:p>
        </w:tc>
      </w:tr>
      <w:tr>
        <w:tblPrEx>
          <w:tblCellMar>
            <w:top w:w="0" w:type="dxa"/>
            <w:left w:w="0" w:type="dxa"/>
            <w:bottom w:w="0" w:type="dxa"/>
            <w:right w:w="0" w:type="dxa"/>
          </w:tblCellMar>
        </w:tblPrEx>
        <w:trPr>
          <w:trHeight w:val="54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8</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项目负责人情况表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highlight w:val="none"/>
              </w:rPr>
              <w:t>格式自拟</w:t>
            </w:r>
          </w:p>
        </w:tc>
      </w:tr>
      <w:tr>
        <w:tblPrEx>
          <w:tblCellMar>
            <w:top w:w="0" w:type="dxa"/>
            <w:left w:w="0" w:type="dxa"/>
            <w:bottom w:w="0" w:type="dxa"/>
            <w:right w:w="0" w:type="dxa"/>
          </w:tblCellMar>
        </w:tblPrEx>
        <w:trPr>
          <w:trHeight w:val="56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9</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资信及商务响应表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sz w:val="24"/>
                <w:highlight w:val="none"/>
                <w:lang w:val="en-US" w:eastAsia="zh-CN"/>
              </w:rPr>
            </w:pPr>
            <w:r>
              <w:rPr>
                <w:rFonts w:ascii="宋体" w:hAnsi="宋体" w:cs="宋体"/>
                <w:sz w:val="24"/>
                <w:highlight w:val="none"/>
              </w:rPr>
              <w:t>格式附后</w:t>
            </w:r>
          </w:p>
        </w:tc>
      </w:tr>
      <w:tr>
        <w:tblPrEx>
          <w:tblCellMar>
            <w:top w:w="0" w:type="dxa"/>
            <w:left w:w="0" w:type="dxa"/>
            <w:bottom w:w="0" w:type="dxa"/>
            <w:right w:w="0" w:type="dxa"/>
          </w:tblCellMar>
        </w:tblPrEx>
        <w:trPr>
          <w:trHeight w:val="620"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10</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技术响应表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sz w:val="24"/>
                <w:highlight w:val="none"/>
                <w:lang w:val="en-US" w:eastAsia="zh-CN"/>
              </w:rPr>
            </w:pPr>
            <w:r>
              <w:rPr>
                <w:rFonts w:ascii="宋体" w:hAnsi="宋体" w:cs="宋体"/>
                <w:sz w:val="24"/>
                <w:highlight w:val="none"/>
              </w:rPr>
              <w:t>格式附后</w:t>
            </w:r>
          </w:p>
        </w:tc>
      </w:tr>
      <w:tr>
        <w:tblPrEx>
          <w:tblCellMar>
            <w:top w:w="0" w:type="dxa"/>
            <w:left w:w="0" w:type="dxa"/>
            <w:bottom w:w="0" w:type="dxa"/>
            <w:right w:w="0" w:type="dxa"/>
          </w:tblCellMar>
        </w:tblPrEx>
        <w:trPr>
          <w:trHeight w:val="559"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11</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szCs w:val="24"/>
                <w:highlight w:val="none"/>
              </w:rPr>
              <w:t>类似项目实施情况一览表</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sz w:val="24"/>
                <w:highlight w:val="none"/>
                <w:lang w:val="en-US" w:eastAsia="zh-CN"/>
              </w:rPr>
            </w:pPr>
            <w:r>
              <w:rPr>
                <w:rFonts w:ascii="宋体" w:hAnsi="宋体" w:cs="宋体"/>
                <w:sz w:val="24"/>
                <w:highlight w:val="none"/>
              </w:rPr>
              <w:t>格式附后</w:t>
            </w:r>
          </w:p>
        </w:tc>
      </w:tr>
      <w:tr>
        <w:tblPrEx>
          <w:tblCellMar>
            <w:top w:w="0" w:type="dxa"/>
            <w:left w:w="0" w:type="dxa"/>
            <w:bottom w:w="0" w:type="dxa"/>
            <w:right w:w="0" w:type="dxa"/>
          </w:tblCellMar>
        </w:tblPrEx>
        <w:trPr>
          <w:trHeight w:val="965"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12</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ind w:left="0" w:leftChars="0" w:firstLine="0" w:firstLineChars="0"/>
              <w:rPr>
                <w:rFonts w:hint="eastAsia" w:ascii="宋体" w:hAnsi="宋体" w:eastAsia="宋体" w:cs="宋体"/>
                <w:kern w:val="0"/>
                <w:sz w:val="24"/>
                <w:szCs w:val="24"/>
                <w:highlight w:val="none"/>
                <w:lang w:val="en-US" w:eastAsia="zh-CN" w:bidi="zh-CN"/>
              </w:rPr>
            </w:pPr>
            <w:r>
              <w:rPr>
                <w:rFonts w:ascii="宋体" w:hAnsi="宋体" w:eastAsia="宋体" w:cs="宋体"/>
                <w:kern w:val="0"/>
                <w:sz w:val="24"/>
                <w:szCs w:val="24"/>
                <w:highlight w:val="none"/>
                <w:lang w:val="zh-CN" w:eastAsia="zh-CN" w:bidi="zh-CN"/>
              </w:rPr>
              <w:t>可根据评分项所涉及的内容进行编制</w:t>
            </w:r>
            <w:r>
              <w:rPr>
                <w:rFonts w:hint="eastAsia" w:ascii="宋体" w:hAnsi="宋体" w:eastAsia="宋体" w:cs="宋体"/>
                <w:kern w:val="0"/>
                <w:sz w:val="24"/>
                <w:szCs w:val="24"/>
                <w:highlight w:val="none"/>
                <w:lang w:val="zh-CN" w:eastAsia="zh-CN" w:bidi="zh-CN"/>
              </w:rPr>
              <w:t>等详细内容</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sz w:val="24"/>
                <w:highlight w:val="none"/>
                <w:lang w:val="en-US" w:eastAsia="zh-CN"/>
              </w:rPr>
            </w:pPr>
            <w:r>
              <w:rPr>
                <w:rFonts w:ascii="宋体" w:hAnsi="宋体" w:cs="宋体"/>
                <w:sz w:val="24"/>
                <w:highlight w:val="none"/>
              </w:rPr>
              <w:t>可根据评分项所涉及的内容进行编制</w:t>
            </w:r>
          </w:p>
        </w:tc>
      </w:tr>
      <w:tr>
        <w:tblPrEx>
          <w:tblCellMar>
            <w:top w:w="0" w:type="dxa"/>
            <w:left w:w="0" w:type="dxa"/>
            <w:bottom w:w="0" w:type="dxa"/>
            <w:right w:w="0" w:type="dxa"/>
          </w:tblCellMar>
        </w:tblPrEx>
        <w:trPr>
          <w:trHeight w:val="1015"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13</w:t>
            </w:r>
          </w:p>
        </w:tc>
        <w:tc>
          <w:tcPr>
            <w:tcW w:w="7246"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textAlignment w:val="auto"/>
              <w:rPr>
                <w:rFonts w:hint="eastAsia" w:ascii="宋体" w:hAnsi="宋体" w:cs="宋体"/>
                <w:sz w:val="24"/>
                <w:szCs w:val="24"/>
                <w:highlight w:val="none"/>
                <w:lang w:val="en-US" w:eastAsia="zh-CN"/>
              </w:rPr>
            </w:pPr>
            <w:r>
              <w:rPr>
                <w:rFonts w:ascii="宋体" w:hAnsi="宋体" w:cs="宋体"/>
                <w:sz w:val="24"/>
                <w:szCs w:val="24"/>
                <w:highlight w:val="none"/>
              </w:rPr>
              <w:t>投标人认为需要提供的其它文件和资料，包括可能影 响投标人商务技术文件评分的各类证明材料</w:t>
            </w:r>
          </w:p>
        </w:tc>
        <w:tc>
          <w:tcPr>
            <w:tcW w:w="2004"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kinsoku/>
              <w:wordWrap/>
              <w:overflowPunct/>
              <w:topLinePunct w:val="0"/>
              <w:bidi w:val="0"/>
              <w:spacing w:line="440" w:lineRule="exact"/>
              <w:ind w:firstLine="0" w:firstLineChars="0"/>
              <w:jc w:val="center"/>
              <w:textAlignment w:val="auto"/>
              <w:rPr>
                <w:rFonts w:hint="eastAsia" w:ascii="宋体" w:hAnsi="宋体" w:cs="宋体"/>
                <w:sz w:val="24"/>
                <w:highlight w:val="none"/>
                <w:lang w:val="en-US" w:eastAsia="zh-CN"/>
              </w:rPr>
            </w:pPr>
            <w:r>
              <w:rPr>
                <w:rFonts w:hint="eastAsia" w:ascii="宋体" w:hAnsi="宋体" w:cs="宋体"/>
                <w:sz w:val="24"/>
                <w:highlight w:val="none"/>
              </w:rPr>
              <w:t>内容自拟（可选择性提供）</w:t>
            </w:r>
          </w:p>
        </w:tc>
      </w:tr>
    </w:tbl>
    <w:p>
      <w:pPr>
        <w:pageBreakBefore w:val="0"/>
        <w:widowControl w:val="0"/>
        <w:tabs>
          <w:tab w:val="left" w:pos="720"/>
          <w:tab w:val="left" w:pos="1140"/>
        </w:tabs>
        <w:kinsoku/>
        <w:wordWrap/>
        <w:overflowPunct/>
        <w:topLinePunct w:val="0"/>
        <w:autoSpaceDE w:val="0"/>
        <w:autoSpaceDN w:val="0"/>
        <w:bidi w:val="0"/>
        <w:adjustRightInd w:val="0"/>
        <w:snapToGrid/>
        <w:spacing w:line="500" w:lineRule="exact"/>
        <w:ind w:left="0" w:leftChars="0" w:right="0" w:firstLineChars="0"/>
        <w:textAlignment w:val="auto"/>
        <w:rPr>
          <w:rFonts w:ascii="宋体" w:hAnsi="宋体" w:cs="宋体"/>
          <w:b/>
          <w:color w:val="000000"/>
          <w:highlight w:val="none"/>
          <w:lang w:val="zh-CN"/>
        </w:rPr>
      </w:pPr>
      <w:r>
        <w:rPr>
          <w:rFonts w:hint="eastAsia" w:ascii="宋体" w:hAnsi="宋体" w:cs="宋体"/>
          <w:b/>
          <w:color w:val="000000"/>
          <w:highlight w:val="none"/>
          <w:lang w:val="zh-CN"/>
        </w:rPr>
        <w:t>1</w:t>
      </w:r>
      <w:r>
        <w:rPr>
          <w:rFonts w:hint="eastAsia" w:ascii="宋体" w:hAnsi="宋体" w:cs="宋体"/>
          <w:b/>
          <w:color w:val="000000"/>
          <w:highlight w:val="none"/>
          <w:lang w:val="en-US" w:eastAsia="zh-CN"/>
        </w:rPr>
        <w:t>5</w:t>
      </w:r>
      <w:r>
        <w:rPr>
          <w:rFonts w:hint="eastAsia" w:ascii="宋体" w:hAnsi="宋体" w:cs="宋体"/>
          <w:b/>
          <w:color w:val="000000"/>
          <w:highlight w:val="none"/>
          <w:lang w:val="zh-CN"/>
        </w:rPr>
        <w:t>.3报价文件</w:t>
      </w:r>
    </w:p>
    <w:tbl>
      <w:tblPr>
        <w:tblStyle w:val="55"/>
        <w:tblW w:w="10017" w:type="dxa"/>
        <w:tblInd w:w="-245" w:type="dxa"/>
        <w:tblLayout w:type="fixed"/>
        <w:tblCellMar>
          <w:top w:w="0" w:type="dxa"/>
          <w:left w:w="0" w:type="dxa"/>
          <w:bottom w:w="0" w:type="dxa"/>
          <w:right w:w="0" w:type="dxa"/>
        </w:tblCellMar>
      </w:tblPr>
      <w:tblGrid>
        <w:gridCol w:w="780"/>
        <w:gridCol w:w="7260"/>
        <w:gridCol w:w="1977"/>
      </w:tblGrid>
      <w:tr>
        <w:tblPrEx>
          <w:tblCellMar>
            <w:top w:w="0" w:type="dxa"/>
            <w:left w:w="0" w:type="dxa"/>
            <w:bottom w:w="0" w:type="dxa"/>
            <w:right w:w="0" w:type="dxa"/>
          </w:tblCellMar>
        </w:tblPrEx>
        <w:trPr>
          <w:trHeight w:val="72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序号</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内容</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备注</w:t>
            </w:r>
          </w:p>
        </w:tc>
      </w:tr>
      <w:tr>
        <w:tblPrEx>
          <w:tblCellMar>
            <w:top w:w="0" w:type="dxa"/>
            <w:left w:w="0" w:type="dxa"/>
            <w:bottom w:w="0" w:type="dxa"/>
            <w:right w:w="0" w:type="dxa"/>
          </w:tblCellMar>
        </w:tblPrEx>
        <w:trPr>
          <w:trHeight w:val="507"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1</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textAlignment w:val="auto"/>
              <w:rPr>
                <w:rFonts w:ascii="宋体" w:hAnsi="宋体" w:cs="宋体"/>
                <w:sz w:val="24"/>
                <w:highlight w:val="none"/>
              </w:rPr>
            </w:pPr>
            <w:r>
              <w:rPr>
                <w:rFonts w:ascii="宋体" w:hAnsi="宋体" w:cs="宋体"/>
                <w:sz w:val="24"/>
                <w:highlight w:val="none"/>
              </w:rPr>
              <w:t>封面</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49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2</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textAlignment w:val="auto"/>
              <w:rPr>
                <w:rFonts w:ascii="宋体" w:hAnsi="宋体" w:cs="宋体"/>
                <w:sz w:val="24"/>
                <w:highlight w:val="none"/>
              </w:rPr>
            </w:pPr>
            <w:r>
              <w:rPr>
                <w:rFonts w:ascii="宋体" w:hAnsi="宋体" w:cs="宋体"/>
                <w:sz w:val="24"/>
                <w:highlight w:val="none"/>
              </w:rPr>
              <w:t>目录</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格式、内容自拟</w:t>
            </w:r>
          </w:p>
        </w:tc>
      </w:tr>
      <w:tr>
        <w:tblPrEx>
          <w:tblCellMar>
            <w:top w:w="0" w:type="dxa"/>
            <w:left w:w="0" w:type="dxa"/>
            <w:bottom w:w="0" w:type="dxa"/>
            <w:right w:w="0" w:type="dxa"/>
          </w:tblCellMar>
        </w:tblPrEx>
        <w:trPr>
          <w:trHeight w:val="52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3</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textAlignment w:val="auto"/>
              <w:rPr>
                <w:rFonts w:ascii="宋体" w:hAnsi="宋体" w:cs="宋体"/>
                <w:sz w:val="24"/>
                <w:highlight w:val="none"/>
              </w:rPr>
            </w:pPr>
            <w:r>
              <w:rPr>
                <w:rFonts w:hint="eastAsia" w:ascii="宋体" w:hAnsi="宋体" w:eastAsia="宋体" w:cs="宋体"/>
                <w:sz w:val="24"/>
                <w:highlight w:val="none"/>
              </w:rPr>
              <w:t>磋商报价一览表</w:t>
            </w: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522"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hint="eastAsia" w:ascii="宋体" w:hAnsi="宋体" w:eastAsia="宋体" w:cs="宋体"/>
                <w:sz w:val="24"/>
                <w:highlight w:val="none"/>
                <w:lang w:val="en-US" w:eastAsia="zh-CN"/>
              </w:rPr>
            </w:pPr>
            <w:r>
              <w:rPr>
                <w:rFonts w:hint="eastAsia" w:cs="宋体"/>
                <w:sz w:val="24"/>
                <w:highlight w:val="none"/>
                <w:lang w:val="en-US" w:eastAsia="zh-CN"/>
              </w:rPr>
              <w:t>4</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widowControl w:val="0"/>
              <w:snapToGrid w:val="0"/>
              <w:spacing w:before="120" w:after="120" w:line="360" w:lineRule="auto"/>
              <w:jc w:val="both"/>
              <w:outlineLvl w:val="9"/>
              <w:rPr>
                <w:rFonts w:hint="eastAsia" w:ascii="宋体" w:hAnsi="宋体" w:eastAsia="宋体" w:cs="宋体"/>
                <w:kern w:val="0"/>
                <w:sz w:val="24"/>
                <w:szCs w:val="22"/>
                <w:highlight w:val="none"/>
                <w:lang w:val="en-US" w:eastAsia="zh-CN" w:bidi="zh-CN"/>
              </w:rPr>
            </w:pPr>
            <w:r>
              <w:rPr>
                <w:rFonts w:hint="eastAsia" w:ascii="宋体" w:hAnsi="宋体" w:eastAsia="宋体" w:cs="宋体"/>
                <w:kern w:val="0"/>
                <w:sz w:val="24"/>
                <w:szCs w:val="22"/>
                <w:highlight w:val="none"/>
                <w:lang w:val="en-US" w:eastAsia="zh-CN" w:bidi="zh-CN"/>
              </w:rPr>
              <w:t>报价明细表</w:t>
            </w:r>
          </w:p>
          <w:p>
            <w:pPr>
              <w:pStyle w:val="555"/>
              <w:pageBreakBefore w:val="0"/>
              <w:widowControl w:val="0"/>
              <w:kinsoku/>
              <w:wordWrap/>
              <w:overflowPunct/>
              <w:topLinePunct w:val="0"/>
              <w:bidi w:val="0"/>
              <w:snapToGrid/>
              <w:spacing w:line="500" w:lineRule="exact"/>
              <w:ind w:left="0" w:leftChars="0" w:right="0" w:firstLine="0" w:firstLineChars="0"/>
              <w:textAlignment w:val="auto"/>
              <w:rPr>
                <w:rFonts w:ascii="宋体" w:hAnsi="宋体" w:cs="宋体"/>
                <w:sz w:val="24"/>
                <w:highlight w:val="none"/>
              </w:rPr>
            </w:pPr>
          </w:p>
        </w:tc>
        <w:tc>
          <w:tcPr>
            <w:tcW w:w="1977"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firstLine="0" w:firstLineChars="0"/>
              <w:jc w:val="center"/>
              <w:textAlignment w:val="auto"/>
              <w:rPr>
                <w:rFonts w:ascii="宋体" w:hAnsi="宋体" w:cs="宋体"/>
                <w:sz w:val="24"/>
                <w:highlight w:val="none"/>
              </w:rPr>
            </w:pPr>
            <w:r>
              <w:rPr>
                <w:rFonts w:ascii="宋体" w:hAnsi="宋体" w:cs="宋体"/>
                <w:sz w:val="24"/>
                <w:highlight w:val="none"/>
              </w:rPr>
              <w:t>格式附后</w:t>
            </w:r>
          </w:p>
        </w:tc>
      </w:tr>
      <w:tr>
        <w:tblPrEx>
          <w:tblCellMar>
            <w:top w:w="0" w:type="dxa"/>
            <w:left w:w="0" w:type="dxa"/>
            <w:bottom w:w="0" w:type="dxa"/>
            <w:right w:w="0" w:type="dxa"/>
          </w:tblCellMar>
        </w:tblPrEx>
        <w:trPr>
          <w:trHeight w:val="960" w:hRule="exact"/>
        </w:trPr>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rightChars="0" w:firstLine="0" w:firstLineChars="0"/>
              <w:jc w:val="center"/>
              <w:textAlignment w:val="auto"/>
              <w:rPr>
                <w:rFonts w:hint="eastAsia" w:ascii="宋体" w:hAnsi="宋体" w:eastAsia="宋体" w:cs="宋体"/>
                <w:kern w:val="2"/>
                <w:sz w:val="24"/>
                <w:szCs w:val="24"/>
                <w:highlight w:val="none"/>
                <w:lang w:val="en-US" w:eastAsia="zh-CN" w:bidi="ar-SA"/>
              </w:rPr>
            </w:pPr>
            <w:r>
              <w:rPr>
                <w:rFonts w:hint="eastAsia" w:cs="宋体"/>
                <w:sz w:val="24"/>
                <w:highlight w:val="none"/>
                <w:lang w:val="en-US" w:eastAsia="zh-CN"/>
              </w:rPr>
              <w:t>5</w:t>
            </w:r>
          </w:p>
        </w:tc>
        <w:tc>
          <w:tcPr>
            <w:tcW w:w="7260" w:type="dxa"/>
            <w:tcBorders>
              <w:top w:val="single" w:color="000000" w:sz="4" w:space="0"/>
              <w:left w:val="single" w:color="000000" w:sz="4" w:space="0"/>
              <w:bottom w:val="single" w:color="000000" w:sz="4" w:space="0"/>
              <w:right w:val="single" w:color="000000" w:sz="4" w:space="0"/>
            </w:tcBorders>
            <w:noWrap w:val="0"/>
            <w:vAlign w:val="center"/>
          </w:tcPr>
          <w:p>
            <w:pPr>
              <w:pStyle w:val="555"/>
              <w:pageBreakBefore w:val="0"/>
              <w:widowControl w:val="0"/>
              <w:kinsoku/>
              <w:wordWrap/>
              <w:overflowPunct/>
              <w:topLinePunct w:val="0"/>
              <w:bidi w:val="0"/>
              <w:snapToGrid/>
              <w:spacing w:line="500" w:lineRule="exact"/>
              <w:ind w:left="0" w:leftChars="0" w:right="0" w:rightChars="0"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highlight w:val="none"/>
              </w:rPr>
              <w:t>投标人认为需要提供的其它文件和资料</w:t>
            </w:r>
          </w:p>
        </w:tc>
        <w:tc>
          <w:tcPr>
            <w:tcW w:w="1977" w:type="dxa"/>
            <w:tcBorders>
              <w:top w:val="single" w:color="000000" w:sz="4" w:space="0"/>
              <w:left w:val="single" w:color="000000" w:sz="4" w:space="0"/>
              <w:bottom w:val="single" w:color="000000" w:sz="4" w:space="0"/>
              <w:right w:val="single" w:color="000000" w:sz="4" w:space="0"/>
            </w:tcBorders>
            <w:noWrap w:val="0"/>
            <w:vAlign w:val="top"/>
          </w:tcPr>
          <w:p>
            <w:pPr>
              <w:pStyle w:val="555"/>
              <w:pageBreakBefore w:val="0"/>
              <w:widowControl w:val="0"/>
              <w:kinsoku/>
              <w:wordWrap/>
              <w:overflowPunct/>
              <w:topLinePunct w:val="0"/>
              <w:bidi w:val="0"/>
              <w:snapToGrid/>
              <w:spacing w:line="500" w:lineRule="exact"/>
              <w:ind w:left="0" w:leftChars="0" w:right="0" w:rightChars="0" w:firstLine="0" w:firstLineChars="0"/>
              <w:textAlignment w:val="auto"/>
              <w:rPr>
                <w:rFonts w:hint="eastAsia" w:ascii="宋体" w:hAnsi="宋体" w:cs="宋体"/>
                <w:kern w:val="2"/>
                <w:sz w:val="24"/>
                <w:szCs w:val="24"/>
                <w:highlight w:val="none"/>
                <w:lang w:val="en-US" w:eastAsia="zh-CN" w:bidi="ar-SA"/>
              </w:rPr>
            </w:pPr>
            <w:r>
              <w:rPr>
                <w:rFonts w:ascii="宋体" w:hAnsi="宋体" w:cs="宋体"/>
                <w:sz w:val="24"/>
                <w:highlight w:val="none"/>
              </w:rPr>
              <w:t>内容自拟（可选择性提供）</w:t>
            </w:r>
          </w:p>
        </w:tc>
      </w:tr>
    </w:tbl>
    <w:p>
      <w:pPr>
        <w:snapToGrid w:val="0"/>
        <w:spacing w:line="360" w:lineRule="auto"/>
        <w:ind w:firstLine="480" w:firstLineChars="200"/>
        <w:jc w:val="left"/>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供应商提供以上资料复印件（加盖单位公章）。供应商应保证以上资料真实有效，必要时须提供原件进行核验，如发现弄虚作假，将取消投标资格，已中标的取消中标资格，并按有关规定处罚。</w:t>
      </w:r>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（二）磋商响应文件的语言及计量</w:t>
      </w:r>
      <w:bookmarkEnd w:id="63"/>
      <w:bookmarkEnd w:id="64"/>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1.磋商响应文件以及磋商响应方与磋商方就有关磋商响应事宜的所有来往函电，均应以中文汉语书写。除签名、盖章、专用名称等特殊情形外，以中文汉语以外的文字表述的磋商响应文件视同未提供。</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2.磋商响应计量单位，磋商文件已有明确规定的，使用磋商文件规定的计量单位；磋商文件没有规定的，应采用中华人民共和国法定计量单位（货币单位：人民币元），否则视同未响应。</w:t>
      </w:r>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bookmarkStart w:id="65" w:name="_Toc451762177"/>
      <w:bookmarkStart w:id="66" w:name="_Toc451762246"/>
      <w:r>
        <w:rPr>
          <w:rFonts w:hint="eastAsia" w:asciiTheme="minorEastAsia" w:hAnsiTheme="minorEastAsia" w:eastAsiaTheme="minorEastAsia" w:cstheme="minorEastAsia"/>
          <w:b/>
          <w:color w:val="auto"/>
          <w:sz w:val="24"/>
          <w:szCs w:val="24"/>
        </w:rPr>
        <w:t>（三）磋商响应报价</w:t>
      </w:r>
      <w:bookmarkEnd w:id="65"/>
      <w:bookmarkEnd w:id="66"/>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1.磋商响应报价应按磋商文件中相关附表格式填报；</w:t>
      </w:r>
    </w:p>
    <w:p>
      <w:pPr>
        <w:pStyle w:val="546"/>
        <w:tabs>
          <w:tab w:val="left" w:pos="454"/>
          <w:tab w:val="left" w:pos="900"/>
        </w:tabs>
        <w:spacing w:after="0" w:afterLines="0"/>
        <w:ind w:left="0" w:firstLine="480"/>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2.磋商响应报价</w:t>
      </w:r>
      <w:r>
        <w:rPr>
          <w:rFonts w:hint="eastAsia" w:asciiTheme="minorEastAsia" w:hAnsiTheme="minorEastAsia" w:eastAsiaTheme="minorEastAsia" w:cstheme="minorEastAsia"/>
          <w:color w:val="auto"/>
          <w:sz w:val="24"/>
          <w:szCs w:val="24"/>
          <w:highlight w:val="none"/>
        </w:rPr>
        <w:t>是完成本项目服务内容和要求所产生的所有费用，包括但不限于提供服务所需的</w:t>
      </w:r>
      <w:r>
        <w:rPr>
          <w:rFonts w:hint="eastAsia" w:asciiTheme="minorEastAsia" w:hAnsiTheme="minorEastAsia" w:eastAsiaTheme="minorEastAsia" w:cstheme="minorEastAsia"/>
          <w:color w:val="auto"/>
          <w:sz w:val="24"/>
          <w:szCs w:val="24"/>
          <w:highlight w:val="none"/>
          <w:lang w:val="en-US" w:eastAsia="zh-CN"/>
        </w:rPr>
        <w:t>取样</w:t>
      </w:r>
      <w:r>
        <w:rPr>
          <w:rFonts w:hint="eastAsia" w:asciiTheme="minorEastAsia" w:hAnsiTheme="minorEastAsia" w:eastAsiaTheme="minorEastAsia" w:cstheme="minorEastAsia"/>
          <w:color w:val="auto"/>
          <w:szCs w:val="24"/>
          <w:lang w:val="en-US" w:eastAsia="zh-CN"/>
        </w:rPr>
        <w:t>监测费、报告编制、专家评审、材料费、人工费、交通费、企业管理费、保险、验收、招标代理费、税金</w:t>
      </w:r>
      <w:r>
        <w:rPr>
          <w:rFonts w:hint="eastAsia" w:asciiTheme="minorEastAsia" w:hAnsiTheme="minorEastAsia" w:eastAsiaTheme="minorEastAsia" w:cstheme="minorEastAsia"/>
          <w:color w:val="auto"/>
          <w:sz w:val="24"/>
          <w:szCs w:val="24"/>
          <w:highlight w:val="none"/>
          <w:lang w:val="en-US" w:eastAsia="zh-CN"/>
        </w:rPr>
        <w:t>等</w:t>
      </w:r>
      <w:r>
        <w:rPr>
          <w:rFonts w:hint="eastAsia" w:asciiTheme="minorEastAsia" w:hAnsiTheme="minorEastAsia" w:eastAsiaTheme="minorEastAsia" w:cstheme="minorEastAsia"/>
          <w:color w:val="auto"/>
          <w:sz w:val="24"/>
          <w:szCs w:val="24"/>
          <w:highlight w:val="none"/>
        </w:rPr>
        <w:t>完成合同所需的一切本身和不可或缺的所有工作开支、政策性文件规定计合同包含的所有风险、责任等各项全部费用</w:t>
      </w:r>
      <w:r>
        <w:rPr>
          <w:rFonts w:hint="eastAsia" w:asciiTheme="minorEastAsia" w:hAnsiTheme="minorEastAsia" w:eastAsiaTheme="minorEastAsia" w:cstheme="minorEastAsia"/>
          <w:color w:val="auto"/>
          <w:szCs w:val="24"/>
        </w:rPr>
        <w:t>。</w:t>
      </w:r>
    </w:p>
    <w:p>
      <w:pPr>
        <w:pStyle w:val="546"/>
        <w:tabs>
          <w:tab w:val="left" w:pos="454"/>
          <w:tab w:val="left" w:pos="900"/>
        </w:tabs>
        <w:spacing w:after="0" w:afterLines="0"/>
        <w:ind w:left="0" w:firstLine="480"/>
        <w:rPr>
          <w:rFonts w:hint="eastAsia" w:asciiTheme="minorEastAsia" w:hAnsiTheme="minorEastAsia" w:eastAsiaTheme="minorEastAsia" w:cstheme="minorEastAsia"/>
          <w:b/>
          <w:color w:val="auto"/>
          <w:szCs w:val="24"/>
        </w:rPr>
      </w:pPr>
      <w:r>
        <w:rPr>
          <w:rFonts w:hint="eastAsia" w:asciiTheme="minorEastAsia" w:hAnsiTheme="minorEastAsia" w:eastAsiaTheme="minorEastAsia" w:cstheme="minorEastAsia"/>
          <w:b/>
          <w:color w:val="auto"/>
          <w:szCs w:val="24"/>
        </w:rPr>
        <w:t>（四）磋商响应文件的有效期</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1.自磋商响应截止日起90天内磋商响应文件应保持有效。有效期不足的磋商响应文件将被拒绝。</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2.成交人的磋商响应文件自磋商之日起至合同履行完毕止均应保持有效。</w:t>
      </w:r>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bookmarkStart w:id="67" w:name="_Toc451762249"/>
      <w:bookmarkStart w:id="68" w:name="_Toc451762180"/>
      <w:r>
        <w:rPr>
          <w:rFonts w:hint="eastAsia" w:asciiTheme="minorEastAsia" w:hAnsiTheme="minorEastAsia" w:eastAsiaTheme="minorEastAsia" w:cstheme="minorEastAsia"/>
          <w:b/>
          <w:color w:val="auto"/>
          <w:sz w:val="24"/>
          <w:szCs w:val="24"/>
        </w:rPr>
        <w:t>（五）磋商响应文件的签署和份数</w:t>
      </w:r>
      <w:bookmarkEnd w:id="67"/>
      <w:bookmarkEnd w:id="68"/>
    </w:p>
    <w:p>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磋商响应方应根据“</w:t>
      </w:r>
      <w:r>
        <w:rPr>
          <w:rFonts w:hint="eastAsia" w:asciiTheme="minorEastAsia" w:hAnsiTheme="minorEastAsia" w:eastAsiaTheme="minorEastAsia" w:cstheme="minorEastAsia"/>
          <w:color w:val="auto"/>
          <w:sz w:val="24"/>
          <w:szCs w:val="24"/>
          <w:lang w:eastAsia="zh-CN"/>
        </w:rPr>
        <w:t>乐</w:t>
      </w:r>
      <w:r>
        <w:rPr>
          <w:rFonts w:hint="eastAsia" w:asciiTheme="minorEastAsia" w:hAnsiTheme="minorEastAsia" w:eastAsiaTheme="minorEastAsia" w:cstheme="minorEastAsia"/>
          <w:color w:val="auto"/>
          <w:sz w:val="24"/>
          <w:szCs w:val="24"/>
        </w:rPr>
        <w:t>采云供应商项目采购-电子招投标操作指南”及本磋商文件规定的格式和顺序编制电子磋商响应文件并进行关联定位。</w:t>
      </w:r>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（1）“电子加密磋商响应文件”：在线上传递交、一份。</w:t>
      </w:r>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（2）“备份磋商响应文件”：密封包装后（EMS、顺丰邮寄形式）磋商响应截止时间前送达一份（邮寄地址：</w:t>
      </w:r>
      <w:r>
        <w:rPr>
          <w:rFonts w:hint="eastAsia" w:asciiTheme="minorEastAsia" w:hAnsiTheme="minorEastAsia" w:eastAsiaTheme="minorEastAsia" w:cstheme="minorEastAsia"/>
          <w:color w:val="auto"/>
          <w:sz w:val="24"/>
          <w:szCs w:val="24"/>
          <w:lang w:eastAsia="zh-CN"/>
        </w:rPr>
        <w:t>嵊州市北直街81号粮食局附楼二楼</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金女士</w:t>
      </w:r>
      <w:r>
        <w:rPr>
          <w:rFonts w:hint="eastAsia" w:asciiTheme="minorEastAsia" w:hAnsiTheme="minorEastAsia" w:eastAsiaTheme="minorEastAsia" w:cstheme="minorEastAsia"/>
          <w:color w:val="auto"/>
          <w:sz w:val="24"/>
          <w:szCs w:val="24"/>
        </w:rPr>
        <w:t>收）。</w:t>
      </w:r>
    </w:p>
    <w:p>
      <w:pPr>
        <w:snapToGrid w:val="0"/>
        <w:spacing w:line="360" w:lineRule="auto"/>
        <w:ind w:firstLine="470" w:firstLineChars="196"/>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（3）如中标，</w:t>
      </w:r>
      <w:r>
        <w:rPr>
          <w:rFonts w:hint="eastAsia" w:asciiTheme="minorEastAsia" w:hAnsiTheme="minorEastAsia" w:eastAsiaTheme="minorEastAsia" w:cstheme="minorEastAsia"/>
          <w:color w:val="auto"/>
          <w:sz w:val="24"/>
          <w:szCs w:val="24"/>
          <w:lang w:val="en-US" w:eastAsia="zh-CN"/>
        </w:rPr>
        <w:t>成交供应商</w:t>
      </w:r>
      <w:r>
        <w:rPr>
          <w:rFonts w:hint="eastAsia" w:asciiTheme="minorEastAsia" w:hAnsiTheme="minorEastAsia" w:eastAsiaTheme="minorEastAsia" w:cstheme="minorEastAsia"/>
          <w:color w:val="auto"/>
          <w:sz w:val="24"/>
          <w:szCs w:val="24"/>
        </w:rPr>
        <w:t>需根据</w:t>
      </w:r>
      <w:r>
        <w:rPr>
          <w:rFonts w:hint="eastAsia" w:asciiTheme="minorEastAsia" w:hAnsiTheme="minorEastAsia" w:eastAsiaTheme="minorEastAsia" w:cstheme="minorEastAsia"/>
          <w:color w:val="auto"/>
          <w:sz w:val="24"/>
          <w:szCs w:val="24"/>
          <w:lang w:val="en-US" w:eastAsia="zh-CN"/>
        </w:rPr>
        <w:t>采购人</w:t>
      </w:r>
      <w:r>
        <w:rPr>
          <w:rFonts w:hint="eastAsia" w:asciiTheme="minorEastAsia" w:hAnsiTheme="minorEastAsia" w:eastAsiaTheme="minorEastAsia" w:cstheme="minorEastAsia"/>
          <w:color w:val="auto"/>
          <w:sz w:val="24"/>
          <w:szCs w:val="24"/>
        </w:rPr>
        <w:t>要求提供纸质</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sz w:val="24"/>
          <w:szCs w:val="24"/>
        </w:rPr>
        <w:t>文件至少三份。内容需与电子</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sz w:val="24"/>
          <w:szCs w:val="24"/>
        </w:rPr>
        <w:t>文件完全一致，标明页码，如与电子</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sz w:val="24"/>
          <w:szCs w:val="24"/>
        </w:rPr>
        <w:t>文件不符将影响中标人领取中标通知书。</w:t>
      </w:r>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（六）磋商响应无效的情形</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实质上没有响应磋商文件要求的磋商响应将被视为无效磋商响应。在评审时，如发现下列情形之一的，磋商响应文件将被视为无效：</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bookmarkStart w:id="69" w:name="_Toc451762250"/>
      <w:bookmarkStart w:id="70" w:name="_Toc451762181"/>
      <w:r>
        <w:rPr>
          <w:rFonts w:hint="eastAsia" w:asciiTheme="minorEastAsia" w:hAnsiTheme="minorEastAsia" w:eastAsiaTheme="minorEastAsia" w:cstheme="minorEastAsia"/>
          <w:color w:val="auto"/>
          <w:sz w:val="24"/>
          <w:szCs w:val="24"/>
        </w:rPr>
        <w:t>1.磋商响应方未能提供合格的资格证明文件；</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2.与磋商文件有重大偏离的磋商响应文件；</w:t>
      </w:r>
    </w:p>
    <w:p>
      <w:pPr>
        <w:snapToGrid w:val="0"/>
        <w:spacing w:line="360" w:lineRule="auto"/>
        <w:ind w:firstLine="480" w:firstLineChars="200"/>
        <w:jc w:val="left"/>
        <w:rPr>
          <w:rFonts w:hint="eastAsia" w:asciiTheme="minorEastAsia" w:hAnsiTheme="minorEastAsia" w:eastAsiaTheme="minorEastAsia" w:cstheme="minorEastAsia"/>
          <w:snapToGrid w:val="0"/>
          <w:color w:val="auto"/>
          <w:sz w:val="24"/>
          <w:szCs w:val="24"/>
        </w:rPr>
      </w:pPr>
      <w:r>
        <w:rPr>
          <w:rFonts w:hint="eastAsia" w:asciiTheme="minorEastAsia" w:hAnsiTheme="minorEastAsia" w:eastAsiaTheme="minorEastAsia" w:cstheme="minorEastAsia"/>
          <w:snapToGrid w:val="0"/>
          <w:color w:val="auto"/>
          <w:sz w:val="24"/>
          <w:szCs w:val="24"/>
        </w:rPr>
        <w:t>3.</w:t>
      </w:r>
      <w:r>
        <w:rPr>
          <w:rFonts w:hint="eastAsia" w:asciiTheme="minorEastAsia" w:hAnsiTheme="minorEastAsia" w:eastAsiaTheme="minorEastAsia" w:cstheme="minorEastAsia"/>
          <w:color w:val="auto"/>
          <w:sz w:val="24"/>
          <w:szCs w:val="24"/>
        </w:rPr>
        <w:t>磋商有效期、交货期（服务期）、付款方式等商务条款不能满足磋商文件要求的；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4.标项以赠送方式磋商响应的；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5.磋商响应文件应盖公章而未盖公章或盖非公司公章、未有效授权、法定代表人授权书填写不完整或有涂改的；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6.未成功办理磋商响应方报名手续的；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7.磋商最终报价超出预算的；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8.最终报价明显低于其市场报价或低于成本价且不能合理说明原因并提供证明材料的；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9.磋商响应文件无法定代表人或授权代表签字，或授权代理人未经有效授权的；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10.磋商响应文件未按照磋商文件规定的要求签署、盖章的；</w:t>
      </w:r>
    </w:p>
    <w:p>
      <w:pPr>
        <w:snapToGrid w:val="0"/>
        <w:spacing w:line="360" w:lineRule="auto"/>
        <w:ind w:firstLine="456" w:firstLineChars="19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11.电子磋商响应文件解密失败的，且未在规定时间内提交备份磋商响应文件的；</w:t>
      </w:r>
    </w:p>
    <w:p>
      <w:pPr>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12.不符合法律、法规和本磋商文件规定的其他实质性要求的。</w:t>
      </w:r>
    </w:p>
    <w:p>
      <w:pPr>
        <w:keepNext w:val="0"/>
        <w:keepLines w:val="0"/>
        <w:pageBreakBefore w:val="0"/>
        <w:widowControl w:val="0"/>
        <w:kinsoku/>
        <w:wordWrap/>
        <w:overflowPunct/>
        <w:topLinePunct w:val="0"/>
        <w:autoSpaceDE/>
        <w:autoSpaceDN/>
        <w:bidi w:val="0"/>
        <w:adjustRightInd/>
        <w:snapToGrid w:val="0"/>
        <w:spacing w:line="360" w:lineRule="auto"/>
        <w:ind w:firstLine="482" w:firstLineChars="200"/>
        <w:jc w:val="left"/>
        <w:textAlignment w:val="auto"/>
        <w:outlineLvl w:val="9"/>
        <w:rPr>
          <w:rFonts w:hint="eastAsia" w:asciiTheme="minorEastAsia" w:hAnsiTheme="minorEastAsia" w:eastAsiaTheme="minorEastAsia" w:cstheme="minorEastAsia"/>
          <w:b/>
          <w:color w:val="auto"/>
          <w:sz w:val="24"/>
          <w:szCs w:val="24"/>
        </w:rPr>
      </w:pPr>
      <w:bookmarkStart w:id="71" w:name="_Toc21580"/>
      <w:bookmarkStart w:id="72" w:name="_Toc504504560"/>
      <w:bookmarkStart w:id="73" w:name="_Toc30425"/>
      <w:r>
        <w:rPr>
          <w:rFonts w:hint="eastAsia" w:asciiTheme="minorEastAsia" w:hAnsiTheme="minorEastAsia" w:eastAsiaTheme="minorEastAsia" w:cstheme="minorEastAsia"/>
          <w:b/>
          <w:color w:val="auto"/>
          <w:sz w:val="24"/>
          <w:szCs w:val="24"/>
        </w:rPr>
        <w:t>（</w:t>
      </w: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）废标的情形</w:t>
      </w:r>
      <w:bookmarkEnd w:id="71"/>
      <w:bookmarkEnd w:id="72"/>
    </w:p>
    <w:p>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outlineLvl w:val="9"/>
        <w:rPr>
          <w:rFonts w:hint="eastAsia" w:asciiTheme="minorEastAsia" w:hAnsiTheme="minorEastAsia" w:eastAsiaTheme="minorEastAsia" w:cstheme="minorEastAsia"/>
          <w:color w:val="auto"/>
          <w:kern w:val="0"/>
          <w:sz w:val="24"/>
          <w:szCs w:val="24"/>
          <w:lang w:val="en-US" w:eastAsia="zh-CN" w:bidi="ar-SA"/>
        </w:rPr>
      </w:pPr>
      <w:bookmarkStart w:id="74" w:name="_Toc504504486"/>
      <w:bookmarkStart w:id="75" w:name="_Toc504504561"/>
      <w:r>
        <w:rPr>
          <w:rFonts w:hint="eastAsia" w:asciiTheme="minorEastAsia" w:hAnsiTheme="minorEastAsia" w:eastAsiaTheme="minorEastAsia" w:cstheme="minorEastAsia"/>
          <w:color w:val="auto"/>
          <w:kern w:val="0"/>
          <w:sz w:val="24"/>
          <w:szCs w:val="24"/>
          <w:lang w:val="en-US" w:eastAsia="zh-CN" w:bidi="ar-SA"/>
        </w:rPr>
        <w:t>在采购中，出现下列情形之一的，应予废标：</w:t>
      </w:r>
      <w:bookmarkEnd w:id="74"/>
      <w:bookmarkEnd w:id="75"/>
    </w:p>
    <w:p>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outlineLvl w:val="9"/>
        <w:rPr>
          <w:rFonts w:hint="eastAsia" w:asciiTheme="minorEastAsia" w:hAnsiTheme="minorEastAsia" w:eastAsiaTheme="minorEastAsia" w:cstheme="minorEastAsia"/>
          <w:color w:val="auto"/>
          <w:kern w:val="0"/>
          <w:sz w:val="24"/>
          <w:szCs w:val="24"/>
          <w:lang w:val="en-US" w:eastAsia="zh-CN" w:bidi="ar-SA"/>
        </w:rPr>
      </w:pPr>
      <w:bookmarkStart w:id="76" w:name="_Toc504504487"/>
      <w:bookmarkStart w:id="77" w:name="_Toc504504562"/>
      <w:r>
        <w:rPr>
          <w:rFonts w:hint="eastAsia" w:asciiTheme="minorEastAsia" w:hAnsiTheme="minorEastAsia" w:eastAsiaTheme="minorEastAsia" w:cstheme="minorEastAsia"/>
          <w:color w:val="auto"/>
          <w:kern w:val="0"/>
          <w:sz w:val="24"/>
          <w:szCs w:val="24"/>
          <w:lang w:val="en-US" w:eastAsia="zh-CN" w:bidi="ar-SA"/>
        </w:rPr>
        <w:t>1.符合专业条件的投标人或者对磋商文件作实质性响应的供应商不足三家的；</w:t>
      </w:r>
      <w:bookmarkEnd w:id="76"/>
      <w:bookmarkEnd w:id="77"/>
    </w:p>
    <w:p>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outlineLvl w:val="9"/>
        <w:rPr>
          <w:rFonts w:hint="eastAsia" w:asciiTheme="minorEastAsia" w:hAnsiTheme="minorEastAsia" w:eastAsiaTheme="minorEastAsia" w:cstheme="minorEastAsia"/>
          <w:color w:val="auto"/>
          <w:kern w:val="0"/>
          <w:sz w:val="24"/>
          <w:szCs w:val="24"/>
          <w:lang w:val="en-US" w:eastAsia="zh-CN" w:bidi="ar-SA"/>
        </w:rPr>
      </w:pPr>
      <w:bookmarkStart w:id="78" w:name="_Toc504504488"/>
      <w:bookmarkStart w:id="79" w:name="_Toc504504563"/>
      <w:r>
        <w:rPr>
          <w:rFonts w:hint="eastAsia" w:asciiTheme="minorEastAsia" w:hAnsiTheme="minorEastAsia" w:eastAsiaTheme="minorEastAsia" w:cstheme="minorEastAsia"/>
          <w:color w:val="auto"/>
          <w:kern w:val="0"/>
          <w:sz w:val="24"/>
          <w:szCs w:val="24"/>
          <w:lang w:val="en-US" w:eastAsia="zh-CN" w:bidi="ar-SA"/>
        </w:rPr>
        <w:t>2.出现影响采购公正的违法、违规行为的；</w:t>
      </w:r>
      <w:bookmarkEnd w:id="78"/>
      <w:bookmarkEnd w:id="79"/>
    </w:p>
    <w:p>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outlineLvl w:val="9"/>
        <w:rPr>
          <w:rFonts w:hint="eastAsia" w:asciiTheme="minorEastAsia" w:hAnsiTheme="minorEastAsia" w:eastAsiaTheme="minorEastAsia" w:cstheme="minorEastAsia"/>
          <w:color w:val="auto"/>
          <w:kern w:val="0"/>
          <w:sz w:val="24"/>
          <w:szCs w:val="24"/>
          <w:lang w:val="en-US" w:eastAsia="zh-CN" w:bidi="ar-SA"/>
        </w:rPr>
      </w:pPr>
      <w:bookmarkStart w:id="80" w:name="_Toc504504564"/>
      <w:bookmarkStart w:id="81" w:name="_Toc504504489"/>
      <w:r>
        <w:rPr>
          <w:rFonts w:hint="eastAsia" w:asciiTheme="minorEastAsia" w:hAnsiTheme="minorEastAsia" w:eastAsiaTheme="minorEastAsia" w:cstheme="minorEastAsia"/>
          <w:color w:val="auto"/>
          <w:kern w:val="0"/>
          <w:sz w:val="24"/>
          <w:szCs w:val="24"/>
          <w:lang w:val="en-US" w:eastAsia="zh-CN" w:bidi="ar-SA"/>
        </w:rPr>
        <w:t>3.投标人的报价均超过了采购预算，采购人不能支付的；</w:t>
      </w:r>
      <w:bookmarkEnd w:id="80"/>
      <w:bookmarkEnd w:id="81"/>
    </w:p>
    <w:p>
      <w:pPr>
        <w:pStyle w:val="30"/>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outlineLvl w:val="1"/>
        <w:rPr>
          <w:rFonts w:hint="eastAsia" w:asciiTheme="minorEastAsia" w:hAnsiTheme="minorEastAsia" w:eastAsiaTheme="minorEastAsia" w:cstheme="minorEastAsia"/>
          <w:b/>
          <w:color w:val="auto"/>
        </w:rPr>
      </w:pPr>
      <w:bookmarkStart w:id="82" w:name="_Toc504504490"/>
      <w:bookmarkStart w:id="83" w:name="_Toc504504565"/>
      <w:r>
        <w:rPr>
          <w:rFonts w:hint="eastAsia" w:asciiTheme="minorEastAsia" w:hAnsiTheme="minorEastAsia" w:eastAsiaTheme="minorEastAsia" w:cstheme="minorEastAsia"/>
          <w:color w:val="auto"/>
          <w:kern w:val="0"/>
          <w:sz w:val="24"/>
          <w:szCs w:val="24"/>
          <w:lang w:val="en-US" w:eastAsia="zh-CN" w:bidi="ar-SA"/>
        </w:rPr>
        <w:t>4.因重大变故，采购任务取消的。</w:t>
      </w:r>
      <w:bookmarkEnd w:id="82"/>
      <w:bookmarkEnd w:id="83"/>
    </w:p>
    <w:p>
      <w:pPr>
        <w:pStyle w:val="30"/>
        <w:snapToGrid w:val="0"/>
        <w:spacing w:beforeLines="0" w:afterLines="0" w:line="360" w:lineRule="auto"/>
        <w:ind w:firstLine="482" w:firstLineChars="200"/>
        <w:outlineLvl w:val="1"/>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三、组织竞争性磋商程序</w:t>
      </w:r>
      <w:bookmarkEnd w:id="69"/>
      <w:bookmarkEnd w:id="70"/>
      <w:bookmarkEnd w:id="73"/>
    </w:p>
    <w:p>
      <w:pPr>
        <w:snapToGrid w:val="0"/>
        <w:spacing w:line="360" w:lineRule="auto"/>
        <w:ind w:firstLine="472" w:firstLineChars="196"/>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（一）组建磋商小组</w:t>
      </w:r>
    </w:p>
    <w:p>
      <w:pPr>
        <w:snapToGrid w:val="0"/>
        <w:spacing w:line="360" w:lineRule="auto"/>
        <w:ind w:firstLine="470" w:firstLineChars="19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磋商小组成员由采购人或采购代理机构依法组建。</w:t>
      </w:r>
    </w:p>
    <w:p>
      <w:pPr>
        <w:snapToGrid w:val="0"/>
        <w:spacing w:line="360" w:lineRule="auto"/>
        <w:ind w:firstLine="470" w:firstLineChars="19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rPr>
        <w:t>2.</w:t>
      </w:r>
      <w:r>
        <w:rPr>
          <w:rFonts w:hint="eastAsia" w:asciiTheme="minorEastAsia" w:hAnsiTheme="minorEastAsia" w:eastAsiaTheme="minorEastAsia" w:cstheme="minorEastAsia"/>
          <w:color w:val="auto"/>
          <w:kern w:val="0"/>
          <w:sz w:val="24"/>
          <w:szCs w:val="24"/>
        </w:rPr>
        <w:t>竞争性磋商小组由采购人代表和评审专家共3人及以上单数组成，其中评审专家人数不得少于竞争性磋商小组成员总数的2/3。采购人不得以评审专家身份参加本部门或本单位采购项目的评审。</w:t>
      </w:r>
    </w:p>
    <w:p>
      <w:pPr>
        <w:pStyle w:val="30"/>
        <w:snapToGrid w:val="0"/>
        <w:spacing w:beforeLines="0" w:afterLines="0" w:line="360" w:lineRule="auto"/>
        <w:ind w:firstLine="472" w:firstLineChars="196"/>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（二）组织磋商程序</w:t>
      </w:r>
    </w:p>
    <w:p>
      <w:pPr>
        <w:pStyle w:val="30"/>
        <w:snapToGrid w:val="0"/>
        <w:spacing w:beforeLines="0" w:afterLines="0" w:line="360" w:lineRule="auto"/>
        <w:ind w:firstLine="482" w:firstLineChars="200"/>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1.磋商形式</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 采购组织机构将按照磋商文件规定的时间通过“乐采云平台”组织磋商、开启磋商响应文件，所有</w:t>
      </w:r>
      <w:r>
        <w:rPr>
          <w:rFonts w:hint="eastAsia" w:asciiTheme="minorEastAsia" w:hAnsiTheme="minorEastAsia" w:eastAsiaTheme="minorEastAsia" w:cstheme="minorEastAsia"/>
          <w:b w:val="0"/>
          <w:bCs/>
          <w:color w:val="auto"/>
        </w:rPr>
        <w:t>磋商响应方均应</w:t>
      </w:r>
      <w:r>
        <w:rPr>
          <w:rFonts w:hint="eastAsia" w:asciiTheme="minorEastAsia" w:hAnsiTheme="minorEastAsia" w:eastAsiaTheme="minorEastAsia" w:cstheme="minorEastAsia"/>
          <w:color w:val="auto"/>
        </w:rPr>
        <w:t>当准时在线参加。</w:t>
      </w:r>
    </w:p>
    <w:p>
      <w:pPr>
        <w:pStyle w:val="30"/>
        <w:snapToGrid w:val="0"/>
        <w:spacing w:beforeLines="0" w:afterLines="0" w:line="360" w:lineRule="auto"/>
        <w:ind w:firstLine="482" w:firstLineChars="200"/>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2. 磋商准备</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2.1磋商的准备工作由采购组织机构负责落实；</w:t>
      </w:r>
    </w:p>
    <w:p>
      <w:pPr>
        <w:pStyle w:val="30"/>
        <w:snapToGrid w:val="0"/>
        <w:spacing w:beforeLines="0" w:afterLines="0" w:line="360" w:lineRule="auto"/>
        <w:ind w:firstLine="480" w:firstLineChars="200"/>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color w:val="auto"/>
        </w:rPr>
        <w:t>2.2采购组织机构将按照磋商文件规定的时间通过“乐采云平台”组织磋商、开启磋商响应文件</w:t>
      </w:r>
      <w:r>
        <w:rPr>
          <w:rFonts w:hint="eastAsia" w:asciiTheme="minorEastAsia" w:hAnsiTheme="minorEastAsia" w:eastAsiaTheme="minorEastAsia" w:cstheme="minorEastAsia"/>
          <w:b w:val="0"/>
          <w:bCs w:val="0"/>
          <w:color w:val="auto"/>
        </w:rPr>
        <w:t>，所有磋商响应方均应当准时</w:t>
      </w:r>
      <w:r>
        <w:rPr>
          <w:rFonts w:hint="eastAsia" w:asciiTheme="minorEastAsia" w:hAnsiTheme="minorEastAsia" w:eastAsiaTheme="minorEastAsia" w:cstheme="minorEastAsia"/>
          <w:color w:val="auto"/>
        </w:rPr>
        <w:t>在线参加。磋商响应方如不参加磋商大会的，视同认可磋商结果，事后不得对采购相关人员、磋商过程和磋商结果提出异议，</w:t>
      </w:r>
      <w:r>
        <w:rPr>
          <w:rFonts w:hint="eastAsia" w:asciiTheme="minorEastAsia" w:hAnsiTheme="minorEastAsia" w:eastAsiaTheme="minorEastAsia" w:cstheme="minorEastAsia"/>
          <w:b w:val="0"/>
          <w:bCs w:val="0"/>
          <w:color w:val="auto"/>
        </w:rPr>
        <w:t>同时磋商响应方因未在线参加磋商而导致磋商响应文件无法按时解密等一切后果由磋商响应方自己承担。</w:t>
      </w:r>
    </w:p>
    <w:p>
      <w:pPr>
        <w:tabs>
          <w:tab w:val="left" w:pos="720"/>
        </w:tabs>
        <w:spacing w:line="360" w:lineRule="auto"/>
        <w:ind w:left="210" w:leftChars="100" w:firstLine="240" w:firstLineChars="100"/>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3. 磋商流程</w:t>
      </w:r>
    </w:p>
    <w:p>
      <w:pPr>
        <w:spacing w:line="360" w:lineRule="auto"/>
        <w:ind w:firstLine="424" w:firstLineChars="177"/>
        <w:jc w:val="left"/>
        <w:rPr>
          <w:rFonts w:hint="eastAsia" w:asciiTheme="minorEastAsia" w:hAnsiTheme="minorEastAsia" w:eastAsiaTheme="minorEastAsia" w:cstheme="minorEastAsia"/>
          <w:b w:val="0"/>
          <w:bCs w:val="0"/>
          <w:color w:val="auto"/>
          <w:kern w:val="0"/>
          <w:sz w:val="24"/>
          <w:szCs w:val="24"/>
        </w:rPr>
      </w:pPr>
      <w:r>
        <w:rPr>
          <w:rFonts w:hint="eastAsia" w:asciiTheme="minorEastAsia" w:hAnsiTheme="minorEastAsia" w:eastAsiaTheme="minorEastAsia" w:cstheme="minorEastAsia"/>
          <w:b w:val="0"/>
          <w:bCs w:val="0"/>
          <w:color w:val="auto"/>
          <w:kern w:val="0"/>
          <w:sz w:val="24"/>
          <w:szCs w:val="24"/>
        </w:rPr>
        <w:t>（1）向各磋商响应方发出电子加密磋商响应文件【开始解密】通知，由磋商响应方按磋商文件规定的时间内自行进行磋商响应文件解密。磋商响应方在规定的时间内无法完成已递交的“电子加密磋商响应文件”解密的，如已按规定递交了备份磋商响应文件的，将由采购组织机构按“乐采云平台”操作规范将备份磋商响应文件上传至“乐采云平台”，上传成功后，“电子加密磋商响应文件”自动失效；</w:t>
      </w:r>
    </w:p>
    <w:p>
      <w:pPr>
        <w:spacing w:line="360" w:lineRule="auto"/>
        <w:ind w:firstLine="424" w:firstLineChars="177"/>
        <w:jc w:val="left"/>
        <w:rPr>
          <w:rFonts w:hint="eastAsia" w:asciiTheme="minorEastAsia" w:hAnsiTheme="minorEastAsia" w:eastAsiaTheme="minorEastAsia" w:cstheme="minorEastAsia"/>
          <w:b w:val="0"/>
          <w:bCs w:val="0"/>
          <w:color w:val="auto"/>
          <w:kern w:val="0"/>
          <w:sz w:val="24"/>
          <w:szCs w:val="24"/>
        </w:rPr>
      </w:pPr>
      <w:r>
        <w:rPr>
          <w:rFonts w:hint="eastAsia" w:asciiTheme="minorEastAsia" w:hAnsiTheme="minorEastAsia" w:eastAsiaTheme="minorEastAsia" w:cstheme="minorEastAsia"/>
          <w:b w:val="0"/>
          <w:bCs w:val="0"/>
          <w:color w:val="auto"/>
          <w:kern w:val="0"/>
          <w:sz w:val="24"/>
          <w:szCs w:val="24"/>
        </w:rPr>
        <w:t>（2）磋商响应文件解密结束，通过邮件形式发送各磋商响应方组织签署《政</w:t>
      </w:r>
      <w:r>
        <w:rPr>
          <w:rFonts w:hint="eastAsia" w:asciiTheme="minorEastAsia" w:hAnsiTheme="minorEastAsia" w:eastAsiaTheme="minorEastAsia" w:cstheme="minorEastAsia"/>
          <w:b w:val="0"/>
          <w:bCs w:val="0"/>
          <w:color w:val="auto"/>
          <w:kern w:val="0"/>
          <w:sz w:val="24"/>
          <w:szCs w:val="24"/>
          <w:lang w:eastAsia="zh-CN"/>
        </w:rPr>
        <w:t>企</w:t>
      </w:r>
      <w:r>
        <w:rPr>
          <w:rFonts w:hint="eastAsia" w:asciiTheme="minorEastAsia" w:hAnsiTheme="minorEastAsia" w:eastAsiaTheme="minorEastAsia" w:cstheme="minorEastAsia"/>
          <w:b w:val="0"/>
          <w:bCs w:val="0"/>
          <w:color w:val="auto"/>
          <w:kern w:val="0"/>
          <w:sz w:val="24"/>
          <w:szCs w:val="24"/>
        </w:rPr>
        <w:t>采购活动现场确认声明书》。</w:t>
      </w:r>
    </w:p>
    <w:p>
      <w:pPr>
        <w:spacing w:line="360" w:lineRule="auto"/>
        <w:ind w:firstLine="424" w:firstLineChars="177"/>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（3）代理机构开启磋商响应文件，进入资格审查，采购人或采购代理机构将对依法对磋商响应方的资格进行审查，资格审查结束后进入符合性审查和商务技术的评审工作。</w:t>
      </w:r>
    </w:p>
    <w:p>
      <w:pPr>
        <w:spacing w:line="360" w:lineRule="auto"/>
        <w:ind w:firstLine="424" w:firstLineChars="177"/>
        <w:jc w:val="left"/>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（4）开启资格审查通过的磋商响应方的商务技术文件，进入符合性评审、商务技术评审，通过发送邮件形式公布符合性审查、商务技术评审无效供应商名称及理由；</w:t>
      </w:r>
    </w:p>
    <w:p>
      <w:pPr>
        <w:spacing w:line="360" w:lineRule="auto"/>
        <w:ind w:firstLine="424" w:firstLineChars="177"/>
        <w:jc w:val="left"/>
        <w:rPr>
          <w:rFonts w:hint="eastAsia" w:asciiTheme="minorEastAsia" w:hAnsiTheme="minorEastAsia" w:eastAsiaTheme="minorEastAsia" w:cstheme="minorEastAsia"/>
          <w:bCs/>
          <w:color w:val="auto"/>
          <w:kern w:val="0"/>
          <w:sz w:val="24"/>
          <w:szCs w:val="24"/>
        </w:rPr>
      </w:pPr>
      <w:r>
        <w:rPr>
          <w:rFonts w:hint="eastAsia" w:asciiTheme="minorEastAsia" w:hAnsiTheme="minorEastAsia" w:eastAsiaTheme="minorEastAsia" w:cstheme="minorEastAsia"/>
          <w:bCs/>
          <w:color w:val="auto"/>
          <w:kern w:val="0"/>
          <w:sz w:val="24"/>
          <w:szCs w:val="24"/>
        </w:rPr>
        <w:t>（5）开启磋商流程，磋商小组组长将组员磋商内容汇总后以书面形式（通过“乐采云平台”在线询标（谈判））的形式要求磋商响应方在规定的时间内作出必要的澄清、说明或者补正，磋商响应方澄清、说明或补正。</w:t>
      </w:r>
    </w:p>
    <w:p>
      <w:pPr>
        <w:spacing w:line="360" w:lineRule="auto"/>
        <w:ind w:firstLine="424" w:firstLineChars="177"/>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6）符合性审查、商务技术评审结束后，代理机构开启报价文件，对有效磋商响应方开启报价，各磋商响应方需在规定的时限内报价。若在规定报价时限内，磋商响应方因CA锁等原因无法报价，磋商响应方可将线下材料发送到采购代理机构邮箱，由采购代理机构替磋商响应方录入报价金额。</w:t>
      </w:r>
    </w:p>
    <w:p>
      <w:pPr>
        <w:spacing w:line="360" w:lineRule="auto"/>
        <w:ind w:firstLine="424" w:firstLineChars="177"/>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7）代理机构开启最终报价文件，报价文件开启后开启签字时段，磋商响应方需按时签字确认（不予确认的应说明理由，否则视为无异议）。唱标结束后，由磋商小组委员会对报价的合理性、准确性等进行审查核实。</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0"/>
        </w:rPr>
        <w:t>（8）</w:t>
      </w:r>
      <w:r>
        <w:rPr>
          <w:rFonts w:hint="eastAsia" w:asciiTheme="minorEastAsia" w:hAnsiTheme="minorEastAsia" w:eastAsiaTheme="minorEastAsia" w:cstheme="minorEastAsia"/>
          <w:color w:val="auto"/>
        </w:rPr>
        <w:t>在系统上公布评审结果。</w:t>
      </w:r>
    </w:p>
    <w:p>
      <w:pPr>
        <w:spacing w:line="360" w:lineRule="auto"/>
        <w:ind w:firstLine="426" w:firstLineChars="177"/>
        <w:jc w:val="left"/>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特别说明：</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color w:val="auto"/>
          <w:kern w:val="0"/>
          <w:sz w:val="24"/>
          <w:szCs w:val="24"/>
          <w:lang w:val="en-US" w:eastAsia="zh-CN"/>
        </w:rPr>
      </w:pPr>
      <w:r>
        <w:rPr>
          <w:rFonts w:hint="eastAsia" w:asciiTheme="minorEastAsia" w:hAnsiTheme="minorEastAsia" w:eastAsiaTheme="minorEastAsia" w:cstheme="minorEastAsia"/>
          <w:b w:val="0"/>
          <w:bCs/>
          <w:color w:val="auto"/>
          <w:kern w:val="0"/>
          <w:sz w:val="24"/>
          <w:szCs w:val="24"/>
          <w:lang w:val="en-US" w:eastAsia="zh-CN"/>
        </w:rPr>
        <w:t>1.</w:t>
      </w:r>
      <w:r>
        <w:rPr>
          <w:rFonts w:hint="eastAsia" w:asciiTheme="minorEastAsia" w:hAnsiTheme="minorEastAsia" w:eastAsiaTheme="minorEastAsia" w:cstheme="minorEastAsia"/>
          <w:b w:val="0"/>
          <w:bCs/>
          <w:color w:val="auto"/>
          <w:kern w:val="0"/>
          <w:sz w:val="24"/>
          <w:szCs w:val="24"/>
        </w:rPr>
        <w:t>如遇“乐采云”电子化开标或评审程序调整的，按调整后程序执行。</w:t>
      </w:r>
      <w:r>
        <w:rPr>
          <w:rFonts w:hint="eastAsia" w:asciiTheme="minorEastAsia" w:hAnsiTheme="minorEastAsia" w:eastAsiaTheme="minorEastAsia" w:cstheme="minorEastAsia"/>
          <w:b w:val="0"/>
          <w:bCs/>
          <w:color w:val="auto"/>
          <w:kern w:val="0"/>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color w:val="auto"/>
          <w:kern w:val="0"/>
          <w:sz w:val="24"/>
          <w:szCs w:val="24"/>
          <w:lang w:val="en-US" w:eastAsia="zh-CN"/>
        </w:rPr>
      </w:pPr>
      <w:r>
        <w:rPr>
          <w:rFonts w:hint="eastAsia" w:asciiTheme="minorEastAsia" w:hAnsiTheme="minorEastAsia" w:eastAsiaTheme="minorEastAsia" w:cstheme="minorEastAsia"/>
          <w:b w:val="0"/>
          <w:bCs/>
          <w:color w:val="auto"/>
          <w:kern w:val="0"/>
          <w:sz w:val="24"/>
          <w:szCs w:val="24"/>
          <w:lang w:val="en-US" w:eastAsia="zh-CN"/>
        </w:rPr>
        <w:t>2.</w:t>
      </w:r>
      <w:r>
        <w:rPr>
          <w:rFonts w:hint="eastAsia" w:asciiTheme="minorEastAsia" w:hAnsiTheme="minorEastAsia" w:eastAsiaTheme="minorEastAsia" w:cstheme="minorEastAsia"/>
          <w:bCs/>
          <w:color w:val="auto"/>
          <w:kern w:val="0"/>
          <w:sz w:val="24"/>
        </w:rPr>
        <w:t>开标过程中需要相关当事人进行签字或盖章确认的材料将通过“</w:t>
      </w:r>
      <w:r>
        <w:rPr>
          <w:rFonts w:hint="eastAsia" w:asciiTheme="minorEastAsia" w:hAnsiTheme="minorEastAsia" w:eastAsiaTheme="minorEastAsia" w:cstheme="minorEastAsia"/>
          <w:bCs/>
          <w:color w:val="auto"/>
          <w:kern w:val="0"/>
          <w:sz w:val="24"/>
          <w:lang w:val="en-US" w:eastAsia="zh-CN"/>
        </w:rPr>
        <w:t>乐采云</w:t>
      </w:r>
      <w:r>
        <w:rPr>
          <w:rFonts w:hint="eastAsia" w:asciiTheme="minorEastAsia" w:hAnsiTheme="minorEastAsia" w:eastAsiaTheme="minorEastAsia" w:cstheme="minorEastAsia"/>
          <w:bCs/>
          <w:color w:val="auto"/>
          <w:kern w:val="0"/>
          <w:sz w:val="24"/>
        </w:rPr>
        <w:t>”进行，若因“</w:t>
      </w:r>
      <w:r>
        <w:rPr>
          <w:rFonts w:hint="eastAsia" w:asciiTheme="minorEastAsia" w:hAnsiTheme="minorEastAsia" w:eastAsiaTheme="minorEastAsia" w:cstheme="minorEastAsia"/>
          <w:bCs/>
          <w:color w:val="auto"/>
          <w:kern w:val="0"/>
          <w:sz w:val="24"/>
          <w:lang w:val="en-US" w:eastAsia="zh-CN"/>
        </w:rPr>
        <w:t>乐采云</w:t>
      </w:r>
      <w:r>
        <w:rPr>
          <w:rFonts w:hint="eastAsia" w:asciiTheme="minorEastAsia" w:hAnsiTheme="minorEastAsia" w:eastAsiaTheme="minorEastAsia" w:cstheme="minorEastAsia"/>
          <w:bCs/>
          <w:color w:val="auto"/>
          <w:kern w:val="0"/>
          <w:sz w:val="24"/>
        </w:rPr>
        <w:t>”技术问题无法进行签字或盖章确认的，采购组织机构将通过邮件、传真等形式予以确认</w:t>
      </w:r>
      <w:r>
        <w:rPr>
          <w:rFonts w:hint="eastAsia" w:asciiTheme="minorEastAsia" w:hAnsiTheme="minorEastAsia" w:eastAsiaTheme="minorEastAsia" w:cstheme="minorEastAsia"/>
          <w:bCs/>
          <w:color w:val="auto"/>
          <w:kern w:val="0"/>
          <w:sz w:val="24"/>
          <w:lang w:eastAsia="zh-CN"/>
        </w:rPr>
        <w:t>。</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（三）情况说明</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1.本项目采用电子招投标开标及评审程序，但有下情形之一的，按以下情况处理：</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（1）若磋商响应方在规定时间内无法解密或解密失败，</w:t>
      </w:r>
      <w:r>
        <w:rPr>
          <w:rFonts w:hint="eastAsia" w:asciiTheme="minorEastAsia" w:hAnsiTheme="minorEastAsia" w:eastAsiaTheme="minorEastAsia" w:cstheme="minorEastAsia"/>
          <w:color w:val="auto"/>
          <w:kern w:val="0"/>
        </w:rPr>
        <w:t>磋商响应方在规定的时间内无法完成已递交的“电子加密磋商响应文件”解密的，如已按规定递交了备份磋商响应文件的，</w:t>
      </w:r>
      <w:r>
        <w:rPr>
          <w:rFonts w:hint="eastAsia" w:asciiTheme="minorEastAsia" w:hAnsiTheme="minorEastAsia" w:eastAsiaTheme="minorEastAsia" w:cstheme="minorEastAsia"/>
          <w:color w:val="auto"/>
          <w:lang w:eastAsia="zh-CN"/>
        </w:rPr>
        <w:t>浙江筑脸全过程工程咨询有限公司</w:t>
      </w:r>
      <w:r>
        <w:rPr>
          <w:rFonts w:hint="eastAsia" w:asciiTheme="minorEastAsia" w:hAnsiTheme="minorEastAsia" w:eastAsiaTheme="minorEastAsia" w:cstheme="minorEastAsia"/>
          <w:color w:val="auto"/>
        </w:rPr>
        <w:t>将开启所有磋商响应方递交的以介质存储的数据电文形式的备份磋商响应文件，上传至</w:t>
      </w:r>
      <w:r>
        <w:rPr>
          <w:rFonts w:hint="eastAsia" w:asciiTheme="minorEastAsia" w:hAnsiTheme="minorEastAsia" w:eastAsiaTheme="minorEastAsia" w:cstheme="minorEastAsia"/>
          <w:color w:val="auto"/>
          <w:lang w:eastAsia="zh-CN"/>
        </w:rPr>
        <w:t>乐</w:t>
      </w:r>
      <w:r>
        <w:rPr>
          <w:rFonts w:hint="eastAsia" w:asciiTheme="minorEastAsia" w:hAnsiTheme="minorEastAsia" w:eastAsiaTheme="minorEastAsia" w:cstheme="minorEastAsia"/>
          <w:color w:val="auto"/>
        </w:rPr>
        <w:t>采云平台项目采购模块，以完成磋商，电子磋商响应文件自动失效。</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（2）采购过程中出现以下情形，导致电子交易平台无法正常运行，或者无法保证电子交易的公平、公正和安全时，采购组织机构可中止电子交易活动：</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1）电子交易平台发生故障而无法登录访问的； </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2）电子交易平台应用或数据库出现错误，不能进行正常操作的；</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3）电子交易平台发现严重安全漏洞，有潜在泄密危险的；</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4）病毒发作导致不能进行正常操作的； </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5）其他无法保证电子交易的公平、公正和安全的情况。</w:t>
      </w:r>
    </w:p>
    <w:p>
      <w:pPr>
        <w:pStyle w:val="30"/>
        <w:snapToGrid w:val="0"/>
        <w:spacing w:beforeLines="0" w:afterLines="0" w:line="360" w:lineRule="auto"/>
        <w:ind w:firstLine="482" w:firstLineChars="200"/>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（四）磋商原则</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1.磋商小组必须公平、公正、客观，不带任何倾向性和启发性；不得向外界透露任何与磋商有关的内容；任何单位和个人不得干扰、影响磋商的正常进行；磋商小组及有关工作人员不得私下与磋商响应方接触。</w:t>
      </w:r>
    </w:p>
    <w:p>
      <w:pPr>
        <w:pStyle w:val="30"/>
        <w:snapToGrid w:val="0"/>
        <w:spacing w:beforeLines="0" w:afterLines="0" w:line="360" w:lineRule="auto"/>
        <w:ind w:firstLine="470" w:firstLineChars="196"/>
        <w:rPr>
          <w:rFonts w:hint="eastAsia"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2.磋商小组专家因回避、临时缺席或健康原因等特殊情况不能继续参加磋商工作的，应按规定更换磋商专家,被更换的磋商专家之前所作出的磋商意见不再予以采纳，由更换后的磋商小组专家重新进行磋商。无法及时更换专家的，要立即停止磋商工作、封存磋商资料，并告知磋商响应方重新磋商的时间和地点。</w:t>
      </w:r>
    </w:p>
    <w:p>
      <w:pPr>
        <w:pStyle w:val="30"/>
        <w:snapToGrid w:val="0"/>
        <w:spacing w:beforeLines="0" w:afterLines="0" w:line="360" w:lineRule="auto"/>
        <w:ind w:firstLine="480" w:firstLineChars="200"/>
        <w:rPr>
          <w:rFonts w:hint="eastAsia"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3.磋商小组专家对有关磋商文件、磋商响应文件、样品、现场演示（如有）的说明、解释、要求、标准存在不同意见的，持不同意见的磋商专家及其意见或理由应予以完整记录，并在磋商过程中按照少数服从多数的原则表决执行。对磋商文件本身不明确或存在歧义、矛盾的内容，应作对磋商响应方而非采购人有利的解释。磋商专家拒绝在磋商报告中签字又不说明其不同意见或理由的，由现场监督员记录在案后，可视为同意磋商结果。</w:t>
      </w:r>
    </w:p>
    <w:p>
      <w:pPr>
        <w:pStyle w:val="30"/>
        <w:snapToGrid w:val="0"/>
        <w:spacing w:beforeLines="0" w:afterLines="0" w:line="360" w:lineRule="auto"/>
        <w:ind w:firstLine="600" w:firstLineChars="249"/>
        <w:outlineLvl w:val="1"/>
        <w:rPr>
          <w:rFonts w:hint="eastAsia" w:asciiTheme="minorEastAsia" w:hAnsiTheme="minorEastAsia" w:eastAsiaTheme="minorEastAsia" w:cstheme="minorEastAsia"/>
          <w:b/>
          <w:color w:val="auto"/>
        </w:rPr>
      </w:pPr>
      <w:bookmarkStart w:id="84" w:name="_Toc510614925"/>
      <w:bookmarkStart w:id="85" w:name="_Toc504504573"/>
      <w:bookmarkStart w:id="86" w:name="_Toc520986889"/>
      <w:bookmarkStart w:id="87" w:name="_Toc13015"/>
      <w:r>
        <w:rPr>
          <w:rFonts w:hint="eastAsia" w:asciiTheme="minorEastAsia" w:hAnsiTheme="minorEastAsia" w:eastAsiaTheme="minorEastAsia" w:cstheme="minorEastAsia"/>
          <w:b/>
          <w:color w:val="auto"/>
        </w:rPr>
        <w:t>四、</w:t>
      </w:r>
      <w:bookmarkEnd w:id="84"/>
      <w:bookmarkEnd w:id="85"/>
      <w:bookmarkEnd w:id="86"/>
      <w:r>
        <w:rPr>
          <w:rFonts w:hint="eastAsia" w:asciiTheme="minorEastAsia" w:hAnsiTheme="minorEastAsia" w:eastAsiaTheme="minorEastAsia" w:cstheme="minorEastAsia"/>
          <w:b/>
          <w:color w:val="auto"/>
        </w:rPr>
        <w:t>磋商小组程序</w:t>
      </w:r>
      <w:bookmarkEnd w:id="87"/>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（一）组建磋商小组委员会</w:t>
      </w:r>
    </w:p>
    <w:p>
      <w:pPr>
        <w:snapToGrid w:val="0"/>
        <w:spacing w:line="360" w:lineRule="auto"/>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磋商小组委员会评标委员会由采购人或采购代理机构依法组建，负责评标活动。磋商小组委员会遵循公开、公平、公正、科学合理、竞争择优的原则。</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（二）评标的方式</w:t>
      </w:r>
    </w:p>
    <w:p>
      <w:pPr>
        <w:snapToGrid w:val="0"/>
        <w:spacing w:line="360" w:lineRule="auto"/>
        <w:ind w:left="719" w:leftChars="228" w:hanging="240" w:hangingChars="1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本项目采用不公开方式评标，评标的依据为磋商文件和磋商响应文件。</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（三）组织磋商程序</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采购</w:t>
      </w:r>
      <w:r>
        <w:rPr>
          <w:rFonts w:hint="eastAsia" w:asciiTheme="minorEastAsia" w:hAnsiTheme="minorEastAsia" w:eastAsiaTheme="minorEastAsia" w:cstheme="minorEastAsia"/>
          <w:bCs/>
          <w:color w:val="auto"/>
          <w:sz w:val="24"/>
          <w:szCs w:val="24"/>
        </w:rPr>
        <w:t>方将按照磋商文件规定的时间、地点和程序组织评标，各评审专家及相关人员应参加评审活动并接受核验、签到，无关人员不得进入评审现场。</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1.按规定统一收缴、保存评标现场相关人员通讯工具。</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2.介绍评审现场的人员情况，宣布评审工作纪律，告知评审人员应当回避情形；组织推选磋商小组委员会组长。</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3.宣读提交磋商响应文件的</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bCs/>
          <w:color w:val="auto"/>
          <w:sz w:val="24"/>
          <w:szCs w:val="24"/>
        </w:rPr>
        <w:t>名单，组织磋商小组委员会各位成员签订《政</w:t>
      </w:r>
      <w:r>
        <w:rPr>
          <w:rFonts w:hint="eastAsia" w:asciiTheme="minorEastAsia" w:hAnsiTheme="minorEastAsia" w:eastAsiaTheme="minorEastAsia" w:cstheme="minorEastAsia"/>
          <w:bCs/>
          <w:color w:val="auto"/>
          <w:sz w:val="24"/>
          <w:szCs w:val="24"/>
          <w:lang w:eastAsia="zh-CN"/>
        </w:rPr>
        <w:t>企</w:t>
      </w:r>
      <w:r>
        <w:rPr>
          <w:rFonts w:hint="eastAsia" w:asciiTheme="minorEastAsia" w:hAnsiTheme="minorEastAsia" w:eastAsiaTheme="minorEastAsia" w:cstheme="minorEastAsia"/>
          <w:bCs/>
          <w:color w:val="auto"/>
          <w:sz w:val="24"/>
          <w:szCs w:val="24"/>
        </w:rPr>
        <w:t>采购评审人员廉洁自律承诺书》。</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4.采购人可以在评标前说明项目背景和采购需求，说明内容不得含有歧视性、倾向性意见，不得超出磋商文件所述范围。说明应当提交书面材料，并随采购文件一并存档。</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根据需要简要介绍磋商文件（含补充文件）制定及质疑答复情况、按书面陈述项目基本情况及评审工作需注意事项等，让评审专家尽快知悉和了解所评审项目的采购需求、评审依据、评审标准、工作程序等；提醒磋商小组委员会对客观评审项目应统一评审依据和评审标准，对主观评审项目应确定大致的评审要求和评审尺度；对评审人员提出的有关磋商文件、磋商响应文件的问题进行必要的说明、解释或讨论。</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6.采购人代表或由采购人委托的磋商小组委员会对磋商响应方资格文件进行审查并</w:t>
      </w:r>
      <w:r>
        <w:rPr>
          <w:rFonts w:hint="eastAsia" w:asciiTheme="minorEastAsia" w:hAnsiTheme="minorEastAsia" w:eastAsiaTheme="minorEastAsia" w:cstheme="minorEastAsia"/>
          <w:color w:val="auto"/>
          <w:sz w:val="24"/>
          <w:szCs w:val="24"/>
        </w:rPr>
        <w:t>以磋商当日为准</w:t>
      </w:r>
      <w:r>
        <w:rPr>
          <w:rFonts w:hint="eastAsia" w:asciiTheme="minorEastAsia" w:hAnsiTheme="minorEastAsia" w:eastAsiaTheme="minorEastAsia" w:cstheme="minorEastAsia"/>
          <w:bCs/>
          <w:color w:val="auto"/>
          <w:sz w:val="24"/>
          <w:szCs w:val="24"/>
        </w:rPr>
        <w:t>对磋商响应方“信用中国”网站（www.creditchina.gov.cn）、中国政府采购网（www.ccgp.gov.cn）信用记录情况进行核实，资格不符合的，应组织相关磋商响应方代表进行陈述、澄清或申辩。</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7.磋商小组委员会组长组织评审人员独立评审。磋商小组委员会对拟认定为磋商响应文件无效，应组织相关磋商响应方代表进行陈述、澄清或申辩；</w:t>
      </w:r>
      <w:r>
        <w:rPr>
          <w:rFonts w:hint="eastAsia" w:asciiTheme="minorEastAsia" w:hAnsiTheme="minorEastAsia" w:eastAsiaTheme="minorEastAsia" w:cstheme="minorEastAsia"/>
          <w:bCs/>
          <w:color w:val="auto"/>
          <w:sz w:val="24"/>
          <w:szCs w:val="24"/>
          <w:lang w:val="en-US" w:eastAsia="zh-CN"/>
        </w:rPr>
        <w:t>采购</w:t>
      </w:r>
      <w:r>
        <w:rPr>
          <w:rFonts w:hint="eastAsia" w:asciiTheme="minorEastAsia" w:hAnsiTheme="minorEastAsia" w:eastAsiaTheme="minorEastAsia" w:cstheme="minorEastAsia"/>
          <w:bCs/>
          <w:color w:val="auto"/>
          <w:sz w:val="24"/>
          <w:szCs w:val="24"/>
        </w:rPr>
        <w:t>方可协助磋商小组委员会组长对打分结果进行校对、核对并汇总统计；评审人员的评审、修改记录应保留原件，随项目其他资料一并存档。</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8.做好评审现场相关记录，协助磋商小组委员会组长做好评审报告起草、有关内容电脑文字录入等工作，并要求磋商小组委员会各成员签字确认。</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9.评审结束后，</w:t>
      </w:r>
      <w:r>
        <w:rPr>
          <w:rFonts w:hint="eastAsia" w:asciiTheme="minorEastAsia" w:hAnsiTheme="minorEastAsia" w:eastAsiaTheme="minorEastAsia" w:cstheme="minorEastAsia"/>
          <w:bCs/>
          <w:color w:val="auto"/>
          <w:sz w:val="24"/>
          <w:szCs w:val="24"/>
          <w:lang w:val="en-US" w:eastAsia="zh-CN"/>
        </w:rPr>
        <w:t>采购</w:t>
      </w:r>
      <w:r>
        <w:rPr>
          <w:rFonts w:hint="eastAsia" w:asciiTheme="minorEastAsia" w:hAnsiTheme="minorEastAsia" w:eastAsiaTheme="minorEastAsia" w:cstheme="minorEastAsia"/>
          <w:bCs/>
          <w:color w:val="auto"/>
          <w:sz w:val="24"/>
          <w:szCs w:val="24"/>
        </w:rPr>
        <w:t>方应对磋商小组委员会各成员的专业水平、职业道德、遵纪守法等情况进行评价；同时按规定向评审专家发放评审费，并交还评审人员及其他现场相关人员的通讯工具。</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（四）磋商小组磋商程序</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1.在评审专家中推选磋商小组委员会组长。</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磋商小组委员会组长召集成员认真阅读磋商文件以及相关补充、质疑、答复文件、项目书面说明等材料，熟悉采购项目的基本概况，采购项目的质量要求、数量、主要技术标准或服务需求，采购合同主要条款，磋商响应文件无效情形，评审方法、评审依据、评审标准等。</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3.评审人员对各磋商响应方磋商响应文件的有效性、符合性、完整性和响应程度进行审查，确定是否对磋商文件作出实质性响应。</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4.评审人员按磋商文件规定的评审方法和评审标准，依法独立对磋商响应方磋商响应文件进行评估、比较，并给予评价或打分，不受任何单位和个人的干预。</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5.评审人员对各</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bCs/>
          <w:color w:val="auto"/>
          <w:sz w:val="24"/>
          <w:szCs w:val="24"/>
        </w:rPr>
        <w:t>响应文件非实质性内容有疑议或异议，或者审查发现明显的文字或计算错误等，及时向磋商小组委员会组长提出。经磋商小组委员会商议认为需要</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bCs/>
          <w:color w:val="auto"/>
          <w:sz w:val="24"/>
          <w:szCs w:val="24"/>
        </w:rPr>
        <w:t>作出必要澄清或说明的，应通知该磋商响应方以书面形式作出澄清或说明。授权代表未到场或拒绝澄清说明或澄清说明的内容改变了磋商响应文件的实质性内容的，磋商小组委员会有权对该磋商响应文件作出不利于磋商响应方的评判。书面通知及澄清说明文件应作为采购项目档案归档留存。</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6.评审人员需对</w:t>
      </w:r>
      <w:r>
        <w:rPr>
          <w:rFonts w:hint="eastAsia" w:asciiTheme="minorEastAsia" w:hAnsiTheme="minorEastAsia" w:eastAsiaTheme="minorEastAsia" w:cstheme="minorEastAsia"/>
          <w:bCs/>
          <w:color w:val="auto"/>
          <w:sz w:val="24"/>
          <w:szCs w:val="24"/>
          <w:lang w:val="en-US" w:eastAsia="zh-CN"/>
        </w:rPr>
        <w:t>采购</w:t>
      </w:r>
      <w:r>
        <w:rPr>
          <w:rFonts w:hint="eastAsia" w:asciiTheme="minorEastAsia" w:hAnsiTheme="minorEastAsia" w:eastAsiaTheme="minorEastAsia" w:cstheme="minorEastAsia"/>
          <w:bCs/>
          <w:color w:val="auto"/>
          <w:sz w:val="24"/>
          <w:szCs w:val="24"/>
        </w:rPr>
        <w:t>方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7.磋商小组委员会根据评审汇总情况和磋商文件规定确定中标候选</w:t>
      </w: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bCs/>
          <w:color w:val="auto"/>
          <w:sz w:val="24"/>
          <w:szCs w:val="24"/>
        </w:rPr>
        <w:t xml:space="preserve">排序名单。 </w:t>
      </w:r>
    </w:p>
    <w:p>
      <w:pPr>
        <w:snapToGrid w:val="0"/>
        <w:spacing w:line="360" w:lineRule="auto"/>
        <w:ind w:firstLine="480"/>
        <w:jc w:val="left"/>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8.起草评审报告，所有评审人员须在评审报告上签字确认。</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（五）磋商响应文件的澄清、说明或补正</w:t>
      </w:r>
    </w:p>
    <w:p>
      <w:pPr>
        <w:spacing w:line="360" w:lineRule="auto"/>
        <w:ind w:firstLine="424" w:firstLineChars="177"/>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1.对于磋商响应文件中含义不明确、同类问题表述不一致或者有明显文字和计算错误的内容，磋商小组委员会将以书面形式（或通过“</w:t>
      </w:r>
      <w:r>
        <w:rPr>
          <w:rFonts w:hint="eastAsia" w:asciiTheme="minorEastAsia" w:hAnsiTheme="minorEastAsia" w:eastAsiaTheme="minorEastAsia" w:cstheme="minorEastAsia"/>
          <w:color w:val="auto"/>
          <w:kern w:val="0"/>
          <w:sz w:val="24"/>
          <w:szCs w:val="24"/>
          <w:lang w:eastAsia="zh-CN"/>
        </w:rPr>
        <w:t>乐采</w:t>
      </w:r>
      <w:r>
        <w:rPr>
          <w:rFonts w:hint="eastAsia" w:asciiTheme="minorEastAsia" w:hAnsiTheme="minorEastAsia" w:eastAsiaTheme="minorEastAsia" w:cstheme="minorEastAsia"/>
          <w:color w:val="auto"/>
          <w:kern w:val="0"/>
          <w:sz w:val="24"/>
          <w:szCs w:val="24"/>
        </w:rPr>
        <w:t>云平台”在线询标）的形式要求磋商响应方在规定的时间内作出必要的澄清、说明或者补正，磋商响应方澄清、说明或补正。</w:t>
      </w:r>
    </w:p>
    <w:p>
      <w:pPr>
        <w:spacing w:line="360" w:lineRule="auto"/>
        <w:ind w:firstLine="424" w:firstLineChars="177"/>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磋商响应方的澄清、说明或者补正应当采用书面（或通过“乐采云平台”在线答复）形式提交，并加盖公章，或者由法定代表人或其授权的代表签字。磋商响应方的澄清、说明或者补正不得超出磋商响应文件的范围或者改变磋商响应文件的实质性内容。</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（六）错误修正</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磋商响应文件报价出现前后不一致的，除磋商文件另有规定外，按照下列规定修正：</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（一）磋商响应文件中报价明细表内容与磋商响应文件中相应内容不一致的，以报价明细表为准；</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（二）大写金额和小写金额不一致的，以大写金额为准；</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（三）单价金额小数点或者百分比有明显错位的，以报价明细表的总价为准，并修改单价；</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（四）总价金额与按单价汇总金额不一致的，以单价金额计算结果为准。</w:t>
      </w:r>
    </w:p>
    <w:p>
      <w:pPr>
        <w:spacing w:line="360" w:lineRule="auto"/>
        <w:ind w:firstLine="424" w:firstLineChars="177"/>
        <w:jc w:val="left"/>
        <w:rPr>
          <w:rFonts w:hint="eastAsia" w:asciiTheme="minorEastAsia" w:hAnsiTheme="minorEastAsia" w:eastAsiaTheme="minorEastAsia" w:cstheme="minorEastAsia"/>
          <w:color w:val="auto"/>
          <w:kern w:val="0"/>
          <w:sz w:val="24"/>
          <w:szCs w:val="24"/>
        </w:rPr>
      </w:pPr>
      <w:bookmarkStart w:id="88" w:name="_Toc33696582"/>
      <w:r>
        <w:rPr>
          <w:rFonts w:hint="eastAsia" w:asciiTheme="minorEastAsia" w:hAnsiTheme="minorEastAsia" w:eastAsiaTheme="minorEastAsia" w:cstheme="minorEastAsia"/>
          <w:color w:val="auto"/>
          <w:kern w:val="0"/>
          <w:sz w:val="24"/>
          <w:szCs w:val="24"/>
        </w:rPr>
        <w:t>（五）若磋商响应方在报价文件上传的价格和报价一览表里填写的金额不一致时，以磋商响应方上传的报价文件为准，由采购代理机构经办人对磋商响应方报价进行修正。</w:t>
      </w:r>
      <w:bookmarkEnd w:id="88"/>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同时出现两种以上不一致的，按照前款规定的顺序修正。修正后的报价按照经磋商响应方加盖公章，或者由法定代表人或其授权的代表签字确认后产生约束力，磋商响应方不确认的，其响应无效。</w:t>
      </w:r>
    </w:p>
    <w:p>
      <w:pPr>
        <w:snapToGrid w:val="0"/>
        <w:spacing w:line="360" w:lineRule="auto"/>
        <w:ind w:firstLine="482"/>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（七）评标原则和评标办法</w:t>
      </w:r>
    </w:p>
    <w:p>
      <w:pPr>
        <w:spacing w:line="360" w:lineRule="auto"/>
        <w:ind w:firstLine="482"/>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评标原则</w:t>
      </w:r>
    </w:p>
    <w:p>
      <w:pPr>
        <w:spacing w:line="360" w:lineRule="auto"/>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磋商小组委员会必须公平、公正、客观，不带任何倾向性和启发性；不得向外界透露任何与评标有关的内容；任何单位和个人不得干扰、影响评标的正常进行；磋商小组委员会及有关工作人员不得私下与磋商响应方接触。</w:t>
      </w:r>
    </w:p>
    <w:p>
      <w:pPr>
        <w:snapToGrid w:val="0"/>
        <w:spacing w:line="360" w:lineRule="auto"/>
        <w:ind w:firstLine="48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磋商响应方择期重新评审的时间和地点。</w:t>
      </w:r>
    </w:p>
    <w:p>
      <w:pPr>
        <w:snapToGrid w:val="0"/>
        <w:spacing w:line="360" w:lineRule="auto"/>
        <w:ind w:firstLine="48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评审人员对有关磋商文件、磋商响应文件、样品或现场演示（如有）的说明、解释、要求、标准存在不同意见的，持不同意见的评审人员及其意见或理由应予以完整记录，并在评审过程中按照少数服从多数的原则表决执行。对磋商文件本身不明确或存在歧义、矛盾的内容，应作对磋商响应方而非采购人有利的解释；对因磋商文件中有关产品技术参数需求表述不清导致磋商响应方实质性响应不一致时，应终止评审，重新组织采购。评审人员拒绝在评审报告中签字又不说明其不同意见或理由的，由现场监督员记录在案后，可视为同意评审结果。</w:t>
      </w:r>
    </w:p>
    <w:p>
      <w:pPr>
        <w:snapToGrid w:val="0"/>
        <w:spacing w:line="360" w:lineRule="auto"/>
        <w:ind w:firstLine="482"/>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评标办法</w:t>
      </w:r>
    </w:p>
    <w:p>
      <w:pPr>
        <w:snapToGrid w:val="0"/>
        <w:spacing w:line="360" w:lineRule="auto"/>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本项目评标办法是</w:t>
      </w:r>
      <w:r>
        <w:rPr>
          <w:rFonts w:hint="eastAsia" w:asciiTheme="minorEastAsia" w:hAnsiTheme="minorEastAsia" w:eastAsiaTheme="minorEastAsia" w:cstheme="minorEastAsia"/>
          <w:color w:val="auto"/>
          <w:sz w:val="24"/>
          <w:szCs w:val="24"/>
          <w:u w:val="single"/>
        </w:rPr>
        <w:t>综合评分法</w:t>
      </w:r>
      <w:r>
        <w:rPr>
          <w:rFonts w:hint="eastAsia" w:asciiTheme="minorEastAsia" w:hAnsiTheme="minorEastAsia" w:eastAsiaTheme="minorEastAsia" w:cstheme="minorEastAsia"/>
          <w:color w:val="auto"/>
          <w:sz w:val="24"/>
          <w:szCs w:val="24"/>
        </w:rPr>
        <w:t>，具体评标内容及评分标准等详见</w:t>
      </w:r>
      <w:r>
        <w:rPr>
          <w:rFonts w:hint="eastAsia" w:asciiTheme="minorEastAsia" w:hAnsiTheme="minorEastAsia" w:eastAsiaTheme="minorEastAsia" w:cstheme="minorEastAsia"/>
          <w:bCs/>
          <w:color w:val="auto"/>
          <w:sz w:val="24"/>
          <w:szCs w:val="24"/>
        </w:rPr>
        <w:t>第四章《评审办法及评审标准》</w:t>
      </w:r>
      <w:r>
        <w:rPr>
          <w:rFonts w:hint="eastAsia" w:asciiTheme="minorEastAsia" w:hAnsiTheme="minorEastAsia" w:eastAsiaTheme="minorEastAsia" w:cstheme="minorEastAsia"/>
          <w:color w:val="auto"/>
          <w:sz w:val="24"/>
          <w:szCs w:val="24"/>
        </w:rPr>
        <w:t>。</w:t>
      </w:r>
    </w:p>
    <w:p>
      <w:pPr>
        <w:pStyle w:val="30"/>
        <w:snapToGrid w:val="0"/>
        <w:spacing w:beforeLines="0" w:afterLines="0" w:line="360" w:lineRule="auto"/>
        <w:ind w:firstLine="482" w:firstLineChars="200"/>
        <w:outlineLvl w:val="1"/>
        <w:rPr>
          <w:rFonts w:hint="eastAsia" w:asciiTheme="minorEastAsia" w:hAnsiTheme="minorEastAsia" w:eastAsiaTheme="minorEastAsia" w:cstheme="minorEastAsia"/>
          <w:b/>
          <w:color w:val="auto"/>
        </w:rPr>
      </w:pPr>
      <w:bookmarkStart w:id="89" w:name="_Toc504504574"/>
      <w:bookmarkStart w:id="90" w:name="_Toc510614926"/>
      <w:bookmarkStart w:id="91" w:name="_Toc520986890"/>
      <w:bookmarkStart w:id="92" w:name="_Toc16413"/>
      <w:r>
        <w:rPr>
          <w:rFonts w:hint="eastAsia" w:asciiTheme="minorEastAsia" w:hAnsiTheme="minorEastAsia" w:eastAsiaTheme="minorEastAsia" w:cstheme="minorEastAsia"/>
          <w:b/>
          <w:color w:val="auto"/>
        </w:rPr>
        <w:t>五、定标</w:t>
      </w:r>
      <w:bookmarkEnd w:id="89"/>
      <w:bookmarkEnd w:id="90"/>
      <w:bookmarkEnd w:id="91"/>
      <w:bookmarkEnd w:id="92"/>
    </w:p>
    <w:p>
      <w:pPr>
        <w:pStyle w:val="30"/>
        <w:spacing w:beforeLines="0" w:afterLines="0" w:line="360" w:lineRule="auto"/>
        <w:ind w:firstLine="477" w:firstLineChars="198"/>
        <w:outlineLvl w:val="9"/>
        <w:rPr>
          <w:rFonts w:hint="eastAsia" w:asciiTheme="minorEastAsia" w:hAnsiTheme="minorEastAsia" w:eastAsiaTheme="minorEastAsia" w:cstheme="minorEastAsia"/>
          <w:b/>
          <w:bCs w:val="0"/>
          <w:color w:val="auto"/>
          <w:sz w:val="24"/>
          <w:szCs w:val="24"/>
        </w:rPr>
      </w:pPr>
      <w:bookmarkStart w:id="93" w:name="_Toc7357"/>
      <w:bookmarkStart w:id="94" w:name="_Toc33696755"/>
      <w:bookmarkStart w:id="95" w:name="_Toc504504575"/>
      <w:bookmarkStart w:id="96" w:name="_Toc510614927"/>
      <w:bookmarkStart w:id="97" w:name="_Toc520986891"/>
      <w:r>
        <w:rPr>
          <w:rFonts w:hint="eastAsia" w:asciiTheme="minorEastAsia" w:hAnsiTheme="minorEastAsia" w:eastAsiaTheme="minorEastAsia" w:cstheme="minorEastAsia"/>
          <w:b/>
          <w:bCs w:val="0"/>
          <w:color w:val="auto"/>
          <w:sz w:val="24"/>
          <w:szCs w:val="24"/>
          <w:lang w:eastAsia="zh-CN"/>
        </w:rPr>
        <w:t>（</w:t>
      </w:r>
      <w:r>
        <w:rPr>
          <w:rFonts w:hint="eastAsia" w:asciiTheme="minorEastAsia" w:hAnsiTheme="minorEastAsia" w:eastAsiaTheme="minorEastAsia" w:cstheme="minorEastAsia"/>
          <w:b/>
          <w:bCs w:val="0"/>
          <w:color w:val="auto"/>
          <w:sz w:val="24"/>
          <w:szCs w:val="24"/>
          <w:lang w:val="en-US" w:eastAsia="zh-CN"/>
        </w:rPr>
        <w:t>一</w:t>
      </w:r>
      <w:r>
        <w:rPr>
          <w:rFonts w:hint="eastAsia" w:asciiTheme="minorEastAsia" w:hAnsiTheme="minorEastAsia" w:eastAsiaTheme="minorEastAsia" w:cstheme="minorEastAsia"/>
          <w:b/>
          <w:bCs w:val="0"/>
          <w:color w:val="auto"/>
          <w:sz w:val="24"/>
          <w:szCs w:val="24"/>
          <w:lang w:eastAsia="zh-CN"/>
        </w:rPr>
        <w:t>）</w:t>
      </w:r>
      <w:r>
        <w:rPr>
          <w:rFonts w:hint="eastAsia" w:asciiTheme="minorEastAsia" w:hAnsiTheme="minorEastAsia" w:eastAsiaTheme="minorEastAsia" w:cstheme="minorEastAsia"/>
          <w:b/>
          <w:bCs w:val="0"/>
          <w:color w:val="auto"/>
          <w:sz w:val="24"/>
          <w:szCs w:val="24"/>
        </w:rPr>
        <w:t>采购结果确认（确定</w:t>
      </w:r>
      <w:r>
        <w:rPr>
          <w:rFonts w:hint="eastAsia" w:asciiTheme="minorEastAsia" w:hAnsiTheme="minorEastAsia" w:eastAsiaTheme="minorEastAsia" w:cstheme="minorEastAsia"/>
          <w:b/>
          <w:bCs w:val="0"/>
          <w:color w:val="auto"/>
          <w:sz w:val="24"/>
          <w:szCs w:val="24"/>
          <w:lang w:eastAsia="zh-CN"/>
        </w:rPr>
        <w:t>中标单位</w:t>
      </w:r>
      <w:r>
        <w:rPr>
          <w:rFonts w:hint="eastAsia" w:asciiTheme="minorEastAsia" w:hAnsiTheme="minorEastAsia" w:eastAsiaTheme="minorEastAsia" w:cstheme="minorEastAsia"/>
          <w:b/>
          <w:bCs w:val="0"/>
          <w:color w:val="auto"/>
          <w:sz w:val="24"/>
          <w:szCs w:val="24"/>
        </w:rPr>
        <w:t>）</w:t>
      </w:r>
      <w:bookmarkEnd w:id="93"/>
    </w:p>
    <w:p>
      <w:pPr>
        <w:pStyle w:val="30"/>
        <w:spacing w:beforeLines="0" w:afterLines="0" w:line="360" w:lineRule="auto"/>
        <w:ind w:firstLine="475" w:firstLineChars="198"/>
        <w:outlineLvl w:val="9"/>
        <w:rPr>
          <w:rFonts w:hint="eastAsia"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1.项目由磋商小组委员会根据第四章《评审办法及评审标准》规定提出中标候选人排序。</w:t>
      </w:r>
      <w:bookmarkEnd w:id="94"/>
    </w:p>
    <w:p>
      <w:pPr>
        <w:spacing w:line="360" w:lineRule="auto"/>
        <w:ind w:firstLine="480"/>
        <w:jc w:val="left"/>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2.本项目由磋商小组委员会推荐中标供应商，采购代理机构在评标结束后2个工作日内将评标报告交采购人确认。</w:t>
      </w:r>
    </w:p>
    <w:p>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采购人应当自收到评标报告之日起5个工作日内，在评标报告确定的中标候选人名单中按顺序确定中标人，或者采购人委托磋商小组委员会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3</w:t>
      </w:r>
      <w:r>
        <w:rPr>
          <w:rFonts w:hint="eastAsia" w:asciiTheme="minorEastAsia" w:hAnsiTheme="minorEastAsia" w:eastAsiaTheme="minorEastAsia" w:cstheme="minorEastAsia"/>
          <w:bCs/>
          <w:color w:val="auto"/>
          <w:sz w:val="24"/>
          <w:szCs w:val="24"/>
        </w:rPr>
        <w:t>.采购人及采购组织机构不对评审结果做任何解释。</w:t>
      </w:r>
    </w:p>
    <w:p>
      <w:pPr>
        <w:keepNext w:val="0"/>
        <w:keepLines w:val="0"/>
        <w:pageBreakBefore w:val="0"/>
        <w:widowControl w:val="0"/>
        <w:kinsoku/>
        <w:wordWrap/>
        <w:overflowPunct/>
        <w:topLinePunct w:val="0"/>
        <w:autoSpaceDE/>
        <w:autoSpaceDN/>
        <w:bidi w:val="0"/>
        <w:snapToGrid w:val="0"/>
        <w:spacing w:line="360" w:lineRule="auto"/>
        <w:ind w:firstLine="482" w:firstLineChars="200"/>
        <w:textAlignment w:val="auto"/>
        <w:outlineLvl w:val="9"/>
        <w:rPr>
          <w:rFonts w:hint="eastAsia" w:asciiTheme="minorEastAsia" w:hAnsiTheme="minorEastAsia" w:eastAsiaTheme="minorEastAsia" w:cstheme="minorEastAsia"/>
          <w:b/>
          <w:bCs w:val="0"/>
          <w:color w:val="auto"/>
          <w:sz w:val="24"/>
          <w:szCs w:val="24"/>
        </w:rPr>
      </w:pPr>
      <w:r>
        <w:rPr>
          <w:rFonts w:hint="eastAsia" w:asciiTheme="minorEastAsia" w:hAnsiTheme="minorEastAsia" w:eastAsiaTheme="minorEastAsia" w:cstheme="minorEastAsia"/>
          <w:b/>
          <w:bCs w:val="0"/>
          <w:color w:val="auto"/>
          <w:sz w:val="24"/>
          <w:szCs w:val="24"/>
          <w:lang w:eastAsia="zh-CN"/>
        </w:rPr>
        <w:t>（</w:t>
      </w:r>
      <w:r>
        <w:rPr>
          <w:rFonts w:hint="eastAsia" w:asciiTheme="minorEastAsia" w:hAnsiTheme="minorEastAsia" w:eastAsiaTheme="minorEastAsia" w:cstheme="minorEastAsia"/>
          <w:b/>
          <w:bCs w:val="0"/>
          <w:color w:val="auto"/>
          <w:sz w:val="24"/>
          <w:szCs w:val="24"/>
          <w:lang w:val="en-US" w:eastAsia="zh-CN"/>
        </w:rPr>
        <w:t>二</w:t>
      </w:r>
      <w:r>
        <w:rPr>
          <w:rFonts w:hint="eastAsia" w:asciiTheme="minorEastAsia" w:hAnsiTheme="minorEastAsia" w:eastAsiaTheme="minorEastAsia" w:cstheme="minorEastAsia"/>
          <w:b/>
          <w:bCs w:val="0"/>
          <w:color w:val="auto"/>
          <w:sz w:val="24"/>
          <w:szCs w:val="24"/>
          <w:lang w:eastAsia="zh-CN"/>
        </w:rPr>
        <w:t>）</w:t>
      </w:r>
      <w:r>
        <w:rPr>
          <w:rFonts w:hint="eastAsia" w:asciiTheme="minorEastAsia" w:hAnsiTheme="minorEastAsia" w:eastAsiaTheme="minorEastAsia" w:cstheme="minorEastAsia"/>
          <w:b/>
          <w:bCs w:val="0"/>
          <w:color w:val="auto"/>
          <w:sz w:val="24"/>
          <w:szCs w:val="24"/>
        </w:rPr>
        <w:t>采购结果公告和中标通知书签发</w:t>
      </w:r>
    </w:p>
    <w:p>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lang w:val="en-US" w:eastAsia="zh-CN"/>
        </w:rPr>
        <w:t>1.</w:t>
      </w:r>
      <w:r>
        <w:rPr>
          <w:rFonts w:hint="eastAsia" w:asciiTheme="minorEastAsia" w:hAnsiTheme="minorEastAsia" w:eastAsiaTheme="minorEastAsia" w:cstheme="minorEastAsia"/>
          <w:bCs/>
          <w:color w:val="auto"/>
          <w:sz w:val="24"/>
          <w:szCs w:val="24"/>
        </w:rPr>
        <w:t>采购结果经采购人确认后，</w:t>
      </w:r>
      <w:r>
        <w:rPr>
          <w:rFonts w:hint="eastAsia" w:asciiTheme="minorEastAsia" w:hAnsiTheme="minorEastAsia" w:eastAsiaTheme="minorEastAsia" w:cstheme="minorEastAsia"/>
          <w:bCs/>
          <w:color w:val="auto"/>
          <w:sz w:val="24"/>
          <w:szCs w:val="24"/>
          <w:lang w:eastAsia="zh-CN"/>
        </w:rPr>
        <w:t>采购代理机构</w:t>
      </w:r>
      <w:r>
        <w:rPr>
          <w:rFonts w:hint="eastAsia" w:asciiTheme="minorEastAsia" w:hAnsiTheme="minorEastAsia" w:eastAsiaTheme="minorEastAsia" w:cstheme="minorEastAsia"/>
          <w:bCs/>
          <w:color w:val="auto"/>
          <w:sz w:val="24"/>
          <w:szCs w:val="24"/>
        </w:rPr>
        <w:t>将于2个工作日内在浙江政府采购网上发布中标公告，并向中标方签发书面《中标通知书》。</w:t>
      </w:r>
    </w:p>
    <w:p>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2.中标公告期限为1个工作日。</w:t>
      </w:r>
    </w:p>
    <w:p>
      <w:pPr>
        <w:spacing w:line="360" w:lineRule="auto"/>
        <w:ind w:firstLine="480"/>
        <w:jc w:val="left"/>
        <w:outlineLvl w:val="9"/>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3.中标通知书发出后，中标单位无正当理由不得放弃中标。</w:t>
      </w:r>
    </w:p>
    <w:p>
      <w:pPr>
        <w:pStyle w:val="30"/>
        <w:snapToGrid w:val="0"/>
        <w:spacing w:beforeLines="0" w:afterLines="0" w:line="360" w:lineRule="auto"/>
        <w:ind w:firstLine="482" w:firstLineChars="200"/>
        <w:outlineLvl w:val="1"/>
        <w:rPr>
          <w:rFonts w:hint="eastAsia" w:asciiTheme="minorEastAsia" w:hAnsiTheme="minorEastAsia" w:eastAsiaTheme="minorEastAsia" w:cstheme="minorEastAsia"/>
          <w:b/>
          <w:color w:val="auto"/>
        </w:rPr>
      </w:pPr>
      <w:bookmarkStart w:id="98" w:name="_Toc16312"/>
      <w:r>
        <w:rPr>
          <w:rFonts w:hint="eastAsia" w:asciiTheme="minorEastAsia" w:hAnsiTheme="minorEastAsia" w:eastAsiaTheme="minorEastAsia" w:cstheme="minorEastAsia"/>
          <w:b/>
          <w:color w:val="auto"/>
        </w:rPr>
        <w:t>六、合同授予</w:t>
      </w:r>
      <w:bookmarkEnd w:id="95"/>
      <w:bookmarkEnd w:id="96"/>
      <w:bookmarkEnd w:id="97"/>
      <w:bookmarkEnd w:id="98"/>
    </w:p>
    <w:p>
      <w:pPr>
        <w:snapToGrid w:val="0"/>
        <w:spacing w:line="360" w:lineRule="auto"/>
        <w:ind w:firstLine="482"/>
        <w:jc w:val="left"/>
        <w:rPr>
          <w:rFonts w:hint="eastAsia" w:asciiTheme="minorEastAsia" w:hAnsiTheme="minorEastAsia" w:eastAsiaTheme="minorEastAsia" w:cstheme="minorEastAsia"/>
          <w:b/>
          <w:color w:val="auto"/>
          <w:sz w:val="24"/>
          <w:szCs w:val="24"/>
        </w:rPr>
      </w:pPr>
      <w:bookmarkStart w:id="99" w:name="_Toc504504576"/>
      <w:r>
        <w:rPr>
          <w:rFonts w:hint="eastAsia" w:asciiTheme="minorEastAsia" w:hAnsiTheme="minorEastAsia" w:eastAsiaTheme="minorEastAsia" w:cstheme="minorEastAsia"/>
          <w:b/>
          <w:color w:val="auto"/>
          <w:sz w:val="24"/>
          <w:szCs w:val="24"/>
        </w:rPr>
        <w:t>（一）签订合同</w:t>
      </w:r>
      <w:bookmarkEnd w:id="99"/>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highlight w:val="none"/>
          <w:lang w:val="en-US" w:eastAsia="zh-CN"/>
        </w:rPr>
        <w:t>按照磋商文件签订合同</w:t>
      </w:r>
      <w:r>
        <w:rPr>
          <w:rFonts w:hint="eastAsia" w:asciiTheme="minorEastAsia" w:hAnsiTheme="minorEastAsia" w:eastAsiaTheme="minorEastAsia" w:cstheme="minorEastAsia"/>
          <w:color w:val="auto"/>
          <w:sz w:val="24"/>
          <w:szCs w:val="24"/>
        </w:rPr>
        <w:t>。</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2.所签订的合同不得对采购文件确定的事项和</w:t>
      </w:r>
      <w:r>
        <w:rPr>
          <w:rFonts w:hint="eastAsia" w:asciiTheme="minorEastAsia" w:hAnsiTheme="minorEastAsia" w:eastAsiaTheme="minorEastAsia" w:cstheme="minorEastAsia"/>
          <w:color w:val="auto"/>
          <w:sz w:val="24"/>
          <w:szCs w:val="24"/>
          <w:lang w:val="en-US" w:eastAsia="zh-CN"/>
        </w:rPr>
        <w:t>成交</w:t>
      </w:r>
      <w:r>
        <w:rPr>
          <w:rFonts w:hint="eastAsia" w:asciiTheme="minorEastAsia" w:hAnsiTheme="minorEastAsia" w:eastAsiaTheme="minorEastAsia" w:cstheme="minorEastAsia"/>
          <w:color w:val="auto"/>
          <w:sz w:val="24"/>
          <w:szCs w:val="24"/>
        </w:rPr>
        <w:t>单位</w:t>
      </w:r>
      <w:r>
        <w:rPr>
          <w:rFonts w:hint="eastAsia" w:asciiTheme="minorEastAsia" w:hAnsiTheme="minorEastAsia" w:eastAsiaTheme="minorEastAsia" w:cstheme="minorEastAsia"/>
          <w:color w:val="auto"/>
          <w:kern w:val="0"/>
          <w:sz w:val="24"/>
          <w:szCs w:val="24"/>
          <w:highlight w:val="none"/>
          <w:lang w:val="en-US" w:eastAsia="zh-CN"/>
        </w:rPr>
        <w:t>响应</w:t>
      </w:r>
      <w:r>
        <w:rPr>
          <w:rFonts w:hint="eastAsia" w:asciiTheme="minorEastAsia" w:hAnsiTheme="minorEastAsia" w:eastAsiaTheme="minorEastAsia" w:cstheme="minorEastAsia"/>
          <w:color w:val="auto"/>
          <w:sz w:val="24"/>
          <w:szCs w:val="24"/>
        </w:rPr>
        <w:t>文件作实质性修改。采购代理机构将根据采购人的委托，对合同内容进行审查，如发现与采购结果和投标承诺内容不一致的，将予以纠正。</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中标单位拒绝与采购人签订合同的，须按项目预算金额的5%向采购人进行赔偿（赔偿用于支付采购代理服务费、专家评审费、其他采购组织费用、补偿采购人损失，若预算金额的5%不足以支付，按实际损失赔偿），同时采购人、采购代理机构将对其失信行为上报至同级采购监督管理部门对其依法处理。</w:t>
      </w:r>
    </w:p>
    <w:p>
      <w:pPr>
        <w:snapToGri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4.原中标单位拒绝与采购人签订合同后，采购人可以按照评审报告推荐的中标或者成交候选人名单排序，确定下一候选人为中标单位，也可以重新开展采购活动。</w:t>
      </w:r>
    </w:p>
    <w:p>
      <w:pPr>
        <w:pStyle w:val="30"/>
        <w:snapToGrid w:val="0"/>
        <w:spacing w:beforeLines="0" w:afterLines="0" w:line="360" w:lineRule="auto"/>
        <w:ind w:firstLine="482" w:firstLineChars="20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（二）合同备案</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1.中标人应当自采购合同签订之日起3个工作日内，将采购合同原件报</w:t>
      </w:r>
      <w:r>
        <w:rPr>
          <w:rFonts w:hint="eastAsia" w:asciiTheme="minorEastAsia" w:hAnsiTheme="minorEastAsia" w:eastAsiaTheme="minorEastAsia" w:cstheme="minorEastAsia"/>
          <w:color w:val="auto"/>
          <w:lang w:eastAsia="zh-CN"/>
        </w:rPr>
        <w:t>浙江筑脸全过程工程咨询有限公司</w:t>
      </w:r>
      <w:r>
        <w:rPr>
          <w:rFonts w:hint="eastAsia" w:asciiTheme="minorEastAsia" w:hAnsiTheme="minorEastAsia" w:eastAsiaTheme="minorEastAsia" w:cstheme="minorEastAsia"/>
          <w:color w:val="auto"/>
        </w:rPr>
        <w:t>备案。</w:t>
      </w:r>
    </w:p>
    <w:p>
      <w:pPr>
        <w:pStyle w:val="30"/>
        <w:snapToGrid w:val="0"/>
        <w:spacing w:beforeLines="0" w:afterLines="0" w:line="360" w:lineRule="auto"/>
        <w:ind w:firstLine="480" w:firstLineChars="20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2.未领取中标通知书，采购双方自行签订的合同不予备案。</w:t>
      </w:r>
    </w:p>
    <w:p>
      <w:pPr>
        <w:keepNext w:val="0"/>
        <w:keepLines w:val="0"/>
        <w:pageBreakBefore w:val="0"/>
        <w:widowControl w:val="0"/>
        <w:kinsoku/>
        <w:wordWrap/>
        <w:overflowPunct/>
        <w:topLinePunct w:val="0"/>
        <w:autoSpaceDE/>
        <w:autoSpaceDN/>
        <w:bidi w:val="0"/>
        <w:snapToGrid w:val="0"/>
        <w:spacing w:line="360" w:lineRule="auto"/>
        <w:ind w:firstLine="482" w:firstLineChars="200"/>
        <w:jc w:val="left"/>
        <w:textAlignment w:val="auto"/>
        <w:outlineLvl w:val="9"/>
        <w:rPr>
          <w:rFonts w:hint="eastAsia" w:asciiTheme="minorEastAsia" w:hAnsiTheme="minorEastAsia" w:eastAsiaTheme="minorEastAsia" w:cstheme="minorEastAsia"/>
          <w:b/>
          <w:color w:val="auto"/>
          <w:kern w:val="0"/>
          <w:sz w:val="24"/>
          <w:szCs w:val="24"/>
          <w:lang w:val="en-US" w:eastAsia="zh-CN" w:bidi="ar-SA"/>
        </w:rPr>
      </w:pPr>
      <w:bookmarkStart w:id="100" w:name="_Toc504504579"/>
      <w:bookmarkStart w:id="101" w:name="_Toc520986892"/>
      <w:bookmarkStart w:id="102" w:name="_Toc510614928"/>
      <w:r>
        <w:rPr>
          <w:rFonts w:hint="eastAsia" w:asciiTheme="minorEastAsia" w:hAnsiTheme="minorEastAsia" w:eastAsiaTheme="minorEastAsia" w:cstheme="minorEastAsia"/>
          <w:b/>
          <w:color w:val="auto"/>
          <w:kern w:val="0"/>
          <w:sz w:val="24"/>
          <w:szCs w:val="24"/>
          <w:lang w:val="en-US" w:eastAsia="zh-CN" w:bidi="ar-SA"/>
        </w:rPr>
        <w:t>（三）履约担保（履约保证金）</w:t>
      </w:r>
    </w:p>
    <w:p>
      <w:pPr>
        <w:pStyle w:val="30"/>
        <w:snapToGrid w:val="0"/>
        <w:spacing w:beforeLines="0" w:afterLines="0" w:line="360" w:lineRule="auto"/>
        <w:ind w:firstLine="475" w:firstLineChars="198"/>
        <w:outlineLvl w:val="9"/>
        <w:rPr>
          <w:rFonts w:hint="eastAsia" w:asciiTheme="minorEastAsia" w:hAnsiTheme="minorEastAsia" w:eastAsiaTheme="minorEastAsia" w:cstheme="minorEastAsia"/>
          <w:b/>
          <w:color w:val="auto"/>
          <w:kern w:val="0"/>
          <w:sz w:val="24"/>
          <w:szCs w:val="24"/>
          <w:lang w:val="en-US" w:eastAsia="zh-CN" w:bidi="ar-SA"/>
        </w:rPr>
      </w:pPr>
      <w:r>
        <w:rPr>
          <w:rFonts w:hint="eastAsia" w:asciiTheme="minorEastAsia" w:hAnsiTheme="minorEastAsia" w:eastAsiaTheme="minorEastAsia" w:cstheme="minorEastAsia"/>
          <w:b w:val="0"/>
          <w:bCs/>
          <w:color w:val="auto"/>
          <w:kern w:val="0"/>
          <w:sz w:val="24"/>
          <w:szCs w:val="24"/>
          <w:lang w:val="en-US" w:eastAsia="zh-CN" w:bidi="ar-SA"/>
        </w:rPr>
        <w:t>详见《投标须知前附表》。</w:t>
      </w:r>
    </w:p>
    <w:p>
      <w:pPr>
        <w:pStyle w:val="30"/>
        <w:snapToGrid w:val="0"/>
        <w:spacing w:beforeLines="0" w:afterLines="0" w:line="360" w:lineRule="auto"/>
        <w:ind w:firstLine="477" w:firstLineChars="198"/>
        <w:outlineLvl w:val="1"/>
        <w:rPr>
          <w:rFonts w:hint="eastAsia" w:asciiTheme="minorEastAsia" w:hAnsiTheme="minorEastAsia" w:eastAsiaTheme="minorEastAsia" w:cstheme="minorEastAsia"/>
          <w:b/>
          <w:color w:val="auto"/>
        </w:rPr>
      </w:pPr>
      <w:bookmarkStart w:id="103" w:name="_Toc18704"/>
      <w:r>
        <w:rPr>
          <w:rFonts w:hint="eastAsia" w:asciiTheme="minorEastAsia" w:hAnsiTheme="minorEastAsia" w:eastAsiaTheme="minorEastAsia" w:cstheme="minorEastAsia"/>
          <w:b/>
          <w:color w:val="auto"/>
        </w:rPr>
        <w:t>七、款项的结算</w:t>
      </w:r>
      <w:bookmarkEnd w:id="100"/>
      <w:bookmarkEnd w:id="101"/>
      <w:bookmarkEnd w:id="102"/>
      <w:bookmarkEnd w:id="103"/>
    </w:p>
    <w:p>
      <w:pPr>
        <w:spacing w:line="360" w:lineRule="auto"/>
        <w:ind w:firstLine="460" w:firstLineChars="192"/>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按照前面前附表的有关规定。</w:t>
      </w:r>
    </w:p>
    <w:p>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br w:type="page"/>
      </w:r>
    </w:p>
    <w:p>
      <w:pPr>
        <w:widowControl/>
        <w:jc w:val="center"/>
        <w:outlineLvl w:val="0"/>
        <w:rPr>
          <w:rFonts w:hint="eastAsia" w:asciiTheme="minorEastAsia" w:hAnsiTheme="minorEastAsia" w:eastAsiaTheme="minorEastAsia" w:cstheme="minorEastAsia"/>
          <w:b/>
          <w:color w:val="auto"/>
          <w:sz w:val="36"/>
          <w:szCs w:val="36"/>
        </w:rPr>
      </w:pPr>
      <w:bookmarkStart w:id="104" w:name="_Toc31557"/>
      <w:bookmarkStart w:id="105" w:name="_Toc22845"/>
      <w:r>
        <w:rPr>
          <w:rFonts w:hint="eastAsia" w:asciiTheme="minorEastAsia" w:hAnsiTheme="minorEastAsia" w:eastAsiaTheme="minorEastAsia" w:cstheme="minorEastAsia"/>
          <w:b/>
          <w:color w:val="auto"/>
          <w:sz w:val="36"/>
          <w:szCs w:val="36"/>
        </w:rPr>
        <w:t>第三章   采购需求</w:t>
      </w:r>
      <w:bookmarkEnd w:id="104"/>
      <w:bookmarkEnd w:id="105"/>
    </w:p>
    <w:p>
      <w:pPr>
        <w:pStyle w:val="4"/>
        <w:pageBreakBefore w:val="0"/>
        <w:numPr>
          <w:ilvl w:val="0"/>
          <w:numId w:val="0"/>
        </w:numPr>
        <w:tabs>
          <w:tab w:val="left" w:pos="1080"/>
          <w:tab w:val="left" w:pos="1960"/>
        </w:tabs>
        <w:kinsoku/>
        <w:wordWrap/>
        <w:overflowPunct/>
        <w:topLinePunct w:val="0"/>
        <w:bidi w:val="0"/>
        <w:snapToGrid/>
        <w:spacing w:before="0" w:after="0" w:line="360" w:lineRule="auto"/>
        <w:ind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bookmarkStart w:id="106" w:name="_Toc103187394"/>
      <w:bookmarkStart w:id="107" w:name="_Toc27049"/>
      <w:bookmarkStart w:id="108" w:name="_Toc15296"/>
      <w:bookmarkStart w:id="109" w:name="_Toc10202"/>
      <w:r>
        <w:rPr>
          <w:rFonts w:hint="eastAsia" w:ascii="宋体" w:hAnsi="宋体" w:eastAsia="宋体" w:cs="宋体"/>
          <w:b/>
          <w:bCs/>
          <w:color w:val="auto"/>
          <w:kern w:val="2"/>
          <w:sz w:val="24"/>
          <w:szCs w:val="24"/>
          <w:highlight w:val="none"/>
          <w:lang w:val="en-US" w:eastAsia="zh-CN" w:bidi="ar-SA"/>
        </w:rPr>
        <w:t>一、项目概况</w:t>
      </w:r>
      <w:bookmarkEnd w:id="106"/>
    </w:p>
    <w:p>
      <w:pPr>
        <w:pStyle w:val="4"/>
        <w:pageBreakBefore w:val="0"/>
        <w:numPr>
          <w:ilvl w:val="0"/>
          <w:numId w:val="0"/>
        </w:numPr>
        <w:tabs>
          <w:tab w:val="left" w:pos="1080"/>
          <w:tab w:val="left" w:pos="1960"/>
        </w:tabs>
        <w:kinsoku/>
        <w:wordWrap/>
        <w:overflowPunct/>
        <w:topLinePunct w:val="0"/>
        <w:bidi w:val="0"/>
        <w:snapToGrid/>
        <w:spacing w:before="0" w:after="0" w:line="360" w:lineRule="auto"/>
        <w:ind w:firstLine="480" w:firstLineChars="200"/>
        <w:jc w:val="left"/>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建设地点：嵊州市鹿山街道雅致村（外半塘）。2.建设规模：本项目对现有殡仪馆场地进行改扩建升级：原建筑拆除约5000平方米，挖方25000立方米，借方40000立米。新建业务区1522平方米、遗体处理区2348平方米、悼念区4884平方米、火化区2536平方米、骨灰寄存区145平方米、祭扫区971平方米、集散广场区217平方米、后勤管理区1869平方米、法医室358平方米、墓园管理用房450平方米；室外道路及场地铺装10800平方米；围墙800米，景观绿地面积2337平方米。工程建设期间过渡用临时守灵厅、餐厅等（钢结构）2750平方米。采购火化设备8套及礼厅相关设施设备；电梯7部；充电桩慢充15个，快充5个。项目总用地面积23375.12平方米，总建筑面积23300平方米，其中地上建筑面积15300平方米，地下建筑面积8000平方米，建筑占地10292平方米。项目周边租用临时停车场，建设生态停车场6000平方米。</w:t>
      </w:r>
    </w:p>
    <w:p>
      <w:pPr>
        <w:spacing w:line="360" w:lineRule="auto"/>
        <w:ind w:firstLine="480" w:firstLineChars="20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3.工作内容：</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1</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出具嵊州市殡仪馆提升改造工程项目环评竣工验收报告并通过专家评审（含监测、报告编制、评审）；</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2</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出具嵊州市殡仪馆改扩建工程的大气环境现状本底监测报告。</w:t>
      </w:r>
    </w:p>
    <w:bookmarkEnd w:id="107"/>
    <w:bookmarkEnd w:id="108"/>
    <w:bookmarkEnd w:id="109"/>
    <w:p>
      <w:pPr>
        <w:numPr>
          <w:ilvl w:val="0"/>
          <w:numId w:val="18"/>
        </w:numPr>
        <w:adjustRightInd w:val="0"/>
        <w:ind w:firstLine="482"/>
        <w:jc w:val="left"/>
        <w:outlineLvl w:val="1"/>
        <w:rPr>
          <w:rFonts w:hint="eastAsia" w:ascii="宋体" w:hAnsi="宋体" w:cs="宋体"/>
          <w:b/>
          <w:bCs/>
          <w:color w:val="auto"/>
          <w:highlight w:val="none"/>
          <w:lang w:val="en-US" w:eastAsia="zh-CN"/>
        </w:rPr>
      </w:pPr>
      <w:r>
        <w:rPr>
          <w:rFonts w:hint="eastAsia" w:ascii="宋体" w:hAnsi="宋体" w:cs="宋体"/>
          <w:b/>
          <w:bCs/>
          <w:color w:val="auto"/>
          <w:highlight w:val="none"/>
          <w:lang w:val="en-US" w:eastAsia="zh-CN"/>
        </w:rPr>
        <w:t>监测内容清单</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（一）环境保护验收监测</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1、废水</w:t>
      </w:r>
    </w:p>
    <w:tbl>
      <w:tblPr>
        <w:tblStyle w:val="55"/>
        <w:tblW w:w="51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3"/>
        <w:gridCol w:w="2670"/>
        <w:gridCol w:w="3356"/>
        <w:gridCol w:w="1376"/>
        <w:gridCol w:w="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03"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bookmarkStart w:id="110" w:name="_Toc171747651"/>
            <w:bookmarkStart w:id="111" w:name="_Toc445377571"/>
            <w:bookmarkStart w:id="112" w:name="_Toc441740615"/>
            <w:bookmarkStart w:id="113" w:name="_Toc145823231"/>
            <w:bookmarkStart w:id="114" w:name="_Toc165102470"/>
            <w:bookmarkStart w:id="115" w:name="_Toc145823467"/>
            <w:bookmarkStart w:id="116" w:name="_Toc165103076"/>
            <w:bookmarkStart w:id="117" w:name="_Toc146008153"/>
            <w:bookmarkStart w:id="118" w:name="_Toc467483164"/>
            <w:r>
              <w:rPr>
                <w:rFonts w:hint="eastAsia" w:ascii="宋体" w:hAnsi="宋体" w:eastAsia="宋体" w:cs="宋体"/>
                <w:color w:val="auto"/>
                <w:kern w:val="0"/>
                <w:sz w:val="24"/>
                <w:szCs w:val="24"/>
                <w:highlight w:val="none"/>
                <w:u w:val="none"/>
                <w:lang w:val="ru-RU" w:eastAsia="zh-CN" w:bidi="ar-SA"/>
              </w:rPr>
              <w:t>污染源名称</w:t>
            </w:r>
            <w:bookmarkEnd w:id="110"/>
            <w:bookmarkEnd w:id="111"/>
            <w:bookmarkEnd w:id="112"/>
            <w:bookmarkEnd w:id="113"/>
            <w:bookmarkEnd w:id="114"/>
            <w:bookmarkEnd w:id="115"/>
            <w:bookmarkEnd w:id="116"/>
            <w:bookmarkEnd w:id="117"/>
            <w:bookmarkEnd w:id="118"/>
          </w:p>
        </w:tc>
        <w:tc>
          <w:tcPr>
            <w:tcW w:w="1434"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bookmarkStart w:id="119" w:name="_Toc165103077"/>
            <w:bookmarkStart w:id="120" w:name="_Toc445377572"/>
            <w:bookmarkStart w:id="121" w:name="_Toc441740616"/>
            <w:bookmarkStart w:id="122" w:name="_Toc145823232"/>
            <w:bookmarkStart w:id="123" w:name="_Toc146008154"/>
            <w:bookmarkStart w:id="124" w:name="_Toc145823468"/>
            <w:bookmarkStart w:id="125" w:name="_Toc171747652"/>
            <w:bookmarkStart w:id="126" w:name="_Toc467483165"/>
            <w:bookmarkStart w:id="127" w:name="_Toc165102471"/>
            <w:r>
              <w:rPr>
                <w:rFonts w:hint="eastAsia" w:ascii="宋体" w:hAnsi="宋体" w:eastAsia="宋体" w:cs="宋体"/>
                <w:color w:val="auto"/>
                <w:kern w:val="0"/>
                <w:sz w:val="24"/>
                <w:szCs w:val="24"/>
                <w:highlight w:val="none"/>
                <w:u w:val="none"/>
                <w:lang w:val="ru-RU" w:eastAsia="zh-CN" w:bidi="ar-SA"/>
              </w:rPr>
              <w:t>监测点位</w:t>
            </w:r>
            <w:bookmarkEnd w:id="119"/>
            <w:bookmarkEnd w:id="120"/>
            <w:bookmarkEnd w:id="121"/>
            <w:bookmarkEnd w:id="122"/>
            <w:bookmarkEnd w:id="123"/>
            <w:bookmarkEnd w:id="124"/>
            <w:bookmarkEnd w:id="125"/>
            <w:bookmarkEnd w:id="126"/>
            <w:bookmarkEnd w:id="127"/>
          </w:p>
        </w:tc>
        <w:tc>
          <w:tcPr>
            <w:tcW w:w="1802"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bookmarkStart w:id="128" w:name="_Toc145823233"/>
            <w:bookmarkStart w:id="129" w:name="_Toc145823469"/>
            <w:bookmarkStart w:id="130" w:name="_Toc467483166"/>
            <w:bookmarkStart w:id="131" w:name="_Toc171747653"/>
            <w:bookmarkStart w:id="132" w:name="_Toc146008155"/>
            <w:bookmarkStart w:id="133" w:name="_Toc441740617"/>
            <w:bookmarkStart w:id="134" w:name="_Toc165103078"/>
            <w:bookmarkStart w:id="135" w:name="_Toc445377573"/>
            <w:bookmarkStart w:id="136" w:name="_Toc165102472"/>
            <w:r>
              <w:rPr>
                <w:rFonts w:hint="eastAsia" w:ascii="宋体" w:hAnsi="宋体" w:eastAsia="宋体" w:cs="宋体"/>
                <w:color w:val="auto"/>
                <w:kern w:val="0"/>
                <w:sz w:val="24"/>
                <w:szCs w:val="24"/>
                <w:highlight w:val="none"/>
                <w:u w:val="none"/>
                <w:lang w:val="ru-RU" w:eastAsia="zh-CN" w:bidi="ar-SA"/>
              </w:rPr>
              <w:t>监测项目</w:t>
            </w:r>
            <w:bookmarkEnd w:id="128"/>
            <w:bookmarkEnd w:id="129"/>
            <w:bookmarkEnd w:id="130"/>
            <w:bookmarkEnd w:id="131"/>
            <w:bookmarkEnd w:id="132"/>
            <w:bookmarkEnd w:id="133"/>
            <w:bookmarkEnd w:id="134"/>
            <w:bookmarkEnd w:id="135"/>
            <w:bookmarkEnd w:id="136"/>
          </w:p>
        </w:tc>
        <w:tc>
          <w:tcPr>
            <w:tcW w:w="739"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bookmarkStart w:id="137" w:name="_Toc165102473"/>
            <w:bookmarkStart w:id="138" w:name="_Toc145823470"/>
            <w:bookmarkStart w:id="139" w:name="_Toc165103079"/>
            <w:bookmarkStart w:id="140" w:name="_Toc145823234"/>
            <w:bookmarkStart w:id="141" w:name="_Toc445377574"/>
            <w:bookmarkStart w:id="142" w:name="_Toc467483167"/>
            <w:bookmarkStart w:id="143" w:name="_Toc441740618"/>
            <w:bookmarkStart w:id="144" w:name="_Toc146008156"/>
            <w:bookmarkStart w:id="145" w:name="_Toc171747654"/>
            <w:r>
              <w:rPr>
                <w:rFonts w:hint="eastAsia" w:ascii="宋体" w:hAnsi="宋体" w:eastAsia="宋体" w:cs="宋体"/>
                <w:color w:val="auto"/>
                <w:kern w:val="0"/>
                <w:sz w:val="24"/>
                <w:szCs w:val="24"/>
                <w:highlight w:val="none"/>
                <w:u w:val="none"/>
                <w:lang w:val="ru-RU" w:eastAsia="zh-CN" w:bidi="ar-SA"/>
              </w:rPr>
              <w:t>监测频次</w:t>
            </w:r>
            <w:bookmarkEnd w:id="137"/>
            <w:bookmarkEnd w:id="138"/>
            <w:bookmarkEnd w:id="139"/>
            <w:bookmarkEnd w:id="140"/>
            <w:bookmarkEnd w:id="141"/>
            <w:bookmarkEnd w:id="142"/>
            <w:bookmarkEnd w:id="143"/>
            <w:bookmarkEnd w:id="144"/>
            <w:bookmarkEnd w:id="145"/>
          </w:p>
        </w:tc>
        <w:tc>
          <w:tcPr>
            <w:tcW w:w="421"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603"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废水</w:t>
            </w:r>
          </w:p>
        </w:tc>
        <w:tc>
          <w:tcPr>
            <w:tcW w:w="143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生活污水排放口（★1）</w:t>
            </w:r>
          </w:p>
        </w:tc>
        <w:tc>
          <w:tcPr>
            <w:tcW w:w="180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pH、化学需氧量、五日生化需氧量、总磷、氨氮、总氮、悬浮物、动植物油类</w:t>
            </w:r>
          </w:p>
        </w:tc>
        <w:tc>
          <w:tcPr>
            <w:tcW w:w="73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每天4次，2个周期</w:t>
            </w:r>
          </w:p>
        </w:tc>
        <w:tc>
          <w:tcPr>
            <w:tcW w:w="421"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60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43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雨排口（★2）</w:t>
            </w:r>
          </w:p>
        </w:tc>
        <w:tc>
          <w:tcPr>
            <w:tcW w:w="180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pH、化学需氧量、五日生化需氧量、总磷、氨氮、总氮、悬浮物、动植物油类</w:t>
            </w:r>
          </w:p>
        </w:tc>
        <w:tc>
          <w:tcPr>
            <w:tcW w:w="73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每天2次，2个周期</w:t>
            </w:r>
          </w:p>
        </w:tc>
        <w:tc>
          <w:tcPr>
            <w:tcW w:w="421"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pStyle w:val="576"/>
        <w:bidi w:val="0"/>
        <w:adjustRightInd w:val="0"/>
        <w:snapToGrid w:val="0"/>
        <w:ind w:firstLine="0" w:firstLineChars="0"/>
        <w:jc w:val="left"/>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2、废气</w:t>
      </w:r>
    </w:p>
    <w:tbl>
      <w:tblPr>
        <w:tblStyle w:val="55"/>
        <w:tblW w:w="51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0"/>
        <w:gridCol w:w="1298"/>
        <w:gridCol w:w="1309"/>
        <w:gridCol w:w="3416"/>
        <w:gridCol w:w="1335"/>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blHeader/>
          <w:jc w:val="center"/>
        </w:trPr>
        <w:tc>
          <w:tcPr>
            <w:tcW w:w="633"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污染源名称</w:t>
            </w:r>
          </w:p>
        </w:tc>
        <w:tc>
          <w:tcPr>
            <w:tcW w:w="1386" w:type="pct"/>
            <w:gridSpan w:val="2"/>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监测点位</w:t>
            </w:r>
          </w:p>
        </w:tc>
        <w:tc>
          <w:tcPr>
            <w:tcW w:w="1816"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监测项目</w:t>
            </w:r>
          </w:p>
        </w:tc>
        <w:tc>
          <w:tcPr>
            <w:tcW w:w="710"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监测频次</w:t>
            </w:r>
          </w:p>
        </w:tc>
        <w:tc>
          <w:tcPr>
            <w:tcW w:w="452"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w:t>
            </w: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火化炉废气处理装置DA001</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火化炉废气处理装置DA002</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（◎2）</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火化炉废气处理装置DA003</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（◎3）</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火化炉废气处理装置DA004</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（◎4）</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火化炉废气处理装置DA005</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（◎5）</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火化炉废气处理装置DA006</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（◎6）</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386" w:type="pct"/>
            <w:gridSpan w:val="2"/>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厂界四周</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气象参数、颗粒物、SO2、NOx、CO、氯化氢、汞及其化合物</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环境空气</w:t>
            </w:r>
          </w:p>
        </w:tc>
        <w:tc>
          <w:tcPr>
            <w:tcW w:w="1386" w:type="pct"/>
            <w:gridSpan w:val="2"/>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敏感点（钱塘村）</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PM10、PM2.5、二氧化硫、氮氧化物、二噁英类、汞及其化合物、氯化氢、一氧化碳、臭氧</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每天3次（小时值），2个周期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3、噪声</w:t>
      </w:r>
    </w:p>
    <w:tbl>
      <w:tblPr>
        <w:tblStyle w:val="55"/>
        <w:tblW w:w="517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5"/>
        <w:gridCol w:w="2081"/>
        <w:gridCol w:w="2166"/>
        <w:gridCol w:w="2995"/>
        <w:gridCol w:w="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661"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污染源名称</w:t>
            </w:r>
          </w:p>
        </w:tc>
        <w:tc>
          <w:tcPr>
            <w:tcW w:w="1104"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监测点位</w:t>
            </w:r>
          </w:p>
        </w:tc>
        <w:tc>
          <w:tcPr>
            <w:tcW w:w="1149"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监测项目</w:t>
            </w:r>
          </w:p>
        </w:tc>
        <w:tc>
          <w:tcPr>
            <w:tcW w:w="1589"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监测频次</w:t>
            </w:r>
          </w:p>
        </w:tc>
        <w:tc>
          <w:tcPr>
            <w:tcW w:w="494"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661"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噪声</w:t>
            </w:r>
          </w:p>
        </w:tc>
        <w:tc>
          <w:tcPr>
            <w:tcW w:w="110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厂界四周</w:t>
            </w:r>
          </w:p>
        </w:tc>
        <w:tc>
          <w:tcPr>
            <w:tcW w:w="114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气象参数、噪声</w:t>
            </w:r>
          </w:p>
        </w:tc>
        <w:tc>
          <w:tcPr>
            <w:tcW w:w="158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每天昼夜各1次，2天</w:t>
            </w:r>
          </w:p>
        </w:tc>
        <w:tc>
          <w:tcPr>
            <w:tcW w:w="49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61"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10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敏感点（钱塘村）</w:t>
            </w:r>
          </w:p>
        </w:tc>
        <w:tc>
          <w:tcPr>
            <w:tcW w:w="114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气象参数、噪声</w:t>
            </w:r>
          </w:p>
        </w:tc>
        <w:tc>
          <w:tcPr>
            <w:tcW w:w="158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每天昼夜各1次，2天</w:t>
            </w:r>
          </w:p>
        </w:tc>
        <w:tc>
          <w:tcPr>
            <w:tcW w:w="49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pStyle w:val="14"/>
        <w:jc w:val="center"/>
        <w:rPr>
          <w:rFonts w:hint="eastAsia" w:ascii="宋体" w:hAnsi="宋体" w:eastAsia="宋体" w:cs="宋体"/>
          <w:color w:val="auto"/>
          <w:kern w:val="0"/>
          <w:sz w:val="24"/>
          <w:szCs w:val="24"/>
          <w:highlight w:val="none"/>
          <w:u w:val="none"/>
          <w:lang w:val="en-US" w:eastAsia="zh-CN" w:bidi="ar-SA"/>
        </w:rPr>
      </w:pPr>
    </w:p>
    <w:p>
      <w:pPr>
        <w:pStyle w:val="14"/>
        <w:spacing w:line="240" w:lineRule="auto"/>
        <w:ind w:left="0" w:leftChars="0" w:firstLine="0" w:firstLineChars="0"/>
        <w:jc w:val="both"/>
        <w:rPr>
          <w:rFonts w:hint="eastAsia" w:ascii="宋体" w:hAnsi="宋体" w:eastAsia="宋体" w:cs="宋体"/>
          <w:b/>
          <w:bCs/>
          <w:color w:val="auto"/>
          <w:kern w:val="0"/>
          <w:sz w:val="24"/>
          <w:szCs w:val="24"/>
          <w:highlight w:val="none"/>
          <w:u w:val="none"/>
          <w:lang w:val="en-US" w:eastAsia="zh-CN" w:bidi="ar-SA"/>
        </w:rPr>
      </w:pPr>
      <w:r>
        <w:rPr>
          <w:rFonts w:hint="eastAsia" w:ascii="宋体" w:hAnsi="宋体" w:eastAsia="宋体" w:cs="宋体"/>
          <w:b/>
          <w:bCs/>
          <w:color w:val="auto"/>
          <w:kern w:val="0"/>
          <w:sz w:val="24"/>
          <w:szCs w:val="24"/>
          <w:highlight w:val="none"/>
          <w:u w:val="none"/>
          <w:lang w:val="en-US" w:eastAsia="zh-CN" w:bidi="ar-SA"/>
        </w:rPr>
        <w:t>二、大气环境现状本底监测</w:t>
      </w:r>
    </w:p>
    <w:p>
      <w:pPr>
        <w:pStyle w:val="14"/>
        <w:spacing w:line="240" w:lineRule="auto"/>
        <w:ind w:left="0" w:leftChars="0" w:firstLine="0" w:firstLineChars="0"/>
        <w:jc w:val="both"/>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1、废气</w:t>
      </w:r>
    </w:p>
    <w:tbl>
      <w:tblPr>
        <w:tblStyle w:val="55"/>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6"/>
        <w:gridCol w:w="2308"/>
        <w:gridCol w:w="1938"/>
        <w:gridCol w:w="3017"/>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64"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污染源名称</w:t>
            </w:r>
          </w:p>
        </w:tc>
        <w:tc>
          <w:tcPr>
            <w:tcW w:w="1230"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监测点位</w:t>
            </w:r>
          </w:p>
        </w:tc>
        <w:tc>
          <w:tcPr>
            <w:tcW w:w="1033"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监测项目</w:t>
            </w:r>
          </w:p>
        </w:tc>
        <w:tc>
          <w:tcPr>
            <w:tcW w:w="1608"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监测频次</w:t>
            </w:r>
          </w:p>
        </w:tc>
        <w:tc>
          <w:tcPr>
            <w:tcW w:w="463"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664"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环境空气</w:t>
            </w:r>
          </w:p>
        </w:tc>
        <w:tc>
          <w:tcPr>
            <w:tcW w:w="1230"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敏感点（钱塘村）</w:t>
            </w:r>
          </w:p>
        </w:tc>
        <w:tc>
          <w:tcPr>
            <w:tcW w:w="1033" w:type="pct"/>
            <w:noWrap w:val="0"/>
            <w:vAlign w:val="center"/>
          </w:tcPr>
          <w:p>
            <w:pPr>
              <w:pStyle w:val="576"/>
              <w:bidi w:val="0"/>
              <w:adjustRightInd w:val="0"/>
              <w:snapToGrid w:val="0"/>
              <w:ind w:firstLine="0" w:firstLineChars="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二噁英类</w:t>
            </w:r>
          </w:p>
        </w:tc>
        <w:tc>
          <w:tcPr>
            <w:tcW w:w="1608" w:type="pct"/>
            <w:noWrap w:val="0"/>
            <w:vAlign w:val="center"/>
          </w:tcPr>
          <w:p>
            <w:pPr>
              <w:pStyle w:val="576"/>
              <w:bidi w:val="0"/>
              <w:adjustRightInd w:val="0"/>
              <w:snapToGrid w:val="0"/>
              <w:ind w:firstLine="0" w:firstLineChars="0"/>
              <w:rPr>
                <w:rFonts w:hint="eastAsia" w:ascii="宋体" w:hAnsi="宋体" w:eastAsia="宋体" w:cs="宋体"/>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测日均值，7天，每天采样时间不少于18h</w:t>
            </w:r>
          </w:p>
        </w:tc>
        <w:tc>
          <w:tcPr>
            <w:tcW w:w="463"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注：①以上采购内容清单中所列检测数量是预计的数量，仅作为投标报价的共同基础，不作为最终结算与支付的依据。实际支付应按实际完成的数量、报价清单的单价或总额价计算支付金额。</w:t>
      </w:r>
    </w:p>
    <w:p>
      <w:pPr>
        <w:keepNext w:val="0"/>
        <w:keepLines w:val="0"/>
        <w:pageBreakBefore w:val="0"/>
        <w:widowControl w:val="0"/>
        <w:kinsoku/>
        <w:wordWrap/>
        <w:overflowPunct/>
        <w:topLinePunct w:val="0"/>
        <w:autoSpaceDE/>
        <w:autoSpaceDN/>
        <w:bidi w:val="0"/>
        <w:adjustRightInd/>
        <w:snapToGrid/>
        <w:spacing w:line="500" w:lineRule="exact"/>
        <w:ind w:firstLine="496"/>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宋体" w:hAnsi="宋体" w:eastAsia="宋体" w:cs="宋体"/>
          <w:b/>
          <w:bCs/>
          <w:kern w:val="0"/>
          <w:sz w:val="24"/>
          <w:lang w:eastAsia="zh-CN"/>
        </w:rPr>
        <w:t>②</w:t>
      </w:r>
      <w:r>
        <w:rPr>
          <w:rFonts w:hint="eastAsia" w:ascii="宋体" w:hAnsi="宋体" w:eastAsia="宋体" w:cs="宋体"/>
          <w:b/>
          <w:bCs/>
          <w:kern w:val="0"/>
          <w:sz w:val="24"/>
          <w:lang w:val="en-US" w:eastAsia="zh-CN"/>
        </w:rPr>
        <w:t>如清单中未列明但实际</w:t>
      </w:r>
      <w:r>
        <w:rPr>
          <w:rFonts w:hint="eastAsia" w:ascii="宋体" w:hAnsi="宋体" w:eastAsia="宋体" w:cs="宋体"/>
          <w:b/>
          <w:bCs/>
          <w:kern w:val="0"/>
          <w:sz w:val="24"/>
          <w:lang w:eastAsia="zh-CN"/>
        </w:rPr>
        <w:t>需要的双方协商定价格。</w:t>
      </w:r>
    </w:p>
    <w:p>
      <w:pPr>
        <w:pageBreakBefore w:val="0"/>
        <w:tabs>
          <w:tab w:val="left" w:pos="517"/>
        </w:tabs>
        <w:kinsoku/>
        <w:wordWrap/>
        <w:topLinePunct w:val="0"/>
        <w:bidi w:val="0"/>
        <w:snapToGrid/>
        <w:spacing w:line="360" w:lineRule="auto"/>
        <w:ind w:right="0" w:rightChars="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bCs/>
          <w:color w:val="auto"/>
          <w:kern w:val="2"/>
          <w:sz w:val="24"/>
          <w:szCs w:val="24"/>
          <w:highlight w:val="none"/>
          <w:lang w:val="en-US" w:eastAsia="zh-CN" w:bidi="ar-SA"/>
        </w:rPr>
        <w:t>六）商务条款</w:t>
      </w:r>
    </w:p>
    <w:tbl>
      <w:tblPr>
        <w:tblStyle w:val="55"/>
        <w:tblW w:w="9678" w:type="dxa"/>
        <w:tblInd w:w="-185" w:type="dxa"/>
        <w:tblLayout w:type="fixed"/>
        <w:tblCellMar>
          <w:top w:w="0" w:type="dxa"/>
          <w:left w:w="108" w:type="dxa"/>
          <w:bottom w:w="0" w:type="dxa"/>
          <w:right w:w="108" w:type="dxa"/>
        </w:tblCellMar>
      </w:tblPr>
      <w:tblGrid>
        <w:gridCol w:w="765"/>
        <w:gridCol w:w="1665"/>
        <w:gridCol w:w="7248"/>
      </w:tblGrid>
      <w:tr>
        <w:tblPrEx>
          <w:tblCellMar>
            <w:top w:w="0" w:type="dxa"/>
            <w:left w:w="108" w:type="dxa"/>
            <w:bottom w:w="0" w:type="dxa"/>
            <w:right w:w="108" w:type="dxa"/>
          </w:tblCellMar>
        </w:tblPrEx>
        <w:trPr>
          <w:trHeight w:val="571"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topLinePunct w:val="0"/>
              <w:bidi w:val="0"/>
              <w:snapToGrid/>
              <w:spacing w:line="360" w:lineRule="auto"/>
              <w:ind w:right="0" w:rightChars="0" w:firstLine="0" w:firstLineChars="0"/>
              <w:jc w:val="center"/>
              <w:textAlignment w:val="auto"/>
              <w:rPr>
                <w:rFonts w:hint="eastAsia"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序号</w:t>
            </w:r>
          </w:p>
        </w:tc>
        <w:tc>
          <w:tcPr>
            <w:tcW w:w="1665"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topLinePunct w:val="0"/>
              <w:bidi w:val="0"/>
              <w:snapToGrid/>
              <w:spacing w:line="360" w:lineRule="auto"/>
              <w:ind w:right="0" w:rightChars="0" w:firstLine="0" w:firstLineChars="0"/>
              <w:jc w:val="center"/>
              <w:textAlignment w:val="auto"/>
              <w:rPr>
                <w:rFonts w:hint="eastAsia" w:asciiTheme="minorEastAsia" w:hAnsiTheme="minorEastAsia" w:eastAsiaTheme="minorEastAsia" w:cstheme="minorEastAsia"/>
                <w:b/>
                <w:sz w:val="24"/>
                <w:szCs w:val="24"/>
                <w:highlight w:val="none"/>
              </w:rPr>
            </w:pPr>
            <w:r>
              <w:rPr>
                <w:rFonts w:hint="eastAsia" w:asciiTheme="minorEastAsia" w:hAnsiTheme="minorEastAsia" w:eastAsiaTheme="minorEastAsia" w:cstheme="minorEastAsia"/>
                <w:b/>
                <w:sz w:val="24"/>
                <w:szCs w:val="24"/>
                <w:highlight w:val="none"/>
              </w:rPr>
              <w:t>项目</w:t>
            </w:r>
          </w:p>
        </w:tc>
        <w:tc>
          <w:tcPr>
            <w:tcW w:w="7248" w:type="dxa"/>
            <w:tcBorders>
              <w:top w:val="single" w:color="000000" w:sz="4" w:space="0"/>
              <w:left w:val="single" w:color="000000" w:sz="4" w:space="0"/>
              <w:bottom w:val="single" w:color="000000" w:sz="4" w:space="0"/>
              <w:right w:val="single" w:color="000000" w:sz="4" w:space="0"/>
            </w:tcBorders>
            <w:vAlign w:val="center"/>
          </w:tcPr>
          <w:p>
            <w:pPr>
              <w:pageBreakBefore w:val="0"/>
              <w:kinsoku/>
              <w:wordWrap/>
              <w:topLinePunct w:val="0"/>
              <w:bidi w:val="0"/>
              <w:snapToGrid/>
              <w:spacing w:line="360" w:lineRule="auto"/>
              <w:ind w:right="0" w:rightChars="0" w:firstLine="0" w:firstLineChars="0"/>
              <w:jc w:val="center"/>
              <w:textAlignment w:val="auto"/>
              <w:rPr>
                <w:rFonts w:hint="eastAsia" w:asciiTheme="minorEastAsia" w:hAnsiTheme="minorEastAsia" w:eastAsiaTheme="minorEastAsia" w:cstheme="minorEastAsia"/>
                <w:kern w:val="1"/>
                <w:sz w:val="24"/>
                <w:szCs w:val="24"/>
                <w:highlight w:val="none"/>
              </w:rPr>
            </w:pPr>
            <w:r>
              <w:rPr>
                <w:rFonts w:hint="eastAsia" w:asciiTheme="minorEastAsia" w:hAnsiTheme="minorEastAsia" w:eastAsiaTheme="minorEastAsia" w:cstheme="minorEastAsia"/>
                <w:b/>
                <w:sz w:val="24"/>
                <w:szCs w:val="24"/>
                <w:highlight w:val="none"/>
              </w:rPr>
              <w:t>要求</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质量标准</w:t>
            </w:r>
          </w:p>
        </w:tc>
        <w:tc>
          <w:tcPr>
            <w:tcW w:w="7248"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质量标准必须执行国家相关标准、行业标准、地方标准或者其它标准、规范（从严）：具有国家标准及规范的，按最新的标准及规范执行；具有行业标准及规范的，按最新的标准及规范执行；具有其他标准及规范的，按照最新的标准及规范执行；满足招标需求的规定。</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验收</w:t>
            </w:r>
          </w:p>
        </w:tc>
        <w:tc>
          <w:tcPr>
            <w:tcW w:w="7248"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1.符合国家有关技术规范要求和技术标准；</w:t>
            </w:r>
          </w:p>
          <w:p>
            <w:pPr>
              <w:snapToGrid w:val="0"/>
              <w:spacing w:line="360" w:lineRule="auto"/>
              <w:ind w:firstLine="240" w:firstLineChars="100"/>
              <w:jc w:val="both"/>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2.验收由采购单位按规定组织相关人员进行验收。</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服务期限及服务地点</w:t>
            </w:r>
          </w:p>
        </w:tc>
        <w:tc>
          <w:tcPr>
            <w:tcW w:w="7248" w:type="dxa"/>
            <w:tcBorders>
              <w:top w:val="single" w:color="000000" w:sz="4" w:space="0"/>
              <w:left w:val="single" w:color="000000" w:sz="4" w:space="0"/>
              <w:bottom w:val="single" w:color="000000" w:sz="4" w:space="0"/>
              <w:right w:val="single" w:color="000000" w:sz="4" w:space="0"/>
            </w:tcBorders>
            <w:vAlign w:val="center"/>
          </w:tcPr>
          <w:p>
            <w:pPr>
              <w:numPr>
                <w:ilvl w:val="0"/>
                <w:numId w:val="0"/>
              </w:numPr>
              <w:snapToGrid w:val="0"/>
              <w:spacing w:line="360" w:lineRule="auto"/>
              <w:ind w:firstLine="240" w:firstLineChars="100"/>
              <w:jc w:val="left"/>
              <w:rPr>
                <w:rFonts w:hint="eastAsia" w:ascii="宋体" w:hAnsi="宋体" w:eastAsia="宋体" w:cs="宋体"/>
                <w:b w:val="0"/>
                <w:bCs w:val="0"/>
                <w:color w:val="auto"/>
                <w:kern w:val="2"/>
                <w:sz w:val="24"/>
                <w:szCs w:val="24"/>
                <w:highlight w:val="none"/>
                <w:lang w:val="en-US" w:eastAsia="zh-CN" w:bidi="ar-SA"/>
              </w:rPr>
            </w:pPr>
            <w:r>
              <w:rPr>
                <w:rFonts w:hint="eastAsia" w:ascii="宋体" w:hAnsi="宋体" w:cs="宋体"/>
                <w:b w:val="0"/>
                <w:bCs w:val="0"/>
                <w:color w:val="auto"/>
                <w:kern w:val="2"/>
                <w:sz w:val="24"/>
                <w:szCs w:val="24"/>
                <w:highlight w:val="none"/>
                <w:lang w:val="en-US" w:eastAsia="zh-CN" w:bidi="ar-SA"/>
              </w:rPr>
              <w:t>1.</w:t>
            </w:r>
            <w:r>
              <w:rPr>
                <w:rFonts w:hint="eastAsia" w:ascii="宋体" w:hAnsi="宋体" w:eastAsia="宋体" w:cs="宋体"/>
                <w:b w:val="0"/>
                <w:bCs w:val="0"/>
                <w:color w:val="auto"/>
                <w:kern w:val="2"/>
                <w:sz w:val="24"/>
                <w:szCs w:val="24"/>
                <w:highlight w:val="none"/>
                <w:lang w:val="en-US" w:eastAsia="zh-CN" w:bidi="ar-SA"/>
              </w:rPr>
              <w:t>服务期限：</w:t>
            </w:r>
            <w:r>
              <w:rPr>
                <w:rFonts w:hint="eastAsia" w:ascii="宋体" w:hAnsi="宋体" w:cs="宋体"/>
                <w:b w:val="0"/>
                <w:bCs w:val="0"/>
                <w:color w:val="auto"/>
                <w:kern w:val="2"/>
                <w:sz w:val="24"/>
                <w:szCs w:val="24"/>
                <w:highlight w:val="none"/>
                <w:lang w:val="en-US" w:eastAsia="zh-CN" w:bidi="ar-SA"/>
              </w:rPr>
              <w:t>中标通知书发出之日起</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cs="宋体"/>
                <w:b w:val="0"/>
                <w:bCs w:val="0"/>
                <w:color w:val="auto"/>
                <w:kern w:val="2"/>
                <w:sz w:val="24"/>
                <w:szCs w:val="24"/>
                <w:highlight w:val="none"/>
                <w:u w:val="single"/>
                <w:lang w:val="en-US" w:eastAsia="zh-CN" w:bidi="ar-SA"/>
              </w:rPr>
              <w:t>75</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日内完成</w:t>
            </w:r>
            <w:r>
              <w:rPr>
                <w:rFonts w:hint="eastAsia" w:ascii="宋体" w:hAnsi="宋体" w:cs="宋体"/>
                <w:b w:val="0"/>
                <w:bCs w:val="0"/>
                <w:color w:val="auto"/>
                <w:kern w:val="2"/>
                <w:sz w:val="24"/>
                <w:szCs w:val="24"/>
                <w:highlight w:val="none"/>
                <w:lang w:val="en-US" w:eastAsia="zh-CN" w:bidi="ar-SA"/>
              </w:rPr>
              <w:t>全部取样监测、</w:t>
            </w:r>
            <w:r>
              <w:rPr>
                <w:rFonts w:hint="eastAsia" w:ascii="宋体" w:hAnsi="宋体" w:eastAsia="宋体" w:cs="宋体"/>
                <w:b w:val="0"/>
                <w:bCs w:val="0"/>
                <w:color w:val="auto"/>
                <w:kern w:val="2"/>
                <w:sz w:val="24"/>
                <w:szCs w:val="24"/>
                <w:highlight w:val="none"/>
                <w:lang w:val="en-US" w:eastAsia="zh-CN" w:bidi="ar-SA"/>
              </w:rPr>
              <w:t>报告</w:t>
            </w:r>
            <w:r>
              <w:rPr>
                <w:rFonts w:hint="eastAsia" w:ascii="宋体" w:hAnsi="宋体" w:cs="宋体"/>
                <w:b w:val="0"/>
                <w:bCs w:val="0"/>
                <w:color w:val="auto"/>
                <w:kern w:val="2"/>
                <w:sz w:val="24"/>
                <w:szCs w:val="24"/>
                <w:highlight w:val="none"/>
                <w:lang w:val="en-US" w:eastAsia="zh-CN" w:bidi="ar-SA"/>
              </w:rPr>
              <w:t>编制及</w:t>
            </w:r>
            <w:r>
              <w:rPr>
                <w:rFonts w:hint="eastAsia" w:ascii="宋体" w:hAnsi="宋体" w:eastAsia="宋体" w:cs="宋体"/>
                <w:b w:val="0"/>
                <w:bCs w:val="0"/>
                <w:color w:val="auto"/>
                <w:kern w:val="2"/>
                <w:sz w:val="24"/>
                <w:szCs w:val="24"/>
                <w:highlight w:val="none"/>
                <w:lang w:val="en-US" w:eastAsia="zh-CN" w:bidi="ar-SA"/>
              </w:rPr>
              <w:t>专家评审。</w:t>
            </w:r>
          </w:p>
          <w:p>
            <w:pPr>
              <w:numPr>
                <w:ilvl w:val="0"/>
                <w:numId w:val="0"/>
              </w:numPr>
              <w:snapToGrid w:val="0"/>
              <w:spacing w:line="360" w:lineRule="auto"/>
              <w:ind w:firstLine="240" w:firstLineChars="100"/>
              <w:jc w:val="left"/>
              <w:rPr>
                <w:rFonts w:hint="default" w:eastAsia="宋体" w:asciiTheme="minorEastAsia" w:hAnsiTheme="minorEastAsia" w:cstheme="minorEastAsia"/>
                <w:color w:val="auto"/>
                <w:sz w:val="24"/>
                <w:szCs w:val="24"/>
                <w:lang w:val="en-US" w:eastAsia="zh-CN"/>
              </w:rPr>
            </w:pPr>
            <w:r>
              <w:rPr>
                <w:rFonts w:hint="eastAsia" w:ascii="宋体" w:hAnsi="宋体" w:cs="宋体"/>
                <w:b w:val="0"/>
                <w:bCs w:val="0"/>
                <w:color w:val="auto"/>
                <w:kern w:val="2"/>
                <w:sz w:val="24"/>
                <w:szCs w:val="24"/>
                <w:highlight w:val="none"/>
                <w:lang w:val="en-US" w:eastAsia="zh-CN" w:bidi="ar-SA"/>
              </w:rPr>
              <w:t>2.</w:t>
            </w:r>
            <w:r>
              <w:rPr>
                <w:rFonts w:hint="eastAsia" w:ascii="宋体" w:hAnsi="宋体" w:eastAsia="宋体" w:cs="宋体"/>
                <w:b w:val="0"/>
                <w:bCs w:val="0"/>
                <w:color w:val="auto"/>
                <w:kern w:val="2"/>
                <w:sz w:val="24"/>
                <w:szCs w:val="24"/>
                <w:highlight w:val="none"/>
                <w:lang w:val="en-US" w:eastAsia="zh-CN" w:bidi="ar-SA"/>
              </w:rPr>
              <w:t>服务地点：采购人指定地点。</w:t>
            </w:r>
          </w:p>
        </w:tc>
      </w:tr>
      <w:tr>
        <w:tblPrEx>
          <w:tblCellMar>
            <w:top w:w="0" w:type="dxa"/>
            <w:left w:w="108" w:type="dxa"/>
            <w:bottom w:w="0" w:type="dxa"/>
            <w:right w:w="108" w:type="dxa"/>
          </w:tblCellMar>
        </w:tblPrEx>
        <w:trPr>
          <w:trHeight w:val="606"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结算方式</w:t>
            </w:r>
          </w:p>
        </w:tc>
        <w:tc>
          <w:tcPr>
            <w:tcW w:w="7248" w:type="dxa"/>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360" w:lineRule="auto"/>
              <w:ind w:firstLine="480" w:firstLineChars="20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本项目采用固定综合单价合同，数量按监测数量进行结算。合同期间单价不予调整；</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付款方式</w:t>
            </w:r>
          </w:p>
        </w:tc>
        <w:tc>
          <w:tcPr>
            <w:tcW w:w="7248" w:type="dxa"/>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360" w:lineRule="auto"/>
              <w:ind w:firstLine="480" w:firstLineChars="200"/>
              <w:jc w:val="both"/>
              <w:rPr>
                <w:rFonts w:hint="default" w:asciiTheme="minorEastAsia" w:hAnsiTheme="minorEastAsia" w:eastAsiaTheme="minorEastAsia" w:cstheme="minorEastAsia"/>
                <w:color w:val="auto"/>
                <w:sz w:val="24"/>
                <w:szCs w:val="24"/>
                <w:lang w:val="en-US" w:eastAsia="zh-CN"/>
              </w:rPr>
            </w:pPr>
            <w:r>
              <w:rPr>
                <w:rFonts w:hint="eastAsia" w:ascii="宋体" w:hAnsi="宋体" w:eastAsia="宋体" w:cs="宋体"/>
                <w:b w:val="0"/>
                <w:bCs w:val="0"/>
                <w:color w:val="auto"/>
                <w:kern w:val="2"/>
                <w:sz w:val="24"/>
                <w:szCs w:val="24"/>
                <w:highlight w:val="none"/>
                <w:lang w:val="en-US" w:eastAsia="zh-CN" w:bidi="ar-SA"/>
              </w:rPr>
              <w:t>出具嵊州市殡仪馆改扩建工程的大气环境现状本底监测报告</w:t>
            </w:r>
            <w:r>
              <w:rPr>
                <w:rFonts w:hint="eastAsia" w:asciiTheme="minorEastAsia" w:hAnsiTheme="minorEastAsia" w:eastAsiaTheme="minorEastAsia" w:cstheme="minorEastAsia"/>
                <w:color w:val="auto"/>
                <w:sz w:val="24"/>
                <w:szCs w:val="24"/>
                <w:lang w:val="en-US" w:eastAsia="zh-CN"/>
              </w:rPr>
              <w:t>、出具</w:t>
            </w:r>
            <w:r>
              <w:rPr>
                <w:rFonts w:hint="eastAsia" w:ascii="宋体" w:hAnsi="宋体" w:eastAsia="宋体" w:cs="宋体"/>
                <w:b w:val="0"/>
                <w:bCs w:val="0"/>
                <w:color w:val="auto"/>
                <w:kern w:val="2"/>
                <w:sz w:val="24"/>
                <w:szCs w:val="24"/>
                <w:highlight w:val="none"/>
                <w:lang w:val="en-US" w:eastAsia="zh-CN" w:bidi="ar-SA"/>
              </w:rPr>
              <w:t>嵊州市殡仪馆提升改造工程项目环评竣工验收报告并通过专家评审</w:t>
            </w:r>
            <w:r>
              <w:rPr>
                <w:rFonts w:hint="eastAsia" w:asciiTheme="minorEastAsia" w:hAnsiTheme="minorEastAsia" w:eastAsiaTheme="minorEastAsia" w:cstheme="minorEastAsia"/>
                <w:color w:val="auto"/>
                <w:sz w:val="24"/>
                <w:szCs w:val="24"/>
                <w:lang w:val="en-US" w:eastAsia="zh-CN"/>
              </w:rPr>
              <w:t>，经验收合格后7个工作日内一次性付清结算价款（最终监测费用以实际完成并经采购人确认的监测数量为准）。</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履约保证金</w:t>
            </w:r>
          </w:p>
        </w:tc>
        <w:tc>
          <w:tcPr>
            <w:tcW w:w="7248"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履约保证金按中标金额的1%，中标通知书发出后7个工作日内中标人向采购人递交履约保证金（网上银行/电汇/转账形式），履约保证金在项目履行完成后一个月内退还（无息）。</w:t>
            </w:r>
          </w:p>
        </w:tc>
      </w:tr>
      <w:tr>
        <w:tblPrEx>
          <w:tblCellMar>
            <w:top w:w="0" w:type="dxa"/>
            <w:left w:w="108" w:type="dxa"/>
            <w:bottom w:w="0" w:type="dxa"/>
            <w:right w:w="108" w:type="dxa"/>
          </w:tblCellMar>
        </w:tblPrEx>
        <w:trPr>
          <w:trHeight w:val="40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差额保证金     （如发生）</w:t>
            </w:r>
          </w:p>
        </w:tc>
        <w:tc>
          <w:tcPr>
            <w:tcW w:w="7248"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000000" w:themeColor="text1"/>
                <w:kern w:val="0"/>
                <w:sz w:val="24"/>
                <w:szCs w:val="20"/>
                <w:highlight w:val="none"/>
                <w:lang w:val="en-US" w:eastAsia="zh-CN" w:bidi="ar-SA"/>
                <w14:textFill>
                  <w14:solidFill>
                    <w14:schemeClr w14:val="tx1"/>
                  </w14:solidFill>
                </w14:textFill>
              </w:rPr>
              <w:t>若中标人低于该风险控制价中标的，中标人必须额外补交中标价净值与风险控制价之差额</w:t>
            </w:r>
            <w:r>
              <w:rPr>
                <w:rFonts w:hint="eastAsia" w:asciiTheme="minorEastAsia" w:hAnsiTheme="minorEastAsia" w:eastAsiaTheme="minorEastAsia" w:cstheme="minorEastAsia"/>
                <w:color w:val="auto"/>
                <w:kern w:val="0"/>
                <w:sz w:val="24"/>
                <w:szCs w:val="20"/>
                <w:highlight w:val="none"/>
                <w:lang w:val="en-US" w:eastAsia="zh-CN" w:bidi="ar-SA"/>
              </w:rPr>
              <w:t>，中标人不提交的视为放弃中标，由第二中标候选人中标或重新组织招标。差额保证金待项目履行完成后30日内无息退还。（差额保证金应在中标通知书发出后7个工作日内交至采购单位，以</w:t>
            </w:r>
            <w:r>
              <w:rPr>
                <w:rFonts w:hint="eastAsia" w:asciiTheme="minorEastAsia" w:hAnsiTheme="minorEastAsia" w:eastAsiaTheme="minorEastAsia" w:cstheme="minorEastAsia"/>
                <w:color w:val="auto"/>
                <w:sz w:val="24"/>
                <w:szCs w:val="24"/>
              </w:rPr>
              <w:t>电汇、转账、网上银行</w:t>
            </w:r>
            <w:r>
              <w:rPr>
                <w:rFonts w:hint="eastAsia" w:asciiTheme="minorEastAsia" w:hAnsiTheme="minorEastAsia" w:eastAsiaTheme="minorEastAsia" w:cstheme="minorEastAsia"/>
                <w:color w:val="auto"/>
                <w:sz w:val="24"/>
                <w:szCs w:val="24"/>
                <w:lang w:val="en-US" w:eastAsia="zh-CN"/>
              </w:rPr>
              <w:t>形式</w:t>
            </w:r>
            <w:r>
              <w:rPr>
                <w:rFonts w:hint="eastAsia" w:asciiTheme="minorEastAsia" w:hAnsiTheme="minorEastAsia" w:eastAsiaTheme="minorEastAsia" w:cstheme="minorEastAsia"/>
                <w:color w:val="auto"/>
                <w:kern w:val="0"/>
                <w:sz w:val="24"/>
                <w:szCs w:val="20"/>
                <w:highlight w:val="none"/>
                <w:lang w:val="en-US" w:eastAsia="zh-CN" w:bidi="ar-SA"/>
              </w:rPr>
              <w:t>交纳</w:t>
            </w:r>
            <w:r>
              <w:rPr>
                <w:rFonts w:hint="eastAsia" w:asciiTheme="minorEastAsia" w:hAnsiTheme="minorEastAsia" w:eastAsiaTheme="minorEastAsia" w:cstheme="minorEastAsia"/>
                <w:color w:val="000000" w:themeColor="text1"/>
                <w:kern w:val="0"/>
                <w:sz w:val="24"/>
                <w:szCs w:val="20"/>
                <w:highlight w:val="none"/>
                <w:lang w:val="en-US" w:eastAsia="zh-CN" w:bidi="ar-SA"/>
                <w14:textFill>
                  <w14:solidFill>
                    <w14:schemeClr w14:val="tx1"/>
                  </w14:solidFill>
                </w14:textFill>
              </w:rPr>
              <w:t>）</w:t>
            </w:r>
            <w:r>
              <w:rPr>
                <w:rFonts w:hint="eastAsia" w:asciiTheme="minorEastAsia" w:hAnsiTheme="minorEastAsia" w:eastAsiaTheme="minorEastAsia" w:cstheme="minorEastAsia"/>
                <w:color w:val="auto"/>
                <w:sz w:val="24"/>
                <w:szCs w:val="24"/>
                <w:lang w:val="en-US" w:eastAsia="zh-CN"/>
              </w:rPr>
              <w:t>。</w:t>
            </w:r>
          </w:p>
        </w:tc>
      </w:tr>
      <w:tr>
        <w:tblPrEx>
          <w:tblCellMar>
            <w:top w:w="0" w:type="dxa"/>
            <w:left w:w="108" w:type="dxa"/>
            <w:bottom w:w="0" w:type="dxa"/>
            <w:right w:w="108" w:type="dxa"/>
          </w:tblCellMar>
        </w:tblPrEx>
        <w:trPr>
          <w:trHeight w:val="425" w:hRule="atLeast"/>
        </w:trPr>
        <w:tc>
          <w:tcPr>
            <w:tcW w:w="7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7</w:t>
            </w:r>
          </w:p>
        </w:tc>
        <w:tc>
          <w:tcPr>
            <w:tcW w:w="1665"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安全责任</w:t>
            </w:r>
          </w:p>
        </w:tc>
        <w:tc>
          <w:tcPr>
            <w:tcW w:w="7248"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ind w:firstLine="240" w:firstLineChars="1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服务期间，中标单位必须确保工作人员安全，若服务过程中发生各种意外及安全责任事故，均由中标单位承担责任，采购人不承担任何责任。</w:t>
            </w:r>
          </w:p>
        </w:tc>
      </w:tr>
    </w:tbl>
    <w:p>
      <w:pPr>
        <w:jc w:val="center"/>
        <w:rPr>
          <w:rFonts w:hint="eastAsia" w:asciiTheme="minorEastAsia" w:hAnsiTheme="minorEastAsia" w:eastAsiaTheme="minorEastAsia" w:cstheme="minorEastAsia"/>
          <w:b/>
          <w:color w:val="auto"/>
          <w:sz w:val="36"/>
          <w:szCs w:val="36"/>
        </w:rPr>
        <w:sectPr>
          <w:headerReference r:id="rId8" w:type="first"/>
          <w:footerReference r:id="rId11" w:type="first"/>
          <w:headerReference r:id="rId6" w:type="default"/>
          <w:footerReference r:id="rId9" w:type="default"/>
          <w:headerReference r:id="rId7" w:type="even"/>
          <w:footerReference r:id="rId10" w:type="even"/>
          <w:pgSz w:w="11906" w:h="16838"/>
          <w:pgMar w:top="1474" w:right="1514" w:bottom="1247" w:left="1514" w:header="851" w:footer="851" w:gutter="0"/>
          <w:pgNumType w:start="1"/>
          <w:cols w:space="720" w:num="1"/>
          <w:docGrid w:linePitch="312" w:charSpace="0"/>
        </w:sectPr>
      </w:pPr>
    </w:p>
    <w:p>
      <w:pPr>
        <w:jc w:val="center"/>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第四章  评审办法及评审标准</w:t>
      </w:r>
    </w:p>
    <w:p>
      <w:pPr>
        <w:keepNext w:val="0"/>
        <w:keepLines w:val="0"/>
        <w:pageBreakBefore w:val="0"/>
        <w:kinsoku/>
        <w:wordWrap/>
        <w:overflowPunct/>
        <w:topLinePunct w:val="0"/>
        <w:autoSpaceDE/>
        <w:autoSpaceDN/>
        <w:bidi w:val="0"/>
        <w:adjustRightInd/>
        <w:spacing w:line="440" w:lineRule="exact"/>
        <w:ind w:firstLine="42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根据有关规定及此项目的实际情况，遵循公平、公正、科学择优的原则，特制定本办法。</w:t>
      </w:r>
    </w:p>
    <w:p>
      <w:pPr>
        <w:keepNext w:val="0"/>
        <w:keepLines w:val="0"/>
        <w:pageBreakBefore w:val="0"/>
        <w:kinsoku/>
        <w:wordWrap/>
        <w:overflowPunct/>
        <w:topLinePunct w:val="0"/>
        <w:autoSpaceDE/>
        <w:autoSpaceDN/>
        <w:bidi w:val="0"/>
        <w:adjustRightInd/>
        <w:spacing w:line="440" w:lineRule="exact"/>
        <w:ind w:firstLine="472" w:firstLineChars="196"/>
        <w:textAlignment w:val="auto"/>
        <w:rPr>
          <w:rFonts w:hint="eastAsia" w:asciiTheme="minorEastAsia" w:hAnsiTheme="minorEastAsia" w:eastAsiaTheme="minorEastAsia" w:cstheme="minorEastAsia"/>
          <w:b/>
          <w:color w:val="auto"/>
          <w:sz w:val="24"/>
          <w:szCs w:val="24"/>
        </w:rPr>
      </w:pPr>
      <w:bookmarkStart w:id="146" w:name="_Toc9103"/>
      <w:r>
        <w:rPr>
          <w:rFonts w:hint="eastAsia" w:asciiTheme="minorEastAsia" w:hAnsiTheme="minorEastAsia" w:eastAsiaTheme="minorEastAsia" w:cstheme="minorEastAsia"/>
          <w:b/>
          <w:color w:val="auto"/>
          <w:sz w:val="24"/>
          <w:szCs w:val="24"/>
        </w:rPr>
        <w:t>一、总则</w:t>
      </w:r>
      <w:bookmarkEnd w:id="146"/>
    </w:p>
    <w:p>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次评审采用综合评分法，总分为100分。合格响应方的得分为各项目汇总得分，成交推荐候选资格按得分由高到低顺序排列，得分相同的，按最终报价由低到高顺序排列；得分且最终报价相同的，按技术得分由高到低顺序排列。评分过程中采用四舍五入法，并保留小数2位。</w:t>
      </w:r>
    </w:p>
    <w:p>
      <w:pPr>
        <w:keepNext w:val="0"/>
        <w:keepLines w:val="0"/>
        <w:pageBreakBefore w:val="0"/>
        <w:kinsoku/>
        <w:wordWrap/>
        <w:overflowPunct/>
        <w:topLinePunct w:val="0"/>
        <w:autoSpaceDE/>
        <w:autoSpaceDN/>
        <w:bidi w:val="0"/>
        <w:adjustRightInd/>
        <w:spacing w:line="440" w:lineRule="exact"/>
        <w:ind w:firstLine="472" w:firstLineChars="196"/>
        <w:textAlignment w:val="auto"/>
        <w:rPr>
          <w:rFonts w:hint="eastAsia" w:asciiTheme="minorEastAsia" w:hAnsiTheme="minorEastAsia" w:eastAsiaTheme="minorEastAsia" w:cstheme="minorEastAsia"/>
          <w:b/>
          <w:color w:val="auto"/>
          <w:sz w:val="24"/>
          <w:szCs w:val="24"/>
        </w:rPr>
      </w:pPr>
      <w:bookmarkStart w:id="147" w:name="_Toc31002"/>
      <w:r>
        <w:rPr>
          <w:rFonts w:hint="eastAsia" w:asciiTheme="minorEastAsia" w:hAnsiTheme="minorEastAsia" w:eastAsiaTheme="minorEastAsia" w:cstheme="minorEastAsia"/>
          <w:b/>
          <w:color w:val="auto"/>
          <w:sz w:val="24"/>
          <w:szCs w:val="24"/>
        </w:rPr>
        <w:t>二、分值的计算</w:t>
      </w:r>
      <w:bookmarkEnd w:id="147"/>
    </w:p>
    <w:p>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磋商报价得分=（磋商基准价/最终磋商报价）×价格权值×100</w:t>
      </w:r>
    </w:p>
    <w:p>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商务技术分按照磋商小组成员的独立评分结果汇总后的算术平均分计算，计算公式为：</w:t>
      </w:r>
    </w:p>
    <w:p>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商务技术分=磋商小组所有成员评分合计数/磋商小组成员组成人数</w:t>
      </w:r>
    </w:p>
    <w:p>
      <w:pPr>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响应方综合得分=商务技术分+价格分</w:t>
      </w:r>
    </w:p>
    <w:p>
      <w:pPr>
        <w:keepNext w:val="0"/>
        <w:keepLines w:val="0"/>
        <w:pageBreakBefore w:val="0"/>
        <w:kinsoku/>
        <w:wordWrap/>
        <w:overflowPunct/>
        <w:topLinePunct w:val="0"/>
        <w:autoSpaceDE/>
        <w:autoSpaceDN/>
        <w:bidi w:val="0"/>
        <w:adjustRightInd/>
        <w:spacing w:line="440" w:lineRule="exact"/>
        <w:ind w:firstLine="472" w:firstLineChars="196"/>
        <w:textAlignment w:val="auto"/>
        <w:rPr>
          <w:rFonts w:hint="eastAsia" w:asciiTheme="minorEastAsia" w:hAnsiTheme="minorEastAsia" w:eastAsiaTheme="minorEastAsia" w:cstheme="minorEastAsia"/>
          <w:b/>
          <w:color w:val="auto"/>
          <w:sz w:val="24"/>
          <w:szCs w:val="24"/>
        </w:rPr>
      </w:pPr>
      <w:bookmarkStart w:id="148" w:name="_Toc31633"/>
      <w:r>
        <w:rPr>
          <w:rFonts w:hint="eastAsia" w:asciiTheme="minorEastAsia" w:hAnsiTheme="minorEastAsia" w:eastAsiaTheme="minorEastAsia" w:cstheme="minorEastAsia"/>
          <w:b/>
          <w:color w:val="auto"/>
          <w:sz w:val="24"/>
          <w:szCs w:val="24"/>
        </w:rPr>
        <w:t>三、评审内容及标准</w:t>
      </w:r>
      <w:bookmarkEnd w:id="148"/>
    </w:p>
    <w:p>
      <w:pPr>
        <w:pStyle w:val="546"/>
        <w:keepNext w:val="0"/>
        <w:keepLines w:val="0"/>
        <w:pageBreakBefore w:val="0"/>
        <w:tabs>
          <w:tab w:val="left" w:pos="900"/>
        </w:tabs>
        <w:kinsoku/>
        <w:wordWrap/>
        <w:overflowPunct/>
        <w:topLinePunct w:val="0"/>
        <w:autoSpaceDE/>
        <w:autoSpaceDN/>
        <w:bidi w:val="0"/>
        <w:adjustRightInd/>
        <w:spacing w:after="0" w:afterLines="0" w:line="440" w:lineRule="exact"/>
        <w:ind w:left="0" w:firstLine="482" w:firstLineChars="200"/>
        <w:textAlignment w:val="auto"/>
        <w:rPr>
          <w:rFonts w:hint="eastAsia" w:asciiTheme="minorEastAsia" w:hAnsiTheme="minorEastAsia" w:eastAsiaTheme="minorEastAsia" w:cstheme="minorEastAsia"/>
          <w:color w:val="auto"/>
          <w:kern w:val="2"/>
          <w:szCs w:val="24"/>
        </w:rPr>
      </w:pPr>
      <w:bookmarkStart w:id="149" w:name="_Toc11861524"/>
      <w:r>
        <w:rPr>
          <w:rFonts w:hint="eastAsia" w:asciiTheme="minorEastAsia" w:hAnsiTheme="minorEastAsia" w:eastAsiaTheme="minorEastAsia" w:cstheme="minorEastAsia"/>
          <w:b/>
          <w:bCs/>
          <w:color w:val="auto"/>
          <w:kern w:val="2"/>
          <w:szCs w:val="24"/>
        </w:rPr>
        <w:t>1.商务技术分（</w:t>
      </w:r>
      <w:r>
        <w:rPr>
          <w:rFonts w:hint="eastAsia" w:asciiTheme="minorEastAsia" w:hAnsiTheme="minorEastAsia" w:eastAsiaTheme="minorEastAsia" w:cstheme="minorEastAsia"/>
          <w:b/>
          <w:bCs/>
          <w:color w:val="auto"/>
          <w:kern w:val="2"/>
          <w:szCs w:val="24"/>
          <w:lang w:val="en-US" w:eastAsia="zh-CN"/>
        </w:rPr>
        <w:t>50</w:t>
      </w:r>
      <w:r>
        <w:rPr>
          <w:rFonts w:hint="eastAsia" w:asciiTheme="minorEastAsia" w:hAnsiTheme="minorEastAsia" w:eastAsiaTheme="minorEastAsia" w:cstheme="minorEastAsia"/>
          <w:b/>
          <w:bCs/>
          <w:color w:val="auto"/>
          <w:kern w:val="2"/>
          <w:szCs w:val="24"/>
        </w:rPr>
        <w:t>分）</w:t>
      </w:r>
      <w:bookmarkEnd w:id="149"/>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投标人提供的证书证明等扫描件须保证真实有效。</w:t>
      </w:r>
    </w:p>
    <w:tbl>
      <w:tblPr>
        <w:tblStyle w:val="55"/>
        <w:tblW w:w="92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1022"/>
        <w:gridCol w:w="6691"/>
        <w:gridCol w:w="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614"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color w:val="auto"/>
                <w:sz w:val="24"/>
                <w:szCs w:val="24"/>
                <w:highlight w:val="none"/>
              </w:rPr>
            </w:pPr>
            <w:r>
              <w:rPr>
                <w:color w:val="auto"/>
                <w:kern w:val="0"/>
                <w:sz w:val="24"/>
                <w:szCs w:val="24"/>
                <w:highlight w:val="none"/>
              </w:rPr>
              <w:t>序号</w:t>
            </w:r>
          </w:p>
        </w:tc>
        <w:tc>
          <w:tcPr>
            <w:tcW w:w="1022"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color w:val="auto"/>
                <w:kern w:val="0"/>
                <w:sz w:val="24"/>
                <w:szCs w:val="24"/>
                <w:highlight w:val="none"/>
              </w:rPr>
            </w:pPr>
            <w:r>
              <w:rPr>
                <w:color w:val="auto"/>
                <w:kern w:val="0"/>
                <w:sz w:val="24"/>
                <w:szCs w:val="24"/>
                <w:highlight w:val="none"/>
              </w:rPr>
              <w:t>评审</w:t>
            </w:r>
          </w:p>
          <w:p>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eastAsia="宋体"/>
                <w:color w:val="auto"/>
                <w:sz w:val="24"/>
                <w:szCs w:val="24"/>
                <w:highlight w:val="none"/>
                <w:lang w:eastAsia="zh-CN"/>
              </w:rPr>
            </w:pPr>
            <w:r>
              <w:rPr>
                <w:rFonts w:hint="eastAsia"/>
                <w:color w:val="auto"/>
                <w:kern w:val="0"/>
                <w:sz w:val="24"/>
                <w:szCs w:val="24"/>
                <w:highlight w:val="none"/>
                <w:lang w:val="en-US" w:eastAsia="zh-CN"/>
              </w:rPr>
              <w:t>内容</w:t>
            </w:r>
          </w:p>
        </w:tc>
        <w:tc>
          <w:tcPr>
            <w:tcW w:w="6691" w:type="dxa"/>
            <w:noWrap w:val="0"/>
            <w:tcMar>
              <w:top w:w="15" w:type="dxa"/>
              <w:left w:w="15" w:type="dxa"/>
              <w:bottom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color w:val="auto"/>
                <w:sz w:val="24"/>
                <w:szCs w:val="24"/>
                <w:highlight w:val="none"/>
              </w:rPr>
            </w:pPr>
            <w:r>
              <w:rPr>
                <w:color w:val="auto"/>
                <w:kern w:val="0"/>
                <w:sz w:val="24"/>
                <w:szCs w:val="24"/>
                <w:highlight w:val="none"/>
              </w:rPr>
              <w:t>评审标准</w:t>
            </w:r>
          </w:p>
        </w:tc>
        <w:tc>
          <w:tcPr>
            <w:tcW w:w="951" w:type="dxa"/>
            <w:noWrap w:val="0"/>
            <w:vAlign w:val="top"/>
          </w:tcPr>
          <w:p>
            <w:pPr>
              <w:keepNext w:val="0"/>
              <w:keepLines w:val="0"/>
              <w:pageBreakBefore w:val="0"/>
              <w:widowControl/>
              <w:kinsoku/>
              <w:wordWrap/>
              <w:overflowPunct/>
              <w:topLinePunct w:val="0"/>
              <w:autoSpaceDE/>
              <w:autoSpaceDN/>
              <w:bidi w:val="0"/>
              <w:adjustRightInd/>
              <w:snapToGrid/>
              <w:spacing w:line="240" w:lineRule="auto"/>
              <w:jc w:val="center"/>
              <w:textAlignment w:val="center"/>
              <w:rPr>
                <w:color w:val="auto"/>
                <w:kern w:val="0"/>
                <w:sz w:val="24"/>
                <w:szCs w:val="24"/>
                <w:highlight w:val="none"/>
              </w:rPr>
            </w:pPr>
            <w:r>
              <w:rPr>
                <w:color w:val="auto"/>
                <w:kern w:val="0"/>
                <w:sz w:val="24"/>
                <w:szCs w:val="24"/>
                <w:highlight w:val="none"/>
              </w:rPr>
              <w:t>分值</w:t>
            </w:r>
          </w:p>
          <w:p>
            <w:pPr>
              <w:keepNext w:val="0"/>
              <w:keepLines w:val="0"/>
              <w:pageBreakBefore w:val="0"/>
              <w:widowControl/>
              <w:kinsoku/>
              <w:wordWrap/>
              <w:overflowPunct/>
              <w:topLinePunct w:val="0"/>
              <w:autoSpaceDE/>
              <w:autoSpaceDN/>
              <w:bidi w:val="0"/>
              <w:adjustRightInd/>
              <w:snapToGrid/>
              <w:spacing w:line="240" w:lineRule="auto"/>
              <w:jc w:val="center"/>
              <w:textAlignment w:val="center"/>
              <w:rPr>
                <w:color w:val="auto"/>
                <w:kern w:val="0"/>
                <w:sz w:val="24"/>
                <w:szCs w:val="24"/>
                <w:highlight w:val="none"/>
              </w:rPr>
            </w:pPr>
            <w:r>
              <w:rPr>
                <w:color w:val="auto"/>
                <w:kern w:val="0"/>
                <w:sz w:val="24"/>
                <w:szCs w:val="24"/>
                <w:highlight w:val="none"/>
              </w:rPr>
              <w:t>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2" w:hRule="atLeast"/>
          <w:jc w:val="center"/>
        </w:trPr>
        <w:tc>
          <w:tcPr>
            <w:tcW w:w="614" w:type="dxa"/>
            <w:noWrap w:val="0"/>
            <w:vAlign w:val="center"/>
          </w:tcPr>
          <w:p>
            <w:pPr>
              <w:spacing w:line="240" w:lineRule="auto"/>
              <w:jc w:val="center"/>
              <w:rPr>
                <w:color w:val="auto"/>
                <w:kern w:val="0"/>
                <w:sz w:val="24"/>
                <w:szCs w:val="24"/>
                <w:highlight w:val="none"/>
              </w:rPr>
            </w:pPr>
            <w:r>
              <w:rPr>
                <w:color w:val="auto"/>
                <w:kern w:val="0"/>
                <w:sz w:val="24"/>
                <w:szCs w:val="24"/>
                <w:highlight w:val="none"/>
              </w:rPr>
              <w:t>1</w:t>
            </w:r>
          </w:p>
        </w:tc>
        <w:tc>
          <w:tcPr>
            <w:tcW w:w="1022" w:type="dxa"/>
            <w:noWrap w:val="0"/>
            <w:vAlign w:val="center"/>
          </w:tcPr>
          <w:p>
            <w:pPr>
              <w:widowControl/>
              <w:spacing w:line="240" w:lineRule="auto"/>
              <w:jc w:val="center"/>
              <w:textAlignment w:val="center"/>
              <w:rPr>
                <w:rFonts w:hint="default" w:eastAsia="宋体"/>
                <w:bCs/>
                <w:color w:val="auto"/>
                <w:sz w:val="24"/>
                <w:szCs w:val="24"/>
                <w:highlight w:val="none"/>
                <w:lang w:val="en-US" w:eastAsia="zh-CN"/>
              </w:rPr>
            </w:pPr>
            <w:r>
              <w:rPr>
                <w:rFonts w:hint="eastAsia"/>
                <w:bCs/>
                <w:color w:val="auto"/>
                <w:sz w:val="24"/>
                <w:szCs w:val="24"/>
                <w:highlight w:val="none"/>
                <w:lang w:val="en-US" w:eastAsia="zh-CN"/>
              </w:rPr>
              <w:t>企业实力</w:t>
            </w:r>
          </w:p>
        </w:tc>
        <w:tc>
          <w:tcPr>
            <w:tcW w:w="6691" w:type="dxa"/>
            <w:noWrap w:val="0"/>
            <w:tcMar>
              <w:top w:w="15" w:type="dxa"/>
              <w:left w:w="15" w:type="dxa"/>
              <w:bottom w:w="15" w:type="dxa"/>
              <w:right w:w="15" w:type="dxa"/>
            </w:tcMar>
            <w:vAlign w:val="center"/>
          </w:tcPr>
          <w:p>
            <w:pPr>
              <w:keepNext w:val="0"/>
              <w:keepLines w:val="0"/>
              <w:widowControl/>
              <w:numPr>
                <w:ilvl w:val="0"/>
                <w:numId w:val="0"/>
              </w:numPr>
              <w:kinsoku/>
              <w:wordWrap/>
              <w:overflowPunct/>
              <w:topLinePunct w:val="0"/>
              <w:bidi w:val="0"/>
              <w:adjustRightInd/>
              <w:snapToGrid/>
              <w:spacing w:line="240" w:lineRule="auto"/>
              <w:ind w:firstLine="240" w:firstLineChars="100"/>
              <w:jc w:val="left"/>
              <w:textAlignment w:val="center"/>
              <w:rPr>
                <w:rFonts w:hint="eastAsia" w:ascii="Times New Roman" w:hAnsi="Times New Roman" w:cs="Times New Roman"/>
                <w:color w:val="auto"/>
                <w:sz w:val="24"/>
                <w:szCs w:val="24"/>
                <w:highlight w:val="none"/>
                <w:lang w:val="en-US" w:eastAsia="zh-CN"/>
              </w:rPr>
            </w:pP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1</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投标人自有实验室产权证的得</w:t>
            </w:r>
            <w:r>
              <w:rPr>
                <w:rFonts w:hint="eastAsia"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分，租赁的得</w:t>
            </w:r>
            <w:r>
              <w:rPr>
                <w:rFonts w:hint="default"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rPr>
              <w:t>分</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提供不动产证</w:t>
            </w:r>
            <w:r>
              <w:rPr>
                <w:rFonts w:hint="eastAsia" w:cs="Times New Roman"/>
                <w:color w:val="auto"/>
                <w:sz w:val="24"/>
                <w:szCs w:val="24"/>
                <w:highlight w:val="none"/>
                <w:lang w:val="en-US" w:eastAsia="zh-CN"/>
              </w:rPr>
              <w:t>或</w:t>
            </w:r>
            <w:r>
              <w:rPr>
                <w:rFonts w:hint="default" w:ascii="Times New Roman" w:hAnsi="Times New Roman" w:cs="Times New Roman"/>
                <w:color w:val="auto"/>
                <w:sz w:val="24"/>
                <w:szCs w:val="24"/>
                <w:highlight w:val="none"/>
              </w:rPr>
              <w:t>租赁合同</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扫描件加盖单位公章</w:t>
            </w:r>
            <w:r>
              <w:rPr>
                <w:rFonts w:hint="eastAsia" w:cs="Times New Roman"/>
                <w:color w:val="auto"/>
                <w:sz w:val="24"/>
                <w:szCs w:val="24"/>
                <w:highlight w:val="none"/>
                <w:lang w:eastAsia="zh-CN"/>
              </w:rPr>
              <w:t>）</w:t>
            </w:r>
            <w:r>
              <w:rPr>
                <w:rFonts w:hint="eastAsia" w:ascii="Times New Roman" w:hAnsi="Times New Roman" w:cs="Times New Roman"/>
                <w:color w:val="auto"/>
                <w:sz w:val="24"/>
                <w:szCs w:val="24"/>
                <w:highlight w:val="none"/>
                <w:lang w:val="en-US" w:eastAsia="zh-CN"/>
              </w:rPr>
              <w:t>。</w:t>
            </w:r>
          </w:p>
          <w:p>
            <w:pPr>
              <w:keepNext w:val="0"/>
              <w:keepLines w:val="0"/>
              <w:widowControl/>
              <w:numPr>
                <w:ilvl w:val="0"/>
                <w:numId w:val="0"/>
              </w:numPr>
              <w:kinsoku/>
              <w:wordWrap/>
              <w:overflowPunct/>
              <w:topLinePunct w:val="0"/>
              <w:bidi w:val="0"/>
              <w:adjustRightInd/>
              <w:snapToGrid/>
              <w:spacing w:line="240" w:lineRule="auto"/>
              <w:ind w:leftChars="0" w:firstLine="240" w:firstLineChars="100"/>
              <w:jc w:val="left"/>
              <w:textAlignment w:val="center"/>
              <w:rPr>
                <w:rFonts w:hint="eastAsia" w:ascii="Times New Roman" w:hAnsi="Times New Roman" w:cs="Times New Roman"/>
                <w:color w:val="auto"/>
                <w:kern w:val="2"/>
                <w:sz w:val="24"/>
                <w:szCs w:val="24"/>
                <w:highlight w:val="none"/>
                <w:lang w:val="en-US" w:eastAsia="zh-CN" w:bidi="ar-SA"/>
              </w:rPr>
            </w:pPr>
            <w:r>
              <w:rPr>
                <w:rFonts w:hint="eastAsia" w:cs="Times New Roman" w:eastAsiaTheme="minorEastAsia"/>
                <w:color w:val="auto"/>
                <w:kern w:val="2"/>
                <w:sz w:val="24"/>
                <w:szCs w:val="24"/>
                <w:highlight w:val="none"/>
                <w:lang w:val="en-US" w:eastAsia="zh-CN" w:bidi="ar-SA"/>
              </w:rPr>
              <w:t>（2）</w:t>
            </w:r>
            <w:r>
              <w:rPr>
                <w:rFonts w:hint="default" w:ascii="Times New Roman" w:hAnsi="Times New Roman" w:cs="Times New Roman" w:eastAsiaTheme="minorEastAsia"/>
                <w:color w:val="auto"/>
                <w:kern w:val="2"/>
                <w:sz w:val="24"/>
                <w:szCs w:val="24"/>
                <w:highlight w:val="none"/>
                <w:lang w:val="en-US" w:eastAsia="zh-CN" w:bidi="ar-SA"/>
              </w:rPr>
              <w:t>投标人获评为</w:t>
            </w:r>
            <w:r>
              <w:rPr>
                <w:rFonts w:hint="eastAsia" w:cs="Times New Roman" w:eastAsiaTheme="minorEastAsia"/>
                <w:color w:val="auto"/>
                <w:kern w:val="2"/>
                <w:sz w:val="24"/>
                <w:szCs w:val="24"/>
                <w:highlight w:val="none"/>
                <w:lang w:val="en-US" w:eastAsia="zh-CN" w:bidi="ar-SA"/>
              </w:rPr>
              <w:t>专精特新</w:t>
            </w:r>
            <w:r>
              <w:rPr>
                <w:rFonts w:hint="default" w:ascii="Times New Roman" w:hAnsi="Times New Roman" w:cs="Times New Roman" w:eastAsiaTheme="minorEastAsia"/>
                <w:color w:val="auto"/>
                <w:kern w:val="2"/>
                <w:sz w:val="24"/>
                <w:szCs w:val="24"/>
                <w:highlight w:val="none"/>
                <w:lang w:val="en-US" w:eastAsia="zh-CN" w:bidi="ar-SA"/>
              </w:rPr>
              <w:t>中小企业的得</w:t>
            </w:r>
            <w:r>
              <w:rPr>
                <w:rFonts w:hint="eastAsia" w:cs="Times New Roman" w:eastAsiaTheme="minorEastAsia"/>
                <w:color w:val="auto"/>
                <w:kern w:val="2"/>
                <w:sz w:val="24"/>
                <w:szCs w:val="24"/>
                <w:highlight w:val="none"/>
                <w:lang w:val="en-US" w:eastAsia="zh-CN" w:bidi="ar-SA"/>
              </w:rPr>
              <w:t>2</w:t>
            </w:r>
            <w:r>
              <w:rPr>
                <w:rFonts w:hint="default" w:ascii="Times New Roman" w:hAnsi="Times New Roman" w:cs="Times New Roman" w:eastAsiaTheme="minorEastAsia"/>
                <w:color w:val="auto"/>
                <w:kern w:val="2"/>
                <w:sz w:val="24"/>
                <w:szCs w:val="24"/>
                <w:highlight w:val="none"/>
                <w:lang w:val="en-US" w:eastAsia="zh-CN" w:bidi="ar-SA"/>
              </w:rPr>
              <w:t>分</w:t>
            </w:r>
            <w:r>
              <w:rPr>
                <w:rFonts w:hint="eastAsia" w:ascii="Times New Roman" w:hAnsi="Times New Roman" w:cs="Times New Roman"/>
                <w:color w:val="auto"/>
                <w:kern w:val="2"/>
                <w:sz w:val="24"/>
                <w:szCs w:val="24"/>
                <w:highlight w:val="none"/>
                <w:lang w:val="en-US" w:eastAsia="zh-CN" w:bidi="ar-SA"/>
              </w:rPr>
              <w:t>。</w:t>
            </w:r>
            <w:r>
              <w:rPr>
                <w:rFonts w:hint="eastAsia" w:cs="Times New Roman"/>
                <w:color w:val="auto"/>
                <w:sz w:val="24"/>
                <w:szCs w:val="24"/>
                <w:highlight w:val="none"/>
                <w:lang w:val="en-US" w:eastAsia="zh-CN"/>
              </w:rPr>
              <w:t>（</w:t>
            </w:r>
            <w:r>
              <w:rPr>
                <w:rFonts w:ascii="Times New Roman"/>
                <w:bCs/>
                <w:color w:val="auto"/>
                <w:kern w:val="2"/>
                <w:sz w:val="24"/>
                <w:szCs w:val="24"/>
                <w:highlight w:val="none"/>
                <w:lang w:val="en-US" w:eastAsia="zh-CN"/>
              </w:rPr>
              <w:t>提供</w:t>
            </w:r>
            <w:r>
              <w:rPr>
                <w:rFonts w:hint="eastAsia"/>
                <w:bCs/>
                <w:color w:val="auto"/>
                <w:kern w:val="2"/>
                <w:sz w:val="24"/>
                <w:szCs w:val="24"/>
                <w:highlight w:val="none"/>
                <w:lang w:val="en-US" w:eastAsia="zh-CN"/>
              </w:rPr>
              <w:t>证书扫描件</w:t>
            </w:r>
            <w:r>
              <w:rPr>
                <w:rFonts w:ascii="Times New Roman"/>
                <w:bCs/>
                <w:color w:val="auto"/>
                <w:kern w:val="2"/>
                <w:sz w:val="24"/>
                <w:szCs w:val="24"/>
                <w:highlight w:val="none"/>
                <w:lang w:val="en-US" w:eastAsia="zh-CN"/>
              </w:rPr>
              <w:t>加盖单位公章</w:t>
            </w:r>
            <w:r>
              <w:rPr>
                <w:rFonts w:hint="eastAsia"/>
                <w:bCs/>
                <w:color w:val="auto"/>
                <w:kern w:val="2"/>
                <w:sz w:val="24"/>
                <w:szCs w:val="24"/>
                <w:highlight w:val="none"/>
                <w:lang w:val="en-US" w:eastAsia="zh-CN"/>
              </w:rPr>
              <w:t>）</w:t>
            </w:r>
          </w:p>
          <w:p>
            <w:pPr>
              <w:keepNext w:val="0"/>
              <w:keepLines w:val="0"/>
              <w:widowControl/>
              <w:numPr>
                <w:ilvl w:val="0"/>
                <w:numId w:val="0"/>
              </w:numPr>
              <w:kinsoku/>
              <w:wordWrap/>
              <w:overflowPunct/>
              <w:topLinePunct w:val="0"/>
              <w:bidi w:val="0"/>
              <w:adjustRightInd/>
              <w:snapToGrid/>
              <w:spacing w:line="240" w:lineRule="auto"/>
              <w:ind w:firstLine="240" w:firstLineChars="100"/>
              <w:jc w:val="left"/>
              <w:textAlignment w:val="center"/>
              <w:rPr>
                <w:rFonts w:ascii="Times New Roman"/>
                <w:bCs/>
                <w:color w:val="auto"/>
                <w:kern w:val="2"/>
                <w:sz w:val="24"/>
                <w:szCs w:val="24"/>
                <w:highlight w:val="none"/>
                <w:lang w:val="en-US" w:eastAsia="zh-CN"/>
              </w:rPr>
            </w:pPr>
            <w:r>
              <w:rPr>
                <w:rFonts w:hint="eastAsia" w:cs="Times New Roman"/>
                <w:color w:val="auto"/>
                <w:sz w:val="24"/>
                <w:szCs w:val="24"/>
                <w:highlight w:val="none"/>
                <w:lang w:val="en-US" w:eastAsia="zh-CN"/>
              </w:rPr>
              <w:t>（3）</w:t>
            </w:r>
            <w:r>
              <w:rPr>
                <w:rFonts w:hint="default" w:ascii="Times New Roman" w:hAnsi="Times New Roman" w:cs="Times New Roman" w:eastAsiaTheme="minorEastAsia"/>
                <w:color w:val="auto"/>
                <w:kern w:val="2"/>
                <w:sz w:val="24"/>
                <w:szCs w:val="24"/>
                <w:highlight w:val="none"/>
                <w:lang w:val="en-US" w:eastAsia="zh-CN" w:bidi="ar-SA"/>
              </w:rPr>
              <w:t>投标人</w:t>
            </w:r>
            <w:r>
              <w:rPr>
                <w:rFonts w:hint="eastAsia" w:cs="Times New Roman"/>
                <w:color w:val="auto"/>
                <w:sz w:val="24"/>
                <w:szCs w:val="24"/>
                <w:highlight w:val="none"/>
                <w:lang w:val="en-US" w:eastAsia="zh-CN"/>
              </w:rPr>
              <w:t>具有</w:t>
            </w:r>
            <w:r>
              <w:rPr>
                <w:rFonts w:hint="eastAsia" w:ascii="Times New Roman" w:hAnsi="Times New Roman" w:cs="Times New Roman"/>
                <w:color w:val="auto"/>
                <w:sz w:val="24"/>
                <w:szCs w:val="24"/>
                <w:highlight w:val="none"/>
                <w:lang w:val="en-US" w:eastAsia="zh-CN"/>
              </w:rPr>
              <w:t>市场监管局颁发的检验检测机构资质认定证书</w:t>
            </w:r>
            <w:r>
              <w:rPr>
                <w:rFonts w:hint="eastAsia" w:cs="Times New Roman"/>
                <w:color w:val="auto"/>
                <w:sz w:val="24"/>
                <w:szCs w:val="24"/>
                <w:highlight w:val="none"/>
                <w:lang w:val="en-US" w:eastAsia="zh-CN"/>
              </w:rPr>
              <w:t>的得2分。（</w:t>
            </w:r>
            <w:r>
              <w:rPr>
                <w:rFonts w:ascii="Times New Roman"/>
                <w:bCs/>
                <w:color w:val="auto"/>
                <w:kern w:val="2"/>
                <w:sz w:val="24"/>
                <w:szCs w:val="24"/>
                <w:highlight w:val="none"/>
                <w:lang w:val="en-US" w:eastAsia="zh-CN"/>
              </w:rPr>
              <w:t>提供</w:t>
            </w:r>
            <w:r>
              <w:rPr>
                <w:rFonts w:hint="eastAsia"/>
                <w:bCs/>
                <w:color w:val="auto"/>
                <w:kern w:val="2"/>
                <w:sz w:val="24"/>
                <w:szCs w:val="24"/>
                <w:highlight w:val="none"/>
                <w:lang w:val="en-US" w:eastAsia="zh-CN"/>
              </w:rPr>
              <w:t>证书扫描件</w:t>
            </w:r>
            <w:r>
              <w:rPr>
                <w:rFonts w:ascii="Times New Roman"/>
                <w:bCs/>
                <w:color w:val="auto"/>
                <w:kern w:val="2"/>
                <w:sz w:val="24"/>
                <w:szCs w:val="24"/>
                <w:highlight w:val="none"/>
                <w:lang w:val="en-US" w:eastAsia="zh-CN"/>
              </w:rPr>
              <w:t>加盖单位公章</w:t>
            </w:r>
            <w:r>
              <w:rPr>
                <w:rFonts w:hint="eastAsia"/>
                <w:bCs/>
                <w:color w:val="auto"/>
                <w:kern w:val="2"/>
                <w:sz w:val="24"/>
                <w:szCs w:val="24"/>
                <w:highlight w:val="none"/>
                <w:lang w:val="en-US" w:eastAsia="zh-CN"/>
              </w:rPr>
              <w:t>）</w:t>
            </w:r>
          </w:p>
        </w:tc>
        <w:tc>
          <w:tcPr>
            <w:tcW w:w="951" w:type="dxa"/>
            <w:noWrap w:val="0"/>
            <w:vAlign w:val="center"/>
          </w:tcPr>
          <w:p>
            <w:pPr>
              <w:widowControl/>
              <w:spacing w:line="240" w:lineRule="auto"/>
              <w:jc w:val="center"/>
              <w:textAlignment w:val="center"/>
              <w:rPr>
                <w:color w:val="auto"/>
                <w:kern w:val="0"/>
                <w:sz w:val="24"/>
                <w:szCs w:val="24"/>
                <w:highlight w:val="none"/>
              </w:rPr>
            </w:pPr>
            <w:r>
              <w:rPr>
                <w:color w:val="auto"/>
                <w:kern w:val="0"/>
                <w:sz w:val="24"/>
                <w:szCs w:val="24"/>
                <w:highlight w:val="none"/>
              </w:rPr>
              <w:t>0-</w:t>
            </w:r>
            <w:r>
              <w:rPr>
                <w:rFonts w:hint="eastAsia"/>
                <w:color w:val="auto"/>
                <w:kern w:val="0"/>
                <w:sz w:val="24"/>
                <w:szCs w:val="24"/>
                <w:highlight w:val="none"/>
                <w:lang w:val="en-US" w:eastAsia="zh-CN"/>
              </w:rPr>
              <w:t>6</w:t>
            </w:r>
            <w:r>
              <w:rPr>
                <w:color w:val="auto"/>
                <w:kern w:val="0"/>
                <w:sz w:val="24"/>
                <w:szCs w:val="24"/>
                <w:highlight w:val="none"/>
              </w:rPr>
              <w:t>分</w:t>
            </w:r>
          </w:p>
          <w:p>
            <w:pPr>
              <w:widowControl/>
              <w:spacing w:line="240" w:lineRule="auto"/>
              <w:jc w:val="center"/>
              <w:textAlignment w:val="center"/>
              <w:rPr>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3" w:hRule="atLeast"/>
          <w:jc w:val="center"/>
        </w:trPr>
        <w:tc>
          <w:tcPr>
            <w:tcW w:w="614" w:type="dxa"/>
            <w:noWrap w:val="0"/>
            <w:vAlign w:val="center"/>
          </w:tcPr>
          <w:p>
            <w:pPr>
              <w:spacing w:line="240" w:lineRule="auto"/>
              <w:jc w:val="center"/>
              <w:rPr>
                <w:rFonts w:hint="eastAsia" w:eastAsia="宋体"/>
                <w:color w:val="auto"/>
                <w:kern w:val="0"/>
                <w:sz w:val="24"/>
                <w:szCs w:val="24"/>
                <w:highlight w:val="none"/>
                <w:lang w:val="en-US" w:eastAsia="zh-CN"/>
              </w:rPr>
            </w:pPr>
            <w:r>
              <w:rPr>
                <w:rFonts w:hint="eastAsia"/>
                <w:color w:val="auto"/>
                <w:kern w:val="0"/>
                <w:sz w:val="24"/>
                <w:szCs w:val="24"/>
                <w:highlight w:val="none"/>
                <w:lang w:val="en-US" w:eastAsia="zh-CN"/>
              </w:rPr>
              <w:t>2</w:t>
            </w:r>
          </w:p>
        </w:tc>
        <w:tc>
          <w:tcPr>
            <w:tcW w:w="1022" w:type="dxa"/>
            <w:noWrap w:val="0"/>
            <w:vAlign w:val="center"/>
          </w:tcPr>
          <w:p>
            <w:pPr>
              <w:widowControl/>
              <w:spacing w:line="240" w:lineRule="auto"/>
              <w:jc w:val="center"/>
              <w:textAlignment w:val="center"/>
              <w:rPr>
                <w:rFonts w:hint="eastAsia"/>
                <w:bCs/>
                <w:color w:val="auto"/>
                <w:sz w:val="24"/>
                <w:szCs w:val="24"/>
                <w:highlight w:val="none"/>
                <w:lang w:val="en-US" w:eastAsia="zh-CN"/>
              </w:rPr>
            </w:pPr>
            <w:r>
              <w:rPr>
                <w:rFonts w:hint="eastAsia" w:ascii="宋体" w:hAnsi="宋体" w:eastAsia="宋体" w:cs="宋体"/>
                <w:sz w:val="24"/>
                <w:szCs w:val="24"/>
              </w:rPr>
              <w:t>仪器设备</w:t>
            </w:r>
          </w:p>
        </w:tc>
        <w:tc>
          <w:tcPr>
            <w:tcW w:w="6691" w:type="dxa"/>
            <w:noWrap w:val="0"/>
            <w:tcMar>
              <w:top w:w="15" w:type="dxa"/>
              <w:left w:w="15" w:type="dxa"/>
              <w:bottom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default" w:ascii="Times New Roman" w:hAnsi="Times New Roman" w:cs="Times New Roman"/>
                <w:color w:val="auto"/>
                <w:kern w:val="0"/>
                <w:sz w:val="24"/>
                <w:szCs w:val="24"/>
                <w:highlight w:val="none"/>
                <w:lang w:val="en-US" w:eastAsia="zh-CN"/>
              </w:rPr>
            </w:pP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1</w:t>
            </w:r>
            <w:r>
              <w:rPr>
                <w:rFonts w:hint="eastAsia" w:cs="Times New Roman"/>
                <w:color w:val="auto"/>
                <w:sz w:val="24"/>
                <w:szCs w:val="24"/>
                <w:highlight w:val="none"/>
                <w:lang w:eastAsia="zh-CN"/>
              </w:rPr>
              <w:t>）</w:t>
            </w:r>
            <w:r>
              <w:rPr>
                <w:rFonts w:hint="eastAsia" w:cs="Times New Roman"/>
                <w:color w:val="auto"/>
                <w:kern w:val="0"/>
                <w:sz w:val="24"/>
                <w:szCs w:val="24"/>
                <w:highlight w:val="none"/>
                <w:lang w:val="en-US" w:eastAsia="zh-CN"/>
              </w:rPr>
              <w:t>投标人具有</w:t>
            </w:r>
            <w:r>
              <w:rPr>
                <w:rFonts w:hint="default" w:ascii="Times New Roman" w:hAnsi="Times New Roman" w:cs="Times New Roman"/>
                <w:color w:val="auto"/>
                <w:kern w:val="0"/>
                <w:sz w:val="24"/>
                <w:szCs w:val="24"/>
                <w:highlight w:val="none"/>
                <w:lang w:val="en-US" w:eastAsia="zh-CN"/>
              </w:rPr>
              <w:t>测试金属元素的原子吸收光谱仪、原子荧光仪、电感耦合等离子发射光谱（ICP）和电感耦合等离子体质谱仪（ICP-MS），每</w:t>
            </w:r>
            <w:r>
              <w:rPr>
                <w:rFonts w:hint="eastAsia" w:ascii="Times New Roman" w:hAnsi="Times New Roman" w:cs="Times New Roman"/>
                <w:color w:val="auto"/>
                <w:kern w:val="0"/>
                <w:sz w:val="24"/>
                <w:szCs w:val="24"/>
                <w:highlight w:val="none"/>
                <w:lang w:val="en-US" w:eastAsia="zh-CN"/>
              </w:rPr>
              <w:t>提供</w:t>
            </w:r>
            <w:r>
              <w:rPr>
                <w:rFonts w:hint="default" w:ascii="Times New Roman" w:hAnsi="Times New Roman" w:cs="Times New Roman"/>
                <w:color w:val="auto"/>
                <w:kern w:val="0"/>
                <w:sz w:val="24"/>
                <w:szCs w:val="24"/>
                <w:highlight w:val="none"/>
                <w:lang w:val="en-US" w:eastAsia="zh-CN"/>
              </w:rPr>
              <w:t>一类</w:t>
            </w:r>
            <w:r>
              <w:rPr>
                <w:rFonts w:hint="eastAsia" w:cs="Times New Roman"/>
                <w:color w:val="auto"/>
                <w:kern w:val="0"/>
                <w:sz w:val="24"/>
                <w:szCs w:val="24"/>
                <w:highlight w:val="none"/>
                <w:lang w:val="en-US" w:eastAsia="zh-CN"/>
              </w:rPr>
              <w:t>设备</w:t>
            </w:r>
            <w:r>
              <w:rPr>
                <w:rFonts w:hint="default" w:ascii="Times New Roman" w:hAnsi="Times New Roman" w:cs="Times New Roman"/>
                <w:color w:val="auto"/>
                <w:kern w:val="0"/>
                <w:sz w:val="24"/>
                <w:szCs w:val="24"/>
                <w:highlight w:val="none"/>
                <w:lang w:val="en-US" w:eastAsia="zh-CN"/>
              </w:rPr>
              <w:t>得</w:t>
            </w:r>
            <w:r>
              <w:rPr>
                <w:rFonts w:hint="eastAsia" w:ascii="Times New Roman" w:hAnsi="Times New Roman" w:cs="Times New Roman"/>
                <w:color w:val="auto"/>
                <w:kern w:val="0"/>
                <w:sz w:val="24"/>
                <w:szCs w:val="24"/>
                <w:highlight w:val="none"/>
                <w:lang w:val="en-US" w:eastAsia="zh-CN"/>
              </w:rPr>
              <w:t>1</w:t>
            </w:r>
            <w:r>
              <w:rPr>
                <w:rFonts w:hint="default" w:ascii="Times New Roman" w:hAnsi="Times New Roman" w:cs="Times New Roman"/>
                <w:color w:val="auto"/>
                <w:kern w:val="0"/>
                <w:sz w:val="24"/>
                <w:szCs w:val="24"/>
                <w:highlight w:val="none"/>
                <w:lang w:val="en-US" w:eastAsia="zh-CN"/>
              </w:rPr>
              <w:t>分，</w:t>
            </w:r>
            <w:r>
              <w:rPr>
                <w:rFonts w:hint="eastAsia" w:cs="Times New Roman"/>
                <w:color w:val="auto"/>
                <w:kern w:val="0"/>
                <w:sz w:val="24"/>
                <w:szCs w:val="24"/>
                <w:highlight w:val="none"/>
                <w:lang w:val="en-US" w:eastAsia="zh-CN"/>
              </w:rPr>
              <w:t>最多得4分</w:t>
            </w:r>
            <w:r>
              <w:rPr>
                <w:rFonts w:hint="default" w:ascii="Times New Roman" w:hAnsi="Times New Roman" w:cs="Times New Roman"/>
                <w:color w:val="auto"/>
                <w:kern w:val="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left"/>
              <w:textAlignment w:val="auto"/>
              <w:rPr>
                <w:rFonts w:hint="eastAsia" w:ascii="Times New Roman" w:hAnsi="Times New Roman" w:cs="Times New Roman"/>
                <w:color w:val="auto"/>
                <w:kern w:val="0"/>
                <w:sz w:val="24"/>
                <w:szCs w:val="24"/>
                <w:highlight w:val="none"/>
                <w:lang w:val="en-US" w:eastAsia="zh-CN"/>
              </w:rPr>
            </w:pP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2</w:t>
            </w:r>
            <w:r>
              <w:rPr>
                <w:rFonts w:hint="eastAsia" w:cs="Times New Roman"/>
                <w:color w:val="auto"/>
                <w:sz w:val="24"/>
                <w:szCs w:val="24"/>
                <w:highlight w:val="none"/>
                <w:lang w:eastAsia="zh-CN"/>
              </w:rPr>
              <w:t>）</w:t>
            </w:r>
            <w:r>
              <w:rPr>
                <w:rFonts w:hint="eastAsia" w:cs="Times New Roman"/>
                <w:color w:val="auto"/>
                <w:kern w:val="0"/>
                <w:sz w:val="24"/>
                <w:szCs w:val="24"/>
                <w:highlight w:val="none"/>
                <w:lang w:val="en-US" w:eastAsia="zh-CN"/>
              </w:rPr>
              <w:t>投标人每</w:t>
            </w:r>
            <w:r>
              <w:rPr>
                <w:rFonts w:hint="default" w:ascii="Times New Roman" w:hAnsi="Times New Roman" w:cs="Times New Roman"/>
                <w:color w:val="auto"/>
                <w:kern w:val="0"/>
                <w:sz w:val="24"/>
                <w:szCs w:val="24"/>
                <w:highlight w:val="none"/>
                <w:lang w:val="en-US" w:eastAsia="zh-CN"/>
              </w:rPr>
              <w:t>提供1台测试废气中盐酸雾的离子色谱仪</w:t>
            </w:r>
            <w:r>
              <w:rPr>
                <w:rFonts w:hint="eastAsia" w:cs="Times New Roman"/>
                <w:color w:val="auto"/>
                <w:kern w:val="0"/>
                <w:sz w:val="24"/>
                <w:szCs w:val="24"/>
                <w:highlight w:val="none"/>
                <w:lang w:val="en-US" w:eastAsia="zh-CN"/>
              </w:rPr>
              <w:t>得</w:t>
            </w:r>
            <w:r>
              <w:rPr>
                <w:rFonts w:hint="eastAsia" w:ascii="Times New Roman" w:hAnsi="Times New Roman" w:cs="Times New Roman"/>
                <w:color w:val="auto"/>
                <w:kern w:val="0"/>
                <w:sz w:val="24"/>
                <w:szCs w:val="24"/>
                <w:highlight w:val="none"/>
                <w:lang w:val="en-US" w:eastAsia="zh-CN"/>
              </w:rPr>
              <w:t>1</w:t>
            </w:r>
            <w:r>
              <w:rPr>
                <w:rFonts w:hint="default" w:ascii="Times New Roman" w:hAnsi="Times New Roman" w:cs="Times New Roman"/>
                <w:color w:val="auto"/>
                <w:kern w:val="0"/>
                <w:sz w:val="24"/>
                <w:szCs w:val="24"/>
                <w:highlight w:val="none"/>
                <w:lang w:val="en-US" w:eastAsia="zh-CN"/>
              </w:rPr>
              <w:t>分，</w:t>
            </w:r>
            <w:r>
              <w:rPr>
                <w:rFonts w:hint="eastAsia" w:cs="Times New Roman"/>
                <w:color w:val="auto"/>
                <w:kern w:val="0"/>
                <w:sz w:val="24"/>
                <w:szCs w:val="24"/>
                <w:highlight w:val="none"/>
                <w:lang w:val="en-US" w:eastAsia="zh-CN"/>
              </w:rPr>
              <w:t>最多得3</w:t>
            </w:r>
            <w:r>
              <w:rPr>
                <w:rFonts w:hint="default" w:ascii="Times New Roman" w:hAnsi="Times New Roman" w:cs="Times New Roman"/>
                <w:color w:val="auto"/>
                <w:kern w:val="0"/>
                <w:sz w:val="24"/>
                <w:szCs w:val="24"/>
                <w:highlight w:val="none"/>
                <w:lang w:val="en-US" w:eastAsia="zh-CN"/>
              </w:rPr>
              <w:t>分</w:t>
            </w:r>
            <w:r>
              <w:rPr>
                <w:rFonts w:hint="eastAsia" w:ascii="Times New Roman" w:hAnsi="Times New Roman" w:cs="Times New Roman"/>
                <w:color w:val="auto"/>
                <w:kern w:val="0"/>
                <w:sz w:val="24"/>
                <w:szCs w:val="24"/>
                <w:highlight w:val="none"/>
                <w:lang w:val="en-US" w:eastAsia="zh-CN"/>
              </w:rPr>
              <w:t>。</w:t>
            </w:r>
          </w:p>
          <w:p>
            <w:pPr>
              <w:pStyle w:val="2"/>
              <w:keepNext w:val="0"/>
              <w:keepLines w:val="0"/>
              <w:tabs>
                <w:tab w:val="left" w:pos="478"/>
              </w:tabs>
              <w:kinsoku/>
              <w:wordWrap/>
              <w:overflowPunct/>
              <w:topLinePunct w:val="0"/>
              <w:bidi w:val="0"/>
              <w:adjustRightInd/>
              <w:snapToGrid/>
              <w:spacing w:before="0" w:after="0" w:line="240" w:lineRule="auto"/>
              <w:ind w:firstLine="241" w:firstLineChars="100"/>
              <w:jc w:val="both"/>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（注：</w:t>
            </w:r>
            <w:r>
              <w:rPr>
                <w:rFonts w:hint="default" w:ascii="Times New Roman" w:hAnsi="Times New Roman" w:cs="Times New Roman"/>
                <w:color w:val="auto"/>
                <w:kern w:val="0"/>
                <w:sz w:val="24"/>
                <w:szCs w:val="24"/>
                <w:highlight w:val="none"/>
              </w:rPr>
              <w:t>投标文件中提供相关照片</w:t>
            </w:r>
            <w:r>
              <w:rPr>
                <w:rFonts w:hint="default" w:ascii="Times New Roman" w:hAnsi="Times New Roman" w:cs="Times New Roman"/>
                <w:color w:val="auto"/>
                <w:kern w:val="0"/>
                <w:sz w:val="24"/>
                <w:szCs w:val="24"/>
                <w:highlight w:val="none"/>
                <w:lang w:eastAsia="zh-CN"/>
              </w:rPr>
              <w:t>、</w:t>
            </w:r>
            <w:r>
              <w:rPr>
                <w:rFonts w:hint="default" w:ascii="Times New Roman" w:hAnsi="Times New Roman" w:cs="Times New Roman"/>
                <w:color w:val="auto"/>
                <w:kern w:val="0"/>
                <w:sz w:val="24"/>
                <w:szCs w:val="24"/>
                <w:highlight w:val="none"/>
                <w:lang w:val="en-US" w:eastAsia="zh-CN"/>
              </w:rPr>
              <w:t>购置合同和发票复印件</w:t>
            </w:r>
            <w:r>
              <w:rPr>
                <w:rFonts w:hint="eastAsia" w:ascii="Times New Roman" w:hAnsi="Times New Roman" w:eastAsia="宋体" w:cs="Times New Roman"/>
                <w:color w:val="auto"/>
                <w:sz w:val="24"/>
                <w:szCs w:val="24"/>
                <w:highlight w:val="none"/>
              </w:rPr>
              <w:t>加盖单位公章</w:t>
            </w:r>
            <w:r>
              <w:rPr>
                <w:rFonts w:hint="eastAsia" w:ascii="Times New Roman" w:hAnsi="Times New Roman" w:eastAsia="宋体" w:cs="Times New Roman"/>
                <w:color w:val="auto"/>
                <w:sz w:val="24"/>
                <w:szCs w:val="24"/>
                <w:highlight w:val="none"/>
                <w:lang w:val="en-US" w:eastAsia="zh-CN"/>
              </w:rPr>
              <w:t>）</w:t>
            </w:r>
            <w:r>
              <w:rPr>
                <w:rFonts w:hint="eastAsia" w:cs="Times New Roman"/>
                <w:color w:val="auto"/>
                <w:sz w:val="24"/>
                <w:szCs w:val="24"/>
                <w:highlight w:val="none"/>
                <w:lang w:eastAsia="zh-CN"/>
              </w:rPr>
              <w:t>。</w:t>
            </w:r>
          </w:p>
        </w:tc>
        <w:tc>
          <w:tcPr>
            <w:tcW w:w="951" w:type="dxa"/>
            <w:noWrap w:val="0"/>
            <w:vAlign w:val="center"/>
          </w:tcPr>
          <w:p>
            <w:pPr>
              <w:widowControl/>
              <w:spacing w:line="240" w:lineRule="auto"/>
              <w:jc w:val="center"/>
              <w:textAlignment w:val="center"/>
              <w:rPr>
                <w:rFonts w:hint="default" w:eastAsia="宋体"/>
                <w:color w:val="auto"/>
                <w:kern w:val="0"/>
                <w:sz w:val="24"/>
                <w:szCs w:val="24"/>
                <w:highlight w:val="none"/>
                <w:lang w:val="en-US" w:eastAsia="zh-CN"/>
              </w:rPr>
            </w:pPr>
            <w:r>
              <w:rPr>
                <w:rFonts w:hint="eastAsia"/>
                <w:color w:val="auto"/>
                <w:kern w:val="0"/>
                <w:sz w:val="24"/>
                <w:szCs w:val="24"/>
                <w:highlight w:val="none"/>
                <w:lang w:val="en-US" w:eastAsia="zh-CN"/>
              </w:rPr>
              <w:t>0-7分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2" w:hRule="atLeast"/>
          <w:jc w:val="center"/>
        </w:trPr>
        <w:tc>
          <w:tcPr>
            <w:tcW w:w="614" w:type="dxa"/>
            <w:noWrap w:val="0"/>
            <w:vAlign w:val="center"/>
          </w:tcPr>
          <w:p>
            <w:pPr>
              <w:spacing w:line="240" w:lineRule="auto"/>
              <w:jc w:val="center"/>
              <w:rPr>
                <w:color w:val="auto"/>
                <w:kern w:val="0"/>
                <w:sz w:val="24"/>
                <w:szCs w:val="24"/>
                <w:highlight w:val="none"/>
              </w:rPr>
            </w:pPr>
            <w:r>
              <w:rPr>
                <w:color w:val="auto"/>
                <w:kern w:val="0"/>
                <w:sz w:val="24"/>
                <w:szCs w:val="24"/>
                <w:highlight w:val="none"/>
              </w:rPr>
              <w:t>2</w:t>
            </w:r>
          </w:p>
        </w:tc>
        <w:tc>
          <w:tcPr>
            <w:tcW w:w="1022" w:type="dxa"/>
            <w:noWrap w:val="0"/>
            <w:tcMar>
              <w:top w:w="15" w:type="dxa"/>
              <w:left w:w="15" w:type="dxa"/>
              <w:bottom w:w="15" w:type="dxa"/>
              <w:right w:w="15" w:type="dxa"/>
            </w:tcMar>
            <w:vAlign w:val="center"/>
          </w:tcPr>
          <w:p>
            <w:pPr>
              <w:spacing w:line="240" w:lineRule="auto"/>
              <w:jc w:val="left"/>
              <w:rPr>
                <w:rFonts w:hint="eastAsia" w:ascii="Times New Roman" w:hAnsi="Times New Roman" w:eastAsia="宋体" w:cs="Times New Roman"/>
                <w:color w:val="auto"/>
                <w:kern w:val="2"/>
                <w:sz w:val="24"/>
                <w:szCs w:val="24"/>
                <w:highlight w:val="none"/>
              </w:rPr>
            </w:pPr>
            <w:r>
              <w:rPr>
                <w:rFonts w:hint="eastAsia" w:ascii="Times New Roman" w:hAnsi="Times New Roman" w:eastAsia="宋体" w:cs="Times New Roman"/>
                <w:color w:val="auto"/>
                <w:sz w:val="24"/>
                <w:szCs w:val="24"/>
                <w:highlight w:val="none"/>
              </w:rPr>
              <w:t>项目管理团队配备</w:t>
            </w:r>
          </w:p>
        </w:tc>
        <w:tc>
          <w:tcPr>
            <w:tcW w:w="6691" w:type="dxa"/>
            <w:noWrap w:val="0"/>
            <w:tcMar>
              <w:top w:w="15" w:type="dxa"/>
              <w:left w:w="15" w:type="dxa"/>
              <w:bottom w:w="15" w:type="dxa"/>
              <w:right w:w="15" w:type="dxa"/>
            </w:tcMar>
            <w:vAlign w:val="center"/>
          </w:tcPr>
          <w:p>
            <w:pPr>
              <w:spacing w:line="240" w:lineRule="auto"/>
              <w:ind w:firstLine="480" w:firstLineChars="200"/>
              <w:jc w:val="left"/>
              <w:rPr>
                <w:rFonts w:hint="eastAsia" w:ascii="Times New Roman" w:hAnsi="Times New Roman" w:eastAsia="宋体" w:cs="Times New Roman"/>
                <w:color w:val="auto"/>
                <w:sz w:val="24"/>
                <w:szCs w:val="24"/>
                <w:highlight w:val="none"/>
              </w:rPr>
            </w:pP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1</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投标人</w:t>
            </w:r>
            <w:r>
              <w:rPr>
                <w:rFonts w:hint="eastAsia" w:ascii="Times New Roman" w:hAnsi="Times New Roman" w:eastAsia="宋体" w:cs="Times New Roman"/>
                <w:color w:val="auto"/>
                <w:sz w:val="24"/>
                <w:szCs w:val="24"/>
                <w:highlight w:val="none"/>
              </w:rPr>
              <w:t>拟派项目负责人具有环保专业高级工程师及以上职称的得</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rPr>
              <w:t>分，具有环保专业中级工程师职称的得</w:t>
            </w:r>
            <w:r>
              <w:rPr>
                <w:rFonts w:hint="eastAsia"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rPr>
              <w:t>分。同时具有注册环保工程师另加</w:t>
            </w:r>
            <w:r>
              <w:rPr>
                <w:rFonts w:hint="eastAsia" w:cs="Times New Roman"/>
                <w:color w:val="auto"/>
                <w:sz w:val="24"/>
                <w:szCs w:val="24"/>
                <w:highlight w:val="none"/>
                <w:lang w:val="en-US" w:eastAsia="zh-CN"/>
              </w:rPr>
              <w:t>3</w:t>
            </w:r>
            <w:r>
              <w:rPr>
                <w:rFonts w:hint="eastAsia" w:ascii="Times New Roman" w:hAnsi="Times New Roman" w:eastAsia="宋体" w:cs="Times New Roman"/>
                <w:color w:val="auto"/>
                <w:sz w:val="24"/>
                <w:szCs w:val="24"/>
                <w:highlight w:val="none"/>
              </w:rPr>
              <w:t>分</w:t>
            </w:r>
            <w:r>
              <w:rPr>
                <w:rFonts w:hint="eastAsia"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本项最高得</w:t>
            </w:r>
            <w:r>
              <w:rPr>
                <w:rFonts w:hint="eastAsia" w:cs="Times New Roman"/>
                <w:color w:val="auto"/>
                <w:sz w:val="24"/>
                <w:szCs w:val="24"/>
                <w:highlight w:val="none"/>
                <w:lang w:val="en-US" w:eastAsia="zh-CN"/>
              </w:rPr>
              <w:t>5</w:t>
            </w:r>
            <w:r>
              <w:rPr>
                <w:rFonts w:hint="eastAsia" w:ascii="Times New Roman" w:hAnsi="Times New Roman" w:eastAsia="宋体" w:cs="Times New Roman"/>
                <w:color w:val="auto"/>
                <w:sz w:val="24"/>
                <w:szCs w:val="24"/>
                <w:highlight w:val="none"/>
              </w:rPr>
              <w:t>分。</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2</w:t>
            </w:r>
            <w:r>
              <w:rPr>
                <w:rFonts w:hint="eastAsia"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项目管理团队</w:t>
            </w:r>
            <w:r>
              <w:rPr>
                <w:rFonts w:hint="eastAsia" w:ascii="Times New Roman" w:hAnsi="Times New Roman" w:eastAsia="宋体" w:cs="Times New Roman"/>
                <w:color w:val="auto"/>
                <w:sz w:val="24"/>
                <w:szCs w:val="24"/>
                <w:highlight w:val="none"/>
                <w:lang w:val="en-US" w:eastAsia="zh-CN"/>
              </w:rPr>
              <w:t>中</w:t>
            </w:r>
            <w:r>
              <w:rPr>
                <w:rFonts w:hint="eastAsia" w:ascii="Times New Roman" w:hAnsi="Times New Roman" w:eastAsia="宋体" w:cs="Times New Roman"/>
                <w:color w:val="auto"/>
                <w:sz w:val="24"/>
                <w:szCs w:val="24"/>
                <w:highlight w:val="none"/>
              </w:rPr>
              <w:t>（除项目负责人</w:t>
            </w:r>
            <w:r>
              <w:rPr>
                <w:rFonts w:hint="eastAsia" w:ascii="Times New Roman" w:hAnsi="Times New Roman" w:eastAsia="宋体" w:cs="Times New Roman"/>
                <w:color w:val="auto"/>
                <w:sz w:val="24"/>
                <w:szCs w:val="24"/>
                <w:highlight w:val="none"/>
                <w:lang w:val="en-US" w:eastAsia="zh-CN"/>
              </w:rPr>
              <w:t>外</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具有</w:t>
            </w:r>
            <w:r>
              <w:rPr>
                <w:rFonts w:hint="eastAsia" w:ascii="Times New Roman" w:hAnsi="Times New Roman" w:eastAsia="宋体" w:cs="Times New Roman"/>
                <w:color w:val="auto"/>
                <w:sz w:val="24"/>
                <w:szCs w:val="24"/>
                <w:highlight w:val="none"/>
              </w:rPr>
              <w:t>环保</w:t>
            </w:r>
            <w:r>
              <w:rPr>
                <w:rFonts w:hint="eastAsia" w:ascii="Times New Roman" w:hAnsi="Times New Roman" w:eastAsia="宋体" w:cs="Times New Roman"/>
                <w:color w:val="auto"/>
                <w:sz w:val="24"/>
                <w:szCs w:val="24"/>
                <w:highlight w:val="none"/>
                <w:lang w:val="en-US" w:eastAsia="zh-CN"/>
              </w:rPr>
              <w:t>类</w:t>
            </w:r>
            <w:r>
              <w:rPr>
                <w:rFonts w:hint="eastAsia" w:ascii="Times New Roman" w:hAnsi="Times New Roman" w:eastAsia="宋体" w:cs="Times New Roman"/>
                <w:color w:val="auto"/>
                <w:sz w:val="24"/>
                <w:szCs w:val="24"/>
                <w:highlight w:val="none"/>
              </w:rPr>
              <w:t>专业</w:t>
            </w:r>
            <w:r>
              <w:rPr>
                <w:rFonts w:hint="default" w:ascii="Times New Roman" w:hAnsi="Times New Roman" w:eastAsia="宋体" w:cs="Times New Roman"/>
                <w:color w:val="auto"/>
                <w:sz w:val="24"/>
                <w:szCs w:val="24"/>
                <w:highlight w:val="none"/>
                <w:lang w:val="en-US" w:eastAsia="zh-CN"/>
              </w:rPr>
              <w:t>中级</w:t>
            </w:r>
            <w:r>
              <w:rPr>
                <w:rFonts w:hint="eastAsia" w:ascii="Times New Roman" w:hAnsi="Times New Roman" w:eastAsia="宋体" w:cs="Times New Roman"/>
                <w:color w:val="auto"/>
                <w:sz w:val="24"/>
                <w:szCs w:val="24"/>
                <w:highlight w:val="none"/>
              </w:rPr>
              <w:t>工程师及以上职称</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每提供一人得1分，最高得6分</w:t>
            </w:r>
            <w:r>
              <w:rPr>
                <w:rFonts w:hint="default" w:ascii="Times New Roman" w:hAnsi="Times New Roman" w:eastAsia="宋体"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spacing w:line="240" w:lineRule="auto"/>
              <w:ind w:firstLine="240" w:firstLineChars="100"/>
              <w:textAlignment w:val="auto"/>
              <w:rPr>
                <w:rFonts w:hint="eastAsia" w:ascii="Times New Roman" w:hAnsi="Times New Roman" w:eastAsia="宋体" w:cs="Times New Roman"/>
                <w:color w:val="auto"/>
                <w:sz w:val="24"/>
                <w:szCs w:val="24"/>
                <w:highlight w:val="none"/>
              </w:rPr>
            </w:pP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注：以上1、2需</w:t>
            </w:r>
            <w:r>
              <w:rPr>
                <w:rFonts w:hint="eastAsia" w:ascii="Times New Roman" w:hAnsi="Times New Roman" w:eastAsia="宋体" w:cs="Times New Roman"/>
                <w:color w:val="auto"/>
                <w:sz w:val="24"/>
                <w:szCs w:val="24"/>
                <w:highlight w:val="none"/>
              </w:rPr>
              <w:t>提供</w:t>
            </w:r>
            <w:r>
              <w:rPr>
                <w:rFonts w:hint="eastAsia" w:ascii="Times New Roman" w:hAnsi="Times New Roman" w:eastAsia="宋体" w:cs="Times New Roman"/>
                <w:color w:val="auto"/>
                <w:sz w:val="24"/>
                <w:szCs w:val="24"/>
                <w:highlight w:val="none"/>
                <w:lang w:val="en-US" w:eastAsia="zh-CN"/>
              </w:rPr>
              <w:t>相关</w:t>
            </w:r>
            <w:r>
              <w:rPr>
                <w:rFonts w:hint="eastAsia" w:ascii="Times New Roman" w:hAnsi="Times New Roman" w:eastAsia="宋体" w:cs="Times New Roman"/>
                <w:color w:val="auto"/>
                <w:sz w:val="24"/>
                <w:szCs w:val="24"/>
                <w:highlight w:val="none"/>
              </w:rPr>
              <w:t>证书及</w:t>
            </w:r>
            <w:r>
              <w:rPr>
                <w:rFonts w:hint="eastAsia" w:cs="Times New Roman"/>
                <w:color w:val="auto"/>
                <w:sz w:val="24"/>
                <w:szCs w:val="24"/>
                <w:highlight w:val="none"/>
                <w:lang w:val="en-US" w:eastAsia="zh-CN"/>
              </w:rPr>
              <w:t>投标人为其缴纳</w:t>
            </w:r>
            <w:r>
              <w:rPr>
                <w:rFonts w:hint="eastAsia" w:ascii="Times New Roman" w:hAnsi="Times New Roman" w:eastAsia="宋体" w:cs="Times New Roman"/>
                <w:color w:val="auto"/>
                <w:sz w:val="24"/>
                <w:szCs w:val="24"/>
                <w:highlight w:val="none"/>
              </w:rPr>
              <w:t>近三个月</w:t>
            </w:r>
            <w:r>
              <w:rPr>
                <w:rFonts w:hint="eastAsia" w:cs="Times New Roman"/>
                <w:color w:val="auto"/>
                <w:sz w:val="24"/>
                <w:szCs w:val="24"/>
                <w:highlight w:val="none"/>
                <w:lang w:eastAsia="zh-CN"/>
              </w:rPr>
              <w:t>的</w:t>
            </w:r>
            <w:r>
              <w:rPr>
                <w:rFonts w:hint="eastAsia" w:ascii="Times New Roman" w:hAnsi="Times New Roman" w:eastAsia="宋体" w:cs="Times New Roman"/>
                <w:color w:val="auto"/>
                <w:sz w:val="24"/>
                <w:szCs w:val="24"/>
                <w:highlight w:val="none"/>
              </w:rPr>
              <w:t>社保缴纳证明</w:t>
            </w:r>
            <w:r>
              <w:rPr>
                <w:rFonts w:hint="eastAsia"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rPr>
              <w:t>复印件加盖单位公章。）</w:t>
            </w:r>
          </w:p>
        </w:tc>
        <w:tc>
          <w:tcPr>
            <w:tcW w:w="951" w:type="dxa"/>
            <w:noWrap w:val="0"/>
            <w:vAlign w:val="center"/>
          </w:tcPr>
          <w:p>
            <w:pPr>
              <w:spacing w:line="240" w:lineRule="auto"/>
              <w:jc w:val="center"/>
              <w:rPr>
                <w:color w:val="auto"/>
                <w:sz w:val="24"/>
                <w:szCs w:val="24"/>
                <w:highlight w:val="none"/>
              </w:rPr>
            </w:pPr>
            <w:r>
              <w:rPr>
                <w:color w:val="auto"/>
                <w:kern w:val="0"/>
                <w:sz w:val="24"/>
                <w:szCs w:val="24"/>
                <w:highlight w:val="none"/>
              </w:rPr>
              <w:t>0-</w:t>
            </w:r>
            <w:r>
              <w:rPr>
                <w:rFonts w:hint="eastAsia"/>
                <w:color w:val="auto"/>
                <w:kern w:val="0"/>
                <w:sz w:val="24"/>
                <w:szCs w:val="24"/>
                <w:highlight w:val="none"/>
                <w:lang w:val="en-US" w:eastAsia="zh-CN"/>
              </w:rPr>
              <w:t>11</w:t>
            </w:r>
            <w:r>
              <w:rPr>
                <w:color w:val="auto"/>
                <w:kern w:val="0"/>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default" w:eastAsiaTheme="minorEastAsia"/>
                <w:color w:val="auto"/>
                <w:sz w:val="24"/>
                <w:szCs w:val="24"/>
                <w:highlight w:val="none"/>
                <w:lang w:val="en-US" w:eastAsia="zh-CN"/>
              </w:rPr>
            </w:pPr>
            <w:r>
              <w:rPr>
                <w:rFonts w:hint="eastAsia" w:eastAsiaTheme="minorEastAsia"/>
                <w:color w:val="auto"/>
                <w:sz w:val="24"/>
                <w:szCs w:val="24"/>
                <w:highlight w:val="none"/>
                <w:lang w:val="en-US" w:eastAsia="zh-CN"/>
              </w:rPr>
              <w:t>3</w:t>
            </w:r>
          </w:p>
        </w:tc>
        <w:tc>
          <w:tcPr>
            <w:tcW w:w="1022" w:type="dxa"/>
            <w:tcBorders>
              <w:left w:val="single" w:color="auto" w:sz="4" w:space="0"/>
            </w:tcBorders>
            <w:noWrap w:val="0"/>
            <w:vAlign w:val="center"/>
          </w:tcPr>
          <w:p>
            <w:pPr>
              <w:widowControl/>
              <w:spacing w:line="240" w:lineRule="auto"/>
              <w:jc w:val="center"/>
              <w:rPr>
                <w:color w:val="auto"/>
                <w:kern w:val="0"/>
                <w:sz w:val="24"/>
                <w:szCs w:val="24"/>
                <w:highlight w:val="none"/>
              </w:rPr>
            </w:pPr>
            <w:r>
              <w:rPr>
                <w:color w:val="auto"/>
                <w:kern w:val="0"/>
                <w:sz w:val="24"/>
                <w:szCs w:val="24"/>
                <w:highlight w:val="none"/>
              </w:rPr>
              <w:t>类似项目业绩</w:t>
            </w:r>
          </w:p>
        </w:tc>
        <w:tc>
          <w:tcPr>
            <w:tcW w:w="6691" w:type="dxa"/>
            <w:tcBorders>
              <w:top w:val="single" w:color="auto" w:sz="4" w:space="0"/>
              <w:left w:val="single" w:color="auto" w:sz="4" w:space="0"/>
              <w:right w:val="single" w:color="auto" w:sz="4" w:space="0"/>
            </w:tcBorders>
            <w:noWrap w:val="0"/>
            <w:tcMar>
              <w:top w:w="15" w:type="dxa"/>
              <w:left w:w="15" w:type="dxa"/>
              <w:bottom w:w="15" w:type="dxa"/>
              <w:right w:w="15" w:type="dxa"/>
            </w:tcMar>
            <w:vAlign w:val="top"/>
          </w:tcPr>
          <w:p>
            <w:pPr>
              <w:spacing w:line="240" w:lineRule="auto"/>
              <w:ind w:firstLine="480" w:firstLineChars="200"/>
              <w:jc w:val="left"/>
              <w:rPr>
                <w:color w:val="auto"/>
                <w:spacing w:val="-8"/>
                <w:sz w:val="24"/>
                <w:szCs w:val="24"/>
                <w:highlight w:val="none"/>
              </w:rPr>
            </w:pPr>
            <w:r>
              <w:rPr>
                <w:rFonts w:hint="eastAsia" w:ascii="Times New Roman" w:hAnsi="Times New Roman" w:eastAsia="宋体" w:cs="Times New Roman"/>
                <w:color w:val="auto"/>
                <w:sz w:val="24"/>
                <w:szCs w:val="24"/>
                <w:highlight w:val="none"/>
                <w:lang w:val="en-US" w:eastAsia="zh-CN"/>
              </w:rPr>
              <w:t>投标人提供（</w:t>
            </w:r>
            <w:r>
              <w:rPr>
                <w:rFonts w:hint="eastAsia" w:ascii="Times New Roman" w:hAnsi="Times New Roman" w:eastAsia="宋体" w:cs="Times New Roman"/>
                <w:color w:val="auto"/>
                <w:sz w:val="24"/>
                <w:szCs w:val="24"/>
                <w:highlight w:val="none"/>
              </w:rPr>
              <w:t>2020年0</w:t>
            </w:r>
            <w:r>
              <w:rPr>
                <w:rFonts w:hint="eastAsia" w:ascii="Times New Roman" w:hAnsi="Times New Roman" w:eastAsia="宋体" w:cs="Times New Roman"/>
                <w:color w:val="auto"/>
                <w:sz w:val="24"/>
                <w:szCs w:val="24"/>
                <w:highlight w:val="none"/>
                <w:lang w:val="en-US" w:eastAsia="zh-CN"/>
              </w:rPr>
              <w:t>4</w:t>
            </w:r>
            <w:r>
              <w:rPr>
                <w:rFonts w:hint="eastAsia" w:ascii="Times New Roman" w:hAnsi="Times New Roman" w:eastAsia="宋体" w:cs="Times New Roman"/>
                <w:color w:val="auto"/>
                <w:sz w:val="24"/>
                <w:szCs w:val="24"/>
                <w:highlight w:val="none"/>
              </w:rPr>
              <w:t>月01日至今</w:t>
            </w:r>
            <w:r>
              <w:rPr>
                <w:rFonts w:hint="eastAsia" w:ascii="Times New Roman" w:hAnsi="Times New Roman" w:eastAsia="宋体" w:cs="Times New Roman"/>
                <w:color w:val="auto"/>
                <w:sz w:val="24"/>
                <w:szCs w:val="24"/>
                <w:highlight w:val="none"/>
                <w:lang w:val="en-US" w:eastAsia="zh-CN"/>
              </w:rPr>
              <w:t>,</w:t>
            </w:r>
            <w:r>
              <w:rPr>
                <w:rFonts w:hint="eastAsia" w:ascii="宋体" w:hAnsi="宋体" w:cs="Times New Roman"/>
                <w:color w:val="auto"/>
                <w:sz w:val="24"/>
                <w:szCs w:val="24"/>
                <w:highlight w:val="none"/>
                <w:vertAlign w:val="baseline"/>
                <w:lang w:val="en-US" w:eastAsia="zh-CN"/>
              </w:rPr>
              <w:t>以合同签订时间为准</w:t>
            </w:r>
            <w:r>
              <w:rPr>
                <w:rFonts w:hint="eastAsia" w:ascii="Times New Roman" w:hAnsi="Times New Roman" w:eastAsia="宋体"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rPr>
              <w:t>，</w:t>
            </w:r>
            <w:r>
              <w:rPr>
                <w:rFonts w:hint="eastAsia" w:ascii="Times New Roman" w:hAnsi="Times New Roman" w:eastAsia="宋体" w:cs="Times New Roman"/>
                <w:color w:val="auto"/>
                <w:sz w:val="24"/>
                <w:szCs w:val="24"/>
                <w:highlight w:val="none"/>
                <w:lang w:val="en-US" w:eastAsia="zh-CN"/>
              </w:rPr>
              <w:t>承担过同类项目（</w:t>
            </w:r>
            <w:r>
              <w:rPr>
                <w:rFonts w:hint="eastAsia" w:cs="Times New Roman"/>
                <w:color w:val="auto"/>
                <w:sz w:val="24"/>
                <w:szCs w:val="24"/>
                <w:highlight w:val="none"/>
                <w:lang w:val="en-US" w:eastAsia="zh-CN"/>
              </w:rPr>
              <w:t>环境</w:t>
            </w:r>
            <w:r>
              <w:rPr>
                <w:rFonts w:hint="eastAsia" w:ascii="Times New Roman" w:hAnsi="Times New Roman" w:eastAsia="宋体" w:cs="Times New Roman"/>
                <w:color w:val="auto"/>
                <w:sz w:val="24"/>
                <w:szCs w:val="24"/>
                <w:highlight w:val="none"/>
                <w:lang w:val="en-US" w:eastAsia="zh-CN"/>
              </w:rPr>
              <w:t>监测）</w:t>
            </w:r>
            <w:r>
              <w:rPr>
                <w:rFonts w:hint="eastAsia" w:ascii="Times New Roman" w:hAnsi="Times New Roman" w:eastAsia="宋体" w:cs="Times New Roman"/>
                <w:color w:val="auto"/>
                <w:sz w:val="24"/>
                <w:szCs w:val="24"/>
                <w:highlight w:val="none"/>
              </w:rPr>
              <w:t>业绩</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每提供一</w:t>
            </w:r>
            <w:r>
              <w:rPr>
                <w:rFonts w:hint="eastAsia" w:ascii="Times New Roman" w:hAnsi="Times New Roman" w:eastAsia="宋体" w:cs="Times New Roman"/>
                <w:color w:val="auto"/>
                <w:sz w:val="24"/>
                <w:szCs w:val="24"/>
                <w:highlight w:val="none"/>
              </w:rPr>
              <w:t>个得</w:t>
            </w:r>
            <w:r>
              <w:rPr>
                <w:rFonts w:hint="eastAsia" w:ascii="Times New Roman" w:hAnsi="Times New Roman" w:eastAsia="宋体" w:cs="Times New Roman"/>
                <w:color w:val="auto"/>
                <w:sz w:val="24"/>
                <w:szCs w:val="24"/>
                <w:highlight w:val="none"/>
                <w:lang w:val="en-US" w:eastAsia="zh-CN"/>
              </w:rPr>
              <w:t>1</w:t>
            </w:r>
            <w:r>
              <w:rPr>
                <w:rFonts w:hint="eastAsia" w:ascii="Times New Roman" w:hAnsi="Times New Roman" w:eastAsia="宋体" w:cs="Times New Roman"/>
                <w:color w:val="auto"/>
                <w:sz w:val="24"/>
                <w:szCs w:val="24"/>
                <w:highlight w:val="none"/>
              </w:rPr>
              <w:t>分</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最高得2分</w:t>
            </w:r>
            <w:r>
              <w:rPr>
                <w:rFonts w:hint="eastAsia" w:ascii="Times New Roman" w:hAnsi="Times New Roman" w:eastAsia="宋体" w:cs="Times New Roman"/>
                <w:color w:val="auto"/>
                <w:sz w:val="24"/>
                <w:szCs w:val="24"/>
                <w:highlight w:val="none"/>
              </w:rPr>
              <w:t>；（提供合同</w:t>
            </w:r>
            <w:r>
              <w:rPr>
                <w:rFonts w:hint="eastAsia" w:ascii="Times New Roman" w:hAnsi="Times New Roman" w:eastAsia="宋体" w:cs="Times New Roman"/>
                <w:color w:val="auto"/>
                <w:sz w:val="24"/>
                <w:szCs w:val="24"/>
                <w:highlight w:val="none"/>
                <w:lang w:val="en-US" w:eastAsia="zh-CN"/>
              </w:rPr>
              <w:t>扫描件</w:t>
            </w:r>
            <w:r>
              <w:rPr>
                <w:rFonts w:hint="eastAsia" w:ascii="Times New Roman" w:hAnsi="Times New Roman" w:eastAsia="宋体" w:cs="Times New Roman"/>
                <w:color w:val="auto"/>
                <w:sz w:val="24"/>
                <w:szCs w:val="24"/>
                <w:highlight w:val="none"/>
              </w:rPr>
              <w:t>加盖单位公章，</w:t>
            </w:r>
            <w:r>
              <w:rPr>
                <w:rFonts w:hint="eastAsia" w:ascii="Times New Roman" w:hAnsi="Times New Roman" w:eastAsia="宋体" w:cs="Times New Roman"/>
                <w:color w:val="auto"/>
                <w:sz w:val="24"/>
                <w:szCs w:val="24"/>
                <w:highlight w:val="none"/>
                <w:lang w:val="en-US" w:eastAsia="zh-CN"/>
              </w:rPr>
              <w:t>如合同中未明确工艺的提供工艺证明材料</w:t>
            </w:r>
            <w:r>
              <w:rPr>
                <w:rFonts w:hint="eastAsia" w:ascii="Times New Roman" w:hAnsi="Times New Roman" w:eastAsia="宋体" w:cs="Times New Roman"/>
                <w:color w:val="auto"/>
                <w:sz w:val="24"/>
                <w:szCs w:val="24"/>
                <w:highlight w:val="none"/>
              </w:rPr>
              <w:t>）</w:t>
            </w:r>
          </w:p>
        </w:tc>
        <w:tc>
          <w:tcPr>
            <w:tcW w:w="951" w:type="dxa"/>
            <w:tcBorders>
              <w:top w:val="single" w:color="auto" w:sz="4" w:space="0"/>
              <w:left w:val="single" w:color="auto" w:sz="4" w:space="0"/>
              <w:right w:val="single" w:color="auto" w:sz="4" w:space="0"/>
            </w:tcBorders>
            <w:noWrap w:val="0"/>
            <w:vAlign w:val="center"/>
          </w:tcPr>
          <w:p>
            <w:pPr>
              <w:spacing w:line="240" w:lineRule="auto"/>
              <w:jc w:val="center"/>
              <w:rPr>
                <w:rFonts w:hint="eastAsia"/>
                <w:color w:val="auto"/>
                <w:sz w:val="24"/>
                <w:szCs w:val="24"/>
                <w:highlight w:val="none"/>
              </w:rPr>
            </w:pPr>
            <w:r>
              <w:rPr>
                <w:rFonts w:hint="eastAsia" w:ascii="Times New Roman" w:hAnsi="Times New Roman" w:eastAsia="宋体" w:cs="Times New Roman"/>
                <w:color w:val="auto"/>
                <w:sz w:val="24"/>
                <w:szCs w:val="24"/>
                <w:highlight w:val="none"/>
              </w:rPr>
              <w:t>0-</w:t>
            </w:r>
            <w:r>
              <w:rPr>
                <w:rFonts w:hint="eastAsia" w:ascii="Times New Roman" w:hAnsi="Times New Roman" w:eastAsia="宋体"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default" w:eastAsiaTheme="minorEastAsia"/>
                <w:color w:val="auto"/>
                <w:sz w:val="24"/>
                <w:szCs w:val="24"/>
                <w:highlight w:val="none"/>
                <w:lang w:val="en-US" w:eastAsia="zh-CN"/>
              </w:rPr>
            </w:pPr>
            <w:r>
              <w:rPr>
                <w:rFonts w:hint="eastAsia" w:eastAsiaTheme="minorEastAsia"/>
                <w:color w:val="auto"/>
                <w:sz w:val="24"/>
                <w:szCs w:val="24"/>
                <w:highlight w:val="none"/>
                <w:lang w:val="en-US" w:eastAsia="zh-CN"/>
              </w:rPr>
              <w:t>4</w:t>
            </w:r>
          </w:p>
        </w:tc>
        <w:tc>
          <w:tcPr>
            <w:tcW w:w="1022" w:type="dxa"/>
            <w:tcBorders>
              <w:lef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eastAsiaTheme="minorEastAsia"/>
                <w:color w:val="auto"/>
                <w:sz w:val="24"/>
                <w:szCs w:val="24"/>
                <w:highlight w:val="none"/>
                <w:lang w:val="en-US" w:eastAsia="zh-CN"/>
              </w:rPr>
            </w:pPr>
            <w:r>
              <w:rPr>
                <w:rFonts w:hint="eastAsia" w:hAnsi="宋体"/>
                <w:color w:val="auto"/>
                <w:sz w:val="22"/>
                <w:szCs w:val="22"/>
                <w:highlight w:val="none"/>
              </w:rPr>
              <w:t>对项目了解和基本分析</w:t>
            </w:r>
          </w:p>
        </w:tc>
        <w:tc>
          <w:tcPr>
            <w:tcW w:w="6691" w:type="dxa"/>
            <w:tcBorders>
              <w:top w:val="single" w:color="auto" w:sz="4" w:space="0"/>
              <w:left w:val="single" w:color="auto" w:sz="4" w:space="0"/>
              <w:right w:val="single" w:color="auto" w:sz="4" w:space="0"/>
            </w:tcBorders>
            <w:noWrap w:val="0"/>
            <w:tcMar>
              <w:top w:w="15" w:type="dxa"/>
              <w:left w:w="15" w:type="dxa"/>
              <w:bottom w:w="15" w:type="dxa"/>
              <w:right w:w="15" w:type="dxa"/>
            </w:tcMar>
            <w:vAlign w:val="center"/>
          </w:tcPr>
          <w:p>
            <w:pPr>
              <w:widowControl/>
              <w:spacing w:line="240" w:lineRule="auto"/>
              <w:ind w:firstLine="480" w:firstLineChars="200"/>
              <w:jc w:val="left"/>
              <w:textAlignment w:val="center"/>
              <w:rPr>
                <w:rFonts w:hint="eastAsia" w:ascii="宋体" w:hAnsi="宋体" w:cs="宋体"/>
                <w:color w:val="auto"/>
                <w:sz w:val="24"/>
                <w:szCs w:val="24"/>
                <w:highlight w:val="none"/>
                <w:lang w:val="en-US" w:eastAsia="zh-CN"/>
              </w:rPr>
            </w:pPr>
            <w:r>
              <w:rPr>
                <w:rFonts w:hint="eastAsia" w:ascii="宋体" w:hAnsi="宋体"/>
                <w:color w:val="auto"/>
                <w:sz w:val="24"/>
                <w:szCs w:val="24"/>
                <w:highlight w:val="none"/>
                <w:lang w:val="en-US" w:eastAsia="zh-CN"/>
              </w:rPr>
              <w:t>根据投标人</w:t>
            </w:r>
            <w:r>
              <w:rPr>
                <w:rFonts w:hint="eastAsia" w:ascii="宋体" w:hAnsi="宋体"/>
                <w:color w:val="auto"/>
                <w:sz w:val="24"/>
                <w:szCs w:val="24"/>
                <w:highlight w:val="none"/>
              </w:rPr>
              <w:t>对项目基本情况认识理解</w:t>
            </w:r>
            <w:r>
              <w:rPr>
                <w:rFonts w:hint="eastAsia" w:ascii="宋体" w:hAnsi="宋体" w:cs="宋体"/>
                <w:color w:val="auto"/>
                <w:sz w:val="24"/>
                <w:szCs w:val="24"/>
                <w:highlight w:val="none"/>
                <w:lang w:val="zh-CN"/>
              </w:rPr>
              <w:t>，对项目的特点分析，工作思路清晰合理</w:t>
            </w:r>
            <w:r>
              <w:rPr>
                <w:rFonts w:hint="eastAsia" w:ascii="宋体" w:hAnsi="宋体" w:cs="宋体"/>
                <w:color w:val="auto"/>
                <w:sz w:val="24"/>
                <w:szCs w:val="24"/>
                <w:highlight w:val="none"/>
                <w:lang w:val="en-US" w:eastAsia="zh-CN"/>
              </w:rPr>
              <w:t>等情况进行综合打分；</w:t>
            </w:r>
          </w:p>
          <w:p>
            <w:pPr>
              <w:widowControl/>
              <w:spacing w:line="240" w:lineRule="auto"/>
              <w:ind w:firstLine="480" w:firstLineChars="200"/>
              <w:jc w:val="left"/>
              <w:textAlignment w:val="center"/>
              <w:rPr>
                <w:rFonts w:hint="eastAsia" w:ascii="宋体" w:hAnsi="宋体"/>
                <w:color w:val="auto"/>
                <w:sz w:val="24"/>
                <w:szCs w:val="24"/>
                <w:highlight w:val="none"/>
                <w:lang w:eastAsia="zh-CN"/>
              </w:rPr>
            </w:pPr>
            <w:r>
              <w:rPr>
                <w:rFonts w:hint="eastAsia" w:ascii="宋体" w:hAnsi="宋体"/>
                <w:color w:val="auto"/>
                <w:sz w:val="24"/>
                <w:szCs w:val="24"/>
                <w:highlight w:val="none"/>
              </w:rPr>
              <w:t>对项目基本情况认识理解</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0-3分</w:t>
            </w:r>
            <w:r>
              <w:rPr>
                <w:rFonts w:hint="eastAsia" w:ascii="宋体" w:hAnsi="宋体"/>
                <w:color w:val="auto"/>
                <w:sz w:val="24"/>
                <w:szCs w:val="24"/>
                <w:highlight w:val="none"/>
                <w:lang w:eastAsia="zh-CN"/>
              </w:rPr>
              <w:t>）</w:t>
            </w:r>
          </w:p>
          <w:p>
            <w:pPr>
              <w:widowControl/>
              <w:spacing w:line="240" w:lineRule="auto"/>
              <w:ind w:firstLine="480" w:firstLineChars="200"/>
              <w:jc w:val="left"/>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zh-CN"/>
              </w:rPr>
              <w:t>对项目的特点分析，工作思路清晰合理（</w:t>
            </w:r>
            <w:r>
              <w:rPr>
                <w:rFonts w:hint="eastAsia" w:ascii="宋体" w:hAnsi="宋体" w:cs="宋体"/>
                <w:color w:val="auto"/>
                <w:sz w:val="24"/>
                <w:szCs w:val="24"/>
                <w:highlight w:val="none"/>
                <w:lang w:val="en-US" w:eastAsia="zh-CN"/>
              </w:rPr>
              <w:t>0-3分</w:t>
            </w:r>
            <w:r>
              <w:rPr>
                <w:rFonts w:hint="eastAsia" w:ascii="宋体" w:hAnsi="宋体" w:cs="宋体"/>
                <w:color w:val="auto"/>
                <w:sz w:val="24"/>
                <w:szCs w:val="24"/>
                <w:highlight w:val="none"/>
                <w:lang w:val="zh-CN"/>
              </w:rPr>
              <w:t>）</w:t>
            </w:r>
          </w:p>
        </w:tc>
        <w:tc>
          <w:tcPr>
            <w:tcW w:w="951" w:type="dxa"/>
            <w:tcBorders>
              <w:top w:val="single" w:color="auto" w:sz="4" w:space="0"/>
              <w:left w:val="single" w:color="auto" w:sz="4" w:space="0"/>
              <w:right w:val="single" w:color="auto" w:sz="4" w:space="0"/>
            </w:tcBorders>
            <w:noWrap w:val="0"/>
            <w:vAlign w:val="center"/>
          </w:tcPr>
          <w:p>
            <w:pPr>
              <w:widowControl/>
              <w:spacing w:line="240" w:lineRule="auto"/>
              <w:jc w:val="center"/>
              <w:textAlignment w:val="center"/>
              <w:rPr>
                <w:rFonts w:hint="default" w:eastAsiaTheme="minorEastAsia"/>
                <w:color w:val="auto"/>
                <w:sz w:val="24"/>
                <w:szCs w:val="24"/>
                <w:highlight w:val="none"/>
                <w:lang w:val="en-US" w:eastAsia="zh-CN"/>
              </w:rPr>
            </w:pPr>
            <w:r>
              <w:rPr>
                <w:rFonts w:hint="eastAsia"/>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default"/>
                <w:color w:val="auto"/>
                <w:sz w:val="24"/>
                <w:szCs w:val="24"/>
                <w:highlight w:val="none"/>
                <w:lang w:val="en-US" w:eastAsia="zh-CN"/>
              </w:rPr>
            </w:pPr>
            <w:r>
              <w:rPr>
                <w:rFonts w:hint="eastAsia"/>
                <w:color w:val="auto"/>
                <w:sz w:val="24"/>
                <w:szCs w:val="24"/>
                <w:highlight w:val="none"/>
                <w:lang w:val="en-US" w:eastAsia="zh-CN"/>
              </w:rPr>
              <w:t>5</w:t>
            </w:r>
          </w:p>
        </w:tc>
        <w:tc>
          <w:tcPr>
            <w:tcW w:w="1022" w:type="dxa"/>
            <w:tcBorders>
              <w:left w:val="single" w:color="auto" w:sz="4" w:space="0"/>
            </w:tcBorders>
            <w:noWrap w:val="0"/>
            <w:vAlign w:val="center"/>
          </w:tcPr>
          <w:p>
            <w:pPr>
              <w:spacing w:line="24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对项目</w:t>
            </w:r>
            <w:r>
              <w:rPr>
                <w:rFonts w:hint="eastAsia" w:ascii="宋体" w:hAnsi="宋体" w:cs="宋体"/>
                <w:color w:val="auto"/>
                <w:sz w:val="24"/>
                <w:szCs w:val="24"/>
                <w:highlight w:val="none"/>
                <w:lang w:val="zh-CN"/>
              </w:rPr>
              <w:t>重难点分析及解决</w:t>
            </w:r>
          </w:p>
        </w:tc>
        <w:tc>
          <w:tcPr>
            <w:tcW w:w="6691" w:type="dxa"/>
            <w:tcBorders>
              <w:top w:val="single" w:color="auto" w:sz="4" w:space="0"/>
              <w:left w:val="single" w:color="auto" w:sz="4" w:space="0"/>
              <w:bottom w:val="single" w:color="auto" w:sz="4" w:space="0"/>
              <w:right w:val="single" w:color="auto" w:sz="4" w:space="0"/>
            </w:tcBorders>
            <w:noWrap w:val="0"/>
            <w:tcMar>
              <w:top w:w="15" w:type="dxa"/>
              <w:left w:w="15" w:type="dxa"/>
              <w:bottom w:w="15" w:type="dxa"/>
              <w:right w:w="15" w:type="dxa"/>
            </w:tcMar>
            <w:vAlign w:val="center"/>
          </w:tcPr>
          <w:p>
            <w:pPr>
              <w:widowControl/>
              <w:spacing w:line="240" w:lineRule="auto"/>
              <w:ind w:firstLine="480" w:firstLineChars="200"/>
              <w:jc w:val="left"/>
              <w:textAlignment w:val="center"/>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投标人</w:t>
            </w:r>
            <w:r>
              <w:rPr>
                <w:rFonts w:hint="eastAsia" w:ascii="宋体" w:hAnsi="宋体" w:eastAsia="宋体" w:cs="Times New Roman"/>
                <w:color w:val="auto"/>
                <w:sz w:val="24"/>
                <w:szCs w:val="24"/>
                <w:highlight w:val="none"/>
                <w:lang w:val="zh-CN" w:eastAsia="zh-CN"/>
              </w:rPr>
              <w:t>结合</w:t>
            </w:r>
            <w:r>
              <w:rPr>
                <w:rFonts w:hint="eastAsia" w:ascii="宋体" w:hAnsi="宋体" w:eastAsia="宋体" w:cs="Times New Roman"/>
                <w:color w:val="auto"/>
                <w:sz w:val="24"/>
                <w:szCs w:val="24"/>
                <w:highlight w:val="none"/>
                <w:lang w:val="en-US" w:eastAsia="zh-CN"/>
              </w:rPr>
              <w:t>项目</w:t>
            </w:r>
            <w:r>
              <w:rPr>
                <w:rFonts w:hint="eastAsia" w:ascii="宋体" w:hAnsi="宋体" w:eastAsia="宋体" w:cs="Times New Roman"/>
                <w:color w:val="auto"/>
                <w:sz w:val="24"/>
                <w:szCs w:val="24"/>
                <w:highlight w:val="none"/>
                <w:lang w:val="zh-CN" w:eastAsia="zh-CN"/>
              </w:rPr>
              <w:t>现状情况，提出</w:t>
            </w:r>
            <w:r>
              <w:rPr>
                <w:rFonts w:hint="eastAsia" w:ascii="宋体" w:hAnsi="宋体" w:eastAsia="宋体" w:cs="Times New Roman"/>
                <w:color w:val="auto"/>
                <w:sz w:val="24"/>
                <w:szCs w:val="24"/>
                <w:highlight w:val="none"/>
                <w:lang w:val="en-US" w:eastAsia="zh-CN"/>
              </w:rPr>
              <w:t>环评验收、监测</w:t>
            </w:r>
            <w:r>
              <w:rPr>
                <w:rFonts w:hint="eastAsia" w:ascii="宋体" w:hAnsi="宋体" w:eastAsia="宋体" w:cs="Times New Roman"/>
                <w:color w:val="auto"/>
                <w:sz w:val="24"/>
                <w:szCs w:val="24"/>
                <w:highlight w:val="none"/>
                <w:lang w:val="zh-CN" w:eastAsia="zh-CN"/>
              </w:rPr>
              <w:t>过程中可能存在的难点及相应的解决措施</w:t>
            </w:r>
            <w:r>
              <w:rPr>
                <w:rFonts w:hint="eastAsia" w:ascii="宋体" w:hAnsi="宋体" w:eastAsia="宋体" w:cs="Times New Roman"/>
                <w:color w:val="auto"/>
                <w:sz w:val="24"/>
                <w:szCs w:val="24"/>
                <w:highlight w:val="none"/>
                <w:lang w:val="en-US" w:eastAsia="zh-CN"/>
              </w:rPr>
              <w:t>等情况进行综合打分。</w:t>
            </w:r>
          </w:p>
          <w:p>
            <w:pPr>
              <w:widowControl/>
              <w:spacing w:line="240" w:lineRule="auto"/>
              <w:ind w:firstLine="480" w:firstLineChars="200"/>
              <w:jc w:val="left"/>
              <w:textAlignment w:val="center"/>
              <w:rPr>
                <w:rFonts w:hint="eastAsia" w:ascii="宋体" w:hAnsi="宋体" w:eastAsia="宋体" w:cs="Times New Roman"/>
                <w:color w:val="auto"/>
                <w:sz w:val="24"/>
                <w:szCs w:val="24"/>
                <w:highlight w:val="none"/>
                <w:lang w:val="zh-CN" w:eastAsia="zh-CN"/>
              </w:rPr>
            </w:pPr>
            <w:r>
              <w:rPr>
                <w:rFonts w:hint="eastAsia" w:ascii="宋体" w:hAnsi="宋体" w:eastAsia="宋体" w:cs="Times New Roman"/>
                <w:color w:val="auto"/>
                <w:sz w:val="24"/>
                <w:szCs w:val="24"/>
                <w:highlight w:val="none"/>
                <w:lang w:val="zh-CN" w:eastAsia="zh-CN"/>
              </w:rPr>
              <w:t>提出</w:t>
            </w:r>
            <w:r>
              <w:rPr>
                <w:rFonts w:hint="eastAsia" w:ascii="宋体" w:hAnsi="宋体" w:eastAsia="宋体" w:cs="Times New Roman"/>
                <w:color w:val="auto"/>
                <w:sz w:val="24"/>
                <w:szCs w:val="24"/>
                <w:highlight w:val="none"/>
                <w:lang w:val="en-US" w:eastAsia="zh-CN"/>
              </w:rPr>
              <w:t>环评验收、监测</w:t>
            </w:r>
            <w:r>
              <w:rPr>
                <w:rFonts w:hint="eastAsia" w:ascii="宋体" w:hAnsi="宋体" w:eastAsia="宋体" w:cs="Times New Roman"/>
                <w:color w:val="auto"/>
                <w:sz w:val="24"/>
                <w:szCs w:val="24"/>
                <w:highlight w:val="none"/>
                <w:lang w:val="zh-CN" w:eastAsia="zh-CN"/>
              </w:rPr>
              <w:t>过程中可能存在的难点（</w:t>
            </w:r>
            <w:r>
              <w:rPr>
                <w:rFonts w:hint="eastAsia" w:ascii="宋体" w:hAnsi="宋体" w:eastAsia="宋体" w:cs="Times New Roman"/>
                <w:color w:val="auto"/>
                <w:sz w:val="24"/>
                <w:szCs w:val="24"/>
                <w:highlight w:val="none"/>
                <w:lang w:val="en-US" w:eastAsia="zh-CN"/>
              </w:rPr>
              <w:t>0-3分</w:t>
            </w:r>
            <w:r>
              <w:rPr>
                <w:rFonts w:hint="eastAsia" w:ascii="宋体" w:hAnsi="宋体" w:eastAsia="宋体" w:cs="Times New Roman"/>
                <w:color w:val="auto"/>
                <w:sz w:val="24"/>
                <w:szCs w:val="24"/>
                <w:highlight w:val="none"/>
                <w:lang w:val="zh-CN" w:eastAsia="zh-CN"/>
              </w:rPr>
              <w:t>）</w:t>
            </w:r>
          </w:p>
          <w:p>
            <w:pPr>
              <w:widowControl/>
              <w:spacing w:line="240" w:lineRule="auto"/>
              <w:ind w:firstLine="480" w:firstLineChars="200"/>
              <w:jc w:val="left"/>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Times New Roman"/>
                <w:color w:val="auto"/>
                <w:sz w:val="24"/>
                <w:szCs w:val="24"/>
                <w:highlight w:val="none"/>
                <w:lang w:val="zh-CN" w:eastAsia="zh-CN"/>
              </w:rPr>
              <w:t>相应的解决措施（</w:t>
            </w:r>
            <w:r>
              <w:rPr>
                <w:rFonts w:hint="eastAsia" w:ascii="宋体" w:hAnsi="宋体" w:eastAsia="宋体" w:cs="Times New Roman"/>
                <w:color w:val="auto"/>
                <w:sz w:val="24"/>
                <w:szCs w:val="24"/>
                <w:highlight w:val="none"/>
                <w:lang w:val="en-US" w:eastAsia="zh-CN"/>
              </w:rPr>
              <w:t>0-3分</w:t>
            </w:r>
            <w:r>
              <w:rPr>
                <w:rFonts w:hint="eastAsia" w:ascii="宋体" w:hAnsi="宋体" w:eastAsia="宋体" w:cs="Times New Roman"/>
                <w:color w:val="auto"/>
                <w:sz w:val="24"/>
                <w:szCs w:val="24"/>
                <w:highlight w:val="none"/>
                <w:lang w:val="zh-CN" w:eastAsia="zh-CN"/>
              </w:rPr>
              <w:t>）</w:t>
            </w:r>
          </w:p>
        </w:tc>
        <w:tc>
          <w:tcPr>
            <w:tcW w:w="95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default"/>
                <w:color w:val="auto"/>
                <w:sz w:val="24"/>
                <w:szCs w:val="24"/>
                <w:highlight w:val="none"/>
                <w:lang w:val="en-US" w:eastAsia="zh-CN"/>
              </w:rPr>
            </w:pPr>
            <w:r>
              <w:rPr>
                <w:rFonts w:hint="eastAsia"/>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eastAsia"/>
                <w:color w:val="auto"/>
                <w:sz w:val="24"/>
                <w:szCs w:val="24"/>
                <w:highlight w:val="none"/>
                <w:lang w:val="en-US" w:eastAsia="zh-CN"/>
              </w:rPr>
            </w:pPr>
            <w:r>
              <w:rPr>
                <w:rFonts w:hint="eastAsia"/>
                <w:color w:val="auto"/>
                <w:sz w:val="24"/>
                <w:szCs w:val="24"/>
                <w:highlight w:val="none"/>
                <w:lang w:val="en-US" w:eastAsia="zh-CN"/>
              </w:rPr>
              <w:t>6</w:t>
            </w:r>
          </w:p>
        </w:tc>
        <w:tc>
          <w:tcPr>
            <w:tcW w:w="1022" w:type="dxa"/>
            <w:tcBorders>
              <w:left w:val="single" w:color="auto" w:sz="4" w:space="0"/>
            </w:tcBorders>
            <w:noWrap w:val="0"/>
            <w:vAlign w:val="center"/>
          </w:tcPr>
          <w:p>
            <w:pPr>
              <w:spacing w:line="240" w:lineRule="auto"/>
              <w:jc w:val="center"/>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服务</w:t>
            </w:r>
          </w:p>
          <w:p>
            <w:pPr>
              <w:spacing w:line="240" w:lineRule="auto"/>
              <w:jc w:val="center"/>
              <w:rPr>
                <w:rFonts w:hint="eastAsia" w:ascii="宋体" w:hAnsi="宋体" w:cs="宋体"/>
                <w:color w:val="auto"/>
                <w:sz w:val="24"/>
                <w:szCs w:val="24"/>
                <w:highlight w:val="none"/>
                <w:lang w:val="en-US" w:eastAsia="zh-CN"/>
              </w:rPr>
            </w:pPr>
            <w:r>
              <w:rPr>
                <w:rFonts w:hint="default" w:ascii="Times New Roman" w:hAnsi="Times New Roman" w:cs="Times New Roman"/>
                <w:color w:val="auto"/>
                <w:sz w:val="24"/>
                <w:szCs w:val="24"/>
                <w:highlight w:val="none"/>
              </w:rPr>
              <w:t>方案</w:t>
            </w:r>
          </w:p>
        </w:tc>
        <w:tc>
          <w:tcPr>
            <w:tcW w:w="6691" w:type="dxa"/>
            <w:tcBorders>
              <w:top w:val="single" w:color="auto" w:sz="4" w:space="0"/>
              <w:left w:val="single" w:color="auto" w:sz="4" w:space="0"/>
              <w:bottom w:val="single" w:color="auto" w:sz="4" w:space="0"/>
              <w:right w:val="single" w:color="auto" w:sz="4" w:space="0"/>
            </w:tcBorders>
            <w:noWrap w:val="0"/>
            <w:tcMar>
              <w:top w:w="15" w:type="dxa"/>
              <w:left w:w="15" w:type="dxa"/>
              <w:bottom w:w="15" w:type="dxa"/>
              <w:right w:w="15" w:type="dxa"/>
            </w:tcMar>
            <w:vAlign w:val="center"/>
          </w:tcPr>
          <w:p>
            <w:pPr>
              <w:widowControl/>
              <w:spacing w:line="240" w:lineRule="auto"/>
              <w:ind w:firstLine="480" w:firstLineChars="200"/>
              <w:jc w:val="left"/>
              <w:textAlignment w:val="center"/>
              <w:rPr>
                <w:rFonts w:hint="eastAsia" w:ascii="宋体" w:hAnsi="宋体" w:eastAsia="宋体" w:cs="Times New Roman"/>
                <w:color w:val="auto"/>
                <w:sz w:val="24"/>
                <w:szCs w:val="24"/>
                <w:highlight w:val="none"/>
                <w:lang w:val="en-US" w:eastAsia="zh-CN"/>
              </w:rPr>
            </w:pPr>
            <w:r>
              <w:rPr>
                <w:rFonts w:hint="default" w:ascii="宋体" w:hAnsi="宋体" w:eastAsia="宋体" w:cs="Times New Roman"/>
                <w:color w:val="auto"/>
                <w:sz w:val="24"/>
                <w:szCs w:val="24"/>
                <w:highlight w:val="none"/>
                <w:lang w:val="zh-CN" w:eastAsia="zh-CN"/>
              </w:rPr>
              <w:t>根据</w:t>
            </w:r>
            <w:r>
              <w:rPr>
                <w:rFonts w:hint="eastAsia" w:ascii="宋体" w:hAnsi="宋体" w:eastAsia="宋体" w:cs="Times New Roman"/>
                <w:color w:val="auto"/>
                <w:sz w:val="24"/>
                <w:szCs w:val="24"/>
                <w:highlight w:val="none"/>
                <w:lang w:val="en-US" w:eastAsia="zh-CN"/>
              </w:rPr>
              <w:t>投标人提供的</w:t>
            </w:r>
            <w:r>
              <w:rPr>
                <w:rFonts w:hint="default" w:ascii="宋体" w:hAnsi="宋体" w:eastAsia="宋体" w:cs="Times New Roman"/>
                <w:color w:val="auto"/>
                <w:sz w:val="24"/>
                <w:szCs w:val="24"/>
                <w:highlight w:val="none"/>
                <w:lang w:val="zh-CN" w:eastAsia="zh-CN"/>
              </w:rPr>
              <w:t>项目</w:t>
            </w:r>
            <w:r>
              <w:rPr>
                <w:rFonts w:hint="default" w:ascii="宋体" w:hAnsi="宋体" w:eastAsia="宋体" w:cs="Times New Roman"/>
                <w:color w:val="auto"/>
                <w:sz w:val="24"/>
                <w:szCs w:val="24"/>
                <w:highlight w:val="none"/>
                <w:lang w:val="en-US" w:eastAsia="zh-CN"/>
              </w:rPr>
              <w:t>验收</w:t>
            </w:r>
            <w:r>
              <w:rPr>
                <w:rFonts w:hint="default" w:ascii="宋体" w:hAnsi="宋体" w:eastAsia="宋体" w:cs="Times New Roman"/>
                <w:color w:val="auto"/>
                <w:sz w:val="24"/>
                <w:szCs w:val="24"/>
                <w:highlight w:val="none"/>
                <w:lang w:val="zh-CN" w:eastAsia="zh-CN"/>
              </w:rPr>
              <w:t>服务流程、</w:t>
            </w:r>
            <w:r>
              <w:rPr>
                <w:rFonts w:hint="eastAsia" w:ascii="宋体" w:hAnsi="宋体" w:eastAsia="宋体" w:cs="Times New Roman"/>
                <w:color w:val="auto"/>
                <w:sz w:val="24"/>
                <w:szCs w:val="24"/>
                <w:highlight w:val="none"/>
                <w:lang w:val="en-US" w:eastAsia="zh-CN"/>
              </w:rPr>
              <w:t>验收</w:t>
            </w:r>
            <w:r>
              <w:rPr>
                <w:rFonts w:hint="default" w:ascii="宋体" w:hAnsi="宋体" w:eastAsia="宋体" w:cs="Times New Roman"/>
                <w:color w:val="auto"/>
                <w:sz w:val="24"/>
                <w:szCs w:val="24"/>
                <w:highlight w:val="none"/>
                <w:lang w:val="zh-CN" w:eastAsia="zh-CN"/>
              </w:rPr>
              <w:t>方案</w:t>
            </w:r>
            <w:r>
              <w:rPr>
                <w:rFonts w:hint="eastAsia" w:ascii="宋体" w:hAnsi="宋体" w:eastAsia="宋体" w:cs="Times New Roman"/>
                <w:color w:val="auto"/>
                <w:sz w:val="24"/>
                <w:szCs w:val="24"/>
                <w:highlight w:val="none"/>
                <w:lang w:val="zh-CN" w:eastAsia="zh-CN"/>
              </w:rPr>
              <w:t>的</w:t>
            </w:r>
            <w:r>
              <w:rPr>
                <w:rFonts w:hint="default" w:ascii="宋体" w:hAnsi="宋体" w:eastAsia="宋体" w:cs="Times New Roman"/>
                <w:color w:val="auto"/>
                <w:sz w:val="24"/>
                <w:szCs w:val="24"/>
                <w:highlight w:val="none"/>
                <w:lang w:val="zh-CN" w:eastAsia="zh-CN"/>
              </w:rPr>
              <w:t>详实完备、合理性</w:t>
            </w:r>
            <w:r>
              <w:rPr>
                <w:rFonts w:hint="eastAsia" w:ascii="宋体" w:hAnsi="宋体" w:eastAsia="宋体" w:cs="Times New Roman"/>
                <w:color w:val="auto"/>
                <w:sz w:val="24"/>
                <w:szCs w:val="24"/>
                <w:highlight w:val="none"/>
                <w:lang w:val="zh-CN" w:eastAsia="zh-CN"/>
              </w:rPr>
              <w:t>、</w:t>
            </w:r>
            <w:r>
              <w:rPr>
                <w:rFonts w:hint="default" w:ascii="宋体" w:hAnsi="宋体" w:eastAsia="宋体" w:cs="Times New Roman"/>
                <w:color w:val="auto"/>
                <w:sz w:val="24"/>
                <w:szCs w:val="24"/>
                <w:highlight w:val="none"/>
                <w:lang w:val="zh-CN" w:eastAsia="zh-CN"/>
              </w:rPr>
              <w:t>可操作性</w:t>
            </w:r>
            <w:r>
              <w:rPr>
                <w:rFonts w:hint="eastAsia" w:ascii="宋体" w:hAnsi="宋体" w:eastAsia="宋体" w:cs="Times New Roman"/>
                <w:color w:val="auto"/>
                <w:sz w:val="24"/>
                <w:szCs w:val="24"/>
                <w:highlight w:val="none"/>
                <w:lang w:val="en-US" w:eastAsia="zh-CN"/>
              </w:rPr>
              <w:t>等情况进行综合打分。</w:t>
            </w:r>
          </w:p>
          <w:p>
            <w:pPr>
              <w:widowControl/>
              <w:spacing w:line="240" w:lineRule="auto"/>
              <w:ind w:firstLine="480" w:firstLineChars="200"/>
              <w:jc w:val="left"/>
              <w:textAlignment w:val="center"/>
              <w:rPr>
                <w:rFonts w:hint="eastAsia" w:ascii="宋体" w:hAnsi="宋体" w:eastAsia="宋体" w:cs="Times New Roman"/>
                <w:color w:val="auto"/>
                <w:sz w:val="24"/>
                <w:szCs w:val="24"/>
                <w:highlight w:val="none"/>
                <w:lang w:val="zh-CN" w:eastAsia="zh-CN"/>
              </w:rPr>
            </w:pPr>
            <w:r>
              <w:rPr>
                <w:rFonts w:hint="default" w:ascii="宋体" w:hAnsi="宋体" w:eastAsia="宋体" w:cs="Times New Roman"/>
                <w:color w:val="auto"/>
                <w:sz w:val="24"/>
                <w:szCs w:val="24"/>
                <w:highlight w:val="none"/>
                <w:lang w:val="en-US" w:eastAsia="zh-CN"/>
              </w:rPr>
              <w:t>验收</w:t>
            </w:r>
            <w:r>
              <w:rPr>
                <w:rFonts w:hint="default" w:ascii="宋体" w:hAnsi="宋体" w:eastAsia="宋体" w:cs="Times New Roman"/>
                <w:color w:val="auto"/>
                <w:sz w:val="24"/>
                <w:szCs w:val="24"/>
                <w:highlight w:val="none"/>
                <w:lang w:val="zh-CN" w:eastAsia="zh-CN"/>
              </w:rPr>
              <w:t>服务流程</w:t>
            </w:r>
            <w:r>
              <w:rPr>
                <w:rFonts w:hint="eastAsia" w:ascii="宋体" w:hAnsi="宋体" w:eastAsia="宋体" w:cs="Times New Roman"/>
                <w:color w:val="auto"/>
                <w:sz w:val="24"/>
                <w:szCs w:val="24"/>
                <w:highlight w:val="none"/>
                <w:lang w:val="zh-CN" w:eastAsia="zh-CN"/>
              </w:rPr>
              <w:t>（</w:t>
            </w:r>
            <w:r>
              <w:rPr>
                <w:rFonts w:hint="eastAsia" w:ascii="宋体" w:hAnsi="宋体" w:eastAsia="宋体" w:cs="Times New Roman"/>
                <w:color w:val="auto"/>
                <w:sz w:val="24"/>
                <w:szCs w:val="24"/>
                <w:highlight w:val="none"/>
                <w:lang w:val="en-US" w:eastAsia="zh-CN"/>
              </w:rPr>
              <w:t>0-3分</w:t>
            </w:r>
            <w:r>
              <w:rPr>
                <w:rFonts w:hint="eastAsia" w:ascii="宋体" w:hAnsi="宋体" w:eastAsia="宋体" w:cs="Times New Roman"/>
                <w:color w:val="auto"/>
                <w:sz w:val="24"/>
                <w:szCs w:val="24"/>
                <w:highlight w:val="none"/>
                <w:lang w:val="zh-CN" w:eastAsia="zh-CN"/>
              </w:rPr>
              <w:t>）</w:t>
            </w:r>
          </w:p>
          <w:p>
            <w:pPr>
              <w:widowControl/>
              <w:spacing w:line="240" w:lineRule="auto"/>
              <w:ind w:firstLine="480" w:firstLineChars="200"/>
              <w:jc w:val="left"/>
              <w:textAlignment w:val="center"/>
              <w:rPr>
                <w:rFonts w:hint="eastAsia" w:ascii="宋体" w:hAnsi="宋体" w:eastAsia="宋体" w:cs="Times New Roman"/>
                <w:color w:val="auto"/>
                <w:sz w:val="24"/>
                <w:szCs w:val="24"/>
                <w:highlight w:val="none"/>
                <w:lang w:val="zh-CN" w:eastAsia="zh-CN"/>
              </w:rPr>
            </w:pPr>
            <w:r>
              <w:rPr>
                <w:rFonts w:hint="eastAsia" w:ascii="宋体" w:hAnsi="宋体" w:eastAsia="宋体" w:cs="Times New Roman"/>
                <w:color w:val="auto"/>
                <w:sz w:val="24"/>
                <w:szCs w:val="24"/>
                <w:highlight w:val="none"/>
                <w:lang w:val="en-US" w:eastAsia="zh-CN"/>
              </w:rPr>
              <w:t>验收</w:t>
            </w:r>
            <w:r>
              <w:rPr>
                <w:rFonts w:hint="default" w:ascii="宋体" w:hAnsi="宋体" w:eastAsia="宋体" w:cs="Times New Roman"/>
                <w:color w:val="auto"/>
                <w:sz w:val="24"/>
                <w:szCs w:val="24"/>
                <w:highlight w:val="none"/>
                <w:lang w:val="zh-CN" w:eastAsia="zh-CN"/>
              </w:rPr>
              <w:t>方案</w:t>
            </w:r>
            <w:r>
              <w:rPr>
                <w:rFonts w:hint="eastAsia" w:ascii="宋体" w:hAnsi="宋体" w:eastAsia="宋体" w:cs="Times New Roman"/>
                <w:color w:val="auto"/>
                <w:sz w:val="24"/>
                <w:szCs w:val="24"/>
                <w:highlight w:val="none"/>
                <w:lang w:val="zh-CN" w:eastAsia="zh-CN"/>
              </w:rPr>
              <w:t>（</w:t>
            </w:r>
            <w:r>
              <w:rPr>
                <w:rFonts w:hint="eastAsia" w:ascii="宋体" w:hAnsi="宋体" w:eastAsia="宋体" w:cs="Times New Roman"/>
                <w:color w:val="auto"/>
                <w:sz w:val="24"/>
                <w:szCs w:val="24"/>
                <w:highlight w:val="none"/>
                <w:lang w:val="en-US" w:eastAsia="zh-CN"/>
              </w:rPr>
              <w:t>0-3分</w:t>
            </w:r>
            <w:r>
              <w:rPr>
                <w:rFonts w:hint="eastAsia" w:ascii="宋体" w:hAnsi="宋体" w:eastAsia="宋体" w:cs="Times New Roman"/>
                <w:color w:val="auto"/>
                <w:sz w:val="24"/>
                <w:szCs w:val="24"/>
                <w:highlight w:val="none"/>
                <w:lang w:val="zh-CN" w:eastAsia="zh-CN"/>
              </w:rPr>
              <w:t>）</w:t>
            </w:r>
          </w:p>
        </w:tc>
        <w:tc>
          <w:tcPr>
            <w:tcW w:w="95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eastAsia"/>
                <w:color w:val="auto"/>
                <w:sz w:val="24"/>
                <w:szCs w:val="24"/>
                <w:highlight w:val="none"/>
                <w:lang w:val="en-US" w:eastAsia="zh-CN"/>
              </w:rPr>
            </w:pPr>
          </w:p>
          <w:p>
            <w:pPr>
              <w:widowControl/>
              <w:spacing w:line="240" w:lineRule="auto"/>
              <w:jc w:val="center"/>
              <w:textAlignment w:val="center"/>
              <w:rPr>
                <w:rFonts w:hint="eastAsia"/>
                <w:color w:val="auto"/>
                <w:sz w:val="24"/>
                <w:szCs w:val="24"/>
                <w:highlight w:val="none"/>
                <w:lang w:val="en-US" w:eastAsia="zh-CN"/>
              </w:rPr>
            </w:pPr>
            <w:r>
              <w:rPr>
                <w:rFonts w:hint="eastAsia"/>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default" w:eastAsia="宋体"/>
                <w:color w:val="auto"/>
                <w:sz w:val="24"/>
                <w:szCs w:val="24"/>
                <w:highlight w:val="none"/>
                <w:lang w:val="en-US" w:eastAsia="zh-CN"/>
              </w:rPr>
            </w:pPr>
            <w:r>
              <w:rPr>
                <w:rFonts w:hint="eastAsia"/>
                <w:color w:val="auto"/>
                <w:sz w:val="24"/>
                <w:szCs w:val="24"/>
                <w:highlight w:val="none"/>
                <w:lang w:val="en-US" w:eastAsia="zh-CN"/>
              </w:rPr>
              <w:t>7</w:t>
            </w:r>
          </w:p>
        </w:tc>
        <w:tc>
          <w:tcPr>
            <w:tcW w:w="1022" w:type="dxa"/>
            <w:tcBorders>
              <w:left w:val="single" w:color="auto" w:sz="4" w:space="0"/>
            </w:tcBorders>
            <w:noWrap w:val="0"/>
            <w:vAlign w:val="center"/>
          </w:tcPr>
          <w:p>
            <w:pPr>
              <w:adjustRightInd w:val="0"/>
              <w:snapToGrid w:val="0"/>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质量保证措施</w:t>
            </w:r>
          </w:p>
        </w:tc>
        <w:tc>
          <w:tcPr>
            <w:tcW w:w="6691" w:type="dxa"/>
            <w:tcBorders>
              <w:top w:val="single" w:color="auto" w:sz="4" w:space="0"/>
              <w:left w:val="single" w:color="auto" w:sz="4" w:space="0"/>
              <w:bottom w:val="single" w:color="auto" w:sz="4" w:space="0"/>
              <w:right w:val="single" w:color="auto" w:sz="4" w:space="0"/>
            </w:tcBorders>
            <w:noWrap w:val="0"/>
            <w:tcMar>
              <w:top w:w="15" w:type="dxa"/>
              <w:left w:w="15" w:type="dxa"/>
              <w:bottom w:w="15" w:type="dxa"/>
              <w:right w:w="15" w:type="dxa"/>
            </w:tcMar>
            <w:vAlign w:val="center"/>
          </w:tcPr>
          <w:p>
            <w:pPr>
              <w:adjustRightInd w:val="0"/>
              <w:snapToGrid w:val="0"/>
              <w:spacing w:line="240" w:lineRule="auto"/>
              <w:ind w:firstLine="480" w:firstLineChars="200"/>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lang w:val="en-US" w:eastAsia="zh-CN"/>
              </w:rPr>
              <w:t>投标人提供的</w:t>
            </w:r>
            <w:r>
              <w:rPr>
                <w:rFonts w:hint="default"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en-US" w:eastAsia="zh-CN"/>
              </w:rPr>
              <w:t>质量保证措施的合理性、完善性进行综合打分（0-4分）</w:t>
            </w:r>
          </w:p>
        </w:tc>
        <w:tc>
          <w:tcPr>
            <w:tcW w:w="95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textAlignment w:val="center"/>
              <w:rPr>
                <w:rFonts w:hint="default" w:eastAsia="宋体"/>
                <w:color w:val="auto"/>
                <w:sz w:val="24"/>
                <w:szCs w:val="24"/>
                <w:highlight w:val="none"/>
                <w:lang w:val="en-US" w:eastAsia="zh-CN"/>
              </w:rPr>
            </w:pPr>
            <w:r>
              <w:rPr>
                <w:rFonts w:hint="eastAsia"/>
                <w:color w:val="auto"/>
                <w:sz w:val="24"/>
                <w:szCs w:val="24"/>
                <w:highlight w:val="none"/>
                <w:lang w:val="en-US" w:eastAsia="zh-CN"/>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614" w:type="dxa"/>
            <w:tcBorders>
              <w:left w:val="single" w:color="auto" w:sz="4" w:space="0"/>
              <w:right w:val="single" w:color="auto" w:sz="4" w:space="0"/>
            </w:tcBorders>
            <w:noWrap w:val="0"/>
            <w:vAlign w:val="center"/>
          </w:tcPr>
          <w:p>
            <w:pPr>
              <w:widowControl/>
              <w:spacing w:line="240" w:lineRule="auto"/>
              <w:jc w:val="center"/>
              <w:textAlignment w:val="center"/>
              <w:rPr>
                <w:rFonts w:hint="default"/>
                <w:color w:val="auto"/>
                <w:sz w:val="24"/>
                <w:szCs w:val="24"/>
                <w:highlight w:val="none"/>
                <w:lang w:val="en-US" w:eastAsia="zh-CN"/>
              </w:rPr>
            </w:pPr>
            <w:r>
              <w:rPr>
                <w:rFonts w:hint="eastAsia"/>
                <w:color w:val="auto"/>
                <w:sz w:val="24"/>
                <w:szCs w:val="24"/>
                <w:highlight w:val="none"/>
                <w:lang w:val="en-US" w:eastAsia="zh-CN"/>
              </w:rPr>
              <w:t>8</w:t>
            </w:r>
          </w:p>
        </w:tc>
        <w:tc>
          <w:tcPr>
            <w:tcW w:w="1022" w:type="dxa"/>
            <w:tcBorders>
              <w:left w:val="single" w:color="auto" w:sz="4" w:space="0"/>
            </w:tcBorders>
            <w:noWrap w:val="0"/>
            <w:vAlign w:val="center"/>
          </w:tcPr>
          <w:p>
            <w:pPr>
              <w:adjustRightInd w:val="0"/>
              <w:snapToGrid w:val="0"/>
              <w:spacing w:line="240" w:lineRule="auto"/>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合理化建议</w:t>
            </w:r>
          </w:p>
        </w:tc>
        <w:tc>
          <w:tcPr>
            <w:tcW w:w="6691" w:type="dxa"/>
            <w:tcBorders>
              <w:top w:val="single" w:color="auto" w:sz="4" w:space="0"/>
              <w:left w:val="single" w:color="auto" w:sz="4" w:space="0"/>
              <w:bottom w:val="single" w:color="auto" w:sz="4" w:space="0"/>
              <w:right w:val="single" w:color="auto" w:sz="4" w:space="0"/>
            </w:tcBorders>
            <w:noWrap w:val="0"/>
            <w:tcMar>
              <w:top w:w="15" w:type="dxa"/>
              <w:left w:w="15" w:type="dxa"/>
              <w:bottom w:w="15" w:type="dxa"/>
              <w:right w:w="15" w:type="dxa"/>
            </w:tcMar>
            <w:vAlign w:val="center"/>
          </w:tcPr>
          <w:p>
            <w:pPr>
              <w:adjustRightInd w:val="0"/>
              <w:snapToGrid w:val="0"/>
              <w:spacing w:line="240" w:lineRule="auto"/>
              <w:ind w:firstLine="480" w:firstLineChars="200"/>
              <w:rPr>
                <w:rFonts w:hint="default"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highlight w:val="none"/>
              </w:rPr>
              <w:t>针对本项目</w:t>
            </w:r>
            <w:r>
              <w:rPr>
                <w:rFonts w:hint="eastAsia" w:ascii="宋体" w:hAnsi="宋体" w:cs="宋体"/>
                <w:color w:val="auto"/>
                <w:sz w:val="24"/>
                <w:szCs w:val="24"/>
                <w:highlight w:val="none"/>
                <w:lang w:val="en-US" w:eastAsia="zh-CN"/>
              </w:rPr>
              <w:t>提出</w:t>
            </w:r>
            <w:r>
              <w:rPr>
                <w:rFonts w:hint="eastAsia" w:ascii="宋体" w:hAnsi="宋体" w:cs="宋体"/>
                <w:color w:val="auto"/>
                <w:sz w:val="24"/>
                <w:szCs w:val="24"/>
                <w:highlight w:val="none"/>
              </w:rPr>
              <w:t>合理化建议，有利于工作开展和完善情况</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0-2分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w:t>
            </w:r>
          </w:p>
        </w:tc>
        <w:tc>
          <w:tcPr>
            <w:tcW w:w="951" w:type="dxa"/>
            <w:tcBorders>
              <w:top w:val="single" w:color="auto" w:sz="4" w:space="0"/>
              <w:left w:val="single" w:color="auto" w:sz="4" w:space="0"/>
              <w:bottom w:val="single" w:color="auto" w:sz="4" w:space="0"/>
              <w:right w:val="single" w:color="auto" w:sz="4" w:space="0"/>
            </w:tcBorders>
            <w:noWrap w:val="0"/>
            <w:vAlign w:val="center"/>
          </w:tcPr>
          <w:p>
            <w:pPr>
              <w:adjustRightInd w:val="0"/>
              <w:snapToGrid w:val="0"/>
              <w:spacing w:line="240" w:lineRule="auto"/>
              <w:jc w:val="center"/>
              <w:rPr>
                <w:rFonts w:hint="default" w:ascii="宋体" w:hAnsi="宋体" w:eastAsia="宋体" w:cs="宋体"/>
                <w:color w:val="auto"/>
                <w:kern w:val="2"/>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rPr>
              <w:t>0-</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分</w:t>
            </w:r>
          </w:p>
        </w:tc>
      </w:tr>
    </w:tbl>
    <w:p>
      <w:pPr>
        <w:pStyle w:val="546"/>
        <w:keepNext w:val="0"/>
        <w:keepLines w:val="0"/>
        <w:pageBreakBefore w:val="0"/>
        <w:tabs>
          <w:tab w:val="left" w:pos="900"/>
        </w:tabs>
        <w:kinsoku/>
        <w:wordWrap/>
        <w:overflowPunct/>
        <w:topLinePunct w:val="0"/>
        <w:autoSpaceDE/>
        <w:autoSpaceDN/>
        <w:bidi w:val="0"/>
        <w:adjustRightInd/>
        <w:spacing w:after="0" w:afterLines="0" w:line="360" w:lineRule="auto"/>
        <w:ind w:left="0" w:leftChars="0" w:firstLine="482" w:firstLineChars="200"/>
        <w:textAlignment w:val="auto"/>
        <w:rPr>
          <w:rFonts w:hint="eastAsia" w:asciiTheme="minorEastAsia" w:hAnsiTheme="minorEastAsia" w:eastAsiaTheme="minorEastAsia" w:cstheme="minorEastAsia"/>
          <w:color w:val="auto"/>
          <w:kern w:val="2"/>
          <w:szCs w:val="24"/>
        </w:rPr>
      </w:pPr>
      <w:r>
        <w:rPr>
          <w:rFonts w:hint="eastAsia" w:asciiTheme="minorEastAsia" w:hAnsiTheme="minorEastAsia" w:eastAsiaTheme="minorEastAsia" w:cstheme="minorEastAsia"/>
          <w:b/>
          <w:bCs/>
          <w:color w:val="auto"/>
          <w:szCs w:val="24"/>
        </w:rPr>
        <w:t>2.价格分</w:t>
      </w:r>
      <w:r>
        <w:rPr>
          <w:rFonts w:hint="eastAsia" w:asciiTheme="minorEastAsia" w:hAnsiTheme="minorEastAsia" w:eastAsiaTheme="minorEastAsia" w:cstheme="minorEastAsia"/>
          <w:b/>
          <w:bCs/>
          <w:color w:val="auto"/>
          <w:kern w:val="2"/>
          <w:szCs w:val="24"/>
        </w:rPr>
        <w:t>(</w:t>
      </w:r>
      <w:r>
        <w:rPr>
          <w:rFonts w:hint="eastAsia" w:asciiTheme="minorEastAsia" w:hAnsiTheme="minorEastAsia" w:eastAsiaTheme="minorEastAsia" w:cstheme="minorEastAsia"/>
          <w:b/>
          <w:bCs/>
          <w:color w:val="auto"/>
          <w:kern w:val="2"/>
          <w:szCs w:val="24"/>
          <w:lang w:val="en-US" w:eastAsia="zh-CN"/>
        </w:rPr>
        <w:t>50</w:t>
      </w:r>
      <w:r>
        <w:rPr>
          <w:rFonts w:hint="eastAsia" w:asciiTheme="minorEastAsia" w:hAnsiTheme="minorEastAsia" w:eastAsiaTheme="minorEastAsia" w:cstheme="minorEastAsia"/>
          <w:b/>
          <w:bCs/>
          <w:color w:val="auto"/>
          <w:kern w:val="2"/>
          <w:szCs w:val="24"/>
        </w:rPr>
        <w:t>分)</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价格分采用低价优先法计算，即满足磋商文件要求且投标价格最低的</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报价为</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基准价。其他磋商响应方的商务分统一按照下列公式计算：价格分=（</w:t>
      </w:r>
      <w:r>
        <w:rPr>
          <w:rFonts w:hint="eastAsia" w:asciiTheme="minorEastAsia" w:hAnsiTheme="minorEastAsia" w:eastAsiaTheme="minorEastAsia" w:cstheme="minorEastAsia"/>
          <w:color w:val="auto"/>
          <w:sz w:val="24"/>
          <w:szCs w:val="24"/>
          <w:lang w:val="en-US" w:eastAsia="zh-CN"/>
        </w:rPr>
        <w:t>磋商</w:t>
      </w:r>
      <w:r>
        <w:rPr>
          <w:rFonts w:hint="eastAsia" w:asciiTheme="minorEastAsia" w:hAnsiTheme="minorEastAsia" w:eastAsiaTheme="minorEastAsia" w:cstheme="minorEastAsia"/>
          <w:color w:val="auto"/>
          <w:sz w:val="24"/>
          <w:szCs w:val="24"/>
        </w:rPr>
        <w:t>基准价/磋商报价）×</w:t>
      </w:r>
      <w:r>
        <w:rPr>
          <w:rFonts w:hint="eastAsia" w:asciiTheme="minorEastAsia" w:hAnsiTheme="minorEastAsia" w:eastAsiaTheme="minorEastAsia" w:cstheme="minorEastAsia"/>
          <w:color w:val="auto"/>
          <w:sz w:val="24"/>
          <w:szCs w:val="24"/>
          <w:lang w:val="en-US" w:eastAsia="zh-CN"/>
        </w:rPr>
        <w:t>50%</w:t>
      </w:r>
      <w:r>
        <w:rPr>
          <w:rFonts w:hint="eastAsia" w:asciiTheme="minorEastAsia" w:hAnsiTheme="minorEastAsia" w:eastAsiaTheme="minorEastAsia" w:cstheme="minorEastAsia"/>
          <w:color w:val="auto"/>
          <w:sz w:val="24"/>
          <w:szCs w:val="24"/>
        </w:rPr>
        <w:t xml:space="preserve">×100（保留到小数点后两位，第三位四舍五入）。     </w:t>
      </w:r>
    </w:p>
    <w:p>
      <w:pPr>
        <w:snapToGrid w:val="0"/>
        <w:spacing w:line="360" w:lineRule="auto"/>
        <w:ind w:firstLine="468" w:firstLineChars="19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0"/>
          <w:highlight w:val="none"/>
          <w:lang w:val="en-US" w:eastAsia="zh-CN" w:bidi="ar-SA"/>
        </w:rPr>
        <w:t>本项目预算价为</w:t>
      </w:r>
      <w:r>
        <w:rPr>
          <w:rFonts w:hint="eastAsia" w:asciiTheme="minorEastAsia" w:hAnsiTheme="minorEastAsia" w:eastAsiaTheme="minorEastAsia" w:cstheme="minorEastAsia"/>
          <w:b w:val="0"/>
          <w:bCs/>
          <w:color w:val="auto"/>
          <w:sz w:val="24"/>
          <w:szCs w:val="24"/>
          <w:highlight w:val="none"/>
          <w:lang w:val="en-US" w:eastAsia="zh-CN"/>
        </w:rPr>
        <w:t>268171.00</w:t>
      </w:r>
      <w:r>
        <w:rPr>
          <w:rFonts w:hint="eastAsia" w:asciiTheme="minorEastAsia" w:hAnsiTheme="minorEastAsia" w:eastAsiaTheme="minorEastAsia" w:cstheme="minorEastAsia"/>
          <w:color w:val="auto"/>
          <w:kern w:val="0"/>
          <w:sz w:val="24"/>
          <w:szCs w:val="20"/>
          <w:highlight w:val="none"/>
          <w:lang w:val="en-US" w:eastAsia="zh-CN" w:bidi="ar-SA"/>
        </w:rPr>
        <w:t>元，风险控制价为214536.8元（预算价的80%）。若中标人低于该风险控制价中标的，中标人必须额外补交中标价净值与风险控制价之差额，中标人不提交的视为放弃中标，由第二中标候选人中标或重新组织招标。差额保证金待项目履行完成后30日内无息退还。（差额保证金应在中标通知书发出后7个工作日内交至采购单位，以</w:t>
      </w:r>
      <w:r>
        <w:rPr>
          <w:rFonts w:hint="eastAsia" w:asciiTheme="minorEastAsia" w:hAnsiTheme="minorEastAsia" w:eastAsiaTheme="minorEastAsia" w:cstheme="minorEastAsia"/>
          <w:color w:val="auto"/>
          <w:sz w:val="24"/>
          <w:szCs w:val="24"/>
          <w:highlight w:val="none"/>
        </w:rPr>
        <w:t>电汇、转账、网上银行</w:t>
      </w:r>
      <w:r>
        <w:rPr>
          <w:rFonts w:hint="eastAsia" w:asciiTheme="minorEastAsia" w:hAnsiTheme="minorEastAsia" w:eastAsiaTheme="minorEastAsia" w:cstheme="minorEastAsia"/>
          <w:color w:val="auto"/>
          <w:sz w:val="24"/>
          <w:szCs w:val="24"/>
          <w:highlight w:val="none"/>
          <w:lang w:val="en-US" w:eastAsia="zh-CN"/>
        </w:rPr>
        <w:t>形式</w:t>
      </w:r>
      <w:r>
        <w:rPr>
          <w:rFonts w:hint="eastAsia" w:asciiTheme="minorEastAsia" w:hAnsiTheme="minorEastAsia" w:eastAsiaTheme="minorEastAsia" w:cstheme="minorEastAsia"/>
          <w:color w:val="auto"/>
          <w:kern w:val="0"/>
          <w:sz w:val="24"/>
          <w:szCs w:val="20"/>
          <w:highlight w:val="none"/>
          <w:lang w:val="en-US" w:eastAsia="zh-CN" w:bidi="ar-SA"/>
        </w:rPr>
        <w:t>交纳）。</w:t>
      </w:r>
    </w:p>
    <w:p>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20" w:firstLineChars="200"/>
        <w:outlineLvl w:val="9"/>
        <w:rPr>
          <w:rFonts w:hint="eastAsia" w:asciiTheme="minorEastAsia" w:hAnsiTheme="minorEastAsia" w:eastAsiaTheme="minorEastAsia" w:cstheme="minorEastAsia"/>
          <w:color w:val="auto"/>
        </w:rPr>
      </w:pPr>
    </w:p>
    <w:p>
      <w:pPr>
        <w:rPr>
          <w:rFonts w:hint="eastAsia" w:asciiTheme="minorEastAsia" w:hAnsiTheme="minorEastAsia" w:eastAsiaTheme="minorEastAsia" w:cstheme="minorEastAsia"/>
          <w:color w:val="auto"/>
          <w:sz w:val="36"/>
          <w:szCs w:val="36"/>
        </w:rPr>
      </w:pPr>
      <w:bookmarkStart w:id="150" w:name="_Toc5643"/>
      <w:r>
        <w:rPr>
          <w:rFonts w:hint="eastAsia" w:asciiTheme="minorEastAsia" w:hAnsiTheme="minorEastAsia" w:eastAsiaTheme="minorEastAsia" w:cstheme="minorEastAsia"/>
          <w:color w:val="auto"/>
          <w:sz w:val="36"/>
          <w:szCs w:val="36"/>
        </w:rPr>
        <w:br w:type="page"/>
      </w:r>
    </w:p>
    <w:bookmarkEnd w:id="150"/>
    <w:p>
      <w:pPr>
        <w:spacing w:line="360" w:lineRule="auto"/>
        <w:ind w:firstLine="723" w:firstLineChars="200"/>
        <w:jc w:val="center"/>
        <w:outlineLvl w:val="0"/>
        <w:rPr>
          <w:rFonts w:hint="eastAsia" w:asciiTheme="minorEastAsia" w:hAnsiTheme="minorEastAsia" w:eastAsiaTheme="minorEastAsia" w:cstheme="minorEastAsia"/>
          <w:b/>
          <w:color w:val="auto"/>
          <w:sz w:val="36"/>
          <w:szCs w:val="36"/>
        </w:rPr>
      </w:pPr>
      <w:bookmarkStart w:id="151" w:name="_Toc4674"/>
      <w:r>
        <w:rPr>
          <w:rFonts w:hint="eastAsia" w:asciiTheme="minorEastAsia" w:hAnsiTheme="minorEastAsia" w:eastAsiaTheme="minorEastAsia" w:cstheme="minorEastAsia"/>
          <w:b/>
          <w:color w:val="auto"/>
          <w:sz w:val="36"/>
          <w:szCs w:val="36"/>
        </w:rPr>
        <w:t>第五部分 拟签订的合同文本</w:t>
      </w:r>
      <w:bookmarkEnd w:id="151"/>
    </w:p>
    <w:p>
      <w:pPr>
        <w:spacing w:line="480" w:lineRule="auto"/>
        <w:ind w:firstLine="562" w:firstLineChars="200"/>
        <w:jc w:val="center"/>
        <w:rPr>
          <w:rFonts w:hint="eastAsia" w:asciiTheme="minorEastAsia" w:hAnsiTheme="minorEastAsia" w:eastAsiaTheme="minorEastAsia" w:cstheme="minorEastAsia"/>
          <w:b/>
          <w:color w:val="auto"/>
          <w:sz w:val="28"/>
          <w:szCs w:val="28"/>
        </w:rPr>
      </w:pPr>
    </w:p>
    <w:p>
      <w:pPr>
        <w:spacing w:line="480" w:lineRule="auto"/>
        <w:ind w:firstLine="482" w:firstLineChars="200"/>
        <w:jc w:val="center"/>
        <w:rPr>
          <w:rFonts w:hint="eastAsia" w:asciiTheme="minorEastAsia" w:hAnsiTheme="minorEastAsia" w:eastAsiaTheme="minorEastAsia" w:cstheme="minorEastAsia"/>
          <w:b/>
          <w:color w:val="auto"/>
          <w:sz w:val="24"/>
        </w:rPr>
      </w:pPr>
    </w:p>
    <w:p>
      <w:pPr>
        <w:spacing w:line="480" w:lineRule="auto"/>
        <w:ind w:firstLine="482" w:firstLineChars="200"/>
        <w:jc w:val="center"/>
        <w:rPr>
          <w:rFonts w:hint="eastAsia" w:asciiTheme="minorEastAsia" w:hAnsiTheme="minorEastAsia" w:eastAsiaTheme="minorEastAsia" w:cstheme="minorEastAsia"/>
          <w:b/>
          <w:color w:val="auto"/>
          <w:sz w:val="24"/>
        </w:rPr>
      </w:pPr>
    </w:p>
    <w:p>
      <w:pPr>
        <w:spacing w:line="480" w:lineRule="auto"/>
        <w:ind w:firstLine="723" w:firstLineChars="200"/>
        <w:jc w:val="center"/>
        <w:outlineLvl w:val="9"/>
        <w:rPr>
          <w:rFonts w:hint="eastAsia" w:asciiTheme="minorEastAsia" w:hAnsiTheme="minorEastAsia" w:eastAsiaTheme="minorEastAsia" w:cstheme="minorEastAsia"/>
          <w:b/>
          <w:color w:val="auto"/>
          <w:sz w:val="36"/>
          <w:szCs w:val="36"/>
        </w:rPr>
      </w:pPr>
      <w:r>
        <w:rPr>
          <w:rFonts w:hint="eastAsia" w:asciiTheme="minorEastAsia" w:hAnsiTheme="minorEastAsia" w:eastAsiaTheme="minorEastAsia" w:cstheme="minorEastAsia"/>
          <w:b/>
          <w:color w:val="auto"/>
          <w:sz w:val="36"/>
          <w:szCs w:val="36"/>
        </w:rPr>
        <w:t>采购合同参考范本</w:t>
      </w:r>
    </w:p>
    <w:p>
      <w:pPr>
        <w:widowControl w:val="0"/>
        <w:autoSpaceDE w:val="0"/>
        <w:autoSpaceDN w:val="0"/>
        <w:snapToGrid w:val="0"/>
        <w:spacing w:after="120" w:line="360" w:lineRule="auto"/>
        <w:ind w:left="420" w:leftChars="200" w:firstLine="480" w:firstLineChars="200"/>
        <w:jc w:val="both"/>
        <w:outlineLvl w:val="9"/>
        <w:rPr>
          <w:rFonts w:hint="eastAsia" w:asciiTheme="minorEastAsia" w:hAnsiTheme="minorEastAsia" w:eastAsiaTheme="minorEastAsia" w:cstheme="minorEastAsia"/>
          <w:color w:val="auto"/>
          <w:kern w:val="2"/>
          <w:sz w:val="24"/>
          <w:szCs w:val="24"/>
          <w:lang w:val="en-US" w:eastAsia="zh-CN" w:bidi="ar-SA"/>
        </w:rPr>
      </w:pPr>
    </w:p>
    <w:p>
      <w:pPr>
        <w:widowControl w:val="0"/>
        <w:autoSpaceDE w:val="0"/>
        <w:autoSpaceDN w:val="0"/>
        <w:snapToGrid w:val="0"/>
        <w:spacing w:after="120" w:line="360" w:lineRule="auto"/>
        <w:ind w:left="420" w:leftChars="200" w:firstLine="720" w:firstLineChars="200"/>
        <w:jc w:val="center"/>
        <w:outlineLvl w:val="9"/>
        <w:rPr>
          <w:rFonts w:hint="eastAsia" w:asciiTheme="minorEastAsia" w:hAnsiTheme="minorEastAsia" w:eastAsiaTheme="minorEastAsia" w:cstheme="minorEastAsia"/>
          <w:color w:val="auto"/>
          <w:kern w:val="2"/>
          <w:sz w:val="36"/>
          <w:szCs w:val="36"/>
          <w:lang w:val="en-US" w:eastAsia="zh-CN" w:bidi="ar-SA"/>
        </w:rPr>
      </w:pPr>
    </w:p>
    <w:p>
      <w:pPr>
        <w:widowControl w:val="0"/>
        <w:autoSpaceDE w:val="0"/>
        <w:autoSpaceDN w:val="0"/>
        <w:snapToGrid w:val="0"/>
        <w:spacing w:after="120" w:line="360" w:lineRule="auto"/>
        <w:ind w:left="420" w:leftChars="200" w:firstLine="643" w:firstLineChars="200"/>
        <w:jc w:val="center"/>
        <w:outlineLvl w:val="9"/>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第一部分 合同书</w:t>
      </w:r>
    </w:p>
    <w:p>
      <w:pPr>
        <w:widowControl w:val="0"/>
        <w:autoSpaceDE w:val="0"/>
        <w:autoSpaceDN w:val="0"/>
        <w:snapToGrid w:val="0"/>
        <w:spacing w:after="120" w:line="360" w:lineRule="auto"/>
        <w:ind w:left="420" w:leftChars="200" w:firstLine="480" w:firstLineChars="200"/>
        <w:jc w:val="both"/>
        <w:outlineLvl w:val="9"/>
        <w:rPr>
          <w:rFonts w:hint="eastAsia" w:asciiTheme="minorEastAsia" w:hAnsiTheme="minorEastAsia" w:eastAsiaTheme="minorEastAsia" w:cstheme="minorEastAsia"/>
          <w:color w:val="auto"/>
          <w:kern w:val="2"/>
          <w:sz w:val="24"/>
          <w:szCs w:val="24"/>
          <w:lang w:val="en-US" w:eastAsia="zh-CN" w:bidi="ar-SA"/>
        </w:rPr>
      </w:pPr>
    </w:p>
    <w:p>
      <w:pPr>
        <w:widowControl w:val="0"/>
        <w:autoSpaceDE w:val="0"/>
        <w:autoSpaceDN w:val="0"/>
        <w:snapToGrid w:val="0"/>
        <w:spacing w:after="120" w:line="360" w:lineRule="auto"/>
        <w:ind w:left="420" w:leftChars="200" w:firstLine="480" w:firstLineChars="200"/>
        <w:jc w:val="both"/>
        <w:outlineLvl w:val="9"/>
        <w:rPr>
          <w:rFonts w:hint="eastAsia" w:asciiTheme="minorEastAsia" w:hAnsiTheme="minorEastAsia" w:eastAsiaTheme="minorEastAsia" w:cstheme="minorEastAsia"/>
          <w:color w:val="auto"/>
          <w:kern w:val="2"/>
          <w:sz w:val="24"/>
          <w:szCs w:val="24"/>
          <w:lang w:val="en-US" w:eastAsia="zh-CN" w:bidi="ar-SA"/>
        </w:rPr>
      </w:pPr>
    </w:p>
    <w:p>
      <w:pPr>
        <w:spacing w:before="120" w:line="22" w:lineRule="atLeast"/>
        <w:ind w:firstLine="480" w:firstLineChars="200"/>
        <w:outlineLvl w:val="9"/>
        <w:rPr>
          <w:rFonts w:hint="eastAsia" w:asciiTheme="minorEastAsia" w:hAnsiTheme="minorEastAsia" w:eastAsiaTheme="minorEastAsia" w:cstheme="minorEastAsia"/>
          <w:color w:val="auto"/>
          <w:sz w:val="24"/>
        </w:rPr>
      </w:pPr>
    </w:p>
    <w:p>
      <w:pPr>
        <w:spacing w:before="120" w:line="22" w:lineRule="atLeast"/>
        <w:ind w:left="960" w:firstLine="480" w:firstLineChars="200"/>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项目名称：</w:t>
      </w:r>
      <w:r>
        <w:rPr>
          <w:rFonts w:hint="eastAsia" w:asciiTheme="minorEastAsia" w:hAnsiTheme="minorEastAsia" w:eastAsiaTheme="minorEastAsia" w:cstheme="minorEastAsia"/>
          <w:color w:val="auto"/>
          <w:sz w:val="24"/>
          <w:u w:val="single"/>
        </w:rPr>
        <w:t xml:space="preserve">                                   </w:t>
      </w:r>
    </w:p>
    <w:p>
      <w:pPr>
        <w:widowControl w:val="0"/>
        <w:adjustRightInd/>
        <w:spacing w:before="120" w:line="22" w:lineRule="atLeast"/>
        <w:ind w:firstLine="480" w:firstLineChars="200"/>
        <w:jc w:val="both"/>
        <w:outlineLvl w:val="9"/>
        <w:rPr>
          <w:rFonts w:hint="eastAsia" w:asciiTheme="minorEastAsia" w:hAnsiTheme="minorEastAsia" w:eastAsiaTheme="minorEastAsia" w:cstheme="minorEastAsia"/>
          <w:color w:val="auto"/>
          <w:kern w:val="2"/>
          <w:sz w:val="24"/>
          <w:szCs w:val="24"/>
          <w:lang w:val="en-US" w:eastAsia="zh-CN" w:bidi="ar-SA"/>
        </w:rPr>
      </w:pPr>
    </w:p>
    <w:p>
      <w:pPr>
        <w:widowControl w:val="0"/>
        <w:adjustRightInd/>
        <w:spacing w:before="120" w:line="22" w:lineRule="atLeast"/>
        <w:ind w:firstLine="480" w:firstLineChars="200"/>
        <w:jc w:val="both"/>
        <w:outlineLvl w:val="9"/>
        <w:rPr>
          <w:rFonts w:hint="eastAsia" w:asciiTheme="minorEastAsia" w:hAnsiTheme="minorEastAsia" w:eastAsiaTheme="minorEastAsia" w:cstheme="minorEastAsia"/>
          <w:color w:val="auto"/>
          <w:kern w:val="2"/>
          <w:sz w:val="24"/>
          <w:szCs w:val="24"/>
          <w:lang w:val="en-US" w:eastAsia="zh-CN" w:bidi="ar-SA"/>
        </w:rPr>
      </w:pPr>
    </w:p>
    <w:p>
      <w:pPr>
        <w:spacing w:line="360" w:lineRule="auto"/>
        <w:ind w:firstLine="480" w:firstLineChars="200"/>
        <w:outlineLvl w:val="9"/>
        <w:rPr>
          <w:rFonts w:hint="eastAsia" w:asciiTheme="minorEastAsia" w:hAnsiTheme="minorEastAsia" w:eastAsiaTheme="minorEastAsia" w:cstheme="minorEastAsia"/>
          <w:color w:val="auto"/>
          <w:sz w:val="24"/>
        </w:rPr>
      </w:pPr>
    </w:p>
    <w:p>
      <w:pPr>
        <w:spacing w:before="120" w:line="22" w:lineRule="atLeast"/>
        <w:ind w:left="960" w:firstLine="480" w:firstLineChars="200"/>
        <w:outlineLvl w:val="9"/>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甲方：</w:t>
      </w:r>
      <w:r>
        <w:rPr>
          <w:rFonts w:hint="eastAsia" w:asciiTheme="minorEastAsia" w:hAnsiTheme="minorEastAsia" w:eastAsiaTheme="minorEastAsia" w:cstheme="minorEastAsia"/>
          <w:color w:val="auto"/>
          <w:sz w:val="24"/>
          <w:u w:val="single"/>
        </w:rPr>
        <w:t xml:space="preserve">                                       </w:t>
      </w:r>
    </w:p>
    <w:p>
      <w:pPr>
        <w:spacing w:before="120" w:line="22" w:lineRule="atLeast"/>
        <w:ind w:firstLine="480" w:firstLineChars="200"/>
        <w:outlineLvl w:val="9"/>
        <w:rPr>
          <w:rFonts w:hint="eastAsia" w:asciiTheme="minorEastAsia" w:hAnsiTheme="minorEastAsia" w:eastAsiaTheme="minorEastAsia" w:cstheme="minorEastAsia"/>
          <w:color w:val="auto"/>
          <w:sz w:val="24"/>
        </w:rPr>
      </w:pPr>
    </w:p>
    <w:p>
      <w:pPr>
        <w:spacing w:before="120" w:line="22" w:lineRule="atLeast"/>
        <w:ind w:left="960" w:firstLine="480" w:firstLineChars="200"/>
        <w:outlineLvl w:val="9"/>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乙方：</w:t>
      </w:r>
      <w:r>
        <w:rPr>
          <w:rFonts w:hint="eastAsia" w:asciiTheme="minorEastAsia" w:hAnsiTheme="minorEastAsia" w:eastAsiaTheme="minorEastAsia" w:cstheme="minorEastAsia"/>
          <w:color w:val="auto"/>
          <w:sz w:val="24"/>
          <w:u w:val="single"/>
        </w:rPr>
        <w:t xml:space="preserve">                                       </w:t>
      </w:r>
    </w:p>
    <w:p>
      <w:pPr>
        <w:spacing w:before="120" w:line="22" w:lineRule="atLeast"/>
        <w:ind w:firstLine="480" w:firstLineChars="200"/>
        <w:outlineLvl w:val="9"/>
        <w:rPr>
          <w:rFonts w:hint="eastAsia" w:asciiTheme="minorEastAsia" w:hAnsiTheme="minorEastAsia" w:eastAsiaTheme="minorEastAsia" w:cstheme="minorEastAsia"/>
          <w:color w:val="auto"/>
          <w:sz w:val="24"/>
        </w:rPr>
      </w:pPr>
    </w:p>
    <w:p>
      <w:pPr>
        <w:spacing w:before="120" w:line="22" w:lineRule="atLeast"/>
        <w:ind w:firstLine="1440" w:firstLineChars="600"/>
        <w:outlineLvl w:val="9"/>
        <w:rPr>
          <w:rFonts w:hint="eastAsia" w:asciiTheme="minorEastAsia" w:hAnsiTheme="minorEastAsia" w:eastAsiaTheme="minorEastAsia" w:cstheme="minorEastAsia"/>
          <w:color w:val="auto"/>
          <w:sz w:val="24"/>
          <w:u w:val="single"/>
        </w:rPr>
      </w:pPr>
      <w:r>
        <w:rPr>
          <w:rFonts w:hint="eastAsia" w:asciiTheme="minorEastAsia" w:hAnsiTheme="minorEastAsia" w:eastAsiaTheme="minorEastAsia" w:cstheme="minorEastAsia"/>
          <w:color w:val="auto"/>
          <w:sz w:val="24"/>
        </w:rPr>
        <w:t>签订地：</w:t>
      </w:r>
      <w:r>
        <w:rPr>
          <w:rFonts w:hint="eastAsia" w:asciiTheme="minorEastAsia" w:hAnsiTheme="minorEastAsia" w:eastAsiaTheme="minorEastAsia" w:cstheme="minorEastAsia"/>
          <w:color w:val="auto"/>
          <w:sz w:val="24"/>
          <w:u w:val="single"/>
        </w:rPr>
        <w:t xml:space="preserve">                                     </w:t>
      </w:r>
    </w:p>
    <w:p>
      <w:pPr>
        <w:spacing w:before="120" w:line="22" w:lineRule="atLeast"/>
        <w:ind w:firstLine="480" w:firstLineChars="200"/>
        <w:outlineLvl w:val="9"/>
        <w:rPr>
          <w:rFonts w:hint="eastAsia" w:asciiTheme="minorEastAsia" w:hAnsiTheme="minorEastAsia" w:eastAsiaTheme="minorEastAsia" w:cstheme="minorEastAsia"/>
          <w:color w:val="auto"/>
          <w:sz w:val="24"/>
        </w:rPr>
      </w:pPr>
    </w:p>
    <w:p>
      <w:pPr>
        <w:pageBreakBefore w:val="0"/>
        <w:widowControl w:val="0"/>
        <w:tabs>
          <w:tab w:val="left" w:pos="478"/>
        </w:tabs>
        <w:autoSpaceDE/>
        <w:autoSpaceDN/>
        <w:spacing w:line="360" w:lineRule="auto"/>
        <w:ind w:left="659" w:leftChars="314" w:firstLine="828" w:firstLineChars="345"/>
        <w:jc w:val="both"/>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签订日期：</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年</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月</w:t>
      </w:r>
      <w:r>
        <w:rPr>
          <w:rFonts w:hint="eastAsia" w:asciiTheme="minorEastAsia" w:hAnsiTheme="minorEastAsia" w:eastAsiaTheme="minorEastAsia" w:cstheme="minorEastAsia"/>
          <w:color w:val="auto"/>
          <w:sz w:val="24"/>
          <w:u w:val="single"/>
        </w:rPr>
        <w:t xml:space="preserve">       </w:t>
      </w:r>
      <w:r>
        <w:rPr>
          <w:rFonts w:hint="eastAsia" w:asciiTheme="minorEastAsia" w:hAnsiTheme="minorEastAsia" w:eastAsiaTheme="minorEastAsia" w:cstheme="minorEastAsia"/>
          <w:color w:val="auto"/>
          <w:sz w:val="24"/>
        </w:rPr>
        <w:t>日</w:t>
      </w:r>
    </w:p>
    <w:p>
      <w:pPr>
        <w:pageBreakBefore w:val="0"/>
        <w:widowControl w:val="0"/>
        <w:tabs>
          <w:tab w:val="left" w:pos="478"/>
        </w:tabs>
        <w:autoSpaceDE/>
        <w:autoSpaceDN/>
        <w:spacing w:line="360" w:lineRule="auto"/>
        <w:ind w:firstLine="480" w:firstLineChars="200"/>
        <w:outlineLvl w:val="9"/>
        <w:rPr>
          <w:rFonts w:hint="eastAsia" w:asciiTheme="minorEastAsia" w:hAnsiTheme="minorEastAsia" w:eastAsiaTheme="minorEastAsia" w:cstheme="minorEastAsia"/>
          <w:color w:val="auto"/>
          <w:sz w:val="24"/>
        </w:rPr>
      </w:pPr>
    </w:p>
    <w:p>
      <w:pPr>
        <w:widowControl w:val="0"/>
        <w:adjustRightInd w:val="0"/>
        <w:snapToGrid w:val="0"/>
        <w:spacing w:before="120" w:after="120" w:line="360" w:lineRule="auto"/>
        <w:ind w:firstLine="400" w:firstLineChars="200"/>
        <w:jc w:val="center"/>
        <w:outlineLvl w:val="9"/>
        <w:rPr>
          <w:rFonts w:hint="eastAsia" w:asciiTheme="minorEastAsia" w:hAnsiTheme="minorEastAsia" w:eastAsiaTheme="minorEastAsia" w:cstheme="minorEastAsia"/>
          <w:color w:val="auto"/>
          <w:kern w:val="0"/>
          <w:sz w:val="20"/>
          <w:szCs w:val="20"/>
          <w:highlight w:val="none"/>
          <w:lang w:val="en-US" w:eastAsia="zh-CN" w:bidi="ar-SA"/>
        </w:rPr>
      </w:pPr>
    </w:p>
    <w:p>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br w:type="page"/>
      </w:r>
    </w:p>
    <w:p>
      <w:pPr>
        <w:widowControl w:val="0"/>
        <w:tabs>
          <w:tab w:val="left" w:pos="180"/>
        </w:tabs>
        <w:snapToGrid w:val="0"/>
        <w:spacing w:after="120" w:line="360" w:lineRule="auto"/>
        <w:ind w:firstLine="482" w:firstLineChars="200"/>
        <w:jc w:val="both"/>
        <w:rPr>
          <w:rFonts w:ascii="宋体" w:hAnsi="宋体" w:eastAsia="宋体" w:cs="Times New Roman"/>
          <w:b/>
          <w:kern w:val="2"/>
          <w:sz w:val="24"/>
          <w:szCs w:val="24"/>
          <w:lang w:val="en-US" w:eastAsia="zh-CN" w:bidi="ar-SA"/>
        </w:rPr>
      </w:pPr>
      <w:r>
        <w:rPr>
          <w:rFonts w:ascii="宋体" w:hAnsi="宋体" w:eastAsia="宋体" w:cs="Times New Roman"/>
          <w:b/>
          <w:kern w:val="2"/>
          <w:sz w:val="24"/>
          <w:szCs w:val="24"/>
          <w:lang w:val="en-US" w:eastAsia="zh-CN" w:bidi="ar-SA"/>
        </w:rPr>
        <w:t>甲  方（使用方）：</w:t>
      </w:r>
    </w:p>
    <w:p>
      <w:pPr>
        <w:widowControl w:val="0"/>
        <w:tabs>
          <w:tab w:val="left" w:pos="180"/>
        </w:tabs>
        <w:snapToGrid w:val="0"/>
        <w:spacing w:after="120" w:line="360" w:lineRule="auto"/>
        <w:ind w:firstLine="482" w:firstLineChars="200"/>
        <w:jc w:val="both"/>
        <w:rPr>
          <w:rFonts w:ascii="宋体" w:hAnsi="宋体" w:eastAsia="宋体" w:cs="Times New Roman"/>
          <w:b/>
          <w:kern w:val="2"/>
          <w:sz w:val="24"/>
          <w:szCs w:val="24"/>
          <w:lang w:val="en-US" w:eastAsia="zh-CN" w:bidi="ar-SA"/>
        </w:rPr>
      </w:pPr>
      <w:r>
        <w:rPr>
          <w:rFonts w:ascii="宋体" w:hAnsi="宋体" w:eastAsia="宋体" w:cs="Times New Roman"/>
          <w:b/>
          <w:kern w:val="2"/>
          <w:sz w:val="24"/>
          <w:szCs w:val="24"/>
          <w:lang w:val="en-US" w:eastAsia="zh-CN" w:bidi="ar-SA"/>
        </w:rPr>
        <w:t>乙  方（供应商）：</w:t>
      </w:r>
    </w:p>
    <w:p>
      <w:pPr>
        <w:numPr>
          <w:ilvl w:val="0"/>
          <w:numId w:val="19"/>
        </w:numPr>
        <w:snapToGrid w:val="0"/>
        <w:spacing w:line="360" w:lineRule="auto"/>
        <w:ind w:left="1921" w:leftChars="228" w:hanging="1442" w:hangingChars="601"/>
        <w:rPr>
          <w:rFonts w:hint="eastAsia" w:ascii="宋体" w:hAnsi="宋体" w:eastAsia="宋体" w:cs="Times New Roman"/>
          <w:color w:val="000000"/>
          <w:kern w:val="0"/>
          <w:sz w:val="24"/>
          <w:szCs w:val="24"/>
          <w:highlight w:val="none"/>
          <w:lang w:val="en-US" w:eastAsia="zh-CN" w:bidi="ar-SA"/>
        </w:rPr>
      </w:pPr>
      <w:r>
        <w:rPr>
          <w:rFonts w:ascii="宋体" w:hAnsi="宋体" w:eastAsia="宋体" w:cs="宋体"/>
          <w:snapToGrid w:val="0"/>
          <w:kern w:val="0"/>
          <w:sz w:val="24"/>
          <w:szCs w:val="24"/>
          <w:lang w:val="en-US" w:eastAsia="zh-CN" w:bidi="ar-SA"/>
        </w:rPr>
        <w:t>乙双方根</w:t>
      </w:r>
      <w:r>
        <w:rPr>
          <w:rFonts w:ascii="宋体" w:hAnsi="宋体" w:eastAsia="宋体" w:cs="宋体"/>
          <w:snapToGrid w:val="0"/>
          <w:kern w:val="0"/>
          <w:sz w:val="24"/>
          <w:szCs w:val="24"/>
          <w:highlight w:val="none"/>
          <w:lang w:val="en-US" w:eastAsia="zh-CN" w:bidi="ar-SA"/>
        </w:rPr>
        <w:t>据</w:t>
      </w:r>
      <w:r>
        <w:rPr>
          <w:rFonts w:hint="eastAsia" w:asciiTheme="minorEastAsia" w:hAnsiTheme="minorEastAsia" w:eastAsiaTheme="minorEastAsia" w:cstheme="minorEastAsia"/>
          <w:color w:val="auto"/>
          <w:sz w:val="24"/>
          <w:szCs w:val="24"/>
          <w:highlight w:val="none"/>
          <w:lang w:eastAsia="zh-CN"/>
        </w:rPr>
        <w:t>嵊州市殡仪馆改扩建工程环境监测服务项目</w:t>
      </w:r>
      <w:r>
        <w:rPr>
          <w:rFonts w:hint="eastAsia" w:ascii="宋体" w:hAnsi="宋体" w:eastAsia="宋体" w:cs="Times New Roman"/>
          <w:color w:val="000000"/>
          <w:kern w:val="0"/>
          <w:sz w:val="24"/>
          <w:szCs w:val="24"/>
          <w:highlight w:val="none"/>
          <w:lang w:val="en-US" w:eastAsia="zh-CN" w:bidi="ar-SA"/>
        </w:rPr>
        <w:t>（项目编号：）</w:t>
      </w:r>
    </w:p>
    <w:p>
      <w:pPr>
        <w:numPr>
          <w:ilvl w:val="0"/>
          <w:numId w:val="0"/>
        </w:numPr>
        <w:snapToGrid w:val="0"/>
        <w:spacing w:line="360" w:lineRule="auto"/>
        <w:ind w:leftChars="-373" w:firstLine="720" w:firstLineChars="300"/>
        <w:rPr>
          <w:rFonts w:ascii="宋体" w:hAnsi="宋体" w:eastAsia="宋体" w:cs="宋体"/>
          <w:color w:val="000000"/>
          <w:kern w:val="0"/>
          <w:sz w:val="24"/>
          <w:szCs w:val="20"/>
          <w:highlight w:val="none"/>
          <w:lang w:val="zh-CN" w:eastAsia="zh-CN" w:bidi="ar-SA"/>
        </w:rPr>
      </w:pPr>
      <w:r>
        <w:rPr>
          <w:rFonts w:hint="eastAsia" w:ascii="宋体" w:hAnsi="宋体" w:eastAsia="宋体" w:cs="宋体"/>
          <w:snapToGrid w:val="0"/>
          <w:kern w:val="0"/>
          <w:sz w:val="24"/>
          <w:szCs w:val="24"/>
          <w:highlight w:val="none"/>
          <w:lang w:val="en-US" w:eastAsia="zh-CN" w:bidi="ar-SA"/>
        </w:rPr>
        <w:t>竞争性磋商</w:t>
      </w:r>
      <w:r>
        <w:rPr>
          <w:rFonts w:ascii="宋体" w:hAnsi="宋体" w:eastAsia="宋体" w:cs="宋体"/>
          <w:snapToGrid w:val="0"/>
          <w:kern w:val="0"/>
          <w:sz w:val="24"/>
          <w:szCs w:val="24"/>
          <w:highlight w:val="none"/>
          <w:lang w:val="en-US" w:eastAsia="zh-CN" w:bidi="ar-SA"/>
        </w:rPr>
        <w:t>的结果，签署本合同。</w:t>
      </w:r>
    </w:p>
    <w:p>
      <w:pPr>
        <w:widowControl w:val="0"/>
        <w:snapToGrid w:val="0"/>
        <w:spacing w:line="360" w:lineRule="auto"/>
        <w:ind w:firstLine="482" w:firstLineChars="200"/>
        <w:jc w:val="both"/>
        <w:rPr>
          <w:rFonts w:ascii="宋体" w:hAnsi="宋体" w:eastAsia="宋体" w:cs="Times New Roman"/>
          <w:b/>
          <w:kern w:val="2"/>
          <w:sz w:val="24"/>
          <w:szCs w:val="20"/>
          <w:lang w:val="zh-CN" w:eastAsia="zh-CN" w:bidi="ar-SA"/>
        </w:rPr>
      </w:pPr>
      <w:r>
        <w:rPr>
          <w:rFonts w:hint="eastAsia" w:ascii="宋体" w:hAnsi="宋体" w:eastAsia="宋体" w:cs="宋体"/>
          <w:b/>
          <w:color w:val="000000"/>
          <w:kern w:val="2"/>
          <w:sz w:val="24"/>
          <w:szCs w:val="24"/>
          <w:lang w:val="en-US" w:eastAsia="zh-CN" w:bidi="ar-SA"/>
        </w:rPr>
        <w:t xml:space="preserve"> </w:t>
      </w:r>
      <w:r>
        <w:rPr>
          <w:rFonts w:hint="eastAsia" w:ascii="宋体" w:hAnsi="宋体" w:eastAsia="宋体" w:cs="Times New Roman"/>
          <w:b/>
          <w:kern w:val="2"/>
          <w:sz w:val="24"/>
          <w:szCs w:val="20"/>
          <w:lang w:val="zh-CN" w:eastAsia="zh-CN" w:bidi="ar-SA"/>
        </w:rPr>
        <w:t xml:space="preserve">一、合同文件： </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1.合同条款。</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2.成交通知书。</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3.更正补充文件。</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4.磋商采购文件。</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5.成交供应商磋商响应文件。</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6.其他。</w:t>
      </w:r>
    </w:p>
    <w:p>
      <w:pPr>
        <w:widowControl w:val="0"/>
        <w:snapToGrid w:val="0"/>
        <w:spacing w:line="360" w:lineRule="auto"/>
        <w:ind w:firstLine="480" w:firstLineChars="200"/>
        <w:jc w:val="both"/>
        <w:rPr>
          <w:rFonts w:ascii="宋体" w:hAnsi="宋体" w:eastAsia="宋体" w:cs="Times New Roman"/>
          <w:bCs/>
          <w:kern w:val="2"/>
          <w:sz w:val="24"/>
          <w:szCs w:val="20"/>
          <w:lang w:val="zh-CN" w:eastAsia="zh-CN" w:bidi="ar-SA"/>
        </w:rPr>
      </w:pPr>
      <w:r>
        <w:rPr>
          <w:rFonts w:hint="eastAsia" w:ascii="宋体" w:hAnsi="宋体" w:eastAsia="宋体" w:cs="Times New Roman"/>
          <w:bCs/>
          <w:kern w:val="2"/>
          <w:sz w:val="24"/>
          <w:szCs w:val="20"/>
          <w:lang w:val="zh-CN" w:eastAsia="zh-CN" w:bidi="ar-SA"/>
        </w:rPr>
        <w:t>上述所指合同文件应认为是互相补充和解释的，但是有模棱两可或互相矛盾之处，以其所列内容顺序为准。</w:t>
      </w:r>
    </w:p>
    <w:p>
      <w:pPr>
        <w:widowControl w:val="0"/>
        <w:snapToGrid w:val="0"/>
        <w:spacing w:line="360" w:lineRule="auto"/>
        <w:ind w:firstLine="482" w:firstLineChars="200"/>
        <w:jc w:val="both"/>
        <w:rPr>
          <w:rFonts w:ascii="宋体" w:hAnsi="宋体" w:eastAsia="宋体" w:cs="Times New Roman"/>
          <w:b/>
          <w:kern w:val="2"/>
          <w:sz w:val="24"/>
          <w:szCs w:val="20"/>
          <w:lang w:val="en-US" w:eastAsia="zh-CN" w:bidi="ar-SA"/>
        </w:rPr>
      </w:pPr>
      <w:r>
        <w:rPr>
          <w:rFonts w:hint="eastAsia" w:ascii="宋体" w:hAnsi="宋体" w:eastAsia="宋体" w:cs="Times New Roman"/>
          <w:b/>
          <w:kern w:val="2"/>
          <w:sz w:val="24"/>
          <w:szCs w:val="20"/>
          <w:lang w:val="en-US" w:eastAsia="zh-CN" w:bidi="ar-SA"/>
        </w:rPr>
        <w:t>二、</w:t>
      </w:r>
      <w:r>
        <w:rPr>
          <w:rFonts w:hint="eastAsia" w:ascii="宋体" w:hAnsi="宋体" w:cs="Times New Roman"/>
          <w:b/>
          <w:kern w:val="2"/>
          <w:sz w:val="24"/>
          <w:szCs w:val="20"/>
          <w:lang w:val="en-US" w:eastAsia="zh-CN" w:bidi="ar-SA"/>
        </w:rPr>
        <w:t>采购</w:t>
      </w:r>
      <w:r>
        <w:rPr>
          <w:rFonts w:hint="eastAsia" w:ascii="宋体" w:hAnsi="宋体" w:eastAsia="宋体" w:cs="Times New Roman"/>
          <w:b/>
          <w:kern w:val="2"/>
          <w:sz w:val="24"/>
          <w:szCs w:val="20"/>
          <w:lang w:val="en-US" w:eastAsia="zh-CN" w:bidi="ar-SA"/>
        </w:rPr>
        <w:t>内容</w:t>
      </w:r>
    </w:p>
    <w:p>
      <w:pPr>
        <w:pStyle w:val="4"/>
        <w:pageBreakBefore w:val="0"/>
        <w:numPr>
          <w:ilvl w:val="0"/>
          <w:numId w:val="0"/>
        </w:numPr>
        <w:tabs>
          <w:tab w:val="left" w:pos="1080"/>
          <w:tab w:val="left" w:pos="1960"/>
        </w:tabs>
        <w:kinsoku/>
        <w:wordWrap/>
        <w:overflowPunct/>
        <w:topLinePunct w:val="0"/>
        <w:bidi w:val="0"/>
        <w:snapToGrid/>
        <w:spacing w:before="0" w:after="0" w:line="360" w:lineRule="auto"/>
        <w:ind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（一）项目概况</w:t>
      </w:r>
    </w:p>
    <w:p>
      <w:pPr>
        <w:pStyle w:val="4"/>
        <w:pageBreakBefore w:val="0"/>
        <w:numPr>
          <w:ilvl w:val="0"/>
          <w:numId w:val="0"/>
        </w:numPr>
        <w:tabs>
          <w:tab w:val="left" w:pos="1080"/>
          <w:tab w:val="left" w:pos="1960"/>
        </w:tabs>
        <w:kinsoku/>
        <w:wordWrap/>
        <w:overflowPunct/>
        <w:topLinePunct w:val="0"/>
        <w:bidi w:val="0"/>
        <w:snapToGrid/>
        <w:spacing w:before="0" w:after="0" w:line="360" w:lineRule="auto"/>
        <w:ind w:firstLine="480" w:firstLineChars="200"/>
        <w:jc w:val="left"/>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建设地点：嵊州市鹿山街道雅致村（外半塘）。2.建设规模：本项目对现有殡仪馆场地进行改扩建升级：原建筑拆除约5000平方米，挖方25000立方米，借方40000立米。新建业务区1522平方米、遗体处理区2348平方米、悼念区4884平方米、火化区2536平方米、骨灰寄存区145平方米、祭扫区971平方米、集散广场区217平方米、后勤管理区1869平方米、法医室358平方米、墓园管理用房450平方米；室外道路及场地铺装10800平方米；围墙800米，景观绿地面积2337平方米。工程建设期间过渡用临时守灵厅、餐厅等（钢结构）2750平方米。采购火化设备8套及礼厅相关设施设备；电梯7部；充电桩慢充15个，快充5个。项目总用地面积23375.12平方米，总建筑面积23300平方米，其中地上建筑面积15300平方米，地下建筑面积8000平方米，建筑占地10292平方米。项目周边租用临时停车场，建设生态停车场6000平方米。</w:t>
      </w:r>
    </w:p>
    <w:p>
      <w:pPr>
        <w:spacing w:line="360" w:lineRule="auto"/>
        <w:ind w:firstLine="480" w:firstLineChars="200"/>
        <w:jc w:val="both"/>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3.工作内容：</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1</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出具嵊州市殡仪馆提升改造工程项目环评竣工验收报告并通过专家评审（含监测、报告编制、评审）；</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2</w:t>
      </w:r>
      <w:r>
        <w:rPr>
          <w:rFonts w:hint="eastAsia" w:ascii="宋体" w:hAnsi="宋体" w:cs="宋体"/>
          <w:b w:val="0"/>
          <w:bCs w:val="0"/>
          <w:color w:val="auto"/>
          <w:kern w:val="2"/>
          <w:sz w:val="24"/>
          <w:szCs w:val="24"/>
          <w:highlight w:val="none"/>
          <w:lang w:val="en-US" w:eastAsia="zh-CN" w:bidi="ar-SA"/>
        </w:rPr>
        <w:t>）</w:t>
      </w:r>
      <w:r>
        <w:rPr>
          <w:rFonts w:hint="eastAsia" w:ascii="宋体" w:hAnsi="宋体" w:eastAsia="宋体" w:cs="宋体"/>
          <w:b w:val="0"/>
          <w:bCs w:val="0"/>
          <w:color w:val="auto"/>
          <w:kern w:val="2"/>
          <w:sz w:val="24"/>
          <w:szCs w:val="24"/>
          <w:highlight w:val="none"/>
          <w:lang w:val="en-US" w:eastAsia="zh-CN" w:bidi="ar-SA"/>
        </w:rPr>
        <w:t>出具嵊州市殡仪馆改扩建工程的大气环境现状本底监测报告。</w:t>
      </w:r>
    </w:p>
    <w:p>
      <w:pPr>
        <w:numPr>
          <w:ilvl w:val="0"/>
          <w:numId w:val="0"/>
        </w:numPr>
        <w:adjustRightInd w:val="0"/>
        <w:jc w:val="left"/>
        <w:outlineLvl w:val="1"/>
        <w:rPr>
          <w:rFonts w:hint="eastAsia" w:ascii="宋体" w:hAnsi="宋体" w:cs="宋体"/>
          <w:b/>
          <w:bCs/>
          <w:color w:val="auto"/>
          <w:highlight w:val="none"/>
          <w:lang w:val="en-US" w:eastAsia="zh-CN"/>
        </w:rPr>
      </w:pPr>
      <w:r>
        <w:rPr>
          <w:rFonts w:hint="eastAsia" w:ascii="宋体" w:hAnsi="宋体" w:cs="宋体"/>
          <w:b/>
          <w:bCs/>
          <w:color w:val="auto"/>
          <w:highlight w:val="none"/>
          <w:lang w:val="en-US" w:eastAsia="zh-CN"/>
        </w:rPr>
        <w:t>（二）监测内容清单</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（1）环境保护验收监测</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1、废水</w:t>
      </w:r>
    </w:p>
    <w:tbl>
      <w:tblPr>
        <w:tblStyle w:val="55"/>
        <w:tblW w:w="51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23"/>
        <w:gridCol w:w="2670"/>
        <w:gridCol w:w="3356"/>
        <w:gridCol w:w="1376"/>
        <w:gridCol w:w="7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03"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污染源名称</w:t>
            </w:r>
          </w:p>
        </w:tc>
        <w:tc>
          <w:tcPr>
            <w:tcW w:w="1434"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监测点位</w:t>
            </w:r>
          </w:p>
        </w:tc>
        <w:tc>
          <w:tcPr>
            <w:tcW w:w="1802"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监测项目</w:t>
            </w:r>
          </w:p>
        </w:tc>
        <w:tc>
          <w:tcPr>
            <w:tcW w:w="739"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监测频次</w:t>
            </w:r>
          </w:p>
        </w:tc>
        <w:tc>
          <w:tcPr>
            <w:tcW w:w="421"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603"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废水</w:t>
            </w:r>
          </w:p>
        </w:tc>
        <w:tc>
          <w:tcPr>
            <w:tcW w:w="143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生活污水排放口（★1）</w:t>
            </w:r>
          </w:p>
        </w:tc>
        <w:tc>
          <w:tcPr>
            <w:tcW w:w="180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pH、化学需氧量、五日生化需氧量、总磷、氨氮、总氮、悬浮物、动植物油类</w:t>
            </w:r>
          </w:p>
        </w:tc>
        <w:tc>
          <w:tcPr>
            <w:tcW w:w="73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每天4次，2个周期</w:t>
            </w:r>
          </w:p>
        </w:tc>
        <w:tc>
          <w:tcPr>
            <w:tcW w:w="421"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jc w:val="center"/>
        </w:trPr>
        <w:tc>
          <w:tcPr>
            <w:tcW w:w="60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43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雨排口（★2）</w:t>
            </w:r>
          </w:p>
        </w:tc>
        <w:tc>
          <w:tcPr>
            <w:tcW w:w="180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pH、化学需氧量、五日生化需氧量、总磷、氨氮、总氮、悬浮物、动植物油类</w:t>
            </w:r>
          </w:p>
        </w:tc>
        <w:tc>
          <w:tcPr>
            <w:tcW w:w="73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每天2次，2个周期</w:t>
            </w:r>
          </w:p>
        </w:tc>
        <w:tc>
          <w:tcPr>
            <w:tcW w:w="421"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pStyle w:val="576"/>
        <w:bidi w:val="0"/>
        <w:adjustRightInd w:val="0"/>
        <w:snapToGrid w:val="0"/>
        <w:ind w:firstLine="0" w:firstLineChars="0"/>
        <w:jc w:val="left"/>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2、废气</w:t>
      </w:r>
    </w:p>
    <w:tbl>
      <w:tblPr>
        <w:tblStyle w:val="55"/>
        <w:tblW w:w="516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90"/>
        <w:gridCol w:w="1298"/>
        <w:gridCol w:w="1309"/>
        <w:gridCol w:w="3416"/>
        <w:gridCol w:w="1335"/>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blHeader/>
          <w:jc w:val="center"/>
        </w:trPr>
        <w:tc>
          <w:tcPr>
            <w:tcW w:w="633"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污染源名称</w:t>
            </w:r>
          </w:p>
        </w:tc>
        <w:tc>
          <w:tcPr>
            <w:tcW w:w="1386" w:type="pct"/>
            <w:gridSpan w:val="2"/>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监测点位</w:t>
            </w:r>
          </w:p>
        </w:tc>
        <w:tc>
          <w:tcPr>
            <w:tcW w:w="1816"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监测项目</w:t>
            </w:r>
          </w:p>
        </w:tc>
        <w:tc>
          <w:tcPr>
            <w:tcW w:w="710"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监测频次</w:t>
            </w:r>
          </w:p>
        </w:tc>
        <w:tc>
          <w:tcPr>
            <w:tcW w:w="452" w:type="pct"/>
            <w:noWrap w:val="0"/>
            <w:vAlign w:val="center"/>
          </w:tcPr>
          <w:p>
            <w:pPr>
              <w:tabs>
                <w:tab w:val="left" w:pos="7182"/>
              </w:tabs>
              <w:adjustRightInd w:val="0"/>
              <w:snapToGrid w:val="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w:t>
            </w: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火化炉废气处理装置DA001</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火化炉废气处理装置DA002</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（◎2）</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火化炉废气处理装置DA003</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（◎3）</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火化炉废气处理装置DA004</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（◎4）</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火化炉废气处理装置DA005</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（◎5）</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69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火化炉废气处理装置DA006</w:t>
            </w:r>
          </w:p>
        </w:tc>
        <w:tc>
          <w:tcPr>
            <w:tcW w:w="69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出口</w:t>
            </w:r>
          </w:p>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（◎6）</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废气参数、颗粒物、SO2、NOx、CO、氯化氢、汞及其化合物、二噁英类、林格曼黑度</w:t>
            </w:r>
          </w:p>
        </w:tc>
        <w:tc>
          <w:tcPr>
            <w:tcW w:w="710" w:type="pct"/>
            <w:noWrap w:val="0"/>
            <w:vAlign w:val="center"/>
          </w:tcPr>
          <w:p>
            <w:pPr>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386" w:type="pct"/>
            <w:gridSpan w:val="2"/>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厂界四周</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气象参数、颗粒物、SO2、NOx、CO、氯化氢、汞及其化合物</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633"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环境空气</w:t>
            </w:r>
          </w:p>
        </w:tc>
        <w:tc>
          <w:tcPr>
            <w:tcW w:w="1386" w:type="pct"/>
            <w:gridSpan w:val="2"/>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敏感点（钱塘村）</w:t>
            </w:r>
          </w:p>
        </w:tc>
        <w:tc>
          <w:tcPr>
            <w:tcW w:w="1816"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PM10、PM2.5、二氧化硫、氮氧化物、二噁英类、汞及其化合物、氯化氢、一氧化碳、臭氧</w:t>
            </w:r>
          </w:p>
        </w:tc>
        <w:tc>
          <w:tcPr>
            <w:tcW w:w="710"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每天3次（小时值），2个周期</w:t>
            </w:r>
          </w:p>
        </w:tc>
        <w:tc>
          <w:tcPr>
            <w:tcW w:w="452"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3、噪声</w:t>
      </w:r>
    </w:p>
    <w:tbl>
      <w:tblPr>
        <w:tblStyle w:val="55"/>
        <w:tblW w:w="517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5"/>
        <w:gridCol w:w="2081"/>
        <w:gridCol w:w="2166"/>
        <w:gridCol w:w="2995"/>
        <w:gridCol w:w="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661"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污染源名称</w:t>
            </w:r>
          </w:p>
        </w:tc>
        <w:tc>
          <w:tcPr>
            <w:tcW w:w="1104"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监测点位</w:t>
            </w:r>
          </w:p>
        </w:tc>
        <w:tc>
          <w:tcPr>
            <w:tcW w:w="1149"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监测项目</w:t>
            </w:r>
          </w:p>
        </w:tc>
        <w:tc>
          <w:tcPr>
            <w:tcW w:w="1589"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监测频次</w:t>
            </w:r>
          </w:p>
        </w:tc>
        <w:tc>
          <w:tcPr>
            <w:tcW w:w="494" w:type="pct"/>
            <w:noWrap w:val="0"/>
            <w:vAlign w:val="center"/>
          </w:tcPr>
          <w:p>
            <w:pPr>
              <w:tabs>
                <w:tab w:val="left" w:pos="7182"/>
              </w:tabs>
              <w:adjustRightInd w:val="0"/>
              <w:snapToGrid w:val="0"/>
              <w:ind w:left="57" w:right="57"/>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661" w:type="pct"/>
            <w:vMerge w:val="restar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噪声</w:t>
            </w:r>
          </w:p>
        </w:tc>
        <w:tc>
          <w:tcPr>
            <w:tcW w:w="110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厂界四周</w:t>
            </w:r>
          </w:p>
        </w:tc>
        <w:tc>
          <w:tcPr>
            <w:tcW w:w="114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气象参数、噪声</w:t>
            </w:r>
          </w:p>
        </w:tc>
        <w:tc>
          <w:tcPr>
            <w:tcW w:w="158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每天昼夜各1次，2天</w:t>
            </w:r>
          </w:p>
        </w:tc>
        <w:tc>
          <w:tcPr>
            <w:tcW w:w="49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61" w:type="pct"/>
            <w:vMerge w:val="continue"/>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c>
          <w:tcPr>
            <w:tcW w:w="110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敏感点（钱塘村）</w:t>
            </w:r>
          </w:p>
        </w:tc>
        <w:tc>
          <w:tcPr>
            <w:tcW w:w="114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气象参数、噪声</w:t>
            </w:r>
          </w:p>
        </w:tc>
        <w:tc>
          <w:tcPr>
            <w:tcW w:w="1589"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每天昼夜各1次，2天</w:t>
            </w:r>
          </w:p>
        </w:tc>
        <w:tc>
          <w:tcPr>
            <w:tcW w:w="494" w:type="pct"/>
            <w:noWrap w:val="0"/>
            <w:vAlign w:val="center"/>
          </w:tcPr>
          <w:p>
            <w:pPr>
              <w:pStyle w:val="576"/>
              <w:bidi w:val="0"/>
              <w:adjustRightInd w:val="0"/>
              <w:snapToGrid w:val="0"/>
              <w:ind w:firstLine="0" w:firstLineChars="0"/>
              <w:rPr>
                <w:rFonts w:hint="eastAsia" w:ascii="宋体" w:hAnsi="宋体" w:eastAsia="宋体" w:cs="宋体"/>
                <w:color w:val="auto"/>
                <w:kern w:val="0"/>
                <w:sz w:val="24"/>
                <w:szCs w:val="24"/>
                <w:highlight w:val="none"/>
                <w:u w:val="none"/>
                <w:lang w:val="en-US" w:eastAsia="zh-CN" w:bidi="ar-SA"/>
              </w:rPr>
            </w:pPr>
          </w:p>
        </w:tc>
      </w:tr>
    </w:tbl>
    <w:p>
      <w:pPr>
        <w:pStyle w:val="14"/>
        <w:jc w:val="center"/>
        <w:rPr>
          <w:rFonts w:hint="eastAsia" w:ascii="宋体" w:hAnsi="宋体" w:eastAsia="宋体" w:cs="宋体"/>
          <w:color w:val="auto"/>
          <w:kern w:val="0"/>
          <w:sz w:val="24"/>
          <w:szCs w:val="24"/>
          <w:highlight w:val="none"/>
          <w:u w:val="none"/>
          <w:lang w:val="en-US" w:eastAsia="zh-CN" w:bidi="ar-SA"/>
        </w:rPr>
      </w:pPr>
    </w:p>
    <w:p>
      <w:pPr>
        <w:pStyle w:val="14"/>
        <w:spacing w:line="240" w:lineRule="auto"/>
        <w:ind w:left="0" w:leftChars="0" w:firstLine="0" w:firstLineChars="0"/>
        <w:jc w:val="both"/>
        <w:rPr>
          <w:rFonts w:hint="eastAsia" w:ascii="宋体" w:hAnsi="宋体" w:eastAsia="宋体" w:cs="宋体"/>
          <w:b/>
          <w:bCs/>
          <w:color w:val="auto"/>
          <w:kern w:val="0"/>
          <w:sz w:val="24"/>
          <w:szCs w:val="24"/>
          <w:highlight w:val="none"/>
          <w:u w:val="none"/>
          <w:lang w:val="en-US" w:eastAsia="zh-CN" w:bidi="ar-SA"/>
        </w:rPr>
      </w:pPr>
      <w:r>
        <w:rPr>
          <w:rFonts w:hint="eastAsia" w:ascii="宋体" w:hAnsi="宋体" w:eastAsia="宋体" w:cs="宋体"/>
          <w:b/>
          <w:bCs/>
          <w:color w:val="auto"/>
          <w:kern w:val="0"/>
          <w:sz w:val="24"/>
          <w:szCs w:val="24"/>
          <w:highlight w:val="none"/>
          <w:u w:val="none"/>
          <w:lang w:val="en-US" w:eastAsia="zh-CN" w:bidi="ar-SA"/>
        </w:rPr>
        <w:t>（2）大气环境现状本底监测</w:t>
      </w:r>
    </w:p>
    <w:p>
      <w:pPr>
        <w:pStyle w:val="14"/>
        <w:spacing w:line="240" w:lineRule="auto"/>
        <w:ind w:left="0" w:leftChars="0" w:firstLine="0" w:firstLineChars="0"/>
        <w:jc w:val="both"/>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1、废气</w:t>
      </w:r>
    </w:p>
    <w:tbl>
      <w:tblPr>
        <w:tblStyle w:val="55"/>
        <w:tblW w:w="515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6"/>
        <w:gridCol w:w="2308"/>
        <w:gridCol w:w="1938"/>
        <w:gridCol w:w="3017"/>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64"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污染源名称</w:t>
            </w:r>
          </w:p>
        </w:tc>
        <w:tc>
          <w:tcPr>
            <w:tcW w:w="1230"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监测点位</w:t>
            </w:r>
          </w:p>
        </w:tc>
        <w:tc>
          <w:tcPr>
            <w:tcW w:w="1033"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监测项目</w:t>
            </w:r>
          </w:p>
        </w:tc>
        <w:tc>
          <w:tcPr>
            <w:tcW w:w="1608"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监测频次</w:t>
            </w:r>
          </w:p>
        </w:tc>
        <w:tc>
          <w:tcPr>
            <w:tcW w:w="463" w:type="pct"/>
            <w:noWrap w:val="0"/>
            <w:vAlign w:val="center"/>
          </w:tcPr>
          <w:p>
            <w:pPr>
              <w:tabs>
                <w:tab w:val="left" w:pos="7182"/>
              </w:tabs>
              <w:adjustRightInd w:val="0"/>
              <w:snapToGrid w:val="0"/>
              <w:ind w:left="57" w:right="57"/>
              <w:jc w:val="center"/>
              <w:outlineLvl w:val="0"/>
              <w:rPr>
                <w:rFonts w:hint="eastAsia" w:ascii="宋体" w:hAnsi="宋体" w:eastAsia="宋体" w:cs="宋体"/>
                <w:b w:val="0"/>
                <w:bCs/>
                <w:color w:val="auto"/>
                <w:sz w:val="24"/>
                <w:highlight w:val="none"/>
                <w:u w:val="none"/>
              </w:rPr>
            </w:pPr>
            <w:r>
              <w:rPr>
                <w:rFonts w:hint="eastAsia" w:ascii="宋体" w:hAnsi="宋体" w:eastAsia="宋体" w:cs="宋体"/>
                <w:b w:val="0"/>
                <w:bCs/>
                <w:color w:val="auto"/>
                <w:sz w:val="24"/>
                <w:highlight w:val="none"/>
                <w:u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664"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环境空气</w:t>
            </w:r>
          </w:p>
        </w:tc>
        <w:tc>
          <w:tcPr>
            <w:tcW w:w="1230"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kern w:val="0"/>
                <w:sz w:val="24"/>
                <w:szCs w:val="24"/>
                <w:highlight w:val="none"/>
                <w:u w:val="none"/>
                <w:lang w:val="en-US" w:eastAsia="zh-CN"/>
              </w:rPr>
              <w:t>敏感点（钱塘村）</w:t>
            </w:r>
          </w:p>
        </w:tc>
        <w:tc>
          <w:tcPr>
            <w:tcW w:w="1033" w:type="pct"/>
            <w:noWrap w:val="0"/>
            <w:vAlign w:val="center"/>
          </w:tcPr>
          <w:p>
            <w:pPr>
              <w:pStyle w:val="576"/>
              <w:bidi w:val="0"/>
              <w:adjustRightInd w:val="0"/>
              <w:snapToGrid w:val="0"/>
              <w:ind w:firstLine="0" w:firstLineChars="0"/>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二噁英类</w:t>
            </w:r>
          </w:p>
        </w:tc>
        <w:tc>
          <w:tcPr>
            <w:tcW w:w="1608" w:type="pct"/>
            <w:noWrap w:val="0"/>
            <w:vAlign w:val="center"/>
          </w:tcPr>
          <w:p>
            <w:pPr>
              <w:pStyle w:val="576"/>
              <w:bidi w:val="0"/>
              <w:adjustRightInd w:val="0"/>
              <w:snapToGrid w:val="0"/>
              <w:ind w:firstLine="0" w:firstLineChars="0"/>
              <w:rPr>
                <w:rFonts w:hint="eastAsia" w:ascii="宋体" w:hAnsi="宋体" w:eastAsia="宋体" w:cs="宋体"/>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测日均值，7天，每天采样时间不少于18h</w:t>
            </w:r>
          </w:p>
        </w:tc>
        <w:tc>
          <w:tcPr>
            <w:tcW w:w="463" w:type="pct"/>
            <w:noWrap w:val="0"/>
            <w:vAlign w:val="center"/>
          </w:tcPr>
          <w:p>
            <w:pPr>
              <w:pStyle w:val="576"/>
              <w:bidi w:val="0"/>
              <w:adjustRightInd w:val="0"/>
              <w:snapToGrid w:val="0"/>
              <w:rPr>
                <w:rFonts w:hint="eastAsia" w:ascii="宋体" w:hAnsi="宋体" w:eastAsia="宋体" w:cs="宋体"/>
                <w:color w:val="auto"/>
                <w:sz w:val="24"/>
                <w:szCs w:val="24"/>
                <w:highlight w:val="none"/>
                <w:u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注：①以上采购内容清单中所列检测数量是预计的数量，仅作为投标报价的共同基础，不作为最终结算与支付的依据。实际支付应按实际完成的数量、报价清单的单价或总额价计算支付金额。</w:t>
      </w:r>
    </w:p>
    <w:p>
      <w:pPr>
        <w:keepNext w:val="0"/>
        <w:keepLines w:val="0"/>
        <w:pageBreakBefore w:val="0"/>
        <w:widowControl w:val="0"/>
        <w:kinsoku/>
        <w:wordWrap/>
        <w:overflowPunct/>
        <w:topLinePunct w:val="0"/>
        <w:autoSpaceDE/>
        <w:autoSpaceDN/>
        <w:bidi w:val="0"/>
        <w:adjustRightInd/>
        <w:snapToGrid/>
        <w:spacing w:line="500" w:lineRule="exact"/>
        <w:ind w:firstLine="496"/>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宋体" w:hAnsi="宋体" w:eastAsia="宋体" w:cs="宋体"/>
          <w:b/>
          <w:bCs/>
          <w:kern w:val="0"/>
          <w:sz w:val="24"/>
          <w:lang w:eastAsia="zh-CN"/>
        </w:rPr>
        <w:t>②</w:t>
      </w:r>
      <w:r>
        <w:rPr>
          <w:rFonts w:hint="eastAsia" w:ascii="宋体" w:hAnsi="宋体" w:eastAsia="宋体" w:cs="宋体"/>
          <w:b/>
          <w:bCs/>
          <w:kern w:val="0"/>
          <w:sz w:val="24"/>
          <w:lang w:val="en-US" w:eastAsia="zh-CN"/>
        </w:rPr>
        <w:t>如清单中未列明但实际</w:t>
      </w:r>
      <w:r>
        <w:rPr>
          <w:rFonts w:hint="eastAsia" w:ascii="宋体" w:hAnsi="宋体" w:eastAsia="宋体" w:cs="宋体"/>
          <w:b/>
          <w:bCs/>
          <w:kern w:val="0"/>
          <w:sz w:val="24"/>
          <w:lang w:eastAsia="zh-CN"/>
        </w:rPr>
        <w:t>需要的双方协商定价格。</w:t>
      </w:r>
    </w:p>
    <w:p>
      <w:pPr>
        <w:widowControl w:val="0"/>
        <w:snapToGrid w:val="0"/>
        <w:spacing w:line="360" w:lineRule="auto"/>
        <w:ind w:firstLine="482" w:firstLineChars="200"/>
        <w:jc w:val="both"/>
        <w:rPr>
          <w:rFonts w:ascii="宋体" w:hAnsi="宋体" w:eastAsia="宋体" w:cs="Times New Roman"/>
          <w:b/>
          <w:kern w:val="2"/>
          <w:sz w:val="24"/>
          <w:szCs w:val="20"/>
          <w:lang w:val="en-US" w:eastAsia="zh-CN" w:bidi="ar-SA"/>
        </w:rPr>
      </w:pPr>
      <w:r>
        <w:rPr>
          <w:rFonts w:hint="eastAsia" w:ascii="宋体" w:hAnsi="宋体" w:eastAsia="宋体" w:cs="Times New Roman"/>
          <w:b/>
          <w:kern w:val="2"/>
          <w:sz w:val="24"/>
          <w:szCs w:val="20"/>
          <w:lang w:val="en-US" w:eastAsia="zh-CN" w:bidi="ar-SA"/>
        </w:rPr>
        <w:t>三、合同金额</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本合同金额为（大写）：_____________元（￥_______________元）人民币。</w:t>
      </w:r>
    </w:p>
    <w:p>
      <w:pPr>
        <w:widowControl w:val="0"/>
        <w:snapToGrid w:val="0"/>
        <w:spacing w:line="360" w:lineRule="auto"/>
        <w:ind w:firstLine="482" w:firstLineChars="200"/>
        <w:jc w:val="both"/>
        <w:rPr>
          <w:rFonts w:hint="default" w:ascii="宋体" w:hAnsi="宋体" w:eastAsia="宋体" w:cs="Times New Roman"/>
          <w:b/>
          <w:kern w:val="2"/>
          <w:sz w:val="24"/>
          <w:szCs w:val="20"/>
          <w:lang w:val="en-US" w:eastAsia="zh-CN" w:bidi="ar-SA"/>
        </w:rPr>
      </w:pPr>
      <w:r>
        <w:rPr>
          <w:rFonts w:hint="eastAsia" w:ascii="宋体" w:hAnsi="宋体" w:eastAsia="宋体" w:cs="Times New Roman"/>
          <w:b/>
          <w:kern w:val="2"/>
          <w:sz w:val="24"/>
          <w:szCs w:val="20"/>
          <w:lang w:val="en-US" w:eastAsia="zh-CN" w:bidi="ar-SA"/>
        </w:rPr>
        <w:t>四、</w:t>
      </w:r>
      <w:r>
        <w:rPr>
          <w:rFonts w:hint="eastAsia" w:ascii="宋体" w:hAnsi="宋体" w:cs="Times New Roman"/>
          <w:b/>
          <w:kern w:val="2"/>
          <w:sz w:val="24"/>
          <w:szCs w:val="20"/>
          <w:lang w:val="en-US" w:eastAsia="zh-CN" w:bidi="ar-SA"/>
        </w:rPr>
        <w:t>服务期限及服务地点</w:t>
      </w:r>
    </w:p>
    <w:p>
      <w:pPr>
        <w:numPr>
          <w:ilvl w:val="0"/>
          <w:numId w:val="0"/>
        </w:numPr>
        <w:snapToGrid w:val="0"/>
        <w:spacing w:line="360" w:lineRule="auto"/>
        <w:ind w:firstLine="480" w:firstLineChars="200"/>
        <w:jc w:val="left"/>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lang w:val="en-US" w:eastAsia="zh-CN"/>
        </w:rPr>
        <w:t>1.服务</w:t>
      </w:r>
      <w:r>
        <w:rPr>
          <w:rFonts w:hint="eastAsia" w:asciiTheme="minorEastAsia" w:hAnsiTheme="minorEastAsia" w:eastAsiaTheme="minorEastAsia" w:cstheme="minorEastAsia"/>
          <w:color w:val="auto"/>
          <w:sz w:val="24"/>
          <w:szCs w:val="24"/>
          <w:highlight w:val="none"/>
          <w:lang w:val="en-US" w:eastAsia="zh-CN"/>
        </w:rPr>
        <w:t>期限：</w:t>
      </w:r>
      <w:r>
        <w:rPr>
          <w:rFonts w:hint="eastAsia" w:ascii="宋体" w:hAnsi="宋体" w:cs="宋体"/>
          <w:b w:val="0"/>
          <w:bCs w:val="0"/>
          <w:color w:val="auto"/>
          <w:kern w:val="2"/>
          <w:sz w:val="24"/>
          <w:szCs w:val="24"/>
          <w:highlight w:val="none"/>
          <w:lang w:val="en-US" w:eastAsia="zh-CN" w:bidi="ar-SA"/>
        </w:rPr>
        <w:t>中标通知书发出之日起</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cs="宋体"/>
          <w:b w:val="0"/>
          <w:bCs w:val="0"/>
          <w:color w:val="auto"/>
          <w:kern w:val="2"/>
          <w:sz w:val="24"/>
          <w:szCs w:val="24"/>
          <w:highlight w:val="none"/>
          <w:u w:val="single"/>
          <w:lang w:val="en-US" w:eastAsia="zh-CN" w:bidi="ar-SA"/>
        </w:rPr>
        <w:t>75</w:t>
      </w:r>
      <w:r>
        <w:rPr>
          <w:rFonts w:hint="eastAsia" w:ascii="宋体" w:hAnsi="宋体" w:eastAsia="宋体" w:cs="宋体"/>
          <w:b w:val="0"/>
          <w:bCs w:val="0"/>
          <w:color w:val="auto"/>
          <w:kern w:val="2"/>
          <w:sz w:val="24"/>
          <w:szCs w:val="24"/>
          <w:highlight w:val="none"/>
          <w:u w:val="single"/>
          <w:lang w:val="en-US" w:eastAsia="zh-CN" w:bidi="ar-SA"/>
        </w:rPr>
        <w:t xml:space="preserve">  </w:t>
      </w:r>
      <w:r>
        <w:rPr>
          <w:rFonts w:hint="eastAsia" w:ascii="宋体" w:hAnsi="宋体" w:eastAsia="宋体" w:cs="宋体"/>
          <w:b w:val="0"/>
          <w:bCs w:val="0"/>
          <w:color w:val="auto"/>
          <w:kern w:val="2"/>
          <w:sz w:val="24"/>
          <w:szCs w:val="24"/>
          <w:highlight w:val="none"/>
          <w:lang w:val="en-US" w:eastAsia="zh-CN" w:bidi="ar-SA"/>
        </w:rPr>
        <w:t>日内完成</w:t>
      </w:r>
      <w:r>
        <w:rPr>
          <w:rFonts w:hint="eastAsia" w:ascii="宋体" w:hAnsi="宋体" w:cs="宋体"/>
          <w:b w:val="0"/>
          <w:bCs w:val="0"/>
          <w:color w:val="auto"/>
          <w:kern w:val="2"/>
          <w:sz w:val="24"/>
          <w:szCs w:val="24"/>
          <w:highlight w:val="none"/>
          <w:lang w:val="en-US" w:eastAsia="zh-CN" w:bidi="ar-SA"/>
        </w:rPr>
        <w:t>全部取样监测、</w:t>
      </w:r>
      <w:r>
        <w:rPr>
          <w:rFonts w:hint="eastAsia" w:ascii="宋体" w:hAnsi="宋体" w:eastAsia="宋体" w:cs="宋体"/>
          <w:b w:val="0"/>
          <w:bCs w:val="0"/>
          <w:color w:val="auto"/>
          <w:kern w:val="2"/>
          <w:sz w:val="24"/>
          <w:szCs w:val="24"/>
          <w:highlight w:val="none"/>
          <w:lang w:val="en-US" w:eastAsia="zh-CN" w:bidi="ar-SA"/>
        </w:rPr>
        <w:t>报告</w:t>
      </w:r>
      <w:r>
        <w:rPr>
          <w:rFonts w:hint="eastAsia" w:ascii="宋体" w:hAnsi="宋体" w:cs="宋体"/>
          <w:b w:val="0"/>
          <w:bCs w:val="0"/>
          <w:color w:val="auto"/>
          <w:kern w:val="2"/>
          <w:sz w:val="24"/>
          <w:szCs w:val="24"/>
          <w:highlight w:val="none"/>
          <w:lang w:val="en-US" w:eastAsia="zh-CN" w:bidi="ar-SA"/>
        </w:rPr>
        <w:t>编制及</w:t>
      </w:r>
      <w:r>
        <w:rPr>
          <w:rFonts w:hint="eastAsia" w:ascii="宋体" w:hAnsi="宋体" w:eastAsia="宋体" w:cs="宋体"/>
          <w:b w:val="0"/>
          <w:bCs w:val="0"/>
          <w:color w:val="auto"/>
          <w:kern w:val="2"/>
          <w:sz w:val="24"/>
          <w:szCs w:val="24"/>
          <w:highlight w:val="none"/>
          <w:lang w:val="en-US" w:eastAsia="zh-CN" w:bidi="ar-SA"/>
        </w:rPr>
        <w:t>专家评审。</w:t>
      </w:r>
    </w:p>
    <w:p>
      <w:pPr>
        <w:widowControl w:val="0"/>
        <w:snapToGrid w:val="0"/>
        <w:spacing w:line="360" w:lineRule="auto"/>
        <w:ind w:firstLine="480" w:firstLineChars="20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2.服务地点</w:t>
      </w:r>
      <w:r>
        <w:rPr>
          <w:rFonts w:hint="eastAsia" w:ascii="宋体" w:hAnsi="宋体" w:cs="Times New Roman"/>
          <w:b/>
          <w:kern w:val="2"/>
          <w:sz w:val="24"/>
          <w:szCs w:val="20"/>
          <w:highlight w:val="none"/>
          <w:lang w:val="en-US" w:eastAsia="zh-CN" w:bidi="ar-SA"/>
        </w:rPr>
        <w:t>：</w:t>
      </w:r>
      <w:r>
        <w:rPr>
          <w:rFonts w:hint="eastAsia" w:asciiTheme="minorEastAsia" w:hAnsiTheme="minorEastAsia" w:eastAsiaTheme="minorEastAsia" w:cstheme="minorEastAsia"/>
          <w:color w:val="auto"/>
          <w:sz w:val="24"/>
          <w:szCs w:val="24"/>
          <w:highlight w:val="none"/>
          <w:lang w:val="en-US" w:eastAsia="zh-CN"/>
        </w:rPr>
        <w:t>采购人指定地</w:t>
      </w:r>
      <w:r>
        <w:rPr>
          <w:rFonts w:hint="eastAsia" w:asciiTheme="minorEastAsia" w:hAnsiTheme="minorEastAsia" w:eastAsiaTheme="minorEastAsia" w:cstheme="minorEastAsia"/>
          <w:color w:val="auto"/>
          <w:sz w:val="24"/>
          <w:szCs w:val="24"/>
          <w:lang w:val="en-US" w:eastAsia="zh-CN"/>
        </w:rPr>
        <w:t>点</w:t>
      </w:r>
    </w:p>
    <w:p>
      <w:pPr>
        <w:widowControl w:val="0"/>
        <w:snapToGrid w:val="0"/>
        <w:spacing w:line="360" w:lineRule="auto"/>
        <w:ind w:firstLine="482" w:firstLineChars="200"/>
        <w:jc w:val="both"/>
        <w:rPr>
          <w:rFonts w:hint="default" w:ascii="宋体" w:hAnsi="宋体" w:cs="Times New Roman"/>
          <w:b/>
          <w:kern w:val="2"/>
          <w:sz w:val="24"/>
          <w:szCs w:val="20"/>
          <w:lang w:val="en-US" w:eastAsia="zh-CN" w:bidi="ar-SA"/>
        </w:rPr>
      </w:pPr>
      <w:r>
        <w:rPr>
          <w:rFonts w:hint="eastAsia" w:ascii="宋体" w:hAnsi="宋体" w:cs="Times New Roman"/>
          <w:b/>
          <w:kern w:val="2"/>
          <w:sz w:val="24"/>
          <w:szCs w:val="20"/>
          <w:lang w:val="en-US" w:eastAsia="zh-CN" w:bidi="ar-SA"/>
        </w:rPr>
        <w:t>五、结算方式</w:t>
      </w:r>
    </w:p>
    <w:p>
      <w:pPr>
        <w:widowControl w:val="0"/>
        <w:snapToGrid w:val="0"/>
        <w:spacing w:line="360" w:lineRule="auto"/>
        <w:ind w:firstLine="480" w:firstLineChars="20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本项目采用固定综合单价合同，数量按监测数量进行结算。合同期间单价不予调整；</w:t>
      </w:r>
    </w:p>
    <w:p>
      <w:pPr>
        <w:widowControl w:val="0"/>
        <w:snapToGrid w:val="0"/>
        <w:spacing w:line="360" w:lineRule="auto"/>
        <w:ind w:firstLine="482" w:firstLineChars="200"/>
        <w:jc w:val="both"/>
        <w:rPr>
          <w:rFonts w:hint="default" w:ascii="宋体" w:hAnsi="宋体" w:cs="Times New Roman"/>
          <w:b/>
          <w:kern w:val="2"/>
          <w:sz w:val="24"/>
          <w:szCs w:val="20"/>
          <w:lang w:val="en-US" w:eastAsia="zh-CN" w:bidi="ar-SA"/>
        </w:rPr>
      </w:pPr>
      <w:r>
        <w:rPr>
          <w:rFonts w:hint="eastAsia" w:ascii="宋体" w:hAnsi="宋体" w:cs="Times New Roman"/>
          <w:b/>
          <w:kern w:val="2"/>
          <w:sz w:val="24"/>
          <w:szCs w:val="20"/>
          <w:lang w:val="en-US" w:eastAsia="zh-CN" w:bidi="ar-SA"/>
        </w:rPr>
        <w:t>六、付款方式</w:t>
      </w:r>
    </w:p>
    <w:p>
      <w:pPr>
        <w:widowControl w:val="0"/>
        <w:snapToGrid w:val="0"/>
        <w:spacing w:line="360" w:lineRule="auto"/>
        <w:ind w:firstLine="480" w:firstLineChars="200"/>
        <w:jc w:val="both"/>
        <w:rPr>
          <w:rFonts w:hint="eastAsia" w:asciiTheme="minorEastAsia" w:hAnsiTheme="minorEastAsia" w:eastAsiaTheme="minorEastAsia" w:cstheme="minorEastAsia"/>
          <w:color w:val="auto"/>
          <w:sz w:val="24"/>
          <w:szCs w:val="24"/>
          <w:lang w:val="en-US" w:eastAsia="zh-CN"/>
        </w:rPr>
      </w:pPr>
      <w:r>
        <w:rPr>
          <w:rFonts w:hint="eastAsia" w:ascii="宋体" w:hAnsi="宋体" w:cs="宋体"/>
          <w:b w:val="0"/>
          <w:bCs w:val="0"/>
          <w:color w:val="auto"/>
          <w:kern w:val="2"/>
          <w:sz w:val="24"/>
          <w:szCs w:val="24"/>
          <w:highlight w:val="none"/>
          <w:lang w:val="en-US" w:eastAsia="zh-CN" w:bidi="ar-SA"/>
        </w:rPr>
        <w:t>付款方式：</w:t>
      </w:r>
      <w:r>
        <w:rPr>
          <w:rFonts w:hint="eastAsia" w:ascii="宋体" w:hAnsi="宋体" w:eastAsia="宋体" w:cs="宋体"/>
          <w:b w:val="0"/>
          <w:bCs w:val="0"/>
          <w:color w:val="auto"/>
          <w:kern w:val="2"/>
          <w:sz w:val="24"/>
          <w:szCs w:val="24"/>
          <w:highlight w:val="none"/>
          <w:lang w:val="en-US" w:eastAsia="zh-CN" w:bidi="ar-SA"/>
        </w:rPr>
        <w:t>出具嵊州市殡仪馆改扩建工程的大气环境现状本底监测报告</w:t>
      </w:r>
      <w:r>
        <w:rPr>
          <w:rFonts w:hint="eastAsia" w:asciiTheme="minorEastAsia" w:hAnsiTheme="minorEastAsia" w:eastAsiaTheme="minorEastAsia" w:cstheme="minorEastAsia"/>
          <w:color w:val="auto"/>
          <w:sz w:val="24"/>
          <w:szCs w:val="24"/>
          <w:lang w:val="en-US" w:eastAsia="zh-CN"/>
        </w:rPr>
        <w:t>、出具</w:t>
      </w:r>
      <w:r>
        <w:rPr>
          <w:rFonts w:hint="eastAsia" w:ascii="宋体" w:hAnsi="宋体" w:eastAsia="宋体" w:cs="宋体"/>
          <w:b w:val="0"/>
          <w:bCs w:val="0"/>
          <w:color w:val="auto"/>
          <w:kern w:val="2"/>
          <w:sz w:val="24"/>
          <w:szCs w:val="24"/>
          <w:highlight w:val="none"/>
          <w:lang w:val="en-US" w:eastAsia="zh-CN" w:bidi="ar-SA"/>
        </w:rPr>
        <w:t>嵊州市殡仪馆提升改造工程项目环评竣工验收报告并通过专家评审</w:t>
      </w:r>
      <w:r>
        <w:rPr>
          <w:rFonts w:hint="eastAsia" w:asciiTheme="minorEastAsia" w:hAnsiTheme="minorEastAsia" w:eastAsiaTheme="minorEastAsia" w:cstheme="minorEastAsia"/>
          <w:color w:val="auto"/>
          <w:sz w:val="24"/>
          <w:szCs w:val="24"/>
          <w:lang w:val="en-US" w:eastAsia="zh-CN"/>
        </w:rPr>
        <w:t>，经验收合格后7个工作日内一次性付清结算价款（最终监测费用以实际完成并经采购人确认的监测数量为准）。</w:t>
      </w:r>
    </w:p>
    <w:p>
      <w:pPr>
        <w:widowControl w:val="0"/>
        <w:snapToGrid w:val="0"/>
        <w:spacing w:line="360" w:lineRule="auto"/>
        <w:ind w:firstLine="482" w:firstLineChars="200"/>
        <w:jc w:val="both"/>
        <w:rPr>
          <w:rFonts w:hint="eastAsia" w:ascii="宋体" w:hAnsi="宋体" w:cs="Times New Roman"/>
          <w:b/>
          <w:kern w:val="2"/>
          <w:sz w:val="24"/>
          <w:szCs w:val="20"/>
          <w:lang w:val="en-US" w:eastAsia="zh-CN" w:bidi="ar-SA"/>
        </w:rPr>
      </w:pPr>
      <w:r>
        <w:rPr>
          <w:rFonts w:hint="eastAsia" w:ascii="宋体" w:hAnsi="宋体" w:cs="Times New Roman"/>
          <w:b/>
          <w:kern w:val="2"/>
          <w:sz w:val="24"/>
          <w:szCs w:val="20"/>
          <w:lang w:val="en-US" w:eastAsia="zh-CN" w:bidi="ar-SA"/>
        </w:rPr>
        <w:t>七、履约保证金</w:t>
      </w:r>
    </w:p>
    <w:p>
      <w:pPr>
        <w:widowControl w:val="0"/>
        <w:snapToGrid w:val="0"/>
        <w:spacing w:line="360" w:lineRule="auto"/>
        <w:ind w:firstLine="480" w:firstLineChars="200"/>
        <w:jc w:val="both"/>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履约保证金按中标金额的1%，中标通知书发出后7个工作日内中标人向采购人递交履约保证金</w:t>
      </w:r>
      <w:r>
        <w:rPr>
          <w:rFonts w:hint="eastAsia" w:ascii="宋体" w:hAnsi="宋体" w:eastAsia="宋体" w:cs="宋体"/>
          <w:color w:val="auto"/>
          <w:kern w:val="2"/>
          <w:sz w:val="24"/>
          <w:szCs w:val="24"/>
          <w:highlight w:val="none"/>
          <w:lang w:val="en-US" w:eastAsia="zh-CN" w:bidi="ar"/>
        </w:rPr>
        <w:t>（网上银行/电汇/转账形式）</w:t>
      </w:r>
      <w:r>
        <w:rPr>
          <w:rFonts w:hint="eastAsia" w:asciiTheme="minorEastAsia" w:hAnsiTheme="minorEastAsia" w:eastAsiaTheme="minorEastAsia" w:cstheme="minorEastAsia"/>
          <w:color w:val="auto"/>
          <w:sz w:val="24"/>
          <w:szCs w:val="24"/>
          <w:lang w:val="en-US" w:eastAsia="zh-CN"/>
        </w:rPr>
        <w:t>，履约保证金在项目履行完成后30日内退还（无息）。</w:t>
      </w:r>
    </w:p>
    <w:p>
      <w:pPr>
        <w:widowControl w:val="0"/>
        <w:snapToGrid w:val="0"/>
        <w:spacing w:line="360" w:lineRule="auto"/>
        <w:ind w:firstLine="482" w:firstLineChars="200"/>
        <w:jc w:val="both"/>
        <w:rPr>
          <w:rFonts w:hint="default" w:ascii="宋体" w:hAnsi="宋体" w:cs="Times New Roman"/>
          <w:b/>
          <w:kern w:val="2"/>
          <w:sz w:val="24"/>
          <w:szCs w:val="20"/>
          <w:lang w:val="en-US" w:eastAsia="zh-CN" w:bidi="ar-SA"/>
        </w:rPr>
      </w:pPr>
      <w:r>
        <w:rPr>
          <w:rFonts w:hint="eastAsia" w:ascii="宋体" w:hAnsi="宋体" w:cs="Times New Roman"/>
          <w:b/>
          <w:kern w:val="2"/>
          <w:sz w:val="24"/>
          <w:szCs w:val="20"/>
          <w:lang w:val="en-US" w:eastAsia="zh-CN" w:bidi="ar-SA"/>
        </w:rPr>
        <w:t>八、差额保证金</w:t>
      </w:r>
    </w:p>
    <w:p>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0"/>
          <w:highlight w:val="none"/>
          <w:lang w:val="en-US" w:eastAsia="zh-CN" w:bidi="ar-SA"/>
          <w14:textFill>
            <w14:solidFill>
              <w14:schemeClr w14:val="tx1"/>
            </w14:solidFill>
          </w14:textFill>
        </w:rPr>
        <w:t>若中标人低于该风险控制价中标的，中标人必须额外补交中标价净值与风险控制价之差额，中标人不提交的视为放弃中标，由第二中标候选人中标或重新组织招标。差额保证金</w:t>
      </w:r>
      <w:r>
        <w:rPr>
          <w:rFonts w:hint="eastAsia" w:asciiTheme="minorEastAsia" w:hAnsiTheme="minorEastAsia" w:eastAsiaTheme="minorEastAsia" w:cstheme="minorEastAsia"/>
          <w:color w:val="auto"/>
          <w:kern w:val="0"/>
          <w:sz w:val="24"/>
          <w:szCs w:val="20"/>
          <w:highlight w:val="none"/>
          <w:lang w:val="en-US" w:eastAsia="zh-CN" w:bidi="ar-SA"/>
        </w:rPr>
        <w:t>待项目履行完成后30日内无息退还。（差额</w:t>
      </w:r>
      <w:r>
        <w:rPr>
          <w:rFonts w:hint="eastAsia" w:asciiTheme="minorEastAsia" w:hAnsiTheme="minorEastAsia" w:eastAsiaTheme="minorEastAsia" w:cstheme="minorEastAsia"/>
          <w:color w:val="000000" w:themeColor="text1"/>
          <w:kern w:val="0"/>
          <w:sz w:val="24"/>
          <w:szCs w:val="20"/>
          <w:highlight w:val="none"/>
          <w:lang w:val="en-US" w:eastAsia="zh-CN" w:bidi="ar-SA"/>
          <w14:textFill>
            <w14:solidFill>
              <w14:schemeClr w14:val="tx1"/>
            </w14:solidFill>
          </w14:textFill>
        </w:rPr>
        <w:t>保证金应在中标通知书发出后7个工作日内交至采购单位，以</w:t>
      </w:r>
      <w:r>
        <w:rPr>
          <w:rFonts w:hint="eastAsia" w:asciiTheme="minorEastAsia" w:hAnsiTheme="minorEastAsia" w:eastAsiaTheme="minorEastAsia" w:cstheme="minorEastAsia"/>
          <w:color w:val="auto"/>
          <w:sz w:val="24"/>
          <w:szCs w:val="24"/>
        </w:rPr>
        <w:t>电汇、转账、网上银行</w:t>
      </w:r>
      <w:r>
        <w:rPr>
          <w:rFonts w:hint="eastAsia" w:asciiTheme="minorEastAsia" w:hAnsiTheme="minorEastAsia" w:eastAsiaTheme="minorEastAsia" w:cstheme="minorEastAsia"/>
          <w:color w:val="auto"/>
          <w:sz w:val="24"/>
          <w:szCs w:val="24"/>
          <w:lang w:val="en-US" w:eastAsia="zh-CN"/>
        </w:rPr>
        <w:t>形式</w:t>
      </w:r>
      <w:r>
        <w:rPr>
          <w:rFonts w:hint="eastAsia" w:asciiTheme="minorEastAsia" w:hAnsiTheme="minorEastAsia" w:eastAsiaTheme="minorEastAsia" w:cstheme="minorEastAsia"/>
          <w:color w:val="000000" w:themeColor="text1"/>
          <w:kern w:val="0"/>
          <w:sz w:val="24"/>
          <w:szCs w:val="20"/>
          <w:highlight w:val="none"/>
          <w:lang w:val="en-US" w:eastAsia="zh-CN" w:bidi="ar-SA"/>
          <w14:textFill>
            <w14:solidFill>
              <w14:schemeClr w14:val="tx1"/>
            </w14:solidFill>
          </w14:textFill>
        </w:rPr>
        <w:t>交纳）。</w:t>
      </w:r>
    </w:p>
    <w:p>
      <w:pPr>
        <w:widowControl w:val="0"/>
        <w:snapToGrid w:val="0"/>
        <w:spacing w:line="360" w:lineRule="auto"/>
        <w:ind w:firstLine="482" w:firstLineChars="200"/>
        <w:jc w:val="both"/>
        <w:rPr>
          <w:rFonts w:ascii="宋体" w:hAnsi="宋体" w:eastAsia="宋体" w:cs="Times New Roman"/>
          <w:b/>
          <w:kern w:val="2"/>
          <w:sz w:val="24"/>
          <w:szCs w:val="20"/>
          <w:lang w:val="en-US" w:eastAsia="zh-CN" w:bidi="ar-SA"/>
        </w:rPr>
      </w:pPr>
      <w:r>
        <w:rPr>
          <w:rFonts w:hint="eastAsia" w:ascii="宋体" w:hAnsi="宋体" w:cs="Times New Roman"/>
          <w:b/>
          <w:kern w:val="2"/>
          <w:sz w:val="24"/>
          <w:szCs w:val="20"/>
          <w:lang w:val="en-US" w:eastAsia="zh-CN" w:bidi="ar-SA"/>
        </w:rPr>
        <w:t>九</w:t>
      </w:r>
      <w:r>
        <w:rPr>
          <w:rFonts w:hint="eastAsia" w:ascii="宋体" w:hAnsi="宋体" w:eastAsia="宋体" w:cs="Times New Roman"/>
          <w:b/>
          <w:kern w:val="2"/>
          <w:sz w:val="24"/>
          <w:szCs w:val="20"/>
          <w:lang w:val="en-US" w:eastAsia="zh-CN" w:bidi="ar-SA"/>
        </w:rPr>
        <w:t>、技术资料</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1.乙方应按磋商采购文件规定的时间向甲方提供有关技术资料。</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val="0"/>
        <w:snapToGrid w:val="0"/>
        <w:spacing w:line="360" w:lineRule="auto"/>
        <w:ind w:firstLine="482" w:firstLineChars="200"/>
        <w:jc w:val="both"/>
        <w:rPr>
          <w:rFonts w:ascii="宋体" w:hAnsi="宋体" w:eastAsia="宋体" w:cs="Times New Roman"/>
          <w:b/>
          <w:kern w:val="2"/>
          <w:sz w:val="24"/>
          <w:szCs w:val="20"/>
          <w:lang w:val="en-US" w:eastAsia="zh-CN" w:bidi="ar-SA"/>
        </w:rPr>
      </w:pPr>
      <w:r>
        <w:rPr>
          <w:rFonts w:hint="eastAsia" w:ascii="宋体" w:hAnsi="宋体" w:cs="Times New Roman"/>
          <w:b/>
          <w:kern w:val="2"/>
          <w:sz w:val="24"/>
          <w:szCs w:val="20"/>
          <w:lang w:val="en-US" w:eastAsia="zh-CN" w:bidi="ar-SA"/>
        </w:rPr>
        <w:t>十</w:t>
      </w:r>
      <w:r>
        <w:rPr>
          <w:rFonts w:hint="eastAsia" w:ascii="宋体" w:hAnsi="宋体" w:eastAsia="宋体" w:cs="Times New Roman"/>
          <w:b/>
          <w:kern w:val="2"/>
          <w:sz w:val="24"/>
          <w:szCs w:val="20"/>
          <w:lang w:val="en-US" w:eastAsia="zh-CN" w:bidi="ar-SA"/>
        </w:rPr>
        <w:t>、知识产权</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乙方应保证提供服务过程中不会侵犯任何第三方的知识产权。</w:t>
      </w:r>
    </w:p>
    <w:p>
      <w:pPr>
        <w:widowControl w:val="0"/>
        <w:snapToGrid w:val="0"/>
        <w:spacing w:line="360" w:lineRule="auto"/>
        <w:ind w:firstLine="482" w:firstLineChars="200"/>
        <w:jc w:val="both"/>
        <w:rPr>
          <w:rFonts w:ascii="宋体" w:hAnsi="宋体" w:eastAsia="宋体" w:cs="Times New Roman"/>
          <w:b/>
          <w:kern w:val="2"/>
          <w:sz w:val="24"/>
          <w:szCs w:val="20"/>
          <w:lang w:val="en-US" w:eastAsia="zh-CN" w:bidi="ar-SA"/>
        </w:rPr>
      </w:pPr>
      <w:r>
        <w:rPr>
          <w:rFonts w:hint="eastAsia" w:ascii="宋体" w:hAnsi="宋体" w:cs="Times New Roman"/>
          <w:b/>
          <w:kern w:val="2"/>
          <w:sz w:val="24"/>
          <w:szCs w:val="20"/>
          <w:lang w:val="en-US" w:eastAsia="zh-CN" w:bidi="ar-SA"/>
        </w:rPr>
        <w:t>十一</w:t>
      </w:r>
      <w:r>
        <w:rPr>
          <w:rFonts w:hint="eastAsia" w:ascii="宋体" w:hAnsi="宋体" w:eastAsia="宋体" w:cs="Times New Roman"/>
          <w:b/>
          <w:kern w:val="2"/>
          <w:sz w:val="24"/>
          <w:szCs w:val="20"/>
          <w:lang w:val="en-US" w:eastAsia="zh-CN" w:bidi="ar-SA"/>
        </w:rPr>
        <w:t>、转包或分包</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1</w:t>
      </w:r>
      <w:r>
        <w:rPr>
          <w:rFonts w:hint="eastAsia" w:ascii="宋体" w:hAnsi="宋体" w:eastAsia="宋体" w:cs="Times New Roman"/>
          <w:bCs/>
          <w:kern w:val="2"/>
          <w:sz w:val="24"/>
          <w:szCs w:val="20"/>
          <w:lang w:val="en-US" w:eastAsia="zh-CN" w:bidi="ar-SA"/>
        </w:rPr>
        <w:t>.本合同范围的服务，应由</w:t>
      </w:r>
      <w:r>
        <w:rPr>
          <w:rFonts w:ascii="宋体" w:hAnsi="宋体" w:eastAsia="宋体" w:cs="Times New Roman"/>
          <w:bCs/>
          <w:kern w:val="2"/>
          <w:sz w:val="24"/>
          <w:szCs w:val="20"/>
          <w:lang w:val="en-US" w:eastAsia="zh-CN" w:bidi="ar-SA"/>
        </w:rPr>
        <w:t>乙</w:t>
      </w:r>
      <w:r>
        <w:rPr>
          <w:rFonts w:hint="eastAsia" w:ascii="宋体" w:hAnsi="宋体" w:eastAsia="宋体" w:cs="Times New Roman"/>
          <w:bCs/>
          <w:kern w:val="2"/>
          <w:sz w:val="24"/>
          <w:szCs w:val="20"/>
          <w:lang w:val="en-US" w:eastAsia="zh-CN" w:bidi="ar-SA"/>
        </w:rPr>
        <w:t>方直接供应，不得转让他人供应；</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2.</w:t>
      </w:r>
      <w:r>
        <w:rPr>
          <w:rFonts w:hint="eastAsia" w:ascii="宋体" w:hAnsi="宋体" w:eastAsia="宋体" w:cs="Times New Roman"/>
          <w:bCs/>
          <w:kern w:val="2"/>
          <w:sz w:val="24"/>
          <w:szCs w:val="20"/>
          <w:lang w:val="en-US" w:eastAsia="zh-CN" w:bidi="ar-SA"/>
        </w:rPr>
        <w:t>除非得到甲方的书面同意，</w:t>
      </w:r>
      <w:r>
        <w:rPr>
          <w:rFonts w:ascii="宋体" w:hAnsi="宋体" w:eastAsia="宋体" w:cs="Times New Roman"/>
          <w:bCs/>
          <w:kern w:val="2"/>
          <w:sz w:val="24"/>
          <w:szCs w:val="20"/>
          <w:lang w:val="en-US" w:eastAsia="zh-CN" w:bidi="ar-SA"/>
        </w:rPr>
        <w:t>乙</w:t>
      </w:r>
      <w:r>
        <w:rPr>
          <w:rFonts w:hint="eastAsia" w:ascii="宋体" w:hAnsi="宋体" w:eastAsia="宋体" w:cs="Times New Roman"/>
          <w:bCs/>
          <w:kern w:val="2"/>
          <w:sz w:val="24"/>
          <w:szCs w:val="20"/>
          <w:lang w:val="en-US" w:eastAsia="zh-CN" w:bidi="ar-SA"/>
        </w:rPr>
        <w:t>方不得将本合同范围的服务全部或部分分包给他人供应；</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3</w:t>
      </w:r>
      <w:r>
        <w:rPr>
          <w:rFonts w:hint="eastAsia" w:ascii="宋体" w:hAnsi="宋体" w:eastAsia="宋体" w:cs="Times New Roman"/>
          <w:bCs/>
          <w:kern w:val="2"/>
          <w:sz w:val="24"/>
          <w:szCs w:val="20"/>
          <w:lang w:val="en-US" w:eastAsia="zh-CN" w:bidi="ar-SA"/>
        </w:rPr>
        <w:t>.如有转让和未经甲方同意的分包行为，甲方有权解除合同，没收履约保证金并追究乙方的违约责任。</w:t>
      </w:r>
    </w:p>
    <w:p>
      <w:pPr>
        <w:pStyle w:val="30"/>
        <w:snapToGrid w:val="0"/>
        <w:spacing w:before="0" w:beforeLines="0" w:after="0" w:afterLines="0"/>
        <w:ind w:firstLine="241" w:firstLineChars="100"/>
        <w:rPr>
          <w:rFonts w:hint="eastAsia" w:ascii="宋体" w:hAnsi="宋体" w:eastAsia="宋体" w:cs="Times New Roman"/>
          <w:b/>
          <w:kern w:val="2"/>
          <w:sz w:val="24"/>
          <w:szCs w:val="20"/>
          <w:lang w:val="en-US" w:eastAsia="zh-CN" w:bidi="ar-SA"/>
        </w:rPr>
      </w:pPr>
      <w:r>
        <w:rPr>
          <w:rFonts w:hint="eastAsia" w:ascii="宋体" w:hAnsi="宋体" w:eastAsia="宋体" w:cs="Times New Roman"/>
          <w:b/>
          <w:kern w:val="2"/>
          <w:sz w:val="24"/>
          <w:szCs w:val="20"/>
          <w:lang w:val="en-US" w:eastAsia="zh-CN" w:bidi="ar-SA"/>
        </w:rPr>
        <w:t>十二、验收</w:t>
      </w:r>
    </w:p>
    <w:p>
      <w:pPr>
        <w:snapToGrid w:val="0"/>
        <w:spacing w:line="400" w:lineRule="exact"/>
        <w:ind w:firstLine="420" w:firstLineChars="200"/>
        <w:rPr>
          <w:rFonts w:ascii="宋体" w:hAnsi="宋体"/>
          <w:color w:val="auto"/>
          <w:sz w:val="24"/>
          <w:highlight w:val="none"/>
        </w:rPr>
      </w:pPr>
      <w:r>
        <w:rPr>
          <w:rFonts w:hAnsi="宋体" w:cs="宋体"/>
          <w:snapToGrid w:val="0"/>
          <w:color w:val="auto"/>
          <w:kern w:val="0"/>
          <w:highlight w:val="none"/>
        </w:rPr>
        <w:t>1、</w:t>
      </w:r>
      <w:r>
        <w:rPr>
          <w:rFonts w:ascii="宋体" w:hAnsi="宋体" w:cs="仿宋_GB2312"/>
          <w:color w:val="auto"/>
          <w:kern w:val="0"/>
          <w:sz w:val="24"/>
          <w:highlight w:val="none"/>
        </w:rPr>
        <w:t>验收由甲方按规定组织相关人员进行验收</w:t>
      </w:r>
      <w:r>
        <w:rPr>
          <w:rFonts w:ascii="宋体" w:hAnsi="宋体"/>
          <w:color w:val="auto"/>
          <w:sz w:val="24"/>
          <w:highlight w:val="none"/>
        </w:rPr>
        <w:t>。</w:t>
      </w:r>
    </w:p>
    <w:p>
      <w:pPr>
        <w:pStyle w:val="30"/>
        <w:snapToGrid w:val="0"/>
        <w:spacing w:before="0" w:beforeLines="0" w:after="0" w:afterLines="0" w:line="440" w:lineRule="exact"/>
        <w:ind w:firstLine="480" w:firstLineChars="200"/>
        <w:rPr>
          <w:rFonts w:hAnsi="宋体"/>
          <w:color w:val="auto"/>
          <w:highlight w:val="none"/>
        </w:rPr>
      </w:pPr>
      <w:r>
        <w:rPr>
          <w:rFonts w:hAnsi="宋体" w:cs="宋体"/>
          <w:snapToGrid w:val="0"/>
          <w:color w:val="auto"/>
          <w:kern w:val="0"/>
          <w:highlight w:val="none"/>
        </w:rPr>
        <w:t>2、</w:t>
      </w:r>
      <w:r>
        <w:rPr>
          <w:rFonts w:hAnsi="宋体" w:cs="仿宋_GB2312"/>
          <w:color w:val="auto"/>
          <w:kern w:val="0"/>
          <w:highlight w:val="none"/>
        </w:rPr>
        <w:t>甲方</w:t>
      </w:r>
      <w:r>
        <w:rPr>
          <w:rFonts w:hAnsi="宋体" w:cs="宋体"/>
          <w:snapToGrid w:val="0"/>
          <w:color w:val="auto"/>
          <w:kern w:val="0"/>
          <w:highlight w:val="none"/>
        </w:rPr>
        <w:t>依据招标文件上的技术规格要求和国家有关质量标准进行现场验收。</w:t>
      </w:r>
      <w:r>
        <w:rPr>
          <w:rFonts w:hAnsi="宋体"/>
          <w:color w:val="auto"/>
          <w:highlight w:val="none"/>
        </w:rPr>
        <w:t xml:space="preserve">验收合格后由甲方在验收单上签字并加盖单位公章。   </w:t>
      </w:r>
    </w:p>
    <w:p>
      <w:pPr>
        <w:pStyle w:val="30"/>
        <w:adjustRightInd w:val="0"/>
        <w:snapToGrid w:val="0"/>
        <w:spacing w:before="0" w:beforeLines="0" w:after="0" w:afterLines="0"/>
        <w:ind w:firstLine="511" w:firstLineChars="213"/>
        <w:rPr>
          <w:rFonts w:hAnsi="宋体" w:cs="宋体"/>
          <w:snapToGrid w:val="0"/>
          <w:color w:val="auto"/>
          <w:kern w:val="0"/>
          <w:highlight w:val="none"/>
        </w:rPr>
      </w:pPr>
      <w:r>
        <w:rPr>
          <w:rFonts w:hAnsi="宋体" w:cs="宋体"/>
          <w:snapToGrid w:val="0"/>
          <w:color w:val="auto"/>
          <w:kern w:val="0"/>
          <w:highlight w:val="none"/>
        </w:rPr>
        <w:t>3、验收时乙方必须在现场，验收费用由乙方负责。</w:t>
      </w:r>
    </w:p>
    <w:p>
      <w:pPr>
        <w:widowControl w:val="0"/>
        <w:snapToGrid w:val="0"/>
        <w:spacing w:line="360" w:lineRule="auto"/>
        <w:ind w:firstLine="241" w:firstLineChars="100"/>
        <w:jc w:val="both"/>
        <w:rPr>
          <w:rFonts w:ascii="宋体" w:hAnsi="宋体" w:eastAsia="宋体" w:cs="Times New Roman"/>
          <w:b/>
          <w:kern w:val="2"/>
          <w:sz w:val="24"/>
          <w:szCs w:val="20"/>
          <w:lang w:val="en-US" w:eastAsia="zh-CN" w:bidi="ar-SA"/>
        </w:rPr>
      </w:pPr>
      <w:r>
        <w:rPr>
          <w:rFonts w:hint="eastAsia" w:ascii="宋体" w:hAnsi="宋体" w:cs="Times New Roman"/>
          <w:b/>
          <w:kern w:val="2"/>
          <w:sz w:val="24"/>
          <w:szCs w:val="20"/>
          <w:lang w:val="en-US" w:eastAsia="zh-CN" w:bidi="ar-SA"/>
        </w:rPr>
        <w:t>十三、</w:t>
      </w:r>
      <w:r>
        <w:rPr>
          <w:rFonts w:hint="eastAsia" w:ascii="宋体" w:hAnsi="宋体" w:eastAsia="宋体" w:cs="Times New Roman"/>
          <w:b/>
          <w:kern w:val="2"/>
          <w:sz w:val="24"/>
          <w:szCs w:val="20"/>
          <w:lang w:val="en-US" w:eastAsia="zh-CN" w:bidi="ar-SA"/>
        </w:rPr>
        <w:t>违约责任</w:t>
      </w:r>
    </w:p>
    <w:p>
      <w:pPr>
        <w:widowControl w:val="0"/>
        <w:snapToGrid w:val="0"/>
        <w:spacing w:line="360" w:lineRule="auto"/>
        <w:ind w:firstLine="480" w:firstLineChars="200"/>
        <w:jc w:val="both"/>
        <w:rPr>
          <w:rFonts w:hint="eastAsia"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1.甲方无正当理由拒收接受服务的，甲方向乙方偿付合同款项</w:t>
      </w:r>
      <w:r>
        <w:rPr>
          <w:rFonts w:hint="eastAsia" w:ascii="宋体" w:hAnsi="宋体" w:eastAsia="宋体" w:cs="Times New Roman"/>
          <w:bCs/>
          <w:kern w:val="2"/>
          <w:sz w:val="24"/>
          <w:szCs w:val="20"/>
          <w:u w:val="single"/>
          <w:lang w:val="en-US" w:eastAsia="zh-CN" w:bidi="ar-SA"/>
        </w:rPr>
        <w:t>百分之五</w:t>
      </w:r>
      <w:r>
        <w:rPr>
          <w:rFonts w:hint="eastAsia" w:ascii="宋体" w:hAnsi="宋体" w:eastAsia="宋体" w:cs="Times New Roman"/>
          <w:bCs/>
          <w:kern w:val="2"/>
          <w:sz w:val="24"/>
          <w:szCs w:val="20"/>
          <w:lang w:val="en-US" w:eastAsia="zh-CN" w:bidi="ar-SA"/>
        </w:rPr>
        <w:t>作为违约金。</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2.甲方无故逾期验收和办理款项支付手续的,甲方应按逾期付款总额</w:t>
      </w:r>
      <w:r>
        <w:rPr>
          <w:rFonts w:hint="eastAsia" w:ascii="宋体" w:hAnsi="宋体" w:eastAsia="宋体" w:cs="Times New Roman"/>
          <w:bCs/>
          <w:kern w:val="2"/>
          <w:sz w:val="24"/>
          <w:szCs w:val="20"/>
          <w:u w:val="single"/>
          <w:lang w:val="en-US" w:eastAsia="zh-CN" w:bidi="ar-SA"/>
        </w:rPr>
        <w:t>每日万分之五</w:t>
      </w:r>
      <w:r>
        <w:rPr>
          <w:rFonts w:hint="eastAsia" w:ascii="宋体" w:hAnsi="宋体" w:eastAsia="宋体" w:cs="Times New Roman"/>
          <w:bCs/>
          <w:kern w:val="2"/>
          <w:sz w:val="24"/>
          <w:szCs w:val="20"/>
          <w:lang w:val="en-US" w:eastAsia="zh-CN" w:bidi="ar-SA"/>
        </w:rPr>
        <w:t>向乙方支付违约金。</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hint="eastAsia" w:ascii="宋体" w:hAnsi="宋体" w:eastAsia="宋体" w:cs="Times New Roman"/>
          <w:bCs/>
          <w:kern w:val="2"/>
          <w:sz w:val="24"/>
          <w:szCs w:val="20"/>
          <w:lang w:val="en-US" w:eastAsia="zh-CN" w:bidi="ar-SA"/>
        </w:rPr>
        <w:t>3.乙方未能如期提供服务的，每日向甲方支付合同款项的</w:t>
      </w:r>
      <w:r>
        <w:rPr>
          <w:rFonts w:hint="eastAsia" w:ascii="宋体" w:hAnsi="宋体" w:eastAsia="宋体" w:cs="Times New Roman"/>
          <w:bCs/>
          <w:kern w:val="2"/>
          <w:sz w:val="24"/>
          <w:szCs w:val="20"/>
          <w:u w:val="single"/>
          <w:lang w:val="en-US" w:eastAsia="zh-CN" w:bidi="ar-SA"/>
        </w:rPr>
        <w:t>千分之六</w:t>
      </w:r>
      <w:r>
        <w:rPr>
          <w:rFonts w:hint="eastAsia" w:ascii="宋体" w:hAnsi="宋体" w:eastAsia="宋体" w:cs="Times New Roman"/>
          <w:bCs/>
          <w:kern w:val="2"/>
          <w:sz w:val="24"/>
          <w:szCs w:val="20"/>
          <w:lang w:val="en-US" w:eastAsia="zh-CN" w:bidi="ar-SA"/>
        </w:rPr>
        <w:t>作为违约金。乙方超过约定日期10个工作日仍不能提供服务的，甲方可解除本合同。乙方因未能如期提供服务或因其他违约行为导致甲方解除合同的，乙方应向甲方支付合同总值</w:t>
      </w:r>
      <w:r>
        <w:rPr>
          <w:rFonts w:hint="eastAsia" w:ascii="宋体" w:hAnsi="宋体" w:eastAsia="宋体" w:cs="Times New Roman"/>
          <w:bCs/>
          <w:kern w:val="2"/>
          <w:sz w:val="24"/>
          <w:szCs w:val="20"/>
          <w:u w:val="single"/>
          <w:lang w:val="en-US" w:eastAsia="zh-CN" w:bidi="ar-SA"/>
        </w:rPr>
        <w:t>5%</w:t>
      </w:r>
      <w:r>
        <w:rPr>
          <w:rFonts w:hint="eastAsia" w:ascii="宋体" w:hAnsi="宋体" w:eastAsia="宋体" w:cs="Times New Roman"/>
          <w:bCs/>
          <w:kern w:val="2"/>
          <w:sz w:val="24"/>
          <w:szCs w:val="20"/>
          <w:lang w:val="en-US" w:eastAsia="zh-CN" w:bidi="ar-SA"/>
        </w:rPr>
        <w:t xml:space="preserve">的违约金，如造成甲方损失超过违约金的，超出部分由乙方继续承担赔偿责任。 </w:t>
      </w:r>
    </w:p>
    <w:p>
      <w:pPr>
        <w:widowControl w:val="0"/>
        <w:snapToGrid w:val="0"/>
        <w:spacing w:before="120" w:after="120" w:line="360" w:lineRule="auto"/>
        <w:ind w:firstLine="482" w:firstLineChars="200"/>
        <w:jc w:val="both"/>
        <w:rPr>
          <w:rFonts w:ascii="宋体" w:hAnsi="宋体" w:eastAsia="宋体" w:cs="Times New Roman"/>
          <w:b/>
          <w:kern w:val="2"/>
          <w:sz w:val="24"/>
          <w:szCs w:val="20"/>
          <w:lang w:val="en-US" w:eastAsia="zh-CN" w:bidi="ar-SA"/>
        </w:rPr>
      </w:pPr>
      <w:r>
        <w:rPr>
          <w:rFonts w:ascii="宋体" w:hAnsi="宋体" w:eastAsia="宋体" w:cs="Times New Roman"/>
          <w:b/>
          <w:kern w:val="2"/>
          <w:sz w:val="24"/>
          <w:szCs w:val="20"/>
          <w:lang w:val="en-US" w:eastAsia="zh-CN" w:bidi="ar-SA"/>
        </w:rPr>
        <w:t>十</w:t>
      </w:r>
      <w:r>
        <w:rPr>
          <w:rFonts w:hint="eastAsia" w:ascii="宋体" w:hAnsi="宋体" w:cs="Times New Roman"/>
          <w:b/>
          <w:kern w:val="2"/>
          <w:sz w:val="24"/>
          <w:szCs w:val="20"/>
          <w:lang w:val="en-US" w:eastAsia="zh-CN" w:bidi="ar-SA"/>
        </w:rPr>
        <w:t>四</w:t>
      </w:r>
      <w:r>
        <w:rPr>
          <w:rFonts w:ascii="宋体" w:hAnsi="宋体" w:eastAsia="宋体" w:cs="Times New Roman"/>
          <w:b/>
          <w:kern w:val="2"/>
          <w:sz w:val="24"/>
          <w:szCs w:val="20"/>
          <w:lang w:val="en-US" w:eastAsia="zh-CN" w:bidi="ar-SA"/>
        </w:rPr>
        <w:t>、不可抗力事件处理</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1.在合同有效期内，任何一方因不可抗力事件导致不能履行合同，则合同履行期可延长，其延长期与不可抗力影响期相同。</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2.不可抗力事件发生后，应立即通知对方，并寄送有关权威机构出具的证明。</w:t>
      </w:r>
    </w:p>
    <w:p>
      <w:pPr>
        <w:widowControl w:val="0"/>
        <w:snapToGrid w:val="0"/>
        <w:spacing w:line="360" w:lineRule="auto"/>
        <w:ind w:firstLine="480" w:firstLineChars="200"/>
        <w:jc w:val="both"/>
        <w:rPr>
          <w:rFonts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3.不可抗力事件延续120天以上，双方应通过友好协商，确定是否继续履行合同。</w:t>
      </w:r>
    </w:p>
    <w:p>
      <w:pPr>
        <w:widowControl w:val="0"/>
        <w:snapToGrid w:val="0"/>
        <w:spacing w:before="120" w:after="120" w:line="360" w:lineRule="auto"/>
        <w:ind w:firstLine="482" w:firstLineChars="200"/>
        <w:jc w:val="both"/>
        <w:rPr>
          <w:rFonts w:ascii="宋体" w:hAnsi="宋体" w:eastAsia="宋体" w:cs="Times New Roman"/>
          <w:b/>
          <w:kern w:val="2"/>
          <w:sz w:val="24"/>
          <w:szCs w:val="20"/>
          <w:lang w:val="en-US" w:eastAsia="zh-CN" w:bidi="ar-SA"/>
        </w:rPr>
      </w:pPr>
      <w:r>
        <w:rPr>
          <w:rFonts w:ascii="宋体" w:hAnsi="宋体" w:eastAsia="宋体" w:cs="Times New Roman"/>
          <w:b/>
          <w:kern w:val="2"/>
          <w:sz w:val="24"/>
          <w:szCs w:val="20"/>
          <w:lang w:val="en-US" w:eastAsia="zh-CN" w:bidi="ar-SA"/>
        </w:rPr>
        <w:t>十</w:t>
      </w:r>
      <w:r>
        <w:rPr>
          <w:rFonts w:hint="eastAsia" w:ascii="宋体" w:hAnsi="宋体" w:cs="Times New Roman"/>
          <w:b/>
          <w:kern w:val="2"/>
          <w:sz w:val="24"/>
          <w:szCs w:val="20"/>
          <w:lang w:val="en-US" w:eastAsia="zh-CN" w:bidi="ar-SA"/>
        </w:rPr>
        <w:t>五</w:t>
      </w:r>
      <w:r>
        <w:rPr>
          <w:rFonts w:ascii="宋体" w:hAnsi="宋体" w:eastAsia="宋体" w:cs="Times New Roman"/>
          <w:b/>
          <w:kern w:val="2"/>
          <w:sz w:val="24"/>
          <w:szCs w:val="20"/>
          <w:lang w:val="en-US" w:eastAsia="zh-CN" w:bidi="ar-SA"/>
        </w:rPr>
        <w:t>、</w:t>
      </w:r>
      <w:r>
        <w:rPr>
          <w:rFonts w:hint="eastAsia" w:ascii="宋体" w:hAnsi="宋体" w:eastAsia="宋体" w:cs="Times New Roman"/>
          <w:b/>
          <w:kern w:val="2"/>
          <w:sz w:val="24"/>
          <w:szCs w:val="20"/>
          <w:lang w:val="en-US" w:eastAsia="zh-CN" w:bidi="ar-SA"/>
        </w:rPr>
        <w:t>解决争议的方法</w:t>
      </w:r>
    </w:p>
    <w:p>
      <w:pPr>
        <w:widowControl w:val="0"/>
        <w:snapToGrid w:val="0"/>
        <w:spacing w:line="360" w:lineRule="auto"/>
        <w:ind w:firstLine="480" w:firstLineChars="200"/>
        <w:jc w:val="both"/>
        <w:rPr>
          <w:rFonts w:hint="default" w:ascii="宋体" w:hAnsi="宋体" w:eastAsia="宋体" w:cs="Times New Roman"/>
          <w:bCs/>
          <w:kern w:val="2"/>
          <w:sz w:val="24"/>
          <w:szCs w:val="20"/>
          <w:lang w:val="en-US" w:eastAsia="zh-CN" w:bidi="ar-SA"/>
        </w:rPr>
      </w:pPr>
      <w:r>
        <w:rPr>
          <w:rFonts w:ascii="宋体" w:hAnsi="宋体" w:eastAsia="宋体" w:cs="Times New Roman"/>
          <w:bCs/>
          <w:kern w:val="2"/>
          <w:sz w:val="24"/>
          <w:szCs w:val="20"/>
          <w:lang w:val="en-US" w:eastAsia="zh-CN" w:bidi="ar-SA"/>
        </w:rPr>
        <w:t>双方在履行合同</w:t>
      </w:r>
      <w:r>
        <w:rPr>
          <w:rFonts w:hint="eastAsia" w:ascii="宋体" w:hAnsi="宋体" w:cs="Times New Roman"/>
          <w:bCs/>
          <w:kern w:val="2"/>
          <w:sz w:val="24"/>
          <w:szCs w:val="20"/>
          <w:lang w:val="en-US" w:eastAsia="zh-CN" w:bidi="ar-SA"/>
        </w:rPr>
        <w:t>期间</w:t>
      </w:r>
      <w:r>
        <w:rPr>
          <w:rFonts w:ascii="宋体" w:hAnsi="宋体" w:eastAsia="宋体" w:cs="Times New Roman"/>
          <w:bCs/>
          <w:kern w:val="2"/>
          <w:sz w:val="24"/>
          <w:szCs w:val="20"/>
          <w:lang w:val="en-US" w:eastAsia="zh-CN" w:bidi="ar-SA"/>
        </w:rPr>
        <w:t>发生纠纷，应协商解决；协商不成时，</w:t>
      </w:r>
      <w:r>
        <w:rPr>
          <w:rFonts w:hint="eastAsia" w:ascii="宋体" w:hAnsi="宋体" w:cs="Times New Roman"/>
          <w:bCs/>
          <w:kern w:val="2"/>
          <w:sz w:val="24"/>
          <w:szCs w:val="20"/>
          <w:lang w:val="en-US" w:eastAsia="zh-CN" w:bidi="ar-SA"/>
        </w:rPr>
        <w:t>任何一方均可向嵊州市人民法院诉讼解决。</w:t>
      </w:r>
    </w:p>
    <w:p>
      <w:pPr>
        <w:widowControl w:val="0"/>
        <w:snapToGrid w:val="0"/>
        <w:spacing w:before="120" w:after="120" w:line="360" w:lineRule="auto"/>
        <w:ind w:firstLine="482" w:firstLineChars="200"/>
        <w:jc w:val="both"/>
        <w:rPr>
          <w:rFonts w:ascii="宋体" w:hAnsi="宋体" w:eastAsia="宋体" w:cs="Times New Roman"/>
          <w:b/>
          <w:kern w:val="2"/>
          <w:sz w:val="24"/>
          <w:szCs w:val="20"/>
          <w:lang w:val="en-US" w:eastAsia="zh-CN" w:bidi="ar-SA"/>
        </w:rPr>
      </w:pPr>
      <w:r>
        <w:rPr>
          <w:rFonts w:ascii="宋体" w:hAnsi="宋体" w:eastAsia="宋体" w:cs="Times New Roman"/>
          <w:b/>
          <w:kern w:val="2"/>
          <w:sz w:val="24"/>
          <w:szCs w:val="20"/>
          <w:lang w:val="en-US" w:eastAsia="zh-CN" w:bidi="ar-SA"/>
        </w:rPr>
        <w:t>十</w:t>
      </w:r>
      <w:r>
        <w:rPr>
          <w:rFonts w:hint="eastAsia" w:ascii="宋体" w:hAnsi="宋体" w:cs="Times New Roman"/>
          <w:b/>
          <w:kern w:val="2"/>
          <w:sz w:val="24"/>
          <w:szCs w:val="20"/>
          <w:lang w:val="en-US" w:eastAsia="zh-CN" w:bidi="ar-SA"/>
        </w:rPr>
        <w:t>六</w:t>
      </w:r>
      <w:r>
        <w:rPr>
          <w:rFonts w:ascii="宋体" w:hAnsi="宋体" w:eastAsia="宋体" w:cs="Times New Roman"/>
          <w:b/>
          <w:kern w:val="2"/>
          <w:sz w:val="24"/>
          <w:szCs w:val="20"/>
          <w:lang w:val="en-US" w:eastAsia="zh-CN" w:bidi="ar-SA"/>
        </w:rPr>
        <w:t>、合同生效及其它</w:t>
      </w:r>
    </w:p>
    <w:p>
      <w:pPr>
        <w:keepNext w:val="0"/>
        <w:keepLines w:val="0"/>
        <w:pageBreakBefore w:val="0"/>
        <w:widowControl/>
        <w:kinsoku/>
        <w:wordWrap/>
        <w:overflowPunct/>
        <w:topLinePunct w:val="0"/>
        <w:autoSpaceDE/>
        <w:autoSpaceDN/>
        <w:bidi w:val="0"/>
        <w:snapToGrid w:val="0"/>
        <w:spacing w:line="360" w:lineRule="auto"/>
        <w:ind w:left="0" w:leftChars="0" w:firstLine="480" w:firstLineChars="200"/>
        <w:textAlignment w:val="auto"/>
        <w:outlineLvl w:val="9"/>
        <w:rPr>
          <w:rFonts w:hint="eastAsia" w:asciiTheme="minorEastAsia" w:hAnsiTheme="minorEastAsia" w:eastAsiaTheme="minorEastAsia" w:cstheme="minorEastAsia"/>
          <w:b w:val="0"/>
          <w:bCs w:val="0"/>
          <w:color w:val="auto"/>
          <w:kern w:val="0"/>
          <w:sz w:val="24"/>
        </w:rPr>
      </w:pPr>
      <w:r>
        <w:rPr>
          <w:rFonts w:hint="eastAsia" w:asciiTheme="minorEastAsia" w:hAnsiTheme="minorEastAsia" w:eastAsiaTheme="minorEastAsia" w:cstheme="minorEastAsia"/>
          <w:b w:val="0"/>
          <w:bCs w:val="0"/>
          <w:color w:val="auto"/>
          <w:kern w:val="0"/>
          <w:sz w:val="24"/>
          <w:lang w:val="en-US" w:eastAsia="zh-CN"/>
        </w:rPr>
        <w:t>1.</w:t>
      </w:r>
      <w:r>
        <w:rPr>
          <w:rFonts w:hint="eastAsia" w:asciiTheme="minorEastAsia" w:hAnsiTheme="minorEastAsia" w:eastAsiaTheme="minorEastAsia" w:cstheme="minorEastAsia"/>
          <w:b w:val="0"/>
          <w:bCs w:val="0"/>
          <w:color w:val="auto"/>
          <w:kern w:val="0"/>
          <w:sz w:val="24"/>
        </w:rPr>
        <w:t>合同经双方法定代表人或授权代表签字并加盖单位公章后生效。</w:t>
      </w:r>
    </w:p>
    <w:p>
      <w:pPr>
        <w:keepNext w:val="0"/>
        <w:keepLines w:val="0"/>
        <w:pageBreakBefore w:val="0"/>
        <w:widowControl/>
        <w:kinsoku/>
        <w:wordWrap/>
        <w:overflowPunct/>
        <w:topLinePunct w:val="0"/>
        <w:autoSpaceDE/>
        <w:autoSpaceDN/>
        <w:bidi w:val="0"/>
        <w:snapToGrid w:val="0"/>
        <w:spacing w:line="360" w:lineRule="auto"/>
        <w:ind w:left="0" w:leftChars="0" w:firstLine="480" w:firstLineChars="200"/>
        <w:textAlignment w:val="auto"/>
        <w:outlineLvl w:val="9"/>
        <w:rPr>
          <w:rFonts w:hint="eastAsia" w:asciiTheme="minorEastAsia" w:hAnsiTheme="minorEastAsia" w:eastAsiaTheme="minorEastAsia" w:cstheme="minorEastAsia"/>
          <w:b w:val="0"/>
          <w:bCs w:val="0"/>
          <w:color w:val="auto"/>
          <w:kern w:val="0"/>
          <w:sz w:val="24"/>
        </w:rPr>
      </w:pPr>
      <w:r>
        <w:rPr>
          <w:rFonts w:hint="eastAsia" w:asciiTheme="minorEastAsia" w:hAnsiTheme="minorEastAsia" w:eastAsiaTheme="minorEastAsia" w:cstheme="minorEastAsia"/>
          <w:b w:val="0"/>
          <w:bCs w:val="0"/>
          <w:color w:val="auto"/>
          <w:kern w:val="0"/>
          <w:sz w:val="24"/>
        </w:rPr>
        <w:t>2.合同执行中涉及采购资金和采购内容修改或补充的，须经</w:t>
      </w:r>
      <w:r>
        <w:rPr>
          <w:rFonts w:hint="eastAsia" w:asciiTheme="minorEastAsia" w:hAnsiTheme="minorEastAsia" w:eastAsiaTheme="minorEastAsia" w:cstheme="minorEastAsia"/>
          <w:b w:val="0"/>
          <w:bCs w:val="0"/>
          <w:color w:val="auto"/>
          <w:kern w:val="0"/>
          <w:sz w:val="24"/>
          <w:lang w:val="en-US" w:eastAsia="zh-CN"/>
        </w:rPr>
        <w:t>相关</w:t>
      </w:r>
      <w:r>
        <w:rPr>
          <w:rFonts w:hint="eastAsia" w:asciiTheme="minorEastAsia" w:hAnsiTheme="minorEastAsia" w:eastAsiaTheme="minorEastAsia" w:cstheme="minorEastAsia"/>
          <w:b w:val="0"/>
          <w:bCs w:val="0"/>
          <w:color w:val="auto"/>
          <w:kern w:val="0"/>
          <w:sz w:val="24"/>
        </w:rPr>
        <w:t>部门审批，并签 书面补充协议报采购监督管理部门备案，方可作为主合同不可分割的一部分。</w:t>
      </w:r>
    </w:p>
    <w:p>
      <w:pPr>
        <w:keepNext w:val="0"/>
        <w:keepLines w:val="0"/>
        <w:pageBreakBefore w:val="0"/>
        <w:widowControl/>
        <w:kinsoku/>
        <w:wordWrap/>
        <w:overflowPunct/>
        <w:topLinePunct w:val="0"/>
        <w:autoSpaceDE/>
        <w:autoSpaceDN/>
        <w:bidi w:val="0"/>
        <w:snapToGrid w:val="0"/>
        <w:spacing w:line="360" w:lineRule="auto"/>
        <w:ind w:left="0" w:leftChars="0" w:firstLine="480" w:firstLineChars="200"/>
        <w:textAlignment w:val="auto"/>
        <w:outlineLvl w:val="9"/>
        <w:rPr>
          <w:rFonts w:hint="eastAsia" w:asciiTheme="minorEastAsia" w:hAnsiTheme="minorEastAsia" w:eastAsiaTheme="minorEastAsia" w:cstheme="minorEastAsia"/>
          <w:b w:val="0"/>
          <w:bCs w:val="0"/>
          <w:color w:val="auto"/>
          <w:kern w:val="0"/>
          <w:sz w:val="24"/>
        </w:rPr>
      </w:pPr>
      <w:r>
        <w:rPr>
          <w:rFonts w:hint="eastAsia" w:asciiTheme="minorEastAsia" w:hAnsiTheme="minorEastAsia" w:eastAsiaTheme="minorEastAsia" w:cstheme="minorEastAsia"/>
          <w:b w:val="0"/>
          <w:bCs w:val="0"/>
          <w:color w:val="auto"/>
          <w:kern w:val="0"/>
          <w:sz w:val="24"/>
        </w:rPr>
        <w:t>3.本合同未尽事宜，遵照《民法典》有关条文执行。</w:t>
      </w:r>
    </w:p>
    <w:p>
      <w:pPr>
        <w:keepNext w:val="0"/>
        <w:keepLines w:val="0"/>
        <w:pageBreakBefore w:val="0"/>
        <w:widowControl/>
        <w:kinsoku/>
        <w:wordWrap/>
        <w:overflowPunct/>
        <w:topLinePunct w:val="0"/>
        <w:autoSpaceDE/>
        <w:autoSpaceDN/>
        <w:bidi w:val="0"/>
        <w:snapToGrid w:val="0"/>
        <w:spacing w:line="360" w:lineRule="auto"/>
        <w:ind w:left="0" w:leftChars="0" w:firstLine="480" w:firstLineChars="200"/>
        <w:textAlignment w:val="auto"/>
        <w:outlineLvl w:val="9"/>
        <w:rPr>
          <w:rFonts w:hint="eastAsia" w:asciiTheme="minorEastAsia" w:hAnsiTheme="minorEastAsia" w:eastAsiaTheme="minorEastAsia" w:cstheme="minorEastAsia"/>
          <w:b/>
          <w:bCs/>
          <w:color w:val="auto"/>
          <w:kern w:val="0"/>
          <w:sz w:val="24"/>
        </w:rPr>
      </w:pPr>
      <w:r>
        <w:rPr>
          <w:rFonts w:hint="eastAsia" w:asciiTheme="minorEastAsia" w:hAnsiTheme="minorEastAsia" w:eastAsiaTheme="minorEastAsia" w:cstheme="minorEastAsia"/>
          <w:b w:val="0"/>
          <w:bCs w:val="0"/>
          <w:color w:val="auto"/>
          <w:kern w:val="0"/>
          <w:sz w:val="24"/>
          <w:lang w:val="en-US" w:eastAsia="zh-CN"/>
        </w:rPr>
        <w:t>4</w:t>
      </w:r>
      <w:r>
        <w:rPr>
          <w:rFonts w:hint="eastAsia" w:asciiTheme="minorEastAsia" w:hAnsiTheme="minorEastAsia" w:eastAsiaTheme="minorEastAsia" w:cstheme="minorEastAsia"/>
          <w:b w:val="0"/>
          <w:bCs w:val="0"/>
          <w:color w:val="auto"/>
          <w:kern w:val="0"/>
          <w:sz w:val="24"/>
        </w:rPr>
        <w:t>.本合同</w:t>
      </w:r>
      <w:r>
        <w:rPr>
          <w:rFonts w:hint="eastAsia" w:asciiTheme="minorEastAsia" w:hAnsiTheme="minorEastAsia" w:eastAsiaTheme="minorEastAsia" w:cstheme="minorEastAsia"/>
          <w:b w:val="0"/>
          <w:bCs w:val="0"/>
          <w:color w:val="auto"/>
          <w:kern w:val="0"/>
          <w:sz w:val="24"/>
          <w:lang w:val="en-US" w:eastAsia="zh-CN"/>
        </w:rPr>
        <w:t>一式五份</w:t>
      </w:r>
      <w:r>
        <w:rPr>
          <w:rFonts w:hint="eastAsia" w:asciiTheme="minorEastAsia" w:hAnsiTheme="minorEastAsia" w:eastAsiaTheme="minorEastAsia" w:cstheme="minorEastAsia"/>
          <w:b w:val="0"/>
          <w:bCs w:val="0"/>
          <w:color w:val="auto"/>
          <w:kern w:val="0"/>
          <w:sz w:val="24"/>
        </w:rPr>
        <w:t>，具有同等法律效力，甲乙双方各执</w:t>
      </w:r>
      <w:r>
        <w:rPr>
          <w:rFonts w:hint="eastAsia" w:asciiTheme="minorEastAsia" w:hAnsiTheme="minorEastAsia" w:eastAsiaTheme="minorEastAsia" w:cstheme="minorEastAsia"/>
          <w:b w:val="0"/>
          <w:bCs w:val="0"/>
          <w:color w:val="auto"/>
          <w:kern w:val="0"/>
          <w:sz w:val="24"/>
          <w:lang w:val="en-US" w:eastAsia="zh-CN"/>
        </w:rPr>
        <w:t>两</w:t>
      </w:r>
      <w:r>
        <w:rPr>
          <w:rFonts w:hint="eastAsia" w:asciiTheme="minorEastAsia" w:hAnsiTheme="minorEastAsia" w:eastAsiaTheme="minorEastAsia" w:cstheme="minorEastAsia"/>
          <w:b w:val="0"/>
          <w:bCs w:val="0"/>
          <w:color w:val="auto"/>
          <w:kern w:val="0"/>
          <w:sz w:val="24"/>
        </w:rPr>
        <w:t>份，代理机构一份。</w:t>
      </w:r>
    </w:p>
    <w:p>
      <w:pPr>
        <w:keepNext w:val="0"/>
        <w:keepLines w:val="0"/>
        <w:pageBreakBefore w:val="0"/>
        <w:kinsoku/>
        <w:wordWrap/>
        <w:overflowPunct/>
        <w:topLinePunct w:val="0"/>
        <w:autoSpaceDE/>
        <w:autoSpaceDN/>
        <w:bidi w:val="0"/>
        <w:adjustRightInd/>
        <w:spacing w:line="360" w:lineRule="auto"/>
        <w:ind w:left="0" w:leftChars="0" w:firstLine="0" w:firstLineChars="0"/>
        <w:textAlignment w:val="auto"/>
        <w:outlineLvl w:val="9"/>
        <w:rPr>
          <w:rFonts w:hint="eastAsia" w:asciiTheme="minorEastAsia" w:hAnsiTheme="minorEastAsia" w:eastAsiaTheme="minorEastAsia" w:cstheme="minorEastAsia"/>
          <w:color w:val="auto"/>
          <w:sz w:val="24"/>
          <w:szCs w:val="24"/>
          <w:highlight w:val="none"/>
        </w:rPr>
      </w:pPr>
    </w:p>
    <w:p>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80" w:firstLineChars="200"/>
        <w:jc w:val="both"/>
        <w:textAlignment w:val="auto"/>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 xml:space="preserve">甲方：                                   乙方： </w:t>
      </w:r>
    </w:p>
    <w:p>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80" w:firstLineChars="200"/>
        <w:jc w:val="both"/>
        <w:textAlignment w:val="auto"/>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 xml:space="preserve">地址：                                   地址： </w:t>
      </w:r>
    </w:p>
    <w:p>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80" w:firstLineChars="200"/>
        <w:jc w:val="both"/>
        <w:textAlignment w:val="auto"/>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法定（授权）代表人：                     法定（授权）代表人：</w:t>
      </w:r>
    </w:p>
    <w:p>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80" w:firstLineChars="200"/>
        <w:jc w:val="both"/>
        <w:textAlignment w:val="auto"/>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开户银行：　　　　　　　　　　　　　　　 开户银行：</w:t>
      </w:r>
    </w:p>
    <w:p>
      <w:pPr>
        <w:keepNext w:val="0"/>
        <w:keepLines w:val="0"/>
        <w:pageBreakBefore w:val="0"/>
        <w:widowControl w:val="0"/>
        <w:kinsoku/>
        <w:wordWrap/>
        <w:overflowPunct/>
        <w:topLinePunct w:val="0"/>
        <w:autoSpaceDE/>
        <w:autoSpaceDN/>
        <w:bidi w:val="0"/>
        <w:adjustRightInd/>
        <w:snapToGrid w:val="0"/>
        <w:spacing w:before="0" w:beforeLines="0" w:after="0" w:afterLines="0" w:line="360" w:lineRule="auto"/>
        <w:ind w:firstLine="480" w:firstLineChars="200"/>
        <w:jc w:val="both"/>
        <w:textAlignment w:val="auto"/>
        <w:outlineLvl w:val="9"/>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账号：　　　　　　　　　　　　　　　　　 账号：</w:t>
      </w:r>
    </w:p>
    <w:p>
      <w:pPr>
        <w:keepNext w:val="0"/>
        <w:keepLines w:val="0"/>
        <w:pageBreakBefore w:val="0"/>
        <w:widowControl/>
        <w:kinsoku/>
        <w:wordWrap/>
        <w:overflowPunct/>
        <w:topLinePunct w:val="0"/>
        <w:autoSpaceDE/>
        <w:autoSpaceDN/>
        <w:bidi w:val="0"/>
        <w:spacing w:line="400" w:lineRule="exact"/>
        <w:ind w:firstLine="480" w:firstLineChars="200"/>
        <w:textAlignment w:val="auto"/>
        <w:rPr>
          <w:rFonts w:hint="eastAsia"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color w:val="auto"/>
          <w:sz w:val="24"/>
          <w:szCs w:val="24"/>
          <w:highlight w:val="none"/>
        </w:rPr>
        <w:t xml:space="preserve">签字日期：   年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月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日               签字日期：      年</w:t>
      </w:r>
      <w:r>
        <w:rPr>
          <w:rFonts w:hint="eastAsia" w:asciiTheme="minorEastAsia" w:hAnsiTheme="minorEastAsia" w:eastAsiaTheme="minorEastAsia" w:cstheme="minorEastAsia"/>
          <w:color w:val="auto"/>
          <w:sz w:val="24"/>
          <w:szCs w:val="24"/>
          <w:highlight w:val="none"/>
          <w:lang w:val="en-US" w:eastAsia="zh-CN"/>
        </w:rPr>
        <w:t xml:space="preserve">   月   日</w:t>
      </w:r>
      <w:bookmarkStart w:id="152" w:name="_Toc466"/>
    </w:p>
    <w:p>
      <w:pPr>
        <w:keepNext w:val="0"/>
        <w:keepLines w:val="0"/>
        <w:pageBreakBefore w:val="0"/>
        <w:widowControl/>
        <w:kinsoku/>
        <w:wordWrap/>
        <w:overflowPunct/>
        <w:topLinePunct w:val="0"/>
        <w:autoSpaceDE/>
        <w:autoSpaceDN/>
        <w:bidi w:val="0"/>
        <w:spacing w:line="400" w:lineRule="exact"/>
        <w:ind w:firstLine="1446" w:firstLineChars="400"/>
        <w:textAlignment w:val="auto"/>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bCs/>
          <w:color w:val="auto"/>
          <w:sz w:val="36"/>
          <w:szCs w:val="36"/>
        </w:rPr>
        <w:t>第六章 磋商响应文件格式附件</w:t>
      </w:r>
      <w:bookmarkEnd w:id="152"/>
    </w:p>
    <w:p>
      <w:pPr>
        <w:spacing w:line="360" w:lineRule="auto"/>
        <w:ind w:firstLine="482"/>
        <w:rPr>
          <w:rFonts w:ascii="宋体" w:cs="宋体"/>
          <w:bCs/>
        </w:rPr>
      </w:pPr>
      <w:bookmarkStart w:id="153" w:name="_Toc5353_WPSOffice_Level1"/>
      <w:bookmarkStart w:id="154" w:name="_Toc27510_WPSOffice_Level1"/>
      <w:bookmarkStart w:id="155" w:name="_Toc29520_WPSOffice_Level1"/>
      <w:r>
        <w:rPr>
          <w:rFonts w:hint="eastAsia" w:ascii="宋体" w:hAnsi="宋体" w:cs="宋体"/>
          <w:bCs/>
        </w:rPr>
        <w:t>本附件所有格式仅供制作</w:t>
      </w:r>
      <w:r>
        <w:rPr>
          <w:rFonts w:hint="eastAsia" w:ascii="宋体" w:hAnsi="宋体" w:cs="宋体"/>
          <w:bCs/>
          <w:lang w:val="en-US" w:eastAsia="zh-CN"/>
        </w:rPr>
        <w:t>磋商响应文件</w:t>
      </w:r>
      <w:r>
        <w:rPr>
          <w:rFonts w:hint="eastAsia" w:ascii="宋体" w:hAnsi="宋体" w:cs="宋体"/>
          <w:bCs/>
        </w:rPr>
        <w:t>时参考，供应商应根据行业特点，结合本项目的相关要求，对有关内容、表格可进行补充或修改，但不得对实质性内容做出变动。</w:t>
      </w:r>
    </w:p>
    <w:bookmarkEnd w:id="153"/>
    <w:bookmarkEnd w:id="154"/>
    <w:bookmarkEnd w:id="155"/>
    <w:p>
      <w:pPr>
        <w:pStyle w:val="5"/>
        <w:tabs>
          <w:tab w:val="left" w:pos="2651"/>
        </w:tabs>
        <w:spacing w:line="360" w:lineRule="auto"/>
        <w:ind w:firstLine="1484" w:firstLineChars="528"/>
        <w:rPr>
          <w:rStyle w:val="249"/>
          <w:rFonts w:hint="eastAsia"/>
          <w:b w:val="0"/>
          <w:bCs w:val="0"/>
        </w:rPr>
      </w:pPr>
      <w:bookmarkStart w:id="156" w:name="_Toc5472_WPSOffice_Level1"/>
      <w:bookmarkStart w:id="157" w:name="_Toc183_WPSOffice_Level1"/>
      <w:bookmarkStart w:id="158" w:name="_Toc2956_WPSOffice_Level1"/>
      <w:r>
        <w:rPr>
          <w:rFonts w:hint="eastAsia"/>
        </w:rPr>
        <w:t>资格文件/资信技术文件/报价文件封面格式</w:t>
      </w:r>
      <w:bookmarkEnd w:id="156"/>
      <w:bookmarkEnd w:id="157"/>
      <w:bookmarkEnd w:id="158"/>
    </w:p>
    <w:p>
      <w:pPr>
        <w:pStyle w:val="33"/>
        <w:spacing w:line="420" w:lineRule="exact"/>
        <w:ind w:firstLineChars="62"/>
        <w:jc w:val="left"/>
        <w:rPr>
          <w:rFonts w:hint="eastAsia" w:ascii="宋体" w:hAnsi="宋体" w:eastAsia="宋体" w:cs="宋体"/>
          <w:sz w:val="32"/>
        </w:rPr>
      </w:pPr>
    </w:p>
    <w:p>
      <w:pPr>
        <w:spacing w:line="420" w:lineRule="exact"/>
        <w:ind w:firstLine="642"/>
        <w:jc w:val="center"/>
        <w:rPr>
          <w:rFonts w:ascii="宋体" w:hAnsi="宋体" w:cs="宋体"/>
          <w:sz w:val="32"/>
          <w:szCs w:val="32"/>
        </w:rPr>
      </w:pPr>
      <w:r>
        <w:rPr>
          <w:rFonts w:ascii="宋体" w:hAnsi="宋体" w:cs="宋体"/>
          <w:sz w:val="32"/>
          <w:szCs w:val="32"/>
        </w:rPr>
        <w:t xml:space="preserve">                                    </w:t>
      </w:r>
    </w:p>
    <w:p>
      <w:pPr>
        <w:spacing w:line="420" w:lineRule="exact"/>
        <w:ind w:firstLine="642"/>
        <w:jc w:val="right"/>
        <w:rPr>
          <w:rFonts w:ascii="宋体" w:cs="宋体"/>
          <w:sz w:val="84"/>
        </w:rPr>
      </w:pPr>
      <w:r>
        <w:rPr>
          <w:rFonts w:ascii="宋体" w:hAnsi="宋体" w:cs="宋体"/>
          <w:sz w:val="32"/>
          <w:szCs w:val="32"/>
        </w:rPr>
        <w:t xml:space="preserve">    </w:t>
      </w:r>
      <w:r>
        <w:rPr>
          <w:rFonts w:hint="eastAsia" w:ascii="宋体" w:hAnsi="宋体" w:cs="宋体"/>
          <w:sz w:val="32"/>
          <w:szCs w:val="32"/>
        </w:rPr>
        <w:t>正本或副本</w:t>
      </w:r>
    </w:p>
    <w:p>
      <w:pPr>
        <w:ind w:firstLine="0" w:firstLineChars="0"/>
      </w:pPr>
    </w:p>
    <w:p>
      <w:pPr>
        <w:pStyle w:val="376"/>
      </w:pPr>
    </w:p>
    <w:p>
      <w:pPr>
        <w:pStyle w:val="376"/>
      </w:pPr>
    </w:p>
    <w:p>
      <w:pPr>
        <w:spacing w:line="240" w:lineRule="auto"/>
        <w:ind w:firstLine="0" w:firstLineChars="0"/>
        <w:jc w:val="center"/>
        <w:rPr>
          <w:rFonts w:ascii="宋体" w:cs="宋体"/>
          <w:b/>
          <w:bCs/>
          <w:sz w:val="52"/>
          <w:szCs w:val="52"/>
        </w:rPr>
      </w:pPr>
      <w:r>
        <w:rPr>
          <w:rFonts w:hint="eastAsia" w:ascii="宋体" w:cs="宋体"/>
          <w:b/>
          <w:bCs/>
          <w:sz w:val="48"/>
          <w:szCs w:val="48"/>
        </w:rPr>
        <w:t>资格文件/资信技术文件/报价文件</w:t>
      </w:r>
    </w:p>
    <w:p>
      <w:pPr>
        <w:ind w:firstLine="0" w:firstLineChars="0"/>
        <w:rPr>
          <w:rFonts w:ascii="宋体" w:cs="宋体"/>
        </w:rPr>
      </w:pPr>
    </w:p>
    <w:p>
      <w:pPr>
        <w:ind w:firstLine="0" w:firstLineChars="0"/>
        <w:rPr>
          <w:rFonts w:ascii="宋体" w:cs="宋体"/>
        </w:rPr>
      </w:pPr>
    </w:p>
    <w:p>
      <w:pPr>
        <w:ind w:firstLine="0" w:firstLineChars="0"/>
        <w:rPr>
          <w:rFonts w:ascii="宋体" w:cs="宋体"/>
        </w:rPr>
      </w:pPr>
    </w:p>
    <w:p>
      <w:pPr>
        <w:spacing w:line="360" w:lineRule="auto"/>
        <w:ind w:left="2159" w:leftChars="266" w:hanging="1600" w:hangingChars="500"/>
        <w:rPr>
          <w:rFonts w:hint="eastAsia" w:ascii="宋体" w:hAnsi="宋体" w:cs="宋体"/>
          <w:sz w:val="32"/>
        </w:rPr>
      </w:pPr>
    </w:p>
    <w:p>
      <w:pPr>
        <w:snapToGrid w:val="0"/>
        <w:spacing w:line="360" w:lineRule="auto"/>
        <w:ind w:firstLine="640" w:firstLineChars="200"/>
        <w:rPr>
          <w:rFonts w:hint="eastAsia" w:ascii="宋体" w:hAnsi="宋体" w:cs="宋体"/>
          <w:sz w:val="32"/>
          <w:u w:val="single"/>
          <w:lang w:eastAsia="zh-CN"/>
        </w:rPr>
      </w:pPr>
      <w:r>
        <w:rPr>
          <w:rFonts w:hint="eastAsia" w:ascii="宋体" w:hAnsi="宋体" w:cs="宋体"/>
          <w:sz w:val="32"/>
        </w:rPr>
        <w:t>项目名称：</w:t>
      </w:r>
      <w:r>
        <w:rPr>
          <w:rFonts w:hint="eastAsia" w:ascii="宋体" w:hAnsi="宋体" w:cs="宋体"/>
          <w:sz w:val="32"/>
          <w:u w:val="single"/>
          <w:lang w:val="zh-CN"/>
        </w:rPr>
        <w:t xml:space="preserve"> </w:t>
      </w:r>
      <w:r>
        <w:rPr>
          <w:rFonts w:hint="eastAsia" w:ascii="宋体" w:hAnsi="宋体" w:cs="宋体"/>
          <w:sz w:val="32"/>
          <w:u w:val="single"/>
          <w:lang w:eastAsia="zh-CN"/>
        </w:rPr>
        <w:t>嵊州市殡仪馆改扩建工程环境监测服务项目</w:t>
      </w:r>
    </w:p>
    <w:p>
      <w:pPr>
        <w:spacing w:line="360" w:lineRule="auto"/>
        <w:ind w:firstLine="642"/>
        <w:rPr>
          <w:rFonts w:hint="eastAsia" w:ascii="宋体" w:cs="宋体"/>
          <w:sz w:val="32"/>
        </w:rPr>
      </w:pPr>
      <w:r>
        <w:rPr>
          <w:rFonts w:hint="eastAsia" w:ascii="宋体" w:hAnsi="宋体" w:cs="宋体"/>
          <w:sz w:val="32"/>
        </w:rPr>
        <w:t>项目编号：</w:t>
      </w:r>
      <w:r>
        <w:rPr>
          <w:rFonts w:ascii="宋体" w:hAnsi="宋体" w:cs="宋体"/>
          <w:sz w:val="32"/>
          <w:u w:val="single"/>
        </w:rPr>
        <w:t xml:space="preserve">    </w:t>
      </w:r>
      <w:r>
        <w:rPr>
          <w:rFonts w:hint="eastAsia" w:ascii="宋体" w:hAnsi="宋体" w:cs="宋体"/>
          <w:sz w:val="32"/>
          <w:u w:val="single"/>
          <w:lang w:eastAsia="zh-CN"/>
        </w:rPr>
        <w:t xml:space="preserve">  ZJZL-F240228JC    </w:t>
      </w:r>
      <w:r>
        <w:rPr>
          <w:rFonts w:hint="eastAsia" w:ascii="宋体" w:hAnsi="宋体" w:cs="宋体"/>
          <w:sz w:val="32"/>
          <w:u w:val="single"/>
        </w:rPr>
        <w:t xml:space="preserve">     </w:t>
      </w:r>
      <w:r>
        <w:rPr>
          <w:rFonts w:ascii="宋体" w:hAnsi="宋体" w:cs="宋体"/>
          <w:sz w:val="32"/>
          <w:u w:val="single"/>
        </w:rPr>
        <w:t xml:space="preserve">         </w:t>
      </w:r>
      <w:r>
        <w:rPr>
          <w:rFonts w:hint="eastAsia" w:ascii="宋体" w:hAnsi="宋体" w:cs="宋体"/>
          <w:sz w:val="32"/>
          <w:u w:val="single"/>
        </w:rPr>
        <w:t xml:space="preserve"> </w:t>
      </w:r>
    </w:p>
    <w:p>
      <w:pPr>
        <w:spacing w:line="360" w:lineRule="auto"/>
        <w:ind w:firstLine="642"/>
        <w:rPr>
          <w:rFonts w:ascii="宋体" w:cs="宋体"/>
          <w:sz w:val="32"/>
          <w:u w:val="single"/>
        </w:rPr>
      </w:pPr>
      <w:r>
        <w:rPr>
          <w:rFonts w:hint="eastAsia" w:ascii="宋体" w:hAnsi="宋体" w:cs="宋体"/>
          <w:sz w:val="32"/>
          <w:highlight w:val="none"/>
          <w:lang w:val="en-US" w:eastAsia="zh-CN"/>
        </w:rPr>
        <w:t>供 应 商</w:t>
      </w:r>
      <w:r>
        <w:rPr>
          <w:rFonts w:hint="eastAsia" w:ascii="宋体" w:hAnsi="宋体" w:cs="宋体"/>
          <w:sz w:val="32"/>
        </w:rPr>
        <w:t>：</w:t>
      </w:r>
      <w:r>
        <w:rPr>
          <w:rFonts w:ascii="宋体" w:hAnsi="宋体" w:cs="宋体"/>
          <w:sz w:val="32"/>
          <w:u w:val="single"/>
        </w:rPr>
        <w:t xml:space="preserve">     </w:t>
      </w:r>
      <w:r>
        <w:rPr>
          <w:rFonts w:hint="eastAsia" w:ascii="宋体" w:hAnsi="宋体" w:cs="宋体"/>
          <w:sz w:val="32"/>
          <w:u w:val="single"/>
        </w:rPr>
        <w:t>（全称）（加盖公章）</w:t>
      </w:r>
      <w:r>
        <w:rPr>
          <w:rFonts w:ascii="宋体" w:hAnsi="宋体" w:cs="宋体"/>
          <w:sz w:val="32"/>
          <w:u w:val="single"/>
        </w:rPr>
        <w:t xml:space="preserve">              </w:t>
      </w:r>
    </w:p>
    <w:p>
      <w:pPr>
        <w:spacing w:line="360" w:lineRule="auto"/>
        <w:ind w:firstLine="642"/>
        <w:rPr>
          <w:rFonts w:ascii="宋体" w:hAnsi="宋体" w:cs="宋体"/>
          <w:sz w:val="32"/>
          <w:u w:val="single"/>
        </w:rPr>
      </w:pPr>
      <w:r>
        <w:rPr>
          <w:rFonts w:hint="eastAsia" w:ascii="宋体" w:hAnsi="宋体" w:cs="宋体"/>
          <w:sz w:val="32"/>
          <w:highlight w:val="none"/>
          <w:lang w:val="en-US" w:eastAsia="zh-CN"/>
        </w:rPr>
        <w:t>供应商</w:t>
      </w:r>
      <w:r>
        <w:rPr>
          <w:rFonts w:hint="eastAsia" w:ascii="宋体" w:hAnsi="宋体" w:cs="宋体"/>
          <w:sz w:val="32"/>
        </w:rPr>
        <w:t>地址：</w:t>
      </w:r>
      <w:r>
        <w:rPr>
          <w:rFonts w:ascii="宋体" w:hAnsi="宋体" w:cs="宋体"/>
          <w:sz w:val="32"/>
          <w:u w:val="single"/>
        </w:rPr>
        <w:t xml:space="preserve">                                 </w:t>
      </w:r>
      <w:r>
        <w:rPr>
          <w:rFonts w:hint="eastAsia" w:ascii="宋体" w:hAnsi="宋体" w:cs="宋体"/>
          <w:sz w:val="32"/>
          <w:u w:val="single"/>
        </w:rPr>
        <w:t xml:space="preserve">  </w:t>
      </w:r>
      <w:r>
        <w:rPr>
          <w:rFonts w:ascii="宋体" w:hAnsi="宋体" w:cs="宋体"/>
          <w:sz w:val="32"/>
          <w:u w:val="single"/>
        </w:rPr>
        <w:t xml:space="preserve">  </w:t>
      </w:r>
    </w:p>
    <w:p>
      <w:pPr>
        <w:spacing w:line="360" w:lineRule="auto"/>
        <w:ind w:firstLine="0" w:firstLineChars="0"/>
        <w:rPr>
          <w:rFonts w:hint="eastAsia" w:ascii="宋体" w:cs="宋体"/>
          <w:sz w:val="32"/>
          <w:u w:val="single"/>
        </w:rPr>
      </w:pPr>
    </w:p>
    <w:p>
      <w:pPr>
        <w:spacing w:line="360" w:lineRule="auto"/>
        <w:ind w:firstLine="0" w:firstLineChars="0"/>
        <w:jc w:val="center"/>
        <w:rPr>
          <w:rFonts w:ascii="宋体" w:hAnsi="宋体" w:cs="宋体"/>
          <w:sz w:val="32"/>
        </w:rPr>
      </w:pPr>
      <w:bookmarkStart w:id="159" w:name="_Toc16735_WPSOffice_Level1"/>
      <w:bookmarkStart w:id="160" w:name="_Toc5625_WPSOffice_Level1"/>
      <w:bookmarkStart w:id="161" w:name="_Toc10313_WPSOffice_Level1"/>
      <w:r>
        <w:rPr>
          <w:rFonts w:hint="eastAsia" w:ascii="宋体" w:hAnsi="宋体" w:cs="宋体"/>
          <w:sz w:val="32"/>
          <w:lang w:eastAsia="zh-CN"/>
        </w:rPr>
        <w:t>二〇二四</w:t>
      </w:r>
      <w:r>
        <w:rPr>
          <w:rFonts w:hint="eastAsia" w:ascii="宋体" w:hAnsi="宋体" w:cs="宋体"/>
          <w:sz w:val="32"/>
        </w:rPr>
        <w:t xml:space="preserve"> 年</w:t>
      </w:r>
      <w:r>
        <w:rPr>
          <w:rFonts w:ascii="宋体" w:hAnsi="宋体" w:cs="宋体"/>
          <w:sz w:val="32"/>
        </w:rPr>
        <w:t xml:space="preserve">    </w:t>
      </w:r>
      <w:r>
        <w:rPr>
          <w:rFonts w:hint="eastAsia" w:ascii="宋体" w:hAnsi="宋体" w:cs="宋体"/>
          <w:sz w:val="32"/>
        </w:rPr>
        <w:t>月</w:t>
      </w:r>
      <w:r>
        <w:rPr>
          <w:rFonts w:ascii="宋体" w:hAnsi="宋体" w:cs="宋体"/>
          <w:sz w:val="32"/>
        </w:rPr>
        <w:t xml:space="preserve">    </w:t>
      </w:r>
      <w:r>
        <w:rPr>
          <w:rFonts w:hint="eastAsia" w:ascii="宋体" w:hAnsi="宋体" w:cs="宋体"/>
          <w:sz w:val="32"/>
        </w:rPr>
        <w:t>日</w:t>
      </w:r>
      <w:bookmarkEnd w:id="159"/>
      <w:bookmarkEnd w:id="160"/>
      <w:bookmarkEnd w:id="161"/>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sectPr>
          <w:pgSz w:w="11906" w:h="16838"/>
          <w:pgMar w:top="1474" w:right="1514" w:bottom="1247" w:left="1514" w:header="851" w:footer="851" w:gutter="0"/>
          <w:pgNumType w:start="1"/>
          <w:cols w:space="720" w:num="1"/>
          <w:docGrid w:linePitch="312" w:charSpace="0"/>
        </w:sectPr>
      </w:pPr>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附件：</w:t>
      </w:r>
    </w:p>
    <w:p>
      <w:pPr>
        <w:adjustRightInd w:val="0"/>
        <w:snapToGrid w:val="0"/>
        <w:spacing w:line="420" w:lineRule="exact"/>
        <w:ind w:firstLine="725"/>
        <w:jc w:val="center"/>
        <w:rPr>
          <w:rFonts w:ascii="宋体" w:cs="宋体"/>
          <w:b/>
          <w:sz w:val="36"/>
          <w:szCs w:val="36"/>
        </w:rPr>
      </w:pPr>
      <w:r>
        <w:rPr>
          <w:rFonts w:hint="eastAsia" w:ascii="宋体" w:hAnsi="宋体" w:cs="宋体"/>
          <w:b/>
          <w:sz w:val="36"/>
          <w:szCs w:val="36"/>
          <w:lang w:val="en-US" w:eastAsia="zh-CN"/>
        </w:rPr>
        <w:t>投标</w:t>
      </w:r>
      <w:r>
        <w:rPr>
          <w:rFonts w:hint="eastAsia" w:ascii="宋体" w:hAnsi="宋体" w:cs="宋体"/>
          <w:b/>
          <w:sz w:val="36"/>
          <w:szCs w:val="36"/>
        </w:rPr>
        <w:t>资格声明书</w:t>
      </w:r>
    </w:p>
    <w:p>
      <w:pPr>
        <w:spacing w:line="420" w:lineRule="exact"/>
        <w:ind w:firstLine="0" w:firstLineChars="0"/>
        <w:rPr>
          <w:rFonts w:ascii="宋体" w:cs="宋体"/>
          <w:sz w:val="24"/>
          <w:szCs w:val="24"/>
        </w:rPr>
      </w:pPr>
      <w:r>
        <w:rPr>
          <w:rFonts w:hint="eastAsia" w:ascii="宋体" w:hAnsi="宋体" w:cs="宋体"/>
          <w:sz w:val="24"/>
          <w:szCs w:val="24"/>
        </w:rPr>
        <w:t>致：</w:t>
      </w:r>
      <w:r>
        <w:rPr>
          <w:rFonts w:ascii="宋体" w:hAnsi="宋体" w:cs="宋体"/>
          <w:sz w:val="24"/>
          <w:szCs w:val="24"/>
          <w:u w:val="single"/>
        </w:rPr>
        <w:t xml:space="preserve">          </w:t>
      </w:r>
      <w:r>
        <w:rPr>
          <w:rFonts w:hint="eastAsia" w:ascii="宋体" w:hAnsi="宋体" w:cs="宋体"/>
          <w:sz w:val="24"/>
          <w:szCs w:val="24"/>
        </w:rPr>
        <w:t>（采购人名称）</w:t>
      </w:r>
    </w:p>
    <w:p>
      <w:pPr>
        <w:tabs>
          <w:tab w:val="left" w:pos="1418"/>
        </w:tabs>
        <w:snapToGrid w:val="0"/>
        <w:spacing w:line="420" w:lineRule="exact"/>
        <w:ind w:firstLine="482"/>
        <w:rPr>
          <w:rFonts w:ascii="宋体" w:cs="宋体"/>
          <w:sz w:val="24"/>
          <w:szCs w:val="24"/>
        </w:rPr>
      </w:pPr>
      <w:r>
        <w:rPr>
          <w:rFonts w:ascii="宋体" w:hAnsi="宋体" w:cs="宋体"/>
          <w:sz w:val="24"/>
          <w:szCs w:val="24"/>
          <w:u w:val="single"/>
        </w:rPr>
        <w:t xml:space="preserve">                  </w:t>
      </w:r>
      <w:r>
        <w:rPr>
          <w:rFonts w:hint="eastAsia" w:ascii="宋体" w:hAnsi="宋体" w:cs="宋体"/>
          <w:sz w:val="24"/>
          <w:szCs w:val="24"/>
        </w:rPr>
        <w:t>（投标人名称）系中华人民共和国合法企业，经营地址</w:t>
      </w:r>
      <w:r>
        <w:rPr>
          <w:rFonts w:ascii="宋体" w:hAnsi="宋体" w:cs="宋体"/>
          <w:sz w:val="24"/>
          <w:szCs w:val="24"/>
          <w:u w:val="single"/>
        </w:rPr>
        <w:t xml:space="preserve">                        </w:t>
      </w:r>
      <w:r>
        <w:rPr>
          <w:rFonts w:hint="eastAsia" w:ascii="宋体" w:hAnsi="宋体" w:cs="宋体"/>
          <w:sz w:val="24"/>
          <w:szCs w:val="24"/>
        </w:rPr>
        <w:t>。</w:t>
      </w:r>
    </w:p>
    <w:p>
      <w:pPr>
        <w:tabs>
          <w:tab w:val="left" w:pos="1418"/>
        </w:tabs>
        <w:snapToGrid w:val="0"/>
        <w:spacing w:line="420" w:lineRule="exact"/>
        <w:ind w:firstLine="482"/>
        <w:rPr>
          <w:rFonts w:ascii="宋体" w:cs="宋体"/>
          <w:sz w:val="24"/>
          <w:szCs w:val="24"/>
        </w:rPr>
      </w:pPr>
      <w:r>
        <w:rPr>
          <w:rFonts w:hint="eastAsia" w:ascii="宋体" w:hAnsi="宋体" w:cs="宋体"/>
          <w:sz w:val="24"/>
          <w:szCs w:val="24"/>
        </w:rPr>
        <w:t>我</w:t>
      </w:r>
      <w:r>
        <w:rPr>
          <w:rFonts w:ascii="宋体" w:hAnsi="宋体" w:cs="宋体"/>
          <w:sz w:val="24"/>
          <w:szCs w:val="24"/>
          <w:u w:val="single"/>
        </w:rPr>
        <w:t xml:space="preserve">                  </w:t>
      </w:r>
      <w:r>
        <w:rPr>
          <w:rFonts w:hint="eastAsia" w:ascii="宋体" w:hAnsi="宋体" w:cs="宋体"/>
          <w:sz w:val="24"/>
          <w:szCs w:val="24"/>
        </w:rPr>
        <w:t>（姓名）系</w:t>
      </w:r>
      <w:r>
        <w:rPr>
          <w:rFonts w:ascii="宋体" w:hAnsi="宋体" w:cs="宋体"/>
          <w:sz w:val="24"/>
          <w:szCs w:val="24"/>
          <w:u w:val="single"/>
        </w:rPr>
        <w:t xml:space="preserve">                  </w:t>
      </w:r>
      <w:r>
        <w:rPr>
          <w:rFonts w:hint="eastAsia" w:ascii="宋体" w:hAnsi="宋体" w:cs="宋体"/>
          <w:sz w:val="24"/>
          <w:szCs w:val="24"/>
        </w:rPr>
        <w:t>（投标人名称）的法定代表人，我方愿意参加贵方组织的</w:t>
      </w:r>
      <w:r>
        <w:rPr>
          <w:rFonts w:ascii="宋体" w:hAnsi="宋体" w:cs="宋体"/>
          <w:sz w:val="24"/>
          <w:szCs w:val="24"/>
          <w:u w:val="single"/>
        </w:rPr>
        <w:t xml:space="preserve">             </w:t>
      </w:r>
      <w:r>
        <w:rPr>
          <w:rFonts w:hint="eastAsia" w:ascii="宋体" w:hAnsi="宋体" w:cs="宋体"/>
          <w:sz w:val="24"/>
          <w:szCs w:val="24"/>
        </w:rPr>
        <w:t>项目的投标，为便于贵方公正、择优地确定中标供应商及其投标项目的服务，我方就本次投标有关事项郑重声明如下：</w:t>
      </w:r>
    </w:p>
    <w:p>
      <w:pPr>
        <w:adjustRightInd w:val="0"/>
        <w:snapToGrid w:val="0"/>
        <w:spacing w:line="420" w:lineRule="exact"/>
        <w:ind w:firstLine="482"/>
        <w:rPr>
          <w:rFonts w:ascii="宋体" w:cs="宋体"/>
          <w:sz w:val="24"/>
          <w:szCs w:val="24"/>
        </w:rPr>
      </w:pPr>
      <w:r>
        <w:rPr>
          <w:rFonts w:ascii="宋体" w:hAnsi="宋体" w:cs="宋体"/>
          <w:sz w:val="24"/>
          <w:szCs w:val="24"/>
        </w:rPr>
        <w:t>1</w:t>
      </w:r>
      <w:r>
        <w:rPr>
          <w:rFonts w:hint="eastAsia" w:ascii="宋体" w:hAnsi="宋体" w:cs="宋体"/>
          <w:sz w:val="24"/>
          <w:szCs w:val="24"/>
        </w:rPr>
        <w:t>、我方向贵方提交的所有投标文件、资料都是准确的和真实的；</w:t>
      </w:r>
    </w:p>
    <w:p>
      <w:pPr>
        <w:adjustRightInd w:val="0"/>
        <w:snapToGrid w:val="0"/>
        <w:spacing w:line="420" w:lineRule="exact"/>
        <w:ind w:firstLine="482"/>
        <w:rPr>
          <w:rFonts w:ascii="宋体" w:cs="宋体"/>
          <w:sz w:val="24"/>
          <w:szCs w:val="24"/>
        </w:rPr>
      </w:pPr>
      <w:r>
        <w:rPr>
          <w:rFonts w:ascii="宋体" w:hAnsi="宋体" w:cs="宋体"/>
          <w:sz w:val="24"/>
          <w:szCs w:val="24"/>
        </w:rPr>
        <w:t>2</w:t>
      </w:r>
      <w:r>
        <w:rPr>
          <w:rFonts w:hint="eastAsia" w:ascii="宋体" w:hAnsi="宋体" w:cs="宋体"/>
          <w:sz w:val="24"/>
          <w:szCs w:val="24"/>
        </w:rPr>
        <w:t>、我方不是采购人的附属机构；在获知本项目采购信息后，与采购人聘请的为此项目提供咨询服务的公司及其附属机构没有任何联系。</w:t>
      </w:r>
    </w:p>
    <w:p>
      <w:pPr>
        <w:adjustRightInd w:val="0"/>
        <w:snapToGrid w:val="0"/>
        <w:spacing w:line="420" w:lineRule="exact"/>
        <w:ind w:firstLine="482"/>
        <w:rPr>
          <w:rFonts w:ascii="宋体" w:cs="宋体"/>
          <w:sz w:val="24"/>
          <w:szCs w:val="24"/>
        </w:rPr>
      </w:pPr>
      <w:r>
        <w:rPr>
          <w:rFonts w:ascii="宋体" w:hAnsi="宋体" w:cs="宋体"/>
          <w:sz w:val="24"/>
          <w:szCs w:val="24"/>
        </w:rPr>
        <w:t>3</w:t>
      </w:r>
      <w:r>
        <w:rPr>
          <w:rFonts w:hint="eastAsia" w:ascii="宋体" w:hAnsi="宋体" w:cs="宋体"/>
          <w:sz w:val="24"/>
          <w:szCs w:val="24"/>
        </w:rPr>
        <w:t>、我方承诺已经具备采购文件规定的参加本项目采购活动的供应商应当具备的条件：</w:t>
      </w:r>
    </w:p>
    <w:p>
      <w:pPr>
        <w:ind w:firstLine="482"/>
        <w:rPr>
          <w:rFonts w:hint="eastAsia" w:ascii="宋体" w:hAnsi="宋体" w:cs="宋体"/>
          <w:snapToGrid w:val="0"/>
          <w:kern w:val="28"/>
          <w:sz w:val="24"/>
          <w:szCs w:val="24"/>
        </w:rPr>
      </w:pPr>
      <w:r>
        <w:rPr>
          <w:rFonts w:hint="eastAsia" w:ascii="宋体" w:hAnsi="宋体" w:cs="宋体"/>
          <w:sz w:val="24"/>
          <w:szCs w:val="24"/>
        </w:rPr>
        <w:t>（1）</w:t>
      </w:r>
      <w:r>
        <w:rPr>
          <w:rFonts w:hint="eastAsia" w:ascii="宋体" w:hAnsi="宋体" w:cs="宋体"/>
          <w:snapToGrid w:val="0"/>
          <w:kern w:val="28"/>
          <w:sz w:val="24"/>
          <w:szCs w:val="24"/>
        </w:rPr>
        <w:t>具有独立承担民事责任的能力；</w:t>
      </w:r>
    </w:p>
    <w:p>
      <w:pPr>
        <w:ind w:firstLine="482"/>
        <w:rPr>
          <w:rFonts w:hint="eastAsia" w:ascii="宋体" w:hAnsi="宋体" w:cs="宋体"/>
          <w:snapToGrid w:val="0"/>
          <w:kern w:val="28"/>
          <w:sz w:val="24"/>
          <w:szCs w:val="24"/>
        </w:rPr>
      </w:pPr>
      <w:r>
        <w:rPr>
          <w:rFonts w:hint="eastAsia" w:ascii="宋体" w:hAnsi="宋体" w:cs="宋体"/>
          <w:snapToGrid w:val="0"/>
          <w:kern w:val="28"/>
          <w:sz w:val="24"/>
          <w:szCs w:val="24"/>
        </w:rPr>
        <w:t>（2）具有良好的商业信誉；</w:t>
      </w:r>
    </w:p>
    <w:p>
      <w:pPr>
        <w:ind w:firstLine="482"/>
        <w:rPr>
          <w:rFonts w:hint="eastAsia" w:ascii="宋体" w:hAnsi="宋体" w:cs="宋体"/>
          <w:snapToGrid w:val="0"/>
          <w:kern w:val="28"/>
          <w:sz w:val="24"/>
          <w:szCs w:val="24"/>
        </w:rPr>
      </w:pPr>
      <w:r>
        <w:rPr>
          <w:rFonts w:hint="eastAsia" w:ascii="宋体" w:hAnsi="宋体" w:cs="宋体"/>
          <w:snapToGrid w:val="0"/>
          <w:kern w:val="28"/>
          <w:sz w:val="24"/>
          <w:szCs w:val="24"/>
        </w:rPr>
        <w:t>（3）具有履行合同所必需的设备和专业技术，售后保障等能力；</w:t>
      </w:r>
    </w:p>
    <w:p>
      <w:pPr>
        <w:ind w:firstLine="482"/>
        <w:rPr>
          <w:rFonts w:hint="eastAsia" w:ascii="宋体" w:hAnsi="宋体" w:cs="宋体"/>
          <w:snapToGrid w:val="0"/>
          <w:kern w:val="28"/>
          <w:sz w:val="24"/>
          <w:szCs w:val="24"/>
        </w:rPr>
      </w:pPr>
      <w:r>
        <w:rPr>
          <w:rFonts w:hint="eastAsia" w:ascii="宋体" w:hAnsi="宋体" w:cs="宋体"/>
          <w:snapToGrid w:val="0"/>
          <w:kern w:val="28"/>
          <w:sz w:val="24"/>
          <w:szCs w:val="24"/>
        </w:rPr>
        <w:t>（4）有依法缴纳税收和社会保障资金的良好记录；</w:t>
      </w:r>
    </w:p>
    <w:p>
      <w:pPr>
        <w:ind w:firstLine="482"/>
        <w:rPr>
          <w:rFonts w:hint="eastAsia" w:ascii="宋体" w:hAnsi="宋体" w:cs="宋体"/>
          <w:snapToGrid w:val="0"/>
          <w:kern w:val="28"/>
          <w:sz w:val="24"/>
          <w:szCs w:val="24"/>
        </w:rPr>
      </w:pPr>
      <w:r>
        <w:rPr>
          <w:rFonts w:hint="eastAsia" w:ascii="宋体" w:hAnsi="宋体" w:cs="宋体"/>
          <w:snapToGrid w:val="0"/>
          <w:kern w:val="28"/>
          <w:sz w:val="24"/>
          <w:szCs w:val="24"/>
        </w:rPr>
        <w:t>（5）参加采购活动前三年内，没有重大违法记录，严重失信行为和行贿记录；</w:t>
      </w:r>
    </w:p>
    <w:p>
      <w:pPr>
        <w:ind w:firstLine="482"/>
        <w:rPr>
          <w:rFonts w:hint="eastAsia" w:ascii="宋体" w:hAnsi="宋体" w:cs="宋体"/>
          <w:sz w:val="24"/>
          <w:szCs w:val="24"/>
        </w:rPr>
      </w:pPr>
      <w:r>
        <w:rPr>
          <w:rFonts w:hint="eastAsia" w:ascii="宋体" w:hAnsi="宋体" w:cs="宋体"/>
          <w:snapToGrid w:val="0"/>
          <w:kern w:val="28"/>
          <w:sz w:val="24"/>
          <w:szCs w:val="24"/>
        </w:rPr>
        <w:t>（6）法律、行政法规规定的其他条件</w:t>
      </w:r>
      <w:r>
        <w:rPr>
          <w:rFonts w:hint="eastAsia" w:ascii="宋体" w:hAnsi="宋体" w:cs="宋体"/>
          <w:sz w:val="24"/>
          <w:szCs w:val="24"/>
        </w:rPr>
        <w:t>。</w:t>
      </w:r>
    </w:p>
    <w:p>
      <w:pPr>
        <w:spacing w:line="420" w:lineRule="exact"/>
        <w:ind w:firstLine="482"/>
        <w:rPr>
          <w:rFonts w:ascii="宋体" w:cs="宋体"/>
          <w:sz w:val="24"/>
          <w:szCs w:val="24"/>
        </w:rPr>
      </w:pPr>
      <w:r>
        <w:rPr>
          <w:rFonts w:hint="eastAsia" w:ascii="宋体" w:hAnsi="宋体" w:cs="宋体"/>
          <w:sz w:val="24"/>
          <w:szCs w:val="24"/>
          <w:shd w:val="clear" w:color="auto" w:fill="FFFFFF"/>
        </w:rPr>
        <w:t>（</w:t>
      </w:r>
      <w:r>
        <w:rPr>
          <w:rFonts w:ascii="宋体" w:hAnsi="宋体" w:cs="宋体"/>
          <w:sz w:val="24"/>
          <w:szCs w:val="24"/>
          <w:shd w:val="clear" w:color="auto" w:fill="FFFFFF"/>
        </w:rPr>
        <w:t>7</w:t>
      </w:r>
      <w:r>
        <w:rPr>
          <w:rFonts w:hint="eastAsia" w:ascii="宋体" w:hAnsi="宋体" w:cs="宋体"/>
          <w:sz w:val="24"/>
          <w:szCs w:val="24"/>
          <w:shd w:val="clear" w:color="auto" w:fill="FFFFFF"/>
        </w:rPr>
        <w:t>）我单位（投标人）</w:t>
      </w:r>
      <w:r>
        <w:rPr>
          <w:rFonts w:hint="eastAsia" w:ascii="宋体" w:hAnsi="宋体" w:cs="宋体"/>
          <w:sz w:val="24"/>
          <w:szCs w:val="24"/>
        </w:rPr>
        <w:t>具有</w:t>
      </w:r>
      <w:r>
        <w:rPr>
          <w:rFonts w:ascii="宋体" w:hAnsi="宋体" w:cs="宋体"/>
          <w:sz w:val="24"/>
          <w:szCs w:val="24"/>
          <w:u w:val="single"/>
        </w:rPr>
        <w:t xml:space="preserve">           </w:t>
      </w:r>
      <w:r>
        <w:rPr>
          <w:rFonts w:hint="eastAsia" w:ascii="宋体" w:hAnsi="宋体" w:cs="宋体"/>
          <w:sz w:val="24"/>
          <w:szCs w:val="24"/>
        </w:rPr>
        <w:t>资质；</w:t>
      </w:r>
    </w:p>
    <w:p>
      <w:pPr>
        <w:spacing w:line="420" w:lineRule="exact"/>
        <w:ind w:firstLine="482"/>
        <w:rPr>
          <w:rFonts w:ascii="宋体" w:cs="宋体"/>
          <w:sz w:val="24"/>
          <w:szCs w:val="24"/>
        </w:rPr>
      </w:pPr>
      <w:r>
        <w:rPr>
          <w:rFonts w:hint="eastAsia" w:ascii="宋体" w:hAnsi="宋体" w:cs="宋体"/>
          <w:sz w:val="24"/>
          <w:szCs w:val="24"/>
        </w:rPr>
        <w:t>（</w:t>
      </w:r>
      <w:r>
        <w:rPr>
          <w:rFonts w:ascii="宋体" w:hAnsi="宋体" w:cs="宋体"/>
          <w:sz w:val="24"/>
          <w:szCs w:val="24"/>
        </w:rPr>
        <w:t>8</w:t>
      </w:r>
      <w:r>
        <w:rPr>
          <w:rFonts w:hint="eastAsia" w:ascii="宋体" w:hAnsi="宋体" w:cs="宋体"/>
          <w:sz w:val="24"/>
          <w:szCs w:val="24"/>
        </w:rPr>
        <w:t>）项目负责人具有</w:t>
      </w:r>
      <w:r>
        <w:rPr>
          <w:rFonts w:ascii="宋体" w:hAnsi="宋体" w:cs="宋体"/>
          <w:sz w:val="24"/>
          <w:szCs w:val="24"/>
          <w:u w:val="single"/>
        </w:rPr>
        <w:t xml:space="preserve">     </w:t>
      </w:r>
      <w:r>
        <w:rPr>
          <w:rFonts w:hint="eastAsia" w:ascii="宋体" w:hAnsi="宋体" w:cs="宋体"/>
          <w:sz w:val="24"/>
          <w:szCs w:val="24"/>
        </w:rPr>
        <w:t>专业</w:t>
      </w:r>
      <w:r>
        <w:rPr>
          <w:rFonts w:ascii="宋体" w:hAnsi="宋体" w:cs="宋体"/>
          <w:sz w:val="24"/>
          <w:szCs w:val="24"/>
          <w:u w:val="single"/>
        </w:rPr>
        <w:t xml:space="preserve">   </w:t>
      </w:r>
      <w:r>
        <w:rPr>
          <w:rFonts w:hint="eastAsia" w:ascii="宋体" w:hAnsi="宋体" w:cs="宋体"/>
          <w:sz w:val="24"/>
          <w:szCs w:val="24"/>
          <w:u w:val="single"/>
        </w:rPr>
        <w:t xml:space="preserve">  </w:t>
      </w:r>
      <w:r>
        <w:rPr>
          <w:rFonts w:ascii="宋体" w:hAnsi="宋体" w:cs="宋体"/>
          <w:sz w:val="24"/>
          <w:szCs w:val="24"/>
          <w:u w:val="single"/>
        </w:rPr>
        <w:t xml:space="preserve"> </w:t>
      </w:r>
      <w:r>
        <w:rPr>
          <w:rFonts w:hint="eastAsia" w:ascii="宋体" w:hAnsi="宋体" w:cs="宋体"/>
          <w:sz w:val="24"/>
          <w:szCs w:val="24"/>
        </w:rPr>
        <w:t>级职称。</w:t>
      </w:r>
    </w:p>
    <w:p>
      <w:pPr>
        <w:spacing w:line="420" w:lineRule="exact"/>
        <w:ind w:firstLine="482"/>
        <w:rPr>
          <w:rFonts w:ascii="宋体" w:cs="宋体"/>
          <w:sz w:val="24"/>
          <w:szCs w:val="24"/>
        </w:rPr>
      </w:pPr>
      <w:r>
        <w:rPr>
          <w:rFonts w:ascii="宋体" w:hAnsi="宋体" w:cs="宋体"/>
          <w:sz w:val="24"/>
          <w:szCs w:val="24"/>
        </w:rPr>
        <w:t>4</w:t>
      </w:r>
      <w:r>
        <w:rPr>
          <w:rFonts w:hint="eastAsia" w:ascii="宋体" w:hAnsi="宋体" w:cs="宋体"/>
          <w:sz w:val="24"/>
          <w:szCs w:val="24"/>
        </w:rPr>
        <w:t>、我方承诺：最近三年我方无行贿犯罪行为，若我方中标，愿意接受社会监督和检察院调查。</w:t>
      </w:r>
      <w:r>
        <w:rPr>
          <w:rFonts w:ascii="宋体" w:hAnsi="宋体" w:cs="宋体"/>
          <w:sz w:val="24"/>
          <w:szCs w:val="24"/>
        </w:rPr>
        <w:t xml:space="preserve">                                                  </w:t>
      </w:r>
    </w:p>
    <w:p>
      <w:pPr>
        <w:spacing w:line="420" w:lineRule="exact"/>
        <w:ind w:firstLine="482"/>
        <w:rPr>
          <w:rFonts w:ascii="宋体" w:cs="宋体"/>
          <w:sz w:val="24"/>
          <w:szCs w:val="24"/>
        </w:rPr>
      </w:pPr>
      <w:r>
        <w:rPr>
          <w:rFonts w:ascii="宋体" w:hAnsi="宋体" w:cs="宋体"/>
          <w:sz w:val="24"/>
          <w:szCs w:val="24"/>
        </w:rPr>
        <w:t>5</w:t>
      </w:r>
      <w:r>
        <w:rPr>
          <w:rFonts w:hint="eastAsia" w:ascii="宋体" w:hAnsi="宋体" w:cs="宋体"/>
          <w:sz w:val="24"/>
          <w:szCs w:val="24"/>
        </w:rPr>
        <w:t>、以上事项如有虚假或隐瞒，我方愿意承担一切后果和责任。</w:t>
      </w:r>
    </w:p>
    <w:p>
      <w:pPr>
        <w:spacing w:line="420" w:lineRule="exact"/>
        <w:ind w:firstLine="482"/>
        <w:rPr>
          <w:rFonts w:ascii="宋体" w:cs="宋体"/>
          <w:sz w:val="24"/>
          <w:szCs w:val="24"/>
        </w:rPr>
      </w:pPr>
      <w:r>
        <w:rPr>
          <w:rFonts w:ascii="宋体" w:hAnsi="宋体" w:cs="宋体"/>
          <w:sz w:val="24"/>
          <w:szCs w:val="24"/>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0" w:firstLineChars="2000"/>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磋商响应方（盖章）：</w:t>
      </w: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
        <w:jc w:val="center"/>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法定代表人或授权代表（签字或盖章）：</w:t>
      </w:r>
    </w:p>
    <w:p>
      <w:pPr>
        <w:keepNext w:val="0"/>
        <w:keepLines w:val="0"/>
        <w:pageBreakBefore w:val="0"/>
        <w:widowControl w:val="0"/>
        <w:kinsoku/>
        <w:wordWrap/>
        <w:overflowPunct/>
        <w:topLinePunct w:val="0"/>
        <w:autoSpaceDE/>
        <w:autoSpaceDN/>
        <w:bidi w:val="0"/>
        <w:adjustRightInd/>
        <w:snapToGrid/>
        <w:spacing w:line="360" w:lineRule="auto"/>
        <w:ind w:firstLine="4800" w:firstLineChars="2000"/>
        <w:textAlignment w:val="auto"/>
        <w:outlineLvl w:val="9"/>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sz w:val="24"/>
          <w:szCs w:val="24"/>
        </w:rPr>
        <w:t>日    期：</w:t>
      </w:r>
    </w:p>
    <w:p>
      <w:pPr>
        <w:adjustRightInd w:val="0"/>
        <w:snapToGrid w:val="0"/>
        <w:spacing w:line="420" w:lineRule="exact"/>
        <w:ind w:firstLine="484"/>
        <w:rPr>
          <w:rFonts w:ascii="宋体" w:hAnsi="宋体" w:cs="宋体"/>
          <w:b/>
          <w:bCs/>
        </w:rPr>
      </w:pPr>
    </w:p>
    <w:p>
      <w:pPr>
        <w:adjustRightInd w:val="0"/>
        <w:snapToGrid w:val="0"/>
        <w:spacing w:line="420" w:lineRule="exact"/>
        <w:ind w:firstLine="484"/>
        <w:rPr>
          <w:rFonts w:ascii="宋体" w:cs="宋体"/>
          <w:b/>
          <w:bCs/>
        </w:rPr>
      </w:pPr>
      <w:r>
        <w:rPr>
          <w:rFonts w:hint="eastAsia" w:ascii="宋体" w:hAnsi="宋体" w:cs="宋体"/>
          <w:b/>
          <w:bCs/>
        </w:rPr>
        <w:t>说明：重大违法记录是指因违法经营受到刑事处罚或者责令停产停业、吊销许可证或者执照、较大数额罚款等行政处罚。</w:t>
      </w:r>
    </w:p>
    <w:p>
      <w:pPr>
        <w:snapToGrid w:val="0"/>
        <w:spacing w:before="120" w:beforeLines="50" w:after="50" w:line="460" w:lineRule="exact"/>
        <w:ind w:firstLine="120" w:firstLineChars="5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p>
    <w:p>
      <w:pPr>
        <w:spacing w:line="276" w:lineRule="auto"/>
        <w:jc w:val="lef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30"/>
          <w:szCs w:val="30"/>
        </w:rPr>
        <w:br w:type="page"/>
      </w:r>
      <w:r>
        <w:rPr>
          <w:rFonts w:hint="eastAsia" w:asciiTheme="minorEastAsia" w:hAnsiTheme="minorEastAsia" w:eastAsiaTheme="minorEastAsia" w:cstheme="minorEastAsia"/>
          <w:b/>
          <w:color w:val="auto"/>
          <w:sz w:val="28"/>
          <w:szCs w:val="28"/>
        </w:rPr>
        <w:t>附件：</w:t>
      </w:r>
    </w:p>
    <w:p>
      <w:pPr>
        <w:spacing w:before="120" w:beforeLines="50" w:after="720" w:line="460" w:lineRule="exact"/>
        <w:ind w:right="601" w:firstLine="200" w:firstLineChars="71"/>
        <w:jc w:val="center"/>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符合参加采购活动应当具备的一般条件的承诺函</w:t>
      </w:r>
    </w:p>
    <w:p>
      <w:pPr>
        <w:spacing w:line="360" w:lineRule="auto"/>
        <w:outlineLvl w:val="9"/>
        <w:rPr>
          <w:rFonts w:hint="eastAsia" w:asciiTheme="minorEastAsia" w:hAnsiTheme="minorEastAsia" w:eastAsiaTheme="minorEastAsia" w:cstheme="minorEastAsia"/>
          <w:b/>
          <w:color w:val="auto"/>
          <w:kern w:val="0"/>
          <w:sz w:val="24"/>
          <w:u w:val="single"/>
        </w:rPr>
      </w:pPr>
      <w:r>
        <w:rPr>
          <w:rFonts w:hint="eastAsia" w:asciiTheme="minorEastAsia" w:hAnsiTheme="minorEastAsia" w:eastAsiaTheme="minorEastAsia" w:cstheme="minorEastAsia"/>
          <w:b/>
          <w:color w:val="auto"/>
          <w:kern w:val="0"/>
          <w:sz w:val="24"/>
          <w:u w:val="single"/>
          <w:lang w:eastAsia="zh-CN"/>
        </w:rPr>
        <w:t>嵊州市天伦园开发有限公司、浙江筑脸全过程工程咨询有限公司</w:t>
      </w:r>
      <w:r>
        <w:rPr>
          <w:rFonts w:hint="eastAsia" w:asciiTheme="minorEastAsia" w:hAnsiTheme="minorEastAsia" w:eastAsiaTheme="minorEastAsia" w:cstheme="minorEastAsia"/>
          <w:b/>
          <w:color w:val="auto"/>
          <w:kern w:val="0"/>
          <w:sz w:val="24"/>
          <w:u w:val="single"/>
        </w:rPr>
        <w:t>：</w:t>
      </w:r>
    </w:p>
    <w:p>
      <w:pPr>
        <w:spacing w:line="360" w:lineRule="auto"/>
        <w:ind w:firstLine="480" w:firstLineChars="200"/>
        <w:outlineLvl w:val="9"/>
        <w:rPr>
          <w:rFonts w:hint="eastAsia" w:asciiTheme="minorEastAsia" w:hAnsiTheme="minorEastAsia" w:eastAsiaTheme="minorEastAsia" w:cstheme="minorEastAsia"/>
          <w:b/>
          <w:color w:val="auto"/>
          <w:kern w:val="0"/>
          <w:sz w:val="24"/>
        </w:rPr>
      </w:pPr>
      <w:r>
        <w:rPr>
          <w:rFonts w:hint="eastAsia" w:asciiTheme="minorEastAsia" w:hAnsiTheme="minorEastAsia" w:eastAsiaTheme="minorEastAsia" w:cstheme="minorEastAsia"/>
          <w:color w:val="auto"/>
          <w:kern w:val="0"/>
          <w:sz w:val="24"/>
        </w:rPr>
        <w:t>我方参与</w:t>
      </w:r>
      <w:r>
        <w:rPr>
          <w:rFonts w:hint="eastAsia" w:asciiTheme="minorEastAsia" w:hAnsiTheme="minorEastAsia" w:eastAsiaTheme="minorEastAsia" w:cstheme="minorEastAsia"/>
          <w:color w:val="auto"/>
          <w:sz w:val="24"/>
          <w:szCs w:val="24"/>
          <w:u w:val="single"/>
          <w:lang w:eastAsia="zh-CN"/>
        </w:rPr>
        <w:t>嵊州市殡仪馆改扩建工程环境监测服务项目</w:t>
      </w:r>
      <w:r>
        <w:rPr>
          <w:rFonts w:hint="eastAsia" w:asciiTheme="minorEastAsia" w:hAnsiTheme="minorEastAsia" w:eastAsiaTheme="minorEastAsia" w:cstheme="minorEastAsia"/>
          <w:color w:val="auto"/>
          <w:sz w:val="24"/>
          <w:szCs w:val="24"/>
          <w:u w:val="single"/>
        </w:rPr>
        <w:t>（项目编号：</w:t>
      </w:r>
      <w:r>
        <w:rPr>
          <w:rFonts w:hint="eastAsia" w:asciiTheme="minorEastAsia" w:hAnsiTheme="minorEastAsia" w:eastAsiaTheme="minorEastAsia" w:cstheme="minorEastAsia"/>
          <w:color w:val="auto"/>
          <w:sz w:val="24"/>
          <w:szCs w:val="24"/>
          <w:u w:val="single"/>
          <w:lang w:eastAsia="zh-CN"/>
        </w:rPr>
        <w:t>ZJZL-F240228JC</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kern w:val="0"/>
          <w:sz w:val="24"/>
        </w:rPr>
        <w:t>的采购活动，郑重承诺：</w:t>
      </w:r>
    </w:p>
    <w:p>
      <w:pPr>
        <w:spacing w:line="360" w:lineRule="auto"/>
        <w:ind w:firstLine="426" w:firstLineChars="177"/>
        <w:outlineLvl w:val="9"/>
        <w:rPr>
          <w:rFonts w:hint="eastAsia" w:asciiTheme="minorEastAsia" w:hAnsiTheme="minorEastAsia" w:eastAsiaTheme="minorEastAsia" w:cstheme="minorEastAsia"/>
          <w:b/>
          <w:color w:val="auto"/>
          <w:kern w:val="0"/>
          <w:sz w:val="24"/>
        </w:rPr>
      </w:pPr>
      <w:r>
        <w:rPr>
          <w:rFonts w:hint="eastAsia" w:asciiTheme="minorEastAsia" w:hAnsiTheme="minorEastAsia" w:eastAsiaTheme="minorEastAsia" w:cstheme="minorEastAsia"/>
          <w:b/>
          <w:color w:val="auto"/>
          <w:sz w:val="24"/>
        </w:rPr>
        <w:t>一、具备《嵊州市市属国有企业货物和服务采购管理办法（试行）》第十七条规定的条件：</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1.具有独立承担民事责任的能力；</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2.具有良好的商业信誉；</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3.具有履行合同所必需的设备和专业技术，售后保障等能力；</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4.有依法缴纳税收和社会保障资金的良好记录；</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kern w:val="0"/>
          <w:sz w:val="24"/>
        </w:rPr>
        <w:t>5.参加采购活动前三年内，没有重大违法记录，严重失信行为和行贿记录；</w:t>
      </w:r>
    </w:p>
    <w:p>
      <w:pPr>
        <w:spacing w:line="360" w:lineRule="auto"/>
        <w:ind w:firstLine="424" w:firstLineChars="177"/>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kern w:val="0"/>
          <w:sz w:val="24"/>
        </w:rPr>
        <w:t>6.法律、行政法规规定的其他条件</w:t>
      </w:r>
      <w:r>
        <w:rPr>
          <w:rFonts w:hint="eastAsia" w:asciiTheme="minorEastAsia" w:hAnsiTheme="minorEastAsia" w:eastAsiaTheme="minorEastAsia" w:cstheme="minorEastAsia"/>
          <w:color w:val="auto"/>
          <w:sz w:val="24"/>
        </w:rPr>
        <w:t>。</w:t>
      </w:r>
    </w:p>
    <w:p>
      <w:pPr>
        <w:spacing w:line="360" w:lineRule="auto"/>
        <w:ind w:firstLine="426" w:firstLineChars="177"/>
        <w:outlineLvl w:val="9"/>
        <w:rPr>
          <w:rFonts w:hint="eastAsia" w:asciiTheme="minorEastAsia" w:hAnsiTheme="minorEastAsia" w:eastAsiaTheme="minorEastAsia" w:cstheme="minorEastAsia"/>
          <w:b/>
          <w:color w:val="auto"/>
          <w:kern w:val="0"/>
          <w:sz w:val="24"/>
        </w:rPr>
      </w:pPr>
      <w:r>
        <w:rPr>
          <w:rFonts w:hint="eastAsia" w:asciiTheme="minorEastAsia" w:hAnsiTheme="minorEastAsia" w:eastAsiaTheme="minorEastAsia" w:cstheme="minorEastAsia"/>
          <w:b/>
          <w:color w:val="auto"/>
          <w:sz w:val="24"/>
        </w:rPr>
        <w:t>二、</w:t>
      </w:r>
      <w:r>
        <w:rPr>
          <w:rFonts w:hint="eastAsia" w:asciiTheme="minorEastAsia" w:hAnsiTheme="minorEastAsia" w:eastAsiaTheme="minorEastAsia" w:cstheme="minorEastAsia"/>
          <w:b/>
          <w:color w:val="auto"/>
          <w:kern w:val="0"/>
          <w:sz w:val="24"/>
        </w:rPr>
        <w:t>未被“信用中国”（www.creditchina.gov.cn）、“中国政府采购网”（www.ccgp.gov.cn）列入失信被执行人名单、重大税收违法案件当事人名单、</w:t>
      </w:r>
      <w:r>
        <w:rPr>
          <w:rFonts w:hint="eastAsia" w:asciiTheme="minorEastAsia" w:hAnsiTheme="minorEastAsia" w:eastAsiaTheme="minorEastAsia" w:cstheme="minorEastAsia"/>
          <w:b/>
          <w:color w:val="auto"/>
          <w:kern w:val="0"/>
          <w:sz w:val="24"/>
          <w:lang w:eastAsia="zh-CN"/>
        </w:rPr>
        <w:t>采购</w:t>
      </w:r>
      <w:r>
        <w:rPr>
          <w:rFonts w:hint="eastAsia" w:asciiTheme="minorEastAsia" w:hAnsiTheme="minorEastAsia" w:eastAsiaTheme="minorEastAsia" w:cstheme="minorEastAsia"/>
          <w:b/>
          <w:color w:val="auto"/>
          <w:kern w:val="0"/>
          <w:sz w:val="24"/>
        </w:rPr>
        <w:t>严重违法失信行为记录名单。</w:t>
      </w:r>
    </w:p>
    <w:p>
      <w:pPr>
        <w:spacing w:line="360" w:lineRule="auto"/>
        <w:ind w:firstLine="426" w:firstLineChars="177"/>
        <w:outlineLvl w:val="9"/>
        <w:rPr>
          <w:rFonts w:hint="eastAsia" w:asciiTheme="minorEastAsia" w:hAnsiTheme="minorEastAsia" w:eastAsiaTheme="minorEastAsia" w:cstheme="minorEastAsia"/>
          <w:b/>
          <w:color w:val="auto"/>
          <w:kern w:val="0"/>
          <w:sz w:val="24"/>
        </w:rPr>
      </w:pPr>
      <w:r>
        <w:rPr>
          <w:rFonts w:hint="eastAsia" w:asciiTheme="minorEastAsia" w:hAnsiTheme="minorEastAsia" w:eastAsiaTheme="minorEastAsia" w:cstheme="minorEastAsia"/>
          <w:b/>
          <w:color w:val="auto"/>
          <w:kern w:val="0"/>
          <w:sz w:val="24"/>
        </w:rPr>
        <w:t>三、不存在以下情况：</w:t>
      </w:r>
    </w:p>
    <w:p>
      <w:pPr>
        <w:snapToGrid w:val="0"/>
        <w:spacing w:line="360" w:lineRule="auto"/>
        <w:ind w:firstLine="424" w:firstLineChars="177"/>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1.单位负责人为同一人或者存在直接控股、管理关系的不同供应商参加同一合同项下的采购活动的；</w:t>
      </w:r>
    </w:p>
    <w:p>
      <w:pPr>
        <w:spacing w:line="360" w:lineRule="auto"/>
        <w:ind w:firstLine="424" w:firstLineChars="177"/>
        <w:outlineLvl w:val="9"/>
        <w:rPr>
          <w:rFonts w:hint="eastAsia" w:asciiTheme="minorEastAsia" w:hAnsiTheme="minorEastAsia" w:eastAsiaTheme="minorEastAsia" w:cstheme="minorEastAsia"/>
          <w:color w:val="auto"/>
          <w:kern w:val="0"/>
          <w:sz w:val="24"/>
        </w:rPr>
      </w:pPr>
      <w:r>
        <w:rPr>
          <w:rFonts w:hint="eastAsia" w:asciiTheme="minorEastAsia" w:hAnsiTheme="minorEastAsia" w:eastAsiaTheme="minorEastAsia" w:cstheme="minorEastAsia"/>
          <w:color w:val="auto"/>
          <w:sz w:val="24"/>
        </w:rPr>
        <w:t>2.为采购项目提供整体设计、规范编制或者项目管理、监理、检测等服务后再参加该采购项目的其他采购活动的。</w:t>
      </w:r>
    </w:p>
    <w:p>
      <w:pPr>
        <w:spacing w:line="360" w:lineRule="auto"/>
        <w:ind w:firstLine="424" w:firstLineChars="177"/>
        <w:outlineLvl w:val="9"/>
        <w:rPr>
          <w:rFonts w:hint="eastAsia" w:asciiTheme="minorEastAsia" w:hAnsiTheme="minorEastAsia" w:eastAsiaTheme="minorEastAsia" w:cstheme="minorEastAsia"/>
          <w:color w:val="auto"/>
          <w:sz w:val="24"/>
        </w:rPr>
      </w:pPr>
    </w:p>
    <w:p>
      <w:pPr>
        <w:spacing w:line="360" w:lineRule="auto"/>
        <w:ind w:firstLine="426" w:firstLineChars="177"/>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bCs/>
          <w:color w:val="auto"/>
          <w:sz w:val="24"/>
        </w:rPr>
        <w:t>我方对上述声明的真实性负责。如有虚假，愿意承担相应责任，对此无任何异议。</w:t>
      </w:r>
    </w:p>
    <w:p>
      <w:pPr>
        <w:ind w:right="-21" w:rightChars="-10" w:firstLine="4800" w:firstLineChars="2000"/>
        <w:outlineLvl w:val="9"/>
        <w:rPr>
          <w:rFonts w:hint="eastAsia" w:asciiTheme="minorEastAsia" w:hAnsiTheme="minorEastAsia" w:eastAsiaTheme="minorEastAsia" w:cstheme="minorEastAsia"/>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0" w:firstLineChars="2000"/>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磋商响应方（盖章）：</w:t>
      </w: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
        <w:jc w:val="center"/>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法定代表人或授权代表（签字或盖章）：</w:t>
      </w:r>
    </w:p>
    <w:p>
      <w:pPr>
        <w:keepNext w:val="0"/>
        <w:keepLines w:val="0"/>
        <w:pageBreakBefore w:val="0"/>
        <w:widowControl w:val="0"/>
        <w:kinsoku/>
        <w:wordWrap/>
        <w:overflowPunct/>
        <w:topLinePunct w:val="0"/>
        <w:autoSpaceDE/>
        <w:autoSpaceDN/>
        <w:bidi w:val="0"/>
        <w:adjustRightInd/>
        <w:snapToGrid/>
        <w:spacing w:line="360" w:lineRule="auto"/>
        <w:ind w:firstLine="4800" w:firstLineChars="2000"/>
        <w:textAlignment w:val="auto"/>
        <w:outlineLvl w:val="9"/>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sz w:val="24"/>
          <w:szCs w:val="24"/>
        </w:rPr>
        <w:t>日    期：</w:t>
      </w:r>
    </w:p>
    <w:p>
      <w:pPr>
        <w:snapToGrid w:val="0"/>
        <w:spacing w:before="120" w:beforeLines="50" w:after="50" w:line="460" w:lineRule="exac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附件3：</w:t>
      </w:r>
    </w:p>
    <w:p>
      <w:pPr>
        <w:autoSpaceDE w:val="0"/>
        <w:autoSpaceDN w:val="0"/>
        <w:spacing w:line="360" w:lineRule="auto"/>
        <w:jc w:val="center"/>
        <w:outlineLvl w:val="9"/>
        <w:rPr>
          <w:rFonts w:hint="eastAsia" w:asciiTheme="minorEastAsia" w:hAnsiTheme="minorEastAsia" w:eastAsiaTheme="minorEastAsia" w:cstheme="minorEastAsia"/>
          <w:b/>
          <w:color w:val="auto"/>
          <w:sz w:val="30"/>
          <w:szCs w:val="30"/>
        </w:rPr>
      </w:pPr>
      <w:r>
        <w:rPr>
          <w:rFonts w:hint="eastAsia" w:asciiTheme="minorEastAsia" w:hAnsiTheme="minorEastAsia" w:eastAsiaTheme="minorEastAsia" w:cstheme="minorEastAsia"/>
          <w:b/>
          <w:color w:val="auto"/>
          <w:kern w:val="0"/>
          <w:sz w:val="30"/>
          <w:szCs w:val="30"/>
          <w:lang w:val="zh-CN"/>
        </w:rPr>
        <w:t>法定代表人、单位负责人或自然人本人</w:t>
      </w:r>
      <w:r>
        <w:rPr>
          <w:rFonts w:hint="eastAsia" w:asciiTheme="minorEastAsia" w:hAnsiTheme="minorEastAsia" w:eastAsiaTheme="minorEastAsia" w:cstheme="minorEastAsia"/>
          <w:b/>
          <w:color w:val="auto"/>
          <w:sz w:val="30"/>
          <w:szCs w:val="30"/>
        </w:rPr>
        <w:t>的身份证明（适用于法定代表人、单位负责人或者自然人本人代表投标人参加投标）</w:t>
      </w:r>
    </w:p>
    <w:p>
      <w:pPr>
        <w:spacing w:line="360" w:lineRule="auto"/>
        <w:ind w:firstLine="480" w:firstLineChars="200"/>
        <w:jc w:val="center"/>
        <w:outlineLvl w:val="9"/>
        <w:rPr>
          <w:rFonts w:hint="eastAsia" w:asciiTheme="minorEastAsia" w:hAnsiTheme="minorEastAsia" w:eastAsiaTheme="minorEastAsia" w:cstheme="minorEastAsia"/>
          <w:color w:val="auto"/>
          <w:sz w:val="24"/>
          <w:szCs w:val="21"/>
        </w:rPr>
      </w:pPr>
    </w:p>
    <w:p>
      <w:pPr>
        <w:spacing w:line="600" w:lineRule="exact"/>
        <w:ind w:left="611" w:leftChars="291" w:firstLine="360" w:firstLineChars="1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单位名称：</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 xml:space="preserve"> </w:t>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单位性质：</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 xml:space="preserve"> </w:t>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地    址：</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 xml:space="preserve"> </w:t>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u w:val="single"/>
        </w:rPr>
      </w:pPr>
      <w:r>
        <w:rPr>
          <w:rFonts w:hint="eastAsia" w:asciiTheme="minorEastAsia" w:hAnsiTheme="minorEastAsia" w:eastAsiaTheme="minorEastAsia" w:cstheme="minorEastAsia"/>
          <w:color w:val="auto"/>
          <w:sz w:val="24"/>
          <w:szCs w:val="21"/>
        </w:rPr>
        <w:t>成立时间：</w:t>
      </w:r>
      <w:r>
        <w:rPr>
          <w:rFonts w:hint="eastAsia" w:asciiTheme="minorEastAsia" w:hAnsiTheme="minorEastAsia" w:eastAsiaTheme="minorEastAsia" w:cstheme="minorEastAsia"/>
          <w:color w:val="auto"/>
          <w:sz w:val="24"/>
          <w:szCs w:val="21"/>
          <w:u w:val="single"/>
        </w:rPr>
        <w:t xml:space="preserve">      年      月      日</w:t>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经营期限：</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ab/>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u w:val="single"/>
        </w:rPr>
      </w:pPr>
      <w:r>
        <w:rPr>
          <w:rFonts w:hint="eastAsia" w:asciiTheme="minorEastAsia" w:hAnsiTheme="minorEastAsia" w:eastAsiaTheme="minorEastAsia" w:cstheme="minorEastAsia"/>
          <w:color w:val="auto"/>
          <w:sz w:val="24"/>
          <w:szCs w:val="21"/>
        </w:rPr>
        <w:t>姓    名：</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u w:val="single"/>
          <w:lang w:val="en-US" w:eastAsia="zh-CN"/>
        </w:rPr>
        <w:t xml:space="preserve">      </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性别</w:t>
      </w:r>
      <w:r>
        <w:rPr>
          <w:rFonts w:hint="eastAsia" w:asciiTheme="minorEastAsia" w:hAnsiTheme="minorEastAsia" w:eastAsiaTheme="minorEastAsia" w:cstheme="minorEastAsia"/>
          <w:color w:val="auto"/>
          <w:sz w:val="24"/>
          <w:szCs w:val="21"/>
          <w:u w:val="none"/>
        </w:rPr>
        <w:t>：</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年龄：</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u w:val="single"/>
          <w:lang w:val="en-US" w:eastAsia="zh-CN"/>
        </w:rPr>
        <w:t xml:space="preserve">   </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职务：</w:t>
      </w:r>
      <w:r>
        <w:rPr>
          <w:rFonts w:hint="eastAsia" w:asciiTheme="minorEastAsia" w:hAnsiTheme="minorEastAsia" w:eastAsiaTheme="minorEastAsia" w:cstheme="minorEastAsia"/>
          <w:color w:val="auto"/>
          <w:sz w:val="24"/>
          <w:szCs w:val="21"/>
          <w:u w:val="single"/>
        </w:rPr>
        <w:tab/>
      </w:r>
      <w:r>
        <w:rPr>
          <w:rFonts w:hint="eastAsia" w:asciiTheme="minorEastAsia" w:hAnsiTheme="minorEastAsia" w:eastAsiaTheme="minorEastAsia" w:cstheme="minorEastAsia"/>
          <w:color w:val="auto"/>
          <w:sz w:val="24"/>
          <w:szCs w:val="21"/>
          <w:u w:val="single"/>
          <w:lang w:val="en-US" w:eastAsia="zh-CN"/>
        </w:rPr>
        <w:t xml:space="preserve">    </w:t>
      </w:r>
      <w:r>
        <w:rPr>
          <w:rFonts w:hint="eastAsia" w:asciiTheme="minorEastAsia" w:hAnsiTheme="minorEastAsia" w:eastAsiaTheme="minorEastAsia" w:cstheme="minorEastAsia"/>
          <w:color w:val="auto"/>
          <w:sz w:val="24"/>
          <w:szCs w:val="21"/>
          <w:u w:val="single"/>
        </w:rPr>
        <w:tab/>
      </w:r>
    </w:p>
    <w:p>
      <w:pPr>
        <w:spacing w:line="600" w:lineRule="exact"/>
        <w:ind w:left="609" w:leftChars="290" w:firstLine="360" w:firstLineChars="1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系</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4"/>
          <w:u w:val="single"/>
        </w:rPr>
        <w:t>磋商响应方名称</w:t>
      </w:r>
      <w:r>
        <w:rPr>
          <w:rFonts w:hint="eastAsia" w:asciiTheme="minorEastAsia" w:hAnsiTheme="minorEastAsia" w:eastAsiaTheme="minorEastAsia" w:cstheme="minorEastAsia"/>
          <w:color w:val="auto"/>
          <w:sz w:val="24"/>
          <w:szCs w:val="21"/>
          <w:u w:val="single"/>
        </w:rPr>
        <w:t xml:space="preserve">）         </w:t>
      </w:r>
      <w:r>
        <w:rPr>
          <w:rFonts w:hint="eastAsia" w:asciiTheme="minorEastAsia" w:hAnsiTheme="minorEastAsia" w:eastAsiaTheme="minorEastAsia" w:cstheme="minorEastAsia"/>
          <w:color w:val="auto"/>
          <w:sz w:val="24"/>
          <w:szCs w:val="21"/>
        </w:rPr>
        <w:t>的法定代表人/单位负责人。</w:t>
      </w:r>
    </w:p>
    <w:p>
      <w:pPr>
        <w:spacing w:line="600" w:lineRule="exact"/>
        <w:ind w:firstLine="960" w:firstLineChars="40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1"/>
        </w:rPr>
        <w:t>特此证明。</w:t>
      </w:r>
    </w:p>
    <w:p>
      <w:pPr>
        <w:tabs>
          <w:tab w:val="left" w:pos="720"/>
          <w:tab w:val="left" w:pos="900"/>
        </w:tabs>
        <w:spacing w:line="600" w:lineRule="exact"/>
        <w:ind w:left="5040" w:leftChars="2400" w:firstLine="120" w:firstLineChars="50"/>
        <w:outlineLvl w:val="9"/>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磋商响应方：</w:t>
      </w:r>
      <w:r>
        <w:rPr>
          <w:rFonts w:hint="eastAsia" w:asciiTheme="minorEastAsia" w:hAnsiTheme="minorEastAsia" w:eastAsiaTheme="minorEastAsia" w:cstheme="minorEastAsia"/>
          <w:color w:val="auto"/>
          <w:sz w:val="24"/>
          <w:szCs w:val="24"/>
          <w:u w:val="single"/>
        </w:rPr>
        <w:t xml:space="preserve">    （盖章）        </w:t>
      </w:r>
    </w:p>
    <w:p>
      <w:pPr>
        <w:tabs>
          <w:tab w:val="left" w:pos="720"/>
          <w:tab w:val="left" w:pos="900"/>
        </w:tabs>
        <w:spacing w:line="600" w:lineRule="exact"/>
        <w:ind w:left="5040" w:leftChars="2400" w:firstLine="120" w:firstLineChars="5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法定代表人签名（或盖章）：</w:t>
      </w:r>
    </w:p>
    <w:p>
      <w:pPr>
        <w:tabs>
          <w:tab w:val="left" w:pos="720"/>
          <w:tab w:val="left" w:pos="900"/>
        </w:tabs>
        <w:spacing w:line="600" w:lineRule="exact"/>
        <w:ind w:left="5040" w:leftChars="2400" w:firstLine="120" w:firstLineChars="50"/>
        <w:outlineLvl w:val="9"/>
        <w:rPr>
          <w:rFonts w:hint="eastAsia" w:asciiTheme="minorEastAsia" w:hAnsiTheme="minorEastAsia" w:eastAsiaTheme="minorEastAsia" w:cstheme="minorEastAsia"/>
          <w:color w:val="auto"/>
          <w:sz w:val="24"/>
          <w:szCs w:val="21"/>
        </w:rPr>
      </w:pPr>
      <w:r>
        <w:rPr>
          <w:rFonts w:hint="eastAsia" w:asciiTheme="minorEastAsia" w:hAnsiTheme="minorEastAsia" w:eastAsiaTheme="minorEastAsia" w:cstheme="minorEastAsia"/>
          <w:color w:val="auto"/>
          <w:sz w:val="24"/>
          <w:szCs w:val="24"/>
        </w:rPr>
        <w:t>日  期：    年    月</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2" w:hRule="atLeast"/>
          <w:jc w:val="center"/>
        </w:trPr>
        <w:tc>
          <w:tcPr>
            <w:tcW w:w="9207" w:type="dxa"/>
          </w:tcPr>
          <w:p>
            <w:pPr>
              <w:adjustRightInd w:val="0"/>
              <w:spacing w:line="360" w:lineRule="auto"/>
              <w:outlineLvl w:val="9"/>
              <w:rPr>
                <w:rFonts w:hint="eastAsia" w:asciiTheme="minorEastAsia" w:hAnsiTheme="minorEastAsia" w:eastAsiaTheme="minorEastAsia" w:cstheme="minorEastAsia"/>
                <w:bCs/>
                <w:color w:val="auto"/>
                <w:sz w:val="24"/>
                <w:szCs w:val="21"/>
              </w:rPr>
            </w:pPr>
            <w:r>
              <w:rPr>
                <w:rFonts w:hint="eastAsia" w:asciiTheme="minorEastAsia" w:hAnsiTheme="minorEastAsia" w:eastAsiaTheme="minorEastAsia" w:cstheme="minorEastAsia"/>
                <w:bCs/>
                <w:color w:val="auto"/>
                <w:sz w:val="24"/>
                <w:szCs w:val="21"/>
              </w:rPr>
              <w:t>身份证件扫描件</w:t>
            </w:r>
          </w:p>
          <w:p>
            <w:pPr>
              <w:adjustRightInd w:val="0"/>
              <w:spacing w:line="360" w:lineRule="auto"/>
              <w:outlineLvl w:val="9"/>
              <w:rPr>
                <w:rFonts w:hint="eastAsia" w:asciiTheme="minorEastAsia" w:hAnsiTheme="minorEastAsia" w:eastAsiaTheme="minorEastAsia" w:cstheme="minorEastAsia"/>
                <w:bCs/>
                <w:color w:val="auto"/>
                <w:sz w:val="24"/>
                <w:szCs w:val="21"/>
              </w:rPr>
            </w:pPr>
            <w:r>
              <w:rPr>
                <w:rFonts w:hint="eastAsia" w:asciiTheme="minorEastAsia" w:hAnsiTheme="minorEastAsia" w:eastAsiaTheme="minorEastAsia" w:cstheme="minorEastAsia"/>
                <w:bCs/>
                <w:color w:val="auto"/>
                <w:sz w:val="24"/>
                <w:szCs w:val="21"/>
              </w:rPr>
              <w:t>正面：                                     反面：</w:t>
            </w:r>
          </w:p>
          <w:p>
            <w:pPr>
              <w:adjustRightInd w:val="0"/>
              <w:spacing w:line="360" w:lineRule="auto"/>
              <w:outlineLvl w:val="9"/>
              <w:rPr>
                <w:rFonts w:hint="eastAsia" w:asciiTheme="minorEastAsia" w:hAnsiTheme="minorEastAsia" w:eastAsiaTheme="minorEastAsia" w:cstheme="minorEastAsia"/>
                <w:bCs/>
                <w:color w:val="auto"/>
                <w:sz w:val="24"/>
                <w:szCs w:val="21"/>
              </w:rPr>
            </w:pPr>
          </w:p>
        </w:tc>
      </w:tr>
    </w:tbl>
    <w:p>
      <w:pPr>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pPr>
        <w:outlineLvl w:val="9"/>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附件4：</w:t>
      </w:r>
    </w:p>
    <w:p>
      <w:pPr>
        <w:snapToGrid w:val="0"/>
        <w:spacing w:before="120" w:beforeLines="50" w:after="50" w:line="460" w:lineRule="exact"/>
        <w:jc w:val="center"/>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法定代表人授权委托书</w:t>
      </w:r>
    </w:p>
    <w:p>
      <w:pPr>
        <w:snapToGrid w:val="0"/>
        <w:spacing w:before="120" w:beforeLines="50" w:after="50" w:line="460" w:lineRule="exact"/>
        <w:outlineLvl w:val="9"/>
        <w:rPr>
          <w:rFonts w:hint="eastAsia" w:asciiTheme="minorEastAsia" w:hAnsiTheme="minorEastAsia" w:eastAsiaTheme="minorEastAsia" w:cstheme="minorEastAsia"/>
          <w:b/>
          <w:color w:val="auto"/>
          <w:sz w:val="24"/>
          <w:szCs w:val="24"/>
          <w:u w:val="single"/>
        </w:rPr>
      </w:pPr>
      <w:r>
        <w:rPr>
          <w:rFonts w:hint="eastAsia" w:asciiTheme="minorEastAsia" w:hAnsiTheme="minorEastAsia" w:eastAsiaTheme="minorEastAsia" w:cstheme="minorEastAsia"/>
          <w:color w:val="auto"/>
          <w:sz w:val="24"/>
          <w:szCs w:val="24"/>
          <w:u w:val="single"/>
          <w:lang w:eastAsia="zh-CN"/>
        </w:rPr>
        <w:t>嵊州市天伦园开发有限公司、浙江筑脸全过程工程咨询有限公司</w:t>
      </w:r>
      <w:r>
        <w:rPr>
          <w:rFonts w:hint="eastAsia" w:asciiTheme="minorEastAsia" w:hAnsiTheme="minorEastAsia" w:eastAsiaTheme="minorEastAsia" w:cstheme="minorEastAsia"/>
          <w:bCs/>
          <w:color w:val="auto"/>
          <w:sz w:val="30"/>
          <w:szCs w:val="30"/>
        </w:rPr>
        <w:t>：</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（姓名）系</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（投标人名称）的法定代表人，现授权委托</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（姓名）为全权代表，以我方的名义参加</w:t>
      </w:r>
      <w:r>
        <w:rPr>
          <w:rFonts w:hint="eastAsia" w:asciiTheme="minorEastAsia" w:hAnsiTheme="minorEastAsia" w:eastAsiaTheme="minorEastAsia" w:cstheme="minorEastAsia"/>
          <w:color w:val="auto"/>
          <w:sz w:val="24"/>
          <w:szCs w:val="24"/>
          <w:u w:val="single"/>
          <w:lang w:eastAsia="zh-CN"/>
        </w:rPr>
        <w:t>嵊州市殡仪馆改扩建工程环境监测服务项目</w:t>
      </w:r>
      <w:r>
        <w:rPr>
          <w:rFonts w:hint="eastAsia" w:asciiTheme="minorEastAsia" w:hAnsiTheme="minorEastAsia" w:eastAsiaTheme="minorEastAsia" w:cstheme="minorEastAsia"/>
          <w:color w:val="auto"/>
          <w:sz w:val="24"/>
          <w:szCs w:val="24"/>
          <w:u w:val="single"/>
        </w:rPr>
        <w:t>（项目编号：</w:t>
      </w:r>
      <w:r>
        <w:rPr>
          <w:rFonts w:hint="eastAsia" w:asciiTheme="minorEastAsia" w:hAnsiTheme="minorEastAsia" w:eastAsiaTheme="minorEastAsia" w:cstheme="minorEastAsia"/>
          <w:color w:val="auto"/>
          <w:sz w:val="24"/>
          <w:szCs w:val="24"/>
          <w:u w:val="single"/>
          <w:lang w:eastAsia="zh-CN"/>
        </w:rPr>
        <w:t>ZJZL-F240228JC</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rPr>
        <w:t>的投标活动，并代表我方全权办理针对上述项目的投标、开标、评标、签约等具体事务和签署相关文件。我方对全权代表的签名事项负全部责任。</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在撤销授权的书面通知以前，本授权书一直有效。全权代表在授权书有效期内签署的所有文件不因授权的撤销而失效。</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全权代表无转委托权，特此委托。</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全权代表签名（或盖章）：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职务：</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全权代表身份证号码：</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法定代表人签名（或盖章）：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职务：</w:t>
      </w:r>
      <w:r>
        <w:rPr>
          <w:rFonts w:hint="eastAsia" w:asciiTheme="minorEastAsia" w:hAnsiTheme="minorEastAsia" w:eastAsiaTheme="minorEastAsia" w:cstheme="minorEastAsia"/>
          <w:color w:val="auto"/>
          <w:sz w:val="24"/>
          <w:szCs w:val="24"/>
          <w:u w:val="single"/>
        </w:rPr>
        <w:t xml:space="preserve">           </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附：法人身份证复印件及授权人身份证复印件。</w:t>
      </w: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w:t>
      </w:r>
    </w:p>
    <w:p>
      <w:pPr>
        <w:snapToGrid w:val="0"/>
        <w:spacing w:before="120" w:beforeLines="50" w:after="50" w:line="460" w:lineRule="exact"/>
        <w:ind w:firstLine="4920" w:firstLineChars="2050"/>
        <w:outlineLvl w:val="9"/>
        <w:rPr>
          <w:rFonts w:hint="eastAsia" w:asciiTheme="minorEastAsia" w:hAnsiTheme="minorEastAsia" w:eastAsiaTheme="minorEastAsia" w:cstheme="minorEastAsia"/>
          <w:color w:val="auto"/>
          <w:sz w:val="24"/>
          <w:szCs w:val="24"/>
        </w:rPr>
      </w:pP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rPr>
      </w:pPr>
    </w:p>
    <w:p>
      <w:pPr>
        <w:snapToGrid w:val="0"/>
        <w:spacing w:before="120" w:beforeLines="50" w:after="50" w:line="460" w:lineRule="exact"/>
        <w:ind w:firstLine="480"/>
        <w:outlineLvl w:val="9"/>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磋商响应方全称（公章）：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日  期：</w:t>
      </w:r>
      <w:r>
        <w:rPr>
          <w:rFonts w:hint="eastAsia" w:asciiTheme="minorEastAsia" w:hAnsiTheme="minorEastAsia" w:eastAsiaTheme="minorEastAsia" w:cstheme="minorEastAsia"/>
          <w:color w:val="auto"/>
          <w:sz w:val="24"/>
          <w:szCs w:val="24"/>
          <w:u w:val="single"/>
        </w:rPr>
        <w:t xml:space="preserve">     </w:t>
      </w:r>
    </w:p>
    <w:p>
      <w:pPr>
        <w:widowControl/>
        <w:jc w:val="lef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pPr>
        <w:outlineLvl w:val="9"/>
        <w:rPr>
          <w:rFonts w:hint="eastAsia" w:asciiTheme="minorEastAsia" w:hAnsiTheme="minorEastAsia" w:eastAsiaTheme="minorEastAsia" w:cstheme="minorEastAsia"/>
          <w:b/>
          <w:bCs/>
          <w:color w:val="auto"/>
          <w:sz w:val="28"/>
          <w:szCs w:val="28"/>
        </w:rPr>
      </w:pPr>
      <w:bookmarkStart w:id="162" w:name="_Toc247514300"/>
      <w:bookmarkStart w:id="163" w:name="_Toc152042597"/>
      <w:bookmarkStart w:id="164" w:name="_Toc247527848"/>
      <w:bookmarkStart w:id="165" w:name="_Toc144974876"/>
      <w:bookmarkStart w:id="166" w:name="_Toc152045808"/>
      <w:r>
        <w:rPr>
          <w:rFonts w:hint="eastAsia" w:asciiTheme="minorEastAsia" w:hAnsiTheme="minorEastAsia" w:eastAsiaTheme="minorEastAsia" w:cstheme="minorEastAsia"/>
          <w:b/>
          <w:bCs/>
          <w:color w:val="auto"/>
          <w:sz w:val="28"/>
          <w:szCs w:val="28"/>
        </w:rPr>
        <w:t xml:space="preserve">附件5： </w:t>
      </w:r>
    </w:p>
    <w:p>
      <w:pPr>
        <w:spacing w:before="120" w:beforeLines="50" w:after="50"/>
        <w:ind w:right="600" w:firstLine="562"/>
        <w:jc w:val="center"/>
        <w:outlineLvl w:val="9"/>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评分索引表</w:t>
      </w:r>
    </w:p>
    <w:p>
      <w:pPr>
        <w:snapToGrid w:val="0"/>
        <w:spacing w:before="120" w:beforeLines="50" w:after="50"/>
        <w:ind w:firstLine="600"/>
        <w:jc w:val="center"/>
        <w:outlineLvl w:val="9"/>
        <w:rPr>
          <w:rFonts w:hint="eastAsia" w:asciiTheme="minorEastAsia" w:hAnsiTheme="minorEastAsia" w:eastAsiaTheme="minorEastAsia" w:cstheme="minorEastAsia"/>
          <w:color w:val="auto"/>
          <w:sz w:val="30"/>
          <w:szCs w:val="30"/>
          <w:highlight w:val="none"/>
        </w:rPr>
      </w:pPr>
    </w:p>
    <w:tbl>
      <w:tblPr>
        <w:tblStyle w:val="55"/>
        <w:tblpPr w:leftFromText="180" w:rightFromText="180" w:vertAnchor="page" w:horzAnchor="page" w:tblpX="1884" w:tblpY="3053"/>
        <w:tblW w:w="0" w:type="auto"/>
        <w:tblInd w:w="0" w:type="dxa"/>
        <w:tblLayout w:type="fixed"/>
        <w:tblCellMar>
          <w:top w:w="0" w:type="dxa"/>
          <w:left w:w="108" w:type="dxa"/>
          <w:bottom w:w="0" w:type="dxa"/>
          <w:right w:w="108" w:type="dxa"/>
        </w:tblCellMar>
      </w:tblPr>
      <w:tblGrid>
        <w:gridCol w:w="959"/>
        <w:gridCol w:w="1417"/>
        <w:gridCol w:w="1418"/>
        <w:gridCol w:w="1134"/>
        <w:gridCol w:w="1417"/>
        <w:gridCol w:w="2127"/>
      </w:tblGrid>
      <w:tr>
        <w:tblPrEx>
          <w:tblCellMar>
            <w:top w:w="0" w:type="dxa"/>
            <w:left w:w="108" w:type="dxa"/>
            <w:bottom w:w="0" w:type="dxa"/>
            <w:right w:w="108" w:type="dxa"/>
          </w:tblCellMar>
        </w:tblPrEx>
        <w:trPr>
          <w:trHeight w:val="617"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1417" w:type="dxa"/>
            <w:tcBorders>
              <w:top w:val="single" w:color="000000" w:sz="4" w:space="0"/>
              <w:left w:val="nil"/>
              <w:bottom w:val="single" w:color="000000" w:sz="4" w:space="0"/>
              <w:right w:val="single" w:color="auto"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评分内容</w:t>
            </w: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评分方法</w:t>
            </w:r>
          </w:p>
        </w:tc>
        <w:tc>
          <w:tcPr>
            <w:tcW w:w="1134" w:type="dxa"/>
            <w:tcBorders>
              <w:top w:val="single" w:color="000000" w:sz="4" w:space="0"/>
              <w:left w:val="nil"/>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分值</w:t>
            </w:r>
          </w:p>
        </w:tc>
        <w:tc>
          <w:tcPr>
            <w:tcW w:w="1417" w:type="dxa"/>
            <w:tcBorders>
              <w:top w:val="single" w:color="000000" w:sz="4" w:space="0"/>
              <w:left w:val="nil"/>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对应页码</w:t>
            </w:r>
          </w:p>
        </w:tc>
        <w:tc>
          <w:tcPr>
            <w:tcW w:w="2127" w:type="dxa"/>
            <w:tcBorders>
              <w:top w:val="single" w:color="000000" w:sz="4" w:space="0"/>
              <w:left w:val="nil"/>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自评分</w:t>
            </w:r>
          </w:p>
        </w:tc>
      </w:tr>
      <w:tr>
        <w:tblPrEx>
          <w:tblCellMar>
            <w:top w:w="0" w:type="dxa"/>
            <w:left w:w="108" w:type="dxa"/>
            <w:bottom w:w="0" w:type="dxa"/>
            <w:right w:w="108" w:type="dxa"/>
          </w:tblCellMar>
        </w:tblPrEx>
        <w:trPr>
          <w:trHeight w:val="742"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7" w:type="dxa"/>
            <w:tcBorders>
              <w:top w:val="single" w:color="000000" w:sz="4" w:space="0"/>
              <w:left w:val="nil"/>
              <w:bottom w:val="single" w:color="000000" w:sz="4" w:space="0"/>
              <w:right w:val="single" w:color="auto"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134" w:type="dxa"/>
            <w:tcBorders>
              <w:top w:val="single" w:color="000000" w:sz="4" w:space="0"/>
              <w:left w:val="nil"/>
              <w:bottom w:val="single" w:color="000000" w:sz="4" w:space="0"/>
              <w:right w:val="single" w:color="000000" w:sz="4" w:space="0"/>
            </w:tcBorders>
            <w:noWrap w:val="0"/>
            <w:vAlign w:val="center"/>
          </w:tcPr>
          <w:p>
            <w:pPr>
              <w:snapToGrid w:val="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417" w:type="dxa"/>
            <w:tcBorders>
              <w:top w:val="single" w:color="000000" w:sz="4" w:space="0"/>
              <w:left w:val="nil"/>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27" w:type="dxa"/>
            <w:tcBorders>
              <w:top w:val="single" w:color="000000" w:sz="4" w:space="0"/>
              <w:left w:val="nil"/>
              <w:bottom w:val="single" w:color="000000" w:sz="4" w:space="0"/>
              <w:right w:val="single" w:color="000000" w:sz="4" w:space="0"/>
            </w:tcBorders>
            <w:noWrap w:val="0"/>
            <w:vAlign w:val="center"/>
          </w:tcPr>
          <w:p>
            <w:pPr>
              <w:spacing w:after="120"/>
              <w:ind w:firstLine="0" w:firstLineChars="0"/>
              <w:jc w:val="center"/>
              <w:outlineLvl w:val="9"/>
              <w:rPr>
                <w:rFonts w:hint="eastAsia" w:asciiTheme="minorEastAsia" w:hAnsiTheme="minorEastAsia" w:eastAsiaTheme="minorEastAsia" w:cstheme="minorEastAsia"/>
                <w:color w:val="auto"/>
                <w:sz w:val="24"/>
                <w:szCs w:val="24"/>
                <w:highlight w:val="none"/>
              </w:rPr>
            </w:pPr>
          </w:p>
        </w:tc>
      </w:tr>
      <w:tr>
        <w:tblPrEx>
          <w:tblCellMar>
            <w:top w:w="0" w:type="dxa"/>
            <w:left w:w="108" w:type="dxa"/>
            <w:bottom w:w="0" w:type="dxa"/>
            <w:right w:w="108" w:type="dxa"/>
          </w:tblCellMar>
        </w:tblPrEx>
        <w:trPr>
          <w:trHeight w:val="735"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7" w:type="dxa"/>
            <w:tcBorders>
              <w:top w:val="single" w:color="000000" w:sz="4" w:space="0"/>
              <w:left w:val="nil"/>
              <w:bottom w:val="single" w:color="000000" w:sz="4" w:space="0"/>
              <w:right w:val="single" w:color="auto"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134"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41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2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r>
      <w:tr>
        <w:tblPrEx>
          <w:tblCellMar>
            <w:top w:w="0" w:type="dxa"/>
            <w:left w:w="108" w:type="dxa"/>
            <w:bottom w:w="0" w:type="dxa"/>
            <w:right w:w="108" w:type="dxa"/>
          </w:tblCellMar>
        </w:tblPrEx>
        <w:trPr>
          <w:trHeight w:val="613"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7" w:type="dxa"/>
            <w:tcBorders>
              <w:top w:val="single" w:color="000000" w:sz="4" w:space="0"/>
              <w:left w:val="nil"/>
              <w:bottom w:val="single" w:color="000000" w:sz="4" w:space="0"/>
              <w:right w:val="single" w:color="auto"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134"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41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2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r>
      <w:tr>
        <w:tblPrEx>
          <w:tblCellMar>
            <w:top w:w="0" w:type="dxa"/>
            <w:left w:w="108" w:type="dxa"/>
            <w:bottom w:w="0" w:type="dxa"/>
            <w:right w:w="108" w:type="dxa"/>
          </w:tblCellMar>
        </w:tblPrEx>
        <w:trPr>
          <w:trHeight w:val="868"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7" w:type="dxa"/>
            <w:tcBorders>
              <w:top w:val="single" w:color="000000" w:sz="4" w:space="0"/>
              <w:left w:val="nil"/>
              <w:bottom w:val="single" w:color="000000" w:sz="4" w:space="0"/>
              <w:right w:val="single" w:color="auto"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134"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41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2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r>
      <w:tr>
        <w:tblPrEx>
          <w:tblCellMar>
            <w:top w:w="0" w:type="dxa"/>
            <w:left w:w="108" w:type="dxa"/>
            <w:bottom w:w="0" w:type="dxa"/>
            <w:right w:w="108" w:type="dxa"/>
          </w:tblCellMar>
        </w:tblPrEx>
        <w:trPr>
          <w:trHeight w:val="753" w:hRule="atLeast"/>
        </w:trPr>
        <w:tc>
          <w:tcPr>
            <w:tcW w:w="959" w:type="dxa"/>
            <w:tcBorders>
              <w:top w:val="single" w:color="000000" w:sz="4" w:space="0"/>
              <w:left w:val="single" w:color="000000"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7" w:type="dxa"/>
            <w:tcBorders>
              <w:top w:val="single" w:color="000000" w:sz="4" w:space="0"/>
              <w:left w:val="nil"/>
              <w:bottom w:val="single" w:color="000000" w:sz="4" w:space="0"/>
              <w:right w:val="single" w:color="auto"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418" w:type="dxa"/>
            <w:tcBorders>
              <w:top w:val="single" w:color="000000" w:sz="4" w:space="0"/>
              <w:left w:val="single" w:color="auto" w:sz="4" w:space="0"/>
              <w:bottom w:val="single" w:color="000000" w:sz="4" w:space="0"/>
              <w:right w:val="single" w:color="000000" w:sz="4" w:space="0"/>
            </w:tcBorders>
            <w:noWrap w:val="0"/>
            <w:vAlign w:val="center"/>
          </w:tcPr>
          <w:p>
            <w:pPr>
              <w:widowControl/>
              <w:spacing w:before="100" w:beforeAutospacing="1" w:after="100" w:afterAutospacing="1"/>
              <w:ind w:firstLine="0" w:firstLineChars="0"/>
              <w:jc w:val="center"/>
              <w:outlineLvl w:val="9"/>
              <w:rPr>
                <w:rFonts w:hint="eastAsia" w:asciiTheme="minorEastAsia" w:hAnsiTheme="minorEastAsia" w:eastAsiaTheme="minorEastAsia" w:cstheme="minorEastAsia"/>
                <w:color w:val="auto"/>
                <w:kern w:val="0"/>
                <w:sz w:val="24"/>
                <w:szCs w:val="24"/>
                <w:highlight w:val="none"/>
              </w:rPr>
            </w:pPr>
          </w:p>
        </w:tc>
        <w:tc>
          <w:tcPr>
            <w:tcW w:w="1134"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41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27" w:type="dxa"/>
            <w:tcBorders>
              <w:top w:val="single" w:color="000000" w:sz="4" w:space="0"/>
              <w:left w:val="nil"/>
              <w:bottom w:val="single" w:color="000000" w:sz="4" w:space="0"/>
              <w:right w:val="single" w:color="000000" w:sz="4" w:space="0"/>
            </w:tcBorders>
            <w:noWrap w:val="0"/>
            <w:vAlign w:val="center"/>
          </w:tcPr>
          <w:p>
            <w:pPr>
              <w:ind w:firstLine="0" w:firstLineChars="0"/>
              <w:jc w:val="center"/>
              <w:outlineLvl w:val="9"/>
              <w:rPr>
                <w:rFonts w:hint="eastAsia" w:asciiTheme="minorEastAsia" w:hAnsiTheme="minorEastAsia" w:eastAsiaTheme="minorEastAsia" w:cstheme="minorEastAsia"/>
                <w:color w:val="auto"/>
                <w:sz w:val="24"/>
                <w:szCs w:val="24"/>
                <w:highlight w:val="none"/>
              </w:rPr>
            </w:pPr>
          </w:p>
        </w:tc>
      </w:tr>
    </w:tbl>
    <w:p>
      <w:pPr>
        <w:pStyle w:val="548"/>
        <w:snapToGrid w:val="0"/>
        <w:ind w:right="0" w:firstLine="480" w:firstLineChars="200"/>
        <w:jc w:val="both"/>
        <w:outlineLvl w:val="9"/>
        <w:rPr>
          <w:rFonts w:hint="eastAsia" w:asciiTheme="minorEastAsia" w:hAnsiTheme="minorEastAsia" w:eastAsiaTheme="minorEastAsia" w:cstheme="minorEastAsia"/>
          <w:b/>
          <w:color w:val="auto"/>
          <w:sz w:val="28"/>
          <w:szCs w:val="28"/>
          <w:lang w:val="en-GB"/>
        </w:rPr>
      </w:pPr>
      <w:r>
        <w:rPr>
          <w:rFonts w:hint="eastAsia" w:asciiTheme="minorEastAsia" w:hAnsiTheme="minorEastAsia" w:eastAsiaTheme="minorEastAsia" w:cstheme="minorEastAsia"/>
          <w:b w:val="0"/>
          <w:bCs/>
          <w:color w:val="auto"/>
          <w:sz w:val="24"/>
          <w:szCs w:val="24"/>
          <w:highlight w:val="none"/>
        </w:rPr>
        <w:t>对应评标方法及标准（报价除外）</w:t>
      </w:r>
    </w:p>
    <w:p>
      <w:pPr>
        <w:rPr>
          <w:rFonts w:hint="eastAsia" w:asciiTheme="minorEastAsia" w:hAnsiTheme="minorEastAsia" w:eastAsiaTheme="minorEastAsia" w:cstheme="minorEastAsia"/>
          <w:b/>
          <w:color w:val="auto"/>
          <w:sz w:val="28"/>
          <w:szCs w:val="28"/>
          <w:lang w:val="en-GB"/>
        </w:rPr>
      </w:pPr>
      <w:r>
        <w:rPr>
          <w:rFonts w:hint="eastAsia" w:asciiTheme="minorEastAsia" w:hAnsiTheme="minorEastAsia" w:eastAsiaTheme="minorEastAsia" w:cstheme="minorEastAsia"/>
          <w:b/>
          <w:color w:val="auto"/>
          <w:sz w:val="28"/>
          <w:szCs w:val="28"/>
          <w:lang w:val="en-GB"/>
        </w:rPr>
        <w:br w:type="page"/>
      </w:r>
    </w:p>
    <w:p>
      <w:pPr>
        <w:snapToGrid w:val="0"/>
        <w:spacing w:before="50" w:after="50"/>
        <w:jc w:val="both"/>
        <w:outlineLvl w:val="9"/>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附件：</w:t>
      </w:r>
    </w:p>
    <w:p>
      <w:pPr>
        <w:autoSpaceDE w:val="0"/>
        <w:autoSpaceDN w:val="0"/>
        <w:spacing w:line="360" w:lineRule="auto"/>
        <w:jc w:val="center"/>
        <w:outlineLvl w:val="9"/>
        <w:rPr>
          <w:rFonts w:hint="eastAsia" w:asciiTheme="minorEastAsia" w:hAnsiTheme="minorEastAsia" w:eastAsiaTheme="minorEastAsia" w:cstheme="minorEastAsia"/>
          <w:b/>
          <w:color w:val="auto"/>
          <w:kern w:val="0"/>
          <w:sz w:val="30"/>
          <w:szCs w:val="30"/>
          <w:lang w:val="zh-CN"/>
        </w:rPr>
      </w:pPr>
      <w:r>
        <w:rPr>
          <w:rFonts w:hint="eastAsia" w:asciiTheme="minorEastAsia" w:hAnsiTheme="minorEastAsia" w:eastAsiaTheme="minorEastAsia" w:cstheme="minorEastAsia"/>
          <w:b/>
          <w:color w:val="auto"/>
          <w:kern w:val="0"/>
          <w:sz w:val="30"/>
          <w:szCs w:val="30"/>
          <w:lang w:val="en-US" w:eastAsia="zh-CN"/>
        </w:rPr>
        <w:t>投标声明书</w:t>
      </w:r>
      <w:r>
        <w:rPr>
          <w:rFonts w:hint="eastAsia" w:asciiTheme="minorEastAsia" w:hAnsiTheme="minorEastAsia" w:eastAsiaTheme="minorEastAsia" w:cstheme="minorEastAsia"/>
          <w:b/>
          <w:color w:val="auto"/>
          <w:kern w:val="0"/>
          <w:sz w:val="30"/>
          <w:szCs w:val="30"/>
          <w:lang w:val="zh-CN"/>
        </w:rPr>
        <w:t xml:space="preserve"> </w:t>
      </w:r>
    </w:p>
    <w:p>
      <w:pPr>
        <w:snapToGrid w:val="0"/>
        <w:spacing w:before="120" w:beforeLines="50" w:after="50" w:line="460" w:lineRule="exact"/>
        <w:outlineLvl w:val="9"/>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致：</w:t>
      </w:r>
      <w:r>
        <w:rPr>
          <w:rFonts w:hint="eastAsia" w:asciiTheme="minorEastAsia" w:hAnsiTheme="minorEastAsia" w:eastAsiaTheme="minorEastAsia" w:cstheme="minorEastAsia"/>
          <w:color w:val="auto"/>
          <w:sz w:val="24"/>
          <w:szCs w:val="24"/>
          <w:lang w:eastAsia="zh-CN"/>
        </w:rPr>
        <w:t>嵊州市天伦园开发有限公司、浙江筑脸全过程工程咨询有限公司</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lang w:eastAsia="zh-CN"/>
        </w:rPr>
        <w:t>（</w:t>
      </w:r>
      <w:r>
        <w:rPr>
          <w:rFonts w:hint="eastAsia" w:asciiTheme="minorEastAsia" w:hAnsiTheme="minorEastAsia" w:eastAsiaTheme="minorEastAsia" w:cstheme="minorEastAsia"/>
          <w:color w:val="auto"/>
          <w:sz w:val="24"/>
          <w:szCs w:val="24"/>
          <w:u w:val="single"/>
        </w:rPr>
        <w:t>磋商响应方名称）</w:t>
      </w:r>
      <w:r>
        <w:rPr>
          <w:rFonts w:hint="eastAsia" w:asciiTheme="minorEastAsia" w:hAnsiTheme="minorEastAsia" w:eastAsiaTheme="minorEastAsia" w:cstheme="minorEastAsia"/>
          <w:color w:val="auto"/>
          <w:sz w:val="24"/>
          <w:szCs w:val="24"/>
        </w:rPr>
        <w:t>系中华人民共和国合法企业，经营地址</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（姓名）</w:t>
      </w:r>
      <w:r>
        <w:rPr>
          <w:rFonts w:hint="eastAsia" w:asciiTheme="minorEastAsia" w:hAnsiTheme="minorEastAsia" w:eastAsiaTheme="minorEastAsia" w:cstheme="minorEastAsia"/>
          <w:color w:val="auto"/>
          <w:sz w:val="24"/>
          <w:szCs w:val="24"/>
        </w:rPr>
        <w:t>系</w:t>
      </w:r>
      <w:r>
        <w:rPr>
          <w:rFonts w:hint="eastAsia" w:asciiTheme="minorEastAsia" w:hAnsiTheme="minorEastAsia" w:eastAsiaTheme="minorEastAsia" w:cstheme="minorEastAsia"/>
          <w:color w:val="auto"/>
          <w:sz w:val="24"/>
          <w:szCs w:val="24"/>
          <w:u w:val="single"/>
        </w:rPr>
        <w:t>（磋商响应方名称）</w:t>
      </w:r>
      <w:r>
        <w:rPr>
          <w:rFonts w:hint="eastAsia" w:asciiTheme="minorEastAsia" w:hAnsiTheme="minorEastAsia" w:eastAsiaTheme="minorEastAsia" w:cstheme="minorEastAsia"/>
          <w:color w:val="auto"/>
          <w:sz w:val="24"/>
          <w:szCs w:val="24"/>
        </w:rPr>
        <w:t>的法定代表人，我方愿意参加贵方组织的</w:t>
      </w:r>
      <w:r>
        <w:rPr>
          <w:rFonts w:hint="eastAsia" w:asciiTheme="minorEastAsia" w:hAnsiTheme="minorEastAsia" w:eastAsiaTheme="minorEastAsia" w:cstheme="minorEastAsia"/>
          <w:color w:val="auto"/>
          <w:sz w:val="24"/>
          <w:szCs w:val="24"/>
          <w:u w:val="single"/>
          <w:lang w:eastAsia="zh-CN"/>
        </w:rPr>
        <w:t>嵊州市殡仪馆改扩建工程环境监测服务项目</w:t>
      </w:r>
      <w:r>
        <w:rPr>
          <w:rFonts w:hint="eastAsia" w:asciiTheme="minorEastAsia" w:hAnsiTheme="minorEastAsia" w:eastAsiaTheme="minorEastAsia" w:cstheme="minorEastAsia"/>
          <w:color w:val="auto"/>
          <w:sz w:val="24"/>
          <w:szCs w:val="24"/>
          <w:u w:val="single"/>
        </w:rPr>
        <w:t>（编号为</w:t>
      </w:r>
      <w:r>
        <w:rPr>
          <w:rFonts w:hint="eastAsia" w:asciiTheme="minorEastAsia" w:hAnsiTheme="minorEastAsia" w:eastAsiaTheme="minorEastAsia" w:cstheme="minorEastAsia"/>
          <w:color w:val="auto"/>
          <w:sz w:val="24"/>
          <w:szCs w:val="24"/>
          <w:u w:val="single"/>
          <w:lang w:eastAsia="zh-CN"/>
        </w:rPr>
        <w:t>ZJZL-F240228JC</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rPr>
        <w:t>的磋商响应，为此，我方就本次磋商响应有关事项郑重声明如下：</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1.我方已详细审查全部磋商文件，同意竞争性磋商文件的各项要求。</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2.我方向贵方提交的所有磋商响应文件、资料都是正确和真实的。</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3.若成交，我方将按磋商文件规定履行合同责任和义务。</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4.我方不是采购人的附属机构。</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5.磋商响应书自磋商日起有效期为</w:t>
      </w:r>
      <w:r>
        <w:rPr>
          <w:rFonts w:hint="eastAsia" w:asciiTheme="minorEastAsia" w:hAnsiTheme="minorEastAsia" w:eastAsiaTheme="minorEastAsia" w:cstheme="minorEastAsia"/>
          <w:color w:val="auto"/>
          <w:sz w:val="24"/>
          <w:szCs w:val="24"/>
          <w:u w:val="single"/>
        </w:rPr>
        <w:t>90</w:t>
      </w:r>
      <w:r>
        <w:rPr>
          <w:rFonts w:hint="eastAsia" w:asciiTheme="minorEastAsia" w:hAnsiTheme="minorEastAsia" w:eastAsiaTheme="minorEastAsia" w:cstheme="minorEastAsia"/>
          <w:color w:val="auto"/>
          <w:sz w:val="24"/>
          <w:szCs w:val="24"/>
        </w:rPr>
        <w:t>天。</w:t>
      </w:r>
    </w:p>
    <w:p>
      <w:pPr>
        <w:snapToGrid w:val="0"/>
        <w:spacing w:before="120" w:beforeLines="50" w:after="50" w:line="460" w:lineRule="exact"/>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6.以上事项如有虚假或隐瞒，我方愿意承担一切后果，并不再寻求任何旨在减轻或免除法律责任的辩解。</w:t>
      </w:r>
    </w:p>
    <w:p>
      <w:pPr>
        <w:pStyle w:val="25"/>
        <w:snapToGrid w:val="0"/>
        <w:spacing w:line="460" w:lineRule="exact"/>
        <w:ind w:left="773" w:leftChars="150" w:hanging="458" w:hangingChars="191"/>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 xml:space="preserve"> </w:t>
      </w:r>
    </w:p>
    <w:p>
      <w:pPr>
        <w:pStyle w:val="362"/>
        <w:snapToGrid w:val="0"/>
        <w:spacing w:before="120" w:beforeLines="50" w:line="460" w:lineRule="exact"/>
        <w:ind w:firstLine="200"/>
        <w:outlineLvl w:val="9"/>
        <w:rPr>
          <w:rFonts w:hint="eastAsia" w:asciiTheme="minorEastAsia" w:hAnsiTheme="minorEastAsia" w:eastAsiaTheme="minorEastAsia" w:cstheme="minorEastAsia"/>
          <w:color w:val="auto"/>
          <w:szCs w:val="24"/>
        </w:rPr>
      </w:pPr>
      <w:r>
        <w:rPr>
          <w:rFonts w:hint="eastAsia" w:asciiTheme="minorEastAsia" w:hAnsiTheme="minorEastAsia" w:eastAsiaTheme="minorEastAsia" w:cstheme="minorEastAsia"/>
          <w:color w:val="auto"/>
          <w:szCs w:val="24"/>
        </w:rPr>
        <w:t xml:space="preserve"> </w:t>
      </w: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0" w:firstLineChars="2000"/>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磋商响应方（盖章）：</w:t>
      </w:r>
    </w:p>
    <w:p>
      <w:pPr>
        <w:keepNext w:val="0"/>
        <w:keepLines w:val="0"/>
        <w:pageBreakBefore w:val="0"/>
        <w:widowControl w:val="0"/>
        <w:kinsoku/>
        <w:wordWrap/>
        <w:overflowPunct/>
        <w:topLinePunct w:val="0"/>
        <w:autoSpaceDE/>
        <w:autoSpaceDN/>
        <w:bidi w:val="0"/>
        <w:adjustRightInd/>
        <w:snapToGrid/>
        <w:spacing w:line="360" w:lineRule="auto"/>
        <w:ind w:right="-21" w:rightChars="-10" w:firstLine="480"/>
        <w:jc w:val="center"/>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法定代表人或授权代表（签字或盖章）：</w:t>
      </w:r>
    </w:p>
    <w:p>
      <w:pPr>
        <w:keepNext w:val="0"/>
        <w:keepLines w:val="0"/>
        <w:pageBreakBefore w:val="0"/>
        <w:widowControl w:val="0"/>
        <w:kinsoku/>
        <w:wordWrap/>
        <w:overflowPunct/>
        <w:topLinePunct w:val="0"/>
        <w:autoSpaceDE/>
        <w:autoSpaceDN/>
        <w:bidi w:val="0"/>
        <w:adjustRightInd/>
        <w:snapToGrid/>
        <w:spacing w:line="360" w:lineRule="auto"/>
        <w:ind w:firstLine="4800" w:firstLineChars="2000"/>
        <w:textAlignment w:val="auto"/>
        <w:outlineLvl w:val="9"/>
        <w:rPr>
          <w:rFonts w:hint="eastAsia" w:asciiTheme="minorEastAsia" w:hAnsiTheme="minorEastAsia" w:eastAsiaTheme="minorEastAsia" w:cstheme="minorEastAsia"/>
          <w:color w:val="auto"/>
          <w:kern w:val="0"/>
          <w:szCs w:val="21"/>
        </w:rPr>
      </w:pPr>
      <w:r>
        <w:rPr>
          <w:rFonts w:hint="eastAsia" w:asciiTheme="minorEastAsia" w:hAnsiTheme="minorEastAsia" w:eastAsiaTheme="minorEastAsia" w:cstheme="minorEastAsia"/>
          <w:color w:val="auto"/>
          <w:sz w:val="24"/>
          <w:szCs w:val="24"/>
        </w:rPr>
        <w:t>日    期：</w:t>
      </w:r>
    </w:p>
    <w:p>
      <w:pPr>
        <w:pStyle w:val="548"/>
        <w:snapToGrid w:val="0"/>
        <w:ind w:right="0" w:firstLine="0" w:firstLineChars="0"/>
        <w:jc w:val="left"/>
        <w:outlineLvl w:val="9"/>
        <w:rPr>
          <w:rFonts w:hint="eastAsia" w:asciiTheme="minorEastAsia" w:hAnsiTheme="minorEastAsia" w:eastAsiaTheme="minorEastAsia" w:cstheme="minorEastAsia"/>
          <w:b/>
          <w:bCs/>
          <w:color w:val="auto"/>
          <w:sz w:val="28"/>
          <w:szCs w:val="28"/>
        </w:rPr>
        <w:sectPr>
          <w:pgSz w:w="11906" w:h="16838"/>
          <w:pgMar w:top="1474" w:right="1514" w:bottom="1247" w:left="1514" w:header="851" w:footer="851" w:gutter="0"/>
          <w:pgNumType w:start="1"/>
          <w:cols w:space="720" w:num="1"/>
          <w:docGrid w:linePitch="312" w:charSpace="0"/>
        </w:sectPr>
      </w:pPr>
    </w:p>
    <w:p>
      <w:pPr>
        <w:pStyle w:val="548"/>
        <w:snapToGrid w:val="0"/>
        <w:ind w:right="0" w:firstLine="0" w:firstLineChars="0"/>
        <w:jc w:val="left"/>
        <w:outlineLvl w:val="9"/>
        <w:rPr>
          <w:rFonts w:hint="eastAsia" w:asciiTheme="minorEastAsia" w:hAnsiTheme="minorEastAsia" w:eastAsiaTheme="minorEastAsia" w:cstheme="minorEastAsia"/>
          <w:b/>
          <w:color w:val="auto"/>
          <w:sz w:val="28"/>
          <w:szCs w:val="28"/>
          <w:lang w:val="en-GB"/>
        </w:rPr>
      </w:pPr>
      <w:r>
        <w:rPr>
          <w:rFonts w:hint="eastAsia" w:asciiTheme="minorEastAsia" w:hAnsiTheme="minorEastAsia" w:eastAsiaTheme="minorEastAsia" w:cstheme="minorEastAsia"/>
          <w:b/>
          <w:bCs/>
          <w:color w:val="auto"/>
          <w:sz w:val="28"/>
          <w:szCs w:val="28"/>
        </w:rPr>
        <w:t>附件：</w:t>
      </w:r>
      <w:r>
        <w:rPr>
          <w:rFonts w:hint="eastAsia" w:asciiTheme="minorEastAsia" w:hAnsiTheme="minorEastAsia" w:eastAsiaTheme="minorEastAsia" w:cstheme="minorEastAsia"/>
          <w:b/>
          <w:bCs/>
          <w:color w:val="auto"/>
          <w:sz w:val="28"/>
          <w:szCs w:val="28"/>
          <w:lang w:val="en-US" w:eastAsia="zh-CN"/>
        </w:rPr>
        <w:t xml:space="preserve">             </w:t>
      </w:r>
      <w:r>
        <w:rPr>
          <w:rFonts w:hint="eastAsia" w:asciiTheme="minorEastAsia" w:hAnsiTheme="minorEastAsia" w:eastAsiaTheme="minorEastAsia" w:cstheme="minorEastAsia"/>
          <w:b/>
          <w:color w:val="auto"/>
          <w:sz w:val="28"/>
          <w:szCs w:val="28"/>
          <w:lang w:val="en-GB"/>
        </w:rPr>
        <w:t>磋商响应方基本情况表</w:t>
      </w:r>
      <w:bookmarkEnd w:id="162"/>
      <w:bookmarkEnd w:id="163"/>
      <w:bookmarkEnd w:id="164"/>
      <w:bookmarkEnd w:id="165"/>
      <w:bookmarkEnd w:id="166"/>
    </w:p>
    <w:p>
      <w:pPr>
        <w:spacing w:line="5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项目名称：                                      项目编号：</w:t>
      </w:r>
    </w:p>
    <w:tbl>
      <w:tblPr>
        <w:tblStyle w:val="55"/>
        <w:tblW w:w="8914"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742"/>
        <w:gridCol w:w="2358"/>
        <w:gridCol w:w="765"/>
        <w:gridCol w:w="1192"/>
        <w:gridCol w:w="543"/>
        <w:gridCol w:w="2314"/>
      </w:tblGrid>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914" w:type="dxa"/>
            <w:gridSpan w:val="6"/>
            <w:tcBorders>
              <w:top w:val="thinThickSmallGap" w:color="auto" w:sz="12" w:space="0"/>
            </w:tcBorders>
            <w:vAlign w:val="center"/>
          </w:tcPr>
          <w:p>
            <w:pPr>
              <w:snapToGrid w:val="0"/>
              <w:spacing w:line="460" w:lineRule="exact"/>
              <w:jc w:val="center"/>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val="0"/>
                <w:bCs/>
                <w:color w:val="auto"/>
                <w:sz w:val="24"/>
                <w:szCs w:val="24"/>
              </w:rPr>
              <w:t>磋商响应方信息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企业名称</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联合体投标</w:t>
            </w:r>
          </w:p>
        </w:tc>
        <w:tc>
          <w:tcPr>
            <w:tcW w:w="2358"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是□    否</w:t>
            </w:r>
            <w:r>
              <w:rPr>
                <w:rFonts w:hint="eastAsia" w:asciiTheme="minorEastAsia" w:hAnsiTheme="minorEastAsia" w:eastAsiaTheme="minorEastAsia" w:cstheme="minorEastAsia"/>
                <w:color w:val="auto"/>
                <w:sz w:val="24"/>
                <w:szCs w:val="24"/>
                <w:lang w:eastAsia="zh-CN"/>
              </w:rPr>
              <w:t>☑</w:t>
            </w:r>
          </w:p>
        </w:tc>
        <w:tc>
          <w:tcPr>
            <w:tcW w:w="1957"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联合体成员单位</w:t>
            </w:r>
          </w:p>
        </w:tc>
        <w:tc>
          <w:tcPr>
            <w:tcW w:w="2857" w:type="dxa"/>
            <w:gridSpan w:val="2"/>
            <w:vAlign w:val="center"/>
          </w:tcPr>
          <w:p>
            <w:pPr>
              <w:snapToGrid w:val="0"/>
              <w:spacing w:line="460" w:lineRule="exact"/>
              <w:jc w:val="center"/>
              <w:outlineLvl w:val="9"/>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性质</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国有□     国有控股□     私营□     事业单位□</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统一社会信用代码</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注册资本</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身份证号码</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通信地址</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邮政编码</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公司电话</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传真</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公司网址</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电子邮箱</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开户银行及账号</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人员情况</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企业资质</w:t>
            </w:r>
          </w:p>
        </w:tc>
        <w:tc>
          <w:tcPr>
            <w:tcW w:w="7172" w:type="dxa"/>
            <w:gridSpan w:val="5"/>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napToGrid w:val="0"/>
              <w:spacing w:line="460" w:lineRule="exact"/>
              <w:jc w:val="left"/>
              <w:outlineLvl w:val="9"/>
              <w:rPr>
                <w:rFonts w:hint="eastAsia" w:asciiTheme="minorEastAsia" w:hAnsiTheme="minorEastAsia" w:eastAsiaTheme="minorEastAsia" w:cstheme="minorEastAsia"/>
                <w:b/>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企业认证</w:t>
            </w:r>
          </w:p>
        </w:tc>
        <w:tc>
          <w:tcPr>
            <w:tcW w:w="7172" w:type="dxa"/>
            <w:gridSpan w:val="5"/>
            <w:vAlign w:val="center"/>
          </w:tcPr>
          <w:p>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napToGrid w:val="0"/>
              <w:spacing w:line="460" w:lineRule="exact"/>
              <w:jc w:val="left"/>
              <w:outlineLvl w:val="9"/>
              <w:rPr>
                <w:rFonts w:hint="eastAsia" w:asciiTheme="minorEastAsia" w:hAnsiTheme="minorEastAsia" w:eastAsiaTheme="minorEastAsia" w:cstheme="minorEastAsia"/>
                <w:b/>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企业获奖（如有）</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备注</w:t>
            </w:r>
          </w:p>
        </w:tc>
        <w:tc>
          <w:tcPr>
            <w:tcW w:w="7172" w:type="dxa"/>
            <w:gridSpan w:val="5"/>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914" w:type="dxa"/>
            <w:gridSpan w:val="6"/>
            <w:vAlign w:val="center"/>
          </w:tcPr>
          <w:p>
            <w:pPr>
              <w:snapToGrid w:val="0"/>
              <w:spacing w:line="460" w:lineRule="exact"/>
              <w:jc w:val="center"/>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val="0"/>
                <w:bCs/>
                <w:color w:val="auto"/>
                <w:sz w:val="24"/>
                <w:szCs w:val="24"/>
              </w:rPr>
              <w:t>磋商响应方联系人</w:t>
            </w:r>
            <w:r>
              <w:rPr>
                <w:rFonts w:hint="eastAsia" w:asciiTheme="minorEastAsia" w:hAnsiTheme="minorEastAsia" w:eastAsiaTheme="minorEastAsia" w:cstheme="minorEastAsia"/>
                <w:color w:val="auto"/>
                <w:sz w:val="24"/>
                <w:szCs w:val="24"/>
              </w:rPr>
              <w:t>信息</w:t>
            </w: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姓名</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移动电话</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742"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固定电话</w:t>
            </w:r>
          </w:p>
        </w:tc>
        <w:tc>
          <w:tcPr>
            <w:tcW w:w="3123"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c>
          <w:tcPr>
            <w:tcW w:w="1735" w:type="dxa"/>
            <w:gridSpan w:val="2"/>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电子邮箱</w:t>
            </w:r>
          </w:p>
        </w:tc>
        <w:tc>
          <w:tcPr>
            <w:tcW w:w="2314" w:type="dxa"/>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p>
        </w:tc>
      </w:tr>
      <w:tr>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914" w:type="dxa"/>
            <w:gridSpan w:val="6"/>
            <w:tcBorders>
              <w:bottom w:val="thinThickSmallGap" w:color="auto" w:sz="12" w:space="0"/>
            </w:tcBorders>
            <w:vAlign w:val="center"/>
          </w:tcPr>
          <w:p>
            <w:pPr>
              <w:snapToGrid w:val="0"/>
              <w:spacing w:line="460" w:lineRule="exac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企业简介：（可另附页或企业对外宣传手册，如有附后）</w:t>
            </w:r>
          </w:p>
        </w:tc>
      </w:tr>
    </w:tbl>
    <w:p>
      <w:pPr>
        <w:spacing w:line="360" w:lineRule="auto"/>
        <w:outlineLvl w:val="9"/>
        <w:rPr>
          <w:rFonts w:hint="eastAsia" w:asciiTheme="minorEastAsia" w:hAnsiTheme="minorEastAsia" w:eastAsiaTheme="minorEastAsia" w:cstheme="minorEastAsia"/>
          <w:color w:val="auto"/>
          <w:sz w:val="24"/>
          <w:szCs w:val="24"/>
        </w:rPr>
      </w:pP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日期：</w:t>
      </w:r>
    </w:p>
    <w:p>
      <w:pPr>
        <w:snapToGrid w:val="0"/>
        <w:spacing w:before="50"/>
        <w:jc w:val="lef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附件：</w:t>
      </w:r>
    </w:p>
    <w:p>
      <w:pPr>
        <w:snapToGrid w:val="0"/>
        <w:spacing w:before="50" w:after="50"/>
        <w:ind w:firstLine="562"/>
        <w:jc w:val="center"/>
        <w:outlineLvl w:val="9"/>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资信及商务响应表</w:t>
      </w:r>
    </w:p>
    <w:p>
      <w:pPr>
        <w:ind w:firstLine="420"/>
        <w:outlineLvl w:val="9"/>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Cs w:val="21"/>
          <w:highlight w:val="none"/>
        </w:rPr>
        <w:t xml:space="preserve">项目名称：                                             </w:t>
      </w:r>
      <w:r>
        <w:rPr>
          <w:rFonts w:hint="eastAsia" w:asciiTheme="minorEastAsia" w:hAnsiTheme="minorEastAsia" w:eastAsiaTheme="minorEastAsia" w:cstheme="minorEastAsia"/>
          <w:color w:val="auto"/>
          <w:highlight w:val="none"/>
        </w:rPr>
        <w:t>项目编号：</w:t>
      </w:r>
      <w:r>
        <w:rPr>
          <w:rFonts w:hint="eastAsia" w:asciiTheme="minorEastAsia" w:hAnsiTheme="minorEastAsia" w:eastAsiaTheme="minorEastAsia" w:cstheme="minorEastAsia"/>
          <w:color w:val="auto"/>
          <w:sz w:val="24"/>
          <w:szCs w:val="24"/>
          <w:highlight w:val="none"/>
        </w:rPr>
        <w:t xml:space="preserve">          </w:t>
      </w:r>
    </w:p>
    <w:tbl>
      <w:tblPr>
        <w:tblStyle w:val="55"/>
        <w:tblW w:w="9600" w:type="dxa"/>
        <w:tblInd w:w="-31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93"/>
        <w:gridCol w:w="1724"/>
        <w:gridCol w:w="1850"/>
        <w:gridCol w:w="1300"/>
        <w:gridCol w:w="243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w:t>
            </w:r>
          </w:p>
        </w:tc>
        <w:tc>
          <w:tcPr>
            <w:tcW w:w="172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文件要求</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文件响应</w:t>
            </w:r>
          </w:p>
        </w:tc>
        <w:tc>
          <w:tcPr>
            <w:tcW w:w="13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偏离情况</w:t>
            </w:r>
          </w:p>
        </w:tc>
        <w:tc>
          <w:tcPr>
            <w:tcW w:w="24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响应方</w:t>
            </w:r>
            <w:r>
              <w:rPr>
                <w:rFonts w:hint="eastAsia" w:asciiTheme="minorEastAsia" w:hAnsiTheme="minorEastAsia" w:eastAsiaTheme="minorEastAsia" w:cstheme="minorEastAsia"/>
                <w:color w:val="auto"/>
                <w:sz w:val="24"/>
                <w:szCs w:val="24"/>
                <w:highlight w:val="none"/>
              </w:rPr>
              <w:t>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229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229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0" w:firstLineChars="0"/>
              <w:jc w:val="both"/>
              <w:outlineLvl w:val="9"/>
              <w:rPr>
                <w:rFonts w:hint="default" w:asciiTheme="minorEastAsia" w:hAnsiTheme="minorEastAsia" w:eastAsiaTheme="minorEastAsia" w:cstheme="minorEastAsia"/>
                <w:color w:val="auto"/>
                <w:sz w:val="24"/>
                <w:szCs w:val="24"/>
                <w:highlight w:val="none"/>
                <w:lang w:val="en-US" w:eastAsia="zh-CN"/>
              </w:rPr>
            </w:pPr>
          </w:p>
        </w:tc>
        <w:tc>
          <w:tcPr>
            <w:tcW w:w="1724"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bl>
    <w:p>
      <w:pPr>
        <w:ind w:firstLine="480" w:firstLineChars="20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rPr>
        <w:t>注：</w:t>
      </w:r>
      <w:r>
        <w:rPr>
          <w:rFonts w:hint="eastAsia" w:asciiTheme="minorEastAsia" w:hAnsiTheme="minorEastAsia" w:eastAsiaTheme="minorEastAsia" w:cstheme="minorEastAsia"/>
          <w:color w:val="auto"/>
          <w:sz w:val="24"/>
          <w:szCs w:val="24"/>
          <w:highlight w:val="none"/>
          <w:lang w:val="en-US" w:eastAsia="zh-CN"/>
        </w:rPr>
        <w:t>供应商</w:t>
      </w:r>
      <w:r>
        <w:rPr>
          <w:rFonts w:hint="eastAsia" w:asciiTheme="minorEastAsia" w:hAnsiTheme="minorEastAsia" w:eastAsiaTheme="minorEastAsia" w:cstheme="minorEastAsia"/>
          <w:color w:val="auto"/>
          <w:sz w:val="24"/>
          <w:szCs w:val="24"/>
          <w:highlight w:val="none"/>
        </w:rPr>
        <w:t>应根据</w:t>
      </w:r>
      <w:r>
        <w:rPr>
          <w:rFonts w:hint="eastAsia" w:asciiTheme="minorEastAsia" w:hAnsiTheme="minorEastAsia" w:eastAsiaTheme="minorEastAsia" w:cstheme="minorEastAsia"/>
          <w:color w:val="auto"/>
          <w:sz w:val="24"/>
          <w:szCs w:val="24"/>
          <w:highlight w:val="none"/>
          <w:lang w:val="en-US" w:eastAsia="zh-CN"/>
        </w:rPr>
        <w:t>相关要求</w:t>
      </w:r>
      <w:r>
        <w:rPr>
          <w:rFonts w:hint="eastAsia" w:asciiTheme="minorEastAsia" w:hAnsiTheme="minorEastAsia" w:eastAsiaTheme="minorEastAsia" w:cstheme="minorEastAsia"/>
          <w:color w:val="auto"/>
          <w:sz w:val="24"/>
          <w:szCs w:val="24"/>
          <w:highlight w:val="none"/>
        </w:rPr>
        <w:t>、对照</w:t>
      </w: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文件要求在“偏离情况”栏注明“正偏离”、“负偏离”或“无偏离”。</w:t>
      </w:r>
    </w:p>
    <w:p>
      <w:pPr>
        <w:spacing w:line="360" w:lineRule="auto"/>
        <w:outlineLvl w:val="9"/>
        <w:rPr>
          <w:rFonts w:hint="eastAsia" w:asciiTheme="minorEastAsia" w:hAnsiTheme="minorEastAsia" w:eastAsiaTheme="minorEastAsia" w:cstheme="minorEastAsia"/>
          <w:color w:val="auto"/>
          <w:sz w:val="24"/>
          <w:szCs w:val="24"/>
        </w:rPr>
      </w:pP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spacing w:line="360" w:lineRule="auto"/>
        <w:outlineLvl w:val="9"/>
        <w:rPr>
          <w:rFonts w:hint="eastAsia" w:asciiTheme="minorEastAsia" w:hAnsiTheme="minorEastAsia" w:eastAsiaTheme="minorEastAsia" w:cstheme="minorEastAsia"/>
          <w:color w:val="auto"/>
          <w:spacing w:val="20"/>
          <w:sz w:val="30"/>
          <w:szCs w:val="30"/>
        </w:rPr>
      </w:pPr>
      <w:r>
        <w:rPr>
          <w:rFonts w:hint="eastAsia" w:asciiTheme="minorEastAsia" w:hAnsiTheme="minorEastAsia" w:eastAsiaTheme="minorEastAsia" w:cstheme="minorEastAsia"/>
          <w:color w:val="auto"/>
          <w:sz w:val="24"/>
          <w:szCs w:val="24"/>
        </w:rPr>
        <w:t>日期：</w:t>
      </w:r>
    </w:p>
    <w:p>
      <w:pPr>
        <w:snapToGrid w:val="0"/>
        <w:spacing w:before="50" w:after="50"/>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30"/>
          <w:szCs w:val="30"/>
        </w:rPr>
        <w:br w:type="page"/>
      </w:r>
      <w:bookmarkStart w:id="167" w:name="_Toc33695977"/>
    </w:p>
    <w:p>
      <w:pPr>
        <w:widowControl/>
        <w:jc w:val="left"/>
        <w:outlineLvl w:val="9"/>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b/>
          <w:color w:val="auto"/>
          <w:sz w:val="28"/>
          <w:szCs w:val="28"/>
        </w:rPr>
        <w:t>附件：</w:t>
      </w:r>
    </w:p>
    <w:p>
      <w:pPr>
        <w:snapToGrid w:val="0"/>
        <w:spacing w:before="120" w:beforeLines="50" w:after="50"/>
        <w:ind w:firstLine="722"/>
        <w:jc w:val="center"/>
        <w:outlineLvl w:val="9"/>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pacing w:val="40"/>
          <w:kern w:val="0"/>
          <w:sz w:val="28"/>
          <w:szCs w:val="28"/>
          <w:highlight w:val="none"/>
        </w:rPr>
        <w:t>技术响应表</w:t>
      </w:r>
    </w:p>
    <w:p>
      <w:pPr>
        <w:ind w:firstLine="480"/>
        <w:outlineLvl w:val="9"/>
        <w:rPr>
          <w:rFonts w:hint="eastAsia" w:asciiTheme="minorEastAsia" w:hAnsiTheme="minorEastAsia" w:eastAsiaTheme="minorEastAsia" w:cstheme="minorEastAsia"/>
          <w:bCs/>
          <w:color w:val="auto"/>
          <w:szCs w:val="21"/>
          <w:highlight w:val="none"/>
        </w:rPr>
      </w:pPr>
      <w:r>
        <w:rPr>
          <w:rFonts w:hint="eastAsia" w:asciiTheme="minorEastAsia" w:hAnsiTheme="minorEastAsia" w:eastAsiaTheme="minorEastAsia" w:cstheme="minorEastAsia"/>
          <w:color w:val="auto"/>
          <w:sz w:val="24"/>
          <w:szCs w:val="24"/>
          <w:highlight w:val="none"/>
        </w:rPr>
        <w:t xml:space="preserve">项目名称：                                             项目编号：         </w:t>
      </w:r>
    </w:p>
    <w:tbl>
      <w:tblPr>
        <w:tblStyle w:val="55"/>
        <w:tblW w:w="9600" w:type="dxa"/>
        <w:tblInd w:w="-31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51"/>
        <w:gridCol w:w="2166"/>
        <w:gridCol w:w="1850"/>
        <w:gridCol w:w="1300"/>
        <w:gridCol w:w="243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9"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w:t>
            </w:r>
          </w:p>
        </w:tc>
        <w:tc>
          <w:tcPr>
            <w:tcW w:w="2166"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文件要求</w:t>
            </w:r>
          </w:p>
        </w:tc>
        <w:tc>
          <w:tcPr>
            <w:tcW w:w="185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rPr>
              <w:t>文件响应</w:t>
            </w:r>
          </w:p>
        </w:tc>
        <w:tc>
          <w:tcPr>
            <w:tcW w:w="1300"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偏离情况</w:t>
            </w:r>
          </w:p>
        </w:tc>
        <w:tc>
          <w:tcPr>
            <w:tcW w:w="2433"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响应方</w:t>
            </w:r>
            <w:r>
              <w:rPr>
                <w:rFonts w:hint="eastAsia" w:asciiTheme="minorEastAsia" w:hAnsiTheme="minorEastAsia" w:eastAsiaTheme="minorEastAsia" w:cstheme="minorEastAsia"/>
                <w:color w:val="auto"/>
                <w:sz w:val="24"/>
                <w:szCs w:val="24"/>
                <w:highlight w:val="none"/>
              </w:rPr>
              <w:t>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left="43"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4"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851"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1851"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0" w:firstLineChars="0"/>
              <w:jc w:val="center"/>
              <w:outlineLvl w:val="9"/>
              <w:rPr>
                <w:rFonts w:hint="eastAsia" w:asciiTheme="minorEastAsia" w:hAnsiTheme="minorEastAsia" w:eastAsiaTheme="minorEastAsia" w:cstheme="minorEastAsia"/>
                <w:color w:val="auto"/>
                <w:sz w:val="24"/>
                <w:szCs w:val="24"/>
                <w:highlight w:val="none"/>
              </w:rPr>
            </w:pPr>
          </w:p>
        </w:tc>
        <w:tc>
          <w:tcPr>
            <w:tcW w:w="2166" w:type="dxa"/>
            <w:tcBorders>
              <w:top w:val="single" w:color="auto" w:sz="4" w:space="0"/>
              <w:left w:val="single" w:color="auto" w:sz="4" w:space="0"/>
              <w:bottom w:val="single" w:color="auto" w:sz="4" w:space="0"/>
              <w:right w:val="single" w:color="auto" w:sz="4" w:space="0"/>
            </w:tcBorders>
            <w:noWrap w:val="0"/>
            <w:vAlign w:val="top"/>
          </w:tcPr>
          <w:p>
            <w:pPr>
              <w:snapToGrid w:val="0"/>
              <w:ind w:firstLine="480"/>
              <w:outlineLvl w:val="9"/>
              <w:rPr>
                <w:rFonts w:hint="eastAsia" w:asciiTheme="minorEastAsia" w:hAnsiTheme="minorEastAsia" w:eastAsiaTheme="minorEastAsia" w:cstheme="minorEastAsia"/>
                <w:color w:val="auto"/>
                <w:sz w:val="24"/>
                <w:szCs w:val="24"/>
                <w:highlight w:val="none"/>
              </w:rPr>
            </w:pPr>
          </w:p>
        </w:tc>
        <w:tc>
          <w:tcPr>
            <w:tcW w:w="185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1300"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c>
          <w:tcPr>
            <w:tcW w:w="2433" w:type="dxa"/>
            <w:tcBorders>
              <w:top w:val="single" w:color="auto" w:sz="4" w:space="0"/>
              <w:left w:val="single" w:color="auto" w:sz="4" w:space="0"/>
              <w:bottom w:val="single" w:color="auto" w:sz="4" w:space="0"/>
              <w:right w:val="single" w:color="auto" w:sz="4" w:space="0"/>
            </w:tcBorders>
            <w:noWrap w:val="0"/>
            <w:vAlign w:val="top"/>
          </w:tcPr>
          <w:p>
            <w:pPr>
              <w:snapToGrid w:val="0"/>
              <w:spacing w:before="120" w:beforeLines="50"/>
              <w:ind w:firstLine="480"/>
              <w:jc w:val="center"/>
              <w:outlineLvl w:val="9"/>
              <w:rPr>
                <w:rFonts w:hint="eastAsia" w:asciiTheme="minorEastAsia" w:hAnsiTheme="minorEastAsia" w:eastAsiaTheme="minorEastAsia" w:cstheme="minorEastAsia"/>
                <w:color w:val="auto"/>
                <w:sz w:val="24"/>
                <w:szCs w:val="24"/>
                <w:highlight w:val="none"/>
              </w:rPr>
            </w:pPr>
          </w:p>
        </w:tc>
      </w:tr>
    </w:tbl>
    <w:p>
      <w:pPr>
        <w:pStyle w:val="42"/>
        <w:snapToGrid w:val="0"/>
        <w:ind w:left="0" w:leftChars="0" w:firstLine="0" w:firstLineChars="0"/>
        <w:jc w:val="both"/>
        <w:outlineLvl w:val="9"/>
        <w:rPr>
          <w:rFonts w:hint="eastAsia" w:asciiTheme="minorEastAsia" w:hAnsiTheme="minorEastAsia" w:eastAsiaTheme="minorEastAsia" w:cstheme="minorEastAsia"/>
          <w:b/>
          <w:color w:val="auto"/>
          <w:szCs w:val="28"/>
        </w:rPr>
      </w:pPr>
      <w:r>
        <w:rPr>
          <w:rFonts w:hint="eastAsia" w:asciiTheme="minorEastAsia" w:hAnsiTheme="minorEastAsia" w:eastAsiaTheme="minorEastAsia" w:cstheme="minorEastAsia"/>
          <w:color w:val="auto"/>
          <w:sz w:val="24"/>
          <w:szCs w:val="24"/>
          <w:highlight w:val="none"/>
        </w:rPr>
        <w:t>注：投标人应根据《采购需求》、对照招标文件要求在“偏离情况”栏注明“正偏离”、“负偏离”或“无偏离”。</w:t>
      </w:r>
    </w:p>
    <w:p>
      <w:pPr>
        <w:pStyle w:val="42"/>
        <w:snapToGrid w:val="0"/>
        <w:ind w:left="562" w:hanging="562"/>
        <w:jc w:val="both"/>
        <w:outlineLvl w:val="9"/>
        <w:rPr>
          <w:rFonts w:hint="eastAsia" w:asciiTheme="minorEastAsia" w:hAnsiTheme="minorEastAsia" w:eastAsiaTheme="minorEastAsia" w:cstheme="minorEastAsia"/>
          <w:b/>
          <w:color w:val="auto"/>
          <w:szCs w:val="28"/>
        </w:rPr>
      </w:pPr>
    </w:p>
    <w:p>
      <w:pPr>
        <w:pStyle w:val="42"/>
        <w:snapToGrid w:val="0"/>
        <w:ind w:left="562" w:hanging="562"/>
        <w:jc w:val="center"/>
        <w:outlineLvl w:val="9"/>
        <w:rPr>
          <w:rFonts w:hint="eastAsia" w:asciiTheme="minorEastAsia" w:hAnsiTheme="minorEastAsia" w:eastAsiaTheme="minorEastAsia" w:cstheme="minorEastAsia"/>
          <w:b/>
          <w:color w:val="auto"/>
          <w:szCs w:val="28"/>
        </w:rPr>
      </w:pPr>
    </w:p>
    <w:p>
      <w:pPr>
        <w:pStyle w:val="42"/>
        <w:snapToGrid w:val="0"/>
        <w:ind w:left="562" w:hanging="562"/>
        <w:jc w:val="center"/>
        <w:outlineLvl w:val="9"/>
        <w:rPr>
          <w:rFonts w:hint="eastAsia" w:asciiTheme="minorEastAsia" w:hAnsiTheme="minorEastAsia" w:eastAsiaTheme="minorEastAsia" w:cstheme="minorEastAsia"/>
          <w:b/>
          <w:color w:val="auto"/>
          <w:szCs w:val="28"/>
        </w:rPr>
      </w:pP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spacing w:line="360" w:lineRule="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pStyle w:val="42"/>
        <w:snapToGrid w:val="0"/>
        <w:ind w:left="562" w:hanging="562"/>
        <w:jc w:val="both"/>
        <w:outlineLvl w:val="9"/>
        <w:rPr>
          <w:rFonts w:hint="eastAsia" w:asciiTheme="minorEastAsia" w:hAnsiTheme="minorEastAsia" w:eastAsiaTheme="minorEastAsia" w:cstheme="minorEastAsia"/>
          <w:b/>
          <w:color w:val="auto"/>
          <w:szCs w:val="28"/>
        </w:rPr>
      </w:pPr>
      <w:r>
        <w:rPr>
          <w:rFonts w:hint="eastAsia" w:asciiTheme="minorEastAsia" w:hAnsiTheme="minorEastAsia" w:eastAsiaTheme="minorEastAsia" w:cstheme="minorEastAsia"/>
          <w:color w:val="auto"/>
          <w:sz w:val="24"/>
          <w:szCs w:val="24"/>
        </w:rPr>
        <w:t>日期：</w:t>
      </w:r>
    </w:p>
    <w:p>
      <w:pPr>
        <w:pStyle w:val="42"/>
        <w:snapToGrid w:val="0"/>
        <w:ind w:left="562" w:hanging="562"/>
        <w:jc w:val="center"/>
        <w:outlineLvl w:val="9"/>
        <w:rPr>
          <w:rFonts w:hint="eastAsia" w:asciiTheme="minorEastAsia" w:hAnsiTheme="minorEastAsia" w:eastAsiaTheme="minorEastAsia" w:cstheme="minorEastAsia"/>
          <w:b/>
          <w:color w:val="auto"/>
          <w:szCs w:val="28"/>
        </w:rPr>
      </w:pPr>
    </w:p>
    <w:p>
      <w:pPr>
        <w:rPr>
          <w:rFonts w:hint="eastAsia" w:asciiTheme="minorEastAsia" w:hAnsiTheme="minorEastAsia" w:eastAsiaTheme="minorEastAsia" w:cstheme="minorEastAsia"/>
          <w:b/>
          <w:color w:val="auto"/>
          <w:szCs w:val="28"/>
        </w:rPr>
      </w:pPr>
      <w:r>
        <w:rPr>
          <w:rFonts w:hint="eastAsia" w:asciiTheme="minorEastAsia" w:hAnsiTheme="minorEastAsia" w:eastAsiaTheme="minorEastAsia" w:cstheme="minorEastAsia"/>
          <w:b/>
          <w:color w:val="auto"/>
          <w:szCs w:val="28"/>
        </w:rPr>
        <w:br w:type="page"/>
      </w:r>
    </w:p>
    <w:p>
      <w:pPr>
        <w:pStyle w:val="42"/>
        <w:snapToGrid w:val="0"/>
        <w:ind w:left="562" w:hanging="562"/>
        <w:jc w:val="both"/>
        <w:outlineLvl w:val="9"/>
        <w:rPr>
          <w:rFonts w:hint="eastAsia" w:asciiTheme="minorEastAsia" w:hAnsiTheme="minorEastAsia" w:eastAsiaTheme="minorEastAsia" w:cstheme="minorEastAsia"/>
          <w:b/>
          <w:color w:val="auto"/>
          <w:szCs w:val="28"/>
          <w:lang w:val="en-US" w:eastAsia="zh-CN"/>
        </w:rPr>
      </w:pPr>
      <w:r>
        <w:rPr>
          <w:rFonts w:hint="eastAsia" w:asciiTheme="minorEastAsia" w:hAnsiTheme="minorEastAsia" w:eastAsiaTheme="minorEastAsia" w:cstheme="minorEastAsia"/>
          <w:b/>
          <w:color w:val="auto"/>
          <w:kern w:val="2"/>
          <w:sz w:val="28"/>
          <w:szCs w:val="28"/>
          <w:lang w:val="en-US" w:eastAsia="zh-CN" w:bidi="ar-SA"/>
        </w:rPr>
        <w:t>附件：</w:t>
      </w:r>
    </w:p>
    <w:p>
      <w:pPr>
        <w:pStyle w:val="42"/>
        <w:snapToGrid w:val="0"/>
        <w:ind w:left="562" w:hanging="562"/>
        <w:jc w:val="center"/>
        <w:outlineLvl w:val="9"/>
        <w:rPr>
          <w:rFonts w:hint="eastAsia" w:asciiTheme="minorEastAsia" w:hAnsiTheme="minorEastAsia" w:eastAsiaTheme="minorEastAsia" w:cstheme="minorEastAsia"/>
          <w:b/>
          <w:color w:val="auto"/>
          <w:szCs w:val="28"/>
        </w:rPr>
      </w:pPr>
      <w:r>
        <w:rPr>
          <w:rFonts w:hint="eastAsia" w:asciiTheme="minorEastAsia" w:hAnsiTheme="minorEastAsia" w:eastAsiaTheme="minorEastAsia" w:cstheme="minorEastAsia"/>
          <w:b/>
          <w:color w:val="auto"/>
          <w:szCs w:val="28"/>
        </w:rPr>
        <w:t>类似项目业绩实施情况一览表</w:t>
      </w:r>
    </w:p>
    <w:p>
      <w:pPr>
        <w:pStyle w:val="42"/>
        <w:snapToGrid w:val="0"/>
        <w:ind w:left="0" w:firstLine="1200" w:firstLineChars="500"/>
        <w:outlineLvl w:val="9"/>
        <w:rPr>
          <w:rFonts w:hint="eastAsia" w:asciiTheme="minorEastAsia" w:hAnsiTheme="minorEastAsia" w:eastAsiaTheme="minorEastAsia" w:cstheme="minorEastAsia"/>
          <w:color w:val="auto"/>
          <w:sz w:val="24"/>
        </w:rPr>
      </w:pPr>
    </w:p>
    <w:p>
      <w:pPr>
        <w:pStyle w:val="42"/>
        <w:snapToGrid w:val="0"/>
        <w:ind w:left="0" w:firstLine="1200" w:firstLineChars="500"/>
        <w:outlineLvl w:val="9"/>
        <w:rPr>
          <w:rFonts w:hint="eastAsia" w:asciiTheme="minorEastAsia" w:hAnsiTheme="minorEastAsia" w:eastAsiaTheme="minorEastAsia" w:cstheme="minorEastAsia"/>
          <w:b/>
          <w:color w:val="auto"/>
          <w:sz w:val="24"/>
        </w:rPr>
      </w:pPr>
      <w:r>
        <w:rPr>
          <w:rFonts w:hint="eastAsia" w:asciiTheme="minorEastAsia" w:hAnsiTheme="minorEastAsia" w:eastAsiaTheme="minorEastAsia" w:cstheme="minorEastAsia"/>
          <w:color w:val="auto"/>
          <w:sz w:val="24"/>
        </w:rPr>
        <w:t xml:space="preserve">项目名称：                        项目编号：                               </w:t>
      </w:r>
    </w:p>
    <w:tbl>
      <w:tblPr>
        <w:tblStyle w:val="55"/>
        <w:tblW w:w="8632" w:type="dxa"/>
        <w:jc w:val="center"/>
        <w:tblLayout w:type="fixed"/>
        <w:tblCellMar>
          <w:top w:w="0" w:type="dxa"/>
          <w:left w:w="108" w:type="dxa"/>
          <w:bottom w:w="0" w:type="dxa"/>
          <w:right w:w="108" w:type="dxa"/>
        </w:tblCellMar>
      </w:tblPr>
      <w:tblGrid>
        <w:gridCol w:w="2199"/>
        <w:gridCol w:w="1900"/>
        <w:gridCol w:w="1458"/>
        <w:gridCol w:w="1338"/>
        <w:gridCol w:w="1737"/>
      </w:tblGrid>
      <w:tr>
        <w:tblPrEx>
          <w:tblCellMar>
            <w:top w:w="0" w:type="dxa"/>
            <w:left w:w="108" w:type="dxa"/>
            <w:bottom w:w="0" w:type="dxa"/>
            <w:right w:w="108" w:type="dxa"/>
          </w:tblCellMar>
        </w:tblPrEx>
        <w:trPr>
          <w:cantSplit/>
          <w:trHeight w:val="691" w:hRule="atLeast"/>
          <w:jc w:val="center"/>
        </w:trPr>
        <w:tc>
          <w:tcPr>
            <w:tcW w:w="2199" w:type="dxa"/>
            <w:vMerge w:val="restart"/>
            <w:tcBorders>
              <w:top w:val="single" w:color="000000" w:sz="4" w:space="0"/>
              <w:left w:val="single" w:color="000000" w:sz="4" w:space="0"/>
              <w:bottom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采购单位名称</w:t>
            </w:r>
          </w:p>
        </w:tc>
        <w:tc>
          <w:tcPr>
            <w:tcW w:w="1900" w:type="dxa"/>
            <w:vMerge w:val="restart"/>
            <w:tcBorders>
              <w:top w:val="single" w:color="000000" w:sz="4" w:space="0"/>
              <w:left w:val="single" w:color="000000" w:sz="4" w:space="0"/>
              <w:bottom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项目名称</w:t>
            </w:r>
          </w:p>
        </w:tc>
        <w:tc>
          <w:tcPr>
            <w:tcW w:w="1458" w:type="dxa"/>
            <w:vMerge w:val="restart"/>
            <w:tcBorders>
              <w:top w:val="single" w:color="000000" w:sz="4" w:space="0"/>
              <w:left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合同金额（万元）</w:t>
            </w:r>
          </w:p>
        </w:tc>
        <w:tc>
          <w:tcPr>
            <w:tcW w:w="1338"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附件页码</w:t>
            </w:r>
          </w:p>
        </w:tc>
        <w:tc>
          <w:tcPr>
            <w:tcW w:w="1737" w:type="dxa"/>
            <w:vMerge w:val="restart"/>
            <w:tcBorders>
              <w:top w:val="single" w:color="000000" w:sz="4" w:space="0"/>
              <w:left w:val="single" w:color="000000" w:sz="4" w:space="0"/>
              <w:bottom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采购单位联系人及联系电话</w:t>
            </w:r>
          </w:p>
        </w:tc>
      </w:tr>
      <w:tr>
        <w:tblPrEx>
          <w:tblCellMar>
            <w:top w:w="0" w:type="dxa"/>
            <w:left w:w="108" w:type="dxa"/>
            <w:bottom w:w="0" w:type="dxa"/>
            <w:right w:w="108" w:type="dxa"/>
          </w:tblCellMar>
        </w:tblPrEx>
        <w:trPr>
          <w:cantSplit/>
          <w:trHeight w:val="681" w:hRule="atLeast"/>
          <w:jc w:val="center"/>
        </w:trPr>
        <w:tc>
          <w:tcPr>
            <w:tcW w:w="2199" w:type="dxa"/>
            <w:vMerge w:val="continue"/>
            <w:tcBorders>
              <w:top w:val="single" w:color="000000" w:sz="4" w:space="0"/>
              <w:left w:val="single" w:color="000000" w:sz="4" w:space="0"/>
              <w:bottom w:val="single" w:color="000000" w:sz="4" w:space="0"/>
              <w:right w:val="single" w:color="000000" w:sz="4" w:space="0"/>
            </w:tcBorders>
            <w:vAlign w:val="center"/>
          </w:tcPr>
          <w:p>
            <w:pPr>
              <w:jc w:val="left"/>
              <w:outlineLvl w:val="9"/>
              <w:rPr>
                <w:rFonts w:hint="eastAsia" w:asciiTheme="minorEastAsia" w:hAnsiTheme="minorEastAsia" w:eastAsiaTheme="minorEastAsia" w:cstheme="minorEastAsia"/>
                <w:color w:val="auto"/>
                <w:sz w:val="24"/>
              </w:rPr>
            </w:pPr>
          </w:p>
        </w:tc>
        <w:tc>
          <w:tcPr>
            <w:tcW w:w="1900" w:type="dxa"/>
            <w:vMerge w:val="continue"/>
            <w:tcBorders>
              <w:top w:val="single" w:color="000000" w:sz="4" w:space="0"/>
              <w:left w:val="single" w:color="000000" w:sz="4" w:space="0"/>
              <w:bottom w:val="single" w:color="000000" w:sz="4" w:space="0"/>
              <w:right w:val="single" w:color="000000" w:sz="4" w:space="0"/>
            </w:tcBorders>
            <w:vAlign w:val="center"/>
          </w:tcPr>
          <w:p>
            <w:pPr>
              <w:jc w:val="left"/>
              <w:outlineLvl w:val="9"/>
              <w:rPr>
                <w:rFonts w:hint="eastAsia" w:asciiTheme="minorEastAsia" w:hAnsiTheme="minorEastAsia" w:eastAsiaTheme="minorEastAsia" w:cstheme="minorEastAsia"/>
                <w:color w:val="auto"/>
                <w:sz w:val="24"/>
              </w:rPr>
            </w:pPr>
          </w:p>
        </w:tc>
        <w:tc>
          <w:tcPr>
            <w:tcW w:w="1458" w:type="dxa"/>
            <w:vMerge w:val="continue"/>
            <w:tcBorders>
              <w:left w:val="single" w:color="000000" w:sz="4" w:space="0"/>
              <w:bottom w:val="single" w:color="000000" w:sz="4" w:space="0"/>
              <w:right w:val="single" w:color="000000" w:sz="4" w:space="0"/>
            </w:tcBorders>
            <w:vAlign w:val="center"/>
          </w:tcPr>
          <w:p>
            <w:pPr>
              <w:jc w:val="left"/>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合同</w:t>
            </w:r>
          </w:p>
        </w:tc>
        <w:tc>
          <w:tcPr>
            <w:tcW w:w="1737" w:type="dxa"/>
            <w:vMerge w:val="continue"/>
            <w:tcBorders>
              <w:top w:val="single" w:color="000000" w:sz="4" w:space="0"/>
              <w:left w:val="single" w:color="000000" w:sz="4" w:space="0"/>
              <w:bottom w:val="single" w:color="000000" w:sz="4" w:space="0"/>
              <w:right w:val="single" w:color="000000" w:sz="4" w:space="0"/>
            </w:tcBorders>
            <w:vAlign w:val="center"/>
          </w:tcPr>
          <w:p>
            <w:pPr>
              <w:jc w:val="left"/>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11"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723"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11"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26"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11"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26"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626"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900"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45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338"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c>
          <w:tcPr>
            <w:tcW w:w="1737"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p>
        </w:tc>
      </w:tr>
      <w:tr>
        <w:tblPrEx>
          <w:tblCellMar>
            <w:top w:w="0" w:type="dxa"/>
            <w:left w:w="108" w:type="dxa"/>
            <w:bottom w:w="0" w:type="dxa"/>
            <w:right w:w="108" w:type="dxa"/>
          </w:tblCellMar>
        </w:tblPrEx>
        <w:trPr>
          <w:trHeight w:val="504" w:hRule="atLeast"/>
          <w:jc w:val="center"/>
        </w:trPr>
        <w:tc>
          <w:tcPr>
            <w:tcW w:w="2199" w:type="dxa"/>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jc w:val="center"/>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备注</w:t>
            </w:r>
          </w:p>
        </w:tc>
        <w:tc>
          <w:tcPr>
            <w:tcW w:w="6433" w:type="dxa"/>
            <w:gridSpan w:val="4"/>
            <w:tcBorders>
              <w:top w:val="single" w:color="000000" w:sz="4" w:space="0"/>
              <w:left w:val="single" w:color="000000" w:sz="4" w:space="0"/>
              <w:bottom w:val="single" w:color="000000" w:sz="4" w:space="0"/>
              <w:right w:val="single" w:color="000000" w:sz="4" w:space="0"/>
            </w:tcBorders>
            <w:vAlign w:val="center"/>
          </w:tcPr>
          <w:p>
            <w:pPr>
              <w:spacing w:before="50" w:after="120" w:line="360" w:lineRule="auto"/>
              <w:outlineLvl w:val="9"/>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szCs w:val="24"/>
                <w:highlight w:val="none"/>
                <w:lang w:val="en-US" w:eastAsia="zh-CN"/>
              </w:rPr>
              <w:t>按照评分标准提供相应材料</w:t>
            </w:r>
          </w:p>
        </w:tc>
      </w:tr>
    </w:tbl>
    <w:p>
      <w:pPr>
        <w:pStyle w:val="16"/>
        <w:snapToGrid w:val="0"/>
        <w:outlineLvl w:val="9"/>
        <w:rPr>
          <w:rFonts w:hint="eastAsia" w:asciiTheme="minorEastAsia" w:hAnsiTheme="minorEastAsia" w:eastAsiaTheme="minorEastAsia" w:cstheme="minorEastAsia"/>
          <w:color w:val="auto"/>
          <w:sz w:val="24"/>
          <w:szCs w:val="24"/>
        </w:rPr>
      </w:pP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pPr>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24"/>
          <w:szCs w:val="24"/>
        </w:rPr>
        <w:br w:type="page"/>
      </w:r>
    </w:p>
    <w:p>
      <w:pPr>
        <w:snapToGrid w:val="0"/>
        <w:spacing w:before="50" w:after="120" w:afterLines="50"/>
        <w:jc w:val="left"/>
        <w:outlineLvl w:val="9"/>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color w:val="auto"/>
          <w:sz w:val="28"/>
          <w:szCs w:val="28"/>
        </w:rPr>
        <w:t>附件：</w:t>
      </w:r>
      <w:bookmarkEnd w:id="167"/>
    </w:p>
    <w:p>
      <w:pPr>
        <w:snapToGrid w:val="0"/>
        <w:spacing w:before="50" w:after="120" w:afterLines="50"/>
        <w:jc w:val="center"/>
        <w:outlineLvl w:val="9"/>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t>磋商报价一览表</w:t>
      </w:r>
    </w:p>
    <w:p>
      <w:pPr>
        <w:keepNext w:val="0"/>
        <w:keepLines w:val="0"/>
        <w:pageBreakBefore w:val="0"/>
        <w:kinsoku/>
        <w:wordWrap/>
        <w:overflowPunct/>
        <w:topLinePunct w:val="0"/>
        <w:autoSpaceDE/>
        <w:autoSpaceDN/>
        <w:bidi w:val="0"/>
        <w:adjustRightInd/>
        <w:snapToGrid w:val="0"/>
        <w:spacing w:before="50" w:after="120" w:afterLines="50" w:line="360" w:lineRule="auto"/>
        <w:ind w:firstLine="720" w:firstLineChars="300"/>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项目名称：                                        项目编号：   </w:t>
      </w:r>
    </w:p>
    <w:p>
      <w:pPr>
        <w:keepNext w:val="0"/>
        <w:keepLines w:val="0"/>
        <w:pageBreakBefore w:val="0"/>
        <w:kinsoku/>
        <w:wordWrap/>
        <w:overflowPunct/>
        <w:topLinePunct w:val="0"/>
        <w:autoSpaceDE/>
        <w:autoSpaceDN/>
        <w:bidi w:val="0"/>
        <w:adjustRightInd/>
        <w:snapToGrid w:val="0"/>
        <w:spacing w:before="50" w:after="120" w:afterLines="50" w:line="360" w:lineRule="auto"/>
        <w:ind w:firstLine="720" w:firstLineChars="300"/>
        <w:jc w:val="right"/>
        <w:outlineLvl w:val="9"/>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sz w:val="24"/>
          <w:szCs w:val="24"/>
          <w:lang w:val="en-US" w:eastAsia="zh-CN"/>
        </w:rPr>
        <w:t>单位：元</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 xml:space="preserve"> </w:t>
      </w:r>
    </w:p>
    <w:tbl>
      <w:tblPr>
        <w:tblStyle w:val="56"/>
        <w:tblW w:w="8967"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3783"/>
        <w:gridCol w:w="4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2" w:type="dxa"/>
            <w:vAlign w:val="center"/>
          </w:tcPr>
          <w:p>
            <w:pPr>
              <w:pStyle w:val="22"/>
              <w:keepNext w:val="0"/>
              <w:keepLines w:val="0"/>
              <w:pageBreakBefore w:val="0"/>
              <w:kinsoku/>
              <w:wordWrap/>
              <w:overflowPunct/>
              <w:topLinePunct w:val="0"/>
              <w:autoSpaceDE/>
              <w:autoSpaceDN/>
              <w:bidi w:val="0"/>
              <w:adjustRightInd/>
              <w:spacing w:line="360" w:lineRule="auto"/>
              <w:jc w:val="center"/>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序号</w:t>
            </w:r>
          </w:p>
        </w:tc>
        <w:tc>
          <w:tcPr>
            <w:tcW w:w="3783" w:type="dxa"/>
            <w:vAlign w:val="center"/>
          </w:tcPr>
          <w:p>
            <w:pPr>
              <w:keepNext w:val="0"/>
              <w:keepLines w:val="0"/>
              <w:pageBreakBefore w:val="0"/>
              <w:kinsoku/>
              <w:wordWrap/>
              <w:overflowPunct/>
              <w:topLinePunct w:val="0"/>
              <w:autoSpaceDE/>
              <w:autoSpaceDN/>
              <w:bidi w:val="0"/>
              <w:adjustRightInd/>
              <w:snapToGrid w:val="0"/>
              <w:spacing w:before="50" w:after="120" w:afterLines="50" w:line="360" w:lineRule="auto"/>
              <w:jc w:val="center"/>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项目名称</w:t>
            </w:r>
          </w:p>
        </w:tc>
        <w:tc>
          <w:tcPr>
            <w:tcW w:w="4292" w:type="dxa"/>
            <w:vAlign w:val="center"/>
          </w:tcPr>
          <w:p>
            <w:pPr>
              <w:keepNext w:val="0"/>
              <w:keepLines w:val="0"/>
              <w:pageBreakBefore w:val="0"/>
              <w:kinsoku/>
              <w:wordWrap/>
              <w:overflowPunct/>
              <w:topLinePunct w:val="0"/>
              <w:autoSpaceDE/>
              <w:autoSpaceDN/>
              <w:bidi w:val="0"/>
              <w:adjustRightInd/>
              <w:snapToGrid w:val="0"/>
              <w:spacing w:before="50" w:after="120" w:afterLines="50" w:line="360" w:lineRule="auto"/>
              <w:jc w:val="center"/>
              <w:outlineLvl w:val="9"/>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trPr>
        <w:tc>
          <w:tcPr>
            <w:tcW w:w="892" w:type="dxa"/>
            <w:vMerge w:val="restart"/>
            <w:vAlign w:val="center"/>
          </w:tcPr>
          <w:p>
            <w:pPr>
              <w:keepNext w:val="0"/>
              <w:keepLines w:val="0"/>
              <w:pageBreakBefore w:val="0"/>
              <w:kinsoku/>
              <w:wordWrap/>
              <w:overflowPunct/>
              <w:topLinePunct w:val="0"/>
              <w:autoSpaceDE/>
              <w:autoSpaceDN/>
              <w:bidi w:val="0"/>
              <w:adjustRightInd/>
              <w:snapToGrid w:val="0"/>
              <w:spacing w:before="50" w:after="120" w:afterLines="50" w:line="360" w:lineRule="auto"/>
              <w:jc w:val="center"/>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3783" w:type="dxa"/>
            <w:vMerge w:val="restart"/>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outlineLvl w:val="9"/>
              <w:rPr>
                <w:rFonts w:hint="eastAsia" w:asciiTheme="minorEastAsia" w:hAnsiTheme="minorEastAsia" w:eastAsiaTheme="minorEastAsia" w:cstheme="minorEastAsia"/>
                <w:bCs/>
                <w:color w:val="auto"/>
                <w:sz w:val="24"/>
                <w:szCs w:val="24"/>
                <w:lang w:eastAsia="zh-CN"/>
              </w:rPr>
            </w:pPr>
            <w:r>
              <w:rPr>
                <w:rFonts w:hint="eastAsia" w:asciiTheme="minorEastAsia" w:hAnsiTheme="minorEastAsia" w:eastAsiaTheme="minorEastAsia" w:cstheme="minorEastAsia"/>
                <w:bCs/>
                <w:color w:val="auto"/>
                <w:sz w:val="24"/>
                <w:szCs w:val="24"/>
                <w:lang w:eastAsia="zh-CN"/>
              </w:rPr>
              <w:t>嵊州市殡仪馆改扩建工程环境监测服务项目</w:t>
            </w:r>
          </w:p>
        </w:tc>
        <w:tc>
          <w:tcPr>
            <w:tcW w:w="4292" w:type="dxa"/>
            <w:vAlign w:val="center"/>
          </w:tcPr>
          <w:p>
            <w:pPr>
              <w:keepNext w:val="0"/>
              <w:keepLines w:val="0"/>
              <w:pageBreakBefore w:val="0"/>
              <w:kinsoku/>
              <w:wordWrap/>
              <w:overflowPunct/>
              <w:topLinePunct w:val="0"/>
              <w:autoSpaceDE/>
              <w:autoSpaceDN/>
              <w:bidi w:val="0"/>
              <w:adjustRightInd/>
              <w:spacing w:line="360" w:lineRule="auto"/>
              <w:ind w:left="0" w:leftChars="0" w:firstLine="0" w:firstLineChars="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trPr>
        <w:tc>
          <w:tcPr>
            <w:tcW w:w="892" w:type="dxa"/>
            <w:vMerge w:val="continue"/>
            <w:vAlign w:val="center"/>
          </w:tcPr>
          <w:p>
            <w:pPr>
              <w:keepNext w:val="0"/>
              <w:keepLines w:val="0"/>
              <w:pageBreakBefore w:val="0"/>
              <w:kinsoku/>
              <w:wordWrap/>
              <w:overflowPunct/>
              <w:topLinePunct w:val="0"/>
              <w:autoSpaceDE/>
              <w:autoSpaceDN/>
              <w:bidi w:val="0"/>
              <w:adjustRightInd/>
              <w:snapToGrid w:val="0"/>
              <w:spacing w:before="50" w:after="120" w:afterLines="50" w:line="360" w:lineRule="auto"/>
              <w:jc w:val="center"/>
              <w:outlineLvl w:val="9"/>
              <w:rPr>
                <w:rFonts w:hint="eastAsia" w:asciiTheme="minorEastAsia" w:hAnsiTheme="minorEastAsia" w:eastAsiaTheme="minorEastAsia" w:cstheme="minorEastAsia"/>
                <w:color w:val="auto"/>
                <w:sz w:val="24"/>
                <w:szCs w:val="24"/>
              </w:rPr>
            </w:pPr>
          </w:p>
        </w:tc>
        <w:tc>
          <w:tcPr>
            <w:tcW w:w="3783" w:type="dxa"/>
            <w:vMerge w:val="continue"/>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outlineLvl w:val="9"/>
              <w:rPr>
                <w:rFonts w:hint="eastAsia" w:asciiTheme="minorEastAsia" w:hAnsiTheme="minorEastAsia" w:eastAsiaTheme="minorEastAsia" w:cstheme="minorEastAsia"/>
                <w:bCs/>
                <w:color w:val="auto"/>
                <w:sz w:val="24"/>
                <w:szCs w:val="24"/>
                <w:lang w:eastAsia="zh-CN"/>
              </w:rPr>
            </w:pPr>
          </w:p>
        </w:tc>
        <w:tc>
          <w:tcPr>
            <w:tcW w:w="4292" w:type="dxa"/>
            <w:vAlign w:val="center"/>
          </w:tcPr>
          <w:p>
            <w:pPr>
              <w:keepNext w:val="0"/>
              <w:keepLines w:val="0"/>
              <w:pageBreakBefore w:val="0"/>
              <w:kinsoku/>
              <w:wordWrap/>
              <w:overflowPunct/>
              <w:topLinePunct w:val="0"/>
              <w:autoSpaceDE/>
              <w:autoSpaceDN/>
              <w:bidi w:val="0"/>
              <w:adjustRightInd/>
              <w:spacing w:line="360" w:lineRule="auto"/>
              <w:ind w:left="0" w:leftChars="0" w:firstLine="0" w:firstLineChars="0"/>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rPr>
              <w:t>大写：</w:t>
            </w:r>
          </w:p>
        </w:tc>
      </w:tr>
    </w:tbl>
    <w:p>
      <w:pPr>
        <w:spacing w:line="360" w:lineRule="auto"/>
        <w:jc w:val="left"/>
        <w:rPr>
          <w:rFonts w:hint="eastAsia" w:ascii="宋体" w:hAnsi="宋体" w:eastAsia="宋体" w:cs="宋体"/>
          <w:color w:val="auto"/>
          <w:spacing w:val="20"/>
          <w:sz w:val="24"/>
          <w:szCs w:val="20"/>
          <w:highlight w:val="none"/>
          <w:lang w:val="en-US" w:eastAsia="zh-CN"/>
        </w:rPr>
      </w:pPr>
      <w:r>
        <w:rPr>
          <w:rFonts w:hint="eastAsia" w:asciiTheme="minorEastAsia" w:hAnsiTheme="minorEastAsia" w:eastAsiaTheme="minorEastAsia" w:cstheme="minorEastAsia"/>
          <w:color w:val="auto"/>
          <w:szCs w:val="24"/>
          <w:lang w:val="en-US" w:eastAsia="zh-CN"/>
        </w:rPr>
        <w:t>注：</w:t>
      </w:r>
      <w:r>
        <w:rPr>
          <w:rFonts w:hint="eastAsia" w:ascii="宋体" w:hAnsi="宋体" w:eastAsia="宋体" w:cs="宋体"/>
          <w:color w:val="auto"/>
          <w:spacing w:val="20"/>
          <w:sz w:val="24"/>
          <w:szCs w:val="20"/>
          <w:highlight w:val="none"/>
          <w:lang w:val="en-US" w:eastAsia="zh-CN"/>
        </w:rPr>
        <w:t>1.</w:t>
      </w:r>
      <w:r>
        <w:rPr>
          <w:rFonts w:hint="eastAsia" w:ascii="宋体" w:hAnsi="宋体" w:eastAsia="宋体" w:cs="宋体"/>
          <w:sz w:val="24"/>
          <w:szCs w:val="24"/>
        </w:rPr>
        <w:t>报价一经涂改，应在涂改处加盖单位公章或者由法定代表人或授权委托人签字或盖章，否则其投标作无效标处理。</w:t>
      </w:r>
    </w:p>
    <w:p>
      <w:pPr>
        <w:pStyle w:val="546"/>
        <w:keepNext w:val="0"/>
        <w:keepLines w:val="0"/>
        <w:pageBreakBefore w:val="0"/>
        <w:tabs>
          <w:tab w:val="left" w:pos="454"/>
          <w:tab w:val="left" w:pos="900"/>
        </w:tabs>
        <w:kinsoku/>
        <w:wordWrap/>
        <w:overflowPunct/>
        <w:topLinePunct w:val="0"/>
        <w:autoSpaceDE/>
        <w:autoSpaceDN/>
        <w:bidi w:val="0"/>
        <w:adjustRightInd/>
        <w:spacing w:after="0" w:afterLines="0" w:line="360" w:lineRule="auto"/>
        <w:ind w:left="0" w:firstLine="482"/>
        <w:outlineLvl w:val="9"/>
        <w:rPr>
          <w:rFonts w:hint="eastAsia" w:asciiTheme="minorEastAsia" w:hAnsiTheme="minorEastAsia" w:eastAsiaTheme="minorEastAsia" w:cstheme="minorEastAsia"/>
          <w:color w:val="auto"/>
          <w:szCs w:val="24"/>
          <w:lang w:val="en-US" w:eastAsia="zh-CN"/>
        </w:rPr>
      </w:pPr>
      <w:r>
        <w:rPr>
          <w:rFonts w:hint="eastAsia" w:asciiTheme="minorEastAsia" w:hAnsiTheme="minorEastAsia" w:eastAsiaTheme="minorEastAsia" w:cstheme="minorEastAsia"/>
          <w:color w:val="auto"/>
          <w:szCs w:val="24"/>
          <w:lang w:val="en-US" w:eastAsia="zh-CN"/>
        </w:rPr>
        <w:t>2.磋商响应报价是完成本项目服务内容和要求所产生的所有费用，应包括监测费、报告编制、专家评审、材料费、人工费、交通费、企业管理费、保险、验收、招标代理费、税金等完成本项目所需的一切费用。</w:t>
      </w:r>
    </w:p>
    <w:p>
      <w:pPr>
        <w:pStyle w:val="546"/>
        <w:keepNext w:val="0"/>
        <w:keepLines w:val="0"/>
        <w:pageBreakBefore w:val="0"/>
        <w:tabs>
          <w:tab w:val="left" w:pos="454"/>
          <w:tab w:val="left" w:pos="900"/>
        </w:tabs>
        <w:kinsoku/>
        <w:wordWrap/>
        <w:overflowPunct/>
        <w:topLinePunct w:val="0"/>
        <w:autoSpaceDE/>
        <w:autoSpaceDN/>
        <w:bidi w:val="0"/>
        <w:adjustRightInd/>
        <w:spacing w:after="0" w:afterLines="0" w:line="360" w:lineRule="auto"/>
        <w:ind w:left="0" w:firstLine="482"/>
        <w:outlineLvl w:val="9"/>
        <w:rPr>
          <w:rFonts w:hint="eastAsia" w:asciiTheme="minorEastAsia" w:hAnsiTheme="minorEastAsia" w:eastAsiaTheme="minorEastAsia" w:cstheme="minorEastAsia"/>
          <w:color w:val="auto"/>
          <w:szCs w:val="24"/>
          <w:lang w:eastAsia="zh-CN"/>
        </w:rPr>
      </w:pPr>
      <w:r>
        <w:rPr>
          <w:rFonts w:hint="eastAsia" w:asciiTheme="minorEastAsia" w:hAnsiTheme="minorEastAsia" w:eastAsiaTheme="minorEastAsia" w:cstheme="minorEastAsia"/>
          <w:color w:val="auto"/>
          <w:szCs w:val="24"/>
          <w:lang w:val="en-US" w:eastAsia="zh-CN"/>
        </w:rPr>
        <w:t>3</w:t>
      </w:r>
      <w:r>
        <w:rPr>
          <w:rFonts w:hint="eastAsia" w:asciiTheme="minorEastAsia" w:hAnsiTheme="minorEastAsia" w:eastAsiaTheme="minorEastAsia" w:cstheme="minorEastAsia"/>
          <w:color w:val="auto"/>
          <w:szCs w:val="24"/>
          <w:lang w:eastAsia="zh-CN"/>
        </w:rPr>
        <w:t>.有关本项目实施所涉及的一切费用均计入报价。采购人将以合同形式有偿取得货物或服务，不接受投标人给予的赠品、回扣或者与采购无关的其他商品、服务，不得出现“0元”“免费赠送”等形式的无偿报价，否则视为</w:t>
      </w:r>
      <w:r>
        <w:rPr>
          <w:rFonts w:hint="eastAsia" w:asciiTheme="minorEastAsia" w:hAnsiTheme="minorEastAsia" w:eastAsiaTheme="minorEastAsia" w:cstheme="minorEastAsia"/>
          <w:color w:val="auto"/>
          <w:szCs w:val="24"/>
          <w:lang w:val="en-US" w:eastAsia="zh-CN"/>
        </w:rPr>
        <w:t>响应</w:t>
      </w:r>
      <w:r>
        <w:rPr>
          <w:rFonts w:hint="eastAsia" w:asciiTheme="minorEastAsia" w:hAnsiTheme="minorEastAsia" w:eastAsiaTheme="minorEastAsia" w:cstheme="minorEastAsia"/>
          <w:color w:val="auto"/>
          <w:szCs w:val="24"/>
          <w:lang w:eastAsia="zh-CN"/>
        </w:rPr>
        <w:t>文件含有采购人不能接受的附加条件，投标无效。</w:t>
      </w:r>
    </w:p>
    <w:p>
      <w:pPr>
        <w:snapToGrid w:val="0"/>
        <w:spacing w:before="50" w:after="120" w:afterLines="50" w:line="460" w:lineRule="exact"/>
        <w:ind w:firstLine="240" w:firstLineChars="100"/>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w:t>
      </w:r>
      <w:r>
        <w:rPr>
          <w:rFonts w:hint="eastAsia" w:ascii="宋体" w:hAnsi="宋体" w:eastAsia="宋体" w:cs="宋体"/>
          <w:color w:val="auto"/>
          <w:sz w:val="24"/>
          <w:highlight w:val="none"/>
        </w:rPr>
        <w:t>以上</w:t>
      </w:r>
      <w:r>
        <w:rPr>
          <w:rFonts w:hint="eastAsia" w:asciiTheme="minorEastAsia" w:hAnsiTheme="minorEastAsia" w:eastAsiaTheme="minorEastAsia" w:cstheme="minorEastAsia"/>
          <w:color w:val="auto"/>
          <w:sz w:val="24"/>
          <w:szCs w:val="24"/>
          <w:lang w:val="en-US" w:eastAsia="zh-CN"/>
        </w:rPr>
        <w:t>投标报价</w:t>
      </w:r>
      <w:r>
        <w:rPr>
          <w:rFonts w:hint="eastAsia" w:asciiTheme="minorEastAsia" w:hAnsiTheme="minorEastAsia" w:eastAsiaTheme="minorEastAsia" w:cstheme="minorEastAsia"/>
          <w:color w:val="auto"/>
          <w:sz w:val="24"/>
          <w:szCs w:val="24"/>
          <w:highlight w:val="none"/>
        </w:rPr>
        <w:t>应与</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报价</w:t>
      </w:r>
      <w:r>
        <w:rPr>
          <w:rFonts w:hint="eastAsia" w:asciiTheme="minorEastAsia" w:hAnsiTheme="minorEastAsia" w:eastAsiaTheme="minorEastAsia" w:cstheme="minorEastAsia"/>
          <w:color w:val="auto"/>
          <w:sz w:val="24"/>
          <w:szCs w:val="24"/>
          <w:highlight w:val="none"/>
        </w:rPr>
        <w:t>明细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中的投标总价</w:t>
      </w:r>
      <w:r>
        <w:rPr>
          <w:rFonts w:hint="eastAsia" w:asciiTheme="minorEastAsia" w:hAnsiTheme="minorEastAsia" w:eastAsiaTheme="minorEastAsia" w:cstheme="minorEastAsia"/>
          <w:color w:val="auto"/>
          <w:sz w:val="24"/>
          <w:szCs w:val="24"/>
          <w:highlight w:val="none"/>
        </w:rPr>
        <w:t>相</w:t>
      </w:r>
      <w:r>
        <w:rPr>
          <w:rFonts w:hint="eastAsia" w:asciiTheme="minorEastAsia" w:hAnsiTheme="minorEastAsia" w:eastAsiaTheme="minorEastAsia" w:cstheme="minorEastAsia"/>
          <w:color w:val="auto"/>
          <w:sz w:val="24"/>
          <w:szCs w:val="24"/>
          <w:highlight w:val="none"/>
          <w:lang w:val="en-US" w:eastAsia="zh-CN"/>
        </w:rPr>
        <w:t>一致</w:t>
      </w:r>
      <w:r>
        <w:rPr>
          <w:rFonts w:hint="eastAsia" w:asciiTheme="minorEastAsia" w:hAnsiTheme="minorEastAsia" w:eastAsiaTheme="minorEastAsia" w:cstheme="minorEastAsia"/>
          <w:color w:val="auto"/>
          <w:sz w:val="24"/>
          <w:szCs w:val="24"/>
          <w:highlight w:val="none"/>
        </w:rPr>
        <w:t>。</w:t>
      </w:r>
    </w:p>
    <w:p>
      <w:pPr>
        <w:snapToGrid w:val="0"/>
        <w:spacing w:before="50" w:after="120" w:afterLines="50"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snapToGrid w:val="0"/>
        <w:spacing w:before="50" w:after="120" w:afterLines="50"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snapToGrid w:val="0"/>
        <w:spacing w:before="50" w:after="120" w:afterLines="50" w:line="460" w:lineRule="exact"/>
        <w:jc w:val="left"/>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日期：</w:t>
      </w:r>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pPr>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sectPr>
          <w:pgSz w:w="11906" w:h="16838"/>
          <w:pgMar w:top="1474" w:right="1514" w:bottom="1247" w:left="1514" w:header="851" w:footer="851" w:gutter="0"/>
          <w:pgNumType w:start="1"/>
          <w:cols w:space="720" w:num="1"/>
          <w:docGrid w:linePitch="312" w:charSpace="0"/>
        </w:sectPr>
      </w:pPr>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附件：</w:t>
      </w:r>
    </w:p>
    <w:p>
      <w:pPr>
        <w:widowControl w:val="0"/>
        <w:snapToGrid w:val="0"/>
        <w:spacing w:before="120" w:after="120" w:line="360" w:lineRule="auto"/>
        <w:ind w:firstLine="562" w:firstLineChars="200"/>
        <w:jc w:val="center"/>
        <w:outlineLvl w:val="9"/>
        <w:rPr>
          <w:rFonts w:hint="eastAsia" w:asciiTheme="minorEastAsia" w:hAnsiTheme="minorEastAsia" w:eastAsiaTheme="minorEastAsia" w:cstheme="minorEastAsia"/>
          <w:b/>
          <w:color w:val="auto"/>
          <w:kern w:val="0"/>
          <w:sz w:val="28"/>
          <w:szCs w:val="28"/>
          <w:highlight w:val="none"/>
          <w:lang w:val="en-US" w:eastAsia="zh-CN" w:bidi="ar-SA"/>
        </w:rPr>
      </w:pPr>
      <w:r>
        <w:rPr>
          <w:rFonts w:hint="eastAsia" w:asciiTheme="minorEastAsia" w:hAnsiTheme="minorEastAsia" w:eastAsiaTheme="minorEastAsia" w:cstheme="minorEastAsia"/>
          <w:b/>
          <w:color w:val="auto"/>
          <w:kern w:val="0"/>
          <w:sz w:val="28"/>
          <w:szCs w:val="28"/>
          <w:highlight w:val="none"/>
          <w:lang w:val="en-US" w:eastAsia="zh-CN" w:bidi="ar-SA"/>
        </w:rPr>
        <w:t>报 价 明 细 表</w:t>
      </w:r>
    </w:p>
    <w:p>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p>
    <w:p>
      <w:pPr>
        <w:spacing w:line="360" w:lineRule="auto"/>
        <w:ind w:firstLine="480" w:firstLineChars="200"/>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项目编号：</w:t>
      </w:r>
    </w:p>
    <w:tbl>
      <w:tblPr>
        <w:tblStyle w:val="55"/>
        <w:tblW w:w="993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10"/>
        <w:gridCol w:w="1590"/>
        <w:gridCol w:w="1275"/>
        <w:gridCol w:w="1425"/>
        <w:gridCol w:w="1275"/>
        <w:gridCol w:w="1365"/>
        <w:gridCol w:w="1350"/>
        <w:gridCol w:w="10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610"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both"/>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序号</w:t>
            </w:r>
          </w:p>
        </w:tc>
        <w:tc>
          <w:tcPr>
            <w:tcW w:w="1590"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污染源名称</w:t>
            </w:r>
          </w:p>
        </w:tc>
        <w:tc>
          <w:tcPr>
            <w:tcW w:w="1275"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w:t>
            </w:r>
          </w:p>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点位</w:t>
            </w:r>
          </w:p>
        </w:tc>
        <w:tc>
          <w:tcPr>
            <w:tcW w:w="1425"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both"/>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ru-RU" w:eastAsia="zh-CN" w:bidi="ar-SA"/>
              </w:rPr>
              <w:t>监测项目</w:t>
            </w:r>
          </w:p>
        </w:tc>
        <w:tc>
          <w:tcPr>
            <w:tcW w:w="1275"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ru-RU" w:eastAsia="zh-CN" w:bidi="ar-SA"/>
              </w:rPr>
            </w:pPr>
            <w:r>
              <w:rPr>
                <w:rFonts w:hint="eastAsia" w:ascii="宋体" w:hAnsi="宋体" w:eastAsia="宋体" w:cs="宋体"/>
                <w:color w:val="auto"/>
                <w:kern w:val="0"/>
                <w:sz w:val="24"/>
                <w:szCs w:val="24"/>
                <w:highlight w:val="none"/>
                <w:u w:val="none"/>
                <w:lang w:val="ru-RU" w:eastAsia="zh-CN" w:bidi="ar-SA"/>
              </w:rPr>
              <w:t>监测</w:t>
            </w:r>
          </w:p>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ru-RU" w:eastAsia="zh-CN" w:bidi="ar-SA"/>
              </w:rPr>
              <w:t>频次</w:t>
            </w:r>
          </w:p>
        </w:tc>
        <w:tc>
          <w:tcPr>
            <w:tcW w:w="1365"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单价</w:t>
            </w:r>
            <w:r>
              <w:rPr>
                <w:rFonts w:hint="eastAsia" w:ascii="宋体" w:hAnsi="宋体" w:eastAsia="宋体" w:cs="宋体"/>
                <w:color w:val="auto"/>
                <w:kern w:val="0"/>
                <w:sz w:val="24"/>
                <w:szCs w:val="24"/>
                <w:highlight w:val="none"/>
                <w:u w:val="none"/>
                <w:lang w:val="ru-RU" w:eastAsia="zh-CN" w:bidi="ar-SA"/>
              </w:rPr>
              <w:t>（元）</w:t>
            </w:r>
          </w:p>
        </w:tc>
        <w:tc>
          <w:tcPr>
            <w:tcW w:w="1350" w:type="dxa"/>
            <w:tcBorders>
              <w:top w:val="single" w:color="auto" w:sz="4" w:space="0"/>
              <w:left w:val="single" w:color="auto" w:sz="4" w:space="0"/>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合计（元）</w:t>
            </w:r>
          </w:p>
        </w:tc>
        <w:tc>
          <w:tcPr>
            <w:tcW w:w="1043" w:type="dxa"/>
            <w:tcBorders>
              <w:top w:val="single" w:color="auto" w:sz="4" w:space="0"/>
              <w:left w:val="single" w:color="auto" w:sz="4" w:space="0"/>
              <w:bottom w:val="nil"/>
              <w:right w:val="single" w:color="auto" w:sz="4" w:space="0"/>
            </w:tcBorders>
            <w:noWrap w:val="0"/>
            <w:vAlign w:val="center"/>
          </w:tcPr>
          <w:p>
            <w:pPr>
              <w:tabs>
                <w:tab w:val="left" w:pos="7182"/>
              </w:tabs>
              <w:adjustRightInd w:val="0"/>
              <w:snapToGrid w:val="0"/>
              <w:ind w:left="57" w:leftChars="0" w:right="57" w:rightChars="0"/>
              <w:jc w:val="center"/>
              <w:outlineLvl w:val="0"/>
              <w:rPr>
                <w:rFonts w:hint="eastAsia" w:ascii="宋体" w:hAnsi="宋体" w:eastAsia="宋体" w:cs="宋体"/>
                <w:color w:val="auto"/>
                <w:kern w:val="0"/>
                <w:sz w:val="24"/>
                <w:szCs w:val="24"/>
                <w:highlight w:val="none"/>
                <w:u w:val="none"/>
                <w:lang w:val="en-US" w:eastAsia="zh-CN" w:bidi="ar-SA"/>
              </w:rPr>
            </w:pPr>
            <w:r>
              <w:rPr>
                <w:rFonts w:hint="eastAsia" w:ascii="宋体" w:hAnsi="宋体" w:eastAsia="宋体" w:cs="宋体"/>
                <w:color w:val="auto"/>
                <w:kern w:val="0"/>
                <w:sz w:val="24"/>
                <w:szCs w:val="24"/>
                <w:highlight w:val="none"/>
                <w:u w:val="none"/>
                <w:lang w:val="en-US" w:eastAsia="zh-CN" w:bidi="ar-SA"/>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59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42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35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c>
          <w:tcPr>
            <w:tcW w:w="1043"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1" w:hRule="atLeast"/>
          <w:jc w:val="center"/>
        </w:trPr>
        <w:tc>
          <w:tcPr>
            <w:tcW w:w="9933" w:type="dxa"/>
            <w:gridSpan w:val="8"/>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投标</w:t>
            </w:r>
            <w:r>
              <w:rPr>
                <w:rFonts w:hint="eastAsia" w:asciiTheme="minorEastAsia" w:hAnsiTheme="minorEastAsia" w:eastAsiaTheme="minorEastAsia" w:cstheme="minorEastAsia"/>
                <w:b/>
                <w:color w:val="auto"/>
                <w:sz w:val="24"/>
                <w:szCs w:val="24"/>
                <w:highlight w:val="none"/>
              </w:rPr>
              <w:t>总价</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rPr>
              <w:t xml:space="preserve">大写：                             </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 xml:space="preserve">   小写： ￥</w:t>
            </w:r>
            <w:r>
              <w:rPr>
                <w:rFonts w:hint="eastAsia" w:asciiTheme="minorEastAsia" w:hAnsiTheme="minorEastAsia" w:eastAsiaTheme="minorEastAsia" w:cstheme="minorEastAsia"/>
                <w:b/>
                <w:color w:val="auto"/>
                <w:sz w:val="24"/>
                <w:szCs w:val="24"/>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6" w:hRule="atLeast"/>
          <w:jc w:val="center"/>
        </w:trPr>
        <w:tc>
          <w:tcPr>
            <w:tcW w:w="61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c>
          <w:tcPr>
            <w:tcW w:w="9323" w:type="dxa"/>
            <w:gridSpan w:val="7"/>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ind w:firstLine="0" w:firstLineChars="0"/>
              <w:jc w:val="left"/>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此表应按项目的明细情况列项填报,在填写时，如上表不适合本项目的实际情况，可在确保投标明细内容完整的情况下，根据上表格式自行划表填写。</w:t>
            </w:r>
          </w:p>
        </w:tc>
      </w:tr>
    </w:tbl>
    <w:p>
      <w:pPr>
        <w:snapToGrid w:val="0"/>
        <w:spacing w:before="50" w:after="120" w:afterLines="50"/>
        <w:jc w:val="left"/>
        <w:outlineLvl w:val="9"/>
        <w:rPr>
          <w:rFonts w:hint="eastAsia" w:asciiTheme="minorEastAsia" w:hAnsiTheme="minorEastAsia" w:eastAsiaTheme="minorEastAsia" w:cstheme="minorEastAsia"/>
          <w:b/>
          <w:color w:val="auto"/>
          <w:sz w:val="28"/>
          <w:szCs w:val="28"/>
        </w:rPr>
      </w:pPr>
    </w:p>
    <w:p>
      <w:pPr>
        <w:snapToGrid w:val="0"/>
        <w:spacing w:before="50" w:after="120" w:afterLines="50"/>
        <w:jc w:val="left"/>
        <w:outlineLvl w:val="9"/>
        <w:rPr>
          <w:rFonts w:hint="eastAsia" w:asciiTheme="minorEastAsia" w:hAnsiTheme="minorEastAsia" w:eastAsiaTheme="minorEastAsia" w:cstheme="minorEastAsia"/>
          <w:b/>
          <w:color w:val="auto"/>
          <w:sz w:val="28"/>
          <w:szCs w:val="28"/>
        </w:rPr>
      </w:pP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磋商响应方全称（公章）：</w:t>
      </w:r>
    </w:p>
    <w:p>
      <w:pPr>
        <w:keepNext w:val="0"/>
        <w:keepLines w:val="0"/>
        <w:pageBreakBefore w:val="0"/>
        <w:widowControl w:val="0"/>
        <w:kinsoku/>
        <w:wordWrap/>
        <w:overflowPunct/>
        <w:topLinePunct w:val="0"/>
        <w:autoSpaceDE/>
        <w:autoSpaceDN/>
        <w:bidi w:val="0"/>
        <w:adjustRightInd/>
        <w:snapToGrid w:val="0"/>
        <w:spacing w:line="360" w:lineRule="auto"/>
        <w:jc w:val="left"/>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法定代表或委托代理人（签字或盖章）：</w:t>
      </w:r>
    </w:p>
    <w:p>
      <w:pPr>
        <w:keepNext w:val="0"/>
        <w:keepLines w:val="0"/>
        <w:pageBreakBefore w:val="0"/>
        <w:widowControl w:val="0"/>
        <w:kinsoku/>
        <w:wordWrap/>
        <w:overflowPunct/>
        <w:topLinePunct w:val="0"/>
        <w:autoSpaceDE/>
        <w:autoSpaceDN/>
        <w:bidi w:val="0"/>
        <w:adjustRightInd/>
        <w:spacing w:line="360" w:lineRule="auto"/>
        <w:textAlignment w:val="auto"/>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color w:val="auto"/>
          <w:sz w:val="24"/>
          <w:szCs w:val="24"/>
        </w:rPr>
        <w:t>日期：</w:t>
      </w:r>
      <w:r>
        <w:rPr>
          <w:rFonts w:hint="eastAsia" w:asciiTheme="minorEastAsia" w:hAnsiTheme="minorEastAsia" w:eastAsiaTheme="minorEastAsia" w:cstheme="minorEastAsia"/>
          <w:b/>
          <w:color w:val="auto"/>
          <w:sz w:val="28"/>
          <w:szCs w:val="28"/>
        </w:rPr>
        <w:br w:type="page"/>
      </w:r>
    </w:p>
    <w:p>
      <w:pPr>
        <w:pStyle w:val="571"/>
        <w:keepNext w:val="0"/>
        <w:keepLines w:val="0"/>
        <w:pageBreakBefore w:val="0"/>
        <w:widowControl w:val="0"/>
        <w:kinsoku/>
        <w:wordWrap/>
        <w:overflowPunct/>
        <w:topLinePunct w:val="0"/>
        <w:autoSpaceDE/>
        <w:autoSpaceDN/>
        <w:bidi w:val="0"/>
        <w:adjustRightInd/>
        <w:snapToGrid w:val="0"/>
        <w:spacing w:line="360" w:lineRule="auto"/>
        <w:ind w:firstLine="720" w:firstLineChars="300"/>
        <w:textAlignment w:val="auto"/>
        <w:rPr>
          <w:lang w:val="en-US" w:eastAsia="zh-CN"/>
        </w:rPr>
        <w:sectPr>
          <w:pgSz w:w="11906" w:h="16838"/>
          <w:pgMar w:top="1276" w:right="1417" w:bottom="1247" w:left="1417" w:header="851" w:footer="992" w:gutter="0"/>
          <w:pgNumType w:fmt="decimal"/>
          <w:cols w:space="0" w:num="1"/>
          <w:titlePg/>
          <w:rtlGutter w:val="0"/>
          <w:docGrid w:linePitch="312" w:charSpace="0"/>
        </w:sectPr>
      </w:pPr>
      <w:r>
        <w:rPr>
          <w:rFonts w:hint="eastAsia" w:ascii="仿宋" w:hAnsi="仿宋" w:eastAsia="仿宋" w:cs="仿宋"/>
          <w:b w:val="0"/>
          <w:bCs w:val="0"/>
          <w:color w:val="auto"/>
          <w:sz w:val="24"/>
          <w:szCs w:val="24"/>
        </w:rPr>
        <w:fldChar w:fldCharType="begin"/>
      </w:r>
      <w:r>
        <w:rPr>
          <w:rFonts w:hint="eastAsia" w:ascii="仿宋" w:hAnsi="仿宋" w:eastAsia="仿宋" w:cs="仿宋"/>
          <w:b w:val="0"/>
          <w:bCs w:val="0"/>
          <w:color w:val="auto"/>
          <w:sz w:val="24"/>
          <w:szCs w:val="24"/>
        </w:rPr>
        <w:instrText xml:space="preserve"> HYPERLINK "mailto:根据浙江省财政厅关于印发《浙江省政府采购活动现场组织管理办法》的通知（浙财采监【2015】13号）文件要求，由各投标供应商在投标文件解密后半小时内如实填写政府采购活动现场确认声明书，并以扫描件形式发送至271184168@qq.com邮箱，如未如实填写，将有可能影响你的投标文件评审（政府采购活动现场确认声明书格式见附表）。" </w:instrText>
      </w:r>
      <w:r>
        <w:rPr>
          <w:rFonts w:hint="eastAsia" w:ascii="仿宋" w:hAnsi="仿宋" w:eastAsia="仿宋" w:cs="仿宋"/>
          <w:b w:val="0"/>
          <w:bCs w:val="0"/>
          <w:color w:val="auto"/>
          <w:sz w:val="24"/>
          <w:szCs w:val="24"/>
        </w:rPr>
        <w:fldChar w:fldCharType="separate"/>
      </w:r>
      <w:r>
        <w:rPr>
          <w:rStyle w:val="62"/>
          <w:rFonts w:hint="eastAsia" w:ascii="仿宋" w:hAnsi="仿宋" w:eastAsia="仿宋" w:cs="仿宋"/>
          <w:b w:val="0"/>
          <w:bCs w:val="0"/>
          <w:sz w:val="24"/>
          <w:szCs w:val="24"/>
        </w:rPr>
        <w:t>根据浙江省财政厅关于印发《浙江省政府采购活动现场组织管理办法》的通知（浙财采监【2015】13号）文件要求，由各投标供应商在投标文件解密后</w:t>
      </w:r>
      <w:r>
        <w:rPr>
          <w:rStyle w:val="62"/>
          <w:rFonts w:hint="eastAsia" w:ascii="仿宋" w:hAnsi="仿宋" w:eastAsia="仿宋" w:cs="仿宋"/>
          <w:b w:val="0"/>
          <w:bCs w:val="0"/>
          <w:sz w:val="24"/>
          <w:szCs w:val="24"/>
          <w:lang w:eastAsia="zh-CN"/>
        </w:rPr>
        <w:t>半小时内</w:t>
      </w:r>
      <w:r>
        <w:rPr>
          <w:rStyle w:val="62"/>
          <w:rFonts w:hint="eastAsia" w:ascii="仿宋" w:hAnsi="仿宋" w:eastAsia="仿宋" w:cs="仿宋"/>
          <w:b w:val="0"/>
          <w:bCs w:val="0"/>
          <w:sz w:val="24"/>
          <w:szCs w:val="24"/>
        </w:rPr>
        <w:t>如实填写政府采购活动现场确认声明书，并以扫描件形式发送至</w:t>
      </w:r>
      <w:r>
        <w:rPr>
          <w:rStyle w:val="62"/>
          <w:rFonts w:hint="eastAsia" w:ascii="仿宋" w:hAnsi="仿宋" w:eastAsia="仿宋" w:cs="仿宋"/>
          <w:b w:val="0"/>
          <w:bCs w:val="0"/>
          <w:sz w:val="24"/>
          <w:szCs w:val="24"/>
          <w:lang w:val="en-US" w:eastAsia="zh-CN"/>
        </w:rPr>
        <w:t>972281693</w:t>
      </w:r>
      <w:r>
        <w:rPr>
          <w:rStyle w:val="62"/>
          <w:rFonts w:hint="eastAsia" w:ascii="仿宋" w:hAnsi="仿宋" w:eastAsia="仿宋" w:cs="仿宋"/>
          <w:b w:val="0"/>
          <w:bCs w:val="0"/>
          <w:sz w:val="24"/>
          <w:szCs w:val="24"/>
        </w:rPr>
        <w:t>@qq.com邮箱，如未如实填写，将有可能影响你的投标文件评审（</w:t>
      </w:r>
      <w:r>
        <w:rPr>
          <w:rStyle w:val="62"/>
          <w:rFonts w:hint="eastAsia" w:ascii="仿宋" w:hAnsi="仿宋" w:eastAsia="仿宋" w:cs="仿宋"/>
          <w:b w:val="0"/>
          <w:bCs w:val="0"/>
          <w:sz w:val="24"/>
          <w:szCs w:val="24"/>
          <w:lang w:eastAsia="zh-CN"/>
        </w:rPr>
        <w:t>政企</w:t>
      </w:r>
      <w:r>
        <w:rPr>
          <w:rStyle w:val="62"/>
          <w:rFonts w:hint="eastAsia" w:ascii="仿宋" w:hAnsi="仿宋" w:eastAsia="仿宋" w:cs="仿宋"/>
          <w:b w:val="0"/>
          <w:bCs w:val="0"/>
          <w:sz w:val="24"/>
          <w:szCs w:val="24"/>
        </w:rPr>
        <w:t>采购活动现场确认声明书格式</w:t>
      </w:r>
      <w:r>
        <w:rPr>
          <w:rStyle w:val="62"/>
          <w:rFonts w:hint="eastAsia" w:ascii="仿宋" w:hAnsi="仿宋" w:eastAsia="仿宋" w:cs="仿宋"/>
          <w:b w:val="0"/>
          <w:bCs w:val="0"/>
          <w:sz w:val="24"/>
          <w:szCs w:val="24"/>
          <w:lang w:eastAsia="zh-CN"/>
        </w:rPr>
        <w:t>如下</w:t>
      </w:r>
      <w:r>
        <w:rPr>
          <w:rStyle w:val="62"/>
          <w:rFonts w:hint="eastAsia" w:ascii="仿宋" w:hAnsi="仿宋" w:eastAsia="仿宋" w:cs="仿宋"/>
          <w:b w:val="0"/>
          <w:bCs w:val="0"/>
          <w:sz w:val="24"/>
          <w:szCs w:val="24"/>
        </w:rPr>
        <w:t>）。</w:t>
      </w:r>
      <w:r>
        <w:rPr>
          <w:rFonts w:hint="eastAsia" w:ascii="仿宋" w:hAnsi="仿宋" w:eastAsia="仿宋" w:cs="仿宋"/>
          <w:b w:val="0"/>
          <w:bCs w:val="0"/>
          <w:color w:val="auto"/>
          <w:sz w:val="24"/>
          <w:szCs w:val="24"/>
        </w:rPr>
        <w:fldChar w:fldCharType="end"/>
      </w:r>
    </w:p>
    <w:p>
      <w:pPr>
        <w:pStyle w:val="571"/>
        <w:keepNext w:val="0"/>
        <w:keepLines w:val="0"/>
        <w:pageBreakBefore w:val="0"/>
        <w:widowControl w:val="0"/>
        <w:kinsoku/>
        <w:wordWrap/>
        <w:overflowPunct/>
        <w:topLinePunct w:val="0"/>
        <w:autoSpaceDE/>
        <w:autoSpaceDN/>
        <w:bidi w:val="0"/>
        <w:adjustRightInd/>
        <w:snapToGrid w:val="0"/>
        <w:spacing w:line="440" w:lineRule="exact"/>
        <w:jc w:val="center"/>
        <w:textAlignment w:val="auto"/>
        <w:outlineLvl w:val="9"/>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lang w:eastAsia="zh-CN"/>
        </w:rPr>
        <w:t>政企</w:t>
      </w:r>
      <w:r>
        <w:rPr>
          <w:rFonts w:hint="eastAsia" w:asciiTheme="minorEastAsia" w:hAnsiTheme="minorEastAsia" w:eastAsiaTheme="minorEastAsia" w:cstheme="minorEastAsia"/>
          <w:b/>
          <w:bCs/>
          <w:color w:val="auto"/>
          <w:sz w:val="28"/>
          <w:szCs w:val="28"/>
        </w:rPr>
        <w:t>采购活动现场确认声明书</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kern w:val="0"/>
          <w:sz w:val="24"/>
          <w:szCs w:val="24"/>
          <w:u w:val="single"/>
          <w:lang w:val="en-US" w:eastAsia="zh-CN"/>
        </w:rPr>
        <w:t>浙江筑脸全过程工程咨询有限公司</w:t>
      </w:r>
      <w:r>
        <w:rPr>
          <w:rFonts w:hint="eastAsia" w:asciiTheme="minorEastAsia" w:hAnsiTheme="minorEastAsia" w:eastAsiaTheme="minorEastAsia" w:cstheme="minorEastAsia"/>
          <w:color w:val="auto"/>
          <w:kern w:val="0"/>
          <w:sz w:val="24"/>
          <w:szCs w:val="24"/>
        </w:rPr>
        <w:t>：</w:t>
      </w:r>
    </w:p>
    <w:p>
      <w:pPr>
        <w:pStyle w:val="571"/>
        <w:keepNext w:val="0"/>
        <w:keepLines w:val="0"/>
        <w:pageBreakBefore w:val="0"/>
        <w:widowControl w:val="0"/>
        <w:kinsoku/>
        <w:wordWrap/>
        <w:overflowPunct/>
        <w:topLinePunct w:val="0"/>
        <w:autoSpaceDE/>
        <w:autoSpaceDN/>
        <w:bidi w:val="0"/>
        <w:adjustRightInd/>
        <w:snapToGrid w:val="0"/>
        <w:spacing w:line="440" w:lineRule="exact"/>
        <w:ind w:firstLine="504" w:firstLineChars="200"/>
        <w:jc w:val="both"/>
        <w:textAlignment w:val="auto"/>
        <w:outlineLvl w:val="9"/>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本人</w:t>
      </w:r>
      <w:r>
        <w:rPr>
          <w:rFonts w:hint="eastAsia" w:asciiTheme="minorEastAsia" w:hAnsiTheme="minorEastAsia" w:eastAsiaTheme="minorEastAsia" w:cstheme="minorEastAsia"/>
          <w:color w:val="auto"/>
          <w:spacing w:val="6"/>
          <w:sz w:val="24"/>
          <w:szCs w:val="24"/>
          <w:u w:val="single"/>
          <w:lang w:val="en-US" w:eastAsia="zh-CN"/>
        </w:rPr>
        <w:t xml:space="preserve">      </w:t>
      </w:r>
      <w:r>
        <w:rPr>
          <w:rFonts w:hint="eastAsia" w:asciiTheme="minorEastAsia" w:hAnsiTheme="minorEastAsia" w:eastAsiaTheme="minorEastAsia" w:cstheme="minorEastAsia"/>
          <w:color w:val="auto"/>
          <w:spacing w:val="6"/>
          <w:sz w:val="24"/>
          <w:szCs w:val="24"/>
        </w:rPr>
        <w:t>经由</w:t>
      </w:r>
      <w:r>
        <w:rPr>
          <w:rFonts w:hint="eastAsia" w:asciiTheme="minorEastAsia" w:hAnsiTheme="minorEastAsia" w:eastAsiaTheme="minorEastAsia" w:cstheme="minorEastAsia"/>
          <w:color w:val="auto"/>
          <w:spacing w:val="6"/>
          <w:sz w:val="24"/>
          <w:szCs w:val="24"/>
          <w:u w:val="single"/>
        </w:rPr>
        <w:t xml:space="preserve">              （单位）</w:t>
      </w:r>
      <w:r>
        <w:rPr>
          <w:rFonts w:hint="eastAsia" w:asciiTheme="minorEastAsia" w:hAnsiTheme="minorEastAsia" w:eastAsiaTheme="minorEastAsia" w:cstheme="minorEastAsia"/>
          <w:color w:val="auto"/>
          <w:spacing w:val="6"/>
          <w:sz w:val="24"/>
          <w:szCs w:val="24"/>
        </w:rPr>
        <w:t>负责人</w:t>
      </w:r>
      <w:r>
        <w:rPr>
          <w:rFonts w:hint="eastAsia" w:asciiTheme="minorEastAsia" w:hAnsiTheme="minorEastAsia" w:eastAsiaTheme="minorEastAsia" w:cstheme="minorEastAsia"/>
          <w:color w:val="auto"/>
          <w:spacing w:val="6"/>
          <w:sz w:val="24"/>
          <w:szCs w:val="24"/>
          <w:u w:val="single"/>
        </w:rPr>
        <w:t xml:space="preserve"> </w:t>
      </w:r>
      <w:r>
        <w:rPr>
          <w:rFonts w:hint="eastAsia" w:asciiTheme="minorEastAsia" w:hAnsiTheme="minorEastAsia" w:eastAsiaTheme="minorEastAsia" w:cstheme="minorEastAsia"/>
          <w:i/>
          <w:iCs/>
          <w:color w:val="auto"/>
          <w:spacing w:val="6"/>
          <w:sz w:val="24"/>
          <w:szCs w:val="24"/>
          <w:u w:val="single"/>
        </w:rPr>
        <w:t xml:space="preserve">    </w:t>
      </w:r>
      <w:r>
        <w:rPr>
          <w:rFonts w:hint="eastAsia" w:asciiTheme="minorEastAsia" w:hAnsiTheme="minorEastAsia" w:eastAsiaTheme="minorEastAsia" w:cstheme="minorEastAsia"/>
          <w:color w:val="auto"/>
          <w:spacing w:val="6"/>
          <w:sz w:val="24"/>
          <w:szCs w:val="24"/>
          <w:u w:val="single"/>
        </w:rPr>
        <w:t>（姓名）</w:t>
      </w:r>
      <w:r>
        <w:rPr>
          <w:rFonts w:hint="eastAsia" w:asciiTheme="minorEastAsia" w:hAnsiTheme="minorEastAsia" w:eastAsiaTheme="minorEastAsia" w:cstheme="minorEastAsia"/>
          <w:color w:val="auto"/>
          <w:spacing w:val="6"/>
          <w:sz w:val="24"/>
          <w:szCs w:val="24"/>
        </w:rPr>
        <w:t>合法授权参加</w:t>
      </w:r>
      <w:r>
        <w:rPr>
          <w:rFonts w:hint="eastAsia" w:asciiTheme="minorEastAsia" w:hAnsiTheme="minorEastAsia" w:eastAsiaTheme="minorEastAsia" w:cstheme="minorEastAsia"/>
          <w:color w:val="auto"/>
          <w:spacing w:val="6"/>
          <w:sz w:val="24"/>
          <w:szCs w:val="24"/>
          <w:lang w:val="en-US" w:eastAsia="zh-CN"/>
        </w:rPr>
        <w:t xml:space="preserve"> </w:t>
      </w:r>
      <w:r>
        <w:rPr>
          <w:rFonts w:hint="eastAsia" w:asciiTheme="minorEastAsia" w:hAnsiTheme="minorEastAsia" w:eastAsiaTheme="minorEastAsia" w:cstheme="minorEastAsia"/>
          <w:color w:val="auto"/>
          <w:spacing w:val="6"/>
          <w:sz w:val="24"/>
          <w:szCs w:val="24"/>
          <w:u w:val="single"/>
          <w:lang w:val="en-US" w:eastAsia="zh-CN"/>
        </w:rPr>
        <w:t xml:space="preserve">                </w:t>
      </w:r>
      <w:r>
        <w:rPr>
          <w:rFonts w:hint="eastAsia" w:asciiTheme="minorEastAsia" w:hAnsiTheme="minorEastAsia" w:eastAsiaTheme="minorEastAsia" w:cstheme="minorEastAsia"/>
          <w:color w:val="auto"/>
          <w:spacing w:val="6"/>
          <w:sz w:val="24"/>
          <w:szCs w:val="24"/>
        </w:rPr>
        <w:t>（项目编号：</w:t>
      </w:r>
      <w:r>
        <w:rPr>
          <w:rFonts w:hint="eastAsia" w:asciiTheme="minorEastAsia" w:hAnsiTheme="minorEastAsia" w:eastAsiaTheme="minorEastAsia" w:cstheme="minorEastAsia"/>
          <w:color w:val="auto"/>
          <w:spacing w:val="6"/>
          <w:sz w:val="24"/>
          <w:szCs w:val="24"/>
          <w:u w:val="single"/>
          <w:lang w:val="en-US" w:eastAsia="zh-CN"/>
        </w:rPr>
        <w:t xml:space="preserve">         </w:t>
      </w:r>
      <w:r>
        <w:rPr>
          <w:rFonts w:hint="eastAsia" w:asciiTheme="minorEastAsia" w:hAnsiTheme="minorEastAsia" w:eastAsiaTheme="minorEastAsia" w:cstheme="minorEastAsia"/>
          <w:color w:val="auto"/>
          <w:spacing w:val="6"/>
          <w:sz w:val="24"/>
          <w:szCs w:val="24"/>
        </w:rPr>
        <w:t xml:space="preserve">）采购活动，经与本单位法人代表（负责人）联系确认，现就有关公平竞争事项郑重声明如下： </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一、本单位与采购人之间 </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□不存在利害关系;</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□存在下列利害关系</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A.投资关系    B.行政隶属关系    C.业务指导关系</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D.其他可能</w:t>
      </w:r>
      <w:r>
        <w:rPr>
          <w:rFonts w:hint="eastAsia" w:asciiTheme="minorEastAsia" w:hAnsiTheme="minorEastAsia" w:eastAsiaTheme="minorEastAsia" w:cstheme="minorEastAsia"/>
          <w:color w:val="auto"/>
          <w:sz w:val="24"/>
          <w:szCs w:val="24"/>
        </w:rPr>
        <w:t>影响采购公正的</w:t>
      </w:r>
      <w:r>
        <w:rPr>
          <w:rFonts w:hint="eastAsia" w:asciiTheme="minorEastAsia" w:hAnsiTheme="minorEastAsia" w:eastAsiaTheme="minorEastAsia" w:cstheme="minorEastAsia"/>
          <w:color w:val="auto"/>
          <w:kern w:val="0"/>
          <w:sz w:val="24"/>
          <w:szCs w:val="24"/>
        </w:rPr>
        <w:t>利害关系</w:t>
      </w:r>
      <w:r>
        <w:rPr>
          <w:rFonts w:hint="eastAsia" w:asciiTheme="minorEastAsia" w:hAnsiTheme="minorEastAsia" w:eastAsiaTheme="minorEastAsia" w:cstheme="minorEastAsia"/>
          <w:color w:val="auto"/>
          <w:kern w:val="0"/>
          <w:sz w:val="24"/>
          <w:szCs w:val="24"/>
          <w:u w:val="single"/>
        </w:rPr>
        <w:t xml:space="preserve">（如有，请如实说明）                 </w:t>
      </w:r>
      <w:r>
        <w:rPr>
          <w:rFonts w:hint="eastAsia" w:asciiTheme="minorEastAsia" w:hAnsiTheme="minorEastAsia" w:eastAsiaTheme="minorEastAsia" w:cstheme="minorEastAsia"/>
          <w:color w:val="auto"/>
          <w:kern w:val="0"/>
          <w:sz w:val="24"/>
          <w:szCs w:val="24"/>
        </w:rPr>
        <w:t>。</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pacing w:val="6"/>
          <w:sz w:val="24"/>
          <w:szCs w:val="24"/>
        </w:rPr>
        <w:t>二、</w:t>
      </w:r>
      <w:r>
        <w:rPr>
          <w:rFonts w:hint="eastAsia" w:asciiTheme="minorEastAsia" w:hAnsiTheme="minorEastAsia" w:eastAsiaTheme="minorEastAsia" w:cstheme="minorEastAsia"/>
          <w:color w:val="auto"/>
          <w:kern w:val="0"/>
          <w:sz w:val="24"/>
          <w:szCs w:val="24"/>
        </w:rPr>
        <w:t xml:space="preserve">现已清楚知道参加本项目采购活动的其他所有供应商名称，本单位 </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□与其他所有供应商之间均不存在利害关系 </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□与</w:t>
      </w:r>
      <w:r>
        <w:rPr>
          <w:rFonts w:hint="eastAsia" w:asciiTheme="minorEastAsia" w:hAnsiTheme="minorEastAsia" w:eastAsiaTheme="minorEastAsia" w:cstheme="minorEastAsia"/>
          <w:color w:val="auto"/>
          <w:kern w:val="0"/>
          <w:sz w:val="24"/>
          <w:szCs w:val="24"/>
          <w:u w:val="single"/>
        </w:rPr>
        <w:t xml:space="preserve">           （供应商名称）</w:t>
      </w:r>
      <w:r>
        <w:rPr>
          <w:rFonts w:hint="eastAsia" w:asciiTheme="minorEastAsia" w:hAnsiTheme="minorEastAsia" w:eastAsiaTheme="minorEastAsia" w:cstheme="minorEastAsia"/>
          <w:color w:val="auto"/>
          <w:kern w:val="0"/>
          <w:sz w:val="24"/>
          <w:szCs w:val="24"/>
        </w:rPr>
        <w:t>之间存在下列利害关系</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A.法定代表人或负责人或实际控制人是同一人</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kern w:val="0"/>
          <w:sz w:val="24"/>
          <w:szCs w:val="24"/>
        </w:rPr>
        <w:t xml:space="preserve">  B.法定代表人或负责人或实际控制人是夫妻关系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kern w:val="0"/>
          <w:sz w:val="24"/>
          <w:szCs w:val="24"/>
        </w:rPr>
        <w:t xml:space="preserve">  C.法定代表人或负责人或实际控制人是直系血亲关系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kern w:val="0"/>
          <w:sz w:val="24"/>
          <w:szCs w:val="24"/>
        </w:rPr>
        <w:t xml:space="preserve">  D.法定代表人或负责人或实际控制人存在三代以内旁系血亲关系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E.法定代表人或负责人或实际控制人存在近姻亲关系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F.法定代表人或负责人或实际控制人存在股份控制或实际控制关系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G.存在共同直接或间接投资设立子公司、联营企业和合营企业情况</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 xml:space="preserve">  H.存在分级代理或代销关系、同一生产制造商关系、</w:t>
      </w:r>
      <w:r>
        <w:rPr>
          <w:rFonts w:hint="eastAsia"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pPr>
        <w:pStyle w:val="571"/>
        <w:keepNext w:val="0"/>
        <w:keepLines w:val="0"/>
        <w:pageBreakBefore w:val="0"/>
        <w:widowControl w:val="0"/>
        <w:kinsoku/>
        <w:wordWrap/>
        <w:overflowPunct/>
        <w:topLinePunct w:val="0"/>
        <w:autoSpaceDE/>
        <w:autoSpaceDN/>
        <w:bidi w:val="0"/>
        <w:adjustRightInd/>
        <w:snapToGrid w:val="0"/>
        <w:spacing w:line="440" w:lineRule="exact"/>
        <w:jc w:val="both"/>
        <w:textAlignment w:val="auto"/>
        <w:outlineLvl w:val="9"/>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z w:val="24"/>
          <w:szCs w:val="24"/>
        </w:rPr>
        <w:t xml:space="preserve">  I</w:t>
      </w:r>
      <w:r>
        <w:rPr>
          <w:rFonts w:hint="eastAsia" w:asciiTheme="minorEastAsia" w:hAnsiTheme="minorEastAsia" w:eastAsiaTheme="minorEastAsia" w:cstheme="minorEastAsia"/>
          <w:color w:val="auto"/>
          <w:kern w:val="0"/>
          <w:sz w:val="24"/>
          <w:szCs w:val="24"/>
        </w:rPr>
        <w:t>.</w:t>
      </w:r>
      <w:r>
        <w:rPr>
          <w:rFonts w:hint="eastAsia" w:asciiTheme="minorEastAsia" w:hAnsiTheme="minorEastAsia" w:eastAsiaTheme="minorEastAsia" w:cstheme="minorEastAsia"/>
          <w:color w:val="auto"/>
          <w:sz w:val="24"/>
          <w:szCs w:val="24"/>
        </w:rPr>
        <w:t>其他利害关系情况</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kern w:val="0"/>
          <w:sz w:val="24"/>
          <w:szCs w:val="24"/>
        </w:rPr>
        <w:t>。</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三、现已清楚知道并</w:t>
      </w:r>
      <w:r>
        <w:rPr>
          <w:rFonts w:hint="eastAsia" w:asciiTheme="minorEastAsia" w:hAnsiTheme="minorEastAsia" w:eastAsiaTheme="minorEastAsia" w:cstheme="minorEastAsia"/>
          <w:color w:val="auto"/>
          <w:kern w:val="0"/>
          <w:sz w:val="24"/>
          <w:szCs w:val="24"/>
        </w:rPr>
        <w:t>严格遵守采购法律法规和现场纪律。</w:t>
      </w:r>
    </w:p>
    <w:p>
      <w:pPr>
        <w:pStyle w:val="572"/>
        <w:keepNext w:val="0"/>
        <w:keepLines w:val="0"/>
        <w:pageBreakBefore w:val="0"/>
        <w:widowControl/>
        <w:kinsoku/>
        <w:wordWrap/>
        <w:overflowPunct/>
        <w:topLinePunct w:val="0"/>
        <w:autoSpaceDE/>
        <w:autoSpaceDN/>
        <w:bidi w:val="0"/>
        <w:adjustRightInd/>
        <w:snapToGrid w:val="0"/>
        <w:spacing w:line="440" w:lineRule="exact"/>
        <w:textAlignment w:val="auto"/>
        <w:outlineLvl w:val="9"/>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四、我发现</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供应商之间存在或可能存在上述第二条第</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项利害关系。</w:t>
      </w:r>
    </w:p>
    <w:p>
      <w:pPr>
        <w:ind w:left="0" w:leftChars="0" w:firstLine="0" w:firstLineChars="0"/>
        <w:jc w:val="right"/>
        <w:outlineLvl w:val="9"/>
        <w:rPr>
          <w:rFonts w:hint="eastAsia" w:asciiTheme="minorEastAsia" w:hAnsiTheme="minorEastAsia" w:eastAsiaTheme="minorEastAsia" w:cstheme="minorEastAsia"/>
          <w:color w:val="auto"/>
          <w:sz w:val="24"/>
          <w:szCs w:val="24"/>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 xml:space="preserve">（供应商代表签名）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202</w:t>
      </w: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lang w:eastAsia="zh-CN"/>
        </w:rPr>
        <w:t>年</w:t>
      </w:r>
      <w:r>
        <w:rPr>
          <w:rFonts w:hint="eastAsia" w:asciiTheme="minorEastAsia" w:hAnsiTheme="minorEastAsia" w:eastAsiaTheme="minorEastAsia" w:cstheme="minorEastAsia"/>
          <w:color w:val="auto"/>
          <w:sz w:val="24"/>
          <w:szCs w:val="24"/>
        </w:rPr>
        <w:t xml:space="preserve">  月   日</w:t>
      </w:r>
    </w:p>
    <w:p>
      <w:pPr>
        <w:rPr>
          <w:rFonts w:hint="eastAsia" w:ascii="仿宋" w:hAnsi="仿宋" w:eastAsia="仿宋" w:cs="仿宋"/>
          <w:color w:val="auto"/>
        </w:rPr>
      </w:pPr>
    </w:p>
    <w:sectPr>
      <w:pgSz w:w="11906" w:h="16838"/>
      <w:pgMar w:top="1474" w:right="1514" w:bottom="1247" w:left="1514" w:header="851" w:footer="851" w:gutter="0"/>
      <w:pgNumType w:start="1"/>
      <w:cols w:space="720" w:num="1"/>
      <w:docGrid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隶书">
    <w:altName w:val="微软雅黑"/>
    <w:panose1 w:val="0201050906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entury">
    <w:altName w:val="Times New Roman"/>
    <w:panose1 w:val="02040604050505020304"/>
    <w:charset w:val="00"/>
    <w:family w:val="roman"/>
    <w:pitch w:val="default"/>
    <w:sig w:usb0="00000000"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方正仿宋">
    <w:altName w:val="仿宋"/>
    <w:panose1 w:val="00000000000000000000"/>
    <w:charset w:val="86"/>
    <w:family w:val="script"/>
    <w:pitch w:val="default"/>
    <w:sig w:usb0="00000000" w:usb1="00000000" w:usb2="00000010" w:usb3="00000000" w:csb0="00040000" w:csb1="00000000"/>
  </w:font>
  <w:font w:name="方正楷体">
    <w:altName w:val="宋体"/>
    <w:panose1 w:val="00000000000000000000"/>
    <w:charset w:val="86"/>
    <w:family w:val="script"/>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Arial Narrow">
    <w:altName w:val="Arial"/>
    <w:panose1 w:val="020B0606020202030204"/>
    <w:charset w:val="00"/>
    <w:family w:val="swiss"/>
    <w:pitch w:val="default"/>
    <w:sig w:usb0="00000000" w:usb1="00000000" w:usb2="00000000" w:usb3="00000000" w:csb0="2000009F" w:csb1="DFD70000"/>
  </w:font>
  <w:font w:name="Garamond">
    <w:altName w:val="PMingLiU-ExtB"/>
    <w:panose1 w:val="02020404030301010803"/>
    <w:charset w:val="00"/>
    <w:family w:val="roman"/>
    <w:pitch w:val="default"/>
    <w:sig w:usb0="00000000" w:usb1="00000000" w:usb2="00000000" w:usb3="00000000" w:csb0="0000009F" w:csb1="DFD70000"/>
  </w:font>
  <w:font w:name="Latha">
    <w:altName w:val="Segoe Print"/>
    <w:panose1 w:val="020B0604020202020204"/>
    <w:charset w:val="01"/>
    <w:family w:val="roman"/>
    <w:pitch w:val="default"/>
    <w:sig w:usb0="00000000" w:usb1="00000000" w:usb2="00000000" w:usb3="00000000" w:csb0="00000001" w:csb1="00000000"/>
  </w:font>
  <w:font w:name="Book Antiqua">
    <w:altName w:val="Segoe Print"/>
    <w:panose1 w:val="02040602050305030304"/>
    <w:charset w:val="00"/>
    <w:family w:val="roman"/>
    <w:pitch w:val="default"/>
    <w:sig w:usb0="00000000" w:usb1="00000000" w:usb2="00000000" w:usb3="00000000" w:csb0="2000009F" w:csb1="DFD70000"/>
  </w:font>
  <w:font w:name="Century Schoolbook">
    <w:altName w:val="Segoe Print"/>
    <w:panose1 w:val="02040604050505020304"/>
    <w:charset w:val="00"/>
    <w:family w:val="roman"/>
    <w:pitch w:val="default"/>
    <w:sig w:usb0="00000000" w:usb1="00000000" w:usb2="00000000" w:usb3="00000000" w:csb0="2000009F" w:csb1="DFD70000"/>
  </w:font>
  <w:font w:name="方正姚体">
    <w:altName w:val="宋体"/>
    <w:panose1 w:val="02010601030101010101"/>
    <w:charset w:val="86"/>
    <w:family w:val="auto"/>
    <w:pitch w:val="default"/>
    <w:sig w:usb0="00000000" w:usb1="00000000" w:usb2="00000000" w:usb3="00000000" w:csb0="00040000" w:csb1="00000000"/>
  </w:font>
  <w:font w:name="_x000B__x000C_">
    <w:altName w:val="Times New Roman"/>
    <w:panose1 w:val="00000000000000000000"/>
    <w:charset w:val="00"/>
    <w:family w:val="roman"/>
    <w:pitch w:val="default"/>
    <w:sig w:usb0="00000000" w:usb1="00000000" w:usb2="00000000" w:usb3="00000000" w:csb0="00000001" w:csb1="00000000"/>
  </w:font>
  <w:font w:name="PingFang SC Regular">
    <w:altName w:val="Segoe Print"/>
    <w:panose1 w:val="00000000000000000000"/>
    <w:charset w:val="00"/>
    <w:family w:val="roman"/>
    <w:pitch w:val="default"/>
    <w:sig w:usb0="00000000" w:usb1="00000000" w:usb2="00000000" w:usb3="00000000" w:csb0="00000000" w:csb1="00000000"/>
  </w:font>
  <w:font w:name="PingFang SC Semibold">
    <w:altName w:val="Segoe Print"/>
    <w:panose1 w:val="00000000000000000000"/>
    <w:charset w:val="00"/>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思源宋体 Heavy">
    <w:altName w:val="宋体"/>
    <w:panose1 w:val="00000000000000000000"/>
    <w:charset w:val="86"/>
    <w:family w:val="roman"/>
    <w:pitch w:val="default"/>
    <w:sig w:usb0="00000000" w:usb1="00000000" w:usb2="00000016" w:usb3="00000000" w:csb0="002E0107" w:csb1="00000000"/>
  </w:font>
  <w:font w:name="P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pBdr>
        <w:bottom w:val="double" w:color="92D050" w:sz="4" w:space="1"/>
      </w:pBdr>
      <w:ind w:firstLine="0" w:firstLineChars="0"/>
    </w:pPr>
    <w:r>
      <w:rPr>
        <w:rFonts w:hint="eastAsia" w:ascii="宋体" w:hAnsi="宋体" w:cs="宋体"/>
        <w:sz w:val="20"/>
        <w:szCs w:val="20"/>
        <w:lang w:eastAsia="zh-CN"/>
      </w:rPr>
      <w:t>浙江筑脸全过程工程咨询有限公司</w:t>
    </w:r>
    <w:r>
      <w:t xml:space="preserve">                 </w:t>
    </w:r>
    <w:r>
      <w:rPr>
        <w:rFonts w:hint="eastAsia"/>
      </w:rPr>
      <w:t xml:space="preserve">                    </w:t>
    </w:r>
    <w:r>
      <w:t xml:space="preserve">  </w:t>
    </w:r>
    <w:r>
      <w:rPr>
        <w:rFonts w:hint="eastAsia" w:ascii="宋体" w:hAnsi="宋体" w:cs="宋体"/>
        <w:sz w:val="20"/>
        <w:szCs w:val="20"/>
      </w:rPr>
      <w:t>0575-83018232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tabs>
        <w:tab w:val="left" w:pos="4049"/>
        <w:tab w:val="clear" w:pos="4153"/>
      </w:tabs>
      <w:ind w:firstLine="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7"/>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37"/>
                    </w:pPr>
                    <w:r>
                      <w:fldChar w:fldCharType="begin"/>
                    </w:r>
                    <w:r>
                      <w:instrText xml:space="preserve"> PAGE  \* MERGEFORMAT </w:instrText>
                    </w:r>
                    <w:r>
                      <w:fldChar w:fldCharType="separate"/>
                    </w:r>
                    <w:r>
                      <w:t>10</w:t>
                    </w:r>
                    <w:r>
                      <w:fldChar w:fldCharType="end"/>
                    </w:r>
                  </w:p>
                </w:txbxContent>
              </v:textbox>
            </v:shape>
          </w:pict>
        </mc:Fallback>
      </mc:AlternateContent>
    </w:r>
  </w:p>
  <w:p>
    <w:pPr>
      <w:pStyle w:val="37"/>
      <w:ind w:right="720" w:firstLine="180" w:firstLineChars="10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outside" w:y="1"/>
      <w:rPr>
        <w:rStyle w:val="59"/>
      </w:rPr>
    </w:pPr>
    <w:r>
      <w:rPr>
        <w:rStyle w:val="59"/>
      </w:rPr>
      <w:fldChar w:fldCharType="begin"/>
    </w:r>
    <w:r>
      <w:rPr>
        <w:rStyle w:val="59"/>
      </w:rPr>
      <w:instrText xml:space="preserve">PAGE  </w:instrText>
    </w:r>
    <w:r>
      <w:rPr>
        <w:rStyle w:val="59"/>
      </w:rPr>
      <w:fldChar w:fldCharType="separate"/>
    </w:r>
    <w:r>
      <w:rPr>
        <w:rStyle w:val="59"/>
      </w:rPr>
      <w:t>19</w:t>
    </w:r>
    <w:r>
      <w:rPr>
        <w:rStyle w:val="59"/>
      </w:rPr>
      <w:fldChar w:fldCharType="end"/>
    </w:r>
  </w:p>
  <w:p>
    <w:pPr>
      <w:pStyle w:val="37"/>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pPr>
    <w: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440" w:lineRule="exact"/>
      <w:ind w:firstLine="0" w:firstLineChars="0"/>
      <w:jc w:val="left"/>
    </w:pPr>
    <w:r>
      <w:rPr>
        <w:sz w:val="21"/>
      </w:rPr>
      <mc:AlternateContent>
        <mc:Choice Requires="wpg">
          <w:drawing>
            <wp:anchor distT="0" distB="0" distL="114300" distR="114300" simplePos="0" relativeHeight="251661312" behindDoc="0" locked="0" layoutInCell="1" allowOverlap="1">
              <wp:simplePos x="0" y="0"/>
              <wp:positionH relativeFrom="column">
                <wp:posOffset>-99060</wp:posOffset>
              </wp:positionH>
              <wp:positionV relativeFrom="paragraph">
                <wp:posOffset>51435</wp:posOffset>
              </wp:positionV>
              <wp:extent cx="5854700" cy="497205"/>
              <wp:effectExtent l="73025" t="11430" r="73025" b="234315"/>
              <wp:wrapSquare wrapText="bothSides"/>
              <wp:docPr id="4" name="组合 4"/>
              <wp:cNvGraphicFramePr/>
              <a:graphic xmlns:a="http://schemas.openxmlformats.org/drawingml/2006/main">
                <a:graphicData uri="http://schemas.microsoft.com/office/word/2010/wordprocessingGroup">
                  <wpg:wgp>
                    <wpg:cNvGrpSpPr/>
                    <wpg:grpSpPr>
                      <a:xfrm>
                        <a:off x="917575" y="2418715"/>
                        <a:ext cx="5854700" cy="497205"/>
                        <a:chOff x="3344" y="4092"/>
                        <a:chExt cx="8756" cy="783"/>
                      </a:xfrm>
                      <a:effectLst/>
                    </wpg:grpSpPr>
                    <wpg:grpSp>
                      <wpg:cNvPr id="17" name="组合 11"/>
                      <wpg:cNvGrpSpPr/>
                      <wpg:grpSpPr>
                        <a:xfrm rot="0">
                          <a:off x="3344" y="4121"/>
                          <a:ext cx="8757" cy="649"/>
                          <a:chOff x="5220" y="2264"/>
                          <a:chExt cx="8880" cy="992"/>
                        </a:xfrm>
                        <a:solidFill>
                          <a:srgbClr val="95B3D7">
                            <a:lumMod val="60000"/>
                            <a:lumOff val="40000"/>
                          </a:srgbClr>
                        </a:solidFill>
                        <a:effectLst>
                          <a:glow rad="63500">
                            <a:srgbClr val="1DC7F4">
                              <a:satMod val="175000"/>
                              <a:alpha val="40000"/>
                            </a:srgbClr>
                          </a:glow>
                          <a:outerShdw blurRad="50800" dist="38100" dir="5400000" algn="t" rotWithShape="0">
                            <a:prstClr val="black">
                              <a:alpha val="40000"/>
                            </a:prstClr>
                          </a:outerShdw>
                          <a:reflection blurRad="6350" stA="50000" endA="300" endPos="55500" dist="50800" dir="5400000" sy="-100000" algn="bl" rotWithShape="0"/>
                        </a:effectLst>
                      </wpg:grpSpPr>
                      <wps:wsp>
                        <wps:cNvPr id="18" name="圆角矩形 3"/>
                        <wps:cNvSpPr/>
                        <wps:spPr>
                          <a:xfrm>
                            <a:off x="12584" y="2265"/>
                            <a:ext cx="1516" cy="990"/>
                          </a:xfrm>
                          <a:prstGeom prst="roundRect">
                            <a:avLst/>
                          </a:prstGeom>
                          <a:gradFill>
                            <a:gsLst>
                              <a:gs pos="0">
                                <a:srgbClr val="14CD68"/>
                              </a:gs>
                              <a:gs pos="100000">
                                <a:srgbClr val="0B6E38"/>
                              </a:gs>
                            </a:gsLst>
                            <a:lin ang="540000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6" name="平行四边形 4"/>
                        <wps:cNvSpPr/>
                        <wps:spPr>
                          <a:xfrm>
                            <a:off x="11474" y="2264"/>
                            <a:ext cx="2009" cy="992"/>
                          </a:xfrm>
                          <a:prstGeom prst="parallelogram">
                            <a:avLst>
                              <a:gd name="adj" fmla="val 78225"/>
                            </a:avLst>
                          </a:prstGeom>
                          <a:gradFill>
                            <a:gsLst>
                              <a:gs pos="0">
                                <a:srgbClr val="14CD68"/>
                              </a:gs>
                              <a:gs pos="100000">
                                <a:srgbClr val="0B6E38"/>
                              </a:gs>
                            </a:gsLst>
                            <a:lin ang="540000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7" name="矩形 6"/>
                        <wps:cNvSpPr/>
                        <wps:spPr>
                          <a:xfrm>
                            <a:off x="5220" y="3136"/>
                            <a:ext cx="6480" cy="119"/>
                          </a:xfrm>
                          <a:prstGeom prst="rect">
                            <a:avLst/>
                          </a:prstGeom>
                          <a:gradFill>
                            <a:gsLst>
                              <a:gs pos="0">
                                <a:srgbClr val="14CD68"/>
                              </a:gs>
                              <a:gs pos="100000">
                                <a:srgbClr val="0B6E38"/>
                              </a:gs>
                            </a:gsLst>
                            <a:lin ang="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g:grpSp>
                    <wps:wsp>
                      <wps:cNvPr id="19" name="矩形 12" descr="7b0a20202020227461726765744d6f64756c65223a202270726f636573734f6e6c696e65466f6e7473220a7d0a"/>
                      <wps:cNvSpPr/>
                      <wps:spPr>
                        <a:xfrm>
                          <a:off x="9812" y="4092"/>
                          <a:ext cx="2247" cy="661"/>
                        </a:xfrm>
                        <a:prstGeom prst="rect">
                          <a:avLst/>
                        </a:prstGeom>
                        <a:noFill/>
                        <a:ln w="25400" cap="flat" cmpd="sng" algn="ctr">
                          <a:noFill/>
                          <a:prstDash val="solid"/>
                        </a:ln>
                        <a:effectLst/>
                      </wps:spPr>
                      <wps:txbx>
                        <w:txbxContent>
                          <w:p>
                            <w:pPr>
                              <w:jc w:val="center"/>
                              <w:rPr>
                                <w:rFonts w:hint="default" w:ascii="楷体" w:hAnsi="楷体" w:eastAsia="楷体" w:cs="楷体"/>
                                <w:b/>
                                <w:bCs/>
                                <w:color w:val="FFFFFF"/>
                                <w:kern w:val="0"/>
                                <w:sz w:val="28"/>
                                <w:szCs w:val="28"/>
                                <w:highlight w:val="none"/>
                                <w:lang w:val="en-US" w:eastAsia="zh-CN"/>
                              </w:rPr>
                            </w:pPr>
                            <w:r>
                              <w:rPr>
                                <w:rFonts w:hint="eastAsia" w:ascii="楷体" w:hAnsi="楷体" w:eastAsia="楷体" w:cs="楷体"/>
                                <w:b/>
                                <w:bCs/>
                                <w:color w:val="FFFFFF"/>
                                <w:kern w:val="0"/>
                                <w:sz w:val="28"/>
                                <w:szCs w:val="28"/>
                                <w:highlight w:val="none"/>
                                <w:lang w:val="en-US" w:eastAsia="zh-CN"/>
                              </w:rPr>
                              <w:t>采购文件</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3" name="矩形 13"/>
                      <wps:cNvSpPr/>
                      <wps:spPr>
                        <a:xfrm>
                          <a:off x="3480" y="4139"/>
                          <a:ext cx="6239" cy="737"/>
                        </a:xfrm>
                        <a:prstGeom prst="rect">
                          <a:avLst/>
                        </a:prstGeom>
                        <a:noFill/>
                        <a:ln w="25400" cap="flat" cmpd="sng" algn="ctr">
                          <a:noFill/>
                          <a:prstDash val="solid"/>
                        </a:ln>
                        <a:effectLst/>
                      </wps:spPr>
                      <wps:txbx>
                        <w:txbxContent>
                          <w:p>
                            <w:pPr>
                              <w:ind w:firstLine="630" w:firstLineChars="300"/>
                              <w:rPr>
                                <w:rFonts w:hint="eastAsia"/>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pPr>
                            <w:r>
                              <w:rPr>
                                <w:rFonts w:hint="eastAsia"/>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t>嵊州市殡仪馆改扩建工程环境监测服务项目</w:t>
                            </w: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7.8pt;margin-top:4.05pt;height:39.15pt;width:461pt;mso-wrap-distance-bottom:0pt;mso-wrap-distance-left:9pt;mso-wrap-distance-right:9pt;mso-wrap-distance-top:0pt;z-index:251661312;mso-width-relative:page;mso-height-relative:page;" coordorigin="3344,4092" coordsize="8756,783" o:gfxdata="UEsDBAoAAAAAAIdO4kAAAAAAAAAAAAAAAAAEAAAAZHJzL1BLAwQUAAAACACHTuJAqj4UYdgAAAAI&#10;AQAADwAAAGRycy9kb3ducmV2LnhtbE2PQUvDQBCF74L/YRnBW7u7akON2RQp6qkItoJ4m2anSWh2&#10;N2S3SfvvHU96Gh7v8eZ7xersOjHSENvgDei5AkG+Crb1tYHP3etsCSIm9Ba74MnAhSKsyuurAnMb&#10;Jv9B4zbVgkt8zNFAk1KfSxmrhhzGeejJs3cIg8PEcqilHXDictfJO6Uy6bD1/KHBntYNVcftyRl4&#10;m3B6vtcv4+Z4WF++d4v3r40mY25vtHoCkeic/sLwi8/oUDLTPpy8jaIzMNOLjKMGlhoE+48qewCx&#10;Z81XloX8P6D8AVBLAwQUAAAACACHTuJAExKi45QFAADNFgAADgAAAGRycy9lMm9Eb2MueG1s7VhL&#10;j9xEEL4j8R8s37Pjtz2jzEabnWyEFMgqC8q5x68xtN2mu2dnlzNCHDggrkFCcEGcOUUI/s0q+Rl8&#10;3W57vLMhbIICrLSJNOt+uLrqq/qqqn333llNrdOci4o1c9vdc2wrb1KWVU05tz/5+OhOYltCkiYj&#10;lDX53D7PhX1v//337m7aWe6xFaNZzi0IacRs087tlZTtbDIR6Sqvidhjbd5gsWC8JhJDXk4yTjaQ&#10;XtOJ5zjRZMN41nKW5kJgdtEt2kYiv45AVhRVmi9Yuq7zRnZSeU6JhEliVbXC3tfaFkWeysdFIXJp&#10;0bkNS6X+xSF4Xqrfyf5dMis5aVdValQg11Fhx6aaVA0OHUQtiCTWmldXRNVVyplghdxLWT3pDNGI&#10;wArX2cHmIWfrVttSzjZlO4AOR+2g/tZi049Oj7lVZXM7sK2G1HD4i9++vPj2aytQ2GzacoYtD3l7&#10;0h5zM1F2I2XuWcFr9ReGWGdze+rGYRza1vnc9gI3id2wAzg/k1aK9TAJg9gB9il2BNPYc8yGdAU3&#10;KQm+H0ARtepMve7ldPXAvJ7EYdS9Gye+WpxsNci1sx8JqaaV2oOWw+Dd4ufGOwC6rlLxOghanOnA&#10;HCG5xcH1tBwy60EECjhKIRgF0x4iA1/oeUBXwe9F2oFkNoIvSQz00w7bEXyC0So7qihVOgheLg8p&#10;t04JWDMN7/uLWAc3Xdcfsqybjhz8607HtDpe7w76acg2YrSbLskffKUOKynbWJwgAiM/hMgrCriL&#10;w/go6OaJHBRAqA0aENquyOsVUMdofNcy5yerbGMt6Zo/UeeGTqJiMqsEvOAnbjdAkgi1NVgitESu&#10;lLZy1NNKrk5WpAVTOmVbLuSA1pKS9DOt61/oZHZrUFivi1KM5wVFukIK22qmEFHZ+EApqaxFqs4w&#10;8M3jMRNYCRVsRv3BlrH6AgFxB2ZpCZ0tS3rVmI5QI+fs8ggJX2yzEI7+J1lIYwikNq1QKcZkIRfV&#10;p0tDF99/9fLn71788MvF7z9Zmu1m55CJxEwgKSnsdtKQ64VJl0VAg50U5IauySHTqY7fEQmUbx7m&#10;rLbUw9xG9m2yJ/BJ589Tk1zIrN+njkbtGHhTCmzRk8JqlWteFc3B4SJKTPIqxXi38ZCausRA5370&#10;wB+/ApWHo2jVWESV7iFYRUpojrDurRtrSBtrg+Sg9iKFEJTvAmUTj3WLN0RT9rGeSq6tbphKCoiM&#10;zuoFEauOZ5rQxgzaqPUhcLoM3HtHeW3JsnM42KQ5S7TpUQWIHxEhjwlHwYU2aEnkY/wUIOrcZubJ&#10;tlaMf/GqebUfEYhV29qggEP9z9eE57ZFP2iA/dQNAoiVehCEqDWI+PHKcrzSrOtDhmzngm5tqh/V&#10;fkn7x4Kz+ik6lwN1KpZIk+Lsua2AMoNDiTGW0Puk+QFoimdU+ZbIR81JmyrhCqeGHawlKypTqXp0&#10;dNnSDOs48c6pBhoYpj3/9eWP31w8e/byj+eKbKbya1peg2xuEA9kMzWnL1Xo96ZdqbpacXoSGbK1&#10;iANKc8oQrvWWcAqwMjOKkuxToFtTBAyKjRUnnqfZDT4QxU6dVHu5+s1bcs5uyamZesPIuW0muwIY&#10;qVR77QI4tIG+6+s3t91jFPRNoOvq7vE19e+mlD7k2duiNy5tN7LobbvNf6kAIv77K29HMtdDG52L&#10;FGU8XjrEc8x/Lw4iN/aiOArjIMiiIgpwE00j0MxXu7zYwWoR+Vj3Yz8oohyrU/yGQYT5PA5iHzcz&#10;EmcOeSMiTxOl06Xr8FBbvaC/Bkb6hvj2RB41ef9RgyjPlmcmwd32iv/DXtH1d6nyZjcyX1cdFceu&#10;b75Z9HEceZjRnzPAHXOh6O9zfS/XX8j+piDdxvENvvPo9I+vnLqJxyVAfZFVn1HHY31H2n6F3v8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BQgA&#10;AFtDb250ZW50X1R5cGVzXS54bWxQSwECFAAKAAAAAACHTuJAAAAAAAAAAAAAAAAABgAAAAAAAAAA&#10;ABAAAADnBgAAX3JlbHMvUEsBAhQAFAAAAAgAh07iQIoUZjzRAAAAlAEAAAsAAAAAAAAAAQAgAAAA&#10;CwcAAF9yZWxzLy5yZWxzUEsBAhQACgAAAAAAh07iQAAAAAAAAAAAAAAAAAQAAAAAAAAAAAAQAAAA&#10;AAAAAGRycy9QSwECFAAUAAAACACHTuJAqj4UYdgAAAAIAQAADwAAAAAAAAABACAAAAAiAAAAZHJz&#10;L2Rvd25yZXYueG1sUEsBAhQAFAAAAAgAh07iQBMSouOUBQAAzRYAAA4AAAAAAAAAAQAgAAAAJwEA&#10;AGRycy9lMm9Eb2MueG1sUEsFBgAAAAAGAAYAWQEAAC0JAAAAAA==&#10;">
              <o:lock v:ext="edit" aspectratio="f"/>
              <v:group id="组合 11" o:spid="_x0000_s1026" o:spt="203" style="position:absolute;left:3344;top:4121;height:649;width:8757;" coordorigin="5220,2264" coordsize="8880,992" o:gfxdata="UEsDBAoAAAAAAIdO4kAAAAAAAAAAAAAAAAAEAAAAZHJzL1BLAwQUAAAACACHTuJAfecJYb0AAADb&#10;AAAADwAAAGRycy9kb3ducmV2LnhtbEVPTWvCQBC9C/0PyxR6azaxtEp0IyJt6UEKJoJ4G7JjEpKd&#10;Ddltov++Wyh4m8f7nPXmajox0uAaywqSKAZBXFrdcKXgWHw8L0E4j6yxs0wKbuRgkz3M1phqO/GB&#10;xtxXIoSwS1FB7X2fSunKmgy6yPbEgbvYwaAPcKikHnAK4aaT8zh+kwYbDg019rSrqWzzH6Pgc8Jp&#10;+5K8j/v2srudi9fv0z4hpZ4ek3gFwtPV38X/7i8d5i/g75dwgMx+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fecJYb0AAADbAAAADwAAAAAAAAABACAAAAAiAAAAZHJzL2Rvd25yZXYueG1s&#10;UEsBAhQAFAAAAAgAh07iQDMvBZ47AAAAOQAAABUAAAAAAAAAAQAgAAAADAEAAGRycy9ncm91cHNo&#10;YXBleG1sLnhtbFBLBQYAAAAABgAGAGABAADJAwAAAAA=&#10;">
                <o:lock v:ext="edit" aspectratio="f"/>
                <v:roundrect id="圆角矩形 3" o:spid="_x0000_s1026" o:spt="2" style="position:absolute;left:12584;top:2265;height:990;width:1516;v-text-anchor:middle;" fillcolor="#14CD68" filled="t" stroked="f" coordsize="21600,21600" arcsize="0.166666666666667" o:gfxdata="UEsDBAoAAAAAAIdO4kAAAAAAAAAAAAAAAAAEAAAAZHJzL1BLAwQUAAAACACHTuJAuyoqxrsAAADb&#10;AAAADwAAAGRycy9kb3ducmV2LnhtbEWPQWvCQBCF74L/YRmhN53YQ7HR1UOLINSLaQSPQ3aahGZn&#10;Q3aN+u+dQ6G3Gd6b977Z7O6+MyMPsQ1iYbnIwLBUwbVSWyi/9/MVmJhIHHVB2MKDI+y208mGchdu&#10;cuKxSLXREIk5WWhS6nPEWDXsKS5Cz6LaTxg8JV2HGt1ANw33Hb5m2Rt6akUbGur5o+Hqt7h6C9Su&#10;yvGzjF90LMbL4fyOvke09mW2zNZgEt/Tv/nv+uAUX2H1Fx0At0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yoqxrsAAADb&#10;AAAADwAAAAAAAAABACAAAAAiAAAAZHJzL2Rvd25yZXYueG1sUEsBAhQAFAAAAAgAh07iQDMvBZ47&#10;AAAAOQAAABAAAAAAAAAAAQAgAAAACgEAAGRycy9zaGFwZXhtbC54bWxQSwUGAAAAAAYABgBbAQAA&#10;tAMAAAAA&#10;">
                  <v:fill type="gradient" on="t" color2="#0B6E38" focus="100%" focussize="0,0" rotate="t">
                    <o:fill type="gradientUnscaled" v:ext="backwardCompatible"/>
                  </v:fill>
                  <v:stroke on="f" weight="2pt"/>
                  <v:imagedata o:title=""/>
                  <o:lock v:ext="edit" aspectratio="f"/>
                </v:roundrect>
                <v:shape id="平行四边形 4" o:spid="_x0000_s1026" o:spt="7" type="#_x0000_t7" style="position:absolute;left:11474;top:2264;height:992;width:2009;v-text-anchor:middle;" fillcolor="#14CD68" filled="t" stroked="f" coordsize="21600,21600" o:gfxdata="UEsDBAoAAAAAAIdO4kAAAAAAAAAAAAAAAAAEAAAAZHJzL1BLAwQUAAAACACHTuJAur4HtbYAAADa&#10;AAAADwAAAGRycy9kb3ducmV2LnhtbEWPzQrCMBCE74LvEFbwpqkKItXoQRG8CP71vjRrW2w2JYla&#10;fXojCB6HmfmGWaxaU4sHOV9ZVjAaJiCIc6srLhRcztvBDIQPyBpry6TgRR5Wy25ngam2Tz7S4xQK&#10;ESHsU1RQhtCkUvq8JIN+aBvi6F2tMxiidIXUDp8Rbmo5TpKpNFhxXCixoXVJ+e10NwpuLms5ZNfs&#10;fXeHbEL7Td3wW6l+b5TMQQRqwz/8a++0gil8r8QbIJcf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Lq+B7W2AAAA2gAAAA8A&#10;AAAAAAAAAQAgAAAAIgAAAGRycy9kb3ducmV2LnhtbFBLAQIUABQAAAAIAIdO4kAzLwWeOwAAADkA&#10;AAAQAAAAAAAAAAEAIAAAAAUBAABkcnMvc2hhcGV4bWwueG1sUEsFBgAAAAAGAAYAWwEAAK8DAAAA&#10;AA==&#10;" adj="8343">
                  <v:fill type="gradient" on="t" color2="#0B6E38" focus="100%" focussize="0,0" rotate="t">
                    <o:fill type="gradientUnscaled" v:ext="backwardCompatible"/>
                  </v:fill>
                  <v:stroke on="f" weight="2pt"/>
                  <v:imagedata o:title=""/>
                  <o:lock v:ext="edit" aspectratio="f"/>
                </v:shape>
                <v:rect id="矩形 6" o:spid="_x0000_s1026" o:spt="1" style="position:absolute;left:5220;top:3136;height:119;width:6480;v-text-anchor:middle;" fillcolor="#14CD68" filled="t" stroked="f" coordsize="21600,21600" o:gfxdata="UEsDBAoAAAAAAIdO4kAAAAAAAAAAAAAAAAAEAAAAZHJzL1BLAwQUAAAACACHTuJAEV86mL0AAADa&#10;AAAADwAAAGRycy9kb3ducmV2LnhtbEWPMW/CMBSEd6T+B+tV6gZ2GFqUxomUVqAuHQIsbI/4NQnE&#10;z1FsIPTX15UqdTzd3Xe6rJhsL640+s6xhmShQBDXznTcaNjv1vMVCB+QDfaOScOdPBT5wyzD1Lgb&#10;V3TdhkZECPsUNbQhDKmUvm7Jol+4gTh6X260GKIcG2lGvEW47eVSqWdpseO40OJAby3V5+3Faqg2&#10;5fdhX55YvSc2HC/3at19Tlo/PSbqFUSgKfyH/9ofRsML/F6JN0Dm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RXzqYvQAA&#10;ANoAAAAPAAAAAAAAAAEAIAAAACIAAABkcnMvZG93bnJldi54bWxQSwECFAAUAAAACACHTuJAMy8F&#10;njsAAAA5AAAAEAAAAAAAAAABACAAAAAMAQAAZHJzL3NoYXBleG1sLnhtbFBLBQYAAAAABgAGAFsB&#10;AAC2AwAAAAA=&#10;">
                  <v:fill type="gradient" on="t" color2="#0B6E38" angle="90" focus="100%" focussize="0,0" rotate="t">
                    <o:fill type="gradientUnscaled" v:ext="backwardCompatible"/>
                  </v:fill>
                  <v:stroke on="f" weight="2pt"/>
                  <v:imagedata o:title=""/>
                  <o:lock v:ext="edit" aspectratio="f"/>
                </v:rect>
              </v:group>
              <v:rect id="矩形 12" o:spid="_x0000_s1026" o:spt="1" alt="7b0a20202020227461726765744d6f64756c65223a202270726f636573734f6e6c696e65466f6e7473220a7d0a" style="position:absolute;left:9812;top:4092;height:661;width:2247;v-text-anchor:middle;" filled="f" stroked="f" coordsize="21600,21600" o:gfxdata="UEsDBAoAAAAAAIdO4kAAAAAAAAAAAAAAAAAEAAAAZHJzL1BLAwQUAAAACACHTuJAutHIOLoAAADb&#10;AAAADwAAAGRycy9kb3ducmV2LnhtbEVPTYvCMBC9C/sfwix401QRcauxlMUVPWqFxdvYjG3dZlKa&#10;bNV/bwTB2zze5yySm6lFR62rLCsYDSMQxLnVFRcKDtnPYAbCeWSNtWVScCcHyfKjt8BY2yvvqNv7&#10;QoQQdjEqKL1vYildXpJBN7QNceDOtjXoA2wLqVu8hnBTy3EUTaXBikNDiQ19l5T/7f+NAnfqttm9&#10;SX8vR5ef0hWbbLJdK9X/HEVzEJ5u/i1+uTc6zP+C5y/hALl8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60cg4ugAAANsA&#10;AAAPAAAAAAAAAAEAIAAAACIAAABkcnMvZG93bnJldi54bWxQSwECFAAUAAAACACHTuJAMy8FnjsA&#10;AAA5AAAAEAAAAAAAAAABACAAAAAJAQAAZHJzL3NoYXBleG1sLnhtbFBLBQYAAAAABgAGAFsBAACz&#10;AwAAAAA=&#10;">
                <v:fill on="f" focussize="0,0"/>
                <v:stroke on="f" weight="2pt"/>
                <v:imagedata o:title=""/>
                <o:lock v:ext="edit" aspectratio="f"/>
                <v:textbox>
                  <w:txbxContent>
                    <w:p>
                      <w:pPr>
                        <w:jc w:val="center"/>
                        <w:rPr>
                          <w:rFonts w:hint="default" w:ascii="楷体" w:hAnsi="楷体" w:eastAsia="楷体" w:cs="楷体"/>
                          <w:b/>
                          <w:bCs/>
                          <w:color w:val="FFFFFF"/>
                          <w:kern w:val="0"/>
                          <w:sz w:val="28"/>
                          <w:szCs w:val="28"/>
                          <w:highlight w:val="none"/>
                          <w:lang w:val="en-US" w:eastAsia="zh-CN"/>
                        </w:rPr>
                      </w:pPr>
                      <w:r>
                        <w:rPr>
                          <w:rFonts w:hint="eastAsia" w:ascii="楷体" w:hAnsi="楷体" w:eastAsia="楷体" w:cs="楷体"/>
                          <w:b/>
                          <w:bCs/>
                          <w:color w:val="FFFFFF"/>
                          <w:kern w:val="0"/>
                          <w:sz w:val="28"/>
                          <w:szCs w:val="28"/>
                          <w:highlight w:val="none"/>
                          <w:lang w:val="en-US" w:eastAsia="zh-CN"/>
                        </w:rPr>
                        <w:t>采购文件</w:t>
                      </w:r>
                    </w:p>
                  </w:txbxContent>
                </v:textbox>
              </v:rect>
              <v:rect id="_x0000_s1026" o:spid="_x0000_s1026" o:spt="1" style="position:absolute;left:3480;top:4139;height:737;width:6239;v-text-anchor:middle;" filled="f" stroked="f" coordsize="21600,21600" o:gfxdata="UEsDBAoAAAAAAIdO4kAAAAAAAAAAAAAAAAAEAAAAZHJzL1BLAwQUAAAACACHTuJA2zn/0roAAADb&#10;AAAADwAAAGRycy9kb3ducmV2LnhtbEVPS4vCMBC+C/sfwix409QHslRjKYsretQKi7exGdu6zaQ0&#10;2ar/3giCt/n4nrNIbqYWHbWusqxgNIxAEOdWV1woOGQ/gy8QziNrrC2Tgjs5SJYfvQXG2l55R93e&#10;FyKEsItRQel9E0vp8pIMuqFtiAN3tq1BH2BbSN3iNYSbWo6jaCYNVhwaSmzou6T8b/9vFLhTt83u&#10;Tfp7Obr8lK7YZNPtWqn+5yiag/B082/xy73RYf4Enr+EA+Ty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bOf/SugAAANsA&#10;AAAPAAAAAAAAAAEAIAAAACIAAABkcnMvZG93bnJldi54bWxQSwECFAAUAAAACACHTuJAMy8FnjsA&#10;AAA5AAAAEAAAAAAAAAABACAAAAAJAQAAZHJzL3NoYXBleG1sLnhtbFBLBQYAAAAABgAGAFsBAACz&#10;AwAAAAA=&#10;">
                <v:fill on="f" focussize="0,0"/>
                <v:stroke on="f" weight="2pt"/>
                <v:imagedata o:title=""/>
                <o:lock v:ext="edit" aspectratio="f"/>
                <v:textbox>
                  <w:txbxContent>
                    <w:p>
                      <w:pPr>
                        <w:ind w:firstLine="630" w:firstLineChars="300"/>
                        <w:rPr>
                          <w:rFonts w:hint="eastAsia"/>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pPr>
                      <w:r>
                        <w:rPr>
                          <w:rFonts w:hint="eastAsia"/>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t>嵊州市殡仪馆改扩建工程环境监测服务项目</w:t>
                      </w:r>
                    </w:p>
                  </w:txbxContent>
                </v:textbox>
              </v:rect>
              <w10:wrap type="square"/>
            </v:group>
          </w:pict>
        </mc:Fallback>
      </mc:AlternateContent>
    </w:r>
  </w:p>
  <w:p>
    <w:pPr>
      <w:spacing w:line="440" w:lineRule="exact"/>
      <w:ind w:firstLine="0" w:firstLineChars="0"/>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ascii="Times New Roman" w:hAnsi="Times New Roman" w:eastAsia="宋体" w:cs="Times New Roman"/>
        <w:sz w:val="21"/>
      </w:rPr>
      <mc:AlternateContent>
        <mc:Choice Requires="wpg">
          <w:drawing>
            <wp:anchor distT="0" distB="0" distL="114300" distR="114300" simplePos="0" relativeHeight="251665408" behindDoc="0" locked="0" layoutInCell="1" allowOverlap="1">
              <wp:simplePos x="0" y="0"/>
              <wp:positionH relativeFrom="column">
                <wp:posOffset>-213360</wp:posOffset>
              </wp:positionH>
              <wp:positionV relativeFrom="paragraph">
                <wp:posOffset>3810</wp:posOffset>
              </wp:positionV>
              <wp:extent cx="5854700" cy="497205"/>
              <wp:effectExtent l="73025" t="11430" r="73025" b="234315"/>
              <wp:wrapSquare wrapText="bothSides"/>
              <wp:docPr id="8" name="组合 8"/>
              <wp:cNvGraphicFramePr/>
              <a:graphic xmlns:a="http://schemas.openxmlformats.org/drawingml/2006/main">
                <a:graphicData uri="http://schemas.microsoft.com/office/word/2010/wordprocessingGroup">
                  <wpg:wgp>
                    <wpg:cNvGrpSpPr/>
                    <wpg:grpSpPr>
                      <a:xfrm>
                        <a:off x="849630" y="696595"/>
                        <a:ext cx="5854700" cy="497205"/>
                        <a:chOff x="3344" y="4092"/>
                        <a:chExt cx="8756" cy="783"/>
                      </a:xfrm>
                      <a:effectLst/>
                    </wpg:grpSpPr>
                    <wpg:grpSp>
                      <wpg:cNvPr id="10" name="组合 11"/>
                      <wpg:cNvGrpSpPr/>
                      <wpg:grpSpPr>
                        <a:xfrm rot="0">
                          <a:off x="3344" y="4121"/>
                          <a:ext cx="8757" cy="649"/>
                          <a:chOff x="5220" y="2264"/>
                          <a:chExt cx="8880" cy="992"/>
                        </a:xfrm>
                        <a:solidFill>
                          <a:srgbClr val="95B3D7">
                            <a:lumMod val="60000"/>
                            <a:lumOff val="40000"/>
                          </a:srgbClr>
                        </a:solidFill>
                        <a:effectLst>
                          <a:glow rad="63500">
                            <a:srgbClr val="1DC7F4">
                              <a:satMod val="175000"/>
                              <a:alpha val="40000"/>
                            </a:srgbClr>
                          </a:glow>
                          <a:outerShdw blurRad="50800" dist="38100" dir="5400000" algn="t" rotWithShape="0">
                            <a:prstClr val="black">
                              <a:alpha val="40000"/>
                            </a:prstClr>
                          </a:outerShdw>
                          <a:reflection blurRad="6350" stA="50000" endA="300" endPos="55500" dist="50800" dir="5400000" sy="-100000" algn="bl" rotWithShape="0"/>
                        </a:effectLst>
                      </wpg:grpSpPr>
                      <wps:wsp>
                        <wps:cNvPr id="11" name="圆角矩形 3"/>
                        <wps:cNvSpPr/>
                        <wps:spPr>
                          <a:xfrm>
                            <a:off x="12584" y="2265"/>
                            <a:ext cx="1516" cy="990"/>
                          </a:xfrm>
                          <a:prstGeom prst="roundRect">
                            <a:avLst/>
                          </a:prstGeom>
                          <a:gradFill>
                            <a:gsLst>
                              <a:gs pos="0">
                                <a:srgbClr val="14CD68"/>
                              </a:gs>
                              <a:gs pos="100000">
                                <a:srgbClr val="0B6E38"/>
                              </a:gs>
                            </a:gsLst>
                            <a:lin ang="540000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12" name="平行四边形 4"/>
                        <wps:cNvSpPr/>
                        <wps:spPr>
                          <a:xfrm>
                            <a:off x="11474" y="2264"/>
                            <a:ext cx="2009" cy="992"/>
                          </a:xfrm>
                          <a:prstGeom prst="parallelogram">
                            <a:avLst>
                              <a:gd name="adj" fmla="val 78225"/>
                            </a:avLst>
                          </a:prstGeom>
                          <a:gradFill>
                            <a:gsLst>
                              <a:gs pos="0">
                                <a:srgbClr val="14CD68"/>
                              </a:gs>
                              <a:gs pos="100000">
                                <a:srgbClr val="0B6E38"/>
                              </a:gs>
                            </a:gsLst>
                            <a:lin ang="540000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s:wsp>
                        <wps:cNvPr id="14" name="矩形 6"/>
                        <wps:cNvSpPr/>
                        <wps:spPr>
                          <a:xfrm>
                            <a:off x="5220" y="3136"/>
                            <a:ext cx="6480" cy="119"/>
                          </a:xfrm>
                          <a:prstGeom prst="rect">
                            <a:avLst/>
                          </a:prstGeom>
                          <a:gradFill>
                            <a:gsLst>
                              <a:gs pos="0">
                                <a:srgbClr val="14CD68"/>
                              </a:gs>
                              <a:gs pos="100000">
                                <a:srgbClr val="0B6E38"/>
                              </a:gs>
                            </a:gsLst>
                            <a:lin ang="0" scaled="0"/>
                          </a:gra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noAutofit/>
                        </wps:bodyPr>
                      </wps:wsp>
                    </wpg:grpSp>
                    <wps:wsp>
                      <wps:cNvPr id="15" name="矩形 12" descr="7b0a20202020227461726765744d6f64756c65223a202270726f636573734f6e6c696e65466f6e7473220a7d0a"/>
                      <wps:cNvSpPr/>
                      <wps:spPr>
                        <a:xfrm>
                          <a:off x="9812" y="4092"/>
                          <a:ext cx="2247" cy="661"/>
                        </a:xfrm>
                        <a:prstGeom prst="rect">
                          <a:avLst/>
                        </a:prstGeom>
                        <a:noFill/>
                        <a:ln w="25400" cap="flat" cmpd="sng" algn="ctr">
                          <a:noFill/>
                          <a:prstDash val="solid"/>
                        </a:ln>
                        <a:effectLst/>
                      </wps:spPr>
                      <wps:txbx>
                        <w:txbxContent>
                          <w:p>
                            <w:pPr>
                              <w:jc w:val="center"/>
                              <w:rPr>
                                <w:rFonts w:hint="default" w:ascii="楷体" w:hAnsi="楷体" w:eastAsia="楷体" w:cs="楷体"/>
                                <w:b/>
                                <w:bCs/>
                                <w:color w:val="FFFFFF"/>
                                <w:kern w:val="0"/>
                                <w:sz w:val="28"/>
                                <w:szCs w:val="28"/>
                                <w:highlight w:val="none"/>
                                <w:lang w:val="en-US" w:eastAsia="zh-CN"/>
                              </w:rPr>
                            </w:pPr>
                            <w:r>
                              <w:rPr>
                                <w:rFonts w:hint="eastAsia" w:ascii="楷体" w:hAnsi="楷体" w:eastAsia="楷体" w:cs="楷体"/>
                                <w:b/>
                                <w:bCs/>
                                <w:color w:val="FFFFFF"/>
                                <w:kern w:val="0"/>
                                <w:sz w:val="28"/>
                                <w:szCs w:val="28"/>
                                <w:highlight w:val="none"/>
                                <w:lang w:val="en-US" w:eastAsia="zh-CN"/>
                              </w:rPr>
                              <w:t>采购文件</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6" name="矩形 13"/>
                      <wps:cNvSpPr/>
                      <wps:spPr>
                        <a:xfrm>
                          <a:off x="3480" y="4139"/>
                          <a:ext cx="6239" cy="737"/>
                        </a:xfrm>
                        <a:prstGeom prst="rect">
                          <a:avLst/>
                        </a:prstGeom>
                        <a:noFill/>
                        <a:ln w="25400" cap="flat" cmpd="sng" algn="ctr">
                          <a:noFill/>
                          <a:prstDash val="solid"/>
                        </a:ln>
                        <a:effectLst/>
                      </wps:spPr>
                      <wps:txbx>
                        <w:txbxContent>
                          <w:p>
                            <w:pPr>
                              <w:ind w:firstLine="630" w:firstLineChars="300"/>
                              <w:rPr>
                                <w:rFonts w:hint="eastAsia" w:ascii="Times New Roman" w:hAnsi="Times New Roman" w:eastAsia="宋体" w:cs="Times New Roman"/>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pPr>
                            <w:r>
                              <w:rPr>
                                <w:rFonts w:hint="eastAsia" w:cs="Times New Roman"/>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t>嵊州市殡仪馆改扩建工程环境监测服务项目</w:t>
                            </w: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16.8pt;margin-top:0.3pt;height:39.15pt;width:461pt;mso-wrap-distance-bottom:0pt;mso-wrap-distance-left:9pt;mso-wrap-distance-right:9pt;mso-wrap-distance-top:0pt;z-index:251665408;mso-width-relative:page;mso-height-relative:page;" coordorigin="3344,4092" coordsize="8756,783" o:gfxdata="UEsDBAoAAAAAAIdO4kAAAAAAAAAAAAAAAAAEAAAAZHJzL1BLAwQUAAAACACHTuJAKQlBtNgAAAAH&#10;AQAADwAAAGRycy9kb3ducmV2LnhtbE2OQUvDQBSE74L/YXmCt3YTo3WN2RQp6qkUbAXxts2+JqHZ&#10;tyG7Tdp/7/Okl4FhhpmvWJ5dJ0YcQutJQzpPQCBV3rZUa/jcvc0UiBANWdN5Qg0XDLAsr68Kk1s/&#10;0QeO21gLHqGQGw1NjH0uZagadCbMfY/E2cEPzkS2Qy3tYCYed528S5KFdKYlfmhMj6sGq+P25DS8&#10;T2Z6ydLXcX08rC7fu4fN1zpFrW9v0uQZRMRz/CvDLz6jQ8lMe38iG0SnYZZlC65qYOVYKXUPYq/h&#10;UT2BLAv5n7/8AVBLAwQUAAAACACHTuJAIFsbuo0FAADOFgAADgAAAGRycy9lMm9Eb2MueG1s7VhL&#10;bxxFEL4j8R9Gc0923rOzyjpyvHGEFIgVg3LundcO9EwP3b1emzNCHDggrkFCcEGcOUUI/o0V/wy+&#10;7umZHa8DcowCWHIirftZXfVVfVXd8+DhaU2tk5yLijVz273v2FbepCyrmnJuf/Lx4b2pbQlJmoxQ&#10;1uRz+ywX9sO99997sGlnucdWjGY5tyCkEbNNO7dXUrazyUSkq7wm4j5r8waTBeM1kejycpJxsoH0&#10;mk48x4kmG8azlrM0FwKji27SNhL5dQSyoqjSfMHSdZ03spPKc0okTBKrqhX2nta2KPJUPisKkUuL&#10;zm1YKvUvDkF7qX4new/IrOSkXVWpUYFcR4Udm2pSNTh0ELUgklhrXl0RVVcpZ4IV8n7K6klniEYE&#10;VrjODjZPOFu32pZytinbAXQ4agf1G4tNPzo54laVzW24vSE1HP76ty/Pv/3amipsNm05w5InvD1u&#10;j7gZKLueMve04LX6C0OsU8gIksgHtGdzO0qiMAk7fPNTaaWYDqdhEDuYT7EgSGLPMQvSFbykBPh+&#10;EOjtgZN43eZ09dhsn8Zh1O2Np76anGwVyLWvnwqphpXWg5JD593C58KsS/i5rlLxOgBanOm4HAG5&#10;xcH1tBwy60EECnGHQhQkPUQGvtDzOvQ9Lwr6uQG+6dRAn3TYjuATjFbZYUWp0kHwcnlAuXVCQJok&#10;fOQvYh3bdF1/yLJuOHLwrzsBw+p4vTrohyHbiNFuuiR/8JU6rKRsY3GCAIz8ECKvKOAuDuLDoBsn&#10;clDAjbHaaEBouyJ/r4A6RuO7ljk/XmUba0nX/Lk6N3SmKiazSsAL/tTtOsgRobYGU4SWSJXSVo56&#10;UcnV8Yq0IEqnbMuFHNBaUpJ+pnX9C53Mag0K63VRivG8oMhWyGBbzRQiKhnvKyWVtcjUGTq+aR4x&#10;gZlQwWbUH2wZqy/AtnswS0vobFnSq8Z0hBo5Z5dHyPdim4Rw9D9JQhpDILVphcowJgmBNIZF599/&#10;dfHzd69/+OX8958szXazckhEYiaQkxR2O1nI9cJpl0VAg50U5IauySFJoqNnRALlmyc5qy3VmNtI&#10;vk32HD7p/HlikguZ9evU0SgdA29KgSV6UFitcs2bojk4WEQ6teLgUoxXGw+poUsMdB5Fj/3xFr3T&#10;HEWrxiKqcg/BKlJCc4R1b91YQ9pYm7ntqbVIIQTVu0DVRLNusUM0ZR/rqeTa6oappIDI6KxeELHq&#10;eKYJrfgPZWij5ofAUYPKV513VGvJsjM42KQ5S7TpYQWInxIhjwhHvYU2uJHIZ/gpQNS5zUzLtlaM&#10;f/GmcbUeEYhZ29qgfkP9z9eE57ZFP2iAfeIGAcRK3QlC1BpE/HhmOZ5p1vUBQ7ZD+EE73VTrJe2b&#10;BWf1C1xc9tWpmCJNirPntgLKdA4k+pjC1SfN90FTtFHkWyKfNsdtqoQrnBq2v5asqEyl6tExoIFh&#10;HSfePdW8gWqvfr348Zvzly8v/nil2KYrx/XZ5gbxwDZTdPpahfte0tWqqyWnZ5FhW4tAoDSnDPFa&#10;bxmnECszkxNI9ingrSkiBtXGiqeep+mNGCSKnjoae7l65x0779jZUfW2sROUMtfJrgRGKtlem5TD&#10;RdB3fb1ze3+Mgv4a6Lr6/gj29AW0505fAW9L8UOmvSt74+J2K8ve9r75b5XAcIdkLmpilosUhTxe&#10;OsRzzH8vDiI39qI4CuMgyKIiCvAWTSPQzFervNjBbBH5mPdjPyiiHLMJfsMgwngeB7GPtxmJM4e8&#10;FZGTqdJJPZeHB/FQXL2gfwhG+o14cyKPrnn/0RVRni5PTYK7uy3+H2+LeDVdqkfu273JfF11VBy7&#10;vvlq0cdx5GFEfxICd8yT4oYF6S6Ob/GrR6d/fObUt3i8AtQnWfUdddzXr6TtZ+i9Pw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BwAAW0NvbnRl&#10;bnRfVHlwZXNdLnhtbFBLAQIUAAoAAAAAAIdO4kAAAAAAAAAAAAAAAAAGAAAAAAAAAAAAEAAAAOAG&#10;AABfcmVscy9QSwECFAAUAAAACACHTuJAihRmPNEAAACUAQAACwAAAAAAAAABACAAAAAEBwAAX3Jl&#10;bHMvLnJlbHNQSwECFAAKAAAAAACHTuJAAAAAAAAAAAAAAAAABAAAAAAAAAAAABAAAAAAAAAAZHJz&#10;L1BLAQIUABQAAAAIAIdO4kApCUG02AAAAAcBAAAPAAAAAAAAAAEAIAAAACIAAABkcnMvZG93bnJl&#10;di54bWxQSwECFAAUAAAACACHTuJAIFsbuo0FAADOFgAADgAAAAAAAAABACAAAAAnAQAAZHJzL2Uy&#10;b0RvYy54bWxQSwUGAAAAAAYABgBZAQAAJgkAAAAA&#10;">
              <o:lock v:ext="edit" aspectratio="f"/>
              <v:group id="组合 11" o:spid="_x0000_s1026" o:spt="203" style="position:absolute;left:3344;top:4121;height:649;width:8757;" coordorigin="5220,2264" coordsize="8880,992" o:gfxdata="UEsDBAoAAAAAAIdO4kAAAAAAAAAAAAAAAAAEAAAAZHJzL1BLAwQUAAAACACHTuJA8g6RFb4AAADb&#10;AAAADwAAAGRycy9kb3ducmV2LnhtbEWPQWvCQBCF7wX/wzKCt7qJ0iLRVUS0eBChWijehuyYBLOz&#10;IbtN9N87h4K3Gd6b975ZrO6uVh21ofJsIB0noIhzbysuDPycd+8zUCEiW6w9k4EHBVgtB28LzKzv&#10;+Zu6UyyUhHDI0EAZY5NpHfKSHIaxb4hFu/rWYZS1LbRtsZdwV+tJknxqhxVLQ4kNbUrKb6c/Z+Cr&#10;x349Tbfd4XbdPC7nj+PvISVjRsM0mYOKdI8v8//13gq+0MsvMoBePgF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PIOkRW+AAAA2wAAAA8AAAAAAAAAAQAgAAAAIgAAAGRycy9kb3ducmV2Lnht&#10;bFBLAQIUABQAAAAIAIdO4kAzLwWeOwAAADkAAAAVAAAAAAAAAAEAIAAAAA0BAABkcnMvZ3JvdXBz&#10;aGFwZXhtbC54bWxQSwUGAAAAAAYABgBgAQAAygMAAAAA&#10;">
                <o:lock v:ext="edit" aspectratio="f"/>
                <v:roundrect id="圆角矩形 3" o:spid="_x0000_s1026" o:spt="2" style="position:absolute;left:12584;top:2265;height:990;width:1516;v-text-anchor:middle;" fillcolor="#14CD68" filled="t" stroked="f" coordsize="21600,21600" arcsize="0.166666666666667" o:gfxdata="UEsDBAoAAAAAAIdO4kAAAAAAAAAAAAAAAAAEAAAAZHJzL1BLAwQUAAAACACHTuJAKhCDW7gAAADb&#10;AAAADwAAAGRycy9kb3ducmV2LnhtbEVPTYvCMBC9C/sfwix402k9LNo1enBZENyLtYLHoZlti82k&#10;NLHqvzeC4G0e73OW65tt1cC9b5xoSKcJKJbSmUYqDcXhdzIH5QOJodYJa7izh/XqY7SkzLir7HnI&#10;Q6ViiPiMNNQhdBmiL2u25KeuY4ncv+sthQj7Ck1P1xhuW5wlyRdaaiQ21NTxpubynF+sBmrmxfBT&#10;+B395cNpe1yg7RC1Hn+myTeowLfwFr/cWxPnp/D8JR6Aqwd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KhCDW7gAAADbAAAA&#10;DwAAAAAAAAABACAAAAAiAAAAZHJzL2Rvd25yZXYueG1sUEsBAhQAFAAAAAgAh07iQDMvBZ47AAAA&#10;OQAAABAAAAAAAAAAAQAgAAAABwEAAGRycy9zaGFwZXhtbC54bWxQSwUGAAAAAAYABgBbAQAAsQMA&#10;AAAA&#10;">
                  <v:fill type="gradient" on="t" color2="#0B6E38" focus="100%" focussize="0,0" rotate="t">
                    <o:fill type="gradientUnscaled" v:ext="backwardCompatible"/>
                  </v:fill>
                  <v:stroke on="f" weight="2pt"/>
                  <v:imagedata o:title=""/>
                  <o:lock v:ext="edit" aspectratio="f"/>
                </v:roundrect>
                <v:shape id="平行四边形 4" o:spid="_x0000_s1026" o:spt="7" type="#_x0000_t7" style="position:absolute;left:11474;top:2264;height:992;width:2009;v-text-anchor:middle;" fillcolor="#14CD68" filled="t" stroked="f" coordsize="21600,21600" o:gfxdata="UEsDBAoAAAAAAIdO4kAAAAAAAAAAAAAAAAAEAAAAZHJzL1BLAwQUAAAACACHTuJAWF1yOLUAAADb&#10;AAAADwAAAGRycy9kb3ducmV2LnhtbEVPSwrCMBDdC94hjOBOUxVEqtGFIrgR/HU/NGNbbCYliVo9&#10;vREEd/N431msWlOLBzlfWVYwGiYgiHOrKy4UXM7bwQyED8gaa8uk4EUeVstuZ4Gptk8+0uMUChFD&#10;2KeooAyhSaX0eUkG/dA2xJG7WmcwROgKqR0+Y7ip5ThJptJgxbGhxIbWJeW3090ouLms5ZBds/fd&#10;HbIJ7Td1w2+l+r1RMgcRqA1/8c+903H+GL6/xAPk8gN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WF1yOLUAAADbAAAADwAA&#10;AAAAAAABACAAAAAiAAAAZHJzL2Rvd25yZXYueG1sUEsBAhQAFAAAAAgAh07iQDMvBZ47AAAAOQAA&#10;ABAAAAAAAAAAAQAgAAAABAEAAGRycy9zaGFwZXhtbC54bWxQSwUGAAAAAAYABgBbAQAArgMAAAAA&#10;" adj="8343">
                  <v:fill type="gradient" on="t" color2="#0B6E38" focus="100%" focussize="0,0" rotate="t">
                    <o:fill type="gradientUnscaled" v:ext="backwardCompatible"/>
                  </v:fill>
                  <v:stroke on="f" weight="2pt"/>
                  <v:imagedata o:title=""/>
                  <o:lock v:ext="edit" aspectratio="f"/>
                </v:shape>
                <v:rect id="矩形 6" o:spid="_x0000_s1026" o:spt="1" style="position:absolute;left:5220;top:3136;height:119;width:6480;v-text-anchor:middle;" fillcolor="#14CD68" filled="t" stroked="f" coordsize="21600,21600" o:gfxdata="UEsDBAoAAAAAAIdO4kAAAAAAAAAAAAAAAAAEAAAAZHJzL1BLAwQUAAAACACHTuJAvGbwS7wAAADb&#10;AAAADwAAAGRycy9kb3ducmV2LnhtbEVPTWvCQBC9C/0PyxR6091IKZJmE0iL0ksPUS/exuw0iWZn&#10;Q3bV2F/fLRR6m8f7nKyYbC+uNPrOsYZkoUAQ18503GjY79bzFQgfkA32jknDnTwU+cMsw9S4G1d0&#10;3YZGxBD2KWpoQxhSKX3dkkW/cANx5L7caDFEODbSjHiL4baXS6VepMWOY0OLA721VJ+3F6uh2pTf&#10;h315YvWe2HC83Kt19zlp/fSYqFcQgabwL/5zf5g4/xl+f4kHyPw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xm8Eu8AAAA&#10;2wAAAA8AAAAAAAAAAQAgAAAAIgAAAGRycy9kb3ducmV2LnhtbFBLAQIUABQAAAAIAIdO4kAzLwWe&#10;OwAAADkAAAAQAAAAAAAAAAEAIAAAAAsBAABkcnMvc2hhcGV4bWwueG1sUEsFBgAAAAAGAAYAWwEA&#10;ALUDAAAAAA==&#10;">
                  <v:fill type="gradient" on="t" color2="#0B6E38" angle="90" focus="100%" focussize="0,0" rotate="t">
                    <o:fill type="gradientUnscaled" v:ext="backwardCompatible"/>
                  </v:fill>
                  <v:stroke on="f" weight="2pt"/>
                  <v:imagedata o:title=""/>
                  <o:lock v:ext="edit" aspectratio="f"/>
                </v:rect>
              </v:group>
              <v:rect id="矩形 12" o:spid="_x0000_s1026" o:spt="1" alt="7b0a20202020227461726765744d6f64756c65223a202270726f636573734f6e6c696e65466f6e7473220a7d0a" style="position:absolute;left:9812;top:4092;height:661;width:2247;v-text-anchor:middle;" filled="f" stroked="f" coordsize="21600,21600" o:gfxdata="UEsDBAoAAAAAAIdO4kAAAAAAAAAAAAAAAAAEAAAAZHJzL1BLAwQUAAAACACHTuJAO5zCPboAAADb&#10;AAAADwAAAGRycy9kb3ducmV2LnhtbEVPTYvCMBC9C/sfwix401RRWaqxlMUVPWqFxdvYjG3dZlKa&#10;bNV/bwTB2zze5yySm6lFR62rLCsYDSMQxLnVFRcKDtnP4AuE88gaa8uk4E4OkuVHb4GxtlfeUbf3&#10;hQgh7GJUUHrfxFK6vCSDbmgb4sCdbWvQB9gWUrd4DeGmluMomkmDFYeGEhv6Lin/2/8bBe7UbbN7&#10;k/5eji4/pSs22WS7Vqr/OYrmIDzd/Fv8cm90mD+F5y/hALl8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7nMI9ugAAANsA&#10;AAAPAAAAAAAAAAEAIAAAACIAAABkcnMvZG93bnJldi54bWxQSwECFAAUAAAACACHTuJAMy8FnjsA&#10;AAA5AAAAEAAAAAAAAAABACAAAAAJAQAAZHJzL3NoYXBleG1sLnhtbFBLBQYAAAAABgAGAFsBAACz&#10;AwAAAAA=&#10;">
                <v:fill on="f" focussize="0,0"/>
                <v:stroke on="f" weight="2pt"/>
                <v:imagedata o:title=""/>
                <o:lock v:ext="edit" aspectratio="f"/>
                <v:textbox>
                  <w:txbxContent>
                    <w:p>
                      <w:pPr>
                        <w:jc w:val="center"/>
                        <w:rPr>
                          <w:rFonts w:hint="default" w:ascii="楷体" w:hAnsi="楷体" w:eastAsia="楷体" w:cs="楷体"/>
                          <w:b/>
                          <w:bCs/>
                          <w:color w:val="FFFFFF"/>
                          <w:kern w:val="0"/>
                          <w:sz w:val="28"/>
                          <w:szCs w:val="28"/>
                          <w:highlight w:val="none"/>
                          <w:lang w:val="en-US" w:eastAsia="zh-CN"/>
                        </w:rPr>
                      </w:pPr>
                      <w:r>
                        <w:rPr>
                          <w:rFonts w:hint="eastAsia" w:ascii="楷体" w:hAnsi="楷体" w:eastAsia="楷体" w:cs="楷体"/>
                          <w:b/>
                          <w:bCs/>
                          <w:color w:val="FFFFFF"/>
                          <w:kern w:val="0"/>
                          <w:sz w:val="28"/>
                          <w:szCs w:val="28"/>
                          <w:highlight w:val="none"/>
                          <w:lang w:val="en-US" w:eastAsia="zh-CN"/>
                        </w:rPr>
                        <w:t>采购文件</w:t>
                      </w:r>
                    </w:p>
                  </w:txbxContent>
                </v:textbox>
              </v:rect>
              <v:rect id="矩形 13" o:spid="_x0000_s1026" o:spt="1" style="position:absolute;left:3480;top:4139;height:737;width:6239;v-text-anchor:middle;" filled="f" stroked="f" coordsize="21600,21600" o:gfxdata="UEsDBAoAAAAAAIdO4kAAAAAAAAAAAAAAAAAEAAAAZHJzL1BLAwQUAAAACACHTuJAy05cSrsAAADb&#10;AAAADwAAAGRycy9kb3ducmV2LnhtbEVPTWvCQBC9F/wPywi9NRtLkZK6CSJa9NikUHobd6dJanY2&#10;ZNdE/31XEHqbx/ucVXGxnRhp8K1jBYskBUGsnWm5VvBZ7Z5eQfiAbLBzTAqu5KHIZw8rzIyb+IPG&#10;MtQihrDPUEETQp9J6XVDFn3ieuLI/bjBYohwqKUZcIrhtpPPabqUFluODQ32tGlIn8qzVeCP46G6&#10;9uuv32+vj+st2+rl8K7U43yRvoEIdAn/4rt7b+L8Jdx+iQfI/A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05cSrsAAADb&#10;AAAADwAAAAAAAAABACAAAAAiAAAAZHJzL2Rvd25yZXYueG1sUEsBAhQAFAAAAAgAh07iQDMvBZ47&#10;AAAAOQAAABAAAAAAAAAAAQAgAAAACgEAAGRycy9zaGFwZXhtbC54bWxQSwUGAAAAAAYABgBbAQAA&#10;tAMAAAAA&#10;">
                <v:fill on="f" focussize="0,0"/>
                <v:stroke on="f" weight="2pt"/>
                <v:imagedata o:title=""/>
                <o:lock v:ext="edit" aspectratio="f"/>
                <v:textbox>
                  <w:txbxContent>
                    <w:p>
                      <w:pPr>
                        <w:ind w:firstLine="630" w:firstLineChars="300"/>
                        <w:rPr>
                          <w:rFonts w:hint="eastAsia" w:ascii="Times New Roman" w:hAnsi="Times New Roman" w:eastAsia="宋体" w:cs="Times New Roman"/>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pPr>
                      <w:r>
                        <w:rPr>
                          <w:rFonts w:hint="eastAsia" w:cs="Times New Roman"/>
                          <w:color w:val="9BBB59" w:themeColor="accent3"/>
                          <w:lang w:val="en-US" w:eastAsia="zh-CN"/>
                          <w14:glow w14:rad="0">
                            <w14:srgbClr w14:val="000000"/>
                          </w14:glow>
                          <w14:reflection w14:blurRad="0" w14:stA="0" w14:stPos="0" w14:endA="0" w14:endPos="0" w14:dist="0" w14:dir="0" w14:fadeDir="0" w14:sx="0" w14:sy="0" w14:kx="0" w14:ky="0" w14:algn="none"/>
                          <w14:textFill>
                            <w14:solidFill>
                              <w14:schemeClr w14:val="accent3"/>
                            </w14:solidFill>
                          </w14:textFill>
                          <w14:props3d w14:extrusionH="57150" w14:prstMaterial="matte">
                            <w14:bevelT w14:w="63500" w14:h="12700" w14:prst="angle"/>
                            <w14:contourClr>
                              <w14:schemeClr w14:val="bg1">
                                <w14:lumMod w14:val="65000"/>
                              </w14:schemeClr>
                            </w14:contourClr>
                          </w14:props3d>
                        </w:rPr>
                        <w:t>嵊州市殡仪馆改扩建工程环境监测服务项目</w:t>
                      </w:r>
                    </w:p>
                  </w:txbxContent>
                </v:textbox>
              </v:rect>
              <w10:wrap type="square"/>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w:pict>
        <v:shape id="PowerPlusWaterMarkObject1406298553" o:spid="_x0000_s4100" o:spt="136" type="#_x0000_t136" style="position:absolute;left:0pt;height:48.45pt;width:581.7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绍兴平准招标代理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pict>
        <v:shape id="PowerPlusWaterMarkObject1406298552" o:spid="_x0000_s4099" o:spt="136" type="#_x0000_t136" style="position:absolute;left:0pt;height:48.45pt;width:581.75pt;mso-position-horizontal:center;mso-position-horizontal-relative:margin;mso-position-vertical:center;mso-position-vertical-relative:margin;rotation:20643840f;z-index:-251654144;mso-width-relative:page;mso-height-relative:page;" fillcolor="#C0C0C0" filled="t" stroked="f" coordsize="21600,21600" o:allowincell="f">
          <v:path/>
          <v:fill on="t" opacity="32768f" focussize="0,0"/>
          <v:stroke on="f"/>
          <v:imagedata o:title=""/>
          <o:lock v:ext="edit"/>
          <v:textpath on="t" fitshape="t" fitpath="t" trim="f" xscale="f" string="绍兴平准招标代理有限公司" style="font-family:宋体;font-size:1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4F1402"/>
    <w:multiLevelType w:val="singleLevel"/>
    <w:tmpl w:val="F64F1402"/>
    <w:lvl w:ilvl="0" w:tentative="0">
      <w:start w:val="2"/>
      <w:numFmt w:val="chineseCounting"/>
      <w:suff w:val="nothing"/>
      <w:lvlText w:val="%1、"/>
      <w:lvlJc w:val="left"/>
      <w:rPr>
        <w:rFonts w:hint="eastAsia"/>
      </w:rPr>
    </w:lvl>
  </w:abstractNum>
  <w:abstractNum w:abstractNumId="1">
    <w:nsid w:val="009B6D4D"/>
    <w:multiLevelType w:val="multilevel"/>
    <w:tmpl w:val="009B6D4D"/>
    <w:lvl w:ilvl="0" w:tentative="0">
      <w:start w:val="1"/>
      <w:numFmt w:val="bullet"/>
      <w:pStyle w:val="24"/>
      <w:lvlText w:val=""/>
      <w:lvlJc w:val="left"/>
      <w:pPr>
        <w:tabs>
          <w:tab w:val="left" w:pos="780"/>
        </w:tabs>
        <w:ind w:left="780" w:hanging="420"/>
      </w:pPr>
      <w:rPr>
        <w:rFonts w:hint="default" w:ascii="Wingdings" w:hAnsi="Wingdings"/>
      </w:rPr>
    </w:lvl>
    <w:lvl w:ilvl="1" w:tentative="0">
      <w:start w:val="1"/>
      <w:numFmt w:val="bullet"/>
      <w:lvlText w:val=""/>
      <w:lvlJc w:val="left"/>
      <w:pPr>
        <w:tabs>
          <w:tab w:val="left" w:pos="1200"/>
        </w:tabs>
        <w:ind w:left="1200" w:hanging="420"/>
      </w:pPr>
      <w:rPr>
        <w:rFonts w:hint="default" w:ascii="Wingdings" w:hAnsi="Wingdings"/>
      </w:rPr>
    </w:lvl>
    <w:lvl w:ilvl="2" w:tentative="0">
      <w:start w:val="1"/>
      <w:numFmt w:val="lowerRoman"/>
      <w:lvlText w:val="%3."/>
      <w:lvlJc w:val="right"/>
      <w:pPr>
        <w:tabs>
          <w:tab w:val="left" w:pos="1620"/>
        </w:tabs>
        <w:ind w:left="1620" w:hanging="420"/>
      </w:pPr>
      <w:rPr>
        <w:rFonts w:cs="Times New Roman"/>
      </w:rPr>
    </w:lvl>
    <w:lvl w:ilvl="3" w:tentative="0">
      <w:start w:val="1"/>
      <w:numFmt w:val="decimal"/>
      <w:pStyle w:val="334"/>
      <w:lvlText w:val="%4."/>
      <w:lvlJc w:val="left"/>
      <w:pPr>
        <w:tabs>
          <w:tab w:val="left" w:pos="2040"/>
        </w:tabs>
        <w:ind w:left="2040" w:hanging="420"/>
      </w:pPr>
      <w:rPr>
        <w:rFonts w:cs="Times New Roman"/>
      </w:rPr>
    </w:lvl>
    <w:lvl w:ilvl="4" w:tentative="0">
      <w:start w:val="1"/>
      <w:numFmt w:val="lowerLetter"/>
      <w:lvlText w:val="%5)"/>
      <w:lvlJc w:val="left"/>
      <w:pPr>
        <w:tabs>
          <w:tab w:val="left" w:pos="2460"/>
        </w:tabs>
        <w:ind w:left="2460" w:hanging="420"/>
      </w:pPr>
      <w:rPr>
        <w:rFonts w:cs="Times New Roman"/>
      </w:rPr>
    </w:lvl>
    <w:lvl w:ilvl="5" w:tentative="0">
      <w:start w:val="1"/>
      <w:numFmt w:val="lowerRoman"/>
      <w:lvlText w:val="%6."/>
      <w:lvlJc w:val="right"/>
      <w:pPr>
        <w:tabs>
          <w:tab w:val="left" w:pos="2880"/>
        </w:tabs>
        <w:ind w:left="2880" w:hanging="420"/>
      </w:pPr>
      <w:rPr>
        <w:rFonts w:cs="Times New Roman"/>
      </w:rPr>
    </w:lvl>
    <w:lvl w:ilvl="6" w:tentative="0">
      <w:start w:val="1"/>
      <w:numFmt w:val="decimal"/>
      <w:lvlText w:val="%7."/>
      <w:lvlJc w:val="left"/>
      <w:pPr>
        <w:tabs>
          <w:tab w:val="left" w:pos="3300"/>
        </w:tabs>
        <w:ind w:left="3300" w:hanging="420"/>
      </w:pPr>
      <w:rPr>
        <w:rFonts w:cs="Times New Roman"/>
      </w:rPr>
    </w:lvl>
    <w:lvl w:ilvl="7" w:tentative="0">
      <w:start w:val="1"/>
      <w:numFmt w:val="lowerLetter"/>
      <w:lvlText w:val="%8)"/>
      <w:lvlJc w:val="left"/>
      <w:pPr>
        <w:tabs>
          <w:tab w:val="left" w:pos="3720"/>
        </w:tabs>
        <w:ind w:left="3720" w:hanging="420"/>
      </w:pPr>
      <w:rPr>
        <w:rFonts w:cs="Times New Roman"/>
      </w:rPr>
    </w:lvl>
    <w:lvl w:ilvl="8" w:tentative="0">
      <w:start w:val="1"/>
      <w:numFmt w:val="lowerRoman"/>
      <w:lvlText w:val="%9."/>
      <w:lvlJc w:val="right"/>
      <w:pPr>
        <w:tabs>
          <w:tab w:val="left" w:pos="4140"/>
        </w:tabs>
        <w:ind w:left="4140" w:hanging="420"/>
      </w:pPr>
      <w:rPr>
        <w:rFonts w:cs="Times New Roman"/>
      </w:rPr>
    </w:lvl>
  </w:abstractNum>
  <w:abstractNum w:abstractNumId="2">
    <w:nsid w:val="0140280B"/>
    <w:multiLevelType w:val="multilevel"/>
    <w:tmpl w:val="0140280B"/>
    <w:lvl w:ilvl="0" w:tentative="0">
      <w:start w:val="1"/>
      <w:numFmt w:val="bullet"/>
      <w:lvlText w:val=""/>
      <w:lvlJc w:val="left"/>
      <w:pPr>
        <w:tabs>
          <w:tab w:val="left" w:pos="1260"/>
        </w:tabs>
        <w:ind w:left="1260" w:hanging="420"/>
      </w:pPr>
      <w:rPr>
        <w:rFonts w:hint="default" w:ascii="Wingdings" w:hAnsi="Wingdings"/>
      </w:rPr>
    </w:lvl>
    <w:lvl w:ilvl="1" w:tentative="0">
      <w:start w:val="1"/>
      <w:numFmt w:val="bullet"/>
      <w:pStyle w:val="453"/>
      <w:lvlText w:val=""/>
      <w:lvlJc w:val="left"/>
      <w:pPr>
        <w:tabs>
          <w:tab w:val="left" w:pos="1680"/>
        </w:tabs>
        <w:ind w:left="1680" w:hanging="420"/>
      </w:pPr>
      <w:rPr>
        <w:rFonts w:hint="default" w:ascii="Wingdings" w:hAnsi="Wingdings"/>
        <w:color w:val="000000"/>
      </w:rPr>
    </w:lvl>
    <w:lvl w:ilvl="2" w:tentative="0">
      <w:start w:val="1"/>
      <w:numFmt w:val="lowerRoman"/>
      <w:lvlText w:val="%3."/>
      <w:lvlJc w:val="right"/>
      <w:pPr>
        <w:ind w:left="2100" w:hanging="420"/>
      </w:pPr>
      <w:rPr>
        <w:rFonts w:cs="Times New Roman"/>
      </w:rPr>
    </w:lvl>
    <w:lvl w:ilvl="3" w:tentative="0">
      <w:start w:val="1"/>
      <w:numFmt w:val="decimal"/>
      <w:lvlText w:val="%4."/>
      <w:lvlJc w:val="left"/>
      <w:pPr>
        <w:ind w:left="2520" w:hanging="420"/>
      </w:pPr>
      <w:rPr>
        <w:rFonts w:cs="Times New Roman"/>
      </w:rPr>
    </w:lvl>
    <w:lvl w:ilvl="4" w:tentative="0">
      <w:start w:val="1"/>
      <w:numFmt w:val="lowerLetter"/>
      <w:lvlText w:val="%5)"/>
      <w:lvlJc w:val="left"/>
      <w:pPr>
        <w:ind w:left="2940" w:hanging="420"/>
      </w:pPr>
      <w:rPr>
        <w:rFonts w:cs="Times New Roman"/>
      </w:rPr>
    </w:lvl>
    <w:lvl w:ilvl="5" w:tentative="0">
      <w:start w:val="1"/>
      <w:numFmt w:val="lowerRoman"/>
      <w:lvlText w:val="%6."/>
      <w:lvlJc w:val="right"/>
      <w:pPr>
        <w:ind w:left="3360" w:hanging="420"/>
      </w:pPr>
      <w:rPr>
        <w:rFonts w:cs="Times New Roman"/>
      </w:rPr>
    </w:lvl>
    <w:lvl w:ilvl="6" w:tentative="0">
      <w:start w:val="1"/>
      <w:numFmt w:val="decimal"/>
      <w:lvlText w:val="%7."/>
      <w:lvlJc w:val="left"/>
      <w:pPr>
        <w:ind w:left="3780" w:hanging="420"/>
      </w:pPr>
      <w:rPr>
        <w:rFonts w:cs="Times New Roman"/>
      </w:rPr>
    </w:lvl>
    <w:lvl w:ilvl="7" w:tentative="0">
      <w:start w:val="1"/>
      <w:numFmt w:val="lowerLetter"/>
      <w:lvlText w:val="%8)"/>
      <w:lvlJc w:val="left"/>
      <w:pPr>
        <w:ind w:left="4200" w:hanging="420"/>
      </w:pPr>
      <w:rPr>
        <w:rFonts w:cs="Times New Roman"/>
      </w:rPr>
    </w:lvl>
    <w:lvl w:ilvl="8" w:tentative="0">
      <w:start w:val="1"/>
      <w:numFmt w:val="lowerRoman"/>
      <w:lvlText w:val="%9."/>
      <w:lvlJc w:val="right"/>
      <w:pPr>
        <w:ind w:left="4620" w:hanging="420"/>
      </w:pPr>
      <w:rPr>
        <w:rFonts w:cs="Times New Roman"/>
      </w:rPr>
    </w:lvl>
  </w:abstractNum>
  <w:abstractNum w:abstractNumId="3">
    <w:nsid w:val="01EE354D"/>
    <w:multiLevelType w:val="multilevel"/>
    <w:tmpl w:val="01EE354D"/>
    <w:lvl w:ilvl="0" w:tentative="0">
      <w:start w:val="1"/>
      <w:numFmt w:val="decimal"/>
      <w:pStyle w:val="456"/>
      <w:lvlText w:val="%1."/>
      <w:lvlJc w:val="left"/>
      <w:pPr>
        <w:ind w:left="420" w:hanging="420"/>
      </w:pPr>
      <w:rPr>
        <w:rFonts w:hint="eastAsia" w:cs="Times New Roman"/>
      </w:rPr>
    </w:lvl>
    <w:lvl w:ilvl="1" w:tentative="0">
      <w:start w:val="1"/>
      <w:numFmt w:val="lowerLetter"/>
      <w:pStyle w:val="455"/>
      <w:lvlText w:val="%2."/>
      <w:lvlJc w:val="left"/>
      <w:pPr>
        <w:ind w:left="840" w:hanging="420"/>
      </w:pPr>
      <w:rPr>
        <w:rFonts w:hint="eastAsia" w:cs="Times New Roman"/>
      </w:rPr>
    </w:lvl>
    <w:lvl w:ilvl="2" w:tentative="0">
      <w:start w:val="1"/>
      <w:numFmt w:val="lowerRoman"/>
      <w:lvlText w:val="%3."/>
      <w:lvlJc w:val="right"/>
      <w:pPr>
        <w:ind w:left="1260" w:hanging="420"/>
      </w:pPr>
      <w:rPr>
        <w:rFonts w:hint="eastAsia" w:cs="Times New Roman"/>
      </w:rPr>
    </w:lvl>
    <w:lvl w:ilvl="3" w:tentative="0">
      <w:start w:val="1"/>
      <w:numFmt w:val="decimal"/>
      <w:lvlText w:val="%4."/>
      <w:lvlJc w:val="left"/>
      <w:pPr>
        <w:ind w:left="1680" w:hanging="420"/>
      </w:pPr>
      <w:rPr>
        <w:rFonts w:hint="eastAsia" w:cs="Times New Roman"/>
      </w:rPr>
    </w:lvl>
    <w:lvl w:ilvl="4" w:tentative="0">
      <w:start w:val="1"/>
      <w:numFmt w:val="lowerLetter"/>
      <w:lvlText w:val="%5)"/>
      <w:lvlJc w:val="left"/>
      <w:pPr>
        <w:ind w:left="2100" w:hanging="420"/>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4">
    <w:nsid w:val="18A777E8"/>
    <w:multiLevelType w:val="multilevel"/>
    <w:tmpl w:val="18A777E8"/>
    <w:lvl w:ilvl="0" w:tentative="0">
      <w:start w:val="1"/>
      <w:numFmt w:val="decimal"/>
      <w:pStyle w:val="35"/>
      <w:suff w:val="nothing"/>
      <w:lvlText w:val="%1."/>
      <w:lvlJc w:val="left"/>
      <w:rPr>
        <w:rFonts w:hint="eastAsia" w:cs="Times New Roman"/>
        <w:b/>
        <w:i w:val="0"/>
        <w:sz w:val="32"/>
        <w:szCs w:val="32"/>
      </w:rPr>
    </w:lvl>
    <w:lvl w:ilvl="1" w:tentative="0">
      <w:start w:val="0"/>
      <w:numFmt w:val="decimal"/>
      <w:pStyle w:val="517"/>
      <w:suff w:val="nothing"/>
      <w:lvlText w:val="%1.%2."/>
      <w:lvlJc w:val="left"/>
      <w:pPr>
        <w:ind w:left="380" w:hanging="380"/>
      </w:pPr>
      <w:rPr>
        <w:rFonts w:hint="eastAsia" w:cs="Times New Roman"/>
        <w:b/>
        <w:i w:val="0"/>
        <w:sz w:val="28"/>
        <w:szCs w:val="28"/>
      </w:rPr>
    </w:lvl>
    <w:lvl w:ilvl="2" w:tentative="0">
      <w:start w:val="1"/>
      <w:numFmt w:val="decimal"/>
      <w:pStyle w:val="358"/>
      <w:suff w:val="nothing"/>
      <w:lvlText w:val="%1.%2.%3."/>
      <w:lvlJc w:val="left"/>
      <w:rPr>
        <w:rFonts w:hint="eastAsia" w:cs="Times New Roman"/>
        <w:b/>
        <w:i w:val="0"/>
        <w:sz w:val="24"/>
        <w:szCs w:val="24"/>
      </w:rPr>
    </w:lvl>
    <w:lvl w:ilvl="3" w:tentative="0">
      <w:start w:val="1"/>
      <w:numFmt w:val="decimal"/>
      <w:pStyle w:val="316"/>
      <w:suff w:val="nothing"/>
      <w:lvlText w:val="%1.%2.%3.%4."/>
      <w:lvlJc w:val="left"/>
      <w:rPr>
        <w:rFonts w:hint="eastAsia" w:cs="Times New Roman"/>
        <w:b/>
        <w:i w:val="0"/>
        <w:sz w:val="21"/>
        <w:szCs w:val="21"/>
      </w:rPr>
    </w:lvl>
    <w:lvl w:ilvl="4" w:tentative="0">
      <w:start w:val="1"/>
      <w:numFmt w:val="decimal"/>
      <w:lvlText w:val="%1.%2.%3.%4.%5."/>
      <w:lvlJc w:val="left"/>
      <w:pPr>
        <w:tabs>
          <w:tab w:val="left" w:pos="9067"/>
        </w:tabs>
        <w:ind w:left="9067" w:hanging="992"/>
      </w:pPr>
      <w:rPr>
        <w:rFonts w:hint="eastAsia" w:cs="Times New Roman"/>
      </w:rPr>
    </w:lvl>
    <w:lvl w:ilvl="5" w:tentative="0">
      <w:start w:val="1"/>
      <w:numFmt w:val="decimal"/>
      <w:lvlText w:val="%1.%2.%3.%4.%5.%6."/>
      <w:lvlJc w:val="left"/>
      <w:pPr>
        <w:tabs>
          <w:tab w:val="left" w:pos="9209"/>
        </w:tabs>
        <w:ind w:left="9209" w:hanging="1134"/>
      </w:pPr>
      <w:rPr>
        <w:rFonts w:hint="eastAsia" w:cs="Times New Roman"/>
      </w:rPr>
    </w:lvl>
    <w:lvl w:ilvl="6" w:tentative="0">
      <w:start w:val="1"/>
      <w:numFmt w:val="decimal"/>
      <w:lvlText w:val="%1.%2.%3.%4.%5.%6.%7."/>
      <w:lvlJc w:val="left"/>
      <w:pPr>
        <w:tabs>
          <w:tab w:val="left" w:pos="9351"/>
        </w:tabs>
        <w:ind w:left="9351" w:hanging="1276"/>
      </w:pPr>
      <w:rPr>
        <w:rFonts w:hint="eastAsia" w:cs="Times New Roman"/>
      </w:rPr>
    </w:lvl>
    <w:lvl w:ilvl="7" w:tentative="0">
      <w:start w:val="1"/>
      <w:numFmt w:val="decimal"/>
      <w:lvlText w:val="%1.%2.%3.%4.%5.%6.%7.%8."/>
      <w:lvlJc w:val="left"/>
      <w:pPr>
        <w:tabs>
          <w:tab w:val="left" w:pos="9493"/>
        </w:tabs>
        <w:ind w:left="9493" w:hanging="1418"/>
      </w:pPr>
      <w:rPr>
        <w:rFonts w:hint="eastAsia" w:cs="Times New Roman"/>
      </w:rPr>
    </w:lvl>
    <w:lvl w:ilvl="8" w:tentative="0">
      <w:start w:val="1"/>
      <w:numFmt w:val="decimal"/>
      <w:lvlText w:val="%1.%2.%3.%4.%5.%6.%7.%8.%9."/>
      <w:lvlJc w:val="left"/>
      <w:pPr>
        <w:tabs>
          <w:tab w:val="left" w:pos="9634"/>
        </w:tabs>
        <w:ind w:left="9634" w:hanging="1559"/>
      </w:pPr>
      <w:rPr>
        <w:rFonts w:hint="eastAsia" w:cs="Times New Roman"/>
      </w:rPr>
    </w:lvl>
  </w:abstractNum>
  <w:abstractNum w:abstractNumId="5">
    <w:nsid w:val="1B9E447F"/>
    <w:multiLevelType w:val="multilevel"/>
    <w:tmpl w:val="1B9E447F"/>
    <w:lvl w:ilvl="0" w:tentative="0">
      <w:start w:val="1"/>
      <w:numFmt w:val="bullet"/>
      <w:pStyle w:val="329"/>
      <w:lvlText w:val=""/>
      <w:lvlJc w:val="left"/>
      <w:pPr>
        <w:tabs>
          <w:tab w:val="left" w:pos="482"/>
        </w:tabs>
        <w:ind w:left="482" w:hanging="482"/>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20DB3338"/>
    <w:multiLevelType w:val="multilevel"/>
    <w:tmpl w:val="20DB3338"/>
    <w:lvl w:ilvl="0" w:tentative="0">
      <w:start w:val="4"/>
      <w:numFmt w:val="decimal"/>
      <w:lvlText w:val="%1．"/>
      <w:lvlJc w:val="left"/>
      <w:pPr>
        <w:tabs>
          <w:tab w:val="left" w:pos="360"/>
        </w:tabs>
        <w:ind w:left="360" w:hanging="360"/>
      </w:pPr>
      <w:rPr>
        <w:rFonts w:hint="eastAsia" w:cs="Times New Roman"/>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cs="Times New Roman"/>
      </w:rPr>
    </w:lvl>
    <w:lvl w:ilvl="4" w:tentative="0">
      <w:start w:val="1"/>
      <w:numFmt w:val="decimal"/>
      <w:pStyle w:val="394"/>
      <w:lvlText w:val="%5．"/>
      <w:lvlJc w:val="left"/>
      <w:pPr>
        <w:tabs>
          <w:tab w:val="left" w:pos="2040"/>
        </w:tabs>
        <w:ind w:left="2040" w:hanging="360"/>
      </w:pPr>
      <w:rPr>
        <w:rFonts w:hint="eastAsia"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7">
    <w:nsid w:val="237E4D61"/>
    <w:multiLevelType w:val="multilevel"/>
    <w:tmpl w:val="237E4D61"/>
    <w:lvl w:ilvl="0" w:tentative="0">
      <w:start w:val="1"/>
      <w:numFmt w:val="japaneseCounting"/>
      <w:lvlText w:val="第%1章"/>
      <w:lvlJc w:val="left"/>
      <w:pPr>
        <w:ind w:left="300" w:hanging="420"/>
      </w:pPr>
      <w:rPr>
        <w:rFonts w:hint="eastAsia" w:ascii="黑体" w:eastAsia="黑体" w:cs="Times New Roman"/>
        <w:b w:val="0"/>
        <w:sz w:val="36"/>
      </w:rPr>
    </w:lvl>
    <w:lvl w:ilvl="1" w:tentative="0">
      <w:start w:val="1"/>
      <w:numFmt w:val="decimal"/>
      <w:pStyle w:val="415"/>
      <w:isLgl/>
      <w:lvlText w:val="%1.%2"/>
      <w:lvlJc w:val="left"/>
      <w:pPr>
        <w:tabs>
          <w:tab w:val="left" w:pos="851"/>
        </w:tabs>
      </w:pPr>
      <w:rPr>
        <w:rFonts w:cs="Times New Roman"/>
      </w:rPr>
    </w:lvl>
    <w:lvl w:ilvl="2" w:tentative="0">
      <w:start w:val="1"/>
      <w:numFmt w:val="decimal"/>
      <w:pStyle w:val="409"/>
      <w:isLgl/>
      <w:lvlText w:val="%1.%2.%3"/>
      <w:lvlJc w:val="left"/>
      <w:pPr>
        <w:tabs>
          <w:tab w:val="left" w:pos="851"/>
        </w:tabs>
      </w:pPr>
      <w:rPr>
        <w:rFonts w:cs="Times New Roman"/>
        <w:color w:val="000000"/>
      </w:rPr>
    </w:lvl>
    <w:lvl w:ilvl="3" w:tentative="0">
      <w:start w:val="1"/>
      <w:numFmt w:val="decimal"/>
      <w:isLgl/>
      <w:lvlText w:val="%1.%2.%3.%4"/>
      <w:lvlJc w:val="left"/>
      <w:pPr>
        <w:tabs>
          <w:tab w:val="left" w:pos="1134"/>
        </w:tabs>
      </w:pPr>
      <w:rPr>
        <w:rFonts w:hint="eastAsia" w:cs="Times New Roman"/>
      </w:rPr>
    </w:lvl>
    <w:lvl w:ilvl="4" w:tentative="0">
      <w:start w:val="1"/>
      <w:numFmt w:val="decimal"/>
      <w:lvlText w:val="%1.%2.%3.%4.%5"/>
      <w:lvlJc w:val="left"/>
      <w:pPr>
        <w:tabs>
          <w:tab w:val="left" w:pos="4850"/>
        </w:tabs>
        <w:ind w:left="4620" w:hanging="850"/>
      </w:pPr>
      <w:rPr>
        <w:rFonts w:hint="eastAsia" w:cs="Times New Roman"/>
      </w:rPr>
    </w:lvl>
    <w:lvl w:ilvl="5" w:tentative="0">
      <w:start w:val="1"/>
      <w:numFmt w:val="decimal"/>
      <w:lvlText w:val="%1.%2.%3.%4.%5.%6"/>
      <w:lvlJc w:val="left"/>
      <w:pPr>
        <w:tabs>
          <w:tab w:val="left" w:pos="5635"/>
        </w:tabs>
        <w:ind w:left="5329" w:hanging="1134"/>
      </w:pPr>
      <w:rPr>
        <w:rFonts w:hint="eastAsia" w:cs="Times New Roman"/>
      </w:rPr>
    </w:lvl>
    <w:lvl w:ilvl="6" w:tentative="0">
      <w:start w:val="1"/>
      <w:numFmt w:val="decimal"/>
      <w:lvlText w:val="%1.%2.%3.%4.%5.%6.%7"/>
      <w:lvlJc w:val="left"/>
      <w:pPr>
        <w:tabs>
          <w:tab w:val="left" w:pos="6420"/>
        </w:tabs>
        <w:ind w:left="5896" w:hanging="1276"/>
      </w:pPr>
      <w:rPr>
        <w:rFonts w:hint="eastAsia" w:cs="Times New Roman"/>
      </w:rPr>
    </w:lvl>
    <w:lvl w:ilvl="7" w:tentative="0">
      <w:start w:val="1"/>
      <w:numFmt w:val="decimal"/>
      <w:lvlText w:val="%1.%2.%3.%4.%5.%6.%7.%8"/>
      <w:lvlJc w:val="left"/>
      <w:pPr>
        <w:tabs>
          <w:tab w:val="left" w:pos="6845"/>
        </w:tabs>
        <w:ind w:left="6463" w:hanging="1418"/>
      </w:pPr>
      <w:rPr>
        <w:rFonts w:hint="eastAsia" w:cs="Times New Roman"/>
      </w:rPr>
    </w:lvl>
    <w:lvl w:ilvl="8" w:tentative="0">
      <w:start w:val="1"/>
      <w:numFmt w:val="decimal"/>
      <w:lvlText w:val="%1.%2.%3.%4.%5.%6.%7.%8.%9"/>
      <w:lvlJc w:val="left"/>
      <w:pPr>
        <w:tabs>
          <w:tab w:val="left" w:pos="7631"/>
        </w:tabs>
        <w:ind w:left="7171" w:hanging="1700"/>
      </w:pPr>
      <w:rPr>
        <w:rFonts w:hint="eastAsia" w:cs="Times New Roman"/>
      </w:rPr>
    </w:lvl>
  </w:abstractNum>
  <w:abstractNum w:abstractNumId="8">
    <w:nsid w:val="2AD5A3BC"/>
    <w:multiLevelType w:val="singleLevel"/>
    <w:tmpl w:val="2AD5A3BC"/>
    <w:lvl w:ilvl="0" w:tentative="0">
      <w:start w:val="1"/>
      <w:numFmt w:val="ideographTraditional"/>
      <w:suff w:val="nothing"/>
      <w:lvlText w:val="%1、"/>
      <w:lvlJc w:val="left"/>
      <w:rPr>
        <w:rFonts w:hint="eastAsia"/>
      </w:rPr>
    </w:lvl>
  </w:abstractNum>
  <w:abstractNum w:abstractNumId="9">
    <w:nsid w:val="35B05358"/>
    <w:multiLevelType w:val="multilevel"/>
    <w:tmpl w:val="35B05358"/>
    <w:lvl w:ilvl="0" w:tentative="0">
      <w:start w:val="1"/>
      <w:numFmt w:val="bullet"/>
      <w:pStyle w:val="228"/>
      <w:lvlText w:val=""/>
      <w:lvlJc w:val="left"/>
      <w:pPr>
        <w:tabs>
          <w:tab w:val="left" w:pos="420"/>
        </w:tabs>
        <w:ind w:left="420" w:hanging="420"/>
      </w:pPr>
      <w:rPr>
        <w:rFonts w:hint="default" w:ascii="Wingdings" w:hAnsi="Wingdings"/>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10">
    <w:nsid w:val="36E406B1"/>
    <w:multiLevelType w:val="multilevel"/>
    <w:tmpl w:val="36E406B1"/>
    <w:lvl w:ilvl="0" w:tentative="0">
      <w:start w:val="1"/>
      <w:numFmt w:val="bullet"/>
      <w:pStyle w:val="431"/>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pStyle w:val="68"/>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1">
    <w:nsid w:val="3CFD7D5B"/>
    <w:multiLevelType w:val="multilevel"/>
    <w:tmpl w:val="3CFD7D5B"/>
    <w:lvl w:ilvl="0" w:tentative="0">
      <w:start w:val="1"/>
      <w:numFmt w:val="chineseCountingThousand"/>
      <w:pStyle w:val="205"/>
      <w:lvlText w:val="(%1)"/>
      <w:lvlJc w:val="left"/>
      <w:pPr>
        <w:ind w:left="980" w:hanging="420"/>
      </w:pPr>
      <w:rPr>
        <w:rFonts w:cs="Times New Roman"/>
      </w:rPr>
    </w:lvl>
    <w:lvl w:ilvl="1" w:tentative="0">
      <w:start w:val="1"/>
      <w:numFmt w:val="lowerLetter"/>
      <w:lvlText w:val="%2)"/>
      <w:lvlJc w:val="left"/>
      <w:pPr>
        <w:ind w:left="1400" w:hanging="420"/>
      </w:pPr>
      <w:rPr>
        <w:rFonts w:cs="Times New Roman"/>
      </w:rPr>
    </w:lvl>
    <w:lvl w:ilvl="2" w:tentative="0">
      <w:start w:val="1"/>
      <w:numFmt w:val="lowerRoman"/>
      <w:lvlText w:val="%3."/>
      <w:lvlJc w:val="right"/>
      <w:pPr>
        <w:ind w:left="1820" w:hanging="420"/>
      </w:pPr>
      <w:rPr>
        <w:rFonts w:cs="Times New Roman"/>
      </w:rPr>
    </w:lvl>
    <w:lvl w:ilvl="3" w:tentative="0">
      <w:start w:val="1"/>
      <w:numFmt w:val="decimal"/>
      <w:lvlText w:val="%4."/>
      <w:lvlJc w:val="left"/>
      <w:pPr>
        <w:ind w:left="2240" w:hanging="420"/>
      </w:pPr>
      <w:rPr>
        <w:rFonts w:cs="Times New Roman"/>
      </w:rPr>
    </w:lvl>
    <w:lvl w:ilvl="4" w:tentative="0">
      <w:start w:val="1"/>
      <w:numFmt w:val="lowerLetter"/>
      <w:lvlText w:val="%5)"/>
      <w:lvlJc w:val="left"/>
      <w:pPr>
        <w:ind w:left="2660" w:hanging="420"/>
      </w:pPr>
      <w:rPr>
        <w:rFonts w:cs="Times New Roman"/>
      </w:rPr>
    </w:lvl>
    <w:lvl w:ilvl="5" w:tentative="0">
      <w:start w:val="1"/>
      <w:numFmt w:val="lowerRoman"/>
      <w:lvlText w:val="%6."/>
      <w:lvlJc w:val="right"/>
      <w:pPr>
        <w:ind w:left="3080" w:hanging="420"/>
      </w:pPr>
      <w:rPr>
        <w:rFonts w:cs="Times New Roman"/>
      </w:rPr>
    </w:lvl>
    <w:lvl w:ilvl="6" w:tentative="0">
      <w:start w:val="1"/>
      <w:numFmt w:val="decimal"/>
      <w:lvlText w:val="%7."/>
      <w:lvlJc w:val="left"/>
      <w:pPr>
        <w:ind w:left="3500" w:hanging="420"/>
      </w:pPr>
      <w:rPr>
        <w:rFonts w:cs="Times New Roman"/>
      </w:rPr>
    </w:lvl>
    <w:lvl w:ilvl="7" w:tentative="0">
      <w:start w:val="1"/>
      <w:numFmt w:val="lowerLetter"/>
      <w:lvlText w:val="%8)"/>
      <w:lvlJc w:val="left"/>
      <w:pPr>
        <w:ind w:left="3920" w:hanging="420"/>
      </w:pPr>
      <w:rPr>
        <w:rFonts w:cs="Times New Roman"/>
      </w:rPr>
    </w:lvl>
    <w:lvl w:ilvl="8" w:tentative="0">
      <w:start w:val="1"/>
      <w:numFmt w:val="lowerRoman"/>
      <w:lvlText w:val="%9."/>
      <w:lvlJc w:val="right"/>
      <w:pPr>
        <w:ind w:left="4340" w:hanging="420"/>
      </w:pPr>
      <w:rPr>
        <w:rFonts w:cs="Times New Roman"/>
      </w:rPr>
    </w:lvl>
  </w:abstractNum>
  <w:abstractNum w:abstractNumId="12">
    <w:nsid w:val="4AF31D51"/>
    <w:multiLevelType w:val="multilevel"/>
    <w:tmpl w:val="4AF31D51"/>
    <w:lvl w:ilvl="0" w:tentative="0">
      <w:start w:val="1"/>
      <w:numFmt w:val="bullet"/>
      <w:pStyle w:val="439"/>
      <w:lvlText w:val=""/>
      <w:lvlJc w:val="left"/>
      <w:pPr>
        <w:tabs>
          <w:tab w:val="left" w:pos="987"/>
        </w:tabs>
        <w:ind w:left="987" w:hanging="420"/>
      </w:pPr>
      <w:rPr>
        <w:rFonts w:hint="default" w:ascii="Wingdings" w:hAnsi="Wingdings"/>
      </w:rPr>
    </w:lvl>
    <w:lvl w:ilvl="1" w:tentative="0">
      <w:start w:val="1"/>
      <w:numFmt w:val="bullet"/>
      <w:lvlText w:val=""/>
      <w:lvlJc w:val="left"/>
      <w:pPr>
        <w:tabs>
          <w:tab w:val="left" w:pos="1407"/>
        </w:tabs>
        <w:ind w:left="1407" w:hanging="420"/>
      </w:pPr>
      <w:rPr>
        <w:rFonts w:hint="default" w:ascii="Wingdings" w:hAnsi="Wingdings"/>
      </w:rPr>
    </w:lvl>
    <w:lvl w:ilvl="2" w:tentative="0">
      <w:start w:val="1"/>
      <w:numFmt w:val="bullet"/>
      <w:lvlText w:val=""/>
      <w:lvlJc w:val="left"/>
      <w:pPr>
        <w:tabs>
          <w:tab w:val="left" w:pos="1827"/>
        </w:tabs>
        <w:ind w:left="1827" w:hanging="420"/>
      </w:pPr>
      <w:rPr>
        <w:rFonts w:hint="default" w:ascii="Wingdings" w:hAnsi="Wingdings"/>
      </w:rPr>
    </w:lvl>
    <w:lvl w:ilvl="3" w:tentative="0">
      <w:start w:val="1"/>
      <w:numFmt w:val="bullet"/>
      <w:lvlText w:val=""/>
      <w:lvlJc w:val="left"/>
      <w:pPr>
        <w:tabs>
          <w:tab w:val="left" w:pos="2247"/>
        </w:tabs>
        <w:ind w:left="2247" w:hanging="420"/>
      </w:pPr>
      <w:rPr>
        <w:rFonts w:hint="default" w:ascii="Wingdings" w:hAnsi="Wingdings"/>
      </w:rPr>
    </w:lvl>
    <w:lvl w:ilvl="4" w:tentative="0">
      <w:start w:val="1"/>
      <w:numFmt w:val="bullet"/>
      <w:lvlText w:val=""/>
      <w:lvlJc w:val="left"/>
      <w:pPr>
        <w:tabs>
          <w:tab w:val="left" w:pos="2667"/>
        </w:tabs>
        <w:ind w:left="2667" w:hanging="420"/>
      </w:pPr>
      <w:rPr>
        <w:rFonts w:hint="default" w:ascii="Wingdings" w:hAnsi="Wingdings"/>
      </w:rPr>
    </w:lvl>
    <w:lvl w:ilvl="5" w:tentative="0">
      <w:start w:val="1"/>
      <w:numFmt w:val="bullet"/>
      <w:lvlText w:val=""/>
      <w:lvlJc w:val="left"/>
      <w:pPr>
        <w:tabs>
          <w:tab w:val="left" w:pos="3087"/>
        </w:tabs>
        <w:ind w:left="3087" w:hanging="420"/>
      </w:pPr>
      <w:rPr>
        <w:rFonts w:hint="default" w:ascii="Wingdings" w:hAnsi="Wingdings"/>
      </w:rPr>
    </w:lvl>
    <w:lvl w:ilvl="6" w:tentative="0">
      <w:start w:val="1"/>
      <w:numFmt w:val="bullet"/>
      <w:lvlText w:val=""/>
      <w:lvlJc w:val="left"/>
      <w:pPr>
        <w:tabs>
          <w:tab w:val="left" w:pos="3507"/>
        </w:tabs>
        <w:ind w:left="3507" w:hanging="420"/>
      </w:pPr>
      <w:rPr>
        <w:rFonts w:hint="default" w:ascii="Wingdings" w:hAnsi="Wingdings"/>
      </w:rPr>
    </w:lvl>
    <w:lvl w:ilvl="7" w:tentative="0">
      <w:start w:val="1"/>
      <w:numFmt w:val="bullet"/>
      <w:lvlText w:val=""/>
      <w:lvlJc w:val="left"/>
      <w:pPr>
        <w:tabs>
          <w:tab w:val="left" w:pos="3927"/>
        </w:tabs>
        <w:ind w:left="3927" w:hanging="420"/>
      </w:pPr>
      <w:rPr>
        <w:rFonts w:hint="default" w:ascii="Wingdings" w:hAnsi="Wingdings"/>
      </w:rPr>
    </w:lvl>
    <w:lvl w:ilvl="8" w:tentative="0">
      <w:start w:val="1"/>
      <w:numFmt w:val="bullet"/>
      <w:lvlText w:val=""/>
      <w:lvlJc w:val="left"/>
      <w:pPr>
        <w:tabs>
          <w:tab w:val="left" w:pos="4347"/>
        </w:tabs>
        <w:ind w:left="4347" w:hanging="420"/>
      </w:pPr>
      <w:rPr>
        <w:rFonts w:hint="default" w:ascii="Wingdings" w:hAnsi="Wingdings"/>
      </w:rPr>
    </w:lvl>
  </w:abstractNum>
  <w:abstractNum w:abstractNumId="13">
    <w:nsid w:val="4B9D13A2"/>
    <w:multiLevelType w:val="multilevel"/>
    <w:tmpl w:val="4B9D13A2"/>
    <w:lvl w:ilvl="0" w:tentative="0">
      <w:start w:val="1"/>
      <w:numFmt w:val="bullet"/>
      <w:pStyle w:val="31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4E7107F0"/>
    <w:multiLevelType w:val="multilevel"/>
    <w:tmpl w:val="4E7107F0"/>
    <w:lvl w:ilvl="0" w:tentative="0">
      <w:start w:val="1"/>
      <w:numFmt w:val="bullet"/>
      <w:pStyle w:val="171"/>
      <w:lvlText w:val=""/>
      <w:lvlJc w:val="left"/>
      <w:pPr>
        <w:tabs>
          <w:tab w:val="left" w:pos="520"/>
        </w:tabs>
        <w:ind w:left="520" w:hanging="420"/>
      </w:pPr>
      <w:rPr>
        <w:rFonts w:hint="default" w:ascii="Wingdings" w:hAnsi="Wingdings"/>
      </w:rPr>
    </w:lvl>
    <w:lvl w:ilvl="1" w:tentative="0">
      <w:start w:val="1"/>
      <w:numFmt w:val="decimal"/>
      <w:suff w:val="nothing"/>
      <w:lvlText w:val="%2.%1 "/>
      <w:lvlJc w:val="left"/>
      <w:pPr>
        <w:ind w:left="420"/>
      </w:pPr>
      <w:rPr>
        <w:rFonts w:hint="eastAsia" w:cs="Times New Roman"/>
      </w:rPr>
    </w:lvl>
    <w:lvl w:ilvl="2" w:tentative="0">
      <w:start w:val="1"/>
      <w:numFmt w:val="decimal"/>
      <w:suff w:val="nothing"/>
      <w:lvlText w:val="%1.%2.%3 "/>
      <w:lvlJc w:val="left"/>
      <w:pPr>
        <w:ind w:left="420"/>
      </w:pPr>
      <w:rPr>
        <w:rFonts w:hint="eastAsia" w:cs="Times New Roman"/>
      </w:rPr>
    </w:lvl>
    <w:lvl w:ilvl="3" w:tentative="0">
      <w:start w:val="1"/>
      <w:numFmt w:val="decimal"/>
      <w:suff w:val="nothing"/>
      <w:lvlText w:val="%1.%2.%3.%4 "/>
      <w:lvlJc w:val="left"/>
      <w:pPr>
        <w:ind w:left="420"/>
      </w:pPr>
      <w:rPr>
        <w:rFonts w:hint="eastAsia" w:cs="Times New Roman"/>
      </w:rPr>
    </w:lvl>
    <w:lvl w:ilvl="4" w:tentative="0">
      <w:start w:val="1"/>
      <w:numFmt w:val="decimal"/>
      <w:suff w:val="nothing"/>
      <w:lvlText w:val="%1.%2.%3.%4.%5 "/>
      <w:lvlJc w:val="left"/>
      <w:pPr>
        <w:ind w:left="420"/>
      </w:pPr>
      <w:rPr>
        <w:rFonts w:hint="eastAsia" w:cs="Times New Roman"/>
      </w:rPr>
    </w:lvl>
    <w:lvl w:ilvl="5" w:tentative="0">
      <w:start w:val="1"/>
      <w:numFmt w:val="decimal"/>
      <w:suff w:val="nothing"/>
      <w:lvlText w:val="%1.%2.%3.%4.%5.%6 "/>
      <w:lvlJc w:val="left"/>
      <w:pPr>
        <w:ind w:left="420"/>
      </w:pPr>
      <w:rPr>
        <w:rFonts w:hint="eastAsia" w:cs="Times New Roman"/>
      </w:rPr>
    </w:lvl>
    <w:lvl w:ilvl="6" w:tentative="0">
      <w:start w:val="1"/>
      <w:numFmt w:val="decimal"/>
      <w:suff w:val="nothing"/>
      <w:lvlText w:val="%7."/>
      <w:lvlJc w:val="left"/>
      <w:pPr>
        <w:ind w:left="420"/>
      </w:pPr>
      <w:rPr>
        <w:rFonts w:hint="eastAsia" w:cs="Times New Roman"/>
      </w:rPr>
    </w:lvl>
    <w:lvl w:ilvl="7" w:tentative="0">
      <w:start w:val="1"/>
      <w:numFmt w:val="none"/>
      <w:suff w:val="nothing"/>
      <w:lvlText w:val=""/>
      <w:lvlJc w:val="left"/>
      <w:pPr>
        <w:ind w:left="420"/>
      </w:pPr>
      <w:rPr>
        <w:rFonts w:hint="eastAsia" w:cs="Times New Roman"/>
      </w:rPr>
    </w:lvl>
    <w:lvl w:ilvl="8" w:tentative="0">
      <w:start w:val="1"/>
      <w:numFmt w:val="none"/>
      <w:suff w:val="nothing"/>
      <w:lvlText w:val=""/>
      <w:lvlJc w:val="left"/>
      <w:pPr>
        <w:ind w:left="420"/>
      </w:pPr>
      <w:rPr>
        <w:rFonts w:hint="eastAsia" w:cs="Times New Roman"/>
      </w:rPr>
    </w:lvl>
  </w:abstractNum>
  <w:abstractNum w:abstractNumId="15">
    <w:nsid w:val="54267737"/>
    <w:multiLevelType w:val="multilevel"/>
    <w:tmpl w:val="54267737"/>
    <w:lvl w:ilvl="0" w:tentative="0">
      <w:start w:val="1"/>
      <w:numFmt w:val="bullet"/>
      <w:pStyle w:val="520"/>
      <w:lvlText w:val=""/>
      <w:lvlJc w:val="left"/>
      <w:pPr>
        <w:tabs>
          <w:tab w:val="left" w:pos="397"/>
        </w:tabs>
        <w:ind w:left="397" w:hanging="397"/>
      </w:pPr>
      <w:rPr>
        <w:rFonts w:hint="default" w:ascii="Wingdings" w:hAnsi="Wingdings"/>
        <w:sz w:val="15"/>
      </w:rPr>
    </w:lvl>
    <w:lvl w:ilvl="1" w:tentative="0">
      <w:start w:val="1"/>
      <w:numFmt w:val="bullet"/>
      <w:lvlText w:val=""/>
      <w:lvlJc w:val="left"/>
      <w:pPr>
        <w:tabs>
          <w:tab w:val="left" w:pos="-2846"/>
        </w:tabs>
        <w:ind w:left="-2846" w:hanging="420"/>
      </w:pPr>
      <w:rPr>
        <w:rFonts w:hint="default" w:ascii="Wingdings" w:hAnsi="Wingdings"/>
      </w:rPr>
    </w:lvl>
    <w:lvl w:ilvl="2" w:tentative="0">
      <w:start w:val="1"/>
      <w:numFmt w:val="bullet"/>
      <w:lvlText w:val=""/>
      <w:lvlJc w:val="left"/>
      <w:pPr>
        <w:tabs>
          <w:tab w:val="left" w:pos="-2426"/>
        </w:tabs>
        <w:ind w:left="-2426" w:hanging="420"/>
      </w:pPr>
      <w:rPr>
        <w:rFonts w:hint="default" w:ascii="Wingdings" w:hAnsi="Wingdings"/>
      </w:rPr>
    </w:lvl>
    <w:lvl w:ilvl="3" w:tentative="0">
      <w:start w:val="1"/>
      <w:numFmt w:val="bullet"/>
      <w:lvlText w:val=""/>
      <w:lvlJc w:val="left"/>
      <w:pPr>
        <w:tabs>
          <w:tab w:val="left" w:pos="-2006"/>
        </w:tabs>
        <w:ind w:left="-2006" w:hanging="420"/>
      </w:pPr>
      <w:rPr>
        <w:rFonts w:hint="default" w:ascii="Wingdings" w:hAnsi="Wingdings"/>
      </w:rPr>
    </w:lvl>
    <w:lvl w:ilvl="4" w:tentative="0">
      <w:start w:val="1"/>
      <w:numFmt w:val="bullet"/>
      <w:lvlText w:val=""/>
      <w:lvlJc w:val="left"/>
      <w:pPr>
        <w:tabs>
          <w:tab w:val="left" w:pos="-1586"/>
        </w:tabs>
        <w:ind w:left="-1586" w:hanging="420"/>
      </w:pPr>
      <w:rPr>
        <w:rFonts w:hint="default" w:ascii="Wingdings" w:hAnsi="Wingdings"/>
      </w:rPr>
    </w:lvl>
    <w:lvl w:ilvl="5" w:tentative="0">
      <w:start w:val="1"/>
      <w:numFmt w:val="bullet"/>
      <w:lvlText w:val=""/>
      <w:lvlJc w:val="left"/>
      <w:pPr>
        <w:tabs>
          <w:tab w:val="left" w:pos="-1166"/>
        </w:tabs>
        <w:ind w:left="-1166" w:hanging="420"/>
      </w:pPr>
      <w:rPr>
        <w:rFonts w:hint="default" w:ascii="Wingdings" w:hAnsi="Wingdings"/>
      </w:rPr>
    </w:lvl>
    <w:lvl w:ilvl="6" w:tentative="0">
      <w:start w:val="1"/>
      <w:numFmt w:val="bullet"/>
      <w:lvlText w:val=""/>
      <w:lvlJc w:val="left"/>
      <w:pPr>
        <w:tabs>
          <w:tab w:val="left" w:pos="-746"/>
        </w:tabs>
        <w:ind w:left="-746" w:hanging="420"/>
      </w:pPr>
      <w:rPr>
        <w:rFonts w:hint="default" w:ascii="Wingdings" w:hAnsi="Wingdings"/>
      </w:rPr>
    </w:lvl>
    <w:lvl w:ilvl="7" w:tentative="0">
      <w:start w:val="1"/>
      <w:numFmt w:val="bullet"/>
      <w:lvlText w:val=""/>
      <w:lvlJc w:val="left"/>
      <w:pPr>
        <w:tabs>
          <w:tab w:val="left" w:pos="-326"/>
        </w:tabs>
        <w:ind w:left="-326" w:hanging="420"/>
      </w:pPr>
      <w:rPr>
        <w:rFonts w:hint="default" w:ascii="Wingdings" w:hAnsi="Wingdings"/>
      </w:rPr>
    </w:lvl>
    <w:lvl w:ilvl="8" w:tentative="0">
      <w:start w:val="1"/>
      <w:numFmt w:val="bullet"/>
      <w:lvlText w:val=""/>
      <w:lvlJc w:val="left"/>
      <w:pPr>
        <w:tabs>
          <w:tab w:val="left" w:pos="94"/>
        </w:tabs>
        <w:ind w:left="94" w:hanging="420"/>
      </w:pPr>
      <w:rPr>
        <w:rFonts w:hint="default" w:ascii="Wingdings" w:hAnsi="Wingdings"/>
      </w:rPr>
    </w:lvl>
  </w:abstractNum>
  <w:abstractNum w:abstractNumId="16">
    <w:nsid w:val="56C87F2F"/>
    <w:multiLevelType w:val="multilevel"/>
    <w:tmpl w:val="56C87F2F"/>
    <w:lvl w:ilvl="0" w:tentative="0">
      <w:start w:val="1"/>
      <w:numFmt w:val="decimal"/>
      <w:lvlText w:val="第 %1 部分."/>
      <w:lvlJc w:val="left"/>
      <w:pPr>
        <w:ind w:left="425" w:hanging="425"/>
      </w:pPr>
      <w:rPr>
        <w:rFonts w:hint="eastAsia" w:cs="Times New Roman"/>
      </w:rPr>
    </w:lvl>
    <w:lvl w:ilvl="1" w:tentative="0">
      <w:start w:val="1"/>
      <w:numFmt w:val="decimal"/>
      <w:lvlText w:val="%1.%2"/>
      <w:lvlJc w:val="left"/>
      <w:pPr>
        <w:ind w:left="992" w:hanging="567"/>
      </w:pPr>
      <w:rPr>
        <w:rFonts w:cs="Times New Roman"/>
      </w:rPr>
    </w:lvl>
    <w:lvl w:ilvl="2" w:tentative="0">
      <w:start w:val="1"/>
      <w:numFmt w:val="decimal"/>
      <w:lvlText w:val="%1.%2.%3"/>
      <w:lvlJc w:val="left"/>
      <w:pPr>
        <w:ind w:left="1418" w:hanging="567"/>
      </w:pPr>
      <w:rPr>
        <w:rFonts w:cs="Times New Roman"/>
      </w:rPr>
    </w:lvl>
    <w:lvl w:ilvl="3" w:tentative="0">
      <w:start w:val="1"/>
      <w:numFmt w:val="decimal"/>
      <w:lvlText w:val="%1.%2.%3.%4"/>
      <w:lvlJc w:val="left"/>
      <w:pPr>
        <w:ind w:left="1984" w:hanging="708"/>
      </w:pPr>
      <w:rPr>
        <w:rFonts w:cs="Times New Roman"/>
      </w:rPr>
    </w:lvl>
    <w:lvl w:ilvl="4" w:tentative="0">
      <w:start w:val="1"/>
      <w:numFmt w:val="decimal"/>
      <w:pStyle w:val="320"/>
      <w:lvlText w:val="%1.%2.%3.%4.%5"/>
      <w:lvlJc w:val="left"/>
      <w:pPr>
        <w:ind w:left="1984" w:hanging="850"/>
      </w:pPr>
      <w:rPr>
        <w:rFonts w:cs="Times New Roman"/>
      </w:rPr>
    </w:lvl>
    <w:lvl w:ilvl="5" w:tentative="0">
      <w:start w:val="1"/>
      <w:numFmt w:val="decimal"/>
      <w:lvlText w:val="%1.%2.%3.%4.%5.%6"/>
      <w:lvlJc w:val="left"/>
      <w:pPr>
        <w:ind w:left="2694" w:hanging="1134"/>
      </w:pPr>
      <w:rPr>
        <w:rFonts w:cs="Times New Roman"/>
      </w:rPr>
    </w:lvl>
    <w:lvl w:ilvl="6" w:tentative="0">
      <w:start w:val="1"/>
      <w:numFmt w:val="decimal"/>
      <w:lvlText w:val="%1.%2.%3.%4.%5.%6.%7"/>
      <w:lvlJc w:val="left"/>
      <w:pPr>
        <w:ind w:left="3827" w:hanging="1276"/>
      </w:pPr>
      <w:rPr>
        <w:rFonts w:cs="Times New Roman"/>
      </w:rPr>
    </w:lvl>
    <w:lvl w:ilvl="7" w:tentative="0">
      <w:start w:val="1"/>
      <w:numFmt w:val="decimal"/>
      <w:lvlText w:val="%1.%2.%3.%4.%5.%6.%7.%8"/>
      <w:lvlJc w:val="left"/>
      <w:pPr>
        <w:ind w:left="4394" w:hanging="1418"/>
      </w:pPr>
      <w:rPr>
        <w:rFonts w:cs="Times New Roman"/>
      </w:rPr>
    </w:lvl>
    <w:lvl w:ilvl="8" w:tentative="0">
      <w:start w:val="1"/>
      <w:numFmt w:val="decimal"/>
      <w:lvlText w:val="%1.%2.%3.%4.%5.%6.%7.%8.%9"/>
      <w:lvlJc w:val="left"/>
      <w:pPr>
        <w:ind w:left="5102" w:hanging="1700"/>
      </w:pPr>
      <w:rPr>
        <w:rFonts w:cs="Times New Roman"/>
      </w:rPr>
    </w:lvl>
  </w:abstractNum>
  <w:abstractNum w:abstractNumId="17">
    <w:nsid w:val="58E8074C"/>
    <w:multiLevelType w:val="multilevel"/>
    <w:tmpl w:val="58E8074C"/>
    <w:lvl w:ilvl="0" w:tentative="0">
      <w:start w:val="1"/>
      <w:numFmt w:val="decimal"/>
      <w:pStyle w:val="485"/>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8">
    <w:nsid w:val="67403E98"/>
    <w:multiLevelType w:val="singleLevel"/>
    <w:tmpl w:val="67403E98"/>
    <w:lvl w:ilvl="0" w:tentative="0">
      <w:start w:val="1"/>
      <w:numFmt w:val="bullet"/>
      <w:pStyle w:val="506"/>
      <w:lvlText w:val=""/>
      <w:lvlJc w:val="left"/>
      <w:pPr>
        <w:tabs>
          <w:tab w:val="left" w:pos="360"/>
        </w:tabs>
        <w:ind w:left="360" w:hanging="360"/>
      </w:pPr>
      <w:rPr>
        <w:rFonts w:hint="default" w:ascii="Symbol" w:hAnsi="Symbol"/>
      </w:rPr>
    </w:lvl>
  </w:abstractNum>
  <w:num w:numId="1">
    <w:abstractNumId w:val="1"/>
  </w:num>
  <w:num w:numId="2">
    <w:abstractNumId w:val="4"/>
  </w:num>
  <w:num w:numId="3">
    <w:abstractNumId w:val="10"/>
  </w:num>
  <w:num w:numId="4">
    <w:abstractNumId w:val="14"/>
  </w:num>
  <w:num w:numId="5">
    <w:abstractNumId w:val="11"/>
  </w:num>
  <w:num w:numId="6">
    <w:abstractNumId w:val="9"/>
  </w:num>
  <w:num w:numId="7">
    <w:abstractNumId w:val="13"/>
  </w:num>
  <w:num w:numId="8">
    <w:abstractNumId w:val="16"/>
  </w:num>
  <w:num w:numId="9">
    <w:abstractNumId w:val="5"/>
  </w:num>
  <w:num w:numId="10">
    <w:abstractNumId w:val="6"/>
  </w:num>
  <w:num w:numId="11">
    <w:abstractNumId w:val="7"/>
  </w:num>
  <w:num w:numId="12">
    <w:abstractNumId w:val="12"/>
  </w:num>
  <w:num w:numId="13">
    <w:abstractNumId w:val="2"/>
  </w:num>
  <w:num w:numId="14">
    <w:abstractNumId w:val="3"/>
  </w:num>
  <w:num w:numId="15">
    <w:abstractNumId w:val="17"/>
  </w:num>
  <w:num w:numId="16">
    <w:abstractNumId w:val="18"/>
  </w:num>
  <w:num w:numId="17">
    <w:abstractNumId w:val="15"/>
  </w:num>
  <w:num w:numId="18">
    <w:abstractNumId w:val="0"/>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58F85F340000D7A6" w:val=" "/>
    <w:docVar w:name="590C20C30000B15A" w:val=" "/>
    <w:docVar w:name="59191045000008A8" w:val=" "/>
    <w:docVar w:name="591912F900009B43" w:val=" "/>
    <w:docVar w:name="5919143F00009290" w:val=" "/>
    <w:docVar w:name="commondata" w:val="eyJoZGlkIjoiNTJkYjFkZDQ1YzNhN2FlYmI1YzY3MmE4MjdlZGIyN2MifQ=="/>
  </w:docVars>
  <w:rsids>
    <w:rsidRoot w:val="00172A27"/>
    <w:rsid w:val="000005CC"/>
    <w:rsid w:val="000033FA"/>
    <w:rsid w:val="0000424E"/>
    <w:rsid w:val="00004979"/>
    <w:rsid w:val="00005A13"/>
    <w:rsid w:val="000068E2"/>
    <w:rsid w:val="000078A7"/>
    <w:rsid w:val="000119C1"/>
    <w:rsid w:val="00013896"/>
    <w:rsid w:val="00013DDD"/>
    <w:rsid w:val="00013E2B"/>
    <w:rsid w:val="000157D6"/>
    <w:rsid w:val="00015829"/>
    <w:rsid w:val="00020D0D"/>
    <w:rsid w:val="00023784"/>
    <w:rsid w:val="0002403C"/>
    <w:rsid w:val="000258D1"/>
    <w:rsid w:val="000264CD"/>
    <w:rsid w:val="00036732"/>
    <w:rsid w:val="0003787A"/>
    <w:rsid w:val="0004755F"/>
    <w:rsid w:val="000535A3"/>
    <w:rsid w:val="00053EA6"/>
    <w:rsid w:val="00056A23"/>
    <w:rsid w:val="00061217"/>
    <w:rsid w:val="00066B18"/>
    <w:rsid w:val="000678AC"/>
    <w:rsid w:val="0007254D"/>
    <w:rsid w:val="00072637"/>
    <w:rsid w:val="00073DBC"/>
    <w:rsid w:val="000749E3"/>
    <w:rsid w:val="00076D03"/>
    <w:rsid w:val="00083369"/>
    <w:rsid w:val="00083A63"/>
    <w:rsid w:val="00083BB4"/>
    <w:rsid w:val="00092192"/>
    <w:rsid w:val="00094260"/>
    <w:rsid w:val="000952F8"/>
    <w:rsid w:val="00096E00"/>
    <w:rsid w:val="000A1437"/>
    <w:rsid w:val="000A5205"/>
    <w:rsid w:val="000A58FA"/>
    <w:rsid w:val="000B21AF"/>
    <w:rsid w:val="000B3278"/>
    <w:rsid w:val="000B3850"/>
    <w:rsid w:val="000B403A"/>
    <w:rsid w:val="000B7204"/>
    <w:rsid w:val="000B78B3"/>
    <w:rsid w:val="000C1D57"/>
    <w:rsid w:val="000C4066"/>
    <w:rsid w:val="000C4356"/>
    <w:rsid w:val="000C6AF8"/>
    <w:rsid w:val="000C758D"/>
    <w:rsid w:val="000D0313"/>
    <w:rsid w:val="000D0597"/>
    <w:rsid w:val="000D42CE"/>
    <w:rsid w:val="000D4348"/>
    <w:rsid w:val="000D521A"/>
    <w:rsid w:val="000D67C9"/>
    <w:rsid w:val="000E4797"/>
    <w:rsid w:val="000E7251"/>
    <w:rsid w:val="000F2A8F"/>
    <w:rsid w:val="000F2DCA"/>
    <w:rsid w:val="000F2EC4"/>
    <w:rsid w:val="000F3D85"/>
    <w:rsid w:val="000F4491"/>
    <w:rsid w:val="000F71E1"/>
    <w:rsid w:val="00105970"/>
    <w:rsid w:val="001100D4"/>
    <w:rsid w:val="00111820"/>
    <w:rsid w:val="0011297B"/>
    <w:rsid w:val="00113F5D"/>
    <w:rsid w:val="001146B3"/>
    <w:rsid w:val="001156C1"/>
    <w:rsid w:val="00122D2D"/>
    <w:rsid w:val="001235ED"/>
    <w:rsid w:val="001274DF"/>
    <w:rsid w:val="00130CC2"/>
    <w:rsid w:val="00136275"/>
    <w:rsid w:val="00136CBB"/>
    <w:rsid w:val="0014299D"/>
    <w:rsid w:val="0014510A"/>
    <w:rsid w:val="001462D9"/>
    <w:rsid w:val="00152390"/>
    <w:rsid w:val="001524BF"/>
    <w:rsid w:val="0015258F"/>
    <w:rsid w:val="001551E2"/>
    <w:rsid w:val="00155CC9"/>
    <w:rsid w:val="001560D3"/>
    <w:rsid w:val="001573DB"/>
    <w:rsid w:val="00157A02"/>
    <w:rsid w:val="001614F4"/>
    <w:rsid w:val="00172A27"/>
    <w:rsid w:val="00173665"/>
    <w:rsid w:val="001742AE"/>
    <w:rsid w:val="00181123"/>
    <w:rsid w:val="00184CB3"/>
    <w:rsid w:val="00185821"/>
    <w:rsid w:val="00185E28"/>
    <w:rsid w:val="00186992"/>
    <w:rsid w:val="00193B88"/>
    <w:rsid w:val="00195E24"/>
    <w:rsid w:val="00196A3F"/>
    <w:rsid w:val="001A29E8"/>
    <w:rsid w:val="001A3858"/>
    <w:rsid w:val="001A5ACC"/>
    <w:rsid w:val="001B1CB3"/>
    <w:rsid w:val="001B2370"/>
    <w:rsid w:val="001B415D"/>
    <w:rsid w:val="001B459A"/>
    <w:rsid w:val="001B49FF"/>
    <w:rsid w:val="001C37FE"/>
    <w:rsid w:val="001C4E80"/>
    <w:rsid w:val="001D044D"/>
    <w:rsid w:val="001D4769"/>
    <w:rsid w:val="001D547C"/>
    <w:rsid w:val="001D7CCF"/>
    <w:rsid w:val="001E4F60"/>
    <w:rsid w:val="001E5EF9"/>
    <w:rsid w:val="001F0B36"/>
    <w:rsid w:val="001F2948"/>
    <w:rsid w:val="001F374D"/>
    <w:rsid w:val="001F675B"/>
    <w:rsid w:val="001F7F18"/>
    <w:rsid w:val="00201A45"/>
    <w:rsid w:val="00203238"/>
    <w:rsid w:val="00205962"/>
    <w:rsid w:val="00207D0A"/>
    <w:rsid w:val="0021353F"/>
    <w:rsid w:val="00213795"/>
    <w:rsid w:val="00214F0C"/>
    <w:rsid w:val="00232DD5"/>
    <w:rsid w:val="00234C03"/>
    <w:rsid w:val="002375D8"/>
    <w:rsid w:val="002379B8"/>
    <w:rsid w:val="002401E5"/>
    <w:rsid w:val="00242DA3"/>
    <w:rsid w:val="002456E1"/>
    <w:rsid w:val="0024611F"/>
    <w:rsid w:val="0024624B"/>
    <w:rsid w:val="00246552"/>
    <w:rsid w:val="0024670E"/>
    <w:rsid w:val="00253B0A"/>
    <w:rsid w:val="00257775"/>
    <w:rsid w:val="00262237"/>
    <w:rsid w:val="002747B5"/>
    <w:rsid w:val="00277673"/>
    <w:rsid w:val="00281F77"/>
    <w:rsid w:val="00284781"/>
    <w:rsid w:val="00286658"/>
    <w:rsid w:val="002928B0"/>
    <w:rsid w:val="00292F05"/>
    <w:rsid w:val="0029338D"/>
    <w:rsid w:val="0029503E"/>
    <w:rsid w:val="002A17F0"/>
    <w:rsid w:val="002A4A6E"/>
    <w:rsid w:val="002A6D6B"/>
    <w:rsid w:val="002A76B2"/>
    <w:rsid w:val="002B04F0"/>
    <w:rsid w:val="002B5619"/>
    <w:rsid w:val="002B62B7"/>
    <w:rsid w:val="002B6CAE"/>
    <w:rsid w:val="002C7ED1"/>
    <w:rsid w:val="002D2389"/>
    <w:rsid w:val="002D4572"/>
    <w:rsid w:val="002D720F"/>
    <w:rsid w:val="002E3D07"/>
    <w:rsid w:val="002E3FC8"/>
    <w:rsid w:val="002F00F5"/>
    <w:rsid w:val="002F218B"/>
    <w:rsid w:val="002F5394"/>
    <w:rsid w:val="00300697"/>
    <w:rsid w:val="00303F80"/>
    <w:rsid w:val="00304389"/>
    <w:rsid w:val="0030734D"/>
    <w:rsid w:val="003108BC"/>
    <w:rsid w:val="00311DFA"/>
    <w:rsid w:val="00316C5C"/>
    <w:rsid w:val="00317862"/>
    <w:rsid w:val="0032154C"/>
    <w:rsid w:val="00325974"/>
    <w:rsid w:val="00327403"/>
    <w:rsid w:val="0033287A"/>
    <w:rsid w:val="00335E6B"/>
    <w:rsid w:val="00340B20"/>
    <w:rsid w:val="003456A2"/>
    <w:rsid w:val="0035049A"/>
    <w:rsid w:val="003506E9"/>
    <w:rsid w:val="0035281A"/>
    <w:rsid w:val="003555D5"/>
    <w:rsid w:val="0035649C"/>
    <w:rsid w:val="003607D3"/>
    <w:rsid w:val="00361357"/>
    <w:rsid w:val="00361358"/>
    <w:rsid w:val="0036136A"/>
    <w:rsid w:val="00361F32"/>
    <w:rsid w:val="0037158B"/>
    <w:rsid w:val="0037173A"/>
    <w:rsid w:val="00375882"/>
    <w:rsid w:val="00377114"/>
    <w:rsid w:val="00386275"/>
    <w:rsid w:val="0038661C"/>
    <w:rsid w:val="00386864"/>
    <w:rsid w:val="0039277C"/>
    <w:rsid w:val="00393345"/>
    <w:rsid w:val="00394461"/>
    <w:rsid w:val="0039592D"/>
    <w:rsid w:val="003973C8"/>
    <w:rsid w:val="003A1B4E"/>
    <w:rsid w:val="003A518E"/>
    <w:rsid w:val="003A6561"/>
    <w:rsid w:val="003B46BB"/>
    <w:rsid w:val="003B4A5E"/>
    <w:rsid w:val="003B5D65"/>
    <w:rsid w:val="003C1C53"/>
    <w:rsid w:val="003C2353"/>
    <w:rsid w:val="003C23AA"/>
    <w:rsid w:val="003C2511"/>
    <w:rsid w:val="003C601C"/>
    <w:rsid w:val="003C6F45"/>
    <w:rsid w:val="003D038C"/>
    <w:rsid w:val="003D2EB9"/>
    <w:rsid w:val="003D5471"/>
    <w:rsid w:val="003E1186"/>
    <w:rsid w:val="003E141E"/>
    <w:rsid w:val="003E3A70"/>
    <w:rsid w:val="003F061B"/>
    <w:rsid w:val="003F0FA6"/>
    <w:rsid w:val="003F236A"/>
    <w:rsid w:val="003F30EA"/>
    <w:rsid w:val="003F40C4"/>
    <w:rsid w:val="003F417C"/>
    <w:rsid w:val="003F59E6"/>
    <w:rsid w:val="003F5F68"/>
    <w:rsid w:val="003F6027"/>
    <w:rsid w:val="00401FC5"/>
    <w:rsid w:val="00412032"/>
    <w:rsid w:val="00412A56"/>
    <w:rsid w:val="0042157C"/>
    <w:rsid w:val="00422802"/>
    <w:rsid w:val="0042431D"/>
    <w:rsid w:val="00424B04"/>
    <w:rsid w:val="00424ECB"/>
    <w:rsid w:val="00425D1E"/>
    <w:rsid w:val="00430786"/>
    <w:rsid w:val="00436944"/>
    <w:rsid w:val="004371E9"/>
    <w:rsid w:val="00437B56"/>
    <w:rsid w:val="00443469"/>
    <w:rsid w:val="00444D87"/>
    <w:rsid w:val="00445EEA"/>
    <w:rsid w:val="004477C3"/>
    <w:rsid w:val="00450AE7"/>
    <w:rsid w:val="00451339"/>
    <w:rsid w:val="00452E3D"/>
    <w:rsid w:val="004547B0"/>
    <w:rsid w:val="004569D0"/>
    <w:rsid w:val="00457231"/>
    <w:rsid w:val="00457869"/>
    <w:rsid w:val="00460C5E"/>
    <w:rsid w:val="004724BE"/>
    <w:rsid w:val="004734B7"/>
    <w:rsid w:val="00475770"/>
    <w:rsid w:val="00483CA6"/>
    <w:rsid w:val="004859CD"/>
    <w:rsid w:val="004957A6"/>
    <w:rsid w:val="004A097A"/>
    <w:rsid w:val="004A0B57"/>
    <w:rsid w:val="004A0B7E"/>
    <w:rsid w:val="004A13B1"/>
    <w:rsid w:val="004A2F1F"/>
    <w:rsid w:val="004A3078"/>
    <w:rsid w:val="004A6567"/>
    <w:rsid w:val="004B2370"/>
    <w:rsid w:val="004B4B68"/>
    <w:rsid w:val="004B5706"/>
    <w:rsid w:val="004C4A69"/>
    <w:rsid w:val="004C5B73"/>
    <w:rsid w:val="004C66AD"/>
    <w:rsid w:val="004C7CCE"/>
    <w:rsid w:val="004D1F29"/>
    <w:rsid w:val="004D2207"/>
    <w:rsid w:val="004D657C"/>
    <w:rsid w:val="004D7488"/>
    <w:rsid w:val="004E0B14"/>
    <w:rsid w:val="004E13F1"/>
    <w:rsid w:val="004E36DB"/>
    <w:rsid w:val="004E4077"/>
    <w:rsid w:val="004E5A70"/>
    <w:rsid w:val="004F469F"/>
    <w:rsid w:val="00500E54"/>
    <w:rsid w:val="005019D4"/>
    <w:rsid w:val="005061AD"/>
    <w:rsid w:val="005078F4"/>
    <w:rsid w:val="00507EB7"/>
    <w:rsid w:val="00515D74"/>
    <w:rsid w:val="00520313"/>
    <w:rsid w:val="00521325"/>
    <w:rsid w:val="00523D0C"/>
    <w:rsid w:val="00524368"/>
    <w:rsid w:val="00526AED"/>
    <w:rsid w:val="005277E3"/>
    <w:rsid w:val="00530187"/>
    <w:rsid w:val="00533FDB"/>
    <w:rsid w:val="005366C9"/>
    <w:rsid w:val="0053717F"/>
    <w:rsid w:val="005376D4"/>
    <w:rsid w:val="00540A30"/>
    <w:rsid w:val="00543279"/>
    <w:rsid w:val="0054573C"/>
    <w:rsid w:val="00546767"/>
    <w:rsid w:val="005549D6"/>
    <w:rsid w:val="005553D1"/>
    <w:rsid w:val="00556744"/>
    <w:rsid w:val="0055747C"/>
    <w:rsid w:val="00561877"/>
    <w:rsid w:val="00563018"/>
    <w:rsid w:val="0056408E"/>
    <w:rsid w:val="00571028"/>
    <w:rsid w:val="005723DC"/>
    <w:rsid w:val="0057267B"/>
    <w:rsid w:val="00574EED"/>
    <w:rsid w:val="00581C67"/>
    <w:rsid w:val="005901D9"/>
    <w:rsid w:val="00593FE3"/>
    <w:rsid w:val="005A2F2B"/>
    <w:rsid w:val="005A30A6"/>
    <w:rsid w:val="005A3A62"/>
    <w:rsid w:val="005A4FC4"/>
    <w:rsid w:val="005A6FA0"/>
    <w:rsid w:val="005A7A81"/>
    <w:rsid w:val="005B0927"/>
    <w:rsid w:val="005B537B"/>
    <w:rsid w:val="005C24CE"/>
    <w:rsid w:val="005C3D21"/>
    <w:rsid w:val="005C6982"/>
    <w:rsid w:val="005E53E2"/>
    <w:rsid w:val="005E6A44"/>
    <w:rsid w:val="005F3F6F"/>
    <w:rsid w:val="005F7D38"/>
    <w:rsid w:val="006053F7"/>
    <w:rsid w:val="00605414"/>
    <w:rsid w:val="0061033A"/>
    <w:rsid w:val="00611BEF"/>
    <w:rsid w:val="00611D45"/>
    <w:rsid w:val="006122FE"/>
    <w:rsid w:val="006150A2"/>
    <w:rsid w:val="006258A0"/>
    <w:rsid w:val="0063483C"/>
    <w:rsid w:val="006371DA"/>
    <w:rsid w:val="00640E6E"/>
    <w:rsid w:val="00641BB2"/>
    <w:rsid w:val="00657694"/>
    <w:rsid w:val="00657D2C"/>
    <w:rsid w:val="006608BE"/>
    <w:rsid w:val="00661958"/>
    <w:rsid w:val="00666869"/>
    <w:rsid w:val="00670EE0"/>
    <w:rsid w:val="00676AA2"/>
    <w:rsid w:val="0067783C"/>
    <w:rsid w:val="006816AD"/>
    <w:rsid w:val="006837FA"/>
    <w:rsid w:val="00686D72"/>
    <w:rsid w:val="00691CB7"/>
    <w:rsid w:val="006931FA"/>
    <w:rsid w:val="00693792"/>
    <w:rsid w:val="006A1323"/>
    <w:rsid w:val="006A3181"/>
    <w:rsid w:val="006A4C73"/>
    <w:rsid w:val="006A68C4"/>
    <w:rsid w:val="006A7988"/>
    <w:rsid w:val="006B1EB9"/>
    <w:rsid w:val="006B1F6D"/>
    <w:rsid w:val="006B298A"/>
    <w:rsid w:val="006B6ADE"/>
    <w:rsid w:val="006B7BCE"/>
    <w:rsid w:val="006C30C4"/>
    <w:rsid w:val="006D7134"/>
    <w:rsid w:val="006E18A3"/>
    <w:rsid w:val="006E3966"/>
    <w:rsid w:val="006E5D9A"/>
    <w:rsid w:val="006E5EDF"/>
    <w:rsid w:val="006F44D3"/>
    <w:rsid w:val="007006C6"/>
    <w:rsid w:val="00704588"/>
    <w:rsid w:val="00715002"/>
    <w:rsid w:val="00716EFA"/>
    <w:rsid w:val="007207F2"/>
    <w:rsid w:val="007234C1"/>
    <w:rsid w:val="00723A4B"/>
    <w:rsid w:val="00724FCA"/>
    <w:rsid w:val="00733200"/>
    <w:rsid w:val="00733421"/>
    <w:rsid w:val="0073431A"/>
    <w:rsid w:val="007343BE"/>
    <w:rsid w:val="00736CAD"/>
    <w:rsid w:val="00737404"/>
    <w:rsid w:val="00740DF5"/>
    <w:rsid w:val="00744B8B"/>
    <w:rsid w:val="007462EA"/>
    <w:rsid w:val="00746DBF"/>
    <w:rsid w:val="007470CD"/>
    <w:rsid w:val="00752626"/>
    <w:rsid w:val="00756336"/>
    <w:rsid w:val="00756D57"/>
    <w:rsid w:val="0076462E"/>
    <w:rsid w:val="0077572C"/>
    <w:rsid w:val="00776408"/>
    <w:rsid w:val="00776E4A"/>
    <w:rsid w:val="007770E8"/>
    <w:rsid w:val="007823C2"/>
    <w:rsid w:val="00784700"/>
    <w:rsid w:val="007857D7"/>
    <w:rsid w:val="00790D78"/>
    <w:rsid w:val="00791B55"/>
    <w:rsid w:val="007A06CF"/>
    <w:rsid w:val="007A23C3"/>
    <w:rsid w:val="007A3406"/>
    <w:rsid w:val="007A6217"/>
    <w:rsid w:val="007B440B"/>
    <w:rsid w:val="007B564A"/>
    <w:rsid w:val="007C0D97"/>
    <w:rsid w:val="007C3877"/>
    <w:rsid w:val="007C6A46"/>
    <w:rsid w:val="007C6B62"/>
    <w:rsid w:val="007D1874"/>
    <w:rsid w:val="007D3DE0"/>
    <w:rsid w:val="007D5B50"/>
    <w:rsid w:val="007D5CDF"/>
    <w:rsid w:val="007E3D1B"/>
    <w:rsid w:val="007E4744"/>
    <w:rsid w:val="007E72AB"/>
    <w:rsid w:val="007F5E34"/>
    <w:rsid w:val="00802001"/>
    <w:rsid w:val="00802E33"/>
    <w:rsid w:val="00806390"/>
    <w:rsid w:val="008115D8"/>
    <w:rsid w:val="0081221C"/>
    <w:rsid w:val="00817509"/>
    <w:rsid w:val="008177CF"/>
    <w:rsid w:val="00817C4A"/>
    <w:rsid w:val="00821684"/>
    <w:rsid w:val="00823D59"/>
    <w:rsid w:val="008260EE"/>
    <w:rsid w:val="00831DE5"/>
    <w:rsid w:val="00835E39"/>
    <w:rsid w:val="008363F4"/>
    <w:rsid w:val="0084513D"/>
    <w:rsid w:val="0084745B"/>
    <w:rsid w:val="00852A01"/>
    <w:rsid w:val="0086317C"/>
    <w:rsid w:val="00863A72"/>
    <w:rsid w:val="00863E3B"/>
    <w:rsid w:val="00867F1C"/>
    <w:rsid w:val="00873122"/>
    <w:rsid w:val="0087377B"/>
    <w:rsid w:val="00875887"/>
    <w:rsid w:val="0087645B"/>
    <w:rsid w:val="00891542"/>
    <w:rsid w:val="008919EF"/>
    <w:rsid w:val="00894226"/>
    <w:rsid w:val="00895800"/>
    <w:rsid w:val="00897D01"/>
    <w:rsid w:val="008A3AA2"/>
    <w:rsid w:val="008B0E7D"/>
    <w:rsid w:val="008B2F7C"/>
    <w:rsid w:val="008B393A"/>
    <w:rsid w:val="008B4D12"/>
    <w:rsid w:val="008C01F9"/>
    <w:rsid w:val="008C1CAF"/>
    <w:rsid w:val="008C5739"/>
    <w:rsid w:val="008C5AF8"/>
    <w:rsid w:val="008D0E9D"/>
    <w:rsid w:val="008D34A6"/>
    <w:rsid w:val="008D373F"/>
    <w:rsid w:val="008D42EC"/>
    <w:rsid w:val="008D665A"/>
    <w:rsid w:val="008E2451"/>
    <w:rsid w:val="008E25DF"/>
    <w:rsid w:val="008E79CF"/>
    <w:rsid w:val="009000A6"/>
    <w:rsid w:val="0090219F"/>
    <w:rsid w:val="009045D3"/>
    <w:rsid w:val="009058F6"/>
    <w:rsid w:val="00905E34"/>
    <w:rsid w:val="0090605E"/>
    <w:rsid w:val="009073C7"/>
    <w:rsid w:val="00910CA6"/>
    <w:rsid w:val="009112BF"/>
    <w:rsid w:val="00912ADC"/>
    <w:rsid w:val="00920750"/>
    <w:rsid w:val="00922D2A"/>
    <w:rsid w:val="009241A4"/>
    <w:rsid w:val="00926EB2"/>
    <w:rsid w:val="00926F03"/>
    <w:rsid w:val="00931D37"/>
    <w:rsid w:val="0094091A"/>
    <w:rsid w:val="0094256C"/>
    <w:rsid w:val="0094469F"/>
    <w:rsid w:val="00946E7A"/>
    <w:rsid w:val="0095505B"/>
    <w:rsid w:val="00956E0A"/>
    <w:rsid w:val="00960310"/>
    <w:rsid w:val="00961765"/>
    <w:rsid w:val="0096242C"/>
    <w:rsid w:val="00971488"/>
    <w:rsid w:val="009738F1"/>
    <w:rsid w:val="00976E88"/>
    <w:rsid w:val="00977E48"/>
    <w:rsid w:val="00981422"/>
    <w:rsid w:val="0098181D"/>
    <w:rsid w:val="0098342D"/>
    <w:rsid w:val="009850D3"/>
    <w:rsid w:val="0099085F"/>
    <w:rsid w:val="00993921"/>
    <w:rsid w:val="009950CB"/>
    <w:rsid w:val="00997FEE"/>
    <w:rsid w:val="009A2415"/>
    <w:rsid w:val="009A332D"/>
    <w:rsid w:val="009A5ABC"/>
    <w:rsid w:val="009B1B02"/>
    <w:rsid w:val="009B259B"/>
    <w:rsid w:val="009B296E"/>
    <w:rsid w:val="009B405E"/>
    <w:rsid w:val="009B769B"/>
    <w:rsid w:val="009C0EDD"/>
    <w:rsid w:val="009C275A"/>
    <w:rsid w:val="009C30BA"/>
    <w:rsid w:val="009C4404"/>
    <w:rsid w:val="009C76DE"/>
    <w:rsid w:val="009D0204"/>
    <w:rsid w:val="009D1AFE"/>
    <w:rsid w:val="009D2CF2"/>
    <w:rsid w:val="009D32A9"/>
    <w:rsid w:val="009D4CD5"/>
    <w:rsid w:val="009D64FD"/>
    <w:rsid w:val="009E21C0"/>
    <w:rsid w:val="009E3E58"/>
    <w:rsid w:val="009E6DDD"/>
    <w:rsid w:val="009F12B2"/>
    <w:rsid w:val="009F1C15"/>
    <w:rsid w:val="009F2560"/>
    <w:rsid w:val="009F3F73"/>
    <w:rsid w:val="009F519D"/>
    <w:rsid w:val="009F5827"/>
    <w:rsid w:val="00A034D8"/>
    <w:rsid w:val="00A071DB"/>
    <w:rsid w:val="00A11BD2"/>
    <w:rsid w:val="00A11E7C"/>
    <w:rsid w:val="00A35024"/>
    <w:rsid w:val="00A35174"/>
    <w:rsid w:val="00A355A6"/>
    <w:rsid w:val="00A36A2C"/>
    <w:rsid w:val="00A37864"/>
    <w:rsid w:val="00A37E32"/>
    <w:rsid w:val="00A41947"/>
    <w:rsid w:val="00A4271C"/>
    <w:rsid w:val="00A43B14"/>
    <w:rsid w:val="00A473CD"/>
    <w:rsid w:val="00A509B6"/>
    <w:rsid w:val="00A512ED"/>
    <w:rsid w:val="00A529F5"/>
    <w:rsid w:val="00A5397D"/>
    <w:rsid w:val="00A54FE7"/>
    <w:rsid w:val="00A57930"/>
    <w:rsid w:val="00A57FD8"/>
    <w:rsid w:val="00A63E1F"/>
    <w:rsid w:val="00A65F42"/>
    <w:rsid w:val="00A66131"/>
    <w:rsid w:val="00A70987"/>
    <w:rsid w:val="00A8069A"/>
    <w:rsid w:val="00A844B0"/>
    <w:rsid w:val="00A86980"/>
    <w:rsid w:val="00A9208F"/>
    <w:rsid w:val="00A97132"/>
    <w:rsid w:val="00AA2507"/>
    <w:rsid w:val="00AA2B60"/>
    <w:rsid w:val="00AA2B9D"/>
    <w:rsid w:val="00AA52F8"/>
    <w:rsid w:val="00AA5CD7"/>
    <w:rsid w:val="00AB2015"/>
    <w:rsid w:val="00AB2C4C"/>
    <w:rsid w:val="00AC2312"/>
    <w:rsid w:val="00AC4DDB"/>
    <w:rsid w:val="00AC5990"/>
    <w:rsid w:val="00AC7E91"/>
    <w:rsid w:val="00AD3F78"/>
    <w:rsid w:val="00AE1834"/>
    <w:rsid w:val="00AE51BC"/>
    <w:rsid w:val="00AE76F8"/>
    <w:rsid w:val="00AF67E4"/>
    <w:rsid w:val="00AF72AE"/>
    <w:rsid w:val="00AF7630"/>
    <w:rsid w:val="00B00C10"/>
    <w:rsid w:val="00B01814"/>
    <w:rsid w:val="00B03158"/>
    <w:rsid w:val="00B04A33"/>
    <w:rsid w:val="00B04BA5"/>
    <w:rsid w:val="00B04CB4"/>
    <w:rsid w:val="00B160BB"/>
    <w:rsid w:val="00B165A3"/>
    <w:rsid w:val="00B21018"/>
    <w:rsid w:val="00B212ED"/>
    <w:rsid w:val="00B243C7"/>
    <w:rsid w:val="00B270BB"/>
    <w:rsid w:val="00B27224"/>
    <w:rsid w:val="00B33CF8"/>
    <w:rsid w:val="00B3473F"/>
    <w:rsid w:val="00B35851"/>
    <w:rsid w:val="00B37F40"/>
    <w:rsid w:val="00B37FB4"/>
    <w:rsid w:val="00B411BB"/>
    <w:rsid w:val="00B4272F"/>
    <w:rsid w:val="00B44390"/>
    <w:rsid w:val="00B44F21"/>
    <w:rsid w:val="00B462D3"/>
    <w:rsid w:val="00B46D14"/>
    <w:rsid w:val="00B5265F"/>
    <w:rsid w:val="00B55DD7"/>
    <w:rsid w:val="00B564FF"/>
    <w:rsid w:val="00B61CF3"/>
    <w:rsid w:val="00B62605"/>
    <w:rsid w:val="00B64AA7"/>
    <w:rsid w:val="00B660B3"/>
    <w:rsid w:val="00B7126F"/>
    <w:rsid w:val="00B71F8E"/>
    <w:rsid w:val="00B747F1"/>
    <w:rsid w:val="00B82A88"/>
    <w:rsid w:val="00B93A27"/>
    <w:rsid w:val="00B94329"/>
    <w:rsid w:val="00B971D4"/>
    <w:rsid w:val="00BA1916"/>
    <w:rsid w:val="00BB39A2"/>
    <w:rsid w:val="00BC1567"/>
    <w:rsid w:val="00BC3FF5"/>
    <w:rsid w:val="00BC4522"/>
    <w:rsid w:val="00BC5649"/>
    <w:rsid w:val="00BC58E9"/>
    <w:rsid w:val="00BD28EB"/>
    <w:rsid w:val="00BD2B86"/>
    <w:rsid w:val="00BD363A"/>
    <w:rsid w:val="00BD6025"/>
    <w:rsid w:val="00BD6161"/>
    <w:rsid w:val="00BE029A"/>
    <w:rsid w:val="00BE3CE2"/>
    <w:rsid w:val="00BE65F2"/>
    <w:rsid w:val="00BF02A4"/>
    <w:rsid w:val="00C00A7C"/>
    <w:rsid w:val="00C00AA8"/>
    <w:rsid w:val="00C06AB6"/>
    <w:rsid w:val="00C10A90"/>
    <w:rsid w:val="00C10AE3"/>
    <w:rsid w:val="00C131E3"/>
    <w:rsid w:val="00C16C43"/>
    <w:rsid w:val="00C17FD2"/>
    <w:rsid w:val="00C21D63"/>
    <w:rsid w:val="00C24F3C"/>
    <w:rsid w:val="00C31CD9"/>
    <w:rsid w:val="00C40B95"/>
    <w:rsid w:val="00C51742"/>
    <w:rsid w:val="00C541F1"/>
    <w:rsid w:val="00C5584D"/>
    <w:rsid w:val="00C57A58"/>
    <w:rsid w:val="00C60F3C"/>
    <w:rsid w:val="00C65790"/>
    <w:rsid w:val="00C71C7B"/>
    <w:rsid w:val="00C722B1"/>
    <w:rsid w:val="00C74BC4"/>
    <w:rsid w:val="00C81101"/>
    <w:rsid w:val="00C870AB"/>
    <w:rsid w:val="00C8786D"/>
    <w:rsid w:val="00C939E5"/>
    <w:rsid w:val="00C93FAF"/>
    <w:rsid w:val="00C94249"/>
    <w:rsid w:val="00C9455B"/>
    <w:rsid w:val="00C961E0"/>
    <w:rsid w:val="00C96DB8"/>
    <w:rsid w:val="00C97347"/>
    <w:rsid w:val="00C97860"/>
    <w:rsid w:val="00C97DDF"/>
    <w:rsid w:val="00CA10E6"/>
    <w:rsid w:val="00CA2C55"/>
    <w:rsid w:val="00CA3F85"/>
    <w:rsid w:val="00CA6404"/>
    <w:rsid w:val="00CA652D"/>
    <w:rsid w:val="00CA79D1"/>
    <w:rsid w:val="00CB0808"/>
    <w:rsid w:val="00CB1EF1"/>
    <w:rsid w:val="00CB74E2"/>
    <w:rsid w:val="00CC25AD"/>
    <w:rsid w:val="00CC65F3"/>
    <w:rsid w:val="00CD10D1"/>
    <w:rsid w:val="00CD3DE1"/>
    <w:rsid w:val="00CD445E"/>
    <w:rsid w:val="00CD5367"/>
    <w:rsid w:val="00CD5B2F"/>
    <w:rsid w:val="00CE1ADB"/>
    <w:rsid w:val="00CE24EF"/>
    <w:rsid w:val="00CE46F1"/>
    <w:rsid w:val="00CE54DB"/>
    <w:rsid w:val="00CE6905"/>
    <w:rsid w:val="00CE6B59"/>
    <w:rsid w:val="00CE7720"/>
    <w:rsid w:val="00D017D3"/>
    <w:rsid w:val="00D0216D"/>
    <w:rsid w:val="00D10ACE"/>
    <w:rsid w:val="00D1498C"/>
    <w:rsid w:val="00D14B27"/>
    <w:rsid w:val="00D1664C"/>
    <w:rsid w:val="00D17EB8"/>
    <w:rsid w:val="00D23245"/>
    <w:rsid w:val="00D25072"/>
    <w:rsid w:val="00D279E9"/>
    <w:rsid w:val="00D300B3"/>
    <w:rsid w:val="00D32356"/>
    <w:rsid w:val="00D34D6B"/>
    <w:rsid w:val="00D358BB"/>
    <w:rsid w:val="00D359D5"/>
    <w:rsid w:val="00D36941"/>
    <w:rsid w:val="00D41046"/>
    <w:rsid w:val="00D43685"/>
    <w:rsid w:val="00D439E9"/>
    <w:rsid w:val="00D50784"/>
    <w:rsid w:val="00D55E6C"/>
    <w:rsid w:val="00D62EB8"/>
    <w:rsid w:val="00D652E2"/>
    <w:rsid w:val="00D65CAA"/>
    <w:rsid w:val="00D7130E"/>
    <w:rsid w:val="00D7312C"/>
    <w:rsid w:val="00D75EF6"/>
    <w:rsid w:val="00D81178"/>
    <w:rsid w:val="00D81F31"/>
    <w:rsid w:val="00D86607"/>
    <w:rsid w:val="00D90B89"/>
    <w:rsid w:val="00D956BD"/>
    <w:rsid w:val="00DA1034"/>
    <w:rsid w:val="00DA3BCD"/>
    <w:rsid w:val="00DA5D62"/>
    <w:rsid w:val="00DA733B"/>
    <w:rsid w:val="00DA7697"/>
    <w:rsid w:val="00DA7F4A"/>
    <w:rsid w:val="00DB0AA3"/>
    <w:rsid w:val="00DB1B35"/>
    <w:rsid w:val="00DB3F8D"/>
    <w:rsid w:val="00DB42B5"/>
    <w:rsid w:val="00DB5C74"/>
    <w:rsid w:val="00DB5E13"/>
    <w:rsid w:val="00DB6740"/>
    <w:rsid w:val="00DB686B"/>
    <w:rsid w:val="00DC19CB"/>
    <w:rsid w:val="00DC2DD7"/>
    <w:rsid w:val="00DC2DE3"/>
    <w:rsid w:val="00DC7050"/>
    <w:rsid w:val="00DC7B53"/>
    <w:rsid w:val="00DD053D"/>
    <w:rsid w:val="00DD2488"/>
    <w:rsid w:val="00DD6692"/>
    <w:rsid w:val="00DD6D27"/>
    <w:rsid w:val="00DE0677"/>
    <w:rsid w:val="00DE3353"/>
    <w:rsid w:val="00DE37C6"/>
    <w:rsid w:val="00DE41BA"/>
    <w:rsid w:val="00DF704B"/>
    <w:rsid w:val="00DF713E"/>
    <w:rsid w:val="00E04037"/>
    <w:rsid w:val="00E04A83"/>
    <w:rsid w:val="00E102C3"/>
    <w:rsid w:val="00E26260"/>
    <w:rsid w:val="00E26F21"/>
    <w:rsid w:val="00E329E4"/>
    <w:rsid w:val="00E32E08"/>
    <w:rsid w:val="00E33866"/>
    <w:rsid w:val="00E34140"/>
    <w:rsid w:val="00E36888"/>
    <w:rsid w:val="00E428F6"/>
    <w:rsid w:val="00E44A98"/>
    <w:rsid w:val="00E53048"/>
    <w:rsid w:val="00E55536"/>
    <w:rsid w:val="00E56024"/>
    <w:rsid w:val="00E6104F"/>
    <w:rsid w:val="00E61B4E"/>
    <w:rsid w:val="00E64D65"/>
    <w:rsid w:val="00E65ED3"/>
    <w:rsid w:val="00E70FDE"/>
    <w:rsid w:val="00E7392B"/>
    <w:rsid w:val="00E75EC3"/>
    <w:rsid w:val="00E81385"/>
    <w:rsid w:val="00E82BF4"/>
    <w:rsid w:val="00E84B6E"/>
    <w:rsid w:val="00E9494A"/>
    <w:rsid w:val="00E94B0D"/>
    <w:rsid w:val="00E9716A"/>
    <w:rsid w:val="00E97C7B"/>
    <w:rsid w:val="00EA34CA"/>
    <w:rsid w:val="00EA6FF1"/>
    <w:rsid w:val="00EB3806"/>
    <w:rsid w:val="00EB3BEC"/>
    <w:rsid w:val="00EB4723"/>
    <w:rsid w:val="00EB7CA1"/>
    <w:rsid w:val="00EC4F43"/>
    <w:rsid w:val="00EC53EF"/>
    <w:rsid w:val="00EC5BE2"/>
    <w:rsid w:val="00EC7049"/>
    <w:rsid w:val="00EC7B16"/>
    <w:rsid w:val="00ED1451"/>
    <w:rsid w:val="00ED4AF9"/>
    <w:rsid w:val="00ED7888"/>
    <w:rsid w:val="00EE3D39"/>
    <w:rsid w:val="00EE5784"/>
    <w:rsid w:val="00EE658A"/>
    <w:rsid w:val="00EE7818"/>
    <w:rsid w:val="00EF5A3A"/>
    <w:rsid w:val="00EF5C19"/>
    <w:rsid w:val="00EF6BFF"/>
    <w:rsid w:val="00F015DA"/>
    <w:rsid w:val="00F05BA3"/>
    <w:rsid w:val="00F10D2B"/>
    <w:rsid w:val="00F12423"/>
    <w:rsid w:val="00F16329"/>
    <w:rsid w:val="00F22129"/>
    <w:rsid w:val="00F23242"/>
    <w:rsid w:val="00F27E76"/>
    <w:rsid w:val="00F32518"/>
    <w:rsid w:val="00F3397D"/>
    <w:rsid w:val="00F36B24"/>
    <w:rsid w:val="00F43C0E"/>
    <w:rsid w:val="00F507B0"/>
    <w:rsid w:val="00F50CDF"/>
    <w:rsid w:val="00F510B1"/>
    <w:rsid w:val="00F53639"/>
    <w:rsid w:val="00F53B36"/>
    <w:rsid w:val="00F54C0E"/>
    <w:rsid w:val="00F601DE"/>
    <w:rsid w:val="00F609E1"/>
    <w:rsid w:val="00F6113C"/>
    <w:rsid w:val="00F6122B"/>
    <w:rsid w:val="00F66DE4"/>
    <w:rsid w:val="00F73580"/>
    <w:rsid w:val="00F75522"/>
    <w:rsid w:val="00F77BFC"/>
    <w:rsid w:val="00F820B8"/>
    <w:rsid w:val="00F87670"/>
    <w:rsid w:val="00F91FA3"/>
    <w:rsid w:val="00F9373F"/>
    <w:rsid w:val="00FA0061"/>
    <w:rsid w:val="00FA1AFF"/>
    <w:rsid w:val="00FA3483"/>
    <w:rsid w:val="00FA41B6"/>
    <w:rsid w:val="00FA47BB"/>
    <w:rsid w:val="00FA61D7"/>
    <w:rsid w:val="00FA6B8F"/>
    <w:rsid w:val="00FB1868"/>
    <w:rsid w:val="00FB378E"/>
    <w:rsid w:val="00FB3C3D"/>
    <w:rsid w:val="00FB57F5"/>
    <w:rsid w:val="00FB6155"/>
    <w:rsid w:val="00FB6AF5"/>
    <w:rsid w:val="00FC123D"/>
    <w:rsid w:val="00FC25DD"/>
    <w:rsid w:val="00FC32BA"/>
    <w:rsid w:val="00FC5973"/>
    <w:rsid w:val="00FC6EDC"/>
    <w:rsid w:val="00FD1332"/>
    <w:rsid w:val="00FD158F"/>
    <w:rsid w:val="00FD6673"/>
    <w:rsid w:val="00FE1DC8"/>
    <w:rsid w:val="00FE6FB4"/>
    <w:rsid w:val="00FF6BE8"/>
    <w:rsid w:val="01037E18"/>
    <w:rsid w:val="0116006D"/>
    <w:rsid w:val="011D0CB3"/>
    <w:rsid w:val="01241472"/>
    <w:rsid w:val="013050E5"/>
    <w:rsid w:val="014632E9"/>
    <w:rsid w:val="015068F7"/>
    <w:rsid w:val="0155568E"/>
    <w:rsid w:val="015622C7"/>
    <w:rsid w:val="01675739"/>
    <w:rsid w:val="016A4E0D"/>
    <w:rsid w:val="016E47CF"/>
    <w:rsid w:val="01761761"/>
    <w:rsid w:val="01762404"/>
    <w:rsid w:val="01767C11"/>
    <w:rsid w:val="017936BE"/>
    <w:rsid w:val="017E3ACA"/>
    <w:rsid w:val="01822573"/>
    <w:rsid w:val="01891E78"/>
    <w:rsid w:val="018F2EE2"/>
    <w:rsid w:val="019B3634"/>
    <w:rsid w:val="019D73AC"/>
    <w:rsid w:val="01A6130C"/>
    <w:rsid w:val="01A71FD9"/>
    <w:rsid w:val="01AA27BB"/>
    <w:rsid w:val="01B62DF6"/>
    <w:rsid w:val="01C3301F"/>
    <w:rsid w:val="01D628BE"/>
    <w:rsid w:val="01DF7131"/>
    <w:rsid w:val="01E63AF2"/>
    <w:rsid w:val="02080F1A"/>
    <w:rsid w:val="02137946"/>
    <w:rsid w:val="0216062C"/>
    <w:rsid w:val="02296E92"/>
    <w:rsid w:val="023575E5"/>
    <w:rsid w:val="023B7497"/>
    <w:rsid w:val="02583028"/>
    <w:rsid w:val="025832D1"/>
    <w:rsid w:val="02587777"/>
    <w:rsid w:val="025D6B3C"/>
    <w:rsid w:val="025E2B65"/>
    <w:rsid w:val="02720839"/>
    <w:rsid w:val="027A7E9B"/>
    <w:rsid w:val="02973ED9"/>
    <w:rsid w:val="02B726F0"/>
    <w:rsid w:val="02BC1AB4"/>
    <w:rsid w:val="02BD75DA"/>
    <w:rsid w:val="02C97551"/>
    <w:rsid w:val="02D6132D"/>
    <w:rsid w:val="02DC2EA3"/>
    <w:rsid w:val="02DC4BBC"/>
    <w:rsid w:val="02E92054"/>
    <w:rsid w:val="02F8114F"/>
    <w:rsid w:val="030B7EE1"/>
    <w:rsid w:val="031439CE"/>
    <w:rsid w:val="031B1348"/>
    <w:rsid w:val="0341020B"/>
    <w:rsid w:val="035D3297"/>
    <w:rsid w:val="035E4919"/>
    <w:rsid w:val="037807E5"/>
    <w:rsid w:val="03936CB9"/>
    <w:rsid w:val="03991DF6"/>
    <w:rsid w:val="039E740C"/>
    <w:rsid w:val="03A32C74"/>
    <w:rsid w:val="03AC38D7"/>
    <w:rsid w:val="03B14B52"/>
    <w:rsid w:val="03BC1494"/>
    <w:rsid w:val="03C2134C"/>
    <w:rsid w:val="03DA3B5A"/>
    <w:rsid w:val="03F73714"/>
    <w:rsid w:val="03FF246D"/>
    <w:rsid w:val="04007B1B"/>
    <w:rsid w:val="04024B32"/>
    <w:rsid w:val="042A4837"/>
    <w:rsid w:val="043736E9"/>
    <w:rsid w:val="043B4850"/>
    <w:rsid w:val="043E6615"/>
    <w:rsid w:val="044A32F9"/>
    <w:rsid w:val="044F0706"/>
    <w:rsid w:val="04561A95"/>
    <w:rsid w:val="045E3D4E"/>
    <w:rsid w:val="0475016D"/>
    <w:rsid w:val="047B1618"/>
    <w:rsid w:val="047D0DBD"/>
    <w:rsid w:val="04815300"/>
    <w:rsid w:val="0486237A"/>
    <w:rsid w:val="048C0506"/>
    <w:rsid w:val="048E56D2"/>
    <w:rsid w:val="04947FAB"/>
    <w:rsid w:val="04A3014E"/>
    <w:rsid w:val="04B20928"/>
    <w:rsid w:val="04B25D2D"/>
    <w:rsid w:val="04B862AB"/>
    <w:rsid w:val="04B94763"/>
    <w:rsid w:val="04BA2023"/>
    <w:rsid w:val="04BE637B"/>
    <w:rsid w:val="04C42EA2"/>
    <w:rsid w:val="04C609C8"/>
    <w:rsid w:val="04DB6F5B"/>
    <w:rsid w:val="04EB313F"/>
    <w:rsid w:val="04F76C68"/>
    <w:rsid w:val="05123C0E"/>
    <w:rsid w:val="05145EBC"/>
    <w:rsid w:val="052027CE"/>
    <w:rsid w:val="052D4841"/>
    <w:rsid w:val="053325AF"/>
    <w:rsid w:val="053718C6"/>
    <w:rsid w:val="054364BD"/>
    <w:rsid w:val="054B22F9"/>
    <w:rsid w:val="05663F59"/>
    <w:rsid w:val="05665D07"/>
    <w:rsid w:val="05687CD1"/>
    <w:rsid w:val="057A1222"/>
    <w:rsid w:val="058A3905"/>
    <w:rsid w:val="058A5E9A"/>
    <w:rsid w:val="058D14E6"/>
    <w:rsid w:val="05BD61A9"/>
    <w:rsid w:val="05C018BB"/>
    <w:rsid w:val="05C32BF2"/>
    <w:rsid w:val="05E4636D"/>
    <w:rsid w:val="05E732EC"/>
    <w:rsid w:val="05F216EF"/>
    <w:rsid w:val="05F33BE4"/>
    <w:rsid w:val="064711ED"/>
    <w:rsid w:val="064A1A2E"/>
    <w:rsid w:val="065E2E82"/>
    <w:rsid w:val="06657542"/>
    <w:rsid w:val="06783F44"/>
    <w:rsid w:val="067B3A34"/>
    <w:rsid w:val="067D4177"/>
    <w:rsid w:val="06897EFF"/>
    <w:rsid w:val="0694795A"/>
    <w:rsid w:val="06951857"/>
    <w:rsid w:val="06954AF6"/>
    <w:rsid w:val="069B01E7"/>
    <w:rsid w:val="069B0266"/>
    <w:rsid w:val="06AB0AD0"/>
    <w:rsid w:val="06AB1726"/>
    <w:rsid w:val="06AF0A81"/>
    <w:rsid w:val="06C76C7A"/>
    <w:rsid w:val="06CC4290"/>
    <w:rsid w:val="06CD24E2"/>
    <w:rsid w:val="06D03D80"/>
    <w:rsid w:val="06D557F7"/>
    <w:rsid w:val="06D915CF"/>
    <w:rsid w:val="06DF2215"/>
    <w:rsid w:val="06FB0F66"/>
    <w:rsid w:val="070677A2"/>
    <w:rsid w:val="070928A5"/>
    <w:rsid w:val="072920EB"/>
    <w:rsid w:val="072942FB"/>
    <w:rsid w:val="07296BBF"/>
    <w:rsid w:val="073360BD"/>
    <w:rsid w:val="073C6BA6"/>
    <w:rsid w:val="07465DF0"/>
    <w:rsid w:val="07475049"/>
    <w:rsid w:val="07562AAA"/>
    <w:rsid w:val="075D790F"/>
    <w:rsid w:val="07700DAF"/>
    <w:rsid w:val="07737A80"/>
    <w:rsid w:val="07746E01"/>
    <w:rsid w:val="07841D7B"/>
    <w:rsid w:val="07910ED0"/>
    <w:rsid w:val="07943F49"/>
    <w:rsid w:val="07A6728E"/>
    <w:rsid w:val="07B216D8"/>
    <w:rsid w:val="07CF4038"/>
    <w:rsid w:val="07D17DB0"/>
    <w:rsid w:val="07D57174"/>
    <w:rsid w:val="07E13D6B"/>
    <w:rsid w:val="07F97307"/>
    <w:rsid w:val="07FA443C"/>
    <w:rsid w:val="080812F8"/>
    <w:rsid w:val="08106873"/>
    <w:rsid w:val="08114650"/>
    <w:rsid w:val="08127768"/>
    <w:rsid w:val="08193505"/>
    <w:rsid w:val="082A2324"/>
    <w:rsid w:val="08322233"/>
    <w:rsid w:val="083708A4"/>
    <w:rsid w:val="084C5688"/>
    <w:rsid w:val="084E1401"/>
    <w:rsid w:val="08521FD6"/>
    <w:rsid w:val="08603BB4"/>
    <w:rsid w:val="0862057B"/>
    <w:rsid w:val="08BA411A"/>
    <w:rsid w:val="08C3064F"/>
    <w:rsid w:val="08CC67C9"/>
    <w:rsid w:val="08CD1C72"/>
    <w:rsid w:val="08D71D8F"/>
    <w:rsid w:val="08D87341"/>
    <w:rsid w:val="08E61D7E"/>
    <w:rsid w:val="08FA6E92"/>
    <w:rsid w:val="09096420"/>
    <w:rsid w:val="090A1DDC"/>
    <w:rsid w:val="090E7E37"/>
    <w:rsid w:val="091769A9"/>
    <w:rsid w:val="091C14FF"/>
    <w:rsid w:val="091E067A"/>
    <w:rsid w:val="092D58D3"/>
    <w:rsid w:val="094D16B8"/>
    <w:rsid w:val="09516E01"/>
    <w:rsid w:val="095C7F86"/>
    <w:rsid w:val="09646A02"/>
    <w:rsid w:val="096F3AA9"/>
    <w:rsid w:val="097876E4"/>
    <w:rsid w:val="097B18BB"/>
    <w:rsid w:val="097B5BA0"/>
    <w:rsid w:val="098D72CE"/>
    <w:rsid w:val="098F1CD1"/>
    <w:rsid w:val="09AA05EA"/>
    <w:rsid w:val="09AA7B69"/>
    <w:rsid w:val="09B5725D"/>
    <w:rsid w:val="09BE7B7A"/>
    <w:rsid w:val="09CE601F"/>
    <w:rsid w:val="09D06D5B"/>
    <w:rsid w:val="09DF4FDD"/>
    <w:rsid w:val="09E5588B"/>
    <w:rsid w:val="0A062C9C"/>
    <w:rsid w:val="0A1569FF"/>
    <w:rsid w:val="0A276566"/>
    <w:rsid w:val="0A2F1DA4"/>
    <w:rsid w:val="0A300C8C"/>
    <w:rsid w:val="0A563271"/>
    <w:rsid w:val="0A595E3B"/>
    <w:rsid w:val="0A83110A"/>
    <w:rsid w:val="0A8E7110"/>
    <w:rsid w:val="0A951569"/>
    <w:rsid w:val="0AA25A34"/>
    <w:rsid w:val="0AA713C8"/>
    <w:rsid w:val="0AA73890"/>
    <w:rsid w:val="0AC0410C"/>
    <w:rsid w:val="0ACA32C2"/>
    <w:rsid w:val="0ADA341F"/>
    <w:rsid w:val="0AEB7BD4"/>
    <w:rsid w:val="0AFC15E8"/>
    <w:rsid w:val="0B00275A"/>
    <w:rsid w:val="0B01236D"/>
    <w:rsid w:val="0B0E02DA"/>
    <w:rsid w:val="0B1F35CF"/>
    <w:rsid w:val="0B2B77D7"/>
    <w:rsid w:val="0B3A5C6C"/>
    <w:rsid w:val="0B462863"/>
    <w:rsid w:val="0B492353"/>
    <w:rsid w:val="0B4D4E16"/>
    <w:rsid w:val="0B6E3868"/>
    <w:rsid w:val="0B705BA8"/>
    <w:rsid w:val="0B726E12"/>
    <w:rsid w:val="0B845139"/>
    <w:rsid w:val="0B847CAA"/>
    <w:rsid w:val="0B875433"/>
    <w:rsid w:val="0B9353ED"/>
    <w:rsid w:val="0B992821"/>
    <w:rsid w:val="0BA041A9"/>
    <w:rsid w:val="0BA23811"/>
    <w:rsid w:val="0BAF384C"/>
    <w:rsid w:val="0BBF43C3"/>
    <w:rsid w:val="0BC23C08"/>
    <w:rsid w:val="0BE8199D"/>
    <w:rsid w:val="0BFA5448"/>
    <w:rsid w:val="0C03009E"/>
    <w:rsid w:val="0C0D512F"/>
    <w:rsid w:val="0C146407"/>
    <w:rsid w:val="0C37609C"/>
    <w:rsid w:val="0C3C5C5D"/>
    <w:rsid w:val="0C3D1EB8"/>
    <w:rsid w:val="0C3F0250"/>
    <w:rsid w:val="0C4511BE"/>
    <w:rsid w:val="0C4A6383"/>
    <w:rsid w:val="0C667699"/>
    <w:rsid w:val="0C684A5B"/>
    <w:rsid w:val="0C8A2699"/>
    <w:rsid w:val="0C8F4276"/>
    <w:rsid w:val="0C96600B"/>
    <w:rsid w:val="0C9941A5"/>
    <w:rsid w:val="0CB47CA0"/>
    <w:rsid w:val="0CB63A18"/>
    <w:rsid w:val="0CD64B05"/>
    <w:rsid w:val="0CDF7B15"/>
    <w:rsid w:val="0CE21010"/>
    <w:rsid w:val="0CEB6D41"/>
    <w:rsid w:val="0CEC568C"/>
    <w:rsid w:val="0CEF2A86"/>
    <w:rsid w:val="0CFD33F5"/>
    <w:rsid w:val="0D270472"/>
    <w:rsid w:val="0D2A73CF"/>
    <w:rsid w:val="0D3A4FE8"/>
    <w:rsid w:val="0D4032E2"/>
    <w:rsid w:val="0D444B80"/>
    <w:rsid w:val="0D5B7139"/>
    <w:rsid w:val="0D6846E5"/>
    <w:rsid w:val="0D8260AE"/>
    <w:rsid w:val="0D84048D"/>
    <w:rsid w:val="0D927FE1"/>
    <w:rsid w:val="0D9553DC"/>
    <w:rsid w:val="0DA25DB6"/>
    <w:rsid w:val="0DA43980"/>
    <w:rsid w:val="0DE35F7C"/>
    <w:rsid w:val="0DF73614"/>
    <w:rsid w:val="0E063D4D"/>
    <w:rsid w:val="0E0802A4"/>
    <w:rsid w:val="0E0C1B61"/>
    <w:rsid w:val="0E0D5429"/>
    <w:rsid w:val="0E107158"/>
    <w:rsid w:val="0E171BF1"/>
    <w:rsid w:val="0E29507C"/>
    <w:rsid w:val="0E341099"/>
    <w:rsid w:val="0E710040"/>
    <w:rsid w:val="0E72396F"/>
    <w:rsid w:val="0E7E2502"/>
    <w:rsid w:val="0E9146AB"/>
    <w:rsid w:val="0E963B01"/>
    <w:rsid w:val="0E9F6A2A"/>
    <w:rsid w:val="0EAC7FD9"/>
    <w:rsid w:val="0EB22FDB"/>
    <w:rsid w:val="0EBA78EE"/>
    <w:rsid w:val="0EBB60BA"/>
    <w:rsid w:val="0EC07BC1"/>
    <w:rsid w:val="0ED463D8"/>
    <w:rsid w:val="0EDB1514"/>
    <w:rsid w:val="0EE26D46"/>
    <w:rsid w:val="0EF2100E"/>
    <w:rsid w:val="0F0D7E50"/>
    <w:rsid w:val="0F0F6C83"/>
    <w:rsid w:val="0F1D2692"/>
    <w:rsid w:val="0F296723"/>
    <w:rsid w:val="0F3155D8"/>
    <w:rsid w:val="0F4470B9"/>
    <w:rsid w:val="0F555AB2"/>
    <w:rsid w:val="0F580DB7"/>
    <w:rsid w:val="0F5F1FE1"/>
    <w:rsid w:val="0F707EAE"/>
    <w:rsid w:val="0F803E6A"/>
    <w:rsid w:val="0F89451D"/>
    <w:rsid w:val="0FAE6C29"/>
    <w:rsid w:val="0FB104C7"/>
    <w:rsid w:val="0FC63F72"/>
    <w:rsid w:val="0FD6433E"/>
    <w:rsid w:val="0FD92DF3"/>
    <w:rsid w:val="0FDC2425"/>
    <w:rsid w:val="0FF24D67"/>
    <w:rsid w:val="100A031D"/>
    <w:rsid w:val="101824FC"/>
    <w:rsid w:val="1025513D"/>
    <w:rsid w:val="10262C63"/>
    <w:rsid w:val="103669AD"/>
    <w:rsid w:val="103A6CEC"/>
    <w:rsid w:val="103B52D0"/>
    <w:rsid w:val="103E2DD6"/>
    <w:rsid w:val="104135F9"/>
    <w:rsid w:val="105E23FD"/>
    <w:rsid w:val="106C2202"/>
    <w:rsid w:val="107240FA"/>
    <w:rsid w:val="10724DE1"/>
    <w:rsid w:val="10730868"/>
    <w:rsid w:val="10881C14"/>
    <w:rsid w:val="108E0322"/>
    <w:rsid w:val="10B83505"/>
    <w:rsid w:val="10B87A49"/>
    <w:rsid w:val="10C06C14"/>
    <w:rsid w:val="10C75450"/>
    <w:rsid w:val="10CE52A7"/>
    <w:rsid w:val="10D17073"/>
    <w:rsid w:val="10DB451B"/>
    <w:rsid w:val="10DE7EE9"/>
    <w:rsid w:val="10E27828"/>
    <w:rsid w:val="10ED0710"/>
    <w:rsid w:val="10F11881"/>
    <w:rsid w:val="10F93ED3"/>
    <w:rsid w:val="11020FDA"/>
    <w:rsid w:val="1102627C"/>
    <w:rsid w:val="110878BB"/>
    <w:rsid w:val="11286398"/>
    <w:rsid w:val="112C6057"/>
    <w:rsid w:val="11347003"/>
    <w:rsid w:val="113B273E"/>
    <w:rsid w:val="113D35D8"/>
    <w:rsid w:val="11494E5B"/>
    <w:rsid w:val="114A0BD3"/>
    <w:rsid w:val="11546CC0"/>
    <w:rsid w:val="11576653"/>
    <w:rsid w:val="115A0E16"/>
    <w:rsid w:val="115B21B6"/>
    <w:rsid w:val="115C7EEE"/>
    <w:rsid w:val="11627CCB"/>
    <w:rsid w:val="116A4DD1"/>
    <w:rsid w:val="116E48C1"/>
    <w:rsid w:val="117311CD"/>
    <w:rsid w:val="1194267F"/>
    <w:rsid w:val="119A6178"/>
    <w:rsid w:val="11A36EB9"/>
    <w:rsid w:val="11A71B81"/>
    <w:rsid w:val="11B94024"/>
    <w:rsid w:val="11CF5D1B"/>
    <w:rsid w:val="11D405C6"/>
    <w:rsid w:val="11D81D3B"/>
    <w:rsid w:val="11E22816"/>
    <w:rsid w:val="11FC16D2"/>
    <w:rsid w:val="120324D2"/>
    <w:rsid w:val="12064AFA"/>
    <w:rsid w:val="120C3C28"/>
    <w:rsid w:val="12120CAD"/>
    <w:rsid w:val="121865DB"/>
    <w:rsid w:val="121A555F"/>
    <w:rsid w:val="122945CF"/>
    <w:rsid w:val="12322C52"/>
    <w:rsid w:val="1235718D"/>
    <w:rsid w:val="123A6E81"/>
    <w:rsid w:val="123F07B1"/>
    <w:rsid w:val="12502219"/>
    <w:rsid w:val="125D5EFE"/>
    <w:rsid w:val="12794E92"/>
    <w:rsid w:val="128048CD"/>
    <w:rsid w:val="12863E8D"/>
    <w:rsid w:val="128B537A"/>
    <w:rsid w:val="12A32349"/>
    <w:rsid w:val="12CF123E"/>
    <w:rsid w:val="12DB2D40"/>
    <w:rsid w:val="12E311A5"/>
    <w:rsid w:val="12E82452"/>
    <w:rsid w:val="12EB0C6F"/>
    <w:rsid w:val="12EC1F42"/>
    <w:rsid w:val="12EF778D"/>
    <w:rsid w:val="13252E65"/>
    <w:rsid w:val="1330220D"/>
    <w:rsid w:val="13403EA3"/>
    <w:rsid w:val="13503EBB"/>
    <w:rsid w:val="135C2A8F"/>
    <w:rsid w:val="13624C16"/>
    <w:rsid w:val="13640053"/>
    <w:rsid w:val="136A6AC8"/>
    <w:rsid w:val="13770ECF"/>
    <w:rsid w:val="13882A96"/>
    <w:rsid w:val="139631DC"/>
    <w:rsid w:val="13A60E9D"/>
    <w:rsid w:val="13AC347F"/>
    <w:rsid w:val="13AF05B6"/>
    <w:rsid w:val="13B557B7"/>
    <w:rsid w:val="13C7650B"/>
    <w:rsid w:val="13DA623E"/>
    <w:rsid w:val="13F7338E"/>
    <w:rsid w:val="14060DF8"/>
    <w:rsid w:val="14092680"/>
    <w:rsid w:val="1414488B"/>
    <w:rsid w:val="14162475"/>
    <w:rsid w:val="14186EA9"/>
    <w:rsid w:val="141B4853"/>
    <w:rsid w:val="142C5DFB"/>
    <w:rsid w:val="143C4803"/>
    <w:rsid w:val="14592B4D"/>
    <w:rsid w:val="148B3C04"/>
    <w:rsid w:val="14972381"/>
    <w:rsid w:val="14B940A6"/>
    <w:rsid w:val="14C87926"/>
    <w:rsid w:val="14CA3977"/>
    <w:rsid w:val="14D26F15"/>
    <w:rsid w:val="14FB46BE"/>
    <w:rsid w:val="15086DDB"/>
    <w:rsid w:val="15252A82"/>
    <w:rsid w:val="15256B3C"/>
    <w:rsid w:val="154646C4"/>
    <w:rsid w:val="155C2286"/>
    <w:rsid w:val="156173A0"/>
    <w:rsid w:val="156264EB"/>
    <w:rsid w:val="1571672E"/>
    <w:rsid w:val="15776170"/>
    <w:rsid w:val="157B2BF9"/>
    <w:rsid w:val="158562DB"/>
    <w:rsid w:val="158741A4"/>
    <w:rsid w:val="1598015F"/>
    <w:rsid w:val="15B316B4"/>
    <w:rsid w:val="15BE551A"/>
    <w:rsid w:val="15C210F7"/>
    <w:rsid w:val="15C727F2"/>
    <w:rsid w:val="15D22D02"/>
    <w:rsid w:val="15DF4CE7"/>
    <w:rsid w:val="15E769F0"/>
    <w:rsid w:val="15F76F05"/>
    <w:rsid w:val="16041350"/>
    <w:rsid w:val="16065EC7"/>
    <w:rsid w:val="16092E0B"/>
    <w:rsid w:val="16120664"/>
    <w:rsid w:val="161D2A4D"/>
    <w:rsid w:val="16210154"/>
    <w:rsid w:val="162257DB"/>
    <w:rsid w:val="162771B5"/>
    <w:rsid w:val="162E53C6"/>
    <w:rsid w:val="16337664"/>
    <w:rsid w:val="16494458"/>
    <w:rsid w:val="165D6CB3"/>
    <w:rsid w:val="167724DE"/>
    <w:rsid w:val="167D32BB"/>
    <w:rsid w:val="16885FF3"/>
    <w:rsid w:val="169721C5"/>
    <w:rsid w:val="1698061D"/>
    <w:rsid w:val="16AE07B1"/>
    <w:rsid w:val="16B03286"/>
    <w:rsid w:val="16CD3219"/>
    <w:rsid w:val="16F2389F"/>
    <w:rsid w:val="16F86C23"/>
    <w:rsid w:val="16FB28DE"/>
    <w:rsid w:val="17017F86"/>
    <w:rsid w:val="170F61FF"/>
    <w:rsid w:val="173864ED"/>
    <w:rsid w:val="17406061"/>
    <w:rsid w:val="17451CB8"/>
    <w:rsid w:val="17485BB5"/>
    <w:rsid w:val="174B01E0"/>
    <w:rsid w:val="174C7453"/>
    <w:rsid w:val="174D4F79"/>
    <w:rsid w:val="17600817"/>
    <w:rsid w:val="17697AFD"/>
    <w:rsid w:val="176F32AE"/>
    <w:rsid w:val="1776627E"/>
    <w:rsid w:val="17822AAD"/>
    <w:rsid w:val="17827F34"/>
    <w:rsid w:val="17883CE1"/>
    <w:rsid w:val="1788408B"/>
    <w:rsid w:val="178C5366"/>
    <w:rsid w:val="178F10EE"/>
    <w:rsid w:val="179518BE"/>
    <w:rsid w:val="17A033E5"/>
    <w:rsid w:val="17A72440"/>
    <w:rsid w:val="17AD77C6"/>
    <w:rsid w:val="17BE7C25"/>
    <w:rsid w:val="17C074F9"/>
    <w:rsid w:val="17CA4AB5"/>
    <w:rsid w:val="17CF3BE0"/>
    <w:rsid w:val="17D84962"/>
    <w:rsid w:val="17FF1DBA"/>
    <w:rsid w:val="182018ED"/>
    <w:rsid w:val="182D4F3A"/>
    <w:rsid w:val="18546AB4"/>
    <w:rsid w:val="18574301"/>
    <w:rsid w:val="185A43E9"/>
    <w:rsid w:val="185D720C"/>
    <w:rsid w:val="18607FA0"/>
    <w:rsid w:val="1878051E"/>
    <w:rsid w:val="18784278"/>
    <w:rsid w:val="187C2B11"/>
    <w:rsid w:val="187D363C"/>
    <w:rsid w:val="18822A00"/>
    <w:rsid w:val="188B46AF"/>
    <w:rsid w:val="18932E60"/>
    <w:rsid w:val="189664AC"/>
    <w:rsid w:val="18B61FB1"/>
    <w:rsid w:val="18C159FA"/>
    <w:rsid w:val="18C66D91"/>
    <w:rsid w:val="18D92F68"/>
    <w:rsid w:val="18E72B5B"/>
    <w:rsid w:val="18E92CB2"/>
    <w:rsid w:val="18EE09F2"/>
    <w:rsid w:val="18F319DE"/>
    <w:rsid w:val="18F50E27"/>
    <w:rsid w:val="190D51EA"/>
    <w:rsid w:val="19185113"/>
    <w:rsid w:val="19232435"/>
    <w:rsid w:val="192A5572"/>
    <w:rsid w:val="193C4636"/>
    <w:rsid w:val="194611BB"/>
    <w:rsid w:val="19544B39"/>
    <w:rsid w:val="19561A3F"/>
    <w:rsid w:val="1964413C"/>
    <w:rsid w:val="196E409F"/>
    <w:rsid w:val="1993062A"/>
    <w:rsid w:val="19951C63"/>
    <w:rsid w:val="19A075E2"/>
    <w:rsid w:val="19AA0461"/>
    <w:rsid w:val="19AE61A3"/>
    <w:rsid w:val="19B968F6"/>
    <w:rsid w:val="19BA02C3"/>
    <w:rsid w:val="19CA47AF"/>
    <w:rsid w:val="19D21766"/>
    <w:rsid w:val="19DA6416"/>
    <w:rsid w:val="19E26593"/>
    <w:rsid w:val="19E35721"/>
    <w:rsid w:val="19E64E0D"/>
    <w:rsid w:val="19EC48E7"/>
    <w:rsid w:val="1A0A7151"/>
    <w:rsid w:val="1A0B3921"/>
    <w:rsid w:val="1A3B37A9"/>
    <w:rsid w:val="1A3B5FC2"/>
    <w:rsid w:val="1A5D0CB5"/>
    <w:rsid w:val="1A6A1286"/>
    <w:rsid w:val="1A6B2708"/>
    <w:rsid w:val="1A6B5E42"/>
    <w:rsid w:val="1A75281D"/>
    <w:rsid w:val="1A793B79"/>
    <w:rsid w:val="1A833FD4"/>
    <w:rsid w:val="1A8876A3"/>
    <w:rsid w:val="1A8C41B3"/>
    <w:rsid w:val="1A954C6D"/>
    <w:rsid w:val="1AA038B8"/>
    <w:rsid w:val="1AAC0209"/>
    <w:rsid w:val="1AB02068"/>
    <w:rsid w:val="1AB71087"/>
    <w:rsid w:val="1ACC7CC8"/>
    <w:rsid w:val="1AF04599"/>
    <w:rsid w:val="1AF27DC8"/>
    <w:rsid w:val="1AFC3BFD"/>
    <w:rsid w:val="1B1E1106"/>
    <w:rsid w:val="1B2F50C2"/>
    <w:rsid w:val="1B3A3A66"/>
    <w:rsid w:val="1B3C333B"/>
    <w:rsid w:val="1B4B7A22"/>
    <w:rsid w:val="1B520EBE"/>
    <w:rsid w:val="1B5E3A86"/>
    <w:rsid w:val="1B610CFA"/>
    <w:rsid w:val="1B610FF3"/>
    <w:rsid w:val="1B642891"/>
    <w:rsid w:val="1B691C9F"/>
    <w:rsid w:val="1B854CE1"/>
    <w:rsid w:val="1B873280"/>
    <w:rsid w:val="1B8F5B60"/>
    <w:rsid w:val="1B905946"/>
    <w:rsid w:val="1B913541"/>
    <w:rsid w:val="1BA809D0"/>
    <w:rsid w:val="1BA972F6"/>
    <w:rsid w:val="1BCA303C"/>
    <w:rsid w:val="1BD96DDB"/>
    <w:rsid w:val="1BDF3CA5"/>
    <w:rsid w:val="1BE14014"/>
    <w:rsid w:val="1BEE796E"/>
    <w:rsid w:val="1BFC581E"/>
    <w:rsid w:val="1C0D0AAC"/>
    <w:rsid w:val="1C0D4CD7"/>
    <w:rsid w:val="1C220782"/>
    <w:rsid w:val="1C2269D4"/>
    <w:rsid w:val="1C2E04F3"/>
    <w:rsid w:val="1C6D34E4"/>
    <w:rsid w:val="1C730FDE"/>
    <w:rsid w:val="1C922D83"/>
    <w:rsid w:val="1C962F1E"/>
    <w:rsid w:val="1CA078F9"/>
    <w:rsid w:val="1CA4788F"/>
    <w:rsid w:val="1CA94A00"/>
    <w:rsid w:val="1CAD7FF0"/>
    <w:rsid w:val="1CB13165"/>
    <w:rsid w:val="1CBD66FD"/>
    <w:rsid w:val="1CC17F9E"/>
    <w:rsid w:val="1CDA31EF"/>
    <w:rsid w:val="1CDA7AC0"/>
    <w:rsid w:val="1CFD4D4B"/>
    <w:rsid w:val="1D036806"/>
    <w:rsid w:val="1D0E4BD9"/>
    <w:rsid w:val="1D2642A2"/>
    <w:rsid w:val="1D2B6030"/>
    <w:rsid w:val="1D322C47"/>
    <w:rsid w:val="1D4163F1"/>
    <w:rsid w:val="1D4E55A7"/>
    <w:rsid w:val="1D790876"/>
    <w:rsid w:val="1D8D2573"/>
    <w:rsid w:val="1D90796E"/>
    <w:rsid w:val="1D9F56A6"/>
    <w:rsid w:val="1DA17DCD"/>
    <w:rsid w:val="1DB06C45"/>
    <w:rsid w:val="1DBD134C"/>
    <w:rsid w:val="1DCE095B"/>
    <w:rsid w:val="1DE101C9"/>
    <w:rsid w:val="1DE1641B"/>
    <w:rsid w:val="1DE81558"/>
    <w:rsid w:val="1DED3F6A"/>
    <w:rsid w:val="1DFF2382"/>
    <w:rsid w:val="1E053F58"/>
    <w:rsid w:val="1E13353C"/>
    <w:rsid w:val="1E195BB5"/>
    <w:rsid w:val="1E1E766F"/>
    <w:rsid w:val="1E2307E2"/>
    <w:rsid w:val="1E3F360D"/>
    <w:rsid w:val="1E567970"/>
    <w:rsid w:val="1E731769"/>
    <w:rsid w:val="1E7C31D9"/>
    <w:rsid w:val="1E8632EE"/>
    <w:rsid w:val="1E967206"/>
    <w:rsid w:val="1EA83703"/>
    <w:rsid w:val="1EB57063"/>
    <w:rsid w:val="1EBB6C6C"/>
    <w:rsid w:val="1EC81B3E"/>
    <w:rsid w:val="1F4849A4"/>
    <w:rsid w:val="1F4C5B16"/>
    <w:rsid w:val="1F535805"/>
    <w:rsid w:val="1F634192"/>
    <w:rsid w:val="1F6921E8"/>
    <w:rsid w:val="1F761685"/>
    <w:rsid w:val="1F770BE9"/>
    <w:rsid w:val="1F777037"/>
    <w:rsid w:val="1F790328"/>
    <w:rsid w:val="1F937C38"/>
    <w:rsid w:val="1F95570F"/>
    <w:rsid w:val="1FA83694"/>
    <w:rsid w:val="1FAD2A59"/>
    <w:rsid w:val="1FB03AFE"/>
    <w:rsid w:val="1FBB2376"/>
    <w:rsid w:val="1FBD3182"/>
    <w:rsid w:val="1FC3402A"/>
    <w:rsid w:val="1FC54E67"/>
    <w:rsid w:val="1FC84754"/>
    <w:rsid w:val="1FDF698A"/>
    <w:rsid w:val="1FED72F9"/>
    <w:rsid w:val="1FF71F26"/>
    <w:rsid w:val="20014A97"/>
    <w:rsid w:val="20360C34"/>
    <w:rsid w:val="204C5C2B"/>
    <w:rsid w:val="20511636"/>
    <w:rsid w:val="205974A8"/>
    <w:rsid w:val="20663042"/>
    <w:rsid w:val="2077683A"/>
    <w:rsid w:val="208521C6"/>
    <w:rsid w:val="20967902"/>
    <w:rsid w:val="20B51A11"/>
    <w:rsid w:val="20C21AB0"/>
    <w:rsid w:val="20DB26F5"/>
    <w:rsid w:val="20DF5F93"/>
    <w:rsid w:val="20E410FB"/>
    <w:rsid w:val="20E42309"/>
    <w:rsid w:val="20E5701F"/>
    <w:rsid w:val="20F06358"/>
    <w:rsid w:val="2101126E"/>
    <w:rsid w:val="210668C5"/>
    <w:rsid w:val="210C1EC1"/>
    <w:rsid w:val="211B1C44"/>
    <w:rsid w:val="212E1977"/>
    <w:rsid w:val="214234E3"/>
    <w:rsid w:val="216B6728"/>
    <w:rsid w:val="21703D3E"/>
    <w:rsid w:val="21845A3B"/>
    <w:rsid w:val="218A232E"/>
    <w:rsid w:val="21A1039B"/>
    <w:rsid w:val="21AC3CAF"/>
    <w:rsid w:val="21AC781A"/>
    <w:rsid w:val="21AE1ED1"/>
    <w:rsid w:val="21B05CDE"/>
    <w:rsid w:val="21BB5D95"/>
    <w:rsid w:val="21D10A66"/>
    <w:rsid w:val="21E109C6"/>
    <w:rsid w:val="21E604A4"/>
    <w:rsid w:val="21F1456A"/>
    <w:rsid w:val="21F26E49"/>
    <w:rsid w:val="21FA7AAB"/>
    <w:rsid w:val="2207578A"/>
    <w:rsid w:val="221D798C"/>
    <w:rsid w:val="222D7E81"/>
    <w:rsid w:val="223905D4"/>
    <w:rsid w:val="224A1C3B"/>
    <w:rsid w:val="225A6C55"/>
    <w:rsid w:val="225B3DDD"/>
    <w:rsid w:val="2277734E"/>
    <w:rsid w:val="227C531A"/>
    <w:rsid w:val="227C5E2D"/>
    <w:rsid w:val="227C5FB5"/>
    <w:rsid w:val="2283590F"/>
    <w:rsid w:val="22BD2FB3"/>
    <w:rsid w:val="22C06806"/>
    <w:rsid w:val="22C205C9"/>
    <w:rsid w:val="22ED77E8"/>
    <w:rsid w:val="22EE17B3"/>
    <w:rsid w:val="22EE5862"/>
    <w:rsid w:val="22F866E1"/>
    <w:rsid w:val="23046B45"/>
    <w:rsid w:val="23112215"/>
    <w:rsid w:val="231D659C"/>
    <w:rsid w:val="231F6970"/>
    <w:rsid w:val="232524E0"/>
    <w:rsid w:val="232E141E"/>
    <w:rsid w:val="23476D20"/>
    <w:rsid w:val="234A4BD6"/>
    <w:rsid w:val="235227BC"/>
    <w:rsid w:val="236857F0"/>
    <w:rsid w:val="2375388E"/>
    <w:rsid w:val="23761FD2"/>
    <w:rsid w:val="2383244E"/>
    <w:rsid w:val="23922691"/>
    <w:rsid w:val="239769AF"/>
    <w:rsid w:val="23A63839"/>
    <w:rsid w:val="23A76462"/>
    <w:rsid w:val="23B96013"/>
    <w:rsid w:val="23BD1D5D"/>
    <w:rsid w:val="23BE3486"/>
    <w:rsid w:val="23C2284B"/>
    <w:rsid w:val="23CA591B"/>
    <w:rsid w:val="23D04F68"/>
    <w:rsid w:val="23D449A0"/>
    <w:rsid w:val="23D83E1C"/>
    <w:rsid w:val="23D871AF"/>
    <w:rsid w:val="23F13CCA"/>
    <w:rsid w:val="23FB085C"/>
    <w:rsid w:val="23FB7AB3"/>
    <w:rsid w:val="24066BDB"/>
    <w:rsid w:val="24181502"/>
    <w:rsid w:val="24211A19"/>
    <w:rsid w:val="24220DF4"/>
    <w:rsid w:val="24257976"/>
    <w:rsid w:val="24271DCE"/>
    <w:rsid w:val="243238AD"/>
    <w:rsid w:val="2442676C"/>
    <w:rsid w:val="24462683"/>
    <w:rsid w:val="245636BF"/>
    <w:rsid w:val="24612064"/>
    <w:rsid w:val="24691BAB"/>
    <w:rsid w:val="246A0786"/>
    <w:rsid w:val="246B230C"/>
    <w:rsid w:val="246F2F73"/>
    <w:rsid w:val="24784C32"/>
    <w:rsid w:val="248A19B9"/>
    <w:rsid w:val="248E1624"/>
    <w:rsid w:val="249E43BE"/>
    <w:rsid w:val="24AA3A0B"/>
    <w:rsid w:val="24B56AB7"/>
    <w:rsid w:val="24B90C3A"/>
    <w:rsid w:val="24D740D4"/>
    <w:rsid w:val="24DC16EA"/>
    <w:rsid w:val="24E40A38"/>
    <w:rsid w:val="24FA607E"/>
    <w:rsid w:val="25096983"/>
    <w:rsid w:val="252E1F87"/>
    <w:rsid w:val="2539421F"/>
    <w:rsid w:val="2540611D"/>
    <w:rsid w:val="2547125A"/>
    <w:rsid w:val="254E4396"/>
    <w:rsid w:val="2567101A"/>
    <w:rsid w:val="25685F0A"/>
    <w:rsid w:val="25697422"/>
    <w:rsid w:val="256C6F12"/>
    <w:rsid w:val="25823ED3"/>
    <w:rsid w:val="258C285F"/>
    <w:rsid w:val="259118D8"/>
    <w:rsid w:val="25940221"/>
    <w:rsid w:val="25B14D16"/>
    <w:rsid w:val="25C033F3"/>
    <w:rsid w:val="25DF56C4"/>
    <w:rsid w:val="25E1501D"/>
    <w:rsid w:val="25F616CA"/>
    <w:rsid w:val="26011429"/>
    <w:rsid w:val="26023BEC"/>
    <w:rsid w:val="26153106"/>
    <w:rsid w:val="262663A0"/>
    <w:rsid w:val="262F1115"/>
    <w:rsid w:val="26326858"/>
    <w:rsid w:val="26445799"/>
    <w:rsid w:val="264A4F07"/>
    <w:rsid w:val="265C0D35"/>
    <w:rsid w:val="265F0728"/>
    <w:rsid w:val="26627C5F"/>
    <w:rsid w:val="267B565F"/>
    <w:rsid w:val="26825DEC"/>
    <w:rsid w:val="26863C28"/>
    <w:rsid w:val="268838D8"/>
    <w:rsid w:val="268C4864"/>
    <w:rsid w:val="26B75F6B"/>
    <w:rsid w:val="26B911DE"/>
    <w:rsid w:val="26BF25A3"/>
    <w:rsid w:val="26E30026"/>
    <w:rsid w:val="26F726A9"/>
    <w:rsid w:val="270C7545"/>
    <w:rsid w:val="27277595"/>
    <w:rsid w:val="2734652D"/>
    <w:rsid w:val="27383550"/>
    <w:rsid w:val="27484CC0"/>
    <w:rsid w:val="2749750B"/>
    <w:rsid w:val="274D305A"/>
    <w:rsid w:val="276A122F"/>
    <w:rsid w:val="277D6B49"/>
    <w:rsid w:val="278E048A"/>
    <w:rsid w:val="27986643"/>
    <w:rsid w:val="27A31034"/>
    <w:rsid w:val="27AF1F1D"/>
    <w:rsid w:val="27B03F5B"/>
    <w:rsid w:val="27BB0DA8"/>
    <w:rsid w:val="27C22E19"/>
    <w:rsid w:val="27C27B9D"/>
    <w:rsid w:val="27C37FF7"/>
    <w:rsid w:val="27C94F55"/>
    <w:rsid w:val="27CC3C98"/>
    <w:rsid w:val="27CD4F03"/>
    <w:rsid w:val="27D24E8B"/>
    <w:rsid w:val="27D65B2A"/>
    <w:rsid w:val="27D861C3"/>
    <w:rsid w:val="27DD611F"/>
    <w:rsid w:val="27E6061F"/>
    <w:rsid w:val="27E95F58"/>
    <w:rsid w:val="27EC21C1"/>
    <w:rsid w:val="27F411FF"/>
    <w:rsid w:val="27F54F9D"/>
    <w:rsid w:val="27FA625C"/>
    <w:rsid w:val="27FF35F3"/>
    <w:rsid w:val="2818512F"/>
    <w:rsid w:val="28232E90"/>
    <w:rsid w:val="28277599"/>
    <w:rsid w:val="2829733C"/>
    <w:rsid w:val="283F7DFB"/>
    <w:rsid w:val="284D4DD9"/>
    <w:rsid w:val="285408AF"/>
    <w:rsid w:val="285C4131"/>
    <w:rsid w:val="28665E9B"/>
    <w:rsid w:val="286E5919"/>
    <w:rsid w:val="287268C5"/>
    <w:rsid w:val="28796060"/>
    <w:rsid w:val="28925A55"/>
    <w:rsid w:val="28962C0A"/>
    <w:rsid w:val="28A212CC"/>
    <w:rsid w:val="28A53E7E"/>
    <w:rsid w:val="28A87747"/>
    <w:rsid w:val="28B44EAA"/>
    <w:rsid w:val="28C14DEB"/>
    <w:rsid w:val="28CE396B"/>
    <w:rsid w:val="28E463FD"/>
    <w:rsid w:val="28E66DB0"/>
    <w:rsid w:val="28EF0569"/>
    <w:rsid w:val="28F039B6"/>
    <w:rsid w:val="28F21957"/>
    <w:rsid w:val="290336EA"/>
    <w:rsid w:val="29105966"/>
    <w:rsid w:val="291B6C85"/>
    <w:rsid w:val="292A6EC8"/>
    <w:rsid w:val="292C2C40"/>
    <w:rsid w:val="29387837"/>
    <w:rsid w:val="294A397A"/>
    <w:rsid w:val="295E6B72"/>
    <w:rsid w:val="29634066"/>
    <w:rsid w:val="2970130A"/>
    <w:rsid w:val="29744693"/>
    <w:rsid w:val="297C2611"/>
    <w:rsid w:val="297E051F"/>
    <w:rsid w:val="2983449F"/>
    <w:rsid w:val="298D2E2C"/>
    <w:rsid w:val="29934A6D"/>
    <w:rsid w:val="29A070F5"/>
    <w:rsid w:val="29A924E3"/>
    <w:rsid w:val="29AA7F02"/>
    <w:rsid w:val="29AC5B2F"/>
    <w:rsid w:val="29CC0B20"/>
    <w:rsid w:val="29EB51E7"/>
    <w:rsid w:val="29F15C38"/>
    <w:rsid w:val="2A027E45"/>
    <w:rsid w:val="2A1060BE"/>
    <w:rsid w:val="2A166B64"/>
    <w:rsid w:val="2A1879C7"/>
    <w:rsid w:val="2A212A5D"/>
    <w:rsid w:val="2A2655B6"/>
    <w:rsid w:val="2A270C6A"/>
    <w:rsid w:val="2A397935"/>
    <w:rsid w:val="2A3C5105"/>
    <w:rsid w:val="2A4E4245"/>
    <w:rsid w:val="2A5063FA"/>
    <w:rsid w:val="2A5B24AB"/>
    <w:rsid w:val="2A64505F"/>
    <w:rsid w:val="2A674EC7"/>
    <w:rsid w:val="2A842608"/>
    <w:rsid w:val="2AB54922"/>
    <w:rsid w:val="2AB96756"/>
    <w:rsid w:val="2AC944BF"/>
    <w:rsid w:val="2ACB46DB"/>
    <w:rsid w:val="2AD312D1"/>
    <w:rsid w:val="2AE7644A"/>
    <w:rsid w:val="2AEF1115"/>
    <w:rsid w:val="2AF213F0"/>
    <w:rsid w:val="2AF53506"/>
    <w:rsid w:val="2B001F65"/>
    <w:rsid w:val="2B003008"/>
    <w:rsid w:val="2B0F281A"/>
    <w:rsid w:val="2B1D2BBF"/>
    <w:rsid w:val="2B2335A9"/>
    <w:rsid w:val="2B2362C5"/>
    <w:rsid w:val="2B4056C1"/>
    <w:rsid w:val="2B5D6DAD"/>
    <w:rsid w:val="2B6950CA"/>
    <w:rsid w:val="2B762899"/>
    <w:rsid w:val="2B795EE5"/>
    <w:rsid w:val="2B8079EB"/>
    <w:rsid w:val="2BAC62BA"/>
    <w:rsid w:val="2BAF3007"/>
    <w:rsid w:val="2BE23A8A"/>
    <w:rsid w:val="2BE617CC"/>
    <w:rsid w:val="2BEC40D8"/>
    <w:rsid w:val="2BEE008A"/>
    <w:rsid w:val="2BF50816"/>
    <w:rsid w:val="2BF73562"/>
    <w:rsid w:val="2BFC3805"/>
    <w:rsid w:val="2C017241"/>
    <w:rsid w:val="2C041C52"/>
    <w:rsid w:val="2C0C23AB"/>
    <w:rsid w:val="2C1B1611"/>
    <w:rsid w:val="2C1E78EF"/>
    <w:rsid w:val="2C365B84"/>
    <w:rsid w:val="2C387B4E"/>
    <w:rsid w:val="2C435497"/>
    <w:rsid w:val="2C463031"/>
    <w:rsid w:val="2C4958B7"/>
    <w:rsid w:val="2C581F9E"/>
    <w:rsid w:val="2C5A56DE"/>
    <w:rsid w:val="2C7B3678"/>
    <w:rsid w:val="2C997F61"/>
    <w:rsid w:val="2CBF5B6F"/>
    <w:rsid w:val="2CC34424"/>
    <w:rsid w:val="2CC71053"/>
    <w:rsid w:val="2CDA5722"/>
    <w:rsid w:val="2CE71B6C"/>
    <w:rsid w:val="2CED632B"/>
    <w:rsid w:val="2CF33A75"/>
    <w:rsid w:val="2D410C84"/>
    <w:rsid w:val="2D595FCE"/>
    <w:rsid w:val="2D70394D"/>
    <w:rsid w:val="2D7050C6"/>
    <w:rsid w:val="2D776454"/>
    <w:rsid w:val="2D865769"/>
    <w:rsid w:val="2D8F19F0"/>
    <w:rsid w:val="2D9373D2"/>
    <w:rsid w:val="2D960FD0"/>
    <w:rsid w:val="2D9D70A8"/>
    <w:rsid w:val="2DAE631A"/>
    <w:rsid w:val="2DB63420"/>
    <w:rsid w:val="2DC201ED"/>
    <w:rsid w:val="2DDF5E3D"/>
    <w:rsid w:val="2DFB2741"/>
    <w:rsid w:val="2E0B038E"/>
    <w:rsid w:val="2E206AEC"/>
    <w:rsid w:val="2E342819"/>
    <w:rsid w:val="2E407D7A"/>
    <w:rsid w:val="2E426A62"/>
    <w:rsid w:val="2E475A4C"/>
    <w:rsid w:val="2E6966E5"/>
    <w:rsid w:val="2E6D7E93"/>
    <w:rsid w:val="2E7867C9"/>
    <w:rsid w:val="2E876C88"/>
    <w:rsid w:val="2E921F2F"/>
    <w:rsid w:val="2EA331CB"/>
    <w:rsid w:val="2EB23323"/>
    <w:rsid w:val="2EDB6C84"/>
    <w:rsid w:val="2EDB7812"/>
    <w:rsid w:val="2EF266DA"/>
    <w:rsid w:val="2F097580"/>
    <w:rsid w:val="2F0C5223"/>
    <w:rsid w:val="2F124852"/>
    <w:rsid w:val="2F1A353B"/>
    <w:rsid w:val="2F1C2D0B"/>
    <w:rsid w:val="2F313A22"/>
    <w:rsid w:val="2F3A6C85"/>
    <w:rsid w:val="2F681679"/>
    <w:rsid w:val="2F68723D"/>
    <w:rsid w:val="2F7075FF"/>
    <w:rsid w:val="2F7964B4"/>
    <w:rsid w:val="2F7E5077"/>
    <w:rsid w:val="2F8337D6"/>
    <w:rsid w:val="2F8512FC"/>
    <w:rsid w:val="2F875074"/>
    <w:rsid w:val="2F927575"/>
    <w:rsid w:val="2FB92D54"/>
    <w:rsid w:val="2FBD5AB0"/>
    <w:rsid w:val="2FC72C84"/>
    <w:rsid w:val="2FCF2577"/>
    <w:rsid w:val="2FD848AA"/>
    <w:rsid w:val="2FD94866"/>
    <w:rsid w:val="2FDE65A0"/>
    <w:rsid w:val="2FF050B4"/>
    <w:rsid w:val="2FF16FA2"/>
    <w:rsid w:val="2FF21B80"/>
    <w:rsid w:val="2FF47994"/>
    <w:rsid w:val="2FFA2C05"/>
    <w:rsid w:val="301607F4"/>
    <w:rsid w:val="30242314"/>
    <w:rsid w:val="3025488D"/>
    <w:rsid w:val="302A3C52"/>
    <w:rsid w:val="303D5733"/>
    <w:rsid w:val="30576C24"/>
    <w:rsid w:val="308D611F"/>
    <w:rsid w:val="3093409E"/>
    <w:rsid w:val="309D4424"/>
    <w:rsid w:val="30B749E7"/>
    <w:rsid w:val="30C16364"/>
    <w:rsid w:val="30C54A3A"/>
    <w:rsid w:val="30C96FC7"/>
    <w:rsid w:val="30CB0F91"/>
    <w:rsid w:val="30D06277"/>
    <w:rsid w:val="30D15875"/>
    <w:rsid w:val="30D846EA"/>
    <w:rsid w:val="30E43E01"/>
    <w:rsid w:val="30F20773"/>
    <w:rsid w:val="310811F3"/>
    <w:rsid w:val="3115045E"/>
    <w:rsid w:val="311819E5"/>
    <w:rsid w:val="311C7A3E"/>
    <w:rsid w:val="3125357A"/>
    <w:rsid w:val="31456726"/>
    <w:rsid w:val="314B3BF5"/>
    <w:rsid w:val="314C7809"/>
    <w:rsid w:val="314D344E"/>
    <w:rsid w:val="31851A68"/>
    <w:rsid w:val="318A2BFA"/>
    <w:rsid w:val="319705E7"/>
    <w:rsid w:val="319F27CA"/>
    <w:rsid w:val="31A1320E"/>
    <w:rsid w:val="31BB1005"/>
    <w:rsid w:val="31CF60AD"/>
    <w:rsid w:val="31D57C77"/>
    <w:rsid w:val="31FA1C8E"/>
    <w:rsid w:val="320457AA"/>
    <w:rsid w:val="32180206"/>
    <w:rsid w:val="32194793"/>
    <w:rsid w:val="322F38E1"/>
    <w:rsid w:val="32355D00"/>
    <w:rsid w:val="32402E2C"/>
    <w:rsid w:val="32496611"/>
    <w:rsid w:val="327D62BB"/>
    <w:rsid w:val="32887E78"/>
    <w:rsid w:val="329F2825"/>
    <w:rsid w:val="32B917C0"/>
    <w:rsid w:val="32C11DDF"/>
    <w:rsid w:val="32CC5CF6"/>
    <w:rsid w:val="32CE6B16"/>
    <w:rsid w:val="32D14D79"/>
    <w:rsid w:val="32D43099"/>
    <w:rsid w:val="32DF702C"/>
    <w:rsid w:val="32E0135D"/>
    <w:rsid w:val="32E53E60"/>
    <w:rsid w:val="32EC610B"/>
    <w:rsid w:val="33092ED6"/>
    <w:rsid w:val="33095DA0"/>
    <w:rsid w:val="330C4877"/>
    <w:rsid w:val="330E38F1"/>
    <w:rsid w:val="331C5AD4"/>
    <w:rsid w:val="331E675F"/>
    <w:rsid w:val="33260700"/>
    <w:rsid w:val="33267A24"/>
    <w:rsid w:val="332D176B"/>
    <w:rsid w:val="3356473B"/>
    <w:rsid w:val="33571BCB"/>
    <w:rsid w:val="33613E2E"/>
    <w:rsid w:val="3361525B"/>
    <w:rsid w:val="336B25B7"/>
    <w:rsid w:val="336D4581"/>
    <w:rsid w:val="33784018"/>
    <w:rsid w:val="33784CD4"/>
    <w:rsid w:val="33822712"/>
    <w:rsid w:val="33855CCB"/>
    <w:rsid w:val="338B11DC"/>
    <w:rsid w:val="338D69D1"/>
    <w:rsid w:val="33A87367"/>
    <w:rsid w:val="33BA63EC"/>
    <w:rsid w:val="33CC574C"/>
    <w:rsid w:val="33DD2E58"/>
    <w:rsid w:val="33E32220"/>
    <w:rsid w:val="33E921AF"/>
    <w:rsid w:val="33F6048D"/>
    <w:rsid w:val="33F627C9"/>
    <w:rsid w:val="340509AB"/>
    <w:rsid w:val="340C7D1E"/>
    <w:rsid w:val="343859D5"/>
    <w:rsid w:val="343916BF"/>
    <w:rsid w:val="343E7CCC"/>
    <w:rsid w:val="3449578E"/>
    <w:rsid w:val="34597E82"/>
    <w:rsid w:val="345E036E"/>
    <w:rsid w:val="34630286"/>
    <w:rsid w:val="347D6A46"/>
    <w:rsid w:val="348D7BE3"/>
    <w:rsid w:val="349C1FEF"/>
    <w:rsid w:val="34BD6FAF"/>
    <w:rsid w:val="34C226AB"/>
    <w:rsid w:val="34C872DC"/>
    <w:rsid w:val="34CF455F"/>
    <w:rsid w:val="34D13170"/>
    <w:rsid w:val="34DC7316"/>
    <w:rsid w:val="34DD5737"/>
    <w:rsid w:val="34DE573B"/>
    <w:rsid w:val="34E064A0"/>
    <w:rsid w:val="34EB257F"/>
    <w:rsid w:val="34EE154F"/>
    <w:rsid w:val="34F4517B"/>
    <w:rsid w:val="34F97D92"/>
    <w:rsid w:val="34FB3F1B"/>
    <w:rsid w:val="34FF182E"/>
    <w:rsid w:val="35074561"/>
    <w:rsid w:val="350C7B1F"/>
    <w:rsid w:val="350F0F1C"/>
    <w:rsid w:val="351013D0"/>
    <w:rsid w:val="35135555"/>
    <w:rsid w:val="351D3D85"/>
    <w:rsid w:val="352149F0"/>
    <w:rsid w:val="352C5D76"/>
    <w:rsid w:val="35324D1F"/>
    <w:rsid w:val="35326A11"/>
    <w:rsid w:val="353F1388"/>
    <w:rsid w:val="354F38CC"/>
    <w:rsid w:val="35531786"/>
    <w:rsid w:val="35533505"/>
    <w:rsid w:val="35584DBD"/>
    <w:rsid w:val="356674DA"/>
    <w:rsid w:val="357A4D33"/>
    <w:rsid w:val="357B7FC1"/>
    <w:rsid w:val="35814314"/>
    <w:rsid w:val="3586192A"/>
    <w:rsid w:val="358E6A31"/>
    <w:rsid w:val="359E4EC6"/>
    <w:rsid w:val="35A9610B"/>
    <w:rsid w:val="35AA48F5"/>
    <w:rsid w:val="35B069A7"/>
    <w:rsid w:val="35B23FA8"/>
    <w:rsid w:val="35C104B3"/>
    <w:rsid w:val="35C143BD"/>
    <w:rsid w:val="35C26FD6"/>
    <w:rsid w:val="35C546B2"/>
    <w:rsid w:val="35C906B2"/>
    <w:rsid w:val="35D15757"/>
    <w:rsid w:val="35D83B4E"/>
    <w:rsid w:val="35EA6BC4"/>
    <w:rsid w:val="36007C49"/>
    <w:rsid w:val="360337A6"/>
    <w:rsid w:val="36080591"/>
    <w:rsid w:val="361A06C5"/>
    <w:rsid w:val="363105DA"/>
    <w:rsid w:val="36323860"/>
    <w:rsid w:val="364041CF"/>
    <w:rsid w:val="3647730B"/>
    <w:rsid w:val="36575075"/>
    <w:rsid w:val="3659703F"/>
    <w:rsid w:val="365B6913"/>
    <w:rsid w:val="36790667"/>
    <w:rsid w:val="367E6394"/>
    <w:rsid w:val="36835E6A"/>
    <w:rsid w:val="36852078"/>
    <w:rsid w:val="36961C45"/>
    <w:rsid w:val="36985DB9"/>
    <w:rsid w:val="369E0F69"/>
    <w:rsid w:val="36AA3E6C"/>
    <w:rsid w:val="36BD4368"/>
    <w:rsid w:val="36BD75CE"/>
    <w:rsid w:val="36C50230"/>
    <w:rsid w:val="36CB32FE"/>
    <w:rsid w:val="36D27154"/>
    <w:rsid w:val="36D641EB"/>
    <w:rsid w:val="36E30805"/>
    <w:rsid w:val="36E86E84"/>
    <w:rsid w:val="36EF52AD"/>
    <w:rsid w:val="370C63C8"/>
    <w:rsid w:val="371944AB"/>
    <w:rsid w:val="37217B5C"/>
    <w:rsid w:val="372633C5"/>
    <w:rsid w:val="372B0FE8"/>
    <w:rsid w:val="372E4412"/>
    <w:rsid w:val="373B1EFA"/>
    <w:rsid w:val="374101FF"/>
    <w:rsid w:val="374474B6"/>
    <w:rsid w:val="374C4ED8"/>
    <w:rsid w:val="375021F0"/>
    <w:rsid w:val="37531CE0"/>
    <w:rsid w:val="37537E51"/>
    <w:rsid w:val="375B2D9E"/>
    <w:rsid w:val="375F254D"/>
    <w:rsid w:val="375F68D7"/>
    <w:rsid w:val="3768578B"/>
    <w:rsid w:val="37734AAB"/>
    <w:rsid w:val="377803E0"/>
    <w:rsid w:val="377F4883"/>
    <w:rsid w:val="37834F80"/>
    <w:rsid w:val="37863E63"/>
    <w:rsid w:val="3787198A"/>
    <w:rsid w:val="379A346B"/>
    <w:rsid w:val="37AD49B3"/>
    <w:rsid w:val="37AE6F16"/>
    <w:rsid w:val="37BA2779"/>
    <w:rsid w:val="37C273C8"/>
    <w:rsid w:val="37CF3975"/>
    <w:rsid w:val="37D50947"/>
    <w:rsid w:val="37E82428"/>
    <w:rsid w:val="37FA0ADE"/>
    <w:rsid w:val="37FC516A"/>
    <w:rsid w:val="381B27FE"/>
    <w:rsid w:val="381E5E4A"/>
    <w:rsid w:val="38203225"/>
    <w:rsid w:val="38303CA0"/>
    <w:rsid w:val="383A1024"/>
    <w:rsid w:val="38464D2D"/>
    <w:rsid w:val="3846678D"/>
    <w:rsid w:val="38490E6E"/>
    <w:rsid w:val="384B29B7"/>
    <w:rsid w:val="384F24A7"/>
    <w:rsid w:val="38627659"/>
    <w:rsid w:val="386615E3"/>
    <w:rsid w:val="386E6D8B"/>
    <w:rsid w:val="386E7684"/>
    <w:rsid w:val="38887767"/>
    <w:rsid w:val="38991AB2"/>
    <w:rsid w:val="38AA4DEB"/>
    <w:rsid w:val="38B90269"/>
    <w:rsid w:val="38CB377E"/>
    <w:rsid w:val="38D86580"/>
    <w:rsid w:val="390D4A62"/>
    <w:rsid w:val="39202096"/>
    <w:rsid w:val="39215FB4"/>
    <w:rsid w:val="39256129"/>
    <w:rsid w:val="392E6561"/>
    <w:rsid w:val="39317DFF"/>
    <w:rsid w:val="39430A7A"/>
    <w:rsid w:val="394A5EF4"/>
    <w:rsid w:val="39524915"/>
    <w:rsid w:val="39596710"/>
    <w:rsid w:val="395C29C3"/>
    <w:rsid w:val="39651263"/>
    <w:rsid w:val="396B1A84"/>
    <w:rsid w:val="396F5A4C"/>
    <w:rsid w:val="398B39B3"/>
    <w:rsid w:val="39A62F34"/>
    <w:rsid w:val="39A71043"/>
    <w:rsid w:val="39B3058E"/>
    <w:rsid w:val="39CD7B28"/>
    <w:rsid w:val="39D070CD"/>
    <w:rsid w:val="39D4535A"/>
    <w:rsid w:val="39D64C5D"/>
    <w:rsid w:val="39E53FC6"/>
    <w:rsid w:val="3A145757"/>
    <w:rsid w:val="3A14789A"/>
    <w:rsid w:val="3A1A4D37"/>
    <w:rsid w:val="3A3D3154"/>
    <w:rsid w:val="3A43428E"/>
    <w:rsid w:val="3A6D2435"/>
    <w:rsid w:val="3A6D57BE"/>
    <w:rsid w:val="3A703F5F"/>
    <w:rsid w:val="3A7D77A0"/>
    <w:rsid w:val="3A8D72B7"/>
    <w:rsid w:val="3A91182F"/>
    <w:rsid w:val="3A98366A"/>
    <w:rsid w:val="3AA06FEA"/>
    <w:rsid w:val="3AA70225"/>
    <w:rsid w:val="3AAB598F"/>
    <w:rsid w:val="3AB735B6"/>
    <w:rsid w:val="3AB76714"/>
    <w:rsid w:val="3AC5514E"/>
    <w:rsid w:val="3AC86541"/>
    <w:rsid w:val="3ACC5923"/>
    <w:rsid w:val="3ACE5FC1"/>
    <w:rsid w:val="3AD76784"/>
    <w:rsid w:val="3AD85F03"/>
    <w:rsid w:val="3ADE2A6C"/>
    <w:rsid w:val="3AE27603"/>
    <w:rsid w:val="3AF439F8"/>
    <w:rsid w:val="3B002807"/>
    <w:rsid w:val="3B0911E6"/>
    <w:rsid w:val="3B0A4DAB"/>
    <w:rsid w:val="3B180F9F"/>
    <w:rsid w:val="3B334302"/>
    <w:rsid w:val="3B3B0704"/>
    <w:rsid w:val="3B481EDA"/>
    <w:rsid w:val="3B4E3662"/>
    <w:rsid w:val="3B50386B"/>
    <w:rsid w:val="3B5F6D6C"/>
    <w:rsid w:val="3B621EAC"/>
    <w:rsid w:val="3B701DA3"/>
    <w:rsid w:val="3B7364AD"/>
    <w:rsid w:val="3B7B3CDC"/>
    <w:rsid w:val="3B815B4F"/>
    <w:rsid w:val="3B8941BE"/>
    <w:rsid w:val="3B8F1A46"/>
    <w:rsid w:val="3BA50630"/>
    <w:rsid w:val="3BA64AD4"/>
    <w:rsid w:val="3BB0325D"/>
    <w:rsid w:val="3BB70A8F"/>
    <w:rsid w:val="3BC62A80"/>
    <w:rsid w:val="3BE70B67"/>
    <w:rsid w:val="3BF07A8E"/>
    <w:rsid w:val="3BF5780A"/>
    <w:rsid w:val="3C0A2595"/>
    <w:rsid w:val="3C146221"/>
    <w:rsid w:val="3C1B5CE4"/>
    <w:rsid w:val="3C2D4DF7"/>
    <w:rsid w:val="3C3945D7"/>
    <w:rsid w:val="3C4C422A"/>
    <w:rsid w:val="3C5153E3"/>
    <w:rsid w:val="3C574020"/>
    <w:rsid w:val="3C5C5193"/>
    <w:rsid w:val="3C6127A9"/>
    <w:rsid w:val="3C6F3666"/>
    <w:rsid w:val="3C751580"/>
    <w:rsid w:val="3C781D36"/>
    <w:rsid w:val="3C7A386B"/>
    <w:rsid w:val="3CB274A9"/>
    <w:rsid w:val="3CB332BC"/>
    <w:rsid w:val="3CC01BC6"/>
    <w:rsid w:val="3CC316B6"/>
    <w:rsid w:val="3CC35212"/>
    <w:rsid w:val="3CD12704"/>
    <w:rsid w:val="3D015D3A"/>
    <w:rsid w:val="3D163BD1"/>
    <w:rsid w:val="3D1C6998"/>
    <w:rsid w:val="3D271C45"/>
    <w:rsid w:val="3D2B48B6"/>
    <w:rsid w:val="3D30577F"/>
    <w:rsid w:val="3D31661F"/>
    <w:rsid w:val="3D373A10"/>
    <w:rsid w:val="3D390B1F"/>
    <w:rsid w:val="3D404AB5"/>
    <w:rsid w:val="3D49121D"/>
    <w:rsid w:val="3D5D7C2E"/>
    <w:rsid w:val="3D6D1752"/>
    <w:rsid w:val="3D6D46C1"/>
    <w:rsid w:val="3D715FBB"/>
    <w:rsid w:val="3D9C2CE1"/>
    <w:rsid w:val="3DA579EB"/>
    <w:rsid w:val="3DA768E2"/>
    <w:rsid w:val="3DCC354F"/>
    <w:rsid w:val="3DE265B1"/>
    <w:rsid w:val="3DEE1E0C"/>
    <w:rsid w:val="3DF11B68"/>
    <w:rsid w:val="3DF53AF1"/>
    <w:rsid w:val="3DF55FC8"/>
    <w:rsid w:val="3DF623D7"/>
    <w:rsid w:val="3DFA3E01"/>
    <w:rsid w:val="3DFA4C63"/>
    <w:rsid w:val="3DFD0A04"/>
    <w:rsid w:val="3DFF227A"/>
    <w:rsid w:val="3E1D0952"/>
    <w:rsid w:val="3E210442"/>
    <w:rsid w:val="3E247F32"/>
    <w:rsid w:val="3E3A1504"/>
    <w:rsid w:val="3E465190"/>
    <w:rsid w:val="3E4F47EE"/>
    <w:rsid w:val="3E5A64D1"/>
    <w:rsid w:val="3E686071"/>
    <w:rsid w:val="3E6B2102"/>
    <w:rsid w:val="3E6D498B"/>
    <w:rsid w:val="3E704296"/>
    <w:rsid w:val="3E7E7642"/>
    <w:rsid w:val="3E7F160D"/>
    <w:rsid w:val="3E895FE7"/>
    <w:rsid w:val="3E921340"/>
    <w:rsid w:val="3E9E4690"/>
    <w:rsid w:val="3EAD715C"/>
    <w:rsid w:val="3EBD7BD3"/>
    <w:rsid w:val="3ECA1510"/>
    <w:rsid w:val="3ED03C16"/>
    <w:rsid w:val="3ED71449"/>
    <w:rsid w:val="3EE40268"/>
    <w:rsid w:val="3EE6168C"/>
    <w:rsid w:val="3EF23B8C"/>
    <w:rsid w:val="3EFF0306"/>
    <w:rsid w:val="3F0D09C6"/>
    <w:rsid w:val="3F0D52EB"/>
    <w:rsid w:val="3F164999"/>
    <w:rsid w:val="3F196DEC"/>
    <w:rsid w:val="3F1A4063"/>
    <w:rsid w:val="3F253F62"/>
    <w:rsid w:val="3F283A17"/>
    <w:rsid w:val="3F400D9C"/>
    <w:rsid w:val="3F4956D0"/>
    <w:rsid w:val="3F5406EB"/>
    <w:rsid w:val="3F5C36FF"/>
    <w:rsid w:val="3F6F0575"/>
    <w:rsid w:val="3F8844F1"/>
    <w:rsid w:val="3F8A4E31"/>
    <w:rsid w:val="3FA6289E"/>
    <w:rsid w:val="3FB1248E"/>
    <w:rsid w:val="3FB24EAB"/>
    <w:rsid w:val="3FCF3ECE"/>
    <w:rsid w:val="3FD80FD4"/>
    <w:rsid w:val="3FE97350"/>
    <w:rsid w:val="3FFA1432"/>
    <w:rsid w:val="40113871"/>
    <w:rsid w:val="401D2E8B"/>
    <w:rsid w:val="401F2A17"/>
    <w:rsid w:val="401F6C03"/>
    <w:rsid w:val="40250653"/>
    <w:rsid w:val="402D7572"/>
    <w:rsid w:val="40314285"/>
    <w:rsid w:val="403D6073"/>
    <w:rsid w:val="404228F2"/>
    <w:rsid w:val="40442B0E"/>
    <w:rsid w:val="40504E9C"/>
    <w:rsid w:val="405B3EA3"/>
    <w:rsid w:val="405C6192"/>
    <w:rsid w:val="40736199"/>
    <w:rsid w:val="407441CC"/>
    <w:rsid w:val="407F58F4"/>
    <w:rsid w:val="40956EC5"/>
    <w:rsid w:val="40970E8F"/>
    <w:rsid w:val="40994C08"/>
    <w:rsid w:val="40A678DF"/>
    <w:rsid w:val="40B020C2"/>
    <w:rsid w:val="40E41DDD"/>
    <w:rsid w:val="40E83499"/>
    <w:rsid w:val="40E8793D"/>
    <w:rsid w:val="40F956A6"/>
    <w:rsid w:val="4105404B"/>
    <w:rsid w:val="41065772"/>
    <w:rsid w:val="412641CB"/>
    <w:rsid w:val="412D5350"/>
    <w:rsid w:val="413D42A5"/>
    <w:rsid w:val="41405083"/>
    <w:rsid w:val="414C1B52"/>
    <w:rsid w:val="41753FA3"/>
    <w:rsid w:val="41855357"/>
    <w:rsid w:val="41935116"/>
    <w:rsid w:val="41A7646C"/>
    <w:rsid w:val="41AC599C"/>
    <w:rsid w:val="41B15F81"/>
    <w:rsid w:val="41CD7F33"/>
    <w:rsid w:val="41E42EE9"/>
    <w:rsid w:val="41E53CF8"/>
    <w:rsid w:val="41F54F7C"/>
    <w:rsid w:val="4202058A"/>
    <w:rsid w:val="42097B6B"/>
    <w:rsid w:val="421867D9"/>
    <w:rsid w:val="421D4E1D"/>
    <w:rsid w:val="42216265"/>
    <w:rsid w:val="42222446"/>
    <w:rsid w:val="42280180"/>
    <w:rsid w:val="42406C59"/>
    <w:rsid w:val="424C7A58"/>
    <w:rsid w:val="425975DD"/>
    <w:rsid w:val="426E79CE"/>
    <w:rsid w:val="429F227D"/>
    <w:rsid w:val="42A342F8"/>
    <w:rsid w:val="42B20202"/>
    <w:rsid w:val="42B530EB"/>
    <w:rsid w:val="42C30DBF"/>
    <w:rsid w:val="42C95244"/>
    <w:rsid w:val="42CD0B98"/>
    <w:rsid w:val="42D90953"/>
    <w:rsid w:val="42E44134"/>
    <w:rsid w:val="43056195"/>
    <w:rsid w:val="43120E36"/>
    <w:rsid w:val="431C3766"/>
    <w:rsid w:val="43326C4D"/>
    <w:rsid w:val="433724B6"/>
    <w:rsid w:val="433D76A6"/>
    <w:rsid w:val="43430E5B"/>
    <w:rsid w:val="43452E25"/>
    <w:rsid w:val="43650DD1"/>
    <w:rsid w:val="43663B9B"/>
    <w:rsid w:val="436F39FE"/>
    <w:rsid w:val="4379236E"/>
    <w:rsid w:val="437E1E93"/>
    <w:rsid w:val="4383562B"/>
    <w:rsid w:val="43BE5964"/>
    <w:rsid w:val="43D1290A"/>
    <w:rsid w:val="43D77842"/>
    <w:rsid w:val="43DA292E"/>
    <w:rsid w:val="43E22422"/>
    <w:rsid w:val="43E3619A"/>
    <w:rsid w:val="43EA6644"/>
    <w:rsid w:val="43FB1735"/>
    <w:rsid w:val="43FD3277"/>
    <w:rsid w:val="44060022"/>
    <w:rsid w:val="44067498"/>
    <w:rsid w:val="442076D5"/>
    <w:rsid w:val="442229E7"/>
    <w:rsid w:val="442347E8"/>
    <w:rsid w:val="442C18EF"/>
    <w:rsid w:val="44306715"/>
    <w:rsid w:val="443B1E0A"/>
    <w:rsid w:val="443F1622"/>
    <w:rsid w:val="44482CCB"/>
    <w:rsid w:val="44564BBE"/>
    <w:rsid w:val="445A066D"/>
    <w:rsid w:val="446F3005"/>
    <w:rsid w:val="447F4114"/>
    <w:rsid w:val="448771A1"/>
    <w:rsid w:val="449574FF"/>
    <w:rsid w:val="44AB6CB7"/>
    <w:rsid w:val="44B71CCD"/>
    <w:rsid w:val="44BE5E0A"/>
    <w:rsid w:val="44C24001"/>
    <w:rsid w:val="44CD30D2"/>
    <w:rsid w:val="44DF3BD6"/>
    <w:rsid w:val="44E421C9"/>
    <w:rsid w:val="44F15B2C"/>
    <w:rsid w:val="44F437B0"/>
    <w:rsid w:val="44F75E85"/>
    <w:rsid w:val="451369BB"/>
    <w:rsid w:val="452B6409"/>
    <w:rsid w:val="452C5A6A"/>
    <w:rsid w:val="453139F7"/>
    <w:rsid w:val="45321187"/>
    <w:rsid w:val="453F38A4"/>
    <w:rsid w:val="45556F1A"/>
    <w:rsid w:val="456652D4"/>
    <w:rsid w:val="45717F01"/>
    <w:rsid w:val="4574635F"/>
    <w:rsid w:val="45805869"/>
    <w:rsid w:val="45875119"/>
    <w:rsid w:val="4588524B"/>
    <w:rsid w:val="45950735"/>
    <w:rsid w:val="459A7FF1"/>
    <w:rsid w:val="45AC4F17"/>
    <w:rsid w:val="45C91BA7"/>
    <w:rsid w:val="45F751DB"/>
    <w:rsid w:val="45FB5A1D"/>
    <w:rsid w:val="4601693F"/>
    <w:rsid w:val="460F14C8"/>
    <w:rsid w:val="461D5993"/>
    <w:rsid w:val="461E1B8F"/>
    <w:rsid w:val="463172F0"/>
    <w:rsid w:val="46326F64"/>
    <w:rsid w:val="463B22BD"/>
    <w:rsid w:val="464D145A"/>
    <w:rsid w:val="46540556"/>
    <w:rsid w:val="465869CB"/>
    <w:rsid w:val="4662108B"/>
    <w:rsid w:val="466435C2"/>
    <w:rsid w:val="46710421"/>
    <w:rsid w:val="46761547"/>
    <w:rsid w:val="4676292B"/>
    <w:rsid w:val="4678706D"/>
    <w:rsid w:val="467C182A"/>
    <w:rsid w:val="46A2058E"/>
    <w:rsid w:val="46AC6D17"/>
    <w:rsid w:val="46B93E6F"/>
    <w:rsid w:val="46BF178B"/>
    <w:rsid w:val="46C80939"/>
    <w:rsid w:val="46D06EA9"/>
    <w:rsid w:val="46EA3F93"/>
    <w:rsid w:val="46EF001C"/>
    <w:rsid w:val="46F04E55"/>
    <w:rsid w:val="46FA5237"/>
    <w:rsid w:val="471641B1"/>
    <w:rsid w:val="47206F88"/>
    <w:rsid w:val="472114B3"/>
    <w:rsid w:val="47226FD9"/>
    <w:rsid w:val="472B70FF"/>
    <w:rsid w:val="47351577"/>
    <w:rsid w:val="473A07C7"/>
    <w:rsid w:val="473D2ED5"/>
    <w:rsid w:val="47574E8D"/>
    <w:rsid w:val="47946129"/>
    <w:rsid w:val="47973495"/>
    <w:rsid w:val="47AD75EE"/>
    <w:rsid w:val="47D416ED"/>
    <w:rsid w:val="47DC5FFF"/>
    <w:rsid w:val="47E82558"/>
    <w:rsid w:val="47F20AC4"/>
    <w:rsid w:val="47F22E4F"/>
    <w:rsid w:val="47F72214"/>
    <w:rsid w:val="47F73199"/>
    <w:rsid w:val="480212E4"/>
    <w:rsid w:val="482C709C"/>
    <w:rsid w:val="48314626"/>
    <w:rsid w:val="48395DA0"/>
    <w:rsid w:val="483D45B0"/>
    <w:rsid w:val="48474EFD"/>
    <w:rsid w:val="48533072"/>
    <w:rsid w:val="4859187A"/>
    <w:rsid w:val="486E697A"/>
    <w:rsid w:val="486F3910"/>
    <w:rsid w:val="487C19EF"/>
    <w:rsid w:val="48A028AB"/>
    <w:rsid w:val="48A11261"/>
    <w:rsid w:val="48A309CC"/>
    <w:rsid w:val="48A95938"/>
    <w:rsid w:val="48B05106"/>
    <w:rsid w:val="48C9704D"/>
    <w:rsid w:val="48E704DA"/>
    <w:rsid w:val="48FA645F"/>
    <w:rsid w:val="48FC27A1"/>
    <w:rsid w:val="49144D43"/>
    <w:rsid w:val="491A1D6F"/>
    <w:rsid w:val="49254F05"/>
    <w:rsid w:val="493702E2"/>
    <w:rsid w:val="49374FBE"/>
    <w:rsid w:val="493C4382"/>
    <w:rsid w:val="494260A8"/>
    <w:rsid w:val="496E0687"/>
    <w:rsid w:val="497955D6"/>
    <w:rsid w:val="498F5463"/>
    <w:rsid w:val="49904D68"/>
    <w:rsid w:val="49963B11"/>
    <w:rsid w:val="499F2B63"/>
    <w:rsid w:val="49B01F4D"/>
    <w:rsid w:val="49D860B5"/>
    <w:rsid w:val="49DB003F"/>
    <w:rsid w:val="49E75FC4"/>
    <w:rsid w:val="49F24E5B"/>
    <w:rsid w:val="49F9739C"/>
    <w:rsid w:val="4A1D0008"/>
    <w:rsid w:val="4A201EF6"/>
    <w:rsid w:val="4A2F038B"/>
    <w:rsid w:val="4A3F5591"/>
    <w:rsid w:val="4A4449D6"/>
    <w:rsid w:val="4A56446B"/>
    <w:rsid w:val="4A605762"/>
    <w:rsid w:val="4A6A4F1F"/>
    <w:rsid w:val="4A6D3E6F"/>
    <w:rsid w:val="4A6E2C61"/>
    <w:rsid w:val="4A791A2B"/>
    <w:rsid w:val="4A8835F7"/>
    <w:rsid w:val="4A8E5235"/>
    <w:rsid w:val="4A9604E4"/>
    <w:rsid w:val="4A9B332A"/>
    <w:rsid w:val="4A9D2055"/>
    <w:rsid w:val="4AC7567B"/>
    <w:rsid w:val="4ADB1D3F"/>
    <w:rsid w:val="4AF31BD0"/>
    <w:rsid w:val="4AFE5EBB"/>
    <w:rsid w:val="4B163C69"/>
    <w:rsid w:val="4B1D1C2B"/>
    <w:rsid w:val="4B27613F"/>
    <w:rsid w:val="4B29302C"/>
    <w:rsid w:val="4B2D07D6"/>
    <w:rsid w:val="4B4E65EF"/>
    <w:rsid w:val="4B5D0491"/>
    <w:rsid w:val="4B714B2F"/>
    <w:rsid w:val="4B7562D5"/>
    <w:rsid w:val="4B7E5126"/>
    <w:rsid w:val="4B7F3ADC"/>
    <w:rsid w:val="4B87263F"/>
    <w:rsid w:val="4B87507B"/>
    <w:rsid w:val="4B896940"/>
    <w:rsid w:val="4B9F32EE"/>
    <w:rsid w:val="4BAC3727"/>
    <w:rsid w:val="4BAF6AC8"/>
    <w:rsid w:val="4BB5041C"/>
    <w:rsid w:val="4BB52B12"/>
    <w:rsid w:val="4BCB31E7"/>
    <w:rsid w:val="4BD2068C"/>
    <w:rsid w:val="4BDE3E16"/>
    <w:rsid w:val="4BE1376C"/>
    <w:rsid w:val="4BEB02E1"/>
    <w:rsid w:val="4BEC525C"/>
    <w:rsid w:val="4BFC604B"/>
    <w:rsid w:val="4C167102"/>
    <w:rsid w:val="4C1D5625"/>
    <w:rsid w:val="4C1E06B7"/>
    <w:rsid w:val="4C2A5B60"/>
    <w:rsid w:val="4C2B7286"/>
    <w:rsid w:val="4C325BBC"/>
    <w:rsid w:val="4C3677AE"/>
    <w:rsid w:val="4C52210E"/>
    <w:rsid w:val="4C545E87"/>
    <w:rsid w:val="4C5E0AB3"/>
    <w:rsid w:val="4C6D5FA9"/>
    <w:rsid w:val="4C6E0E52"/>
    <w:rsid w:val="4C705435"/>
    <w:rsid w:val="4C723A94"/>
    <w:rsid w:val="4C74352E"/>
    <w:rsid w:val="4C744BD3"/>
    <w:rsid w:val="4C896AE6"/>
    <w:rsid w:val="4C975D73"/>
    <w:rsid w:val="4C9A5162"/>
    <w:rsid w:val="4CA9686D"/>
    <w:rsid w:val="4CAB0740"/>
    <w:rsid w:val="4CAF130F"/>
    <w:rsid w:val="4CB71505"/>
    <w:rsid w:val="4CB80F98"/>
    <w:rsid w:val="4CCF68F8"/>
    <w:rsid w:val="4CD62D3F"/>
    <w:rsid w:val="4CE82B4A"/>
    <w:rsid w:val="4CE92A73"/>
    <w:rsid w:val="4CEA7A4E"/>
    <w:rsid w:val="4D024E21"/>
    <w:rsid w:val="4D05699D"/>
    <w:rsid w:val="4D057181"/>
    <w:rsid w:val="4D0A29E9"/>
    <w:rsid w:val="4D143F67"/>
    <w:rsid w:val="4D1D44CA"/>
    <w:rsid w:val="4D3D2230"/>
    <w:rsid w:val="4D426C64"/>
    <w:rsid w:val="4D591EDF"/>
    <w:rsid w:val="4D596628"/>
    <w:rsid w:val="4D5A3970"/>
    <w:rsid w:val="4D5B7E22"/>
    <w:rsid w:val="4D894B92"/>
    <w:rsid w:val="4DAC584E"/>
    <w:rsid w:val="4DC06044"/>
    <w:rsid w:val="4DC112FA"/>
    <w:rsid w:val="4DC66DD3"/>
    <w:rsid w:val="4DDD7D19"/>
    <w:rsid w:val="4DE90850"/>
    <w:rsid w:val="4DED3B17"/>
    <w:rsid w:val="4DEF7155"/>
    <w:rsid w:val="4E02522B"/>
    <w:rsid w:val="4E092961"/>
    <w:rsid w:val="4E1E04FA"/>
    <w:rsid w:val="4E255593"/>
    <w:rsid w:val="4E255DB0"/>
    <w:rsid w:val="4E31544E"/>
    <w:rsid w:val="4E365CF2"/>
    <w:rsid w:val="4E3C6BD2"/>
    <w:rsid w:val="4E446431"/>
    <w:rsid w:val="4E4C0585"/>
    <w:rsid w:val="4E5C7274"/>
    <w:rsid w:val="4E7445BE"/>
    <w:rsid w:val="4E8A3DE2"/>
    <w:rsid w:val="4E8B6175"/>
    <w:rsid w:val="4E95613A"/>
    <w:rsid w:val="4EA03605"/>
    <w:rsid w:val="4EA56E6D"/>
    <w:rsid w:val="4EB46B62"/>
    <w:rsid w:val="4EC91EDD"/>
    <w:rsid w:val="4ECC0586"/>
    <w:rsid w:val="4ED4505D"/>
    <w:rsid w:val="4EE03A01"/>
    <w:rsid w:val="4EF179BD"/>
    <w:rsid w:val="4F023926"/>
    <w:rsid w:val="4F0516BA"/>
    <w:rsid w:val="4F09622F"/>
    <w:rsid w:val="4F161B19"/>
    <w:rsid w:val="4F1725E6"/>
    <w:rsid w:val="4F2A7373"/>
    <w:rsid w:val="4F2F56D2"/>
    <w:rsid w:val="4F3E0943"/>
    <w:rsid w:val="4F455F5A"/>
    <w:rsid w:val="4F4C3068"/>
    <w:rsid w:val="4F511463"/>
    <w:rsid w:val="4F66250B"/>
    <w:rsid w:val="4F786330"/>
    <w:rsid w:val="4F84459E"/>
    <w:rsid w:val="4F8D5F89"/>
    <w:rsid w:val="4F9F566B"/>
    <w:rsid w:val="4FA03191"/>
    <w:rsid w:val="4FB1539E"/>
    <w:rsid w:val="4FED00CE"/>
    <w:rsid w:val="4FF759B3"/>
    <w:rsid w:val="500100AF"/>
    <w:rsid w:val="50011367"/>
    <w:rsid w:val="50100316"/>
    <w:rsid w:val="501076A1"/>
    <w:rsid w:val="501A0401"/>
    <w:rsid w:val="501C6CBB"/>
    <w:rsid w:val="502E727F"/>
    <w:rsid w:val="503A372E"/>
    <w:rsid w:val="504306EC"/>
    <w:rsid w:val="50575F45"/>
    <w:rsid w:val="50597F0F"/>
    <w:rsid w:val="507E1724"/>
    <w:rsid w:val="508A68D5"/>
    <w:rsid w:val="509A20AA"/>
    <w:rsid w:val="50C02639"/>
    <w:rsid w:val="50C51101"/>
    <w:rsid w:val="50D77086"/>
    <w:rsid w:val="50DE21C3"/>
    <w:rsid w:val="50E16707"/>
    <w:rsid w:val="50E91C75"/>
    <w:rsid w:val="50FE0AB7"/>
    <w:rsid w:val="51115BA2"/>
    <w:rsid w:val="511A58F1"/>
    <w:rsid w:val="513E13B1"/>
    <w:rsid w:val="5148518D"/>
    <w:rsid w:val="51556929"/>
    <w:rsid w:val="51591101"/>
    <w:rsid w:val="517149F7"/>
    <w:rsid w:val="51A0331D"/>
    <w:rsid w:val="51A36C20"/>
    <w:rsid w:val="51B22554"/>
    <w:rsid w:val="51BD525E"/>
    <w:rsid w:val="51C94C21"/>
    <w:rsid w:val="51D84286"/>
    <w:rsid w:val="51E51FEA"/>
    <w:rsid w:val="51EF6D6C"/>
    <w:rsid w:val="52232203"/>
    <w:rsid w:val="52423B1B"/>
    <w:rsid w:val="524644C3"/>
    <w:rsid w:val="524E29FC"/>
    <w:rsid w:val="526130AB"/>
    <w:rsid w:val="52662336"/>
    <w:rsid w:val="52693A5E"/>
    <w:rsid w:val="526A2481"/>
    <w:rsid w:val="526F66CB"/>
    <w:rsid w:val="528B19E1"/>
    <w:rsid w:val="52A631B4"/>
    <w:rsid w:val="52AA4F04"/>
    <w:rsid w:val="52B257AF"/>
    <w:rsid w:val="52B96A43"/>
    <w:rsid w:val="52C06024"/>
    <w:rsid w:val="52C41E59"/>
    <w:rsid w:val="52CF2DEE"/>
    <w:rsid w:val="52D47EAB"/>
    <w:rsid w:val="52D501A0"/>
    <w:rsid w:val="52D856E3"/>
    <w:rsid w:val="52EA0754"/>
    <w:rsid w:val="52EA30A1"/>
    <w:rsid w:val="52ED6F99"/>
    <w:rsid w:val="52F54CA1"/>
    <w:rsid w:val="52FC7134"/>
    <w:rsid w:val="530C4F97"/>
    <w:rsid w:val="53114793"/>
    <w:rsid w:val="531225F7"/>
    <w:rsid w:val="533B56AA"/>
    <w:rsid w:val="53572AF0"/>
    <w:rsid w:val="535B3F9E"/>
    <w:rsid w:val="53663352"/>
    <w:rsid w:val="53784B50"/>
    <w:rsid w:val="537E1A3B"/>
    <w:rsid w:val="5382777D"/>
    <w:rsid w:val="5385101B"/>
    <w:rsid w:val="53895A9B"/>
    <w:rsid w:val="539A4AC7"/>
    <w:rsid w:val="539C27CC"/>
    <w:rsid w:val="53A96AB8"/>
    <w:rsid w:val="53AA2830"/>
    <w:rsid w:val="53C716C4"/>
    <w:rsid w:val="53CC76F2"/>
    <w:rsid w:val="53CE4770"/>
    <w:rsid w:val="53CF1BBC"/>
    <w:rsid w:val="53DB6E8D"/>
    <w:rsid w:val="53E53C1B"/>
    <w:rsid w:val="53E62E1E"/>
    <w:rsid w:val="53E73A84"/>
    <w:rsid w:val="53E775E0"/>
    <w:rsid w:val="53EE096F"/>
    <w:rsid w:val="53F73CC7"/>
    <w:rsid w:val="53FD561A"/>
    <w:rsid w:val="5402441A"/>
    <w:rsid w:val="54061B6B"/>
    <w:rsid w:val="54093C41"/>
    <w:rsid w:val="540E2DBF"/>
    <w:rsid w:val="54236099"/>
    <w:rsid w:val="54352A41"/>
    <w:rsid w:val="54420CBA"/>
    <w:rsid w:val="54482775"/>
    <w:rsid w:val="544A1E9C"/>
    <w:rsid w:val="547D09A9"/>
    <w:rsid w:val="54811187"/>
    <w:rsid w:val="54882382"/>
    <w:rsid w:val="54882B71"/>
    <w:rsid w:val="548D63DA"/>
    <w:rsid w:val="54976659"/>
    <w:rsid w:val="54B4718D"/>
    <w:rsid w:val="54C55B73"/>
    <w:rsid w:val="54C85664"/>
    <w:rsid w:val="54C90B38"/>
    <w:rsid w:val="54CA1EED"/>
    <w:rsid w:val="54CF07A0"/>
    <w:rsid w:val="54D230FF"/>
    <w:rsid w:val="54EF10C2"/>
    <w:rsid w:val="54F54CBF"/>
    <w:rsid w:val="54FB4AFB"/>
    <w:rsid w:val="550E2F04"/>
    <w:rsid w:val="55237A8C"/>
    <w:rsid w:val="55256E3A"/>
    <w:rsid w:val="55452810"/>
    <w:rsid w:val="55455BB9"/>
    <w:rsid w:val="55825812"/>
    <w:rsid w:val="55AA6B17"/>
    <w:rsid w:val="55AF412E"/>
    <w:rsid w:val="55B63CA9"/>
    <w:rsid w:val="55B90813"/>
    <w:rsid w:val="55C027DF"/>
    <w:rsid w:val="55C061AB"/>
    <w:rsid w:val="55D852F8"/>
    <w:rsid w:val="55E150F3"/>
    <w:rsid w:val="55E4027B"/>
    <w:rsid w:val="55EB22B2"/>
    <w:rsid w:val="560E52FB"/>
    <w:rsid w:val="5613290E"/>
    <w:rsid w:val="561A2D6B"/>
    <w:rsid w:val="561C5C67"/>
    <w:rsid w:val="5621040C"/>
    <w:rsid w:val="56244B1C"/>
    <w:rsid w:val="56396465"/>
    <w:rsid w:val="56452BD8"/>
    <w:rsid w:val="565B1A48"/>
    <w:rsid w:val="566C201F"/>
    <w:rsid w:val="567925AF"/>
    <w:rsid w:val="56813D1C"/>
    <w:rsid w:val="56825779"/>
    <w:rsid w:val="568A3D29"/>
    <w:rsid w:val="568F46D5"/>
    <w:rsid w:val="56943FC2"/>
    <w:rsid w:val="56A95021"/>
    <w:rsid w:val="56B10E2B"/>
    <w:rsid w:val="56B91708"/>
    <w:rsid w:val="56BE21DD"/>
    <w:rsid w:val="56CB4F97"/>
    <w:rsid w:val="56DE4CCA"/>
    <w:rsid w:val="56F277AC"/>
    <w:rsid w:val="56F50266"/>
    <w:rsid w:val="570A0313"/>
    <w:rsid w:val="570A0B6F"/>
    <w:rsid w:val="570A4C38"/>
    <w:rsid w:val="572A6162"/>
    <w:rsid w:val="573568B4"/>
    <w:rsid w:val="573A24CF"/>
    <w:rsid w:val="574014E1"/>
    <w:rsid w:val="57475245"/>
    <w:rsid w:val="574B7E86"/>
    <w:rsid w:val="57593DC7"/>
    <w:rsid w:val="576F0018"/>
    <w:rsid w:val="57727F70"/>
    <w:rsid w:val="577D7A74"/>
    <w:rsid w:val="57875362"/>
    <w:rsid w:val="578E04AF"/>
    <w:rsid w:val="579244AC"/>
    <w:rsid w:val="579B0E0D"/>
    <w:rsid w:val="57A001D2"/>
    <w:rsid w:val="57AC2400"/>
    <w:rsid w:val="57DE6F4C"/>
    <w:rsid w:val="57EA33AA"/>
    <w:rsid w:val="57F73F9B"/>
    <w:rsid w:val="58027B03"/>
    <w:rsid w:val="58070251"/>
    <w:rsid w:val="5820230F"/>
    <w:rsid w:val="582232DD"/>
    <w:rsid w:val="58417C07"/>
    <w:rsid w:val="58487CD2"/>
    <w:rsid w:val="584B375C"/>
    <w:rsid w:val="585651F5"/>
    <w:rsid w:val="58596703"/>
    <w:rsid w:val="586C1566"/>
    <w:rsid w:val="58753AD9"/>
    <w:rsid w:val="587A4EC7"/>
    <w:rsid w:val="58A12453"/>
    <w:rsid w:val="58B02697"/>
    <w:rsid w:val="58B02D6B"/>
    <w:rsid w:val="58BB6023"/>
    <w:rsid w:val="58BE7724"/>
    <w:rsid w:val="58C47B45"/>
    <w:rsid w:val="58CC4A4A"/>
    <w:rsid w:val="58F023B5"/>
    <w:rsid w:val="58F61AC2"/>
    <w:rsid w:val="58FF53CC"/>
    <w:rsid w:val="590429E2"/>
    <w:rsid w:val="59044790"/>
    <w:rsid w:val="591250FF"/>
    <w:rsid w:val="5919023C"/>
    <w:rsid w:val="59260BAB"/>
    <w:rsid w:val="59266BC1"/>
    <w:rsid w:val="5928683B"/>
    <w:rsid w:val="59372DB8"/>
    <w:rsid w:val="59384E7E"/>
    <w:rsid w:val="593F3127"/>
    <w:rsid w:val="59441FC0"/>
    <w:rsid w:val="594C398F"/>
    <w:rsid w:val="59632C1D"/>
    <w:rsid w:val="59760799"/>
    <w:rsid w:val="597937E2"/>
    <w:rsid w:val="599A63F7"/>
    <w:rsid w:val="599D60CB"/>
    <w:rsid w:val="59A76C0F"/>
    <w:rsid w:val="59BA1CB0"/>
    <w:rsid w:val="59E24A40"/>
    <w:rsid w:val="59EE4CE3"/>
    <w:rsid w:val="5A0D7240"/>
    <w:rsid w:val="5A355549"/>
    <w:rsid w:val="5A3D6381"/>
    <w:rsid w:val="5A407A4A"/>
    <w:rsid w:val="5A4B29D2"/>
    <w:rsid w:val="5A5759C2"/>
    <w:rsid w:val="5A5D1A36"/>
    <w:rsid w:val="5A6276D9"/>
    <w:rsid w:val="5A6364C8"/>
    <w:rsid w:val="5A6574B1"/>
    <w:rsid w:val="5A67132F"/>
    <w:rsid w:val="5A974B92"/>
    <w:rsid w:val="5A9B1124"/>
    <w:rsid w:val="5AB20948"/>
    <w:rsid w:val="5AB4062E"/>
    <w:rsid w:val="5ADC3C17"/>
    <w:rsid w:val="5AE72282"/>
    <w:rsid w:val="5AE825BC"/>
    <w:rsid w:val="5AF94F27"/>
    <w:rsid w:val="5B073513"/>
    <w:rsid w:val="5B0867BA"/>
    <w:rsid w:val="5B1741C9"/>
    <w:rsid w:val="5B305023"/>
    <w:rsid w:val="5B33135D"/>
    <w:rsid w:val="5B3A0320"/>
    <w:rsid w:val="5B404243"/>
    <w:rsid w:val="5B52280E"/>
    <w:rsid w:val="5B5B3870"/>
    <w:rsid w:val="5B703146"/>
    <w:rsid w:val="5B8F6EDB"/>
    <w:rsid w:val="5B9C0D49"/>
    <w:rsid w:val="5B9D0AFF"/>
    <w:rsid w:val="5B9F51E0"/>
    <w:rsid w:val="5BA109BC"/>
    <w:rsid w:val="5BAC183B"/>
    <w:rsid w:val="5BB66216"/>
    <w:rsid w:val="5BEF6866"/>
    <w:rsid w:val="5BF64864"/>
    <w:rsid w:val="5C250121"/>
    <w:rsid w:val="5C25105F"/>
    <w:rsid w:val="5C361105"/>
    <w:rsid w:val="5C495A0F"/>
    <w:rsid w:val="5C524446"/>
    <w:rsid w:val="5C5459E8"/>
    <w:rsid w:val="5C5A7811"/>
    <w:rsid w:val="5C621EFA"/>
    <w:rsid w:val="5C865489"/>
    <w:rsid w:val="5CBA7F88"/>
    <w:rsid w:val="5CD64696"/>
    <w:rsid w:val="5CD728E8"/>
    <w:rsid w:val="5CEA3175"/>
    <w:rsid w:val="5D171FD9"/>
    <w:rsid w:val="5D177539"/>
    <w:rsid w:val="5D1C479E"/>
    <w:rsid w:val="5D1E0517"/>
    <w:rsid w:val="5D2A6606"/>
    <w:rsid w:val="5D2E7100"/>
    <w:rsid w:val="5D3A69D3"/>
    <w:rsid w:val="5D3C274B"/>
    <w:rsid w:val="5D5F6439"/>
    <w:rsid w:val="5D62113D"/>
    <w:rsid w:val="5D651EF4"/>
    <w:rsid w:val="5D6F2B20"/>
    <w:rsid w:val="5D835622"/>
    <w:rsid w:val="5D8A46A3"/>
    <w:rsid w:val="5D910EA3"/>
    <w:rsid w:val="5D92680F"/>
    <w:rsid w:val="5D97285F"/>
    <w:rsid w:val="5D973E25"/>
    <w:rsid w:val="5DB55E34"/>
    <w:rsid w:val="5DC85205"/>
    <w:rsid w:val="5DD230AF"/>
    <w:rsid w:val="5DD546AD"/>
    <w:rsid w:val="5DE3706A"/>
    <w:rsid w:val="5DE74DAC"/>
    <w:rsid w:val="5DEF5A0F"/>
    <w:rsid w:val="5DFC012C"/>
    <w:rsid w:val="5E033269"/>
    <w:rsid w:val="5E053485"/>
    <w:rsid w:val="5E236BB5"/>
    <w:rsid w:val="5E361A1F"/>
    <w:rsid w:val="5E453881"/>
    <w:rsid w:val="5E4D0988"/>
    <w:rsid w:val="5E531459"/>
    <w:rsid w:val="5E547F68"/>
    <w:rsid w:val="5E55527C"/>
    <w:rsid w:val="5E5B2FBB"/>
    <w:rsid w:val="5E5B62CD"/>
    <w:rsid w:val="5E631F59"/>
    <w:rsid w:val="5E68756F"/>
    <w:rsid w:val="5E833E82"/>
    <w:rsid w:val="5E867255"/>
    <w:rsid w:val="5EA2174E"/>
    <w:rsid w:val="5EB12C47"/>
    <w:rsid w:val="5EBB031A"/>
    <w:rsid w:val="5EBD764C"/>
    <w:rsid w:val="5EBF3633"/>
    <w:rsid w:val="5ED30E8D"/>
    <w:rsid w:val="5ED370DF"/>
    <w:rsid w:val="5EE42F1C"/>
    <w:rsid w:val="5EEB0A6C"/>
    <w:rsid w:val="5EEE7630"/>
    <w:rsid w:val="5EF01A3F"/>
    <w:rsid w:val="5EF973AD"/>
    <w:rsid w:val="5EFD415C"/>
    <w:rsid w:val="5F031CF6"/>
    <w:rsid w:val="5F076D88"/>
    <w:rsid w:val="5F096EE1"/>
    <w:rsid w:val="5F162E16"/>
    <w:rsid w:val="5F164C85"/>
    <w:rsid w:val="5F166FCB"/>
    <w:rsid w:val="5F1D4AB9"/>
    <w:rsid w:val="5F23444E"/>
    <w:rsid w:val="5F237781"/>
    <w:rsid w:val="5F275B86"/>
    <w:rsid w:val="5F286AEB"/>
    <w:rsid w:val="5F2E4FD2"/>
    <w:rsid w:val="5F351B48"/>
    <w:rsid w:val="5F6E5267"/>
    <w:rsid w:val="5F765712"/>
    <w:rsid w:val="5F7849B4"/>
    <w:rsid w:val="5F824661"/>
    <w:rsid w:val="5F880606"/>
    <w:rsid w:val="5F8811CD"/>
    <w:rsid w:val="5FCD3B8B"/>
    <w:rsid w:val="5FD46245"/>
    <w:rsid w:val="5FD5619A"/>
    <w:rsid w:val="60273C37"/>
    <w:rsid w:val="60276A4D"/>
    <w:rsid w:val="60410883"/>
    <w:rsid w:val="604A13BF"/>
    <w:rsid w:val="604C7149"/>
    <w:rsid w:val="60557017"/>
    <w:rsid w:val="60651FB9"/>
    <w:rsid w:val="606A5821"/>
    <w:rsid w:val="607529CF"/>
    <w:rsid w:val="607D2469"/>
    <w:rsid w:val="607E3E78"/>
    <w:rsid w:val="608E7761"/>
    <w:rsid w:val="60A56859"/>
    <w:rsid w:val="60AC72AF"/>
    <w:rsid w:val="60B62814"/>
    <w:rsid w:val="60BC36D4"/>
    <w:rsid w:val="60C2740B"/>
    <w:rsid w:val="60C535E3"/>
    <w:rsid w:val="60C77198"/>
    <w:rsid w:val="60CB15B8"/>
    <w:rsid w:val="60CF01D1"/>
    <w:rsid w:val="60E00483"/>
    <w:rsid w:val="60E6502A"/>
    <w:rsid w:val="60E97959"/>
    <w:rsid w:val="60EE3015"/>
    <w:rsid w:val="60FD22A9"/>
    <w:rsid w:val="61025A59"/>
    <w:rsid w:val="610B772B"/>
    <w:rsid w:val="61137C66"/>
    <w:rsid w:val="61223996"/>
    <w:rsid w:val="612B4AF6"/>
    <w:rsid w:val="61455E0B"/>
    <w:rsid w:val="614B5652"/>
    <w:rsid w:val="614F6102"/>
    <w:rsid w:val="615A1EB1"/>
    <w:rsid w:val="615A5895"/>
    <w:rsid w:val="616014F6"/>
    <w:rsid w:val="61616C24"/>
    <w:rsid w:val="61632B2C"/>
    <w:rsid w:val="61661192"/>
    <w:rsid w:val="616871BA"/>
    <w:rsid w:val="61724770"/>
    <w:rsid w:val="617A5F38"/>
    <w:rsid w:val="61894536"/>
    <w:rsid w:val="6192502F"/>
    <w:rsid w:val="6198016C"/>
    <w:rsid w:val="61A03961"/>
    <w:rsid w:val="61A85804"/>
    <w:rsid w:val="61B361AF"/>
    <w:rsid w:val="61C820C1"/>
    <w:rsid w:val="61D92C5E"/>
    <w:rsid w:val="61DE18A1"/>
    <w:rsid w:val="61E56728"/>
    <w:rsid w:val="61EA4E6B"/>
    <w:rsid w:val="61F26D2F"/>
    <w:rsid w:val="61F34DAC"/>
    <w:rsid w:val="62024E6F"/>
    <w:rsid w:val="62145A44"/>
    <w:rsid w:val="621517BC"/>
    <w:rsid w:val="621876DB"/>
    <w:rsid w:val="622851C3"/>
    <w:rsid w:val="622C1CC3"/>
    <w:rsid w:val="622F0AD0"/>
    <w:rsid w:val="62436A1E"/>
    <w:rsid w:val="625422E5"/>
    <w:rsid w:val="62595B4D"/>
    <w:rsid w:val="625C563D"/>
    <w:rsid w:val="625E13B5"/>
    <w:rsid w:val="626064AB"/>
    <w:rsid w:val="626D784A"/>
    <w:rsid w:val="62710D4C"/>
    <w:rsid w:val="627B5AC3"/>
    <w:rsid w:val="627F63C9"/>
    <w:rsid w:val="628726BA"/>
    <w:rsid w:val="629602D7"/>
    <w:rsid w:val="629628FD"/>
    <w:rsid w:val="629A005B"/>
    <w:rsid w:val="62A0552A"/>
    <w:rsid w:val="62A0589C"/>
    <w:rsid w:val="62B05A7B"/>
    <w:rsid w:val="62B17737"/>
    <w:rsid w:val="62CE02E9"/>
    <w:rsid w:val="62CE1E6A"/>
    <w:rsid w:val="62D368CB"/>
    <w:rsid w:val="62E06DFC"/>
    <w:rsid w:val="62E1788D"/>
    <w:rsid w:val="62F51D1A"/>
    <w:rsid w:val="630C7063"/>
    <w:rsid w:val="630F39A3"/>
    <w:rsid w:val="632A1297"/>
    <w:rsid w:val="632E0D88"/>
    <w:rsid w:val="63304B00"/>
    <w:rsid w:val="63462575"/>
    <w:rsid w:val="634E2001"/>
    <w:rsid w:val="636C7599"/>
    <w:rsid w:val="637D78A5"/>
    <w:rsid w:val="63801B06"/>
    <w:rsid w:val="63955040"/>
    <w:rsid w:val="63A27E12"/>
    <w:rsid w:val="63AB3CC0"/>
    <w:rsid w:val="63B55005"/>
    <w:rsid w:val="63C10BA5"/>
    <w:rsid w:val="63C9032D"/>
    <w:rsid w:val="63CE60C7"/>
    <w:rsid w:val="63D619DB"/>
    <w:rsid w:val="63E31100"/>
    <w:rsid w:val="63EA1DC8"/>
    <w:rsid w:val="63ED479F"/>
    <w:rsid w:val="63F80888"/>
    <w:rsid w:val="63F8253B"/>
    <w:rsid w:val="63F91AF8"/>
    <w:rsid w:val="63FD459A"/>
    <w:rsid w:val="6406110F"/>
    <w:rsid w:val="64202152"/>
    <w:rsid w:val="64226A78"/>
    <w:rsid w:val="642A0795"/>
    <w:rsid w:val="6430766A"/>
    <w:rsid w:val="643B1B97"/>
    <w:rsid w:val="64502F80"/>
    <w:rsid w:val="64560487"/>
    <w:rsid w:val="645C5ECD"/>
    <w:rsid w:val="646730B1"/>
    <w:rsid w:val="646B2F17"/>
    <w:rsid w:val="647A710A"/>
    <w:rsid w:val="647E4AE2"/>
    <w:rsid w:val="648403D4"/>
    <w:rsid w:val="6485361E"/>
    <w:rsid w:val="64911A6F"/>
    <w:rsid w:val="64A37553"/>
    <w:rsid w:val="64A62BA0"/>
    <w:rsid w:val="64BC5D95"/>
    <w:rsid w:val="64CA7F76"/>
    <w:rsid w:val="64D836A1"/>
    <w:rsid w:val="64F2474D"/>
    <w:rsid w:val="64F459A1"/>
    <w:rsid w:val="650514F3"/>
    <w:rsid w:val="6507769C"/>
    <w:rsid w:val="650F4E52"/>
    <w:rsid w:val="651915C4"/>
    <w:rsid w:val="6519434E"/>
    <w:rsid w:val="651E1BB7"/>
    <w:rsid w:val="651F5E26"/>
    <w:rsid w:val="65257F68"/>
    <w:rsid w:val="65366619"/>
    <w:rsid w:val="65420B1A"/>
    <w:rsid w:val="65424620"/>
    <w:rsid w:val="6549033B"/>
    <w:rsid w:val="654A578E"/>
    <w:rsid w:val="657A3362"/>
    <w:rsid w:val="657F07CA"/>
    <w:rsid w:val="65847385"/>
    <w:rsid w:val="65942C36"/>
    <w:rsid w:val="659A0956"/>
    <w:rsid w:val="659B7FEE"/>
    <w:rsid w:val="65CA7F7C"/>
    <w:rsid w:val="65D52ECB"/>
    <w:rsid w:val="65DE4D8E"/>
    <w:rsid w:val="65DF280D"/>
    <w:rsid w:val="65FF6A0B"/>
    <w:rsid w:val="660364FC"/>
    <w:rsid w:val="66086D25"/>
    <w:rsid w:val="660D2ED6"/>
    <w:rsid w:val="660D5738"/>
    <w:rsid w:val="66434B4A"/>
    <w:rsid w:val="6659611C"/>
    <w:rsid w:val="665B1692"/>
    <w:rsid w:val="66670BC3"/>
    <w:rsid w:val="66682803"/>
    <w:rsid w:val="66705465"/>
    <w:rsid w:val="667540A2"/>
    <w:rsid w:val="6678134D"/>
    <w:rsid w:val="667F5CA3"/>
    <w:rsid w:val="66867E45"/>
    <w:rsid w:val="668C7AB7"/>
    <w:rsid w:val="66B67BAE"/>
    <w:rsid w:val="66CA7019"/>
    <w:rsid w:val="66CB49D5"/>
    <w:rsid w:val="66DE0876"/>
    <w:rsid w:val="66E55997"/>
    <w:rsid w:val="66E856F1"/>
    <w:rsid w:val="66EC51E2"/>
    <w:rsid w:val="66F83B86"/>
    <w:rsid w:val="6703087C"/>
    <w:rsid w:val="67185FD7"/>
    <w:rsid w:val="672A3D18"/>
    <w:rsid w:val="672E05F7"/>
    <w:rsid w:val="672F50CE"/>
    <w:rsid w:val="67486822"/>
    <w:rsid w:val="67542D87"/>
    <w:rsid w:val="67567A94"/>
    <w:rsid w:val="675B48BC"/>
    <w:rsid w:val="67675AE7"/>
    <w:rsid w:val="676A6106"/>
    <w:rsid w:val="67784CC7"/>
    <w:rsid w:val="678725FF"/>
    <w:rsid w:val="678D3C58"/>
    <w:rsid w:val="6796278B"/>
    <w:rsid w:val="67982C74"/>
    <w:rsid w:val="679D64DC"/>
    <w:rsid w:val="67A57D6B"/>
    <w:rsid w:val="67B2593F"/>
    <w:rsid w:val="67B751C8"/>
    <w:rsid w:val="67CC73CE"/>
    <w:rsid w:val="67D143D7"/>
    <w:rsid w:val="67D5211A"/>
    <w:rsid w:val="67DC1C82"/>
    <w:rsid w:val="67E72670"/>
    <w:rsid w:val="67EB4F98"/>
    <w:rsid w:val="67F46EA4"/>
    <w:rsid w:val="680B5347"/>
    <w:rsid w:val="68106CAE"/>
    <w:rsid w:val="68160F1F"/>
    <w:rsid w:val="681C2F83"/>
    <w:rsid w:val="681D290A"/>
    <w:rsid w:val="68306D42"/>
    <w:rsid w:val="68334DCA"/>
    <w:rsid w:val="68360FE9"/>
    <w:rsid w:val="684D188E"/>
    <w:rsid w:val="684E5A28"/>
    <w:rsid w:val="68543177"/>
    <w:rsid w:val="685F2787"/>
    <w:rsid w:val="68600ACD"/>
    <w:rsid w:val="68603D29"/>
    <w:rsid w:val="686D4792"/>
    <w:rsid w:val="686F2D59"/>
    <w:rsid w:val="6871663D"/>
    <w:rsid w:val="6875338A"/>
    <w:rsid w:val="689C116A"/>
    <w:rsid w:val="68AE105F"/>
    <w:rsid w:val="68D93544"/>
    <w:rsid w:val="68E121C6"/>
    <w:rsid w:val="68EC771B"/>
    <w:rsid w:val="68FE2FAA"/>
    <w:rsid w:val="69023BD7"/>
    <w:rsid w:val="690B4708"/>
    <w:rsid w:val="691B6792"/>
    <w:rsid w:val="69276EF7"/>
    <w:rsid w:val="692A03AA"/>
    <w:rsid w:val="694163B0"/>
    <w:rsid w:val="69482C0B"/>
    <w:rsid w:val="694B2B30"/>
    <w:rsid w:val="694D4784"/>
    <w:rsid w:val="694F4FBE"/>
    <w:rsid w:val="695E7EED"/>
    <w:rsid w:val="697E141D"/>
    <w:rsid w:val="69912B59"/>
    <w:rsid w:val="69942F51"/>
    <w:rsid w:val="699833FF"/>
    <w:rsid w:val="699D0A15"/>
    <w:rsid w:val="69A60F77"/>
    <w:rsid w:val="69A91120"/>
    <w:rsid w:val="69AA43BC"/>
    <w:rsid w:val="69AD23EF"/>
    <w:rsid w:val="69B45756"/>
    <w:rsid w:val="69BF098B"/>
    <w:rsid w:val="69C3433E"/>
    <w:rsid w:val="69C67F6C"/>
    <w:rsid w:val="69CB380B"/>
    <w:rsid w:val="69D4265C"/>
    <w:rsid w:val="69DF06E5"/>
    <w:rsid w:val="69DF2DDC"/>
    <w:rsid w:val="69E47ED2"/>
    <w:rsid w:val="69E53DCC"/>
    <w:rsid w:val="6A06480C"/>
    <w:rsid w:val="6A0C6649"/>
    <w:rsid w:val="6A117B68"/>
    <w:rsid w:val="6A1C5859"/>
    <w:rsid w:val="6A1E54E2"/>
    <w:rsid w:val="6A38504A"/>
    <w:rsid w:val="6A3C5FED"/>
    <w:rsid w:val="6A527A52"/>
    <w:rsid w:val="6A604630"/>
    <w:rsid w:val="6A6441F0"/>
    <w:rsid w:val="6A752C48"/>
    <w:rsid w:val="6A781C3D"/>
    <w:rsid w:val="6A810BC5"/>
    <w:rsid w:val="6A9C2A7B"/>
    <w:rsid w:val="6A9E67F3"/>
    <w:rsid w:val="6AA84FF7"/>
    <w:rsid w:val="6AB26742"/>
    <w:rsid w:val="6ABB592C"/>
    <w:rsid w:val="6AD92158"/>
    <w:rsid w:val="6AEA0258"/>
    <w:rsid w:val="6AEE44AE"/>
    <w:rsid w:val="6AEF34F2"/>
    <w:rsid w:val="6AF503DD"/>
    <w:rsid w:val="6AF8679D"/>
    <w:rsid w:val="6AFF5CBC"/>
    <w:rsid w:val="6B0B6A4F"/>
    <w:rsid w:val="6B0F0A0F"/>
    <w:rsid w:val="6B1A6770"/>
    <w:rsid w:val="6B3727A3"/>
    <w:rsid w:val="6B514E55"/>
    <w:rsid w:val="6B607F4C"/>
    <w:rsid w:val="6B6D4E46"/>
    <w:rsid w:val="6B7B4E53"/>
    <w:rsid w:val="6B934DFE"/>
    <w:rsid w:val="6BB001EC"/>
    <w:rsid w:val="6BB75D99"/>
    <w:rsid w:val="6BB87D88"/>
    <w:rsid w:val="6BBD33C7"/>
    <w:rsid w:val="6BBF12E4"/>
    <w:rsid w:val="6BC73B27"/>
    <w:rsid w:val="6BE91CF0"/>
    <w:rsid w:val="6C0161ED"/>
    <w:rsid w:val="6C093AF5"/>
    <w:rsid w:val="6C0C6DD1"/>
    <w:rsid w:val="6C1608CC"/>
    <w:rsid w:val="6C1A3761"/>
    <w:rsid w:val="6C1B20C5"/>
    <w:rsid w:val="6C353187"/>
    <w:rsid w:val="6C355499"/>
    <w:rsid w:val="6C423E91"/>
    <w:rsid w:val="6C4D7430"/>
    <w:rsid w:val="6C523D39"/>
    <w:rsid w:val="6C52487F"/>
    <w:rsid w:val="6C56082D"/>
    <w:rsid w:val="6C5A595B"/>
    <w:rsid w:val="6C6D3A77"/>
    <w:rsid w:val="6C7918A9"/>
    <w:rsid w:val="6C937EAD"/>
    <w:rsid w:val="6CB2004E"/>
    <w:rsid w:val="6CB6061C"/>
    <w:rsid w:val="6CC1090D"/>
    <w:rsid w:val="6CD9218C"/>
    <w:rsid w:val="6CE25BC9"/>
    <w:rsid w:val="6CE4102A"/>
    <w:rsid w:val="6CE83AE4"/>
    <w:rsid w:val="6CF0352F"/>
    <w:rsid w:val="6CFA684D"/>
    <w:rsid w:val="6CFC1EF7"/>
    <w:rsid w:val="6CFE01E9"/>
    <w:rsid w:val="6D07038D"/>
    <w:rsid w:val="6D250DC8"/>
    <w:rsid w:val="6D260D22"/>
    <w:rsid w:val="6D321474"/>
    <w:rsid w:val="6D3419BB"/>
    <w:rsid w:val="6D4C45C2"/>
    <w:rsid w:val="6D4C4F97"/>
    <w:rsid w:val="6D574C61"/>
    <w:rsid w:val="6D6040DA"/>
    <w:rsid w:val="6D604233"/>
    <w:rsid w:val="6D665975"/>
    <w:rsid w:val="6D7C5FAF"/>
    <w:rsid w:val="6DB2551B"/>
    <w:rsid w:val="6DC522E8"/>
    <w:rsid w:val="6DC555AF"/>
    <w:rsid w:val="6DCA33F7"/>
    <w:rsid w:val="6DE6443E"/>
    <w:rsid w:val="6DFA4688"/>
    <w:rsid w:val="6DFB0400"/>
    <w:rsid w:val="6E0A58FC"/>
    <w:rsid w:val="6E143CB3"/>
    <w:rsid w:val="6E243EA7"/>
    <w:rsid w:val="6E245261"/>
    <w:rsid w:val="6E2702B3"/>
    <w:rsid w:val="6E331149"/>
    <w:rsid w:val="6E3F27EB"/>
    <w:rsid w:val="6E4D46BD"/>
    <w:rsid w:val="6E661CC1"/>
    <w:rsid w:val="6E6B2812"/>
    <w:rsid w:val="6E9C74ED"/>
    <w:rsid w:val="6EA44694"/>
    <w:rsid w:val="6EBC193D"/>
    <w:rsid w:val="6EBD2D90"/>
    <w:rsid w:val="6EC24A7A"/>
    <w:rsid w:val="6ED13570"/>
    <w:rsid w:val="6EDA761A"/>
    <w:rsid w:val="6EDC4746"/>
    <w:rsid w:val="6EE36ECA"/>
    <w:rsid w:val="6EF964E4"/>
    <w:rsid w:val="6F146900"/>
    <w:rsid w:val="6F196756"/>
    <w:rsid w:val="6F1A27B5"/>
    <w:rsid w:val="6F1E43A6"/>
    <w:rsid w:val="6F4A6F49"/>
    <w:rsid w:val="6F5325A7"/>
    <w:rsid w:val="6F8E51BB"/>
    <w:rsid w:val="6FD827A7"/>
    <w:rsid w:val="6FDF5E92"/>
    <w:rsid w:val="700143EA"/>
    <w:rsid w:val="700466FF"/>
    <w:rsid w:val="70293003"/>
    <w:rsid w:val="703C1B28"/>
    <w:rsid w:val="703E792B"/>
    <w:rsid w:val="703F2826"/>
    <w:rsid w:val="70465FED"/>
    <w:rsid w:val="705A1860"/>
    <w:rsid w:val="705B4413"/>
    <w:rsid w:val="708A421B"/>
    <w:rsid w:val="708F2B0E"/>
    <w:rsid w:val="70A13A78"/>
    <w:rsid w:val="70AB613A"/>
    <w:rsid w:val="70B41AA1"/>
    <w:rsid w:val="70DC0075"/>
    <w:rsid w:val="70F26DBA"/>
    <w:rsid w:val="710166D1"/>
    <w:rsid w:val="710644A9"/>
    <w:rsid w:val="710650F2"/>
    <w:rsid w:val="710C14E0"/>
    <w:rsid w:val="71153A02"/>
    <w:rsid w:val="712C70EC"/>
    <w:rsid w:val="713F23B2"/>
    <w:rsid w:val="714541EF"/>
    <w:rsid w:val="714D0321"/>
    <w:rsid w:val="71535E5D"/>
    <w:rsid w:val="715431A2"/>
    <w:rsid w:val="715F4802"/>
    <w:rsid w:val="717714BE"/>
    <w:rsid w:val="717E2EDA"/>
    <w:rsid w:val="71956476"/>
    <w:rsid w:val="719C4FD0"/>
    <w:rsid w:val="71A32941"/>
    <w:rsid w:val="71A868E3"/>
    <w:rsid w:val="71AA0E6C"/>
    <w:rsid w:val="71B278E6"/>
    <w:rsid w:val="71B46619"/>
    <w:rsid w:val="71BC14A7"/>
    <w:rsid w:val="71C07997"/>
    <w:rsid w:val="71C63EF4"/>
    <w:rsid w:val="71CF7BDA"/>
    <w:rsid w:val="71DA4ACA"/>
    <w:rsid w:val="71E33685"/>
    <w:rsid w:val="71EA77CA"/>
    <w:rsid w:val="71F47640"/>
    <w:rsid w:val="721750DD"/>
    <w:rsid w:val="72212810"/>
    <w:rsid w:val="72294827"/>
    <w:rsid w:val="722C6DDA"/>
    <w:rsid w:val="72323CC5"/>
    <w:rsid w:val="72451C4A"/>
    <w:rsid w:val="7249173A"/>
    <w:rsid w:val="72555203"/>
    <w:rsid w:val="72586AB9"/>
    <w:rsid w:val="725956F5"/>
    <w:rsid w:val="72722CD6"/>
    <w:rsid w:val="72730565"/>
    <w:rsid w:val="728A5130"/>
    <w:rsid w:val="729B1921"/>
    <w:rsid w:val="72B03567"/>
    <w:rsid w:val="72D0454C"/>
    <w:rsid w:val="72DA05E4"/>
    <w:rsid w:val="72E31F60"/>
    <w:rsid w:val="72E37C49"/>
    <w:rsid w:val="72E6330D"/>
    <w:rsid w:val="72E871A5"/>
    <w:rsid w:val="730241B0"/>
    <w:rsid w:val="73125FD0"/>
    <w:rsid w:val="73281EFF"/>
    <w:rsid w:val="732E0930"/>
    <w:rsid w:val="73335F46"/>
    <w:rsid w:val="7334649C"/>
    <w:rsid w:val="73640BA8"/>
    <w:rsid w:val="736515DC"/>
    <w:rsid w:val="737177D4"/>
    <w:rsid w:val="73852C46"/>
    <w:rsid w:val="73901ECD"/>
    <w:rsid w:val="73905147"/>
    <w:rsid w:val="739D75BE"/>
    <w:rsid w:val="73A54ADC"/>
    <w:rsid w:val="73AE134F"/>
    <w:rsid w:val="73B250BD"/>
    <w:rsid w:val="73CD1EF7"/>
    <w:rsid w:val="73CF42D2"/>
    <w:rsid w:val="73D43815"/>
    <w:rsid w:val="73D9089C"/>
    <w:rsid w:val="73DB0AB8"/>
    <w:rsid w:val="73DE4A85"/>
    <w:rsid w:val="73E4308B"/>
    <w:rsid w:val="73E94CF6"/>
    <w:rsid w:val="73EA2AA9"/>
    <w:rsid w:val="73ED2599"/>
    <w:rsid w:val="73F704CE"/>
    <w:rsid w:val="74031833"/>
    <w:rsid w:val="74123DAE"/>
    <w:rsid w:val="74132CA1"/>
    <w:rsid w:val="74245119"/>
    <w:rsid w:val="74524C26"/>
    <w:rsid w:val="745436A1"/>
    <w:rsid w:val="74620891"/>
    <w:rsid w:val="747405C4"/>
    <w:rsid w:val="74830C96"/>
    <w:rsid w:val="74B35DA3"/>
    <w:rsid w:val="74C776A8"/>
    <w:rsid w:val="74F6147A"/>
    <w:rsid w:val="74F769C2"/>
    <w:rsid w:val="752244C4"/>
    <w:rsid w:val="753541F8"/>
    <w:rsid w:val="75371D1E"/>
    <w:rsid w:val="753E7EE7"/>
    <w:rsid w:val="75414826"/>
    <w:rsid w:val="75653036"/>
    <w:rsid w:val="756E5660"/>
    <w:rsid w:val="75753DAA"/>
    <w:rsid w:val="7575773E"/>
    <w:rsid w:val="7584459F"/>
    <w:rsid w:val="759274A6"/>
    <w:rsid w:val="75971745"/>
    <w:rsid w:val="759C7DD3"/>
    <w:rsid w:val="75AD3F58"/>
    <w:rsid w:val="75B158AA"/>
    <w:rsid w:val="75B345E6"/>
    <w:rsid w:val="75BC1B92"/>
    <w:rsid w:val="75BC7564"/>
    <w:rsid w:val="75C564F0"/>
    <w:rsid w:val="75D24EA3"/>
    <w:rsid w:val="75E8797A"/>
    <w:rsid w:val="75F553A9"/>
    <w:rsid w:val="76143E0D"/>
    <w:rsid w:val="762027B2"/>
    <w:rsid w:val="762662CD"/>
    <w:rsid w:val="76296DB0"/>
    <w:rsid w:val="76303EF4"/>
    <w:rsid w:val="763A13DD"/>
    <w:rsid w:val="764D5571"/>
    <w:rsid w:val="76522B87"/>
    <w:rsid w:val="767B5D6C"/>
    <w:rsid w:val="768247F5"/>
    <w:rsid w:val="768C7E47"/>
    <w:rsid w:val="76A0174E"/>
    <w:rsid w:val="76A1499B"/>
    <w:rsid w:val="76A2766B"/>
    <w:rsid w:val="76A5715B"/>
    <w:rsid w:val="76AA651F"/>
    <w:rsid w:val="76AC03C9"/>
    <w:rsid w:val="76B31878"/>
    <w:rsid w:val="76BE7DC8"/>
    <w:rsid w:val="76C80496"/>
    <w:rsid w:val="76CC538C"/>
    <w:rsid w:val="76DC5F04"/>
    <w:rsid w:val="76DD4B47"/>
    <w:rsid w:val="76E97048"/>
    <w:rsid w:val="76EA61BA"/>
    <w:rsid w:val="76F913BE"/>
    <w:rsid w:val="76FC57EB"/>
    <w:rsid w:val="76FD3E5B"/>
    <w:rsid w:val="7701399A"/>
    <w:rsid w:val="771336CB"/>
    <w:rsid w:val="7723532C"/>
    <w:rsid w:val="772917FD"/>
    <w:rsid w:val="773A4E44"/>
    <w:rsid w:val="77626DFA"/>
    <w:rsid w:val="7764254A"/>
    <w:rsid w:val="777F79AC"/>
    <w:rsid w:val="779010CB"/>
    <w:rsid w:val="77B17ACF"/>
    <w:rsid w:val="77BD2282"/>
    <w:rsid w:val="77D37B1C"/>
    <w:rsid w:val="77DB7443"/>
    <w:rsid w:val="77F57C6E"/>
    <w:rsid w:val="7806727C"/>
    <w:rsid w:val="78153E4B"/>
    <w:rsid w:val="78280044"/>
    <w:rsid w:val="783F7715"/>
    <w:rsid w:val="78436C2C"/>
    <w:rsid w:val="784D475E"/>
    <w:rsid w:val="78600961"/>
    <w:rsid w:val="78777DDD"/>
    <w:rsid w:val="78786F35"/>
    <w:rsid w:val="78905105"/>
    <w:rsid w:val="78AB19A3"/>
    <w:rsid w:val="78D25AC9"/>
    <w:rsid w:val="78DC4765"/>
    <w:rsid w:val="78DE0702"/>
    <w:rsid w:val="78E45A91"/>
    <w:rsid w:val="78EE41A4"/>
    <w:rsid w:val="78F10436"/>
    <w:rsid w:val="78F6418C"/>
    <w:rsid w:val="79131E66"/>
    <w:rsid w:val="791E4FA3"/>
    <w:rsid w:val="792F252B"/>
    <w:rsid w:val="79480A37"/>
    <w:rsid w:val="794B27AE"/>
    <w:rsid w:val="79660E24"/>
    <w:rsid w:val="79672EE5"/>
    <w:rsid w:val="797352EE"/>
    <w:rsid w:val="798C5D5F"/>
    <w:rsid w:val="799F77B8"/>
    <w:rsid w:val="79AB5448"/>
    <w:rsid w:val="79AF7ABE"/>
    <w:rsid w:val="79B67668"/>
    <w:rsid w:val="79C8563A"/>
    <w:rsid w:val="79EA1A55"/>
    <w:rsid w:val="79FC7092"/>
    <w:rsid w:val="7A0173EF"/>
    <w:rsid w:val="7A100D8F"/>
    <w:rsid w:val="7A1178FF"/>
    <w:rsid w:val="7A124B07"/>
    <w:rsid w:val="7A1268B5"/>
    <w:rsid w:val="7A1E74F1"/>
    <w:rsid w:val="7A225F6F"/>
    <w:rsid w:val="7A230AC3"/>
    <w:rsid w:val="7A2E3583"/>
    <w:rsid w:val="7A2F3F09"/>
    <w:rsid w:val="7A3B3665"/>
    <w:rsid w:val="7A3E3F96"/>
    <w:rsid w:val="7A430088"/>
    <w:rsid w:val="7A540C7C"/>
    <w:rsid w:val="7A5614FA"/>
    <w:rsid w:val="7A605FCB"/>
    <w:rsid w:val="7A6B0BB2"/>
    <w:rsid w:val="7A6F538C"/>
    <w:rsid w:val="7A724233"/>
    <w:rsid w:val="7A730F9A"/>
    <w:rsid w:val="7AB43E11"/>
    <w:rsid w:val="7AB47CF4"/>
    <w:rsid w:val="7AB61937"/>
    <w:rsid w:val="7AB664B4"/>
    <w:rsid w:val="7AC14D8B"/>
    <w:rsid w:val="7AC402A8"/>
    <w:rsid w:val="7AD7130D"/>
    <w:rsid w:val="7ADE0E8D"/>
    <w:rsid w:val="7AE53FCA"/>
    <w:rsid w:val="7AFA3721"/>
    <w:rsid w:val="7B203254"/>
    <w:rsid w:val="7B280426"/>
    <w:rsid w:val="7B2E0BFB"/>
    <w:rsid w:val="7B47472E"/>
    <w:rsid w:val="7B4C5147"/>
    <w:rsid w:val="7B4C5DF7"/>
    <w:rsid w:val="7B561A9C"/>
    <w:rsid w:val="7B566C76"/>
    <w:rsid w:val="7B5770BD"/>
    <w:rsid w:val="7B5D15F3"/>
    <w:rsid w:val="7B6B0973"/>
    <w:rsid w:val="7B702277"/>
    <w:rsid w:val="7B750041"/>
    <w:rsid w:val="7B7C7CE9"/>
    <w:rsid w:val="7B7F481D"/>
    <w:rsid w:val="7B857B1A"/>
    <w:rsid w:val="7B9F686F"/>
    <w:rsid w:val="7BA75723"/>
    <w:rsid w:val="7BAB15AA"/>
    <w:rsid w:val="7BB67B57"/>
    <w:rsid w:val="7BB9369E"/>
    <w:rsid w:val="7BBC2F7D"/>
    <w:rsid w:val="7BBF481B"/>
    <w:rsid w:val="7BCE4A5E"/>
    <w:rsid w:val="7BEB414B"/>
    <w:rsid w:val="7BEE3352"/>
    <w:rsid w:val="7C015AF9"/>
    <w:rsid w:val="7C127041"/>
    <w:rsid w:val="7C21076E"/>
    <w:rsid w:val="7C224BA0"/>
    <w:rsid w:val="7C242775"/>
    <w:rsid w:val="7C3073CD"/>
    <w:rsid w:val="7C3A0345"/>
    <w:rsid w:val="7C501917"/>
    <w:rsid w:val="7C5238E1"/>
    <w:rsid w:val="7C594C70"/>
    <w:rsid w:val="7C8617DD"/>
    <w:rsid w:val="7C8E4313"/>
    <w:rsid w:val="7CA02EA7"/>
    <w:rsid w:val="7CA27AFD"/>
    <w:rsid w:val="7CA37C99"/>
    <w:rsid w:val="7CA37DB8"/>
    <w:rsid w:val="7CAA1027"/>
    <w:rsid w:val="7CAC1243"/>
    <w:rsid w:val="7CAF199A"/>
    <w:rsid w:val="7CB71B11"/>
    <w:rsid w:val="7CBB3FE6"/>
    <w:rsid w:val="7CC7543E"/>
    <w:rsid w:val="7CD80920"/>
    <w:rsid w:val="7CE12149"/>
    <w:rsid w:val="7CE37CA4"/>
    <w:rsid w:val="7CE55D7C"/>
    <w:rsid w:val="7D1A72A3"/>
    <w:rsid w:val="7D1F00ED"/>
    <w:rsid w:val="7D271FAF"/>
    <w:rsid w:val="7D390F00"/>
    <w:rsid w:val="7D48368D"/>
    <w:rsid w:val="7D577D55"/>
    <w:rsid w:val="7D5D42EC"/>
    <w:rsid w:val="7D841BC1"/>
    <w:rsid w:val="7D9F66B2"/>
    <w:rsid w:val="7DAA5A8E"/>
    <w:rsid w:val="7DD16A88"/>
    <w:rsid w:val="7DF12C86"/>
    <w:rsid w:val="7DF32DE1"/>
    <w:rsid w:val="7DF92D72"/>
    <w:rsid w:val="7DFD787D"/>
    <w:rsid w:val="7DFF31C4"/>
    <w:rsid w:val="7E060A0F"/>
    <w:rsid w:val="7E086D42"/>
    <w:rsid w:val="7E33742F"/>
    <w:rsid w:val="7E355268"/>
    <w:rsid w:val="7E36681D"/>
    <w:rsid w:val="7E372707"/>
    <w:rsid w:val="7E5B27C9"/>
    <w:rsid w:val="7E5E4B80"/>
    <w:rsid w:val="7E682F48"/>
    <w:rsid w:val="7E887577"/>
    <w:rsid w:val="7E8D3F12"/>
    <w:rsid w:val="7E90249F"/>
    <w:rsid w:val="7EBD48C7"/>
    <w:rsid w:val="7EC113F4"/>
    <w:rsid w:val="7ED224E7"/>
    <w:rsid w:val="7ED41CE3"/>
    <w:rsid w:val="7EF33841"/>
    <w:rsid w:val="7F0569E9"/>
    <w:rsid w:val="7F2250D3"/>
    <w:rsid w:val="7F2A28F3"/>
    <w:rsid w:val="7F2C21C7"/>
    <w:rsid w:val="7F4339B5"/>
    <w:rsid w:val="7F4765BD"/>
    <w:rsid w:val="7F81725F"/>
    <w:rsid w:val="7F88154B"/>
    <w:rsid w:val="7F930F50"/>
    <w:rsid w:val="7F951427"/>
    <w:rsid w:val="7FA2248A"/>
    <w:rsid w:val="7FA454AF"/>
    <w:rsid w:val="7FA76171"/>
    <w:rsid w:val="7FE66F6D"/>
    <w:rsid w:val="7FEE4C1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0" w:semiHidden="0" w:name="toc 6" w:locked="1"/>
    <w:lsdException w:uiPriority="39" w:name="toc 7" w:locked="1"/>
    <w:lsdException w:qFormat="1" w:unhideWhenUsed="0" w:uiPriority="99" w:semiHidden="0" w:name="toc 8"/>
    <w:lsdException w:uiPriority="39" w:name="toc 9" w:locked="1"/>
    <w:lsdException w:qFormat="1" w:unhideWhenUsed="0" w:uiPriority="99" w:semiHidden="0" w:name="Normal Indent"/>
    <w:lsdException w:qFormat="1" w:unhideWhenUsed="0" w:uiPriority="99" w:semiHidden="0"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qFormat="1" w:unhideWhenUsed="0" w:uiPriority="99" w:semiHidden="0" w:name="table of figures"/>
    <w:lsdException w:uiPriority="99" w:name="envelope address" w:locked="1"/>
    <w:lsdException w:uiPriority="99" w:name="envelope return" w:locked="1"/>
    <w:lsdException w:qFormat="1" w:unhideWhenUsed="0" w:uiPriority="99" w:semiHidden="0" w:name="footnote reference"/>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uiPriority="99" w:name="List 4" w:locked="1"/>
    <w:lsdException w:uiPriority="99" w:name="List 5" w:locked="1"/>
    <w:lsdException w:qFormat="1" w:unhideWhenUsed="0" w:uiPriority="99" w:semiHidden="0" w:name="List Bullet 2"/>
    <w:lsdException w:uiPriority="99" w:name="List Bullet 3" w:locked="1"/>
    <w:lsdException w:qFormat="1" w:unhideWhenUsed="0" w:uiPriority="99" w:semiHidden="0" w:name="List Bullet 4"/>
    <w:lsdException w:qFormat="1" w:unhideWhenUsed="0" w:uiPriority="99" w:semiHidden="0" w:name="List Bullet 5"/>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75"/>
    <w:autoRedefine/>
    <w:qFormat/>
    <w:uiPriority w:val="99"/>
    <w:pPr>
      <w:autoSpaceDE w:val="0"/>
      <w:autoSpaceDN w:val="0"/>
      <w:adjustRightInd w:val="0"/>
      <w:spacing w:line="360" w:lineRule="auto"/>
      <w:jc w:val="center"/>
      <w:outlineLvl w:val="0"/>
    </w:pPr>
    <w:rPr>
      <w:rFonts w:eastAsia="隶书"/>
      <w:b/>
      <w:bCs/>
      <w:kern w:val="0"/>
      <w:sz w:val="36"/>
      <w:szCs w:val="36"/>
    </w:rPr>
  </w:style>
  <w:style w:type="paragraph" w:styleId="3">
    <w:name w:val="heading 2"/>
    <w:basedOn w:val="1"/>
    <w:next w:val="1"/>
    <w:link w:val="249"/>
    <w:autoRedefine/>
    <w:qFormat/>
    <w:uiPriority w:val="99"/>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77"/>
    <w:autoRedefine/>
    <w:qFormat/>
    <w:uiPriority w:val="99"/>
    <w:pPr>
      <w:keepNext/>
      <w:keepLines/>
      <w:spacing w:before="260" w:after="260" w:line="416" w:lineRule="auto"/>
      <w:outlineLvl w:val="2"/>
    </w:pPr>
    <w:rPr>
      <w:rFonts w:ascii="Calibri" w:hAnsi="Calibri"/>
      <w:b/>
      <w:bCs/>
      <w:sz w:val="32"/>
      <w:szCs w:val="32"/>
    </w:rPr>
  </w:style>
  <w:style w:type="paragraph" w:styleId="5">
    <w:name w:val="heading 4"/>
    <w:basedOn w:val="1"/>
    <w:next w:val="1"/>
    <w:link w:val="78"/>
    <w:autoRedefine/>
    <w:qFormat/>
    <w:uiPriority w:val="99"/>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79"/>
    <w:autoRedefine/>
    <w:qFormat/>
    <w:uiPriority w:val="99"/>
    <w:pPr>
      <w:keepNext/>
      <w:keepLines/>
      <w:tabs>
        <w:tab w:val="left" w:pos="992"/>
      </w:tabs>
      <w:spacing w:before="280" w:after="290" w:line="376" w:lineRule="auto"/>
      <w:ind w:left="992" w:hanging="992"/>
      <w:outlineLvl w:val="4"/>
    </w:pPr>
    <w:rPr>
      <w:b/>
      <w:bCs/>
      <w:sz w:val="28"/>
      <w:szCs w:val="28"/>
    </w:rPr>
  </w:style>
  <w:style w:type="paragraph" w:styleId="7">
    <w:name w:val="heading 6"/>
    <w:basedOn w:val="1"/>
    <w:next w:val="1"/>
    <w:link w:val="80"/>
    <w:autoRedefine/>
    <w:qFormat/>
    <w:uiPriority w:val="99"/>
    <w:pPr>
      <w:keepNext/>
      <w:keepLines/>
      <w:spacing w:before="240" w:after="64" w:line="320" w:lineRule="auto"/>
      <w:outlineLvl w:val="5"/>
    </w:pPr>
    <w:rPr>
      <w:rFonts w:ascii="Arial" w:hAnsi="Arial" w:eastAsia="黑体"/>
      <w:b/>
      <w:bCs/>
      <w:sz w:val="24"/>
      <w:szCs w:val="24"/>
    </w:rPr>
  </w:style>
  <w:style w:type="paragraph" w:styleId="8">
    <w:name w:val="heading 7"/>
    <w:basedOn w:val="1"/>
    <w:next w:val="1"/>
    <w:link w:val="81"/>
    <w:autoRedefine/>
    <w:qFormat/>
    <w:uiPriority w:val="99"/>
    <w:pPr>
      <w:keepNext/>
      <w:keepLines/>
      <w:tabs>
        <w:tab w:val="left" w:pos="0"/>
      </w:tabs>
      <w:spacing w:before="240" w:after="64" w:line="320" w:lineRule="auto"/>
      <w:ind w:left="1296" w:hanging="1296"/>
      <w:outlineLvl w:val="6"/>
    </w:pPr>
    <w:rPr>
      <w:b/>
      <w:bCs/>
      <w:sz w:val="24"/>
      <w:szCs w:val="24"/>
    </w:rPr>
  </w:style>
  <w:style w:type="paragraph" w:styleId="9">
    <w:name w:val="heading 8"/>
    <w:basedOn w:val="1"/>
    <w:next w:val="1"/>
    <w:link w:val="82"/>
    <w:autoRedefine/>
    <w:qFormat/>
    <w:uiPriority w:val="99"/>
    <w:pPr>
      <w:keepNext/>
      <w:keepLines/>
      <w:tabs>
        <w:tab w:val="left" w:pos="0"/>
      </w:tabs>
      <w:spacing w:before="240" w:after="64" w:line="320" w:lineRule="auto"/>
      <w:ind w:left="1440" w:hanging="1440"/>
      <w:outlineLvl w:val="7"/>
    </w:pPr>
    <w:rPr>
      <w:rFonts w:ascii="Cambria" w:hAnsi="Cambria"/>
      <w:sz w:val="24"/>
      <w:szCs w:val="24"/>
    </w:rPr>
  </w:style>
  <w:style w:type="paragraph" w:styleId="10">
    <w:name w:val="heading 9"/>
    <w:basedOn w:val="1"/>
    <w:next w:val="1"/>
    <w:link w:val="83"/>
    <w:autoRedefine/>
    <w:qFormat/>
    <w:uiPriority w:val="99"/>
    <w:pPr>
      <w:keepNext/>
      <w:keepLines/>
      <w:tabs>
        <w:tab w:val="left" w:pos="0"/>
      </w:tabs>
      <w:spacing w:before="240" w:after="64" w:line="320" w:lineRule="auto"/>
      <w:ind w:left="1584" w:hanging="1584"/>
      <w:outlineLvl w:val="8"/>
    </w:pPr>
    <w:rPr>
      <w:rFonts w:ascii="Cambria" w:hAnsi="Cambria"/>
      <w:szCs w:val="21"/>
    </w:rPr>
  </w:style>
  <w:style w:type="character" w:default="1" w:styleId="57">
    <w:name w:val="Default Paragraph Font"/>
    <w:autoRedefine/>
    <w:unhideWhenUsed/>
    <w:qFormat/>
    <w:uiPriority w:val="1"/>
  </w:style>
  <w:style w:type="table" w:default="1" w:styleId="55">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99"/>
    <w:pPr>
      <w:ind w:left="100" w:leftChars="400" w:hanging="200" w:hangingChars="200"/>
    </w:pPr>
    <w:rPr>
      <w:szCs w:val="20"/>
    </w:rPr>
  </w:style>
  <w:style w:type="paragraph" w:styleId="12">
    <w:name w:val="List Bullet 4"/>
    <w:basedOn w:val="1"/>
    <w:autoRedefine/>
    <w:qFormat/>
    <w:uiPriority w:val="99"/>
    <w:pPr>
      <w:tabs>
        <w:tab w:val="left" w:pos="780"/>
      </w:tabs>
      <w:ind w:left="780" w:hanging="420"/>
    </w:pPr>
    <w:rPr>
      <w:szCs w:val="24"/>
    </w:rPr>
  </w:style>
  <w:style w:type="paragraph" w:styleId="13">
    <w:name w:val="List Number"/>
    <w:basedOn w:val="1"/>
    <w:autoRedefine/>
    <w:qFormat/>
    <w:uiPriority w:val="99"/>
    <w:pPr>
      <w:widowControl/>
      <w:tabs>
        <w:tab w:val="left" w:pos="454"/>
        <w:tab w:val="left" w:pos="720"/>
      </w:tabs>
      <w:spacing w:afterLines="50"/>
      <w:ind w:left="454" w:hanging="284"/>
      <w:jc w:val="left"/>
    </w:pPr>
    <w:rPr>
      <w:kern w:val="0"/>
      <w:sz w:val="24"/>
      <w:szCs w:val="20"/>
    </w:rPr>
  </w:style>
  <w:style w:type="paragraph" w:styleId="14">
    <w:name w:val="Normal Indent"/>
    <w:basedOn w:val="1"/>
    <w:next w:val="15"/>
    <w:link w:val="157"/>
    <w:autoRedefine/>
    <w:qFormat/>
    <w:uiPriority w:val="99"/>
    <w:pPr>
      <w:ind w:firstLine="420"/>
    </w:pPr>
    <w:rPr>
      <w:szCs w:val="20"/>
    </w:rPr>
  </w:style>
  <w:style w:type="paragraph" w:styleId="15">
    <w:name w:val="Body Text First Indent 2"/>
    <w:basedOn w:val="5"/>
    <w:next w:val="1"/>
    <w:link w:val="105"/>
    <w:autoRedefine/>
    <w:qFormat/>
    <w:uiPriority w:val="99"/>
    <w:pPr>
      <w:spacing w:after="120" w:line="240" w:lineRule="auto"/>
      <w:ind w:left="420" w:leftChars="200" w:firstLine="420" w:firstLineChars="200"/>
    </w:pPr>
    <w:rPr>
      <w:rFonts w:ascii="Times New Roman" w:hAnsi="Times New Roman"/>
      <w:spacing w:val="0"/>
      <w:sz w:val="21"/>
    </w:rPr>
  </w:style>
  <w:style w:type="paragraph" w:styleId="16">
    <w:name w:val="caption"/>
    <w:basedOn w:val="1"/>
    <w:next w:val="1"/>
    <w:autoRedefine/>
    <w:qFormat/>
    <w:uiPriority w:val="99"/>
    <w:pPr>
      <w:spacing w:before="152" w:after="160"/>
    </w:pPr>
    <w:rPr>
      <w:rFonts w:ascii="Arial" w:hAnsi="Arial" w:eastAsia="黑体" w:cs="Arial"/>
      <w:sz w:val="20"/>
      <w:szCs w:val="20"/>
    </w:rPr>
  </w:style>
  <w:style w:type="paragraph" w:styleId="17">
    <w:name w:val="List Bullet"/>
    <w:basedOn w:val="1"/>
    <w:autoRedefine/>
    <w:qFormat/>
    <w:uiPriority w:val="99"/>
    <w:pPr>
      <w:widowControl/>
      <w:tabs>
        <w:tab w:val="left" w:pos="900"/>
      </w:tabs>
      <w:spacing w:before="100" w:beforeAutospacing="1" w:afterLines="50" w:afterAutospacing="1"/>
      <w:ind w:left="900" w:hanging="420"/>
      <w:jc w:val="left"/>
    </w:pPr>
    <w:rPr>
      <w:kern w:val="0"/>
      <w:szCs w:val="20"/>
    </w:rPr>
  </w:style>
  <w:style w:type="paragraph" w:styleId="18">
    <w:name w:val="Document Map"/>
    <w:basedOn w:val="1"/>
    <w:link w:val="85"/>
    <w:autoRedefine/>
    <w:qFormat/>
    <w:uiPriority w:val="99"/>
    <w:rPr>
      <w:rFonts w:ascii="宋体"/>
      <w:sz w:val="18"/>
      <w:szCs w:val="18"/>
    </w:rPr>
  </w:style>
  <w:style w:type="paragraph" w:styleId="19">
    <w:name w:val="annotation text"/>
    <w:basedOn w:val="1"/>
    <w:link w:val="86"/>
    <w:autoRedefine/>
    <w:semiHidden/>
    <w:qFormat/>
    <w:uiPriority w:val="99"/>
    <w:pPr>
      <w:jc w:val="left"/>
    </w:pPr>
  </w:style>
  <w:style w:type="paragraph" w:styleId="20">
    <w:name w:val="Salutation"/>
    <w:basedOn w:val="1"/>
    <w:next w:val="1"/>
    <w:link w:val="87"/>
    <w:autoRedefine/>
    <w:qFormat/>
    <w:uiPriority w:val="99"/>
    <w:rPr>
      <w:rFonts w:ascii="宋体"/>
      <w:b/>
      <w:sz w:val="28"/>
      <w:szCs w:val="20"/>
    </w:rPr>
  </w:style>
  <w:style w:type="paragraph" w:styleId="21">
    <w:name w:val="Body Text 3"/>
    <w:basedOn w:val="1"/>
    <w:link w:val="88"/>
    <w:autoRedefine/>
    <w:qFormat/>
    <w:uiPriority w:val="99"/>
    <w:pPr>
      <w:snapToGrid w:val="0"/>
      <w:spacing w:before="50" w:after="50"/>
    </w:pPr>
    <w:rPr>
      <w:rFonts w:hAnsi="宋体" w:eastAsia="仿宋_GB2312"/>
      <w:b/>
      <w:bCs/>
      <w:sz w:val="24"/>
      <w:szCs w:val="20"/>
    </w:rPr>
  </w:style>
  <w:style w:type="paragraph" w:styleId="22">
    <w:name w:val="Body Text"/>
    <w:basedOn w:val="1"/>
    <w:next w:val="1"/>
    <w:link w:val="84"/>
    <w:autoRedefine/>
    <w:qFormat/>
    <w:uiPriority w:val="99"/>
    <w:pPr>
      <w:spacing w:after="120"/>
    </w:pPr>
    <w:rPr>
      <w:sz w:val="28"/>
      <w:szCs w:val="24"/>
    </w:rPr>
  </w:style>
  <w:style w:type="paragraph" w:styleId="23">
    <w:name w:val="Body Text Indent"/>
    <w:basedOn w:val="1"/>
    <w:next w:val="1"/>
    <w:link w:val="89"/>
    <w:autoRedefine/>
    <w:qFormat/>
    <w:uiPriority w:val="99"/>
    <w:pPr>
      <w:spacing w:line="200" w:lineRule="exact"/>
      <w:ind w:firstLine="301"/>
    </w:pPr>
    <w:rPr>
      <w:rFonts w:ascii="宋体" w:hAnsi="Courier New"/>
      <w:spacing w:val="-4"/>
      <w:sz w:val="18"/>
      <w:szCs w:val="20"/>
    </w:rPr>
  </w:style>
  <w:style w:type="paragraph" w:styleId="24">
    <w:name w:val="List Number 3"/>
    <w:basedOn w:val="1"/>
    <w:autoRedefine/>
    <w:qFormat/>
    <w:uiPriority w:val="99"/>
    <w:pPr>
      <w:numPr>
        <w:ilvl w:val="0"/>
        <w:numId w:val="1"/>
      </w:numPr>
    </w:pPr>
    <w:rPr>
      <w:szCs w:val="24"/>
    </w:rPr>
  </w:style>
  <w:style w:type="paragraph" w:styleId="25">
    <w:name w:val="List 2"/>
    <w:basedOn w:val="1"/>
    <w:autoRedefine/>
    <w:qFormat/>
    <w:uiPriority w:val="99"/>
    <w:pPr>
      <w:ind w:left="100" w:leftChars="200" w:hanging="200" w:hangingChars="200"/>
    </w:pPr>
    <w:rPr>
      <w:sz w:val="28"/>
      <w:szCs w:val="24"/>
    </w:rPr>
  </w:style>
  <w:style w:type="paragraph" w:styleId="26">
    <w:name w:val="Block Text"/>
    <w:basedOn w:val="1"/>
    <w:autoRedefine/>
    <w:qFormat/>
    <w:locked/>
    <w:uiPriority w:val="0"/>
    <w:pPr>
      <w:adjustRightInd w:val="0"/>
      <w:snapToGrid w:val="0"/>
      <w:spacing w:line="360" w:lineRule="auto"/>
      <w:ind w:left="270" w:leftChars="270" w:right="-150" w:rightChars="-150" w:firstLine="200" w:firstLineChars="200"/>
    </w:pPr>
    <w:rPr>
      <w:rFonts w:ascii="宋体"/>
      <w:sz w:val="24"/>
      <w:szCs w:val="20"/>
    </w:rPr>
  </w:style>
  <w:style w:type="paragraph" w:styleId="27">
    <w:name w:val="List Bullet 2"/>
    <w:basedOn w:val="1"/>
    <w:autoRedefine/>
    <w:qFormat/>
    <w:uiPriority w:val="99"/>
    <w:pPr>
      <w:tabs>
        <w:tab w:val="left" w:pos="780"/>
      </w:tabs>
      <w:ind w:left="780" w:leftChars="200" w:hanging="360" w:hangingChars="200"/>
    </w:pPr>
    <w:rPr>
      <w:szCs w:val="24"/>
    </w:rPr>
  </w:style>
  <w:style w:type="paragraph" w:styleId="28">
    <w:name w:val="toc 5"/>
    <w:basedOn w:val="1"/>
    <w:next w:val="1"/>
    <w:autoRedefine/>
    <w:qFormat/>
    <w:uiPriority w:val="99"/>
    <w:pPr>
      <w:spacing w:afterLines="50"/>
      <w:ind w:left="840"/>
      <w:jc w:val="left"/>
    </w:pPr>
    <w:rPr>
      <w:kern w:val="0"/>
      <w:sz w:val="18"/>
      <w:szCs w:val="18"/>
    </w:rPr>
  </w:style>
  <w:style w:type="paragraph" w:styleId="29">
    <w:name w:val="toc 3"/>
    <w:basedOn w:val="1"/>
    <w:next w:val="1"/>
    <w:autoRedefine/>
    <w:qFormat/>
    <w:uiPriority w:val="99"/>
    <w:pPr>
      <w:ind w:left="840" w:leftChars="400"/>
    </w:pPr>
  </w:style>
  <w:style w:type="paragraph" w:styleId="30">
    <w:name w:val="Plain Text"/>
    <w:basedOn w:val="1"/>
    <w:next w:val="1"/>
    <w:link w:val="90"/>
    <w:autoRedefine/>
    <w:qFormat/>
    <w:uiPriority w:val="99"/>
    <w:pPr>
      <w:spacing w:beforeLines="50" w:afterLines="50" w:line="400" w:lineRule="exact"/>
    </w:pPr>
    <w:rPr>
      <w:rFonts w:ascii="宋体" w:hAnsi="Courier New"/>
      <w:sz w:val="24"/>
      <w:szCs w:val="24"/>
    </w:rPr>
  </w:style>
  <w:style w:type="paragraph" w:styleId="31">
    <w:name w:val="List Bullet 5"/>
    <w:basedOn w:val="1"/>
    <w:autoRedefine/>
    <w:qFormat/>
    <w:uiPriority w:val="99"/>
    <w:pPr>
      <w:tabs>
        <w:tab w:val="left" w:pos="780"/>
      </w:tabs>
      <w:ind w:left="780" w:hanging="420"/>
    </w:pPr>
    <w:rPr>
      <w:szCs w:val="24"/>
    </w:rPr>
  </w:style>
  <w:style w:type="paragraph" w:styleId="32">
    <w:name w:val="toc 8"/>
    <w:basedOn w:val="1"/>
    <w:next w:val="1"/>
    <w:autoRedefine/>
    <w:qFormat/>
    <w:uiPriority w:val="99"/>
    <w:pPr>
      <w:spacing w:afterLines="50"/>
      <w:ind w:left="1470"/>
      <w:jc w:val="left"/>
    </w:pPr>
    <w:rPr>
      <w:kern w:val="0"/>
      <w:sz w:val="18"/>
      <w:szCs w:val="18"/>
    </w:rPr>
  </w:style>
  <w:style w:type="paragraph" w:styleId="33">
    <w:name w:val="Date"/>
    <w:basedOn w:val="1"/>
    <w:next w:val="1"/>
    <w:link w:val="91"/>
    <w:autoRedefine/>
    <w:qFormat/>
    <w:uiPriority w:val="99"/>
    <w:pPr>
      <w:ind w:left="2500" w:leftChars="2500"/>
    </w:pPr>
    <w:rPr>
      <w:rFonts w:eastAsia="楷体_GB2312"/>
      <w:sz w:val="32"/>
      <w:szCs w:val="20"/>
    </w:rPr>
  </w:style>
  <w:style w:type="paragraph" w:styleId="34">
    <w:name w:val="Body Text Indent 2"/>
    <w:basedOn w:val="1"/>
    <w:link w:val="92"/>
    <w:autoRedefine/>
    <w:qFormat/>
    <w:uiPriority w:val="99"/>
    <w:pPr>
      <w:snapToGrid w:val="0"/>
      <w:ind w:firstLine="542" w:firstLineChars="225"/>
    </w:pPr>
    <w:rPr>
      <w:rFonts w:ascii="仿宋_GB2312" w:hAnsi="宋体"/>
      <w:b/>
      <w:bCs/>
      <w:color w:val="000000"/>
      <w:sz w:val="24"/>
      <w:szCs w:val="24"/>
    </w:rPr>
  </w:style>
  <w:style w:type="paragraph" w:styleId="35">
    <w:name w:val="endnote text"/>
    <w:basedOn w:val="1"/>
    <w:link w:val="93"/>
    <w:autoRedefine/>
    <w:qFormat/>
    <w:uiPriority w:val="99"/>
    <w:pPr>
      <w:numPr>
        <w:ilvl w:val="0"/>
        <w:numId w:val="2"/>
      </w:numPr>
      <w:snapToGrid w:val="0"/>
      <w:spacing w:afterLines="50"/>
      <w:jc w:val="left"/>
    </w:pPr>
    <w:rPr>
      <w:rFonts w:ascii="宋体"/>
      <w:kern w:val="0"/>
      <w:szCs w:val="20"/>
    </w:rPr>
  </w:style>
  <w:style w:type="paragraph" w:styleId="36">
    <w:name w:val="Balloon Text"/>
    <w:basedOn w:val="1"/>
    <w:link w:val="94"/>
    <w:autoRedefine/>
    <w:semiHidden/>
    <w:qFormat/>
    <w:uiPriority w:val="99"/>
    <w:rPr>
      <w:sz w:val="18"/>
      <w:szCs w:val="18"/>
    </w:rPr>
  </w:style>
  <w:style w:type="paragraph" w:styleId="37">
    <w:name w:val="footer"/>
    <w:basedOn w:val="1"/>
    <w:link w:val="95"/>
    <w:autoRedefine/>
    <w:qFormat/>
    <w:uiPriority w:val="99"/>
    <w:pPr>
      <w:tabs>
        <w:tab w:val="center" w:pos="4153"/>
        <w:tab w:val="right" w:pos="8306"/>
      </w:tabs>
      <w:snapToGrid w:val="0"/>
      <w:jc w:val="left"/>
    </w:pPr>
    <w:rPr>
      <w:sz w:val="18"/>
      <w:szCs w:val="18"/>
    </w:rPr>
  </w:style>
  <w:style w:type="paragraph" w:styleId="38">
    <w:name w:val="header"/>
    <w:basedOn w:val="1"/>
    <w:link w:val="96"/>
    <w:autoRedefine/>
    <w:qFormat/>
    <w:uiPriority w:val="99"/>
    <w:pPr>
      <w:pBdr>
        <w:bottom w:val="single" w:color="auto" w:sz="6" w:space="1"/>
      </w:pBdr>
      <w:tabs>
        <w:tab w:val="center" w:pos="4153"/>
        <w:tab w:val="right" w:pos="8306"/>
      </w:tabs>
      <w:snapToGrid w:val="0"/>
      <w:jc w:val="center"/>
    </w:pPr>
    <w:rPr>
      <w:sz w:val="18"/>
      <w:szCs w:val="18"/>
    </w:rPr>
  </w:style>
  <w:style w:type="paragraph" w:styleId="39">
    <w:name w:val="toc 1"/>
    <w:basedOn w:val="1"/>
    <w:next w:val="1"/>
    <w:autoRedefine/>
    <w:qFormat/>
    <w:uiPriority w:val="99"/>
    <w:rPr>
      <w:szCs w:val="24"/>
    </w:rPr>
  </w:style>
  <w:style w:type="paragraph" w:styleId="40">
    <w:name w:val="toc 4"/>
    <w:basedOn w:val="1"/>
    <w:next w:val="1"/>
    <w:autoRedefine/>
    <w:qFormat/>
    <w:uiPriority w:val="99"/>
    <w:pPr>
      <w:ind w:left="1260" w:leftChars="600"/>
    </w:pPr>
  </w:style>
  <w:style w:type="paragraph" w:styleId="41">
    <w:name w:val="Subtitle"/>
    <w:basedOn w:val="1"/>
    <w:next w:val="1"/>
    <w:link w:val="97"/>
    <w:autoRedefine/>
    <w:qFormat/>
    <w:uiPriority w:val="99"/>
    <w:pPr>
      <w:spacing w:afterLines="50"/>
      <w:jc w:val="center"/>
    </w:pPr>
    <w:rPr>
      <w:sz w:val="18"/>
      <w:szCs w:val="18"/>
    </w:rPr>
  </w:style>
  <w:style w:type="paragraph" w:styleId="42">
    <w:name w:val="List"/>
    <w:basedOn w:val="1"/>
    <w:autoRedefine/>
    <w:qFormat/>
    <w:uiPriority w:val="99"/>
    <w:pPr>
      <w:ind w:left="200" w:hanging="200" w:hangingChars="200"/>
    </w:pPr>
    <w:rPr>
      <w:sz w:val="28"/>
      <w:szCs w:val="24"/>
    </w:rPr>
  </w:style>
  <w:style w:type="paragraph" w:styleId="43">
    <w:name w:val="footnote text"/>
    <w:basedOn w:val="1"/>
    <w:link w:val="98"/>
    <w:autoRedefine/>
    <w:qFormat/>
    <w:uiPriority w:val="99"/>
    <w:pPr>
      <w:snapToGrid w:val="0"/>
      <w:jc w:val="left"/>
    </w:pPr>
    <w:rPr>
      <w:sz w:val="18"/>
      <w:szCs w:val="18"/>
    </w:rPr>
  </w:style>
  <w:style w:type="paragraph" w:styleId="44">
    <w:name w:val="toc 6"/>
    <w:basedOn w:val="1"/>
    <w:next w:val="1"/>
    <w:autoRedefine/>
    <w:qFormat/>
    <w:locked/>
    <w:uiPriority w:val="0"/>
    <w:pPr>
      <w:ind w:left="2100" w:leftChars="1000"/>
    </w:pPr>
  </w:style>
  <w:style w:type="paragraph" w:styleId="45">
    <w:name w:val="Body Text Indent 3"/>
    <w:basedOn w:val="1"/>
    <w:link w:val="99"/>
    <w:autoRedefine/>
    <w:qFormat/>
    <w:uiPriority w:val="99"/>
    <w:pPr>
      <w:snapToGrid w:val="0"/>
      <w:ind w:firstLine="480" w:firstLineChars="200"/>
      <w:jc w:val="left"/>
    </w:pPr>
    <w:rPr>
      <w:rFonts w:ascii="仿宋_GB2312" w:hAnsi="宋体" w:eastAsia="仿宋_GB2312"/>
      <w:color w:val="000000"/>
      <w:sz w:val="24"/>
      <w:szCs w:val="24"/>
    </w:rPr>
  </w:style>
  <w:style w:type="paragraph" w:styleId="46">
    <w:name w:val="table of figures"/>
    <w:basedOn w:val="1"/>
    <w:next w:val="1"/>
    <w:autoRedefine/>
    <w:qFormat/>
    <w:uiPriority w:val="99"/>
    <w:pPr>
      <w:tabs>
        <w:tab w:val="left" w:pos="1270"/>
      </w:tabs>
      <w:spacing w:line="360" w:lineRule="auto"/>
      <w:ind w:left="1270" w:hanging="420"/>
      <w:jc w:val="left"/>
    </w:pPr>
    <w:rPr>
      <w:smallCaps/>
      <w:sz w:val="20"/>
      <w:szCs w:val="20"/>
    </w:rPr>
  </w:style>
  <w:style w:type="paragraph" w:styleId="47">
    <w:name w:val="toc 2"/>
    <w:basedOn w:val="1"/>
    <w:next w:val="1"/>
    <w:autoRedefine/>
    <w:qFormat/>
    <w:uiPriority w:val="99"/>
    <w:pPr>
      <w:widowControl/>
      <w:tabs>
        <w:tab w:val="right" w:leader="dot" w:pos="8302"/>
      </w:tabs>
      <w:spacing w:line="240" w:lineRule="atLeast"/>
      <w:ind w:left="420" w:leftChars="68" w:hanging="277" w:hangingChars="115"/>
      <w:jc w:val="left"/>
    </w:pPr>
    <w:rPr>
      <w:szCs w:val="24"/>
    </w:rPr>
  </w:style>
  <w:style w:type="paragraph" w:styleId="48">
    <w:name w:val="Body Text 2"/>
    <w:basedOn w:val="1"/>
    <w:link w:val="100"/>
    <w:autoRedefine/>
    <w:qFormat/>
    <w:uiPriority w:val="99"/>
    <w:pPr>
      <w:widowControl/>
      <w:snapToGrid w:val="0"/>
      <w:spacing w:before="50" w:afterLines="50" w:line="400" w:lineRule="exact"/>
      <w:jc w:val="left"/>
    </w:pPr>
    <w:rPr>
      <w:rFonts w:ascii="宋体" w:hAnsi="宋体"/>
      <w:color w:val="000000"/>
      <w:sz w:val="24"/>
      <w:szCs w:val="24"/>
    </w:rPr>
  </w:style>
  <w:style w:type="paragraph" w:styleId="49">
    <w:name w:val="HTML Preformatted"/>
    <w:basedOn w:val="1"/>
    <w:link w:val="101"/>
    <w:autoRedefine/>
    <w:qFormat/>
    <w:uiPriority w:val="99"/>
    <w:rPr>
      <w:rFonts w:ascii="Courier New" w:hAnsi="Courier New"/>
      <w:sz w:val="20"/>
      <w:szCs w:val="20"/>
    </w:rPr>
  </w:style>
  <w:style w:type="paragraph" w:styleId="50">
    <w:name w:val="Normal (Web)"/>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styleId="51">
    <w:name w:val="index 1"/>
    <w:basedOn w:val="1"/>
    <w:next w:val="1"/>
    <w:autoRedefine/>
    <w:qFormat/>
    <w:uiPriority w:val="99"/>
    <w:rPr>
      <w:szCs w:val="20"/>
    </w:rPr>
  </w:style>
  <w:style w:type="paragraph" w:styleId="52">
    <w:name w:val="Title"/>
    <w:basedOn w:val="1"/>
    <w:link w:val="102"/>
    <w:autoRedefine/>
    <w:qFormat/>
    <w:uiPriority w:val="99"/>
    <w:pPr>
      <w:spacing w:before="240" w:after="60"/>
      <w:jc w:val="center"/>
      <w:outlineLvl w:val="0"/>
    </w:pPr>
    <w:rPr>
      <w:rFonts w:ascii="Arial" w:hAnsi="Arial"/>
      <w:b/>
      <w:bCs/>
      <w:sz w:val="32"/>
      <w:szCs w:val="32"/>
    </w:rPr>
  </w:style>
  <w:style w:type="paragraph" w:styleId="53">
    <w:name w:val="annotation subject"/>
    <w:basedOn w:val="19"/>
    <w:next w:val="19"/>
    <w:link w:val="103"/>
    <w:autoRedefine/>
    <w:semiHidden/>
    <w:qFormat/>
    <w:uiPriority w:val="99"/>
    <w:rPr>
      <w:b/>
      <w:bCs/>
    </w:rPr>
  </w:style>
  <w:style w:type="paragraph" w:styleId="54">
    <w:name w:val="Body Text First Indent"/>
    <w:basedOn w:val="22"/>
    <w:next w:val="1"/>
    <w:link w:val="104"/>
    <w:autoRedefine/>
    <w:qFormat/>
    <w:uiPriority w:val="99"/>
    <w:pPr>
      <w:ind w:firstLine="420" w:firstLineChars="100"/>
    </w:pPr>
    <w:rPr>
      <w:rFonts w:ascii="Calibri" w:hAnsi="Calibri"/>
    </w:rPr>
  </w:style>
  <w:style w:type="table" w:styleId="56">
    <w:name w:val="Table Grid"/>
    <w:basedOn w:val="5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basedOn w:val="57"/>
    <w:autoRedefine/>
    <w:qFormat/>
    <w:uiPriority w:val="99"/>
    <w:rPr>
      <w:rFonts w:cs="Times New Roman"/>
      <w:b/>
    </w:rPr>
  </w:style>
  <w:style w:type="character" w:styleId="59">
    <w:name w:val="page number"/>
    <w:basedOn w:val="57"/>
    <w:autoRedefine/>
    <w:qFormat/>
    <w:uiPriority w:val="99"/>
    <w:rPr>
      <w:rFonts w:cs="Times New Roman"/>
    </w:rPr>
  </w:style>
  <w:style w:type="character" w:styleId="60">
    <w:name w:val="FollowedHyperlink"/>
    <w:basedOn w:val="57"/>
    <w:autoRedefine/>
    <w:qFormat/>
    <w:uiPriority w:val="99"/>
    <w:rPr>
      <w:rFonts w:cs="Times New Roman"/>
      <w:color w:val="800080"/>
      <w:u w:val="single"/>
    </w:rPr>
  </w:style>
  <w:style w:type="character" w:styleId="61">
    <w:name w:val="Emphasis"/>
    <w:basedOn w:val="57"/>
    <w:autoRedefine/>
    <w:qFormat/>
    <w:uiPriority w:val="99"/>
    <w:rPr>
      <w:rFonts w:cs="Times New Roman"/>
      <w:color w:val="CC0033"/>
    </w:rPr>
  </w:style>
  <w:style w:type="character" w:styleId="62">
    <w:name w:val="Hyperlink"/>
    <w:basedOn w:val="57"/>
    <w:autoRedefine/>
    <w:qFormat/>
    <w:uiPriority w:val="99"/>
    <w:rPr>
      <w:rFonts w:cs="Times New Roman"/>
      <w:color w:val="0000FF"/>
      <w:u w:val="single"/>
    </w:rPr>
  </w:style>
  <w:style w:type="character" w:styleId="63">
    <w:name w:val="annotation reference"/>
    <w:basedOn w:val="57"/>
    <w:autoRedefine/>
    <w:semiHidden/>
    <w:qFormat/>
    <w:uiPriority w:val="99"/>
    <w:rPr>
      <w:rFonts w:cs="Times New Roman"/>
      <w:sz w:val="21"/>
    </w:rPr>
  </w:style>
  <w:style w:type="character" w:styleId="64">
    <w:name w:val="footnote reference"/>
    <w:basedOn w:val="57"/>
    <w:autoRedefine/>
    <w:qFormat/>
    <w:uiPriority w:val="99"/>
    <w:rPr>
      <w:rFonts w:cs="Times New Roman"/>
      <w:vertAlign w:val="superscript"/>
    </w:rPr>
  </w:style>
  <w:style w:type="paragraph" w:customStyle="1" w:styleId="65">
    <w:name w:val="NormalIndent"/>
    <w:basedOn w:val="1"/>
    <w:autoRedefine/>
    <w:qFormat/>
    <w:uiPriority w:val="0"/>
    <w:pPr>
      <w:spacing w:line="240" w:lineRule="auto"/>
      <w:ind w:firstLine="420"/>
      <w:textAlignment w:val="baseline"/>
    </w:pPr>
    <w:rPr>
      <w:sz w:val="21"/>
      <w:szCs w:val="20"/>
    </w:rPr>
  </w:style>
  <w:style w:type="paragraph" w:customStyle="1" w:styleId="66">
    <w:name w:val="xl53"/>
    <w:basedOn w:val="1"/>
    <w:next w:val="1"/>
    <w:autoRedefine/>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67">
    <w:name w:val="[Normal]"/>
    <w:autoRedefine/>
    <w:qFormat/>
    <w:uiPriority w:val="99"/>
    <w:rPr>
      <w:rFonts w:ascii="宋体" w:hAnsi="宋体" w:eastAsia="宋体" w:cs="Times New Roman"/>
      <w:sz w:val="24"/>
      <w:lang w:val="zh-CN" w:eastAsia="zh-CN" w:bidi="ar-SA"/>
    </w:rPr>
  </w:style>
  <w:style w:type="paragraph" w:customStyle="1" w:styleId="68">
    <w:name w:val="首行缩进"/>
    <w:basedOn w:val="1"/>
    <w:autoRedefine/>
    <w:qFormat/>
    <w:uiPriority w:val="99"/>
    <w:pPr>
      <w:widowControl/>
      <w:numPr>
        <w:ilvl w:val="6"/>
        <w:numId w:val="3"/>
      </w:numPr>
      <w:tabs>
        <w:tab w:val="left" w:pos="822"/>
      </w:tabs>
      <w:snapToGrid w:val="0"/>
      <w:spacing w:before="40" w:after="40" w:line="300" w:lineRule="atLeast"/>
    </w:pPr>
    <w:rPr>
      <w:rFonts w:ascii="Arial" w:hAnsi="Arial"/>
      <w:kern w:val="0"/>
      <w:szCs w:val="20"/>
    </w:rPr>
  </w:style>
  <w:style w:type="paragraph" w:customStyle="1" w:styleId="69">
    <w:name w:val="表格文字"/>
    <w:basedOn w:val="30"/>
    <w:next w:val="22"/>
    <w:link w:val="216"/>
    <w:autoRedefine/>
    <w:qFormat/>
    <w:uiPriority w:val="99"/>
    <w:pPr>
      <w:jc w:val="left"/>
      <w:textAlignment w:val="top"/>
    </w:pPr>
    <w:rPr>
      <w:szCs w:val="20"/>
    </w:rPr>
  </w:style>
  <w:style w:type="paragraph" w:customStyle="1" w:styleId="70">
    <w:name w:val="章正文"/>
    <w:basedOn w:val="1"/>
    <w:autoRedefine/>
    <w:qFormat/>
    <w:uiPriority w:val="99"/>
    <w:pPr>
      <w:spacing w:beforeLines="50" w:after="120" w:line="300" w:lineRule="auto"/>
      <w:ind w:firstLine="480"/>
    </w:pPr>
    <w:rPr>
      <w:rFonts w:ascii="Helvetica" w:hAnsi="Helvetica"/>
      <w:kern w:val="0"/>
      <w:sz w:val="24"/>
      <w:szCs w:val="24"/>
    </w:rPr>
  </w:style>
  <w:style w:type="paragraph" w:customStyle="1" w:styleId="71">
    <w:name w:val="Normal Indent1"/>
    <w:basedOn w:val="1"/>
    <w:autoRedefine/>
    <w:qFormat/>
    <w:uiPriority w:val="0"/>
    <w:pPr>
      <w:ind w:firstLine="420" w:firstLineChars="200"/>
    </w:pPr>
  </w:style>
  <w:style w:type="paragraph" w:customStyle="1" w:styleId="72">
    <w:name w:val="Default"/>
    <w:autoRedefine/>
    <w:qFormat/>
    <w:uiPriority w:val="99"/>
    <w:pPr>
      <w:widowControl w:val="0"/>
      <w:autoSpaceDE w:val="0"/>
      <w:autoSpaceDN w:val="0"/>
      <w:adjustRightInd w:val="0"/>
    </w:pPr>
    <w:rPr>
      <w:rFonts w:ascii="楷体" w:hAnsi="Times New Roman" w:eastAsia="楷体" w:cs="楷体"/>
      <w:color w:val="000000"/>
      <w:sz w:val="24"/>
      <w:szCs w:val="24"/>
      <w:lang w:val="en-US" w:eastAsia="zh-CN" w:bidi="ar-SA"/>
    </w:rPr>
  </w:style>
  <w:style w:type="paragraph" w:customStyle="1" w:styleId="73">
    <w:name w:val="正文首行缩进 21"/>
    <w:basedOn w:val="74"/>
    <w:link w:val="185"/>
    <w:autoRedefine/>
    <w:qFormat/>
    <w:uiPriority w:val="99"/>
    <w:pPr>
      <w:adjustRightInd w:val="0"/>
      <w:spacing w:line="360" w:lineRule="auto"/>
      <w:ind w:firstLine="420" w:firstLineChars="200"/>
      <w:textAlignment w:val="baseline"/>
    </w:pPr>
    <w:rPr>
      <w:rFonts w:eastAsia="仿宋" w:cs="Times New Roman"/>
      <w:kern w:val="0"/>
      <w:sz w:val="24"/>
      <w:szCs w:val="20"/>
    </w:rPr>
  </w:style>
  <w:style w:type="paragraph" w:customStyle="1" w:styleId="74">
    <w:name w:val="正文文本缩进1"/>
    <w:basedOn w:val="1"/>
    <w:next w:val="1"/>
    <w:autoRedefine/>
    <w:qFormat/>
    <w:uiPriority w:val="99"/>
    <w:pPr>
      <w:spacing w:after="120"/>
      <w:ind w:left="420" w:leftChars="200"/>
    </w:pPr>
    <w:rPr>
      <w:rFonts w:cs="黑体"/>
    </w:rPr>
  </w:style>
  <w:style w:type="character" w:customStyle="1" w:styleId="75">
    <w:name w:val="标题 1 字符"/>
    <w:basedOn w:val="57"/>
    <w:link w:val="2"/>
    <w:autoRedefine/>
    <w:qFormat/>
    <w:locked/>
    <w:uiPriority w:val="99"/>
    <w:rPr>
      <w:rFonts w:eastAsia="隶书" w:cs="Times New Roman"/>
      <w:b/>
      <w:sz w:val="36"/>
      <w:lang w:val="en-US" w:eastAsia="zh-CN"/>
    </w:rPr>
  </w:style>
  <w:style w:type="character" w:customStyle="1" w:styleId="76">
    <w:name w:val="标题 2 字符"/>
    <w:basedOn w:val="57"/>
    <w:link w:val="3"/>
    <w:autoRedefine/>
    <w:qFormat/>
    <w:locked/>
    <w:uiPriority w:val="99"/>
    <w:rPr>
      <w:rFonts w:ascii="Arial" w:hAnsi="Arial" w:eastAsia="黑体" w:cs="Times New Roman"/>
      <w:b/>
      <w:kern w:val="2"/>
      <w:sz w:val="32"/>
      <w:lang w:val="en-US" w:eastAsia="zh-CN"/>
    </w:rPr>
  </w:style>
  <w:style w:type="character" w:customStyle="1" w:styleId="77">
    <w:name w:val="标题 3 字符"/>
    <w:basedOn w:val="57"/>
    <w:link w:val="4"/>
    <w:autoRedefine/>
    <w:qFormat/>
    <w:locked/>
    <w:uiPriority w:val="99"/>
    <w:rPr>
      <w:rFonts w:ascii="Calibri" w:hAnsi="Calibri" w:eastAsia="宋体" w:cs="Times New Roman"/>
      <w:b/>
      <w:kern w:val="2"/>
      <w:sz w:val="32"/>
      <w:lang w:val="en-US" w:eastAsia="zh-CN"/>
    </w:rPr>
  </w:style>
  <w:style w:type="character" w:customStyle="1" w:styleId="78">
    <w:name w:val="标题 4 字符"/>
    <w:basedOn w:val="57"/>
    <w:link w:val="5"/>
    <w:autoRedefine/>
    <w:qFormat/>
    <w:locked/>
    <w:uiPriority w:val="99"/>
    <w:rPr>
      <w:rFonts w:ascii="Arial" w:hAnsi="Arial" w:eastAsia="黑体" w:cs="Times New Roman"/>
      <w:b/>
      <w:kern w:val="2"/>
      <w:sz w:val="28"/>
      <w:lang w:val="en-US" w:eastAsia="zh-CN"/>
    </w:rPr>
  </w:style>
  <w:style w:type="character" w:customStyle="1" w:styleId="79">
    <w:name w:val="标题 5 字符"/>
    <w:basedOn w:val="57"/>
    <w:link w:val="6"/>
    <w:autoRedefine/>
    <w:qFormat/>
    <w:locked/>
    <w:uiPriority w:val="99"/>
    <w:rPr>
      <w:rFonts w:eastAsia="宋体" w:cs="Times New Roman"/>
      <w:b/>
      <w:kern w:val="2"/>
      <w:sz w:val="28"/>
    </w:rPr>
  </w:style>
  <w:style w:type="character" w:customStyle="1" w:styleId="80">
    <w:name w:val="标题 6 字符"/>
    <w:basedOn w:val="57"/>
    <w:link w:val="7"/>
    <w:autoRedefine/>
    <w:qFormat/>
    <w:locked/>
    <w:uiPriority w:val="99"/>
    <w:rPr>
      <w:rFonts w:ascii="Arial" w:hAnsi="Arial" w:eastAsia="黑体" w:cs="Times New Roman"/>
      <w:b/>
      <w:kern w:val="2"/>
      <w:sz w:val="24"/>
      <w:lang w:val="en-US" w:eastAsia="zh-CN"/>
    </w:rPr>
  </w:style>
  <w:style w:type="character" w:customStyle="1" w:styleId="81">
    <w:name w:val="标题 7 字符"/>
    <w:basedOn w:val="57"/>
    <w:link w:val="8"/>
    <w:autoRedefine/>
    <w:qFormat/>
    <w:locked/>
    <w:uiPriority w:val="99"/>
    <w:rPr>
      <w:rFonts w:eastAsia="宋体" w:cs="Times New Roman"/>
      <w:b/>
      <w:kern w:val="2"/>
      <w:sz w:val="24"/>
      <w:lang w:val="en-US" w:eastAsia="zh-CN"/>
    </w:rPr>
  </w:style>
  <w:style w:type="character" w:customStyle="1" w:styleId="82">
    <w:name w:val="标题 8 字符"/>
    <w:basedOn w:val="57"/>
    <w:link w:val="9"/>
    <w:autoRedefine/>
    <w:qFormat/>
    <w:locked/>
    <w:uiPriority w:val="99"/>
    <w:rPr>
      <w:rFonts w:ascii="Cambria" w:hAnsi="Cambria" w:eastAsia="宋体" w:cs="Times New Roman"/>
      <w:kern w:val="2"/>
      <w:sz w:val="24"/>
      <w:lang w:val="en-US" w:eastAsia="zh-CN"/>
    </w:rPr>
  </w:style>
  <w:style w:type="character" w:customStyle="1" w:styleId="83">
    <w:name w:val="标题 9 字符"/>
    <w:basedOn w:val="57"/>
    <w:link w:val="10"/>
    <w:autoRedefine/>
    <w:qFormat/>
    <w:locked/>
    <w:uiPriority w:val="99"/>
    <w:rPr>
      <w:rFonts w:ascii="Cambria" w:hAnsi="Cambria" w:eastAsia="宋体" w:cs="Times New Roman"/>
      <w:kern w:val="2"/>
      <w:sz w:val="21"/>
      <w:lang w:val="en-US" w:eastAsia="zh-CN"/>
    </w:rPr>
  </w:style>
  <w:style w:type="character" w:customStyle="1" w:styleId="84">
    <w:name w:val="正文文本 字符"/>
    <w:basedOn w:val="57"/>
    <w:link w:val="22"/>
    <w:autoRedefine/>
    <w:qFormat/>
    <w:locked/>
    <w:uiPriority w:val="99"/>
    <w:rPr>
      <w:rFonts w:eastAsia="宋体" w:cs="Times New Roman"/>
      <w:kern w:val="2"/>
      <w:sz w:val="24"/>
      <w:lang w:val="en-US" w:eastAsia="zh-CN"/>
    </w:rPr>
  </w:style>
  <w:style w:type="character" w:customStyle="1" w:styleId="85">
    <w:name w:val="文档结构图 字符"/>
    <w:basedOn w:val="57"/>
    <w:link w:val="18"/>
    <w:autoRedefine/>
    <w:qFormat/>
    <w:locked/>
    <w:uiPriority w:val="99"/>
    <w:rPr>
      <w:rFonts w:ascii="宋体" w:cs="Times New Roman"/>
      <w:kern w:val="2"/>
      <w:sz w:val="18"/>
    </w:rPr>
  </w:style>
  <w:style w:type="character" w:customStyle="1" w:styleId="86">
    <w:name w:val="批注文字 字符"/>
    <w:basedOn w:val="57"/>
    <w:link w:val="19"/>
    <w:autoRedefine/>
    <w:qFormat/>
    <w:locked/>
    <w:uiPriority w:val="99"/>
    <w:rPr>
      <w:rFonts w:cs="Times New Roman"/>
      <w:kern w:val="2"/>
      <w:sz w:val="22"/>
    </w:rPr>
  </w:style>
  <w:style w:type="character" w:customStyle="1" w:styleId="87">
    <w:name w:val="称呼 字符"/>
    <w:basedOn w:val="57"/>
    <w:link w:val="20"/>
    <w:autoRedefine/>
    <w:qFormat/>
    <w:locked/>
    <w:uiPriority w:val="99"/>
    <w:rPr>
      <w:rFonts w:ascii="宋体" w:hAnsi="Times New Roman" w:cs="Times New Roman"/>
      <w:b/>
      <w:kern w:val="2"/>
      <w:sz w:val="28"/>
    </w:rPr>
  </w:style>
  <w:style w:type="character" w:customStyle="1" w:styleId="88">
    <w:name w:val="正文文本 3 字符"/>
    <w:basedOn w:val="57"/>
    <w:link w:val="21"/>
    <w:autoRedefine/>
    <w:qFormat/>
    <w:locked/>
    <w:uiPriority w:val="99"/>
    <w:rPr>
      <w:rFonts w:ascii="Times New Roman" w:hAnsi="宋体" w:eastAsia="仿宋_GB2312" w:cs="Times New Roman"/>
      <w:b/>
      <w:kern w:val="2"/>
      <w:sz w:val="24"/>
    </w:rPr>
  </w:style>
  <w:style w:type="character" w:customStyle="1" w:styleId="89">
    <w:name w:val="正文文本缩进 字符"/>
    <w:basedOn w:val="57"/>
    <w:link w:val="23"/>
    <w:autoRedefine/>
    <w:qFormat/>
    <w:locked/>
    <w:uiPriority w:val="99"/>
    <w:rPr>
      <w:rFonts w:ascii="宋体" w:hAnsi="Courier New" w:eastAsia="宋体" w:cs="Times New Roman"/>
      <w:spacing w:val="-4"/>
      <w:kern w:val="2"/>
      <w:sz w:val="18"/>
      <w:lang w:val="en-US" w:eastAsia="zh-CN"/>
    </w:rPr>
  </w:style>
  <w:style w:type="character" w:customStyle="1" w:styleId="90">
    <w:name w:val="纯文本 字符"/>
    <w:basedOn w:val="57"/>
    <w:link w:val="30"/>
    <w:autoRedefine/>
    <w:qFormat/>
    <w:locked/>
    <w:uiPriority w:val="99"/>
    <w:rPr>
      <w:rFonts w:ascii="宋体" w:hAnsi="Courier New" w:cs="Times New Roman"/>
      <w:kern w:val="2"/>
      <w:sz w:val="24"/>
    </w:rPr>
  </w:style>
  <w:style w:type="character" w:customStyle="1" w:styleId="91">
    <w:name w:val="日期 字符"/>
    <w:basedOn w:val="57"/>
    <w:link w:val="33"/>
    <w:autoRedefine/>
    <w:qFormat/>
    <w:locked/>
    <w:uiPriority w:val="99"/>
    <w:rPr>
      <w:rFonts w:eastAsia="楷体_GB2312" w:cs="Times New Roman"/>
      <w:kern w:val="2"/>
      <w:sz w:val="32"/>
      <w:lang w:val="en-US" w:eastAsia="zh-CN"/>
    </w:rPr>
  </w:style>
  <w:style w:type="character" w:customStyle="1" w:styleId="92">
    <w:name w:val="正文文本缩进 2 字符"/>
    <w:basedOn w:val="57"/>
    <w:link w:val="34"/>
    <w:autoRedefine/>
    <w:qFormat/>
    <w:locked/>
    <w:uiPriority w:val="99"/>
    <w:rPr>
      <w:rFonts w:ascii="仿宋_GB2312" w:hAnsi="宋体" w:cs="Times New Roman"/>
      <w:b/>
      <w:color w:val="000000"/>
      <w:kern w:val="2"/>
      <w:sz w:val="24"/>
    </w:rPr>
  </w:style>
  <w:style w:type="character" w:customStyle="1" w:styleId="93">
    <w:name w:val="尾注文本 字符"/>
    <w:basedOn w:val="57"/>
    <w:link w:val="35"/>
    <w:autoRedefine/>
    <w:qFormat/>
    <w:locked/>
    <w:uiPriority w:val="99"/>
    <w:rPr>
      <w:rFonts w:ascii="宋体"/>
      <w:kern w:val="0"/>
      <w:szCs w:val="20"/>
    </w:rPr>
  </w:style>
  <w:style w:type="character" w:customStyle="1" w:styleId="94">
    <w:name w:val="批注框文本 字符"/>
    <w:basedOn w:val="57"/>
    <w:link w:val="36"/>
    <w:autoRedefine/>
    <w:semiHidden/>
    <w:qFormat/>
    <w:locked/>
    <w:uiPriority w:val="99"/>
    <w:rPr>
      <w:rFonts w:cs="Times New Roman"/>
      <w:kern w:val="2"/>
      <w:sz w:val="18"/>
    </w:rPr>
  </w:style>
  <w:style w:type="character" w:customStyle="1" w:styleId="95">
    <w:name w:val="页脚 字符"/>
    <w:basedOn w:val="57"/>
    <w:link w:val="37"/>
    <w:autoRedefine/>
    <w:qFormat/>
    <w:locked/>
    <w:uiPriority w:val="99"/>
    <w:rPr>
      <w:rFonts w:cs="Times New Roman"/>
      <w:kern w:val="2"/>
      <w:sz w:val="18"/>
    </w:rPr>
  </w:style>
  <w:style w:type="character" w:customStyle="1" w:styleId="96">
    <w:name w:val="页眉 字符"/>
    <w:basedOn w:val="57"/>
    <w:link w:val="38"/>
    <w:autoRedefine/>
    <w:qFormat/>
    <w:locked/>
    <w:uiPriority w:val="99"/>
    <w:rPr>
      <w:rFonts w:cs="Times New Roman"/>
      <w:kern w:val="2"/>
      <w:sz w:val="18"/>
    </w:rPr>
  </w:style>
  <w:style w:type="character" w:customStyle="1" w:styleId="97">
    <w:name w:val="副标题 字符"/>
    <w:basedOn w:val="57"/>
    <w:link w:val="41"/>
    <w:autoRedefine/>
    <w:qFormat/>
    <w:locked/>
    <w:uiPriority w:val="99"/>
    <w:rPr>
      <w:rFonts w:ascii="Times New Roman" w:hAnsi="Times New Roman" w:cs="Times New Roman"/>
      <w:kern w:val="2"/>
      <w:sz w:val="18"/>
      <w:lang w:val="en-US" w:eastAsia="zh-CN"/>
    </w:rPr>
  </w:style>
  <w:style w:type="character" w:customStyle="1" w:styleId="98">
    <w:name w:val="脚注文本 字符"/>
    <w:basedOn w:val="57"/>
    <w:link w:val="43"/>
    <w:autoRedefine/>
    <w:qFormat/>
    <w:locked/>
    <w:uiPriority w:val="99"/>
    <w:rPr>
      <w:rFonts w:cs="Times New Roman"/>
      <w:kern w:val="2"/>
      <w:sz w:val="18"/>
    </w:rPr>
  </w:style>
  <w:style w:type="character" w:customStyle="1" w:styleId="99">
    <w:name w:val="正文文本缩进 3 字符"/>
    <w:basedOn w:val="57"/>
    <w:link w:val="45"/>
    <w:autoRedefine/>
    <w:qFormat/>
    <w:locked/>
    <w:uiPriority w:val="99"/>
    <w:rPr>
      <w:rFonts w:ascii="仿宋_GB2312" w:hAnsi="宋体" w:eastAsia="仿宋_GB2312" w:cs="Times New Roman"/>
      <w:color w:val="000000"/>
      <w:kern w:val="2"/>
      <w:sz w:val="24"/>
    </w:rPr>
  </w:style>
  <w:style w:type="character" w:customStyle="1" w:styleId="100">
    <w:name w:val="正文文本 2 字符"/>
    <w:basedOn w:val="57"/>
    <w:link w:val="48"/>
    <w:autoRedefine/>
    <w:qFormat/>
    <w:locked/>
    <w:uiPriority w:val="99"/>
    <w:rPr>
      <w:rFonts w:ascii="宋体" w:hAnsi="宋体" w:eastAsia="宋体" w:cs="Times New Roman"/>
      <w:color w:val="000000"/>
      <w:kern w:val="2"/>
      <w:sz w:val="24"/>
      <w:lang w:val="en-US" w:eastAsia="zh-CN"/>
    </w:rPr>
  </w:style>
  <w:style w:type="character" w:customStyle="1" w:styleId="101">
    <w:name w:val="HTML 预设格式 字符"/>
    <w:basedOn w:val="57"/>
    <w:link w:val="49"/>
    <w:autoRedefine/>
    <w:qFormat/>
    <w:locked/>
    <w:uiPriority w:val="99"/>
    <w:rPr>
      <w:rFonts w:ascii="Courier New" w:hAnsi="Courier New" w:cs="Times New Roman"/>
      <w:kern w:val="2"/>
    </w:rPr>
  </w:style>
  <w:style w:type="character" w:customStyle="1" w:styleId="102">
    <w:name w:val="标题 字符"/>
    <w:basedOn w:val="57"/>
    <w:link w:val="52"/>
    <w:autoRedefine/>
    <w:qFormat/>
    <w:locked/>
    <w:uiPriority w:val="99"/>
    <w:rPr>
      <w:rFonts w:ascii="Arial" w:hAnsi="Arial" w:cs="Times New Roman"/>
      <w:b/>
      <w:kern w:val="2"/>
      <w:sz w:val="32"/>
    </w:rPr>
  </w:style>
  <w:style w:type="character" w:customStyle="1" w:styleId="103">
    <w:name w:val="批注主题 字符"/>
    <w:basedOn w:val="86"/>
    <w:link w:val="53"/>
    <w:autoRedefine/>
    <w:semiHidden/>
    <w:qFormat/>
    <w:locked/>
    <w:uiPriority w:val="99"/>
    <w:rPr>
      <w:rFonts w:cs="Times New Roman"/>
      <w:b/>
      <w:bCs/>
      <w:kern w:val="2"/>
      <w:sz w:val="22"/>
    </w:rPr>
  </w:style>
  <w:style w:type="character" w:customStyle="1" w:styleId="104">
    <w:name w:val="正文首行缩进 字符"/>
    <w:basedOn w:val="84"/>
    <w:link w:val="54"/>
    <w:autoRedefine/>
    <w:qFormat/>
    <w:locked/>
    <w:uiPriority w:val="99"/>
    <w:rPr>
      <w:rFonts w:ascii="Calibri" w:hAnsi="Calibri" w:eastAsia="宋体" w:cs="Times New Roman"/>
      <w:kern w:val="2"/>
      <w:sz w:val="22"/>
      <w:lang w:val="en-US" w:eastAsia="zh-CN"/>
    </w:rPr>
  </w:style>
  <w:style w:type="character" w:customStyle="1" w:styleId="105">
    <w:name w:val="正文首行缩进 2 字符"/>
    <w:basedOn w:val="89"/>
    <w:link w:val="15"/>
    <w:autoRedefine/>
    <w:semiHidden/>
    <w:qFormat/>
    <w:locked/>
    <w:uiPriority w:val="99"/>
    <w:rPr>
      <w:rFonts w:ascii="宋体" w:hAnsi="Courier New" w:eastAsia="宋体" w:cs="Times New Roman"/>
      <w:spacing w:val="-4"/>
      <w:kern w:val="2"/>
      <w:sz w:val="18"/>
      <w:lang w:val="en-US" w:eastAsia="zh-CN"/>
    </w:rPr>
  </w:style>
  <w:style w:type="character" w:customStyle="1" w:styleId="106">
    <w:name w:val="正文 首行缩进:  2 字符 Char"/>
    <w:link w:val="107"/>
    <w:autoRedefine/>
    <w:qFormat/>
    <w:locked/>
    <w:uiPriority w:val="99"/>
    <w:rPr>
      <w:sz w:val="24"/>
    </w:rPr>
  </w:style>
  <w:style w:type="paragraph" w:customStyle="1" w:styleId="107">
    <w:name w:val="正文 首行缩进:  2 字符"/>
    <w:basedOn w:val="1"/>
    <w:next w:val="1"/>
    <w:link w:val="106"/>
    <w:autoRedefine/>
    <w:qFormat/>
    <w:uiPriority w:val="99"/>
    <w:pPr>
      <w:spacing w:line="360" w:lineRule="auto"/>
      <w:ind w:firstLine="480" w:firstLineChars="200"/>
      <w:jc w:val="left"/>
    </w:pPr>
    <w:rPr>
      <w:kern w:val="0"/>
      <w:sz w:val="24"/>
      <w:szCs w:val="20"/>
    </w:rPr>
  </w:style>
  <w:style w:type="character" w:customStyle="1" w:styleId="108">
    <w:name w:val="正文（首行缩进2字符） Char Char"/>
    <w:link w:val="109"/>
    <w:autoRedefine/>
    <w:qFormat/>
    <w:locked/>
    <w:uiPriority w:val="99"/>
    <w:rPr>
      <w:sz w:val="21"/>
    </w:rPr>
  </w:style>
  <w:style w:type="paragraph" w:customStyle="1" w:styleId="109">
    <w:name w:val="正文（首行缩进2字符）"/>
    <w:basedOn w:val="1"/>
    <w:link w:val="108"/>
    <w:autoRedefine/>
    <w:qFormat/>
    <w:uiPriority w:val="99"/>
    <w:pPr>
      <w:spacing w:line="360" w:lineRule="auto"/>
      <w:ind w:firstLine="420" w:firstLineChars="200"/>
    </w:pPr>
    <w:rPr>
      <w:kern w:val="0"/>
      <w:szCs w:val="20"/>
    </w:rPr>
  </w:style>
  <w:style w:type="character" w:customStyle="1" w:styleId="110">
    <w:name w:val="正文标准样式ty Char2"/>
    <w:link w:val="111"/>
    <w:autoRedefine/>
    <w:qFormat/>
    <w:locked/>
    <w:uiPriority w:val="99"/>
    <w:rPr>
      <w:rFonts w:eastAsia="宋体"/>
      <w:kern w:val="2"/>
      <w:sz w:val="24"/>
      <w:lang w:val="en-US" w:eastAsia="zh-CN"/>
    </w:rPr>
  </w:style>
  <w:style w:type="paragraph" w:customStyle="1" w:styleId="111">
    <w:name w:val="正文标准样式ty"/>
    <w:basedOn w:val="1"/>
    <w:link w:val="110"/>
    <w:autoRedefine/>
    <w:qFormat/>
    <w:uiPriority w:val="99"/>
    <w:pPr>
      <w:spacing w:line="360" w:lineRule="auto"/>
      <w:ind w:firstLine="480" w:firstLineChars="200"/>
    </w:pPr>
    <w:rPr>
      <w:sz w:val="24"/>
      <w:szCs w:val="20"/>
    </w:rPr>
  </w:style>
  <w:style w:type="character" w:customStyle="1" w:styleId="112">
    <w:name w:val="Normal Indent Char1 Char1 Char2 Char Char Char Char Char Char Char Char Char Char Char Char Char Char"/>
    <w:autoRedefine/>
    <w:qFormat/>
    <w:uiPriority w:val="99"/>
    <w:rPr>
      <w:rFonts w:eastAsia="仿宋_GB2312"/>
      <w:kern w:val="2"/>
      <w:sz w:val="24"/>
      <w:lang w:val="en-US" w:eastAsia="zh-CN"/>
    </w:rPr>
  </w:style>
  <w:style w:type="character" w:customStyle="1" w:styleId="113">
    <w:name w:val="彩色列表 - 强调文字颜色 1 Char"/>
    <w:link w:val="114"/>
    <w:autoRedefine/>
    <w:qFormat/>
    <w:locked/>
    <w:uiPriority w:val="99"/>
    <w:rPr>
      <w:kern w:val="2"/>
      <w:sz w:val="22"/>
    </w:rPr>
  </w:style>
  <w:style w:type="paragraph" w:customStyle="1" w:styleId="114">
    <w:name w:val="彩色列表 - 强调文字颜色 11"/>
    <w:basedOn w:val="1"/>
    <w:link w:val="113"/>
    <w:autoRedefine/>
    <w:qFormat/>
    <w:uiPriority w:val="99"/>
    <w:pPr>
      <w:ind w:firstLine="420" w:firstLineChars="200"/>
    </w:pPr>
    <w:rPr>
      <w:sz w:val="22"/>
      <w:szCs w:val="20"/>
    </w:rPr>
  </w:style>
  <w:style w:type="character" w:customStyle="1" w:styleId="115">
    <w:name w:val="glossaryitem"/>
    <w:autoRedefine/>
    <w:qFormat/>
    <w:uiPriority w:val="99"/>
    <w:rPr>
      <w:u w:val="none"/>
    </w:rPr>
  </w:style>
  <w:style w:type="character" w:customStyle="1" w:styleId="116">
    <w:name w:val="Char Char14"/>
    <w:autoRedefine/>
    <w:qFormat/>
    <w:uiPriority w:val="99"/>
    <w:rPr>
      <w:rFonts w:ascii="Calibri" w:hAnsi="Calibri" w:eastAsia="宋体"/>
      <w:b/>
      <w:sz w:val="28"/>
    </w:rPr>
  </w:style>
  <w:style w:type="character" w:customStyle="1" w:styleId="117">
    <w:name w:val="b11_01b Char"/>
    <w:link w:val="118"/>
    <w:autoRedefine/>
    <w:qFormat/>
    <w:locked/>
    <w:uiPriority w:val="99"/>
    <w:rPr>
      <w:rFonts w:ascii="Verdana" w:hAnsi="Verdana" w:eastAsia="宋体"/>
      <w:b/>
      <w:color w:val="4A82CA"/>
      <w:sz w:val="17"/>
      <w:lang w:val="en-US" w:eastAsia="zh-CN"/>
    </w:rPr>
  </w:style>
  <w:style w:type="paragraph" w:customStyle="1" w:styleId="118">
    <w:name w:val="b11_01b"/>
    <w:basedOn w:val="1"/>
    <w:next w:val="1"/>
    <w:link w:val="117"/>
    <w:autoRedefine/>
    <w:qFormat/>
    <w:uiPriority w:val="99"/>
    <w:pPr>
      <w:widowControl/>
      <w:spacing w:before="100" w:beforeAutospacing="1" w:after="100" w:afterAutospacing="1" w:line="384" w:lineRule="auto"/>
      <w:jc w:val="left"/>
    </w:pPr>
    <w:rPr>
      <w:rFonts w:ascii="Verdana" w:hAnsi="Verdana"/>
      <w:b/>
      <w:color w:val="4A82CA"/>
      <w:kern w:val="0"/>
      <w:sz w:val="17"/>
      <w:szCs w:val="20"/>
    </w:rPr>
  </w:style>
  <w:style w:type="character" w:customStyle="1" w:styleId="119">
    <w:name w:val="font3"/>
    <w:basedOn w:val="57"/>
    <w:autoRedefine/>
    <w:qFormat/>
    <w:uiPriority w:val="99"/>
    <w:rPr>
      <w:rFonts w:cs="Times New Roman"/>
    </w:rPr>
  </w:style>
  <w:style w:type="character" w:customStyle="1" w:styleId="120">
    <w:name w:val="ca-16"/>
    <w:basedOn w:val="57"/>
    <w:autoRedefine/>
    <w:qFormat/>
    <w:uiPriority w:val="99"/>
    <w:rPr>
      <w:rFonts w:cs="Times New Roman"/>
    </w:rPr>
  </w:style>
  <w:style w:type="character" w:customStyle="1" w:styleId="121">
    <w:name w:val="Normal Indent Char Char"/>
    <w:autoRedefine/>
    <w:qFormat/>
    <w:uiPriority w:val="99"/>
    <w:rPr>
      <w:rFonts w:eastAsia="宋体"/>
      <w:kern w:val="2"/>
      <w:sz w:val="24"/>
      <w:lang w:val="en-US" w:eastAsia="zh-CN"/>
    </w:rPr>
  </w:style>
  <w:style w:type="character" w:customStyle="1" w:styleId="122">
    <w:name w:val="p21"/>
    <w:autoRedefine/>
    <w:qFormat/>
    <w:uiPriority w:val="99"/>
    <w:rPr>
      <w:rFonts w:ascii="Arial" w:hAnsi="Arial"/>
      <w:color w:val="333333"/>
      <w:sz w:val="18"/>
      <w:u w:val="none"/>
    </w:rPr>
  </w:style>
  <w:style w:type="character" w:customStyle="1" w:styleId="123">
    <w:name w:val="样式 样式 正文首行缩进 + 首行缩进:  2 字符 + 首行缩进:  2 字符 Char"/>
    <w:link w:val="124"/>
    <w:autoRedefine/>
    <w:qFormat/>
    <w:locked/>
    <w:uiPriority w:val="99"/>
    <w:rPr>
      <w:kern w:val="2"/>
      <w:sz w:val="24"/>
    </w:rPr>
  </w:style>
  <w:style w:type="paragraph" w:customStyle="1" w:styleId="124">
    <w:name w:val="样式 样式 正文首行缩进 + 首行缩进:  2 字符 + 首行缩进:  2 字符"/>
    <w:basedOn w:val="1"/>
    <w:link w:val="123"/>
    <w:autoRedefine/>
    <w:qFormat/>
    <w:uiPriority w:val="99"/>
    <w:pPr>
      <w:spacing w:line="440" w:lineRule="exact"/>
      <w:ind w:firstLine="200" w:firstLineChars="200"/>
    </w:pPr>
    <w:rPr>
      <w:sz w:val="24"/>
      <w:szCs w:val="20"/>
    </w:rPr>
  </w:style>
  <w:style w:type="character" w:customStyle="1" w:styleId="125">
    <w:name w:val="point_normal1"/>
    <w:autoRedefine/>
    <w:qFormat/>
    <w:uiPriority w:val="99"/>
    <w:rPr>
      <w:rFonts w:ascii="Arial" w:hAnsi="Arial"/>
      <w:sz w:val="18"/>
    </w:rPr>
  </w:style>
  <w:style w:type="character" w:customStyle="1" w:styleId="126">
    <w:name w:val="style31"/>
    <w:autoRedefine/>
    <w:qFormat/>
    <w:uiPriority w:val="99"/>
    <w:rPr>
      <w:color w:val="666666"/>
    </w:rPr>
  </w:style>
  <w:style w:type="character" w:customStyle="1" w:styleId="127">
    <w:name w:val="标题4-dyf Char"/>
    <w:link w:val="128"/>
    <w:autoRedefine/>
    <w:qFormat/>
    <w:locked/>
    <w:uiPriority w:val="99"/>
    <w:rPr>
      <w:rFonts w:ascii="Cambria" w:hAnsi="Cambria" w:eastAsia="宋体"/>
      <w:b/>
      <w:color w:val="000000"/>
      <w:kern w:val="2"/>
      <w:sz w:val="21"/>
      <w:lang w:val="en-US" w:eastAsia="zh-CN"/>
    </w:rPr>
  </w:style>
  <w:style w:type="paragraph" w:customStyle="1" w:styleId="128">
    <w:name w:val="标题4-dyf"/>
    <w:basedOn w:val="5"/>
    <w:link w:val="127"/>
    <w:autoRedefine/>
    <w:qFormat/>
    <w:uiPriority w:val="99"/>
    <w:pPr>
      <w:tabs>
        <w:tab w:val="left" w:pos="851"/>
      </w:tabs>
      <w:spacing w:line="376" w:lineRule="atLeast"/>
      <w:ind w:left="851" w:hanging="851"/>
    </w:pPr>
    <w:rPr>
      <w:rFonts w:ascii="Cambria" w:hAnsi="Cambria" w:eastAsia="宋体"/>
      <w:bCs w:val="0"/>
      <w:color w:val="000000"/>
      <w:sz w:val="21"/>
      <w:szCs w:val="20"/>
    </w:rPr>
  </w:style>
  <w:style w:type="character" w:customStyle="1" w:styleId="129">
    <w:name w:val="H2 Char3"/>
    <w:autoRedefine/>
    <w:qFormat/>
    <w:uiPriority w:val="99"/>
    <w:rPr>
      <w:rFonts w:ascii="Arial" w:hAnsi="Arial" w:eastAsia="黑体"/>
      <w:b/>
      <w:kern w:val="2"/>
      <w:sz w:val="32"/>
      <w:lang w:val="en-US" w:eastAsia="zh-CN"/>
    </w:rPr>
  </w:style>
  <w:style w:type="character" w:customStyle="1" w:styleId="130">
    <w:name w:val="标题 1 Char1"/>
    <w:autoRedefine/>
    <w:qFormat/>
    <w:uiPriority w:val="99"/>
    <w:rPr>
      <w:b/>
      <w:kern w:val="44"/>
      <w:sz w:val="44"/>
    </w:rPr>
  </w:style>
  <w:style w:type="character" w:customStyle="1" w:styleId="131">
    <w:name w:val="无间隔 Char"/>
    <w:link w:val="132"/>
    <w:autoRedefine/>
    <w:qFormat/>
    <w:locked/>
    <w:uiPriority w:val="99"/>
    <w:rPr>
      <w:rFonts w:eastAsia="宋体"/>
      <w:sz w:val="22"/>
      <w:lang w:val="en-US" w:eastAsia="zh-CN"/>
    </w:rPr>
  </w:style>
  <w:style w:type="paragraph" w:customStyle="1" w:styleId="132">
    <w:name w:val="无间隔1"/>
    <w:link w:val="131"/>
    <w:autoRedefine/>
    <w:qFormat/>
    <w:uiPriority w:val="99"/>
    <w:rPr>
      <w:rFonts w:ascii="Times New Roman" w:hAnsi="Times New Roman" w:eastAsia="宋体" w:cs="Times New Roman"/>
      <w:sz w:val="22"/>
      <w:lang w:val="en-US" w:eastAsia="zh-CN" w:bidi="ar-SA"/>
    </w:rPr>
  </w:style>
  <w:style w:type="character" w:customStyle="1" w:styleId="133">
    <w:name w:val="Char Char8"/>
    <w:autoRedefine/>
    <w:qFormat/>
    <w:uiPriority w:val="99"/>
    <w:rPr>
      <w:rFonts w:ascii="Arial" w:hAnsi="Arial" w:eastAsia="黑体"/>
      <w:b/>
      <w:kern w:val="2"/>
      <w:sz w:val="32"/>
      <w:lang w:val="en-US" w:eastAsia="zh-CN"/>
    </w:rPr>
  </w:style>
  <w:style w:type="character" w:customStyle="1" w:styleId="134">
    <w:name w:val="unnamed11"/>
    <w:autoRedefine/>
    <w:qFormat/>
    <w:uiPriority w:val="99"/>
    <w:rPr>
      <w:color w:val="000000"/>
      <w:sz w:val="20"/>
    </w:rPr>
  </w:style>
  <w:style w:type="character" w:customStyle="1" w:styleId="135">
    <w:name w:val="大汉方案正文 Char Char Char"/>
    <w:link w:val="136"/>
    <w:autoRedefine/>
    <w:qFormat/>
    <w:locked/>
    <w:uiPriority w:val="99"/>
    <w:rPr>
      <w:rFonts w:ascii="Arial" w:hAnsi="Arial" w:eastAsia="宋体"/>
      <w:sz w:val="24"/>
    </w:rPr>
  </w:style>
  <w:style w:type="paragraph" w:customStyle="1" w:styleId="136">
    <w:name w:val="大汉方案正文 Char"/>
    <w:basedOn w:val="1"/>
    <w:link w:val="135"/>
    <w:autoRedefine/>
    <w:qFormat/>
    <w:uiPriority w:val="99"/>
    <w:pPr>
      <w:spacing w:line="360" w:lineRule="auto"/>
      <w:ind w:firstLine="200" w:firstLineChars="200"/>
    </w:pPr>
    <w:rPr>
      <w:rFonts w:ascii="Arial" w:hAnsi="Arial"/>
      <w:kern w:val="0"/>
      <w:sz w:val="24"/>
      <w:szCs w:val="20"/>
    </w:rPr>
  </w:style>
  <w:style w:type="character" w:customStyle="1" w:styleId="137">
    <w:name w:val="Char Char3"/>
    <w:autoRedefine/>
    <w:qFormat/>
    <w:uiPriority w:val="99"/>
    <w:rPr>
      <w:rFonts w:ascii="Arial" w:hAnsi="Arial" w:eastAsia="黑体"/>
      <w:b/>
      <w:kern w:val="2"/>
      <w:sz w:val="32"/>
      <w:lang w:val="en-US" w:eastAsia="zh-CN"/>
    </w:rPr>
  </w:style>
  <w:style w:type="character" w:customStyle="1" w:styleId="138">
    <w:name w:val="unnamed1"/>
    <w:basedOn w:val="57"/>
    <w:autoRedefine/>
    <w:qFormat/>
    <w:uiPriority w:val="99"/>
    <w:rPr>
      <w:rFonts w:cs="Times New Roman"/>
    </w:rPr>
  </w:style>
  <w:style w:type="character" w:customStyle="1" w:styleId="139">
    <w:name w:val="Char Char2"/>
    <w:autoRedefine/>
    <w:qFormat/>
    <w:uiPriority w:val="99"/>
    <w:rPr>
      <w:rFonts w:ascii="宋体" w:hAnsi="Courier New" w:eastAsia="宋体"/>
      <w:sz w:val="21"/>
      <w:lang w:val="en-US" w:eastAsia="zh-CN"/>
    </w:rPr>
  </w:style>
  <w:style w:type="character" w:customStyle="1" w:styleId="140">
    <w:name w:val="Char Char7"/>
    <w:autoRedefine/>
    <w:qFormat/>
    <w:uiPriority w:val="99"/>
    <w:rPr>
      <w:rFonts w:eastAsia="宋体"/>
      <w:b/>
      <w:kern w:val="2"/>
      <w:sz w:val="32"/>
    </w:rPr>
  </w:style>
  <w:style w:type="character" w:customStyle="1" w:styleId="141">
    <w:name w:val="tw4winExternal"/>
    <w:autoRedefine/>
    <w:qFormat/>
    <w:uiPriority w:val="99"/>
    <w:rPr>
      <w:rFonts w:ascii="Courier New" w:hAnsi="Courier New"/>
      <w:color w:val="808080"/>
    </w:rPr>
  </w:style>
  <w:style w:type="character" w:customStyle="1" w:styleId="142">
    <w:name w:val="样式 正文缩进 + 首行缩进:  2 字符 Char"/>
    <w:link w:val="143"/>
    <w:autoRedefine/>
    <w:qFormat/>
    <w:locked/>
    <w:uiPriority w:val="99"/>
    <w:rPr>
      <w:rFonts w:ascii="Times New Roman" w:hAnsi="Times New Roman"/>
      <w:kern w:val="2"/>
      <w:sz w:val="24"/>
    </w:rPr>
  </w:style>
  <w:style w:type="paragraph" w:customStyle="1" w:styleId="143">
    <w:name w:val="样式 正文缩进 + 首行缩进:  2 字符"/>
    <w:basedOn w:val="14"/>
    <w:link w:val="142"/>
    <w:autoRedefine/>
    <w:qFormat/>
    <w:uiPriority w:val="99"/>
    <w:pPr>
      <w:spacing w:line="360" w:lineRule="auto"/>
      <w:ind w:firstLine="200" w:firstLineChars="200"/>
    </w:pPr>
    <w:rPr>
      <w:sz w:val="24"/>
    </w:rPr>
  </w:style>
  <w:style w:type="character" w:customStyle="1" w:styleId="144">
    <w:name w:val="Char Char6"/>
    <w:autoRedefine/>
    <w:qFormat/>
    <w:uiPriority w:val="99"/>
    <w:rPr>
      <w:rFonts w:ascii="Calibri" w:hAnsi="Calibri" w:eastAsia="宋体"/>
      <w:b/>
      <w:kern w:val="2"/>
      <w:sz w:val="28"/>
    </w:rPr>
  </w:style>
  <w:style w:type="character" w:customStyle="1" w:styleId="145">
    <w:name w:val="正文（缩进） Char"/>
    <w:link w:val="146"/>
    <w:autoRedefine/>
    <w:qFormat/>
    <w:locked/>
    <w:uiPriority w:val="99"/>
    <w:rPr>
      <w:kern w:val="2"/>
      <w:sz w:val="24"/>
    </w:rPr>
  </w:style>
  <w:style w:type="paragraph" w:customStyle="1" w:styleId="146">
    <w:name w:val="正文（缩进）"/>
    <w:basedOn w:val="1"/>
    <w:link w:val="145"/>
    <w:autoRedefine/>
    <w:qFormat/>
    <w:uiPriority w:val="99"/>
    <w:pPr>
      <w:spacing w:beforeLines="50" w:afterLines="50" w:line="360" w:lineRule="auto"/>
      <w:ind w:firstLine="480" w:firstLineChars="200"/>
    </w:pPr>
    <w:rPr>
      <w:sz w:val="24"/>
      <w:szCs w:val="20"/>
    </w:rPr>
  </w:style>
  <w:style w:type="character" w:customStyle="1" w:styleId="147">
    <w:name w:val="Char Char61"/>
    <w:autoRedefine/>
    <w:qFormat/>
    <w:uiPriority w:val="99"/>
    <w:rPr>
      <w:rFonts w:ascii="Calibri" w:hAnsi="Calibri" w:eastAsia="宋体"/>
      <w:b/>
      <w:kern w:val="2"/>
      <w:sz w:val="28"/>
    </w:rPr>
  </w:style>
  <w:style w:type="character" w:customStyle="1" w:styleId="148">
    <w:name w:val="title_sub_blue1"/>
    <w:autoRedefine/>
    <w:qFormat/>
    <w:uiPriority w:val="99"/>
    <w:rPr>
      <w:rFonts w:ascii="Arial" w:hAnsi="Arial"/>
      <w:b/>
      <w:color w:val="16344F"/>
      <w:spacing w:val="15"/>
      <w:sz w:val="18"/>
      <w:u w:val="none"/>
    </w:rPr>
  </w:style>
  <w:style w:type="character" w:customStyle="1" w:styleId="149">
    <w:name w:val="Char Char9"/>
    <w:autoRedefine/>
    <w:qFormat/>
    <w:uiPriority w:val="99"/>
    <w:rPr>
      <w:rFonts w:eastAsia="宋体"/>
      <w:b/>
      <w:kern w:val="44"/>
      <w:sz w:val="44"/>
    </w:rPr>
  </w:style>
  <w:style w:type="character" w:customStyle="1" w:styleId="150">
    <w:name w:val="14_black1"/>
    <w:autoRedefine/>
    <w:qFormat/>
    <w:uiPriority w:val="99"/>
    <w:rPr>
      <w:color w:val="000000"/>
      <w:sz w:val="21"/>
    </w:rPr>
  </w:style>
  <w:style w:type="character" w:customStyle="1" w:styleId="151">
    <w:name w:val="浅色网格 - 强调文字颜色 3 Char1"/>
    <w:link w:val="152"/>
    <w:autoRedefine/>
    <w:qFormat/>
    <w:locked/>
    <w:uiPriority w:val="99"/>
    <w:rPr>
      <w:rFonts w:eastAsia="宋体"/>
      <w:kern w:val="2"/>
      <w:sz w:val="24"/>
      <w:lang w:val="en-US" w:eastAsia="zh-CN"/>
    </w:rPr>
  </w:style>
  <w:style w:type="paragraph" w:customStyle="1" w:styleId="152">
    <w:name w:val="浅色网格 - 强调文字颜色 31"/>
    <w:basedOn w:val="1"/>
    <w:link w:val="151"/>
    <w:autoRedefine/>
    <w:qFormat/>
    <w:uiPriority w:val="99"/>
    <w:pPr>
      <w:ind w:firstLine="420" w:firstLineChars="200"/>
    </w:pPr>
    <w:rPr>
      <w:sz w:val="24"/>
      <w:szCs w:val="20"/>
    </w:rPr>
  </w:style>
  <w:style w:type="character" w:customStyle="1" w:styleId="153">
    <w:name w:val="公司一级标题"/>
    <w:autoRedefine/>
    <w:qFormat/>
    <w:uiPriority w:val="99"/>
    <w:rPr>
      <w:rFonts w:ascii="黑体" w:hAnsi="黑体" w:eastAsia="黑体"/>
      <w:color w:val="333300"/>
      <w:sz w:val="30"/>
    </w:rPr>
  </w:style>
  <w:style w:type="character" w:customStyle="1" w:styleId="154">
    <w:name w:val="正 文 1 Char Char"/>
    <w:autoRedefine/>
    <w:qFormat/>
    <w:uiPriority w:val="99"/>
    <w:rPr>
      <w:rFonts w:ascii="宋体" w:hAnsi="Courier New" w:eastAsia="宋体"/>
      <w:kern w:val="2"/>
      <w:sz w:val="21"/>
      <w:lang w:val="en-US" w:eastAsia="zh-CN"/>
    </w:rPr>
  </w:style>
  <w:style w:type="character" w:customStyle="1" w:styleId="155">
    <w:name w:val="tw4winMark"/>
    <w:autoRedefine/>
    <w:qFormat/>
    <w:uiPriority w:val="99"/>
    <w:rPr>
      <w:rFonts w:ascii="Courier New" w:hAnsi="Courier New"/>
      <w:vanish/>
      <w:color w:val="800080"/>
      <w:vertAlign w:val="subscript"/>
    </w:rPr>
  </w:style>
  <w:style w:type="character" w:customStyle="1" w:styleId="156">
    <w:name w:val="paramname2"/>
    <w:basedOn w:val="57"/>
    <w:autoRedefine/>
    <w:qFormat/>
    <w:uiPriority w:val="99"/>
    <w:rPr>
      <w:rFonts w:cs="Times New Roman"/>
    </w:rPr>
  </w:style>
  <w:style w:type="character" w:customStyle="1" w:styleId="157">
    <w:name w:val="正文缩进 字符"/>
    <w:link w:val="14"/>
    <w:autoRedefine/>
    <w:qFormat/>
    <w:locked/>
    <w:uiPriority w:val="99"/>
    <w:rPr>
      <w:rFonts w:eastAsia="宋体"/>
      <w:kern w:val="2"/>
      <w:sz w:val="21"/>
      <w:lang w:val="en-US" w:eastAsia="zh-CN"/>
    </w:rPr>
  </w:style>
  <w:style w:type="character" w:customStyle="1" w:styleId="158">
    <w:name w:val="标题 4 Char1"/>
    <w:autoRedefine/>
    <w:qFormat/>
    <w:uiPriority w:val="99"/>
    <w:rPr>
      <w:rFonts w:ascii="Cambria" w:hAnsi="Cambria" w:eastAsia="宋体"/>
      <w:b/>
      <w:kern w:val="2"/>
      <w:sz w:val="28"/>
    </w:rPr>
  </w:style>
  <w:style w:type="character" w:customStyle="1" w:styleId="159">
    <w:name w:val="A C"/>
    <w:autoRedefine/>
    <w:qFormat/>
    <w:uiPriority w:val="99"/>
    <w:rPr>
      <w:rFonts w:ascii="仿宋_GB2312"/>
      <w:sz w:val="24"/>
    </w:rPr>
  </w:style>
  <w:style w:type="character" w:customStyle="1" w:styleId="160">
    <w:name w:val="浅色网格 - 强调文字颜色 3 Char"/>
    <w:autoRedefine/>
    <w:qFormat/>
    <w:locked/>
    <w:uiPriority w:val="99"/>
    <w:rPr>
      <w:rFonts w:ascii="Calibri" w:hAnsi="Calibri" w:eastAsia="宋体"/>
    </w:rPr>
  </w:style>
  <w:style w:type="character" w:customStyle="1" w:styleId="161">
    <w:name w:val="文档正文1 Char"/>
    <w:link w:val="162"/>
    <w:autoRedefine/>
    <w:qFormat/>
    <w:locked/>
    <w:uiPriority w:val="99"/>
    <w:rPr>
      <w:rFonts w:ascii="仿宋_GB2312" w:hAnsi="仿宋" w:eastAsia="仿宋_GB2312"/>
      <w:kern w:val="2"/>
      <w:sz w:val="30"/>
    </w:rPr>
  </w:style>
  <w:style w:type="paragraph" w:customStyle="1" w:styleId="162">
    <w:name w:val="文档正文1"/>
    <w:basedOn w:val="1"/>
    <w:link w:val="161"/>
    <w:autoRedefine/>
    <w:qFormat/>
    <w:uiPriority w:val="99"/>
    <w:pPr>
      <w:spacing w:line="360" w:lineRule="auto"/>
      <w:ind w:firstLine="600"/>
    </w:pPr>
    <w:rPr>
      <w:rFonts w:ascii="仿宋_GB2312" w:hAnsi="仿宋" w:eastAsia="仿宋_GB2312"/>
      <w:sz w:val="30"/>
      <w:szCs w:val="20"/>
    </w:rPr>
  </w:style>
  <w:style w:type="character" w:customStyle="1" w:styleId="163">
    <w:name w:val="标题 1 Char Char"/>
    <w:autoRedefine/>
    <w:qFormat/>
    <w:uiPriority w:val="99"/>
    <w:rPr>
      <w:rFonts w:eastAsia="宋体"/>
      <w:b/>
      <w:spacing w:val="-2"/>
      <w:sz w:val="24"/>
      <w:lang w:val="en-US" w:eastAsia="zh-CN"/>
    </w:rPr>
  </w:style>
  <w:style w:type="character" w:customStyle="1" w:styleId="164">
    <w:name w:val="z-窗体顶端 Char"/>
    <w:link w:val="165"/>
    <w:autoRedefine/>
    <w:qFormat/>
    <w:locked/>
    <w:uiPriority w:val="99"/>
    <w:rPr>
      <w:rFonts w:ascii="Arial" w:hAnsi="Arial"/>
      <w:vanish/>
      <w:sz w:val="16"/>
    </w:rPr>
  </w:style>
  <w:style w:type="paragraph" w:customStyle="1" w:styleId="165">
    <w:name w:val="z-窗体顶端1"/>
    <w:basedOn w:val="1"/>
    <w:next w:val="1"/>
    <w:link w:val="164"/>
    <w:autoRedefine/>
    <w:qFormat/>
    <w:uiPriority w:val="99"/>
    <w:pPr>
      <w:widowControl/>
      <w:pBdr>
        <w:bottom w:val="single" w:color="auto" w:sz="6" w:space="1"/>
      </w:pBdr>
      <w:jc w:val="center"/>
    </w:pPr>
    <w:rPr>
      <w:rFonts w:ascii="Arial" w:hAnsi="Arial"/>
      <w:vanish/>
      <w:kern w:val="0"/>
      <w:sz w:val="16"/>
      <w:szCs w:val="20"/>
    </w:rPr>
  </w:style>
  <w:style w:type="character" w:customStyle="1" w:styleId="166">
    <w:name w:val="Char2 Char"/>
    <w:autoRedefine/>
    <w:qFormat/>
    <w:uiPriority w:val="99"/>
    <w:rPr>
      <w:rFonts w:ascii="Verdana" w:hAnsi="宋体" w:eastAsia="宋体"/>
      <w:sz w:val="28"/>
    </w:rPr>
  </w:style>
  <w:style w:type="character" w:customStyle="1" w:styleId="167">
    <w:name w:val="Char Char21"/>
    <w:autoRedefine/>
    <w:qFormat/>
    <w:uiPriority w:val="99"/>
    <w:rPr>
      <w:rFonts w:ascii="宋体" w:hAnsi="Courier New" w:eastAsia="宋体"/>
      <w:sz w:val="21"/>
      <w:lang w:val="en-US" w:eastAsia="zh-CN"/>
    </w:rPr>
  </w:style>
  <w:style w:type="character" w:customStyle="1" w:styleId="168">
    <w:name w:val="公文正文 Char"/>
    <w:link w:val="169"/>
    <w:autoRedefine/>
    <w:qFormat/>
    <w:locked/>
    <w:uiPriority w:val="99"/>
    <w:rPr>
      <w:rFonts w:ascii="仿宋_GB2312" w:eastAsia="仿宋_GB2312"/>
      <w:kern w:val="2"/>
      <w:sz w:val="24"/>
      <w:lang w:val="en-US" w:eastAsia="zh-CN"/>
    </w:rPr>
  </w:style>
  <w:style w:type="paragraph" w:customStyle="1" w:styleId="169">
    <w:name w:val="公文正文"/>
    <w:basedOn w:val="1"/>
    <w:link w:val="168"/>
    <w:autoRedefine/>
    <w:qFormat/>
    <w:uiPriority w:val="99"/>
    <w:pPr>
      <w:spacing w:before="156" w:line="360" w:lineRule="auto"/>
      <w:ind w:firstLine="360" w:firstLineChars="200"/>
    </w:pPr>
    <w:rPr>
      <w:rFonts w:ascii="仿宋_GB2312" w:eastAsia="仿宋_GB2312"/>
      <w:sz w:val="24"/>
      <w:szCs w:val="20"/>
    </w:rPr>
  </w:style>
  <w:style w:type="character" w:customStyle="1" w:styleId="170">
    <w:name w:val="正文4 Char"/>
    <w:link w:val="171"/>
    <w:autoRedefine/>
    <w:qFormat/>
    <w:locked/>
    <w:uiPriority w:val="99"/>
    <w:rPr>
      <w:kern w:val="0"/>
      <w:sz w:val="24"/>
      <w:szCs w:val="24"/>
    </w:rPr>
  </w:style>
  <w:style w:type="paragraph" w:customStyle="1" w:styleId="171">
    <w:name w:val="正文4"/>
    <w:basedOn w:val="1"/>
    <w:link w:val="170"/>
    <w:autoRedefine/>
    <w:qFormat/>
    <w:uiPriority w:val="99"/>
    <w:pPr>
      <w:numPr>
        <w:ilvl w:val="0"/>
        <w:numId w:val="4"/>
      </w:numPr>
      <w:spacing w:before="60" w:after="60" w:line="360" w:lineRule="auto"/>
      <w:ind w:firstLine="0"/>
    </w:pPr>
    <w:rPr>
      <w:kern w:val="0"/>
      <w:sz w:val="24"/>
      <w:szCs w:val="24"/>
    </w:rPr>
  </w:style>
  <w:style w:type="character" w:customStyle="1" w:styleId="172">
    <w:name w:val="tw4winError"/>
    <w:autoRedefine/>
    <w:qFormat/>
    <w:uiPriority w:val="99"/>
    <w:rPr>
      <w:rFonts w:ascii="Courier New" w:hAnsi="Courier New"/>
      <w:color w:val="00FF00"/>
      <w:sz w:val="40"/>
    </w:rPr>
  </w:style>
  <w:style w:type="character" w:customStyle="1" w:styleId="173">
    <w:name w:val="样式 样式3 + 宋体 五号 Char Char Char Char"/>
    <w:autoRedefine/>
    <w:qFormat/>
    <w:uiPriority w:val="99"/>
    <w:rPr>
      <w:rFonts w:ascii="宋体" w:hAnsi="宋体" w:eastAsia="宋体"/>
      <w:b/>
      <w:kern w:val="2"/>
      <w:sz w:val="24"/>
      <w:lang w:val="en-US" w:eastAsia="zh-CN"/>
    </w:rPr>
  </w:style>
  <w:style w:type="character" w:customStyle="1" w:styleId="174">
    <w:name w:val="文档结构图 Char1"/>
    <w:autoRedefine/>
    <w:qFormat/>
    <w:uiPriority w:val="99"/>
    <w:rPr>
      <w:rFonts w:ascii="宋体" w:hAnsi="Courier New" w:eastAsia="宋体"/>
      <w:sz w:val="21"/>
      <w:lang w:val="en-US" w:eastAsia="zh-CN"/>
    </w:rPr>
  </w:style>
  <w:style w:type="character" w:customStyle="1" w:styleId="175">
    <w:name w:val="para"/>
    <w:basedOn w:val="57"/>
    <w:autoRedefine/>
    <w:qFormat/>
    <w:uiPriority w:val="99"/>
    <w:rPr>
      <w:rFonts w:cs="Times New Roman"/>
    </w:rPr>
  </w:style>
  <w:style w:type="character" w:customStyle="1" w:styleId="176">
    <w:name w:val="7.表小四 Char"/>
    <w:link w:val="177"/>
    <w:autoRedefine/>
    <w:qFormat/>
    <w:locked/>
    <w:uiPriority w:val="99"/>
    <w:rPr>
      <w:rFonts w:ascii="宋体" w:hAnsi="宋体" w:eastAsia="宋体"/>
      <w:kern w:val="2"/>
      <w:sz w:val="24"/>
      <w:lang w:val="en-US" w:eastAsia="zh-CN"/>
    </w:rPr>
  </w:style>
  <w:style w:type="paragraph" w:customStyle="1" w:styleId="177">
    <w:name w:val="7.表小四"/>
    <w:basedOn w:val="1"/>
    <w:link w:val="176"/>
    <w:autoRedefine/>
    <w:qFormat/>
    <w:uiPriority w:val="99"/>
    <w:pPr>
      <w:spacing w:beforeLines="50" w:afterLines="50"/>
    </w:pPr>
    <w:rPr>
      <w:rFonts w:ascii="宋体" w:hAnsi="宋体"/>
      <w:sz w:val="24"/>
      <w:szCs w:val="20"/>
    </w:rPr>
  </w:style>
  <w:style w:type="character" w:customStyle="1" w:styleId="178">
    <w:name w:val="Char Char5"/>
    <w:autoRedefine/>
    <w:qFormat/>
    <w:uiPriority w:val="99"/>
    <w:rPr>
      <w:rFonts w:ascii="Calibri" w:hAnsi="Calibri" w:eastAsia="宋体"/>
      <w:sz w:val="18"/>
    </w:rPr>
  </w:style>
  <w:style w:type="character" w:customStyle="1" w:styleId="179">
    <w:name w:val="Char Char71"/>
    <w:autoRedefine/>
    <w:qFormat/>
    <w:uiPriority w:val="99"/>
    <w:rPr>
      <w:rFonts w:eastAsia="宋体"/>
      <w:b/>
      <w:kern w:val="2"/>
      <w:sz w:val="32"/>
    </w:rPr>
  </w:style>
  <w:style w:type="character" w:customStyle="1" w:styleId="180">
    <w:name w:val="表正文 Char1"/>
    <w:autoRedefine/>
    <w:qFormat/>
    <w:uiPriority w:val="99"/>
    <w:rPr>
      <w:rFonts w:eastAsia="宋体"/>
      <w:kern w:val="2"/>
      <w:sz w:val="24"/>
      <w:lang w:val="en-US" w:eastAsia="zh-CN"/>
    </w:rPr>
  </w:style>
  <w:style w:type="character" w:customStyle="1" w:styleId="181">
    <w:name w:val="Char Char1"/>
    <w:autoRedefine/>
    <w:qFormat/>
    <w:uiPriority w:val="99"/>
    <w:rPr>
      <w:kern w:val="2"/>
      <w:sz w:val="18"/>
    </w:rPr>
  </w:style>
  <w:style w:type="character" w:customStyle="1" w:styleId="182">
    <w:name w:val="paramname3"/>
    <w:autoRedefine/>
    <w:qFormat/>
    <w:uiPriority w:val="99"/>
    <w:rPr>
      <w:color w:val="999999"/>
    </w:rPr>
  </w:style>
  <w:style w:type="character" w:customStyle="1" w:styleId="183">
    <w:name w:val="headline-content2"/>
    <w:basedOn w:val="57"/>
    <w:autoRedefine/>
    <w:qFormat/>
    <w:uiPriority w:val="99"/>
    <w:rPr>
      <w:rFonts w:cs="Times New Roman"/>
    </w:rPr>
  </w:style>
  <w:style w:type="character" w:customStyle="1" w:styleId="184">
    <w:name w:val="Char Char81"/>
    <w:autoRedefine/>
    <w:qFormat/>
    <w:uiPriority w:val="99"/>
    <w:rPr>
      <w:rFonts w:ascii="Arial" w:hAnsi="Arial" w:eastAsia="黑体"/>
      <w:b/>
      <w:kern w:val="2"/>
      <w:sz w:val="32"/>
      <w:lang w:val="en-US" w:eastAsia="zh-CN"/>
    </w:rPr>
  </w:style>
  <w:style w:type="character" w:customStyle="1" w:styleId="185">
    <w:name w:val="正文首行缩进 2 Char"/>
    <w:link w:val="73"/>
    <w:autoRedefine/>
    <w:qFormat/>
    <w:locked/>
    <w:uiPriority w:val="99"/>
    <w:rPr>
      <w:rFonts w:eastAsia="仿宋"/>
      <w:sz w:val="24"/>
    </w:rPr>
  </w:style>
  <w:style w:type="character" w:customStyle="1" w:styleId="186">
    <w:name w:val="h4 Char2"/>
    <w:autoRedefine/>
    <w:qFormat/>
    <w:uiPriority w:val="99"/>
    <w:rPr>
      <w:rFonts w:ascii="Arial" w:hAnsi="Arial" w:eastAsia="黑体"/>
      <w:b/>
      <w:kern w:val="2"/>
      <w:sz w:val="28"/>
      <w:lang w:val="en-US" w:eastAsia="zh-CN"/>
    </w:rPr>
  </w:style>
  <w:style w:type="character" w:customStyle="1" w:styleId="187">
    <w:name w:val="h3 Char"/>
    <w:autoRedefine/>
    <w:qFormat/>
    <w:uiPriority w:val="99"/>
    <w:rPr>
      <w:rFonts w:ascii="Times New Roman" w:hAnsi="Times New Roman"/>
      <w:b/>
      <w:kern w:val="2"/>
      <w:sz w:val="32"/>
    </w:rPr>
  </w:style>
  <w:style w:type="character" w:customStyle="1" w:styleId="188">
    <w:name w:val="样式 首行缩进:  0.85 厘米 Char"/>
    <w:link w:val="189"/>
    <w:autoRedefine/>
    <w:qFormat/>
    <w:locked/>
    <w:uiPriority w:val="99"/>
    <w:rPr>
      <w:rFonts w:eastAsia="宋体"/>
      <w:kern w:val="2"/>
      <w:sz w:val="24"/>
      <w:lang w:val="en-US" w:eastAsia="zh-CN"/>
    </w:rPr>
  </w:style>
  <w:style w:type="paragraph" w:customStyle="1" w:styleId="189">
    <w:name w:val="样式 首行缩进:  0.85 厘米"/>
    <w:basedOn w:val="1"/>
    <w:link w:val="188"/>
    <w:autoRedefine/>
    <w:qFormat/>
    <w:uiPriority w:val="99"/>
    <w:pPr>
      <w:spacing w:line="360" w:lineRule="auto"/>
      <w:ind w:firstLine="480"/>
    </w:pPr>
    <w:rPr>
      <w:sz w:val="24"/>
      <w:szCs w:val="20"/>
    </w:rPr>
  </w:style>
  <w:style w:type="character" w:customStyle="1" w:styleId="190">
    <w:name w:val="样式4 Char"/>
    <w:link w:val="191"/>
    <w:autoRedefine/>
    <w:qFormat/>
    <w:locked/>
    <w:uiPriority w:val="99"/>
    <w:rPr>
      <w:rFonts w:ascii="Calibri" w:hAnsi="Calibri" w:eastAsia="宋体"/>
      <w:kern w:val="2"/>
      <w:sz w:val="22"/>
      <w:lang w:val="en-US" w:eastAsia="zh-CN"/>
    </w:rPr>
  </w:style>
  <w:style w:type="paragraph" w:customStyle="1" w:styleId="191">
    <w:name w:val="样式4"/>
    <w:basedOn w:val="1"/>
    <w:link w:val="190"/>
    <w:autoRedefine/>
    <w:qFormat/>
    <w:uiPriority w:val="99"/>
    <w:pPr>
      <w:spacing w:line="360" w:lineRule="auto"/>
    </w:pPr>
    <w:rPr>
      <w:rFonts w:ascii="Calibri" w:hAnsi="Calibri"/>
      <w:sz w:val="22"/>
      <w:szCs w:val="20"/>
    </w:rPr>
  </w:style>
  <w:style w:type="character" w:customStyle="1" w:styleId="192">
    <w:name w:val="列表1 Char Char"/>
    <w:link w:val="193"/>
    <w:autoRedefine/>
    <w:qFormat/>
    <w:locked/>
    <w:uiPriority w:val="99"/>
    <w:rPr>
      <w:rFonts w:ascii="Century" w:hAnsi="Century"/>
      <w:kern w:val="2"/>
      <w:sz w:val="21"/>
    </w:rPr>
  </w:style>
  <w:style w:type="paragraph" w:customStyle="1" w:styleId="193">
    <w:name w:val="列表1"/>
    <w:basedOn w:val="1"/>
    <w:link w:val="192"/>
    <w:autoRedefine/>
    <w:qFormat/>
    <w:uiPriority w:val="99"/>
    <w:pPr>
      <w:tabs>
        <w:tab w:val="left" w:pos="840"/>
      </w:tabs>
      <w:spacing w:line="360" w:lineRule="auto"/>
      <w:ind w:left="840" w:hanging="420"/>
      <w:jc w:val="left"/>
    </w:pPr>
    <w:rPr>
      <w:rFonts w:ascii="Century" w:hAnsi="Century"/>
      <w:szCs w:val="20"/>
    </w:rPr>
  </w:style>
  <w:style w:type="character" w:customStyle="1" w:styleId="194">
    <w:name w:val="标准文本 Char"/>
    <w:link w:val="195"/>
    <w:autoRedefine/>
    <w:qFormat/>
    <w:locked/>
    <w:uiPriority w:val="99"/>
    <w:rPr>
      <w:kern w:val="2"/>
      <w:sz w:val="24"/>
    </w:rPr>
  </w:style>
  <w:style w:type="paragraph" w:customStyle="1" w:styleId="195">
    <w:name w:val="标准文本"/>
    <w:basedOn w:val="1"/>
    <w:link w:val="194"/>
    <w:autoRedefine/>
    <w:qFormat/>
    <w:uiPriority w:val="99"/>
    <w:pPr>
      <w:spacing w:line="360" w:lineRule="auto"/>
      <w:ind w:firstLine="480" w:firstLineChars="200"/>
    </w:pPr>
    <w:rPr>
      <w:sz w:val="24"/>
      <w:szCs w:val="20"/>
    </w:rPr>
  </w:style>
  <w:style w:type="character" w:customStyle="1" w:styleId="196">
    <w:name w:val="grame"/>
    <w:basedOn w:val="57"/>
    <w:autoRedefine/>
    <w:qFormat/>
    <w:uiPriority w:val="99"/>
    <w:rPr>
      <w:rFonts w:cs="Times New Roman"/>
    </w:rPr>
  </w:style>
  <w:style w:type="character" w:customStyle="1" w:styleId="197">
    <w:name w:val="一级标题 Char Char"/>
    <w:autoRedefine/>
    <w:qFormat/>
    <w:uiPriority w:val="99"/>
    <w:rPr>
      <w:rFonts w:eastAsia="仿宋"/>
      <w:b/>
      <w:kern w:val="44"/>
      <w:sz w:val="28"/>
      <w:lang w:val="en-US" w:eastAsia="zh-CN"/>
    </w:rPr>
  </w:style>
  <w:style w:type="character" w:customStyle="1" w:styleId="198">
    <w:name w:val="加重文字 Char"/>
    <w:link w:val="199"/>
    <w:autoRedefine/>
    <w:qFormat/>
    <w:locked/>
    <w:uiPriority w:val="99"/>
    <w:rPr>
      <w:b/>
      <w:kern w:val="2"/>
      <w:sz w:val="24"/>
      <w:u w:val="thick"/>
    </w:rPr>
  </w:style>
  <w:style w:type="paragraph" w:customStyle="1" w:styleId="199">
    <w:name w:val="加重文字"/>
    <w:basedOn w:val="195"/>
    <w:link w:val="198"/>
    <w:autoRedefine/>
    <w:qFormat/>
    <w:uiPriority w:val="99"/>
    <w:pPr>
      <w:ind w:firstLine="0" w:firstLineChars="0"/>
    </w:pPr>
    <w:rPr>
      <w:b/>
      <w:u w:val="thick"/>
    </w:rPr>
  </w:style>
  <w:style w:type="character" w:customStyle="1" w:styleId="200">
    <w:name w:val="列表1、 Char"/>
    <w:link w:val="201"/>
    <w:autoRedefine/>
    <w:qFormat/>
    <w:locked/>
    <w:uiPriority w:val="99"/>
    <w:rPr>
      <w:rFonts w:ascii="仿宋" w:hAnsi="仿宋" w:eastAsia="仿宋"/>
      <w:kern w:val="2"/>
      <w:sz w:val="21"/>
    </w:rPr>
  </w:style>
  <w:style w:type="paragraph" w:customStyle="1" w:styleId="201">
    <w:name w:val="列表1、"/>
    <w:basedOn w:val="152"/>
    <w:link w:val="200"/>
    <w:autoRedefine/>
    <w:qFormat/>
    <w:uiPriority w:val="99"/>
    <w:pPr>
      <w:tabs>
        <w:tab w:val="left" w:pos="1276"/>
      </w:tabs>
      <w:spacing w:line="360" w:lineRule="auto"/>
      <w:ind w:left="987" w:firstLine="0" w:firstLineChars="0"/>
      <w:jc w:val="left"/>
    </w:pPr>
    <w:rPr>
      <w:rFonts w:ascii="仿宋" w:hAnsi="仿宋" w:eastAsia="仿宋"/>
    </w:rPr>
  </w:style>
  <w:style w:type="character" w:customStyle="1" w:styleId="202">
    <w:name w:val="paragraph1 Char"/>
    <w:link w:val="203"/>
    <w:autoRedefine/>
    <w:qFormat/>
    <w:locked/>
    <w:uiPriority w:val="99"/>
    <w:rPr>
      <w:rFonts w:eastAsia="楷体_GB2312"/>
      <w:kern w:val="2"/>
      <w:sz w:val="24"/>
      <w:lang w:val="en-US" w:eastAsia="zh-CN"/>
    </w:rPr>
  </w:style>
  <w:style w:type="paragraph" w:customStyle="1" w:styleId="203">
    <w:name w:val="paragraph1"/>
    <w:basedOn w:val="1"/>
    <w:link w:val="202"/>
    <w:autoRedefine/>
    <w:qFormat/>
    <w:uiPriority w:val="99"/>
    <w:pPr>
      <w:spacing w:afterLines="30" w:line="360" w:lineRule="auto"/>
      <w:ind w:firstLine="420" w:firstLineChars="200"/>
    </w:pPr>
    <w:rPr>
      <w:rFonts w:eastAsia="楷体_GB2312"/>
      <w:sz w:val="24"/>
      <w:szCs w:val="20"/>
    </w:rPr>
  </w:style>
  <w:style w:type="character" w:customStyle="1" w:styleId="204">
    <w:name w:val="样式(-) Char"/>
    <w:link w:val="205"/>
    <w:autoRedefine/>
    <w:qFormat/>
    <w:locked/>
    <w:uiPriority w:val="99"/>
    <w:rPr>
      <w:rFonts w:eastAsia="仿宋"/>
      <w:b/>
      <w:kern w:val="0"/>
      <w:sz w:val="28"/>
      <w:szCs w:val="21"/>
    </w:rPr>
  </w:style>
  <w:style w:type="paragraph" w:customStyle="1" w:styleId="205">
    <w:name w:val="样式(-)"/>
    <w:basedOn w:val="152"/>
    <w:link w:val="204"/>
    <w:autoRedefine/>
    <w:qFormat/>
    <w:uiPriority w:val="99"/>
    <w:pPr>
      <w:numPr>
        <w:ilvl w:val="0"/>
        <w:numId w:val="5"/>
      </w:numPr>
      <w:spacing w:line="360" w:lineRule="auto"/>
      <w:ind w:firstLine="0" w:firstLineChars="0"/>
      <w:jc w:val="left"/>
    </w:pPr>
    <w:rPr>
      <w:rFonts w:eastAsia="仿宋"/>
      <w:b/>
      <w:kern w:val="0"/>
      <w:sz w:val="28"/>
      <w:szCs w:val="21"/>
    </w:rPr>
  </w:style>
  <w:style w:type="character" w:customStyle="1" w:styleId="206">
    <w:name w:val="我的正文 Char"/>
    <w:link w:val="207"/>
    <w:autoRedefine/>
    <w:qFormat/>
    <w:locked/>
    <w:uiPriority w:val="99"/>
    <w:rPr>
      <w:rFonts w:eastAsia="仿宋_GB2312"/>
      <w:kern w:val="2"/>
      <w:sz w:val="24"/>
    </w:rPr>
  </w:style>
  <w:style w:type="paragraph" w:customStyle="1" w:styleId="207">
    <w:name w:val="我的正文"/>
    <w:basedOn w:val="1"/>
    <w:link w:val="206"/>
    <w:autoRedefine/>
    <w:qFormat/>
    <w:uiPriority w:val="99"/>
    <w:pPr>
      <w:spacing w:afterLines="100" w:line="360" w:lineRule="auto"/>
      <w:ind w:firstLine="480" w:firstLineChars="200"/>
    </w:pPr>
    <w:rPr>
      <w:rFonts w:eastAsia="仿宋_GB2312"/>
      <w:sz w:val="24"/>
      <w:szCs w:val="20"/>
    </w:rPr>
  </w:style>
  <w:style w:type="character" w:customStyle="1" w:styleId="208">
    <w:name w:val="apple-converted-space"/>
    <w:autoRedefine/>
    <w:qFormat/>
    <w:uiPriority w:val="99"/>
  </w:style>
  <w:style w:type="character" w:customStyle="1" w:styleId="209">
    <w:name w:val="Char Char141"/>
    <w:autoRedefine/>
    <w:qFormat/>
    <w:locked/>
    <w:uiPriority w:val="99"/>
    <w:rPr>
      <w:rFonts w:ascii="楷体_GB2312" w:eastAsia="楷体_GB2312"/>
      <w:kern w:val="2"/>
      <w:sz w:val="32"/>
      <w:lang w:val="en-US" w:eastAsia="zh-CN"/>
    </w:rPr>
  </w:style>
  <w:style w:type="character" w:customStyle="1" w:styleId="210">
    <w:name w:val="华电 正文 Char"/>
    <w:link w:val="211"/>
    <w:autoRedefine/>
    <w:qFormat/>
    <w:locked/>
    <w:uiPriority w:val="99"/>
    <w:rPr>
      <w:rFonts w:ascii="宋体" w:hAnsi="宋体" w:eastAsia="宋体"/>
      <w:sz w:val="22"/>
    </w:rPr>
  </w:style>
  <w:style w:type="paragraph" w:customStyle="1" w:styleId="211">
    <w:name w:val="华电 正文"/>
    <w:basedOn w:val="1"/>
    <w:link w:val="210"/>
    <w:autoRedefine/>
    <w:qFormat/>
    <w:uiPriority w:val="99"/>
    <w:pPr>
      <w:widowControl/>
      <w:spacing w:line="360" w:lineRule="auto"/>
      <w:ind w:firstLine="440" w:firstLineChars="200"/>
      <w:jc w:val="left"/>
    </w:pPr>
    <w:rPr>
      <w:rFonts w:ascii="宋体" w:hAnsi="宋体"/>
      <w:kern w:val="0"/>
      <w:sz w:val="22"/>
      <w:szCs w:val="20"/>
    </w:rPr>
  </w:style>
  <w:style w:type="character" w:customStyle="1" w:styleId="212">
    <w:name w:val="标题 3 Char1"/>
    <w:autoRedefine/>
    <w:qFormat/>
    <w:uiPriority w:val="99"/>
    <w:rPr>
      <w:rFonts w:ascii="Calibri" w:hAnsi="Calibri" w:eastAsia="宋体"/>
      <w:b/>
      <w:kern w:val="2"/>
      <w:sz w:val="32"/>
      <w:lang w:val="en-US" w:eastAsia="zh-CN"/>
    </w:rPr>
  </w:style>
  <w:style w:type="character" w:customStyle="1" w:styleId="213">
    <w:name w:val="mark"/>
    <w:autoRedefine/>
    <w:qFormat/>
    <w:uiPriority w:val="99"/>
  </w:style>
  <w:style w:type="character" w:customStyle="1" w:styleId="214">
    <w:name w:val="页脚 Char"/>
    <w:autoRedefine/>
    <w:qFormat/>
    <w:uiPriority w:val="99"/>
    <w:rPr>
      <w:kern w:val="2"/>
      <w:sz w:val="18"/>
    </w:rPr>
  </w:style>
  <w:style w:type="character" w:customStyle="1" w:styleId="215">
    <w:name w:val="Char Char51"/>
    <w:autoRedefine/>
    <w:qFormat/>
    <w:uiPriority w:val="99"/>
    <w:rPr>
      <w:rFonts w:ascii="Calibri" w:hAnsi="Calibri" w:eastAsia="宋体"/>
      <w:sz w:val="18"/>
    </w:rPr>
  </w:style>
  <w:style w:type="character" w:customStyle="1" w:styleId="216">
    <w:name w:val="表格文字 Char"/>
    <w:link w:val="69"/>
    <w:autoRedefine/>
    <w:qFormat/>
    <w:locked/>
    <w:uiPriority w:val="99"/>
    <w:rPr>
      <w:rFonts w:ascii="Times New Roman" w:hAnsi="Times New Roman"/>
      <w:kern w:val="2"/>
      <w:sz w:val="24"/>
    </w:rPr>
  </w:style>
  <w:style w:type="character" w:customStyle="1" w:styleId="217">
    <w:name w:val="Char Char12"/>
    <w:autoRedefine/>
    <w:qFormat/>
    <w:uiPriority w:val="99"/>
    <w:rPr>
      <w:rFonts w:ascii="宋体" w:hAnsi="Courier New" w:eastAsia="宋体"/>
      <w:spacing w:val="-4"/>
      <w:sz w:val="20"/>
    </w:rPr>
  </w:style>
  <w:style w:type="character" w:customStyle="1" w:styleId="218">
    <w:name w:val="maywed421"/>
    <w:autoRedefine/>
    <w:qFormat/>
    <w:uiPriority w:val="99"/>
    <w:rPr>
      <w:color w:val="366FB6"/>
      <w:u w:val="none"/>
    </w:rPr>
  </w:style>
  <w:style w:type="character" w:customStyle="1" w:styleId="219">
    <w:name w:val="正文2 Char Char"/>
    <w:link w:val="220"/>
    <w:autoRedefine/>
    <w:qFormat/>
    <w:locked/>
    <w:uiPriority w:val="99"/>
    <w:rPr>
      <w:rFonts w:ascii="Times New Roman" w:hAnsi="Times New Roman"/>
      <w:kern w:val="2"/>
      <w:sz w:val="24"/>
    </w:rPr>
  </w:style>
  <w:style w:type="paragraph" w:customStyle="1" w:styleId="220">
    <w:name w:val="正文2"/>
    <w:basedOn w:val="1"/>
    <w:link w:val="219"/>
    <w:autoRedefine/>
    <w:qFormat/>
    <w:uiPriority w:val="99"/>
    <w:pPr>
      <w:spacing w:before="156" w:line="360" w:lineRule="auto"/>
      <w:ind w:firstLine="510" w:firstLineChars="200"/>
    </w:pPr>
    <w:rPr>
      <w:sz w:val="24"/>
      <w:szCs w:val="20"/>
    </w:rPr>
  </w:style>
  <w:style w:type="character" w:customStyle="1" w:styleId="221">
    <w:name w:val="样式 小四"/>
    <w:autoRedefine/>
    <w:qFormat/>
    <w:uiPriority w:val="99"/>
    <w:rPr>
      <w:sz w:val="21"/>
    </w:rPr>
  </w:style>
  <w:style w:type="character" w:customStyle="1" w:styleId="222">
    <w:name w:val="List Paragraph Char"/>
    <w:link w:val="223"/>
    <w:autoRedefine/>
    <w:qFormat/>
    <w:locked/>
    <w:uiPriority w:val="99"/>
    <w:rPr>
      <w:rFonts w:ascii="Times New Roman" w:hAnsi="Times New Roman"/>
      <w:kern w:val="2"/>
      <w:sz w:val="24"/>
    </w:rPr>
  </w:style>
  <w:style w:type="paragraph" w:customStyle="1" w:styleId="223">
    <w:name w:val="列出段落1"/>
    <w:basedOn w:val="1"/>
    <w:link w:val="222"/>
    <w:autoRedefine/>
    <w:qFormat/>
    <w:uiPriority w:val="99"/>
    <w:pPr>
      <w:ind w:firstLine="420" w:firstLineChars="200"/>
    </w:pPr>
    <w:rPr>
      <w:sz w:val="24"/>
      <w:szCs w:val="20"/>
    </w:rPr>
  </w:style>
  <w:style w:type="character" w:customStyle="1" w:styleId="224">
    <w:name w:val="fontdz1"/>
    <w:autoRedefine/>
    <w:qFormat/>
    <w:uiPriority w:val="99"/>
    <w:rPr>
      <w:sz w:val="18"/>
    </w:rPr>
  </w:style>
  <w:style w:type="character" w:customStyle="1" w:styleId="225">
    <w:name w:val="H1 Char2"/>
    <w:autoRedefine/>
    <w:qFormat/>
    <w:uiPriority w:val="99"/>
    <w:rPr>
      <w:rFonts w:eastAsia="隶书"/>
      <w:b/>
      <w:sz w:val="36"/>
      <w:lang w:val="en-US" w:eastAsia="zh-CN"/>
    </w:rPr>
  </w:style>
  <w:style w:type="character" w:customStyle="1" w:styleId="226">
    <w:name w:val="black10"/>
    <w:basedOn w:val="57"/>
    <w:autoRedefine/>
    <w:qFormat/>
    <w:uiPriority w:val="99"/>
    <w:rPr>
      <w:rFonts w:cs="Times New Roman"/>
    </w:rPr>
  </w:style>
  <w:style w:type="character" w:customStyle="1" w:styleId="227">
    <w:name w:val="样式 首行缩进:  2 字符 Char"/>
    <w:link w:val="228"/>
    <w:autoRedefine/>
    <w:qFormat/>
    <w:locked/>
    <w:uiPriority w:val="99"/>
    <w:rPr>
      <w:rFonts w:ascii="宋体" w:hAnsi="宋体"/>
      <w:bCs/>
      <w:color w:val="000000"/>
      <w:kern w:val="0"/>
      <w:sz w:val="24"/>
      <w:szCs w:val="24"/>
    </w:rPr>
  </w:style>
  <w:style w:type="paragraph" w:customStyle="1" w:styleId="228">
    <w:name w:val="样式 首行缩进:  2 字符"/>
    <w:basedOn w:val="1"/>
    <w:link w:val="227"/>
    <w:autoRedefine/>
    <w:qFormat/>
    <w:uiPriority w:val="99"/>
    <w:pPr>
      <w:widowControl/>
      <w:numPr>
        <w:ilvl w:val="0"/>
        <w:numId w:val="6"/>
      </w:numPr>
    </w:pPr>
    <w:rPr>
      <w:rFonts w:ascii="宋体" w:hAnsi="宋体"/>
      <w:bCs/>
      <w:color w:val="000000"/>
      <w:kern w:val="0"/>
      <w:sz w:val="24"/>
      <w:szCs w:val="24"/>
    </w:rPr>
  </w:style>
  <w:style w:type="character" w:customStyle="1" w:styleId="229">
    <w:name w:val="正文文字 Char"/>
    <w:autoRedefine/>
    <w:qFormat/>
    <w:uiPriority w:val="99"/>
    <w:rPr>
      <w:rFonts w:ascii="Arial" w:hAnsi="Arial" w:eastAsia="宋体"/>
      <w:kern w:val="2"/>
      <w:sz w:val="24"/>
      <w:lang w:val="en-US" w:eastAsia="zh-CN"/>
    </w:rPr>
  </w:style>
  <w:style w:type="character" w:customStyle="1" w:styleId="230">
    <w:name w:val="mark8"/>
    <w:autoRedefine/>
    <w:qFormat/>
    <w:uiPriority w:val="99"/>
    <w:rPr>
      <w:b/>
      <w:sz w:val="21"/>
    </w:rPr>
  </w:style>
  <w:style w:type="character" w:customStyle="1" w:styleId="231">
    <w:name w:val="批注主题 Char"/>
    <w:link w:val="232"/>
    <w:autoRedefine/>
    <w:qFormat/>
    <w:locked/>
    <w:uiPriority w:val="99"/>
    <w:rPr>
      <w:b/>
    </w:rPr>
  </w:style>
  <w:style w:type="paragraph" w:customStyle="1" w:styleId="232">
    <w:name w:val="批注主题2"/>
    <w:basedOn w:val="19"/>
    <w:next w:val="19"/>
    <w:link w:val="231"/>
    <w:autoRedefine/>
    <w:qFormat/>
    <w:uiPriority w:val="99"/>
    <w:rPr>
      <w:b/>
      <w:kern w:val="0"/>
      <w:sz w:val="20"/>
      <w:szCs w:val="20"/>
    </w:rPr>
  </w:style>
  <w:style w:type="character" w:customStyle="1" w:styleId="233">
    <w:name w:val="Char Char91"/>
    <w:autoRedefine/>
    <w:qFormat/>
    <w:uiPriority w:val="99"/>
    <w:rPr>
      <w:rFonts w:eastAsia="宋体"/>
      <w:b/>
      <w:kern w:val="44"/>
      <w:sz w:val="44"/>
    </w:rPr>
  </w:style>
  <w:style w:type="character" w:customStyle="1" w:styleId="234">
    <w:name w:val="二级标题 Char Char"/>
    <w:autoRedefine/>
    <w:qFormat/>
    <w:uiPriority w:val="99"/>
    <w:rPr>
      <w:rFonts w:eastAsia="仿宋"/>
      <w:b/>
      <w:sz w:val="28"/>
      <w:lang w:val="en-US" w:eastAsia="zh-CN"/>
    </w:rPr>
  </w:style>
  <w:style w:type="character" w:customStyle="1" w:styleId="235">
    <w:name w:val="font9_black_line14"/>
    <w:basedOn w:val="57"/>
    <w:autoRedefine/>
    <w:qFormat/>
    <w:uiPriority w:val="99"/>
    <w:rPr>
      <w:rFonts w:cs="Times New Roman"/>
    </w:rPr>
  </w:style>
  <w:style w:type="character" w:customStyle="1" w:styleId="236">
    <w:name w:val="Char Char4"/>
    <w:autoRedefine/>
    <w:qFormat/>
    <w:uiPriority w:val="99"/>
    <w:rPr>
      <w:rFonts w:ascii="Calibri" w:hAnsi="Calibri" w:eastAsia="宋体"/>
      <w:sz w:val="18"/>
    </w:rPr>
  </w:style>
  <w:style w:type="character" w:customStyle="1" w:styleId="237">
    <w:name w:val="中等深浅网格 11"/>
    <w:autoRedefine/>
    <w:semiHidden/>
    <w:qFormat/>
    <w:uiPriority w:val="99"/>
    <w:rPr>
      <w:color w:val="808080"/>
    </w:rPr>
  </w:style>
  <w:style w:type="character" w:customStyle="1" w:styleId="238">
    <w:name w:val="tw4winJump"/>
    <w:autoRedefine/>
    <w:qFormat/>
    <w:uiPriority w:val="99"/>
    <w:rPr>
      <w:rFonts w:ascii="Courier New" w:hAnsi="Courier New"/>
      <w:color w:val="008080"/>
    </w:rPr>
  </w:style>
  <w:style w:type="character" w:customStyle="1" w:styleId="239">
    <w:name w:val="flname7"/>
    <w:basedOn w:val="57"/>
    <w:autoRedefine/>
    <w:qFormat/>
    <w:uiPriority w:val="99"/>
    <w:rPr>
      <w:rFonts w:cs="Times New Roman"/>
    </w:rPr>
  </w:style>
  <w:style w:type="character" w:customStyle="1" w:styleId="240">
    <w:name w:val="header odd Char Char1"/>
    <w:autoRedefine/>
    <w:qFormat/>
    <w:uiPriority w:val="99"/>
    <w:rPr>
      <w:rFonts w:eastAsia="宋体"/>
      <w:kern w:val="2"/>
      <w:sz w:val="18"/>
      <w:lang w:val="en-US" w:eastAsia="zh-CN"/>
    </w:rPr>
  </w:style>
  <w:style w:type="character" w:customStyle="1" w:styleId="241">
    <w:name w:val="封面日期 Char Char1"/>
    <w:autoRedefine/>
    <w:qFormat/>
    <w:uiPriority w:val="99"/>
    <w:rPr>
      <w:rFonts w:ascii="Calibri" w:hAnsi="Calibri" w:eastAsia="楷体_GB2312"/>
      <w:kern w:val="2"/>
      <w:sz w:val="32"/>
      <w:lang w:val="en-US" w:eastAsia="zh-CN"/>
    </w:rPr>
  </w:style>
  <w:style w:type="character" w:customStyle="1" w:styleId="242">
    <w:name w:val="css21"/>
    <w:autoRedefine/>
    <w:qFormat/>
    <w:uiPriority w:val="99"/>
    <w:rPr>
      <w:sz w:val="18"/>
    </w:rPr>
  </w:style>
  <w:style w:type="character" w:customStyle="1" w:styleId="243">
    <w:name w:val="huide001"/>
    <w:autoRedefine/>
    <w:qFormat/>
    <w:uiPriority w:val="99"/>
    <w:rPr>
      <w:rFonts w:ascii="Arial" w:hAnsi="Arial"/>
      <w:color w:val="666666"/>
      <w:sz w:val="18"/>
    </w:rPr>
  </w:style>
  <w:style w:type="character" w:customStyle="1" w:styleId="244">
    <w:name w:val="title_emph1"/>
    <w:autoRedefine/>
    <w:qFormat/>
    <w:uiPriority w:val="99"/>
    <w:rPr>
      <w:rFonts w:ascii="Arial" w:hAnsi="Arial"/>
      <w:b/>
      <w:sz w:val="18"/>
    </w:rPr>
  </w:style>
  <w:style w:type="character" w:customStyle="1" w:styleId="245">
    <w:name w:val="tw4winPopup"/>
    <w:autoRedefine/>
    <w:qFormat/>
    <w:uiPriority w:val="99"/>
    <w:rPr>
      <w:rFonts w:ascii="Courier New" w:hAnsi="Courier New"/>
      <w:color w:val="008000"/>
    </w:rPr>
  </w:style>
  <w:style w:type="character" w:customStyle="1" w:styleId="246">
    <w:name w:val="数据小节格式"/>
    <w:autoRedefine/>
    <w:qFormat/>
    <w:uiPriority w:val="99"/>
    <w:rPr>
      <w:rFonts w:ascii="新宋体" w:hAnsi="新宋体" w:eastAsia="华文中宋"/>
      <w:b/>
      <w:sz w:val="26"/>
      <w:shd w:val="clear" w:color="auto" w:fill="auto"/>
    </w:rPr>
  </w:style>
  <w:style w:type="character" w:customStyle="1" w:styleId="247">
    <w:name w:val="Indent Normal Char"/>
    <w:link w:val="248"/>
    <w:autoRedefine/>
    <w:qFormat/>
    <w:locked/>
    <w:uiPriority w:val="99"/>
    <w:rPr>
      <w:kern w:val="2"/>
      <w:sz w:val="21"/>
    </w:rPr>
  </w:style>
  <w:style w:type="paragraph" w:customStyle="1" w:styleId="248">
    <w:name w:val="Indent Normal"/>
    <w:basedOn w:val="1"/>
    <w:link w:val="247"/>
    <w:autoRedefine/>
    <w:qFormat/>
    <w:uiPriority w:val="99"/>
    <w:pPr>
      <w:ind w:firstLine="420"/>
    </w:pPr>
    <w:rPr>
      <w:szCs w:val="20"/>
    </w:rPr>
  </w:style>
  <w:style w:type="character" w:customStyle="1" w:styleId="249">
    <w:name w:val="标题 2 Char"/>
    <w:link w:val="3"/>
    <w:autoRedefine/>
    <w:qFormat/>
    <w:uiPriority w:val="99"/>
    <w:rPr>
      <w:rFonts w:ascii="Arial" w:hAnsi="Arial" w:eastAsia="黑体"/>
      <w:b/>
      <w:kern w:val="2"/>
      <w:sz w:val="32"/>
      <w:lang w:val="en-US" w:eastAsia="zh-CN"/>
    </w:rPr>
  </w:style>
  <w:style w:type="character" w:customStyle="1" w:styleId="250">
    <w:name w:val="Char Char121"/>
    <w:autoRedefine/>
    <w:qFormat/>
    <w:uiPriority w:val="99"/>
    <w:rPr>
      <w:rFonts w:ascii="宋体" w:hAnsi="Courier New" w:eastAsia="宋体"/>
      <w:spacing w:val="-4"/>
      <w:sz w:val="20"/>
    </w:rPr>
  </w:style>
  <w:style w:type="character" w:customStyle="1" w:styleId="251">
    <w:name w:val="标准正文格式 Char"/>
    <w:link w:val="252"/>
    <w:autoRedefine/>
    <w:qFormat/>
    <w:locked/>
    <w:uiPriority w:val="99"/>
    <w:rPr>
      <w:rFonts w:ascii="宋体" w:eastAsia="仿宋_GB2312"/>
      <w:color w:val="000000"/>
      <w:sz w:val="24"/>
      <w:lang w:val="en-US" w:eastAsia="zh-CN"/>
    </w:rPr>
  </w:style>
  <w:style w:type="paragraph" w:customStyle="1" w:styleId="252">
    <w:name w:val="标准正文格式"/>
    <w:basedOn w:val="1"/>
    <w:link w:val="251"/>
    <w:autoRedefine/>
    <w:qFormat/>
    <w:uiPriority w:val="99"/>
    <w:pPr>
      <w:widowControl/>
      <w:adjustRightInd w:val="0"/>
      <w:spacing w:before="60" w:after="120" w:line="360" w:lineRule="auto"/>
      <w:ind w:firstLine="200" w:firstLineChars="200"/>
      <w:textAlignment w:val="baseline"/>
    </w:pPr>
    <w:rPr>
      <w:rFonts w:ascii="宋体" w:eastAsia="仿宋_GB2312"/>
      <w:color w:val="000000"/>
      <w:kern w:val="0"/>
      <w:sz w:val="24"/>
      <w:szCs w:val="20"/>
    </w:rPr>
  </w:style>
  <w:style w:type="character" w:customStyle="1" w:styleId="253">
    <w:name w:val="H1 Char3"/>
    <w:autoRedefine/>
    <w:qFormat/>
    <w:uiPriority w:val="99"/>
    <w:rPr>
      <w:rFonts w:eastAsia="隶书"/>
      <w:b/>
      <w:sz w:val="36"/>
      <w:lang w:val="en-US" w:eastAsia="zh-CN"/>
    </w:rPr>
  </w:style>
  <w:style w:type="character" w:customStyle="1" w:styleId="254">
    <w:name w:val="大标题 Char"/>
    <w:link w:val="255"/>
    <w:autoRedefine/>
    <w:qFormat/>
    <w:locked/>
    <w:uiPriority w:val="99"/>
    <w:rPr>
      <w:rFonts w:eastAsia="宋体"/>
      <w:b/>
      <w:sz w:val="28"/>
      <w:lang w:val="en-US" w:eastAsia="zh-CN"/>
    </w:rPr>
  </w:style>
  <w:style w:type="paragraph" w:customStyle="1" w:styleId="255">
    <w:name w:val="大标题"/>
    <w:next w:val="1"/>
    <w:link w:val="254"/>
    <w:autoRedefine/>
    <w:qFormat/>
    <w:uiPriority w:val="99"/>
    <w:pPr>
      <w:spacing w:before="120" w:after="120" w:line="360" w:lineRule="auto"/>
    </w:pPr>
    <w:rPr>
      <w:rFonts w:ascii="Times New Roman" w:hAnsi="Times New Roman" w:eastAsia="宋体" w:cs="Times New Roman"/>
      <w:b/>
      <w:sz w:val="28"/>
      <w:lang w:val="en-US" w:eastAsia="zh-CN" w:bidi="ar-SA"/>
    </w:rPr>
  </w:style>
  <w:style w:type="character" w:customStyle="1" w:styleId="256">
    <w:name w:val="apple-style-span"/>
    <w:basedOn w:val="57"/>
    <w:autoRedefine/>
    <w:qFormat/>
    <w:uiPriority w:val="99"/>
    <w:rPr>
      <w:rFonts w:cs="Times New Roman"/>
    </w:rPr>
  </w:style>
  <w:style w:type="character" w:customStyle="1" w:styleId="257">
    <w:name w:val="h Char"/>
    <w:autoRedefine/>
    <w:qFormat/>
    <w:uiPriority w:val="99"/>
    <w:rPr>
      <w:rFonts w:ascii="Calibri" w:hAnsi="Calibri" w:eastAsia="宋体"/>
      <w:sz w:val="18"/>
    </w:rPr>
  </w:style>
  <w:style w:type="character" w:customStyle="1" w:styleId="258">
    <w:name w:val="样式 小四1"/>
    <w:autoRedefine/>
    <w:qFormat/>
    <w:uiPriority w:val="99"/>
    <w:rPr>
      <w:rFonts w:ascii="Tahoma" w:hAnsi="Tahoma" w:eastAsia="仿宋_GB2312"/>
      <w:kern w:val="2"/>
      <w:sz w:val="24"/>
      <w:lang w:val="en-US" w:eastAsia="zh-CN"/>
    </w:rPr>
  </w:style>
  <w:style w:type="character" w:customStyle="1" w:styleId="259">
    <w:name w:val="表格中文字 Char"/>
    <w:link w:val="260"/>
    <w:autoRedefine/>
    <w:qFormat/>
    <w:locked/>
    <w:uiPriority w:val="99"/>
    <w:rPr>
      <w:rFonts w:ascii="新宋体" w:hAnsi="新宋体" w:eastAsia="新宋体"/>
      <w:sz w:val="24"/>
    </w:rPr>
  </w:style>
  <w:style w:type="paragraph" w:customStyle="1" w:styleId="260">
    <w:name w:val="表格中文字"/>
    <w:basedOn w:val="1"/>
    <w:link w:val="259"/>
    <w:autoRedefine/>
    <w:qFormat/>
    <w:uiPriority w:val="99"/>
    <w:pPr>
      <w:spacing w:line="288" w:lineRule="auto"/>
    </w:pPr>
    <w:rPr>
      <w:rFonts w:ascii="新宋体" w:hAnsi="新宋体" w:eastAsia="新宋体"/>
      <w:kern w:val="0"/>
      <w:sz w:val="24"/>
      <w:szCs w:val="20"/>
    </w:rPr>
  </w:style>
  <w:style w:type="character" w:customStyle="1" w:styleId="261">
    <w:name w:val="普通文字 Char Char2"/>
    <w:autoRedefine/>
    <w:qFormat/>
    <w:uiPriority w:val="99"/>
    <w:rPr>
      <w:rFonts w:ascii="宋体" w:hAnsi="Courier New" w:eastAsia="宋体"/>
      <w:sz w:val="21"/>
      <w:lang w:val="en-US" w:eastAsia="zh-CN"/>
    </w:rPr>
  </w:style>
  <w:style w:type="character" w:customStyle="1" w:styleId="262">
    <w:name w:val="Char Char31"/>
    <w:autoRedefine/>
    <w:qFormat/>
    <w:uiPriority w:val="99"/>
    <w:rPr>
      <w:rFonts w:ascii="Arial" w:hAnsi="Arial" w:eastAsia="黑体"/>
      <w:b/>
      <w:kern w:val="2"/>
      <w:sz w:val="32"/>
      <w:lang w:val="en-US" w:eastAsia="zh-CN"/>
    </w:rPr>
  </w:style>
  <w:style w:type="character" w:customStyle="1" w:styleId="263">
    <w:name w:val="title14"/>
    <w:basedOn w:val="57"/>
    <w:autoRedefine/>
    <w:qFormat/>
    <w:uiPriority w:val="99"/>
    <w:rPr>
      <w:rFonts w:cs="Times New Roman"/>
    </w:rPr>
  </w:style>
  <w:style w:type="character" w:customStyle="1" w:styleId="264">
    <w:name w:val="z-窗体底端 Char"/>
    <w:link w:val="265"/>
    <w:autoRedefine/>
    <w:qFormat/>
    <w:locked/>
    <w:uiPriority w:val="99"/>
    <w:rPr>
      <w:rFonts w:ascii="Arial" w:hAnsi="Arial"/>
      <w:vanish/>
      <w:sz w:val="16"/>
    </w:rPr>
  </w:style>
  <w:style w:type="paragraph" w:customStyle="1" w:styleId="265">
    <w:name w:val="z-窗体底端1"/>
    <w:basedOn w:val="1"/>
    <w:next w:val="1"/>
    <w:link w:val="264"/>
    <w:autoRedefine/>
    <w:qFormat/>
    <w:uiPriority w:val="99"/>
    <w:pPr>
      <w:widowControl/>
      <w:pBdr>
        <w:top w:val="single" w:color="auto" w:sz="6" w:space="1"/>
      </w:pBdr>
      <w:jc w:val="center"/>
    </w:pPr>
    <w:rPr>
      <w:rFonts w:ascii="Arial" w:hAnsi="Arial"/>
      <w:vanish/>
      <w:kern w:val="0"/>
      <w:sz w:val="16"/>
      <w:szCs w:val="20"/>
    </w:rPr>
  </w:style>
  <w:style w:type="character" w:customStyle="1" w:styleId="266">
    <w:name w:val="Char Char13"/>
    <w:autoRedefine/>
    <w:qFormat/>
    <w:uiPriority w:val="99"/>
    <w:rPr>
      <w:rFonts w:ascii="Calibri" w:hAnsi="Calibri" w:eastAsia="宋体"/>
      <w:sz w:val="18"/>
    </w:rPr>
  </w:style>
  <w:style w:type="character" w:customStyle="1" w:styleId="267">
    <w:name w:val="a Char"/>
    <w:link w:val="268"/>
    <w:autoRedefine/>
    <w:qFormat/>
    <w:locked/>
    <w:uiPriority w:val="99"/>
    <w:rPr>
      <w:rFonts w:ascii="宋体" w:hAnsi="宋体" w:eastAsia="仿宋_GB2312"/>
      <w:sz w:val="24"/>
      <w:lang w:val="en-US" w:eastAsia="zh-CN"/>
    </w:rPr>
  </w:style>
  <w:style w:type="paragraph" w:customStyle="1" w:styleId="268">
    <w:name w:val="a"/>
    <w:basedOn w:val="1"/>
    <w:link w:val="267"/>
    <w:autoRedefine/>
    <w:qFormat/>
    <w:uiPriority w:val="99"/>
    <w:pPr>
      <w:widowControl/>
      <w:spacing w:before="100" w:beforeAutospacing="1" w:after="100" w:afterAutospacing="1"/>
      <w:jc w:val="left"/>
    </w:pPr>
    <w:rPr>
      <w:rFonts w:ascii="宋体" w:hAnsi="宋体" w:eastAsia="仿宋_GB2312"/>
      <w:kern w:val="0"/>
      <w:sz w:val="24"/>
      <w:szCs w:val="20"/>
    </w:rPr>
  </w:style>
  <w:style w:type="character" w:customStyle="1" w:styleId="269">
    <w:name w:val="tw4winTerm"/>
    <w:autoRedefine/>
    <w:qFormat/>
    <w:uiPriority w:val="99"/>
    <w:rPr>
      <w:color w:val="0000FF"/>
    </w:rPr>
  </w:style>
  <w:style w:type="character" w:customStyle="1" w:styleId="270">
    <w:name w:val="ca-7"/>
    <w:basedOn w:val="57"/>
    <w:autoRedefine/>
    <w:qFormat/>
    <w:uiPriority w:val="99"/>
    <w:rPr>
      <w:rFonts w:cs="Times New Roman"/>
    </w:rPr>
  </w:style>
  <w:style w:type="character" w:customStyle="1" w:styleId="271">
    <w:name w:val="b titlename wangputoptitle"/>
    <w:basedOn w:val="57"/>
    <w:autoRedefine/>
    <w:qFormat/>
    <w:uiPriority w:val="99"/>
    <w:rPr>
      <w:rFonts w:cs="Times New Roman"/>
    </w:rPr>
  </w:style>
  <w:style w:type="character" w:customStyle="1" w:styleId="272">
    <w:name w:val="表正文 Char2"/>
    <w:autoRedefine/>
    <w:qFormat/>
    <w:uiPriority w:val="99"/>
    <w:rPr>
      <w:rFonts w:eastAsia="宋体"/>
      <w:kern w:val="2"/>
      <w:sz w:val="21"/>
      <w:lang w:val="en-US" w:eastAsia="zh-CN"/>
    </w:rPr>
  </w:style>
  <w:style w:type="character" w:customStyle="1" w:styleId="273">
    <w:name w:val="ca-8"/>
    <w:basedOn w:val="57"/>
    <w:autoRedefine/>
    <w:qFormat/>
    <w:uiPriority w:val="99"/>
    <w:rPr>
      <w:rFonts w:cs="Times New Roman"/>
    </w:rPr>
  </w:style>
  <w:style w:type="character" w:customStyle="1" w:styleId="274">
    <w:name w:val="line1"/>
    <w:autoRedefine/>
    <w:qFormat/>
    <w:uiPriority w:val="99"/>
    <w:rPr>
      <w:spacing w:val="360"/>
      <w:u w:val="none"/>
    </w:rPr>
  </w:style>
  <w:style w:type="character" w:customStyle="1" w:styleId="275">
    <w:name w:val="自定义正文 Char"/>
    <w:link w:val="276"/>
    <w:autoRedefine/>
    <w:qFormat/>
    <w:locked/>
    <w:uiPriority w:val="99"/>
    <w:rPr>
      <w:rFonts w:ascii="仿宋_GB2312" w:eastAsia="仿宋_GB2312"/>
      <w:kern w:val="2"/>
      <w:sz w:val="24"/>
    </w:rPr>
  </w:style>
  <w:style w:type="paragraph" w:customStyle="1" w:styleId="276">
    <w:name w:val="自定义正文"/>
    <w:basedOn w:val="1"/>
    <w:link w:val="275"/>
    <w:autoRedefine/>
    <w:qFormat/>
    <w:uiPriority w:val="99"/>
    <w:pPr>
      <w:spacing w:before="120" w:after="120" w:line="480" w:lineRule="exact"/>
      <w:ind w:firstLine="200" w:firstLineChars="200"/>
      <w:jc w:val="left"/>
    </w:pPr>
    <w:rPr>
      <w:rFonts w:ascii="仿宋_GB2312" w:eastAsia="仿宋_GB2312"/>
      <w:sz w:val="24"/>
      <w:szCs w:val="20"/>
    </w:rPr>
  </w:style>
  <w:style w:type="character" w:customStyle="1" w:styleId="277">
    <w:name w:val="text_show1"/>
    <w:autoRedefine/>
    <w:qFormat/>
    <w:uiPriority w:val="99"/>
    <w:rPr>
      <w:color w:val="000000"/>
      <w:sz w:val="21"/>
      <w:u w:val="none"/>
    </w:rPr>
  </w:style>
  <w:style w:type="character" w:customStyle="1" w:styleId="278">
    <w:name w:val="inf1"/>
    <w:autoRedefine/>
    <w:qFormat/>
    <w:uiPriority w:val="99"/>
    <w:rPr>
      <w:rFonts w:ascii="宋体" w:hAnsi="宋体" w:eastAsia="宋体"/>
      <w:color w:val="000000"/>
      <w:sz w:val="20"/>
    </w:rPr>
  </w:style>
  <w:style w:type="character" w:customStyle="1" w:styleId="279">
    <w:name w:val="Char Char131"/>
    <w:autoRedefine/>
    <w:qFormat/>
    <w:uiPriority w:val="99"/>
    <w:rPr>
      <w:rFonts w:ascii="Calibri" w:hAnsi="Calibri" w:eastAsia="宋体"/>
      <w:sz w:val="18"/>
    </w:rPr>
  </w:style>
  <w:style w:type="character" w:customStyle="1" w:styleId="280">
    <w:name w:val="info4"/>
    <w:basedOn w:val="57"/>
    <w:autoRedefine/>
    <w:qFormat/>
    <w:uiPriority w:val="99"/>
    <w:rPr>
      <w:rFonts w:cs="Times New Roman"/>
    </w:rPr>
  </w:style>
  <w:style w:type="character" w:customStyle="1" w:styleId="281">
    <w:name w:val="页眉 Char"/>
    <w:autoRedefine/>
    <w:qFormat/>
    <w:uiPriority w:val="99"/>
    <w:rPr>
      <w:kern w:val="2"/>
      <w:sz w:val="18"/>
    </w:rPr>
  </w:style>
  <w:style w:type="character" w:customStyle="1" w:styleId="282">
    <w:name w:val="Char Char41"/>
    <w:autoRedefine/>
    <w:qFormat/>
    <w:uiPriority w:val="99"/>
    <w:rPr>
      <w:rFonts w:ascii="Calibri" w:hAnsi="Calibri" w:eastAsia="宋体"/>
      <w:sz w:val="18"/>
    </w:rPr>
  </w:style>
  <w:style w:type="character" w:customStyle="1" w:styleId="283">
    <w:name w:val="大汉方案正文 Char1"/>
    <w:link w:val="284"/>
    <w:autoRedefine/>
    <w:qFormat/>
    <w:locked/>
    <w:uiPriority w:val="99"/>
    <w:rPr>
      <w:rFonts w:ascii="Arial" w:hAnsi="Arial" w:eastAsia="宋体"/>
      <w:sz w:val="24"/>
    </w:rPr>
  </w:style>
  <w:style w:type="paragraph" w:customStyle="1" w:styleId="284">
    <w:name w:val="大汉方案正文"/>
    <w:basedOn w:val="1"/>
    <w:link w:val="283"/>
    <w:autoRedefine/>
    <w:qFormat/>
    <w:uiPriority w:val="99"/>
    <w:pPr>
      <w:spacing w:line="360" w:lineRule="auto"/>
      <w:ind w:firstLine="200" w:firstLineChars="200"/>
    </w:pPr>
    <w:rPr>
      <w:rFonts w:ascii="Arial" w:hAnsi="Arial"/>
      <w:kern w:val="0"/>
      <w:sz w:val="24"/>
      <w:szCs w:val="20"/>
    </w:rPr>
  </w:style>
  <w:style w:type="character" w:customStyle="1" w:styleId="285">
    <w:name w:val="tw4winInternal"/>
    <w:autoRedefine/>
    <w:qFormat/>
    <w:uiPriority w:val="99"/>
    <w:rPr>
      <w:rFonts w:ascii="Courier New" w:hAnsi="Courier New"/>
      <w:color w:val="FF0000"/>
    </w:rPr>
  </w:style>
  <w:style w:type="character" w:customStyle="1" w:styleId="286">
    <w:name w:val="封面日期 Char Char"/>
    <w:autoRedefine/>
    <w:qFormat/>
    <w:uiPriority w:val="99"/>
    <w:rPr>
      <w:rFonts w:eastAsia="楷体_GB2312"/>
      <w:kern w:val="2"/>
      <w:sz w:val="32"/>
      <w:lang w:val="en-US" w:eastAsia="zh-CN"/>
    </w:rPr>
  </w:style>
  <w:style w:type="character" w:customStyle="1" w:styleId="287">
    <w:name w:val="p71"/>
    <w:autoRedefine/>
    <w:qFormat/>
    <w:uiPriority w:val="99"/>
    <w:rPr>
      <w:sz w:val="21"/>
    </w:rPr>
  </w:style>
  <w:style w:type="character" w:customStyle="1" w:styleId="288">
    <w:name w:val="批注文字 Char"/>
    <w:autoRedefine/>
    <w:semiHidden/>
    <w:qFormat/>
    <w:uiPriority w:val="99"/>
    <w:rPr>
      <w:kern w:val="2"/>
      <w:sz w:val="24"/>
    </w:rPr>
  </w:style>
  <w:style w:type="character" w:customStyle="1" w:styleId="289">
    <w:name w:val="普通文字 Char Char1"/>
    <w:autoRedefine/>
    <w:qFormat/>
    <w:uiPriority w:val="99"/>
    <w:rPr>
      <w:rFonts w:ascii="宋体" w:hAnsi="Courier New" w:eastAsia="宋体"/>
      <w:sz w:val="20"/>
    </w:rPr>
  </w:style>
  <w:style w:type="character" w:customStyle="1" w:styleId="290">
    <w:name w:val="标题1 Char"/>
    <w:link w:val="291"/>
    <w:autoRedefine/>
    <w:qFormat/>
    <w:locked/>
    <w:uiPriority w:val="99"/>
    <w:rPr>
      <w:rFonts w:ascii="宋体" w:hAnsi="Courier New" w:eastAsia="宋体"/>
      <w:b/>
      <w:kern w:val="2"/>
      <w:sz w:val="30"/>
      <w:lang w:val="en-US" w:eastAsia="zh-CN"/>
    </w:rPr>
  </w:style>
  <w:style w:type="paragraph" w:customStyle="1" w:styleId="291">
    <w:name w:val="标题1"/>
    <w:basedOn w:val="30"/>
    <w:link w:val="290"/>
    <w:autoRedefine/>
    <w:qFormat/>
    <w:uiPriority w:val="99"/>
    <w:pPr>
      <w:spacing w:beforeLines="0" w:afterLines="0" w:line="360" w:lineRule="auto"/>
    </w:pPr>
    <w:rPr>
      <w:b/>
      <w:sz w:val="30"/>
      <w:szCs w:val="20"/>
    </w:rPr>
  </w:style>
  <w:style w:type="character" w:customStyle="1" w:styleId="292">
    <w:name w:val="标题3 Char"/>
    <w:link w:val="293"/>
    <w:autoRedefine/>
    <w:qFormat/>
    <w:locked/>
    <w:uiPriority w:val="99"/>
    <w:rPr>
      <w:rFonts w:eastAsia="方正仿宋"/>
      <w:kern w:val="2"/>
      <w:sz w:val="32"/>
      <w:lang w:val="en-US" w:eastAsia="zh-CN"/>
    </w:rPr>
  </w:style>
  <w:style w:type="paragraph" w:customStyle="1" w:styleId="293">
    <w:name w:val="标题3"/>
    <w:basedOn w:val="1"/>
    <w:link w:val="292"/>
    <w:autoRedefine/>
    <w:qFormat/>
    <w:uiPriority w:val="99"/>
    <w:pPr>
      <w:ind w:firstLine="200" w:firstLineChars="200"/>
      <w:outlineLvl w:val="2"/>
    </w:pPr>
    <w:rPr>
      <w:rFonts w:eastAsia="方正仿宋"/>
      <w:sz w:val="32"/>
      <w:szCs w:val="20"/>
    </w:rPr>
  </w:style>
  <w:style w:type="character" w:customStyle="1" w:styleId="294">
    <w:name w:val="标题2 Char"/>
    <w:link w:val="295"/>
    <w:autoRedefine/>
    <w:qFormat/>
    <w:locked/>
    <w:uiPriority w:val="99"/>
    <w:rPr>
      <w:rFonts w:eastAsia="方正楷体"/>
      <w:kern w:val="2"/>
      <w:sz w:val="32"/>
      <w:lang w:val="en-US" w:eastAsia="zh-CN"/>
    </w:rPr>
  </w:style>
  <w:style w:type="paragraph" w:customStyle="1" w:styleId="295">
    <w:name w:val="标题2"/>
    <w:basedOn w:val="1"/>
    <w:link w:val="294"/>
    <w:autoRedefine/>
    <w:qFormat/>
    <w:uiPriority w:val="99"/>
    <w:pPr>
      <w:ind w:firstLine="200" w:firstLineChars="200"/>
      <w:outlineLvl w:val="1"/>
    </w:pPr>
    <w:rPr>
      <w:rFonts w:eastAsia="方正楷体"/>
      <w:sz w:val="32"/>
      <w:szCs w:val="20"/>
    </w:rPr>
  </w:style>
  <w:style w:type="character" w:customStyle="1" w:styleId="296">
    <w:name w:val="标题正文 Char"/>
    <w:link w:val="297"/>
    <w:autoRedefine/>
    <w:qFormat/>
    <w:locked/>
    <w:uiPriority w:val="99"/>
    <w:rPr>
      <w:rFonts w:eastAsia="方正仿宋"/>
      <w:kern w:val="2"/>
      <w:sz w:val="30"/>
      <w:lang w:val="en-US" w:eastAsia="zh-CN"/>
    </w:rPr>
  </w:style>
  <w:style w:type="paragraph" w:customStyle="1" w:styleId="297">
    <w:name w:val="标题正文"/>
    <w:basedOn w:val="1"/>
    <w:link w:val="296"/>
    <w:autoRedefine/>
    <w:qFormat/>
    <w:uiPriority w:val="99"/>
    <w:pPr>
      <w:ind w:firstLine="200" w:firstLineChars="200"/>
    </w:pPr>
    <w:rPr>
      <w:rFonts w:eastAsia="方正仿宋"/>
      <w:sz w:val="30"/>
      <w:szCs w:val="20"/>
    </w:rPr>
  </w:style>
  <w:style w:type="character" w:customStyle="1" w:styleId="298">
    <w:name w:val="Footer-Even Char1"/>
    <w:autoRedefine/>
    <w:qFormat/>
    <w:uiPriority w:val="99"/>
    <w:rPr>
      <w:kern w:val="2"/>
      <w:sz w:val="18"/>
    </w:rPr>
  </w:style>
  <w:style w:type="character" w:customStyle="1" w:styleId="299">
    <w:name w:val="_正文段落 Char"/>
    <w:link w:val="300"/>
    <w:autoRedefine/>
    <w:qFormat/>
    <w:locked/>
    <w:uiPriority w:val="99"/>
    <w:rPr>
      <w:rFonts w:ascii="Calibri" w:hAnsi="Calibri" w:eastAsia="宋体"/>
      <w:kern w:val="2"/>
      <w:sz w:val="24"/>
    </w:rPr>
  </w:style>
  <w:style w:type="paragraph" w:customStyle="1" w:styleId="300">
    <w:name w:val="_正文段落"/>
    <w:basedOn w:val="1"/>
    <w:link w:val="299"/>
    <w:autoRedefine/>
    <w:qFormat/>
    <w:uiPriority w:val="99"/>
    <w:pPr>
      <w:spacing w:beforeLines="15" w:afterLines="15" w:line="360" w:lineRule="auto"/>
      <w:ind w:firstLine="200" w:firstLineChars="200"/>
    </w:pPr>
    <w:rPr>
      <w:rFonts w:ascii="Calibri" w:hAnsi="Calibri"/>
      <w:sz w:val="24"/>
      <w:szCs w:val="20"/>
    </w:rPr>
  </w:style>
  <w:style w:type="character" w:customStyle="1" w:styleId="301">
    <w:name w:val="正文首行缩进2字符 Char"/>
    <w:link w:val="302"/>
    <w:autoRedefine/>
    <w:qFormat/>
    <w:locked/>
    <w:uiPriority w:val="99"/>
    <w:rPr>
      <w:rFonts w:eastAsia="宋体"/>
      <w:kern w:val="2"/>
      <w:sz w:val="24"/>
      <w:lang w:val="en-US" w:eastAsia="zh-CN"/>
    </w:rPr>
  </w:style>
  <w:style w:type="paragraph" w:customStyle="1" w:styleId="302">
    <w:name w:val="正文首行缩进2字符"/>
    <w:basedOn w:val="1"/>
    <w:link w:val="301"/>
    <w:autoRedefine/>
    <w:qFormat/>
    <w:uiPriority w:val="99"/>
    <w:pPr>
      <w:spacing w:line="360" w:lineRule="auto"/>
      <w:ind w:firstLine="482"/>
    </w:pPr>
    <w:rPr>
      <w:sz w:val="24"/>
      <w:szCs w:val="20"/>
    </w:rPr>
  </w:style>
  <w:style w:type="paragraph" w:customStyle="1" w:styleId="303">
    <w:name w:val="样式 样式 标题 3Chapter X.X.X. + 段后: 0.5 行 + 段后: 0.5 行"/>
    <w:basedOn w:val="304"/>
    <w:autoRedefine/>
    <w:qFormat/>
    <w:uiPriority w:val="99"/>
  </w:style>
  <w:style w:type="paragraph" w:customStyle="1" w:styleId="304">
    <w:name w:val="样式 标题 3Chapter X.X.X. + 段后: 0.5 行"/>
    <w:basedOn w:val="4"/>
    <w:autoRedefine/>
    <w:qFormat/>
    <w:uiPriority w:val="99"/>
    <w:pPr>
      <w:keepLines w:val="0"/>
      <w:spacing w:before="120" w:afterLines="50" w:line="240" w:lineRule="auto"/>
      <w:jc w:val="left"/>
    </w:pPr>
    <w:rPr>
      <w:rFonts w:ascii="宋体" w:cs="宋体"/>
      <w:kern w:val="0"/>
      <w:sz w:val="24"/>
      <w:szCs w:val="20"/>
    </w:rPr>
  </w:style>
  <w:style w:type="paragraph" w:customStyle="1" w:styleId="305">
    <w:name w:val="Plain Text1"/>
    <w:basedOn w:val="1"/>
    <w:autoRedefine/>
    <w:qFormat/>
    <w:uiPriority w:val="99"/>
    <w:pPr>
      <w:autoSpaceDE w:val="0"/>
      <w:autoSpaceDN w:val="0"/>
      <w:adjustRightInd w:val="0"/>
      <w:spacing w:line="360" w:lineRule="auto"/>
    </w:pPr>
    <w:rPr>
      <w:rFonts w:ascii="宋体" w:hAnsi="宋体"/>
      <w:sz w:val="24"/>
      <w:szCs w:val="20"/>
    </w:rPr>
  </w:style>
  <w:style w:type="paragraph" w:customStyle="1" w:styleId="306">
    <w:name w:val="P1"/>
    <w:basedOn w:val="1"/>
    <w:autoRedefine/>
    <w:qFormat/>
    <w:uiPriority w:val="99"/>
    <w:pPr>
      <w:widowControl/>
      <w:spacing w:before="240" w:line="240" w:lineRule="atLeast"/>
      <w:jc w:val="left"/>
    </w:pPr>
    <w:rPr>
      <w:b/>
      <w:kern w:val="0"/>
      <w:szCs w:val="21"/>
      <w:lang w:val="en-AU" w:eastAsia="en-US"/>
    </w:rPr>
  </w:style>
  <w:style w:type="paragraph" w:customStyle="1" w:styleId="307">
    <w:name w:val="封面标准文稿编辑信息"/>
    <w:autoRedefine/>
    <w:qFormat/>
    <w:uiPriority w:val="99"/>
    <w:pPr>
      <w:spacing w:before="180" w:line="180" w:lineRule="exact"/>
      <w:jc w:val="center"/>
    </w:pPr>
    <w:rPr>
      <w:rFonts w:ascii="宋体" w:hAnsi="Times New Roman" w:eastAsia="宋体" w:cs="Times New Roman"/>
      <w:sz w:val="21"/>
      <w:lang w:val="en-US" w:eastAsia="zh-CN" w:bidi="ar-SA"/>
    </w:rPr>
  </w:style>
  <w:style w:type="paragraph" w:customStyle="1" w:styleId="308">
    <w:name w:val="正文首行缩进两字"/>
    <w:autoRedefine/>
    <w:qFormat/>
    <w:uiPriority w:val="99"/>
    <w:pPr>
      <w:tabs>
        <w:tab w:val="left" w:pos="840"/>
      </w:tabs>
      <w:spacing w:afterLines="50" w:line="360" w:lineRule="auto"/>
      <w:ind w:right="240"/>
      <w:jc w:val="both"/>
    </w:pPr>
    <w:rPr>
      <w:rFonts w:ascii="Times New Roman" w:hAnsi="Times New Roman" w:eastAsia="宋体" w:cs="Times New Roman"/>
      <w:sz w:val="21"/>
      <w:szCs w:val="21"/>
      <w:lang w:val="en-US" w:eastAsia="zh-CN" w:bidi="ar-SA"/>
    </w:rPr>
  </w:style>
  <w:style w:type="paragraph" w:customStyle="1" w:styleId="309">
    <w:name w:val="Char Char Char Char Char Char"/>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310">
    <w:name w:val="mod_selection1"/>
    <w:basedOn w:val="1"/>
    <w:autoRedefine/>
    <w:qFormat/>
    <w:uiPriority w:val="99"/>
    <w:pPr>
      <w:widowControl/>
      <w:ind w:left="75"/>
      <w:jc w:val="left"/>
    </w:pPr>
    <w:rPr>
      <w:rFonts w:ascii="Arial" w:hAnsi="Arial" w:cs="Arial"/>
      <w:b/>
      <w:bCs/>
      <w:kern w:val="0"/>
      <w:sz w:val="20"/>
      <w:szCs w:val="20"/>
    </w:rPr>
  </w:style>
  <w:style w:type="paragraph" w:customStyle="1" w:styleId="311">
    <w:name w:val="样式 标题 2 + 五号"/>
    <w:basedOn w:val="3"/>
    <w:autoRedefine/>
    <w:qFormat/>
    <w:uiPriority w:val="99"/>
    <w:pPr>
      <w:spacing w:before="0" w:after="0" w:line="240" w:lineRule="auto"/>
    </w:pPr>
    <w:rPr>
      <w:rFonts w:ascii="宋体" w:hAnsi="宋体" w:eastAsia="宋体"/>
      <w:sz w:val="21"/>
    </w:rPr>
  </w:style>
  <w:style w:type="paragraph" w:customStyle="1" w:styleId="312">
    <w:name w:val="Bullet2"/>
    <w:basedOn w:val="1"/>
    <w:autoRedefine/>
    <w:qFormat/>
    <w:uiPriority w:val="99"/>
    <w:pPr>
      <w:spacing w:afterLines="50"/>
      <w:ind w:left="1440" w:hanging="360"/>
      <w:jc w:val="left"/>
    </w:pPr>
    <w:rPr>
      <w:rFonts w:ascii="宋体"/>
      <w:color w:val="000080"/>
      <w:kern w:val="0"/>
      <w:szCs w:val="20"/>
    </w:rPr>
  </w:style>
  <w:style w:type="paragraph" w:customStyle="1" w:styleId="313">
    <w:name w:val="正文段落"/>
    <w:basedOn w:val="1"/>
    <w:autoRedefine/>
    <w:qFormat/>
    <w:uiPriority w:val="99"/>
    <w:pPr>
      <w:spacing w:line="300" w:lineRule="auto"/>
      <w:ind w:firstLine="510"/>
    </w:pPr>
    <w:rPr>
      <w:sz w:val="24"/>
      <w:szCs w:val="20"/>
    </w:rPr>
  </w:style>
  <w:style w:type="paragraph" w:customStyle="1" w:styleId="314">
    <w:name w:val="页面边线"/>
    <w:basedOn w:val="1"/>
    <w:autoRedefine/>
    <w:qFormat/>
    <w:uiPriority w:val="99"/>
    <w:pPr>
      <w:adjustRightInd w:val="0"/>
      <w:spacing w:line="360" w:lineRule="atLeast"/>
      <w:textAlignment w:val="baseline"/>
    </w:pPr>
    <w:rPr>
      <w:rFonts w:ascii="Century" w:hAnsi="Century"/>
      <w:kern w:val="0"/>
      <w:szCs w:val="20"/>
      <w:lang w:eastAsia="ja-JP"/>
    </w:rPr>
  </w:style>
  <w:style w:type="paragraph" w:customStyle="1" w:styleId="315">
    <w:name w:val="样式 标题 4Chapter X.X.X. + 段后: 0.5 行1 + 段后: 0.5 行"/>
    <w:basedOn w:val="316"/>
    <w:autoRedefine/>
    <w:qFormat/>
    <w:uiPriority w:val="99"/>
    <w:pPr>
      <w:numPr>
        <w:numId w:val="0"/>
      </w:numPr>
      <w:tabs>
        <w:tab w:val="left" w:pos="864"/>
      </w:tabs>
      <w:ind w:left="425" w:hanging="425"/>
    </w:pPr>
    <w:rPr>
      <w:szCs w:val="21"/>
    </w:rPr>
  </w:style>
  <w:style w:type="paragraph" w:customStyle="1" w:styleId="316">
    <w:name w:val="样式 标题 4Chapter X.X.X. + 段后: 0.5 行1"/>
    <w:basedOn w:val="5"/>
    <w:next w:val="5"/>
    <w:autoRedefine/>
    <w:qFormat/>
    <w:uiPriority w:val="99"/>
    <w:pPr>
      <w:keepLines w:val="0"/>
      <w:numPr>
        <w:ilvl w:val="3"/>
        <w:numId w:val="2"/>
      </w:numPr>
      <w:spacing w:before="120" w:afterLines="50" w:line="240" w:lineRule="auto"/>
      <w:ind w:left="425" w:hanging="425"/>
      <w:jc w:val="left"/>
    </w:pPr>
    <w:rPr>
      <w:rFonts w:ascii="宋体" w:hAnsi="Times New Roman" w:eastAsia="宋体" w:cs="宋体"/>
      <w:kern w:val="0"/>
      <w:sz w:val="21"/>
      <w:szCs w:val="20"/>
    </w:rPr>
  </w:style>
  <w:style w:type="paragraph" w:customStyle="1" w:styleId="317">
    <w:name w:val="列表内容"/>
    <w:basedOn w:val="1"/>
    <w:next w:val="1"/>
    <w:autoRedefine/>
    <w:qFormat/>
    <w:uiPriority w:val="99"/>
    <w:pPr>
      <w:widowControl/>
      <w:numPr>
        <w:ilvl w:val="0"/>
        <w:numId w:val="7"/>
      </w:numPr>
      <w:jc w:val="left"/>
    </w:pPr>
    <w:rPr>
      <w:kern w:val="0"/>
      <w:sz w:val="18"/>
      <w:szCs w:val="24"/>
    </w:rPr>
  </w:style>
  <w:style w:type="paragraph" w:customStyle="1" w:styleId="318">
    <w:name w:val="Style-正文"/>
    <w:basedOn w:val="1"/>
    <w:autoRedefine/>
    <w:qFormat/>
    <w:uiPriority w:val="99"/>
    <w:pPr>
      <w:spacing w:line="360" w:lineRule="auto"/>
      <w:ind w:firstLine="420"/>
    </w:pPr>
    <w:rPr>
      <w:rFonts w:ascii="宋体" w:hAnsi="宋体"/>
      <w:sz w:val="24"/>
      <w:szCs w:val="24"/>
    </w:rPr>
  </w:style>
  <w:style w:type="paragraph" w:customStyle="1" w:styleId="319">
    <w:name w:val="标准标题2"/>
    <w:basedOn w:val="3"/>
    <w:autoRedefine/>
    <w:qFormat/>
    <w:uiPriority w:val="99"/>
    <w:pPr>
      <w:spacing w:line="360" w:lineRule="auto"/>
    </w:pPr>
    <w:rPr>
      <w:rFonts w:eastAsia="仿宋_GB2312"/>
      <w:bCs w:val="0"/>
      <w:sz w:val="28"/>
    </w:rPr>
  </w:style>
  <w:style w:type="paragraph" w:customStyle="1" w:styleId="320">
    <w:name w:val="5级"/>
    <w:basedOn w:val="1"/>
    <w:next w:val="14"/>
    <w:autoRedefine/>
    <w:qFormat/>
    <w:uiPriority w:val="99"/>
    <w:pPr>
      <w:numPr>
        <w:ilvl w:val="4"/>
        <w:numId w:val="8"/>
      </w:numPr>
    </w:pPr>
    <w:rPr>
      <w:rFonts w:eastAsia="黑体"/>
      <w:kern w:val="0"/>
      <w:sz w:val="24"/>
      <w:szCs w:val="20"/>
    </w:rPr>
  </w:style>
  <w:style w:type="paragraph" w:customStyle="1" w:styleId="321">
    <w:name w:val="Paragraph1"/>
    <w:basedOn w:val="1"/>
    <w:autoRedefine/>
    <w:qFormat/>
    <w:uiPriority w:val="99"/>
    <w:pPr>
      <w:spacing w:before="80" w:afterLines="50"/>
    </w:pPr>
    <w:rPr>
      <w:rFonts w:ascii="宋体"/>
      <w:kern w:val="0"/>
      <w:szCs w:val="20"/>
    </w:rPr>
  </w:style>
  <w:style w:type="paragraph" w:customStyle="1" w:styleId="322">
    <w:name w:val="招标文件－紧缩表格用正文"/>
    <w:basedOn w:val="1"/>
    <w:next w:val="1"/>
    <w:autoRedefine/>
    <w:qFormat/>
    <w:uiPriority w:val="99"/>
    <w:pPr>
      <w:spacing w:beforeLines="30" w:afterLines="30"/>
      <w:jc w:val="center"/>
    </w:pPr>
    <w:rPr>
      <w:kern w:val="0"/>
      <w:sz w:val="24"/>
      <w:szCs w:val="20"/>
    </w:rPr>
  </w:style>
  <w:style w:type="paragraph" w:customStyle="1" w:styleId="323">
    <w:name w:val="S4-I-L15-U"/>
    <w:basedOn w:val="1"/>
    <w:autoRedefine/>
    <w:qFormat/>
    <w:uiPriority w:val="99"/>
    <w:pPr>
      <w:spacing w:line="360" w:lineRule="auto"/>
    </w:pPr>
    <w:rPr>
      <w:b/>
      <w:i/>
      <w:sz w:val="24"/>
      <w:szCs w:val="24"/>
      <w:u w:val="single"/>
    </w:rPr>
  </w:style>
  <w:style w:type="paragraph" w:customStyle="1" w:styleId="324">
    <w:name w:val="大表 mt"/>
    <w:basedOn w:val="1"/>
    <w:autoRedefine/>
    <w:qFormat/>
    <w:uiPriority w:val="99"/>
    <w:pPr>
      <w:widowControl/>
      <w:jc w:val="left"/>
    </w:pPr>
    <w:rPr>
      <w:rFonts w:ascii="宋体" w:hAnsi="宋体" w:cs="宋体"/>
      <w:kern w:val="0"/>
      <w:szCs w:val="21"/>
    </w:rPr>
  </w:style>
  <w:style w:type="paragraph" w:customStyle="1" w:styleId="325">
    <w:name w:val="左对齐的表内文字"/>
    <w:basedOn w:val="1"/>
    <w:autoRedefine/>
    <w:qFormat/>
    <w:uiPriority w:val="99"/>
    <w:rPr>
      <w:rFonts w:eastAsia="仿宋_GB2312" w:cs="宋体"/>
      <w:szCs w:val="20"/>
    </w:rPr>
  </w:style>
  <w:style w:type="paragraph" w:customStyle="1" w:styleId="326">
    <w:name w:val="Paragraph2"/>
    <w:basedOn w:val="1"/>
    <w:autoRedefine/>
    <w:qFormat/>
    <w:uiPriority w:val="99"/>
    <w:pPr>
      <w:spacing w:before="80" w:afterLines="50"/>
      <w:ind w:left="720"/>
    </w:pPr>
    <w:rPr>
      <w:rFonts w:ascii="宋体"/>
      <w:color w:val="000000"/>
      <w:kern w:val="0"/>
      <w:szCs w:val="20"/>
      <w:lang w:val="en-AU"/>
    </w:rPr>
  </w:style>
  <w:style w:type="paragraph" w:customStyle="1" w:styleId="327">
    <w:name w:val="样式2"/>
    <w:basedOn w:val="3"/>
    <w:autoRedefine/>
    <w:qFormat/>
    <w:uiPriority w:val="99"/>
    <w:pPr>
      <w:tabs>
        <w:tab w:val="left" w:pos="576"/>
      </w:tabs>
      <w:spacing w:before="0" w:after="0" w:line="415" w:lineRule="auto"/>
      <w:ind w:left="576" w:hanging="576"/>
    </w:pPr>
    <w:rPr>
      <w:rFonts w:ascii="宋体" w:hAnsi="宋体" w:eastAsia="仿宋_GB2312"/>
      <w:bCs w:val="0"/>
      <w:szCs w:val="20"/>
    </w:rPr>
  </w:style>
  <w:style w:type="paragraph" w:customStyle="1" w:styleId="328">
    <w:name w:val="Body"/>
    <w:basedOn w:val="1"/>
    <w:autoRedefine/>
    <w:qFormat/>
    <w:uiPriority w:val="99"/>
    <w:pPr>
      <w:widowControl/>
      <w:spacing w:before="120" w:afterLines="50"/>
    </w:pPr>
    <w:rPr>
      <w:rFonts w:ascii="宋体"/>
      <w:kern w:val="0"/>
      <w:szCs w:val="20"/>
    </w:rPr>
  </w:style>
  <w:style w:type="paragraph" w:customStyle="1" w:styleId="329">
    <w:name w:val="一级项目符号"/>
    <w:basedOn w:val="1"/>
    <w:autoRedefine/>
    <w:qFormat/>
    <w:uiPriority w:val="99"/>
    <w:pPr>
      <w:widowControl/>
      <w:numPr>
        <w:ilvl w:val="0"/>
        <w:numId w:val="9"/>
      </w:numPr>
      <w:spacing w:line="360" w:lineRule="auto"/>
    </w:pPr>
    <w:rPr>
      <w:kern w:val="0"/>
      <w:sz w:val="24"/>
      <w:szCs w:val="20"/>
    </w:rPr>
  </w:style>
  <w:style w:type="paragraph" w:customStyle="1" w:styleId="330">
    <w:name w:val="pa-30"/>
    <w:basedOn w:val="1"/>
    <w:autoRedefine/>
    <w:qFormat/>
    <w:uiPriority w:val="99"/>
    <w:pPr>
      <w:widowControl/>
      <w:spacing w:before="150" w:after="150"/>
      <w:jc w:val="left"/>
    </w:pPr>
    <w:rPr>
      <w:rFonts w:ascii="宋体" w:hAnsi="宋体" w:cs="宋体"/>
      <w:kern w:val="0"/>
      <w:sz w:val="24"/>
      <w:szCs w:val="24"/>
    </w:rPr>
  </w:style>
  <w:style w:type="paragraph" w:customStyle="1" w:styleId="331">
    <w:name w:val="彩色列表 - 强调文字颜色 111"/>
    <w:basedOn w:val="1"/>
    <w:autoRedefine/>
    <w:qFormat/>
    <w:uiPriority w:val="99"/>
    <w:pPr>
      <w:ind w:firstLine="420" w:firstLineChars="200"/>
    </w:pPr>
  </w:style>
  <w:style w:type="paragraph" w:customStyle="1" w:styleId="332">
    <w:name w:val="Paragraph4"/>
    <w:basedOn w:val="1"/>
    <w:autoRedefine/>
    <w:qFormat/>
    <w:uiPriority w:val="99"/>
    <w:pPr>
      <w:spacing w:before="80" w:afterLines="50"/>
      <w:ind w:left="2250"/>
    </w:pPr>
    <w:rPr>
      <w:rFonts w:ascii="宋体"/>
      <w:kern w:val="0"/>
      <w:szCs w:val="20"/>
    </w:rPr>
  </w:style>
  <w:style w:type="paragraph" w:customStyle="1" w:styleId="333">
    <w:name w:val="_Style 148"/>
    <w:next w:val="1"/>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34">
    <w:name w:val="样式 标题 4 + 段后: 0.5 行"/>
    <w:basedOn w:val="5"/>
    <w:autoRedefine/>
    <w:qFormat/>
    <w:uiPriority w:val="99"/>
    <w:pPr>
      <w:keepLines w:val="0"/>
      <w:numPr>
        <w:ilvl w:val="3"/>
        <w:numId w:val="1"/>
      </w:numPr>
      <w:spacing w:before="120" w:afterLines="50" w:line="240" w:lineRule="auto"/>
      <w:jc w:val="left"/>
    </w:pPr>
    <w:rPr>
      <w:rFonts w:ascii="宋体" w:hAnsi="Times New Roman" w:eastAsia="宋体" w:cs="宋体"/>
      <w:kern w:val="0"/>
      <w:sz w:val="21"/>
      <w:szCs w:val="20"/>
    </w:rPr>
  </w:style>
  <w:style w:type="paragraph" w:customStyle="1" w:styleId="335">
    <w:name w:val="Char Char Char Char Char Char Char Char Char Char"/>
    <w:basedOn w:val="1"/>
    <w:autoRedefine/>
    <w:qFormat/>
    <w:uiPriority w:val="99"/>
    <w:pPr>
      <w:tabs>
        <w:tab w:val="left" w:pos="360"/>
      </w:tabs>
      <w:ind w:left="480" w:hanging="480" w:hangingChars="200"/>
    </w:pPr>
    <w:rPr>
      <w:rFonts w:ascii="仿宋_GB2312" w:eastAsia="仿宋_GB2312"/>
      <w:b/>
      <w:sz w:val="24"/>
      <w:szCs w:val="24"/>
    </w:rPr>
  </w:style>
  <w:style w:type="paragraph" w:customStyle="1" w:styleId="336">
    <w:name w:val="_Style 164"/>
    <w:basedOn w:val="1"/>
    <w:autoRedefine/>
    <w:qFormat/>
    <w:uiPriority w:val="99"/>
    <w:rPr>
      <w:szCs w:val="20"/>
    </w:rPr>
  </w:style>
  <w:style w:type="paragraph" w:customStyle="1" w:styleId="337">
    <w:name w:val="标准书脚_奇数页"/>
    <w:autoRedefine/>
    <w:qFormat/>
    <w:uiPriority w:val="99"/>
    <w:pPr>
      <w:spacing w:before="120"/>
      <w:jc w:val="right"/>
    </w:pPr>
    <w:rPr>
      <w:rFonts w:ascii="Times New Roman" w:hAnsi="Times New Roman" w:eastAsia="宋体" w:cs="Times New Roman"/>
      <w:sz w:val="18"/>
      <w:lang w:val="en-US" w:eastAsia="zh-CN" w:bidi="ar-SA"/>
    </w:rPr>
  </w:style>
  <w:style w:type="paragraph" w:customStyle="1" w:styleId="338">
    <w:name w:val="a8"/>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customStyle="1" w:styleId="339">
    <w:name w:val="MM Title"/>
    <w:basedOn w:val="52"/>
    <w:autoRedefine/>
    <w:qFormat/>
    <w:uiPriority w:val="99"/>
    <w:rPr>
      <w:rFonts w:ascii="Calibri" w:hAnsi="Calibri" w:cs="Arial"/>
      <w:b w:val="0"/>
      <w:sz w:val="18"/>
    </w:rPr>
  </w:style>
  <w:style w:type="paragraph" w:customStyle="1" w:styleId="340">
    <w:name w:val="默认段落字体 Para Char Char Char"/>
    <w:basedOn w:val="1"/>
    <w:autoRedefine/>
    <w:qFormat/>
    <w:uiPriority w:val="99"/>
    <w:rPr>
      <w:szCs w:val="24"/>
    </w:rPr>
  </w:style>
  <w:style w:type="paragraph" w:customStyle="1" w:styleId="341">
    <w:name w:val="文档结构图1"/>
    <w:basedOn w:val="1"/>
    <w:autoRedefine/>
    <w:qFormat/>
    <w:uiPriority w:val="99"/>
    <w:rPr>
      <w:rFonts w:ascii="宋体"/>
      <w:kern w:val="0"/>
      <w:sz w:val="18"/>
      <w:szCs w:val="18"/>
    </w:rPr>
  </w:style>
  <w:style w:type="paragraph" w:customStyle="1" w:styleId="342">
    <w:name w:val="中等深浅列表 2 - 强调文字颜色 21"/>
    <w:autoRedefine/>
    <w:semiHidden/>
    <w:qFormat/>
    <w:uiPriority w:val="99"/>
    <w:rPr>
      <w:rFonts w:ascii="Times New Roman" w:hAnsi="Times New Roman" w:eastAsia="宋体" w:cs="Times New Roman"/>
      <w:kern w:val="2"/>
      <w:sz w:val="21"/>
      <w:szCs w:val="22"/>
      <w:lang w:val="en-US" w:eastAsia="zh-CN" w:bidi="ar-SA"/>
    </w:rPr>
  </w:style>
  <w:style w:type="paragraph" w:customStyle="1" w:styleId="343">
    <w:name w:val="样式 正文 段落文字 + 宋体 小四 左侧:  0 厘米 首行缩进:  2 字符 段后: 0 磅 行距: 固定值 24..."/>
    <w:basedOn w:val="1"/>
    <w:autoRedefine/>
    <w:qFormat/>
    <w:uiPriority w:val="99"/>
    <w:pPr>
      <w:spacing w:line="480" w:lineRule="exact"/>
      <w:ind w:firstLine="480" w:firstLineChars="200"/>
    </w:pPr>
    <w:rPr>
      <w:rFonts w:ascii="宋体" w:hAnsi="宋体" w:cs="宋体"/>
      <w:sz w:val="24"/>
      <w:szCs w:val="20"/>
    </w:rPr>
  </w:style>
  <w:style w:type="paragraph" w:customStyle="1" w:styleId="344">
    <w:name w:val="样式 样式3 + 宋体 五号 Char Char Char"/>
    <w:basedOn w:val="1"/>
    <w:autoRedefine/>
    <w:qFormat/>
    <w:uiPriority w:val="99"/>
    <w:pPr>
      <w:keepNext/>
      <w:keepLines/>
      <w:tabs>
        <w:tab w:val="left" w:pos="1050"/>
      </w:tabs>
      <w:ind w:left="1050" w:hanging="450"/>
      <w:jc w:val="left"/>
      <w:outlineLvl w:val="7"/>
    </w:pPr>
    <w:rPr>
      <w:rFonts w:ascii="宋体" w:hAnsi="宋体"/>
      <w:b/>
      <w:bCs/>
      <w:szCs w:val="24"/>
    </w:rPr>
  </w:style>
  <w:style w:type="paragraph" w:customStyle="1" w:styleId="345">
    <w:name w:val="表内文字"/>
    <w:basedOn w:val="1"/>
    <w:autoRedefine/>
    <w:qFormat/>
    <w:uiPriority w:val="99"/>
    <w:pPr>
      <w:tabs>
        <w:tab w:val="left" w:pos="1418"/>
      </w:tabs>
      <w:spacing w:line="360" w:lineRule="auto"/>
      <w:jc w:val="center"/>
    </w:pPr>
    <w:rPr>
      <w:rFonts w:ascii="仿宋_GB2312" w:eastAsia="仿宋_GB2312"/>
      <w:spacing w:val="-20"/>
      <w:kern w:val="0"/>
      <w:sz w:val="24"/>
      <w:szCs w:val="24"/>
    </w:rPr>
  </w:style>
  <w:style w:type="paragraph" w:customStyle="1" w:styleId="346">
    <w:name w:val="Char Char1 Char Char Char Char Char Char"/>
    <w:basedOn w:val="1"/>
    <w:autoRedefine/>
    <w:qFormat/>
    <w:uiPriority w:val="99"/>
    <w:rPr>
      <w:sz w:val="36"/>
      <w:szCs w:val="24"/>
    </w:rPr>
  </w:style>
  <w:style w:type="paragraph" w:customStyle="1" w:styleId="347">
    <w:name w:val="Char3 Char Char Char"/>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348">
    <w:name w:val="A正文小四"/>
    <w:basedOn w:val="1"/>
    <w:autoRedefine/>
    <w:qFormat/>
    <w:uiPriority w:val="99"/>
    <w:pPr>
      <w:spacing w:line="360" w:lineRule="auto"/>
      <w:ind w:firstLine="200" w:firstLineChars="200"/>
    </w:pPr>
    <w:rPr>
      <w:sz w:val="24"/>
      <w:szCs w:val="24"/>
    </w:rPr>
  </w:style>
  <w:style w:type="paragraph" w:customStyle="1" w:styleId="349">
    <w:name w:val="样式 标题 1 + 五号1 Char Char Char Char Char Char Char Char Char Char Char Char Char Char Char Char Char"/>
    <w:basedOn w:val="2"/>
    <w:autoRedefine/>
    <w:qFormat/>
    <w:uiPriority w:val="99"/>
    <w:pPr>
      <w:keepNext/>
      <w:keepLines/>
      <w:autoSpaceDE/>
      <w:autoSpaceDN/>
      <w:adjustRightInd/>
      <w:spacing w:line="480" w:lineRule="auto"/>
      <w:jc w:val="both"/>
    </w:pPr>
    <w:rPr>
      <w:rFonts w:eastAsia="宋体"/>
      <w:kern w:val="44"/>
      <w:sz w:val="21"/>
      <w:szCs w:val="44"/>
    </w:rPr>
  </w:style>
  <w:style w:type="paragraph" w:customStyle="1" w:styleId="350">
    <w:name w:val="无间隔11"/>
    <w:autoRedefine/>
    <w:qFormat/>
    <w:uiPriority w:val="99"/>
    <w:pPr>
      <w:widowControl w:val="0"/>
      <w:jc w:val="both"/>
    </w:pPr>
    <w:rPr>
      <w:rFonts w:ascii="Times New Roman" w:hAnsi="Times New Roman" w:eastAsia="宋体" w:cs="Times New Roman"/>
      <w:kern w:val="2"/>
      <w:sz w:val="24"/>
      <w:szCs w:val="24"/>
      <w:lang w:val="en-US" w:eastAsia="zh-CN" w:bidi="ar-SA"/>
    </w:rPr>
  </w:style>
  <w:style w:type="paragraph" w:customStyle="1" w:styleId="351">
    <w:name w:val="标准标题1"/>
    <w:basedOn w:val="2"/>
    <w:autoRedefine/>
    <w:qFormat/>
    <w:uiPriority w:val="99"/>
    <w:pPr>
      <w:keepNext/>
      <w:keepLines/>
      <w:pageBreakBefore/>
      <w:tabs>
        <w:tab w:val="left" w:pos="1080"/>
      </w:tabs>
      <w:autoSpaceDE/>
      <w:autoSpaceDN/>
      <w:adjustRightInd/>
      <w:spacing w:before="340" w:after="330" w:line="578" w:lineRule="auto"/>
      <w:ind w:left="425" w:hanging="425"/>
      <w:jc w:val="both"/>
    </w:pPr>
    <w:rPr>
      <w:rFonts w:eastAsia="仿宋_GB2312"/>
      <w:kern w:val="44"/>
      <w:sz w:val="32"/>
      <w:szCs w:val="44"/>
    </w:rPr>
  </w:style>
  <w:style w:type="paragraph" w:customStyle="1" w:styleId="352">
    <w:name w:val="msolistparagraph"/>
    <w:basedOn w:val="1"/>
    <w:autoRedefine/>
    <w:qFormat/>
    <w:uiPriority w:val="99"/>
    <w:pPr>
      <w:ind w:firstLine="420" w:firstLineChars="200"/>
    </w:pPr>
  </w:style>
  <w:style w:type="paragraph" w:customStyle="1" w:styleId="353">
    <w:name w:val="paracharcharcharcharcharcharcharcharchar1charcharcharchar"/>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354">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样式 标题 4Chapter X.X.X.X. + 段后: 0.5 行1"/>
    <w:basedOn w:val="334"/>
    <w:autoRedefine/>
    <w:qFormat/>
    <w:uiPriority w:val="99"/>
    <w:pPr>
      <w:numPr>
        <w:numId w:val="0"/>
      </w:numPr>
      <w:tabs>
        <w:tab w:val="left" w:pos="864"/>
      </w:tabs>
      <w:ind w:left="864" w:hanging="864"/>
    </w:pPr>
  </w:style>
  <w:style w:type="paragraph" w:customStyle="1" w:styleId="356">
    <w:name w:val="样式 左侧:  1 厘米 段后: 0.5 行"/>
    <w:basedOn w:val="1"/>
    <w:autoRedefine/>
    <w:qFormat/>
    <w:uiPriority w:val="99"/>
    <w:pPr>
      <w:spacing w:afterLines="50"/>
      <w:ind w:firstLine="425"/>
      <w:jc w:val="left"/>
    </w:pPr>
    <w:rPr>
      <w:rFonts w:ascii="宋体" w:cs="宋体"/>
      <w:kern w:val="0"/>
      <w:szCs w:val="20"/>
    </w:rPr>
  </w:style>
  <w:style w:type="paragraph" w:customStyle="1" w:styleId="357">
    <w:name w:val="样式 标题 4"/>
    <w:basedOn w:val="355"/>
    <w:next w:val="358"/>
    <w:autoRedefine/>
    <w:qFormat/>
    <w:uiPriority w:val="99"/>
    <w:pPr>
      <w:numPr>
        <w:ilvl w:val="0"/>
      </w:numPr>
      <w:tabs>
        <w:tab w:val="left" w:pos="2100"/>
        <w:tab w:val="clear" w:pos="864"/>
      </w:tabs>
      <w:ind w:left="2100" w:hanging="420"/>
    </w:pPr>
  </w:style>
  <w:style w:type="paragraph" w:customStyle="1" w:styleId="358">
    <w:name w:val="样式 正文"/>
    <w:basedOn w:val="1"/>
    <w:next w:val="1"/>
    <w:autoRedefine/>
    <w:qFormat/>
    <w:uiPriority w:val="99"/>
    <w:pPr>
      <w:numPr>
        <w:ilvl w:val="2"/>
        <w:numId w:val="2"/>
      </w:numPr>
      <w:spacing w:afterLines="50"/>
      <w:jc w:val="left"/>
    </w:pPr>
    <w:rPr>
      <w:rFonts w:ascii="宋体" w:cs="宋体"/>
      <w:kern w:val="0"/>
      <w:szCs w:val="20"/>
    </w:rPr>
  </w:style>
  <w:style w:type="paragraph" w:customStyle="1" w:styleId="359">
    <w:name w:val="最新标题4"/>
    <w:basedOn w:val="357"/>
    <w:next w:val="1"/>
    <w:autoRedefine/>
    <w:qFormat/>
    <w:uiPriority w:val="99"/>
    <w:pPr>
      <w:tabs>
        <w:tab w:val="clear" w:pos="2100"/>
      </w:tabs>
      <w:ind w:left="0" w:firstLine="0"/>
    </w:pPr>
  </w:style>
  <w:style w:type="paragraph" w:customStyle="1" w:styleId="360">
    <w:name w:val="CM12"/>
    <w:basedOn w:val="72"/>
    <w:next w:val="72"/>
    <w:autoRedefine/>
    <w:qFormat/>
    <w:uiPriority w:val="99"/>
    <w:pPr>
      <w:spacing w:line="468" w:lineRule="atLeast"/>
    </w:pPr>
    <w:rPr>
      <w:rFonts w:ascii="宋体" w:eastAsia="宋体" w:cs="Times New Roman"/>
      <w:color w:val="auto"/>
    </w:rPr>
  </w:style>
  <w:style w:type="paragraph" w:customStyle="1" w:styleId="361">
    <w:name w:val="样式 样式 样式 标题 3Chapter X.X.X. + 段后: 0.5 行 + 段后: 0.5 行 + 段后: 0.5 行"/>
    <w:basedOn w:val="303"/>
    <w:autoRedefine/>
    <w:qFormat/>
    <w:uiPriority w:val="99"/>
    <w:pPr>
      <w:spacing w:afterLines="0"/>
    </w:pPr>
  </w:style>
  <w:style w:type="paragraph" w:customStyle="1" w:styleId="362">
    <w:name w:val="默认段落字体 Para Char Char Char Char Char Char Char Char Char1 Char Char Char Char"/>
    <w:basedOn w:val="1"/>
    <w:autoRedefine/>
    <w:qFormat/>
    <w:uiPriority w:val="99"/>
    <w:rPr>
      <w:rFonts w:ascii="Tahoma" w:hAnsi="Tahoma"/>
      <w:sz w:val="24"/>
      <w:szCs w:val="20"/>
    </w:rPr>
  </w:style>
  <w:style w:type="paragraph" w:customStyle="1" w:styleId="363">
    <w:name w:val="样式 标题 2Chapter X.X. Statementh22Header 2l2Level 2 Headhea...1"/>
    <w:basedOn w:val="4"/>
    <w:autoRedefine/>
    <w:qFormat/>
    <w:uiPriority w:val="99"/>
    <w:pPr>
      <w:keepLines w:val="0"/>
      <w:spacing w:before="120" w:afterLines="50" w:line="240" w:lineRule="auto"/>
      <w:jc w:val="left"/>
    </w:pPr>
    <w:rPr>
      <w:rFonts w:ascii="宋体" w:cs="宋体"/>
      <w:kern w:val="0"/>
      <w:sz w:val="24"/>
      <w:szCs w:val="20"/>
    </w:rPr>
  </w:style>
  <w:style w:type="paragraph" w:customStyle="1" w:styleId="364">
    <w:name w:val="f656565_12"/>
    <w:basedOn w:val="1"/>
    <w:autoRedefine/>
    <w:qFormat/>
    <w:uiPriority w:val="99"/>
    <w:pPr>
      <w:widowControl/>
      <w:spacing w:before="100" w:beforeAutospacing="1" w:after="100" w:afterAutospacing="1" w:line="300" w:lineRule="atLeast"/>
      <w:jc w:val="left"/>
    </w:pPr>
    <w:rPr>
      <w:rFonts w:ascii="Arial" w:hAnsi="Arial" w:cs="Arial"/>
      <w:color w:val="656565"/>
      <w:kern w:val="0"/>
      <w:sz w:val="17"/>
      <w:szCs w:val="17"/>
    </w:rPr>
  </w:style>
  <w:style w:type="paragraph" w:customStyle="1" w:styleId="365">
    <w:name w:val="Char1 Char Char Char"/>
    <w:basedOn w:val="1"/>
    <w:autoRedefine/>
    <w:qFormat/>
    <w:uiPriority w:val="99"/>
    <w:rPr>
      <w:rFonts w:ascii="Tahoma" w:hAnsi="Tahoma"/>
      <w:sz w:val="24"/>
      <w:szCs w:val="20"/>
    </w:rPr>
  </w:style>
  <w:style w:type="paragraph" w:customStyle="1" w:styleId="366">
    <w:name w:val="缺省文本"/>
    <w:basedOn w:val="1"/>
    <w:autoRedefine/>
    <w:qFormat/>
    <w:uiPriority w:val="99"/>
    <w:pPr>
      <w:autoSpaceDE w:val="0"/>
      <w:autoSpaceDN w:val="0"/>
      <w:adjustRightInd w:val="0"/>
      <w:jc w:val="left"/>
    </w:pPr>
    <w:rPr>
      <w:kern w:val="0"/>
      <w:sz w:val="24"/>
      <w:szCs w:val="20"/>
    </w:rPr>
  </w:style>
  <w:style w:type="paragraph" w:customStyle="1" w:styleId="367">
    <w:name w:val="Char1"/>
    <w:basedOn w:val="1"/>
    <w:autoRedefine/>
    <w:qFormat/>
    <w:uiPriority w:val="99"/>
    <w:pPr>
      <w:spacing w:beforeLines="20" w:afterLines="20"/>
    </w:pPr>
    <w:rPr>
      <w:rFonts w:ascii="楷体_GB2312" w:hAnsi="宋体" w:eastAsia="楷体_GB2312" w:cs="Arial"/>
      <w:kern w:val="0"/>
      <w:sz w:val="24"/>
      <w:szCs w:val="24"/>
    </w:rPr>
  </w:style>
  <w:style w:type="paragraph" w:customStyle="1" w:styleId="368">
    <w:name w:val="正文文本 New New"/>
    <w:basedOn w:val="369"/>
    <w:autoRedefine/>
    <w:qFormat/>
    <w:uiPriority w:val="99"/>
    <w:pPr>
      <w:spacing w:after="120"/>
    </w:pPr>
    <w:rPr>
      <w:sz w:val="28"/>
      <w:szCs w:val="24"/>
    </w:rPr>
  </w:style>
  <w:style w:type="paragraph" w:customStyle="1" w:styleId="369">
    <w:name w:val="正文 New New New New New New"/>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370">
    <w:name w:val="段(正文）"/>
    <w:autoRedefine/>
    <w:qFormat/>
    <w:uiPriority w:val="99"/>
    <w:pPr>
      <w:autoSpaceDE w:val="0"/>
      <w:autoSpaceDN w:val="0"/>
      <w:ind w:firstLine="420"/>
      <w:jc w:val="both"/>
    </w:pPr>
    <w:rPr>
      <w:rFonts w:ascii="宋体" w:hAnsi="Times New Roman" w:eastAsia="宋体" w:cs="Times New Roman"/>
      <w:sz w:val="21"/>
      <w:lang w:val="en-US" w:eastAsia="zh-CN" w:bidi="ar-SA"/>
    </w:rPr>
  </w:style>
  <w:style w:type="paragraph" w:customStyle="1" w:styleId="371">
    <w:name w:val="文档正文"/>
    <w:basedOn w:val="1"/>
    <w:autoRedefine/>
    <w:qFormat/>
    <w:uiPriority w:val="99"/>
    <w:pPr>
      <w:adjustRightInd w:val="0"/>
      <w:spacing w:line="440" w:lineRule="exact"/>
      <w:ind w:firstLine="567"/>
      <w:textAlignment w:val="baseline"/>
    </w:pPr>
    <w:rPr>
      <w:rFonts w:ascii="Arial Narrow" w:hAnsi="Arial Narrow"/>
      <w:kern w:val="0"/>
      <w:sz w:val="24"/>
      <w:szCs w:val="24"/>
    </w:rPr>
  </w:style>
  <w:style w:type="paragraph" w:customStyle="1" w:styleId="372">
    <w:name w:val="aa"/>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customStyle="1" w:styleId="373">
    <w:name w:val="标题6"/>
    <w:basedOn w:val="1"/>
    <w:next w:val="2"/>
    <w:autoRedefine/>
    <w:qFormat/>
    <w:uiPriority w:val="99"/>
    <w:pPr>
      <w:widowControl/>
      <w:snapToGrid w:val="0"/>
      <w:spacing w:beforeLines="50" w:afterLines="50" w:line="520" w:lineRule="atLeast"/>
      <w:ind w:firstLine="200" w:firstLineChars="200"/>
    </w:pPr>
    <w:rPr>
      <w:rFonts w:cs="Arial"/>
      <w:b/>
      <w:sz w:val="24"/>
      <w:szCs w:val="24"/>
    </w:rPr>
  </w:style>
  <w:style w:type="paragraph" w:customStyle="1" w:styleId="374">
    <w:name w:val="正文段"/>
    <w:basedOn w:val="1"/>
    <w:autoRedefine/>
    <w:qFormat/>
    <w:uiPriority w:val="99"/>
    <w:pPr>
      <w:widowControl/>
      <w:snapToGrid w:val="0"/>
      <w:spacing w:afterLines="50"/>
      <w:ind w:firstLine="200" w:firstLineChars="200"/>
    </w:pPr>
    <w:rPr>
      <w:kern w:val="0"/>
      <w:sz w:val="24"/>
      <w:szCs w:val="20"/>
    </w:rPr>
  </w:style>
  <w:style w:type="paragraph" w:customStyle="1" w:styleId="375">
    <w:name w:val="无间隔2"/>
    <w:autoRedefine/>
    <w:qFormat/>
    <w:uiPriority w:val="99"/>
    <w:rPr>
      <w:rFonts w:ascii="Times New Roman" w:hAnsi="Times New Roman" w:eastAsia="宋体" w:cs="Times New Roman"/>
      <w:kern w:val="2"/>
      <w:sz w:val="22"/>
      <w:szCs w:val="22"/>
      <w:lang w:val="en-US" w:eastAsia="zh-CN" w:bidi="ar-SA"/>
    </w:rPr>
  </w:style>
  <w:style w:type="paragraph" w:customStyle="1" w:styleId="376">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77">
    <w:name w:val="Char"/>
    <w:basedOn w:val="1"/>
    <w:autoRedefine/>
    <w:qFormat/>
    <w:uiPriority w:val="99"/>
    <w:rPr>
      <w:rFonts w:ascii="仿宋_GB2312" w:eastAsia="仿宋_GB2312"/>
      <w:b/>
      <w:sz w:val="32"/>
      <w:szCs w:val="32"/>
    </w:rPr>
  </w:style>
  <w:style w:type="paragraph" w:customStyle="1" w:styleId="378">
    <w:name w:val="flType"/>
    <w:basedOn w:val="1"/>
    <w:autoRedefine/>
    <w:qFormat/>
    <w:uiPriority w:val="99"/>
    <w:pPr>
      <w:adjustRightInd w:val="0"/>
      <w:spacing w:before="560" w:after="120" w:line="360" w:lineRule="atLeast"/>
      <w:jc w:val="center"/>
      <w:textAlignment w:val="baseline"/>
    </w:pPr>
    <w:rPr>
      <w:rFonts w:ascii="Arial" w:eastAsia="黑体"/>
      <w:kern w:val="0"/>
      <w:sz w:val="28"/>
      <w:szCs w:val="20"/>
    </w:rPr>
  </w:style>
  <w:style w:type="paragraph" w:customStyle="1" w:styleId="379">
    <w:name w:val="小四正文"/>
    <w:basedOn w:val="1"/>
    <w:autoRedefine/>
    <w:qFormat/>
    <w:uiPriority w:val="99"/>
    <w:pPr>
      <w:spacing w:line="360" w:lineRule="auto"/>
      <w:ind w:firstLine="200" w:firstLineChars="200"/>
    </w:pPr>
    <w:rPr>
      <w:rFonts w:eastAsia="仿宋_GB2312" w:cs="宋体"/>
      <w:sz w:val="24"/>
      <w:szCs w:val="24"/>
    </w:rPr>
  </w:style>
  <w:style w:type="paragraph" w:customStyle="1" w:styleId="380">
    <w:name w:val="Char Char1 Char"/>
    <w:basedOn w:val="1"/>
    <w:autoRedefine/>
    <w:qFormat/>
    <w:uiPriority w:val="99"/>
    <w:rPr>
      <w:rFonts w:ascii="仿宋_GB2312" w:eastAsia="仿宋_GB2312"/>
      <w:b/>
      <w:sz w:val="32"/>
      <w:szCs w:val="32"/>
    </w:rPr>
  </w:style>
  <w:style w:type="paragraph" w:customStyle="1" w:styleId="381">
    <w:name w:val="普通 (Web)"/>
    <w:basedOn w:val="1"/>
    <w:autoRedefine/>
    <w:qFormat/>
    <w:uiPriority w:val="99"/>
    <w:pPr>
      <w:widowControl/>
      <w:spacing w:before="100" w:beforeAutospacing="1" w:after="100" w:afterAutospacing="1"/>
      <w:jc w:val="left"/>
    </w:pPr>
    <w:rPr>
      <w:rFonts w:ascii="宋体" w:hAnsi="宋体"/>
      <w:kern w:val="0"/>
      <w:sz w:val="24"/>
      <w:szCs w:val="20"/>
    </w:rPr>
  </w:style>
  <w:style w:type="paragraph" w:customStyle="1" w:styleId="382">
    <w:name w:val="公司名"/>
    <w:basedOn w:val="1"/>
    <w:next w:val="1"/>
    <w:autoRedefine/>
    <w:qFormat/>
    <w:uiPriority w:val="99"/>
    <w:pPr>
      <w:widowControl/>
      <w:spacing w:before="420" w:after="60" w:line="320" w:lineRule="exact"/>
      <w:jc w:val="left"/>
    </w:pPr>
    <w:rPr>
      <w:rFonts w:ascii="Garamond" w:hAnsi="Garamond"/>
      <w:caps/>
      <w:kern w:val="36"/>
      <w:sz w:val="38"/>
      <w:szCs w:val="20"/>
      <w:lang w:bidi="he-IL"/>
    </w:rPr>
  </w:style>
  <w:style w:type="paragraph" w:customStyle="1" w:styleId="383">
    <w:name w:val="Char Char11"/>
    <w:basedOn w:val="1"/>
    <w:autoRedefine/>
    <w:qFormat/>
    <w:uiPriority w:val="99"/>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84">
    <w:name w:val="标题 3 （加黑）"/>
    <w:basedOn w:val="4"/>
    <w:autoRedefine/>
    <w:qFormat/>
    <w:uiPriority w:val="99"/>
    <w:pPr>
      <w:keepNext w:val="0"/>
      <w:spacing w:before="120" w:after="120" w:line="413" w:lineRule="auto"/>
      <w:ind w:left="354" w:hanging="354" w:hangingChars="150"/>
    </w:pPr>
    <w:rPr>
      <w:rFonts w:ascii="Times New Roman" w:hAnsi="Times New Roman"/>
      <w:bCs w:val="0"/>
      <w:sz w:val="24"/>
      <w:szCs w:val="20"/>
    </w:rPr>
  </w:style>
  <w:style w:type="paragraph" w:customStyle="1" w:styleId="385">
    <w:name w:val="样式 标题 3"/>
    <w:basedOn w:val="4"/>
    <w:next w:val="359"/>
    <w:autoRedefine/>
    <w:qFormat/>
    <w:uiPriority w:val="99"/>
    <w:pPr>
      <w:keepLines w:val="0"/>
      <w:spacing w:before="120" w:afterLines="50" w:line="240" w:lineRule="auto"/>
      <w:jc w:val="left"/>
    </w:pPr>
    <w:rPr>
      <w:rFonts w:ascii="宋体" w:cs="宋体"/>
      <w:kern w:val="0"/>
      <w:sz w:val="24"/>
      <w:szCs w:val="20"/>
    </w:rPr>
  </w:style>
  <w:style w:type="paragraph" w:customStyle="1" w:styleId="386">
    <w:name w:val="Bullet"/>
    <w:basedOn w:val="1"/>
    <w:autoRedefine/>
    <w:qFormat/>
    <w:uiPriority w:val="99"/>
    <w:pPr>
      <w:widowControl/>
      <w:tabs>
        <w:tab w:val="left" w:pos="720"/>
        <w:tab w:val="left" w:pos="964"/>
      </w:tabs>
      <w:spacing w:before="120" w:afterLines="50"/>
      <w:ind w:left="720" w:right="360" w:hanging="482"/>
    </w:pPr>
    <w:rPr>
      <w:rFonts w:ascii="宋体"/>
      <w:kern w:val="0"/>
      <w:szCs w:val="20"/>
    </w:rPr>
  </w:style>
  <w:style w:type="paragraph" w:customStyle="1" w:styleId="387">
    <w:name w:val="文档正文 Char"/>
    <w:basedOn w:val="1"/>
    <w:autoRedefine/>
    <w:qFormat/>
    <w:uiPriority w:val="99"/>
    <w:pPr>
      <w:adjustRightInd w:val="0"/>
      <w:spacing w:line="500" w:lineRule="atLeast"/>
      <w:ind w:firstLine="567"/>
    </w:pPr>
    <w:rPr>
      <w:rFonts w:ascii="仿宋_GB2312" w:eastAsia="仿宋_GB2312"/>
      <w:sz w:val="28"/>
      <w:szCs w:val="24"/>
    </w:rPr>
  </w:style>
  <w:style w:type="paragraph" w:customStyle="1" w:styleId="388">
    <w:name w:val="Char Char1 Char Char Char Char Char Char Char Char Char Char Char Char Char Char"/>
    <w:basedOn w:val="1"/>
    <w:autoRedefine/>
    <w:qFormat/>
    <w:uiPriority w:val="99"/>
    <w:pPr>
      <w:widowControl/>
      <w:spacing w:after="160" w:line="240" w:lineRule="exact"/>
      <w:jc w:val="left"/>
    </w:pPr>
    <w:rPr>
      <w:szCs w:val="20"/>
    </w:rPr>
  </w:style>
  <w:style w:type="paragraph" w:customStyle="1" w:styleId="389">
    <w:name w:val="样式 三号 加粗 段后: 0.5 行"/>
    <w:basedOn w:val="1"/>
    <w:autoRedefine/>
    <w:qFormat/>
    <w:uiPriority w:val="99"/>
    <w:pPr>
      <w:spacing w:afterLines="50"/>
      <w:jc w:val="left"/>
    </w:pPr>
    <w:rPr>
      <w:rFonts w:ascii="宋体" w:cs="宋体"/>
      <w:b/>
      <w:bCs/>
      <w:kern w:val="0"/>
      <w:sz w:val="32"/>
      <w:szCs w:val="20"/>
    </w:rPr>
  </w:style>
  <w:style w:type="paragraph" w:customStyle="1" w:styleId="390">
    <w:name w:val="样式6"/>
    <w:basedOn w:val="1"/>
    <w:autoRedefine/>
    <w:qFormat/>
    <w:uiPriority w:val="99"/>
    <w:pPr>
      <w:adjustRightInd w:val="0"/>
      <w:spacing w:beforeLines="50" w:afterLines="50"/>
      <w:ind w:firstLine="669"/>
      <w:textAlignment w:val="baseline"/>
    </w:pPr>
    <w:rPr>
      <w:rFonts w:ascii="宋体" w:hAnsi="宋体"/>
      <w:kern w:val="0"/>
      <w:sz w:val="28"/>
      <w:szCs w:val="20"/>
    </w:rPr>
  </w:style>
  <w:style w:type="paragraph" w:customStyle="1" w:styleId="391">
    <w:name w:val="样式 小四 行距: 1.5 倍行距 首行缩进:  2.25 字符"/>
    <w:basedOn w:val="1"/>
    <w:autoRedefine/>
    <w:qFormat/>
    <w:uiPriority w:val="99"/>
    <w:pPr>
      <w:tabs>
        <w:tab w:val="left" w:pos="360"/>
        <w:tab w:val="left" w:pos="704"/>
      </w:tabs>
      <w:spacing w:line="360" w:lineRule="auto"/>
    </w:pPr>
    <w:rPr>
      <w:rFonts w:ascii="宋体" w:hAnsi="宋体"/>
      <w:spacing w:val="-8"/>
      <w:sz w:val="24"/>
      <w:szCs w:val="20"/>
    </w:rPr>
  </w:style>
  <w:style w:type="paragraph" w:customStyle="1" w:styleId="392">
    <w:name w:val="S4-L15-C"/>
    <w:basedOn w:val="1"/>
    <w:autoRedefine/>
    <w:qFormat/>
    <w:uiPriority w:val="99"/>
    <w:pPr>
      <w:spacing w:after="120" w:line="360" w:lineRule="auto"/>
      <w:jc w:val="center"/>
    </w:pPr>
    <w:rPr>
      <w:szCs w:val="21"/>
    </w:rPr>
  </w:style>
  <w:style w:type="paragraph" w:customStyle="1" w:styleId="393">
    <w:name w:val="正文1"/>
    <w:basedOn w:val="18"/>
    <w:next w:val="1"/>
    <w:autoRedefine/>
    <w:qFormat/>
    <w:uiPriority w:val="99"/>
    <w:pPr>
      <w:shd w:val="clear" w:color="auto" w:fill="000080"/>
    </w:pPr>
    <w:rPr>
      <w:rFonts w:ascii="Tahoma" w:hAnsi="Tahoma" w:cs="Tahoma"/>
      <w:kern w:val="0"/>
      <w:szCs w:val="24"/>
    </w:rPr>
  </w:style>
  <w:style w:type="paragraph" w:customStyle="1" w:styleId="394">
    <w:name w:val="Figure Description"/>
    <w:next w:val="1"/>
    <w:autoRedefine/>
    <w:qFormat/>
    <w:uiPriority w:val="99"/>
    <w:pPr>
      <w:numPr>
        <w:ilvl w:val="4"/>
        <w:numId w:val="10"/>
      </w:numPr>
      <w:tabs>
        <w:tab w:val="clear" w:pos="2040"/>
      </w:tabs>
      <w:snapToGrid w:val="0"/>
      <w:spacing w:before="80" w:after="320"/>
      <w:ind w:left="1701" w:firstLine="0"/>
      <w:jc w:val="center"/>
    </w:pPr>
    <w:rPr>
      <w:rFonts w:ascii="Arial" w:hAnsi="Arial" w:eastAsia="黑体" w:cs="Times New Roman"/>
      <w:sz w:val="18"/>
      <w:lang w:val="en-US" w:eastAsia="en-US" w:bidi="ar-SA"/>
    </w:rPr>
  </w:style>
  <w:style w:type="paragraph" w:customStyle="1" w:styleId="395">
    <w:name w:val="xl28"/>
    <w:basedOn w:val="1"/>
    <w:autoRedefine/>
    <w:qFormat/>
    <w:uiPriority w:val="99"/>
    <w:pPr>
      <w:widowControl/>
      <w:spacing w:before="100" w:beforeAutospacing="1" w:after="100" w:afterAutospacing="1"/>
      <w:jc w:val="center"/>
    </w:pPr>
    <w:rPr>
      <w:rFonts w:ascii="Arial Unicode MS" w:hAnsi="Arial Unicode MS"/>
      <w:kern w:val="0"/>
      <w:sz w:val="24"/>
      <w:szCs w:val="24"/>
    </w:rPr>
  </w:style>
  <w:style w:type="paragraph" w:customStyle="1" w:styleId="396">
    <w:name w:val="正文缩进1"/>
    <w:basedOn w:val="1"/>
    <w:next w:val="23"/>
    <w:autoRedefine/>
    <w:qFormat/>
    <w:uiPriority w:val="99"/>
    <w:pPr>
      <w:autoSpaceDE w:val="0"/>
      <w:autoSpaceDN w:val="0"/>
      <w:adjustRightInd w:val="0"/>
      <w:spacing w:after="180" w:line="310" w:lineRule="auto"/>
      <w:ind w:firstLine="420"/>
      <w:jc w:val="left"/>
    </w:pPr>
    <w:rPr>
      <w:kern w:val="0"/>
      <w:sz w:val="20"/>
      <w:szCs w:val="20"/>
    </w:rPr>
  </w:style>
  <w:style w:type="paragraph" w:customStyle="1" w:styleId="397">
    <w:name w:val="huide00"/>
    <w:basedOn w:val="1"/>
    <w:autoRedefine/>
    <w:qFormat/>
    <w:uiPriority w:val="99"/>
    <w:pPr>
      <w:widowControl/>
      <w:spacing w:before="100" w:beforeAutospacing="1" w:after="100" w:afterAutospacing="1"/>
      <w:jc w:val="left"/>
    </w:pPr>
    <w:rPr>
      <w:rFonts w:ascii="Arial" w:hAnsi="Arial" w:cs="Arial"/>
      <w:color w:val="666666"/>
      <w:kern w:val="0"/>
      <w:sz w:val="18"/>
      <w:szCs w:val="18"/>
    </w:rPr>
  </w:style>
  <w:style w:type="paragraph" w:customStyle="1" w:styleId="398">
    <w:name w:val="段落文字"/>
    <w:basedOn w:val="54"/>
    <w:autoRedefine/>
    <w:qFormat/>
    <w:uiPriority w:val="99"/>
    <w:pPr>
      <w:spacing w:after="60"/>
      <w:ind w:left="420" w:firstLine="200" w:firstLineChars="200"/>
    </w:pPr>
    <w:rPr>
      <w:rFonts w:ascii="Times New Roman" w:hAnsi="Times New Roman"/>
    </w:rPr>
  </w:style>
  <w:style w:type="paragraph" w:customStyle="1" w:styleId="399">
    <w:name w:val="S4-B-L15"/>
    <w:basedOn w:val="1"/>
    <w:autoRedefine/>
    <w:qFormat/>
    <w:uiPriority w:val="99"/>
    <w:pPr>
      <w:spacing w:line="360" w:lineRule="auto"/>
    </w:pPr>
    <w:rPr>
      <w:b/>
      <w:bCs/>
      <w:sz w:val="24"/>
      <w:szCs w:val="24"/>
    </w:rPr>
  </w:style>
  <w:style w:type="paragraph" w:customStyle="1" w:styleId="400">
    <w:name w:val="批注主题1"/>
    <w:basedOn w:val="19"/>
    <w:next w:val="19"/>
    <w:autoRedefine/>
    <w:qFormat/>
    <w:uiPriority w:val="99"/>
    <w:rPr>
      <w:b/>
      <w:bCs/>
      <w:kern w:val="0"/>
      <w:sz w:val="20"/>
      <w:szCs w:val="20"/>
    </w:rPr>
  </w:style>
  <w:style w:type="paragraph" w:customStyle="1" w:styleId="401">
    <w:name w:val="Table Description"/>
    <w:next w:val="1"/>
    <w:autoRedefine/>
    <w:qFormat/>
    <w:uiPriority w:val="99"/>
    <w:pPr>
      <w:keepNext/>
      <w:snapToGrid w:val="0"/>
      <w:spacing w:before="160" w:after="80"/>
      <w:ind w:left="1701"/>
      <w:jc w:val="center"/>
    </w:pPr>
    <w:rPr>
      <w:rFonts w:ascii="Arial" w:hAnsi="Arial" w:eastAsia="黑体" w:cs="Times New Roman"/>
      <w:sz w:val="18"/>
      <w:lang w:val="en-US" w:eastAsia="en-US" w:bidi="ar-SA"/>
    </w:rPr>
  </w:style>
  <w:style w:type="paragraph" w:customStyle="1" w:styleId="402">
    <w:name w:val="样式 标题1"/>
    <w:basedOn w:val="403"/>
    <w:next w:val="404"/>
    <w:autoRedefine/>
    <w:qFormat/>
    <w:uiPriority w:val="99"/>
    <w:pPr>
      <w:tabs>
        <w:tab w:val="left" w:pos="1140"/>
      </w:tabs>
      <w:ind w:left="1140" w:hanging="720"/>
    </w:pPr>
    <w:rPr>
      <w:bCs w:val="0"/>
      <w:sz w:val="32"/>
    </w:rPr>
  </w:style>
  <w:style w:type="paragraph" w:customStyle="1" w:styleId="403">
    <w:name w:val="样式 标题 1 + 段后: 0.5 行"/>
    <w:basedOn w:val="2"/>
    <w:autoRedefine/>
    <w:qFormat/>
    <w:uiPriority w:val="99"/>
    <w:pPr>
      <w:keepNext/>
      <w:autoSpaceDE/>
      <w:autoSpaceDN/>
      <w:adjustRightInd/>
      <w:spacing w:before="120" w:afterLines="50" w:line="240" w:lineRule="auto"/>
      <w:jc w:val="left"/>
    </w:pPr>
    <w:rPr>
      <w:rFonts w:ascii="宋体" w:eastAsia="宋体" w:cs="宋体"/>
      <w:sz w:val="28"/>
      <w:szCs w:val="20"/>
    </w:rPr>
  </w:style>
  <w:style w:type="paragraph" w:customStyle="1" w:styleId="404">
    <w:name w:val="最新标题2"/>
    <w:basedOn w:val="405"/>
    <w:next w:val="406"/>
    <w:autoRedefine/>
    <w:qFormat/>
    <w:uiPriority w:val="99"/>
  </w:style>
  <w:style w:type="paragraph" w:customStyle="1" w:styleId="405">
    <w:name w:val="样式 标题 2"/>
    <w:basedOn w:val="3"/>
    <w:next w:val="406"/>
    <w:autoRedefine/>
    <w:qFormat/>
    <w:uiPriority w:val="99"/>
    <w:pPr>
      <w:keepLines w:val="0"/>
      <w:spacing w:before="120" w:afterLines="50" w:line="240" w:lineRule="auto"/>
      <w:ind w:left="380" w:hanging="380"/>
      <w:jc w:val="left"/>
    </w:pPr>
    <w:rPr>
      <w:rFonts w:ascii="宋体" w:hAnsi="Times New Roman" w:eastAsia="宋体" w:cs="宋体"/>
      <w:kern w:val="0"/>
      <w:sz w:val="28"/>
      <w:szCs w:val="20"/>
    </w:rPr>
  </w:style>
  <w:style w:type="paragraph" w:customStyle="1" w:styleId="406">
    <w:name w:val="最新标题3"/>
    <w:basedOn w:val="385"/>
    <w:next w:val="359"/>
    <w:autoRedefine/>
    <w:qFormat/>
    <w:uiPriority w:val="99"/>
  </w:style>
  <w:style w:type="paragraph" w:customStyle="1" w:styleId="407">
    <w:name w:val="Char3"/>
    <w:basedOn w:val="1"/>
    <w:autoRedefine/>
    <w:qFormat/>
    <w:uiPriority w:val="99"/>
    <w:rPr>
      <w:rFonts w:ascii="仿宋_GB2312" w:eastAsia="仿宋_GB2312"/>
      <w:b/>
      <w:sz w:val="32"/>
      <w:szCs w:val="20"/>
    </w:rPr>
  </w:style>
  <w:style w:type="paragraph" w:customStyle="1" w:styleId="408">
    <w:name w:val="Char Char Char Char Char Char Char"/>
    <w:basedOn w:val="1"/>
    <w:autoRedefine/>
    <w:qFormat/>
    <w:uiPriority w:val="99"/>
    <w:pPr>
      <w:tabs>
        <w:tab w:val="left" w:pos="432"/>
      </w:tabs>
      <w:ind w:left="432" w:hanging="432"/>
    </w:pPr>
    <w:rPr>
      <w:rFonts w:ascii="Tahoma" w:hAnsi="Tahoma"/>
      <w:sz w:val="24"/>
      <w:szCs w:val="20"/>
    </w:rPr>
  </w:style>
  <w:style w:type="paragraph" w:customStyle="1" w:styleId="409">
    <w:name w:val="正文 1.1.1"/>
    <w:basedOn w:val="1"/>
    <w:next w:val="1"/>
    <w:autoRedefine/>
    <w:qFormat/>
    <w:uiPriority w:val="99"/>
    <w:pPr>
      <w:numPr>
        <w:ilvl w:val="2"/>
        <w:numId w:val="11"/>
      </w:numPr>
      <w:outlineLvl w:val="2"/>
    </w:pPr>
    <w:rPr>
      <w:rFonts w:hAnsi="宋体"/>
      <w:color w:val="FF0000"/>
    </w:rPr>
  </w:style>
  <w:style w:type="paragraph" w:customStyle="1" w:styleId="410">
    <w:name w:val="样式 正文文本缩进 + 仿宋_GB2312 小四 首行缩进:  0 厘米 行距: 1.5 倍行距"/>
    <w:basedOn w:val="23"/>
    <w:autoRedefine/>
    <w:qFormat/>
    <w:uiPriority w:val="99"/>
    <w:pPr>
      <w:spacing w:line="360" w:lineRule="auto"/>
      <w:ind w:firstLine="0"/>
    </w:pPr>
    <w:rPr>
      <w:rFonts w:ascii="仿宋_GB2312" w:hAnsi="Times New Roman" w:eastAsia="新宋体"/>
      <w:spacing w:val="0"/>
      <w:sz w:val="24"/>
    </w:rPr>
  </w:style>
  <w:style w:type="paragraph" w:customStyle="1" w:styleId="411">
    <w:name w:val="样式 标题 2Chapter X.X. Statementh22Header 2l2Level 2 Headhea..."/>
    <w:basedOn w:val="3"/>
    <w:autoRedefine/>
    <w:qFormat/>
    <w:uiPriority w:val="99"/>
    <w:pPr>
      <w:keepLines w:val="0"/>
      <w:spacing w:before="120" w:afterLines="50" w:line="240" w:lineRule="auto"/>
      <w:jc w:val="left"/>
    </w:pPr>
    <w:rPr>
      <w:rFonts w:ascii="宋体" w:hAnsi="Times New Roman" w:eastAsia="宋体" w:cs="宋体"/>
      <w:kern w:val="0"/>
      <w:sz w:val="24"/>
      <w:szCs w:val="24"/>
    </w:rPr>
  </w:style>
  <w:style w:type="paragraph" w:customStyle="1" w:styleId="412">
    <w:name w:val="样式"/>
    <w:basedOn w:val="1"/>
    <w:autoRedefine/>
    <w:qFormat/>
    <w:uiPriority w:val="99"/>
    <w:pPr>
      <w:autoSpaceDE w:val="0"/>
      <w:autoSpaceDN w:val="0"/>
      <w:snapToGrid w:val="0"/>
      <w:spacing w:before="120" w:after="120" w:line="360" w:lineRule="auto"/>
      <w:jc w:val="left"/>
    </w:pPr>
    <w:rPr>
      <w:rFonts w:ascii="宋体" w:hAnsi="宋体" w:eastAsia="仿宋_GB2312" w:cs="Arial"/>
      <w:sz w:val="24"/>
      <w:szCs w:val="20"/>
    </w:rPr>
  </w:style>
  <w:style w:type="paragraph" w:customStyle="1" w:styleId="413">
    <w:name w:val="Char Char Char Char"/>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414">
    <w:name w:val="IBM 正文"/>
    <w:basedOn w:val="1"/>
    <w:autoRedefine/>
    <w:qFormat/>
    <w:uiPriority w:val="99"/>
    <w:pPr>
      <w:spacing w:line="360" w:lineRule="atLeast"/>
    </w:pPr>
    <w:rPr>
      <w:sz w:val="24"/>
      <w:szCs w:val="20"/>
    </w:rPr>
  </w:style>
  <w:style w:type="paragraph" w:customStyle="1" w:styleId="415">
    <w:name w:val="正文 1.1"/>
    <w:basedOn w:val="1"/>
    <w:next w:val="409"/>
    <w:autoRedefine/>
    <w:qFormat/>
    <w:uiPriority w:val="99"/>
    <w:pPr>
      <w:numPr>
        <w:ilvl w:val="1"/>
        <w:numId w:val="11"/>
      </w:numPr>
      <w:tabs>
        <w:tab w:val="clear" w:pos="851"/>
      </w:tabs>
      <w:ind w:left="980" w:hanging="980" w:hangingChars="350"/>
      <w:outlineLvl w:val="1"/>
    </w:pPr>
    <w:rPr>
      <w:rFonts w:ascii="仿宋" w:hAnsi="仿宋"/>
      <w:b/>
    </w:rPr>
  </w:style>
  <w:style w:type="paragraph" w:customStyle="1" w:styleId="416">
    <w:name w:val="Char Char Char Char1 Char Char"/>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417">
    <w:name w:val="表格内文"/>
    <w:autoRedefine/>
    <w:qFormat/>
    <w:uiPriority w:val="99"/>
    <w:pPr>
      <w:widowControl w:val="0"/>
      <w:spacing w:line="360" w:lineRule="auto"/>
      <w:jc w:val="both"/>
    </w:pPr>
    <w:rPr>
      <w:rFonts w:ascii="宋体" w:hAnsi="Times New Roman" w:eastAsia="宋体" w:cs="宋体"/>
      <w:color w:val="000000"/>
      <w:kern w:val="2"/>
      <w:sz w:val="21"/>
      <w:lang w:val="en-US" w:eastAsia="zh-CN" w:bidi="ar-SA"/>
    </w:rPr>
  </w:style>
  <w:style w:type="paragraph" w:customStyle="1" w:styleId="418">
    <w:name w:val="表格内容"/>
    <w:basedOn w:val="22"/>
    <w:autoRedefine/>
    <w:qFormat/>
    <w:uiPriority w:val="99"/>
    <w:pPr>
      <w:suppressLineNumbers/>
      <w:suppressAutoHyphens/>
    </w:pPr>
    <w:rPr>
      <w:kern w:val="1"/>
      <w:sz w:val="21"/>
      <w:lang w:eastAsia="ar-SA"/>
    </w:rPr>
  </w:style>
  <w:style w:type="paragraph" w:customStyle="1" w:styleId="419">
    <w:name w:val="浅色列表 - 强调文字颜色 31"/>
    <w:autoRedefine/>
    <w:qFormat/>
    <w:uiPriority w:val="99"/>
    <w:rPr>
      <w:rFonts w:ascii="Times New Roman" w:hAnsi="Times New Roman" w:eastAsia="宋体" w:cs="Times New Roman"/>
      <w:kern w:val="2"/>
      <w:sz w:val="21"/>
      <w:szCs w:val="22"/>
      <w:lang w:val="en-US" w:eastAsia="zh-CN" w:bidi="ar-SA"/>
    </w:rPr>
  </w:style>
  <w:style w:type="paragraph" w:customStyle="1" w:styleId="420">
    <w:name w:val="小四 段落 宋体 Char Char"/>
    <w:basedOn w:val="1"/>
    <w:autoRedefine/>
    <w:qFormat/>
    <w:uiPriority w:val="99"/>
    <w:pPr>
      <w:spacing w:line="360" w:lineRule="auto"/>
      <w:ind w:firstLine="480" w:firstLineChars="200"/>
    </w:pPr>
    <w:rPr>
      <w:rFonts w:ascii="宋体" w:hAnsi="宋体"/>
      <w:sz w:val="24"/>
      <w:szCs w:val="24"/>
    </w:rPr>
  </w:style>
  <w:style w:type="paragraph" w:customStyle="1" w:styleId="421">
    <w:name w:val="Char11"/>
    <w:basedOn w:val="1"/>
    <w:autoRedefine/>
    <w:qFormat/>
    <w:uiPriority w:val="99"/>
    <w:rPr>
      <w:rFonts w:ascii="仿宋_GB2312" w:eastAsia="仿宋_GB2312"/>
      <w:b/>
      <w:sz w:val="32"/>
      <w:szCs w:val="32"/>
    </w:rPr>
  </w:style>
  <w:style w:type="paragraph" w:customStyle="1" w:styleId="422">
    <w:name w:val="pbulletcmt"/>
    <w:basedOn w:val="1"/>
    <w:autoRedefine/>
    <w:qFormat/>
    <w:uiPriority w:val="99"/>
    <w:pPr>
      <w:widowControl/>
      <w:spacing w:before="100" w:beforeAutospacing="1" w:after="100" w:afterAutospacing="1"/>
      <w:jc w:val="left"/>
    </w:pPr>
    <w:rPr>
      <w:kern w:val="0"/>
      <w:sz w:val="24"/>
      <w:szCs w:val="24"/>
    </w:rPr>
  </w:style>
  <w:style w:type="paragraph" w:customStyle="1" w:styleId="423">
    <w:name w:val="aff5"/>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customStyle="1" w:styleId="424">
    <w:name w:val="注意事项"/>
    <w:basedOn w:val="1"/>
    <w:autoRedefine/>
    <w:qFormat/>
    <w:uiPriority w:val="99"/>
    <w:pPr>
      <w:spacing w:beforeLines="50" w:afterLines="50" w:line="360" w:lineRule="auto"/>
      <w:ind w:firstLine="600" w:firstLineChars="200"/>
    </w:pPr>
    <w:rPr>
      <w:rFonts w:ascii="仿宋_GB2312" w:eastAsia="仿宋_GB2312" w:cs="Latha"/>
      <w:bCs/>
      <w:color w:val="000000"/>
      <w:sz w:val="30"/>
      <w:szCs w:val="30"/>
    </w:rPr>
  </w:style>
  <w:style w:type="paragraph" w:customStyle="1" w:styleId="425">
    <w:name w:val="tabletext"/>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426">
    <w:name w:val="Blockquote"/>
    <w:basedOn w:val="1"/>
    <w:autoRedefine/>
    <w:qFormat/>
    <w:uiPriority w:val="99"/>
    <w:pPr>
      <w:widowControl/>
      <w:spacing w:before="100" w:afterLines="50"/>
      <w:ind w:left="360" w:right="360"/>
      <w:jc w:val="left"/>
    </w:pPr>
    <w:rPr>
      <w:rFonts w:ascii="宋体"/>
      <w:kern w:val="0"/>
      <w:sz w:val="24"/>
      <w:szCs w:val="20"/>
      <w:lang w:val="en-CA"/>
    </w:rPr>
  </w:style>
  <w:style w:type="paragraph" w:customStyle="1" w:styleId="427">
    <w:name w:val="font5"/>
    <w:basedOn w:val="1"/>
    <w:autoRedefine/>
    <w:qFormat/>
    <w:uiPriority w:val="99"/>
    <w:pPr>
      <w:widowControl/>
      <w:spacing w:before="100" w:beforeAutospacing="1" w:after="100" w:afterAutospacing="1"/>
      <w:jc w:val="left"/>
    </w:pPr>
    <w:rPr>
      <w:rFonts w:ascii="宋体" w:hAnsi="宋体"/>
      <w:kern w:val="0"/>
      <w:sz w:val="18"/>
      <w:szCs w:val="18"/>
    </w:rPr>
  </w:style>
  <w:style w:type="paragraph" w:customStyle="1" w:styleId="428">
    <w:name w:val="Char Char Char Char1"/>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429">
    <w:name w:val="正文样式 首行缩进:  0.74 厘米"/>
    <w:basedOn w:val="1"/>
    <w:autoRedefine/>
    <w:qFormat/>
    <w:uiPriority w:val="99"/>
    <w:pPr>
      <w:widowControl/>
      <w:tabs>
        <w:tab w:val="right" w:pos="8640"/>
      </w:tabs>
      <w:spacing w:beforeLines="50" w:line="360" w:lineRule="auto"/>
      <w:ind w:firstLine="420"/>
    </w:pPr>
    <w:rPr>
      <w:kern w:val="0"/>
      <w:sz w:val="24"/>
      <w:szCs w:val="20"/>
      <w:lang w:bidi="he-IL"/>
    </w:rPr>
  </w:style>
  <w:style w:type="paragraph" w:customStyle="1" w:styleId="430">
    <w:name w:val="Char Char1 Char1"/>
    <w:basedOn w:val="1"/>
    <w:autoRedefine/>
    <w:qFormat/>
    <w:uiPriority w:val="99"/>
    <w:rPr>
      <w:rFonts w:ascii="仿宋_GB2312" w:eastAsia="仿宋_GB2312"/>
      <w:b/>
      <w:sz w:val="32"/>
      <w:szCs w:val="32"/>
    </w:rPr>
  </w:style>
  <w:style w:type="paragraph" w:customStyle="1" w:styleId="431">
    <w:name w:val="红日标题"/>
    <w:basedOn w:val="52"/>
    <w:next w:val="1"/>
    <w:autoRedefine/>
    <w:qFormat/>
    <w:uiPriority w:val="99"/>
    <w:pPr>
      <w:pageBreakBefore/>
      <w:widowControl/>
      <w:numPr>
        <w:ilvl w:val="0"/>
        <w:numId w:val="3"/>
      </w:numPr>
      <w:spacing w:line="276" w:lineRule="auto"/>
      <w:jc w:val="left"/>
    </w:pPr>
    <w:rPr>
      <w:caps/>
      <w:color w:val="4F81BD"/>
      <w:spacing w:val="10"/>
      <w:kern w:val="28"/>
      <w:sz w:val="36"/>
      <w:szCs w:val="36"/>
      <w:lang w:eastAsia="en-US"/>
    </w:rPr>
  </w:style>
  <w:style w:type="paragraph" w:customStyle="1" w:styleId="432">
    <w:name w:val="pa-17"/>
    <w:basedOn w:val="1"/>
    <w:autoRedefine/>
    <w:qFormat/>
    <w:uiPriority w:val="99"/>
    <w:pPr>
      <w:widowControl/>
      <w:spacing w:before="150" w:after="150"/>
      <w:jc w:val="left"/>
    </w:pPr>
    <w:rPr>
      <w:rFonts w:ascii="宋体" w:hAnsi="宋体" w:cs="宋体"/>
      <w:kern w:val="0"/>
      <w:sz w:val="24"/>
      <w:szCs w:val="24"/>
    </w:rPr>
  </w:style>
  <w:style w:type="paragraph" w:customStyle="1" w:styleId="433">
    <w:name w:val="文本框内文字"/>
    <w:basedOn w:val="1"/>
    <w:autoRedefine/>
    <w:qFormat/>
    <w:uiPriority w:val="99"/>
    <w:pPr>
      <w:spacing w:line="240" w:lineRule="atLeast"/>
    </w:pPr>
    <w:rPr>
      <w:rFonts w:eastAsia="仿宋_GB2312"/>
      <w:sz w:val="22"/>
      <w:szCs w:val="24"/>
    </w:rPr>
  </w:style>
  <w:style w:type="paragraph" w:customStyle="1" w:styleId="434">
    <w:name w:val="psubhead2cmt"/>
    <w:basedOn w:val="1"/>
    <w:autoRedefine/>
    <w:qFormat/>
    <w:uiPriority w:val="99"/>
    <w:pPr>
      <w:widowControl/>
      <w:spacing w:before="100" w:beforeAutospacing="1" w:after="100" w:afterAutospacing="1"/>
      <w:jc w:val="left"/>
    </w:pPr>
    <w:rPr>
      <w:kern w:val="0"/>
      <w:sz w:val="24"/>
      <w:szCs w:val="24"/>
    </w:rPr>
  </w:style>
  <w:style w:type="paragraph" w:customStyle="1" w:styleId="435">
    <w:name w:val="Char Char1 Char Char Char Char Char Char Char Char Char Char Char Char Char"/>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436">
    <w:name w:val="正文居中"/>
    <w:autoRedefine/>
    <w:qFormat/>
    <w:uiPriority w:val="99"/>
    <w:pPr>
      <w:widowControl w:val="0"/>
      <w:spacing w:line="240" w:lineRule="exact"/>
      <w:ind w:left="-105" w:leftChars="-50" w:right="-105" w:rightChars="-50"/>
      <w:jc w:val="center"/>
    </w:pPr>
    <w:rPr>
      <w:rFonts w:ascii="Times New Roman" w:hAnsi="Times New Roman" w:eastAsia="宋体" w:cs="Times New Roman"/>
      <w:bCs/>
      <w:sz w:val="18"/>
      <w:szCs w:val="18"/>
      <w:lang w:val="en-US" w:eastAsia="zh-CN" w:bidi="ar-SA"/>
    </w:rPr>
  </w:style>
  <w:style w:type="paragraph" w:customStyle="1" w:styleId="437">
    <w:name w:val="要点2"/>
    <w:basedOn w:val="1"/>
    <w:autoRedefine/>
    <w:qFormat/>
    <w:uiPriority w:val="99"/>
    <w:pPr>
      <w:spacing w:line="360" w:lineRule="auto"/>
      <w:ind w:left="420" w:hanging="420"/>
    </w:pPr>
    <w:rPr>
      <w:b/>
      <w:szCs w:val="21"/>
      <w:shd w:val="pct10" w:color="auto" w:fill="FFFFFF"/>
    </w:rPr>
  </w:style>
  <w:style w:type="paragraph" w:customStyle="1" w:styleId="438">
    <w:name w:val="标准标题3"/>
    <w:basedOn w:val="4"/>
    <w:autoRedefine/>
    <w:qFormat/>
    <w:uiPriority w:val="99"/>
    <w:pPr>
      <w:tabs>
        <w:tab w:val="left" w:pos="1050"/>
      </w:tabs>
      <w:spacing w:line="240" w:lineRule="auto"/>
      <w:ind w:left="-258" w:leftChars="-258"/>
    </w:pPr>
    <w:rPr>
      <w:rFonts w:eastAsia="仿宋_GB2312"/>
      <w:sz w:val="28"/>
    </w:rPr>
  </w:style>
  <w:style w:type="paragraph" w:customStyle="1" w:styleId="439">
    <w:name w:val="正文居中标题1"/>
    <w:basedOn w:val="1"/>
    <w:autoRedefine/>
    <w:qFormat/>
    <w:uiPriority w:val="99"/>
    <w:pPr>
      <w:numPr>
        <w:ilvl w:val="0"/>
        <w:numId w:val="12"/>
      </w:numPr>
      <w:tabs>
        <w:tab w:val="clear" w:pos="987"/>
      </w:tabs>
      <w:spacing w:before="100" w:beforeAutospacing="1" w:after="100" w:afterAutospacing="1"/>
      <w:ind w:left="0" w:firstLine="0"/>
      <w:jc w:val="center"/>
    </w:pPr>
    <w:rPr>
      <w:rFonts w:eastAsia="隶书"/>
      <w:b/>
      <w:bCs/>
      <w:sz w:val="84"/>
      <w:szCs w:val="24"/>
    </w:rPr>
  </w:style>
  <w:style w:type="paragraph" w:customStyle="1" w:styleId="440">
    <w:name w:val="默认段落字体 Para Char Char Char Char"/>
    <w:basedOn w:val="1"/>
    <w:autoRedefine/>
    <w:qFormat/>
    <w:uiPriority w:val="99"/>
    <w:pPr>
      <w:adjustRightInd w:val="0"/>
      <w:spacing w:line="360" w:lineRule="auto"/>
    </w:pPr>
    <w:rPr>
      <w:kern w:val="0"/>
      <w:sz w:val="24"/>
      <w:szCs w:val="20"/>
    </w:rPr>
  </w:style>
  <w:style w:type="paragraph" w:customStyle="1" w:styleId="441">
    <w:name w:val="大汉正文"/>
    <w:basedOn w:val="1"/>
    <w:autoRedefine/>
    <w:qFormat/>
    <w:uiPriority w:val="99"/>
    <w:pPr>
      <w:spacing w:line="360" w:lineRule="auto"/>
      <w:ind w:firstLine="200" w:firstLineChars="200"/>
      <w:jc w:val="left"/>
    </w:pPr>
    <w:rPr>
      <w:rFonts w:ascii="宋体"/>
      <w:kern w:val="0"/>
      <w:sz w:val="24"/>
      <w:szCs w:val="24"/>
    </w:rPr>
  </w:style>
  <w:style w:type="paragraph" w:customStyle="1" w:styleId="442">
    <w:name w:val="List Paragraph1"/>
    <w:basedOn w:val="1"/>
    <w:autoRedefine/>
    <w:qFormat/>
    <w:uiPriority w:val="99"/>
    <w:pPr>
      <w:ind w:firstLine="420" w:firstLineChars="200"/>
    </w:pPr>
    <w:rPr>
      <w:szCs w:val="24"/>
    </w:rPr>
  </w:style>
  <w:style w:type="paragraph" w:customStyle="1" w:styleId="443">
    <w:name w:val="Bullet1"/>
    <w:basedOn w:val="1"/>
    <w:autoRedefine/>
    <w:qFormat/>
    <w:uiPriority w:val="99"/>
    <w:pPr>
      <w:spacing w:afterLines="50"/>
      <w:ind w:left="720" w:hanging="432"/>
      <w:jc w:val="left"/>
    </w:pPr>
    <w:rPr>
      <w:rFonts w:ascii="宋体"/>
      <w:kern w:val="0"/>
      <w:szCs w:val="20"/>
    </w:rPr>
  </w:style>
  <w:style w:type="paragraph" w:customStyle="1" w:styleId="444">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45">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szCs w:val="24"/>
    </w:rPr>
  </w:style>
  <w:style w:type="paragraph" w:customStyle="1" w:styleId="446">
    <w:name w:val="正文首行缩进 211"/>
    <w:basedOn w:val="447"/>
    <w:autoRedefine/>
    <w:qFormat/>
    <w:uiPriority w:val="99"/>
    <w:pPr>
      <w:adjustRightInd w:val="0"/>
      <w:spacing w:line="360" w:lineRule="auto"/>
      <w:ind w:firstLine="420" w:firstLineChars="200"/>
      <w:textAlignment w:val="baseline"/>
    </w:pPr>
    <w:rPr>
      <w:rFonts w:eastAsia="仿宋" w:cs="Times New Roman"/>
      <w:kern w:val="0"/>
      <w:sz w:val="24"/>
      <w:szCs w:val="24"/>
    </w:rPr>
  </w:style>
  <w:style w:type="paragraph" w:customStyle="1" w:styleId="447">
    <w:name w:val="正文文本缩进11"/>
    <w:basedOn w:val="1"/>
    <w:autoRedefine/>
    <w:qFormat/>
    <w:uiPriority w:val="99"/>
    <w:pPr>
      <w:spacing w:after="120"/>
      <w:ind w:left="420" w:leftChars="200"/>
    </w:pPr>
    <w:rPr>
      <w:rFonts w:cs="黑体"/>
    </w:rPr>
  </w:style>
  <w:style w:type="paragraph" w:customStyle="1" w:styleId="448">
    <w:name w:val="文档结构图11"/>
    <w:basedOn w:val="1"/>
    <w:autoRedefine/>
    <w:qFormat/>
    <w:uiPriority w:val="99"/>
    <w:rPr>
      <w:rFonts w:ascii="宋体"/>
      <w:kern w:val="0"/>
      <w:sz w:val="18"/>
      <w:szCs w:val="18"/>
    </w:rPr>
  </w:style>
  <w:style w:type="paragraph" w:customStyle="1" w:styleId="449">
    <w:name w:val="样式 标题 3Chapter X.X.X. + 五号 段后: 0.5 行"/>
    <w:basedOn w:val="4"/>
    <w:autoRedefine/>
    <w:qFormat/>
    <w:uiPriority w:val="99"/>
    <w:pPr>
      <w:keepLines w:val="0"/>
      <w:spacing w:before="120" w:afterLines="50" w:line="240" w:lineRule="auto"/>
      <w:jc w:val="left"/>
    </w:pPr>
    <w:rPr>
      <w:rFonts w:ascii="宋体" w:cs="宋体"/>
      <w:kern w:val="0"/>
      <w:sz w:val="21"/>
      <w:szCs w:val="20"/>
    </w:rPr>
  </w:style>
  <w:style w:type="paragraph" w:customStyle="1" w:styleId="450">
    <w:name w:val="pa-7"/>
    <w:basedOn w:val="1"/>
    <w:autoRedefine/>
    <w:qFormat/>
    <w:uiPriority w:val="99"/>
    <w:pPr>
      <w:widowControl/>
      <w:spacing w:before="150" w:after="150"/>
      <w:jc w:val="left"/>
    </w:pPr>
    <w:rPr>
      <w:rFonts w:ascii="宋体" w:hAnsi="宋体" w:cs="宋体"/>
      <w:kern w:val="0"/>
      <w:sz w:val="24"/>
      <w:szCs w:val="24"/>
    </w:rPr>
  </w:style>
  <w:style w:type="paragraph" w:customStyle="1" w:styleId="451">
    <w:name w:val="正文3"/>
    <w:basedOn w:val="1"/>
    <w:autoRedefine/>
    <w:qFormat/>
    <w:uiPriority w:val="99"/>
    <w:pPr>
      <w:spacing w:beforeLines="50" w:afterLines="50" w:line="360" w:lineRule="auto"/>
      <w:ind w:left="300" w:leftChars="200" w:hanging="100" w:hangingChars="100"/>
    </w:pPr>
    <w:rPr>
      <w:rFonts w:ascii="Book Antiqua" w:hAnsi="Book Antiqua"/>
      <w:sz w:val="24"/>
      <w:szCs w:val="21"/>
    </w:rPr>
  </w:style>
  <w:style w:type="paragraph" w:customStyle="1" w:styleId="452">
    <w:name w:val="样式 标题 3Chapter X.X.X. + 段后: 0.5 行1"/>
    <w:basedOn w:val="4"/>
    <w:next w:val="1"/>
    <w:autoRedefine/>
    <w:qFormat/>
    <w:uiPriority w:val="99"/>
    <w:pPr>
      <w:keepLines w:val="0"/>
      <w:spacing w:before="120" w:afterLines="50" w:line="240" w:lineRule="auto"/>
      <w:jc w:val="left"/>
    </w:pPr>
    <w:rPr>
      <w:rFonts w:ascii="宋体" w:cs="宋体"/>
      <w:kern w:val="0"/>
      <w:sz w:val="24"/>
      <w:szCs w:val="20"/>
    </w:rPr>
  </w:style>
  <w:style w:type="paragraph" w:customStyle="1" w:styleId="453">
    <w:name w:val="S4-I-U-L15-No-dot"/>
    <w:basedOn w:val="1"/>
    <w:autoRedefine/>
    <w:qFormat/>
    <w:uiPriority w:val="99"/>
    <w:pPr>
      <w:numPr>
        <w:ilvl w:val="1"/>
        <w:numId w:val="13"/>
      </w:numPr>
      <w:tabs>
        <w:tab w:val="left" w:pos="1112"/>
        <w:tab w:val="clear" w:pos="1680"/>
      </w:tabs>
      <w:spacing w:after="120" w:line="360" w:lineRule="auto"/>
      <w:ind w:left="1112"/>
    </w:pPr>
    <w:rPr>
      <w:i/>
      <w:sz w:val="24"/>
      <w:szCs w:val="24"/>
      <w:u w:val="single"/>
    </w:rPr>
  </w:style>
  <w:style w:type="paragraph" w:customStyle="1" w:styleId="454">
    <w:name w:val="正文样式"/>
    <w:basedOn w:val="1"/>
    <w:autoRedefine/>
    <w:qFormat/>
    <w:uiPriority w:val="99"/>
    <w:pPr>
      <w:spacing w:line="360" w:lineRule="auto"/>
      <w:ind w:firstLine="200" w:firstLineChars="200"/>
    </w:pPr>
    <w:rPr>
      <w:rFonts w:ascii="宋体"/>
      <w:sz w:val="24"/>
      <w:szCs w:val="24"/>
    </w:rPr>
  </w:style>
  <w:style w:type="paragraph" w:customStyle="1" w:styleId="455">
    <w:name w:val="列表（编号二级）（绿盟科技）"/>
    <w:basedOn w:val="456"/>
    <w:autoRedefine/>
    <w:qFormat/>
    <w:uiPriority w:val="99"/>
    <w:pPr>
      <w:numPr>
        <w:ilvl w:val="1"/>
      </w:numPr>
      <w:tabs>
        <w:tab w:val="left" w:pos="840"/>
      </w:tabs>
      <w:spacing w:beforeLines="0"/>
      <w:ind w:left="1260"/>
    </w:pPr>
  </w:style>
  <w:style w:type="paragraph" w:customStyle="1" w:styleId="456">
    <w:name w:val="列表（编号一级）（绿盟科技）"/>
    <w:basedOn w:val="1"/>
    <w:autoRedefine/>
    <w:qFormat/>
    <w:uiPriority w:val="99"/>
    <w:pPr>
      <w:widowControl/>
      <w:numPr>
        <w:ilvl w:val="0"/>
        <w:numId w:val="14"/>
      </w:numPr>
      <w:spacing w:beforeLines="25" w:line="300" w:lineRule="auto"/>
      <w:jc w:val="left"/>
    </w:pPr>
    <w:rPr>
      <w:rFonts w:ascii="Arial" w:hAnsi="Arial"/>
      <w:kern w:val="0"/>
      <w:szCs w:val="21"/>
    </w:rPr>
  </w:style>
  <w:style w:type="paragraph" w:customStyle="1" w:styleId="457">
    <w:name w:val="目录标题"/>
    <w:basedOn w:val="2"/>
    <w:next w:val="1"/>
    <w:autoRedefine/>
    <w:qFormat/>
    <w:uiPriority w:val="99"/>
    <w:pPr>
      <w:keepNext/>
      <w:keepLines/>
      <w:widowControl/>
      <w:autoSpaceDE/>
      <w:autoSpaceDN/>
      <w:adjustRightInd/>
      <w:spacing w:before="480" w:line="276" w:lineRule="auto"/>
      <w:jc w:val="left"/>
      <w:outlineLvl w:val="9"/>
    </w:pPr>
    <w:rPr>
      <w:rFonts w:ascii="Cambria" w:hAnsi="Cambria" w:eastAsia="宋体"/>
      <w:color w:val="365F91"/>
      <w:sz w:val="28"/>
      <w:szCs w:val="28"/>
    </w:rPr>
  </w:style>
  <w:style w:type="paragraph" w:customStyle="1" w:styleId="458">
    <w:name w:val="msoaccenttext3"/>
    <w:autoRedefine/>
    <w:qFormat/>
    <w:uiPriority w:val="99"/>
    <w:rPr>
      <w:rFonts w:ascii="Century Schoolbook" w:hAnsi="Century Schoolbook" w:eastAsia="宋体" w:cs="宋体"/>
      <w:color w:val="FFFFFF"/>
      <w:kern w:val="28"/>
      <w:sz w:val="13"/>
      <w:szCs w:val="13"/>
      <w:lang w:val="en-US" w:eastAsia="zh-CN" w:bidi="ar-SA"/>
    </w:rPr>
  </w:style>
  <w:style w:type="paragraph" w:customStyle="1" w:styleId="459">
    <w:name w:val="样式　标题4"/>
    <w:basedOn w:val="316"/>
    <w:next w:val="1"/>
    <w:autoRedefine/>
    <w:qFormat/>
    <w:uiPriority w:val="99"/>
    <w:pPr>
      <w:numPr>
        <w:numId w:val="0"/>
      </w:numPr>
      <w:ind w:left="425" w:hanging="425"/>
    </w:pPr>
  </w:style>
  <w:style w:type="paragraph" w:customStyle="1" w:styleId="460">
    <w:name w:val="默认段落字体 Para Char"/>
    <w:basedOn w:val="1"/>
    <w:autoRedefine/>
    <w:qFormat/>
    <w:uiPriority w:val="99"/>
    <w:pPr>
      <w:adjustRightInd w:val="0"/>
      <w:spacing w:line="360" w:lineRule="auto"/>
      <w:ind w:firstLine="480"/>
    </w:pPr>
    <w:rPr>
      <w:rFonts w:ascii="宋体" w:hAnsi="宋体"/>
      <w:kern w:val="0"/>
      <w:sz w:val="24"/>
      <w:szCs w:val="20"/>
    </w:rPr>
  </w:style>
  <w:style w:type="paragraph" w:customStyle="1" w:styleId="461">
    <w:name w:val="样式 样式 正文文本缩进 + 仿宋_GB2312 小四 首行缩进:  0 厘米 行距: 1.5 倍行距 + (中文) 仿宋_GB..."/>
    <w:basedOn w:val="410"/>
    <w:autoRedefine/>
    <w:qFormat/>
    <w:uiPriority w:val="99"/>
    <w:pPr>
      <w:ind w:firstLine="480" w:firstLineChars="200"/>
    </w:pPr>
  </w:style>
  <w:style w:type="paragraph" w:customStyle="1" w:styleId="462">
    <w:name w:val="msoaccenttext2"/>
    <w:autoRedefine/>
    <w:qFormat/>
    <w:uiPriority w:val="99"/>
    <w:rPr>
      <w:rFonts w:ascii="Century Schoolbook" w:hAnsi="Century Schoolbook" w:eastAsia="宋体" w:cs="宋体"/>
      <w:color w:val="000000"/>
      <w:kern w:val="28"/>
      <w:sz w:val="15"/>
      <w:szCs w:val="15"/>
      <w:lang w:val="en-US" w:eastAsia="zh-CN" w:bidi="ar-SA"/>
    </w:rPr>
  </w:style>
  <w:style w:type="paragraph" w:customStyle="1" w:styleId="463">
    <w:name w:val="aff"/>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customStyle="1" w:styleId="464">
    <w:name w:val="Char Char Char Char Char Char Char1"/>
    <w:basedOn w:val="1"/>
    <w:autoRedefine/>
    <w:qFormat/>
    <w:uiPriority w:val="99"/>
    <w:pPr>
      <w:tabs>
        <w:tab w:val="left" w:pos="432"/>
      </w:tabs>
      <w:ind w:left="432" w:hanging="432"/>
    </w:pPr>
    <w:rPr>
      <w:rFonts w:ascii="Tahoma" w:hAnsi="Tahoma"/>
      <w:sz w:val="24"/>
      <w:szCs w:val="20"/>
    </w:rPr>
  </w:style>
  <w:style w:type="paragraph" w:customStyle="1" w:styleId="465">
    <w:name w:val="Table - Col. Head"/>
    <w:basedOn w:val="1"/>
    <w:autoRedefine/>
    <w:qFormat/>
    <w:uiPriority w:val="99"/>
    <w:pPr>
      <w:keepNext/>
      <w:widowControl/>
      <w:spacing w:before="60" w:afterLines="50"/>
      <w:jc w:val="left"/>
    </w:pPr>
    <w:rPr>
      <w:rFonts w:ascii="Arial" w:hAnsi="Arial"/>
      <w:b/>
      <w:kern w:val="0"/>
      <w:sz w:val="18"/>
      <w:szCs w:val="20"/>
      <w:lang w:eastAsia="en-US"/>
    </w:rPr>
  </w:style>
  <w:style w:type="paragraph" w:customStyle="1" w:styleId="466">
    <w:name w:val="贷方"/>
    <w:basedOn w:val="1"/>
    <w:autoRedefine/>
    <w:qFormat/>
    <w:uiPriority w:val="99"/>
    <w:pPr>
      <w:ind w:left="1890" w:leftChars="900"/>
    </w:pPr>
    <w:rPr>
      <w:sz w:val="24"/>
      <w:szCs w:val="24"/>
    </w:rPr>
  </w:style>
  <w:style w:type="paragraph" w:customStyle="1" w:styleId="467">
    <w:name w:val="Char Char1 Char Char Char Char1 Char Char Char"/>
    <w:basedOn w:val="1"/>
    <w:autoRedefine/>
    <w:qFormat/>
    <w:uiPriority w:val="99"/>
    <w:pPr>
      <w:adjustRightInd w:val="0"/>
      <w:spacing w:line="360" w:lineRule="atLeast"/>
      <w:textAlignment w:val="baseline"/>
    </w:pPr>
    <w:rPr>
      <w:rFonts w:ascii="Tahoma" w:hAnsi="Tahoma"/>
      <w:sz w:val="24"/>
      <w:szCs w:val="20"/>
    </w:rPr>
  </w:style>
  <w:style w:type="paragraph" w:customStyle="1" w:styleId="468">
    <w:name w:val="表格中序号"/>
    <w:basedOn w:val="1"/>
    <w:autoRedefine/>
    <w:qFormat/>
    <w:uiPriority w:val="99"/>
    <w:pPr>
      <w:spacing w:line="288" w:lineRule="auto"/>
      <w:jc w:val="center"/>
    </w:pPr>
    <w:rPr>
      <w:rFonts w:ascii="新宋体" w:eastAsia="新宋体"/>
      <w:sz w:val="24"/>
      <w:szCs w:val="24"/>
    </w:rPr>
  </w:style>
  <w:style w:type="paragraph" w:customStyle="1" w:styleId="469">
    <w:name w:val="linyang-正文"/>
    <w:basedOn w:val="1"/>
    <w:autoRedefine/>
    <w:qFormat/>
    <w:uiPriority w:val="99"/>
    <w:pPr>
      <w:spacing w:before="120" w:after="120" w:line="400" w:lineRule="exact"/>
      <w:ind w:firstLine="200" w:firstLineChars="200"/>
    </w:pPr>
    <w:rPr>
      <w:sz w:val="24"/>
      <w:szCs w:val="24"/>
    </w:rPr>
  </w:style>
  <w:style w:type="paragraph" w:customStyle="1" w:styleId="470">
    <w:name w:val="_Style 13"/>
    <w:basedOn w:val="1"/>
    <w:autoRedefine/>
    <w:qFormat/>
    <w:uiPriority w:val="99"/>
    <w:pPr>
      <w:tabs>
        <w:tab w:val="left" w:pos="360"/>
      </w:tabs>
      <w:ind w:firstLine="420" w:firstLineChars="150"/>
    </w:pPr>
    <w:rPr>
      <w:szCs w:val="20"/>
    </w:rPr>
  </w:style>
  <w:style w:type="paragraph" w:customStyle="1" w:styleId="471">
    <w:name w:val="表格标题栏"/>
    <w:basedOn w:val="1"/>
    <w:autoRedefine/>
    <w:qFormat/>
    <w:uiPriority w:val="99"/>
    <w:pPr>
      <w:shd w:val="pct5" w:color="auto" w:fill="auto"/>
      <w:jc w:val="center"/>
      <w:textAlignment w:val="center"/>
    </w:pPr>
    <w:rPr>
      <w:rFonts w:ascii="新宋体" w:hAnsi="新宋体" w:eastAsia="华文中宋"/>
      <w:b/>
      <w:sz w:val="28"/>
      <w:szCs w:val="28"/>
    </w:rPr>
  </w:style>
  <w:style w:type="paragraph" w:customStyle="1" w:styleId="472">
    <w:name w:val="FA正文+标号"/>
    <w:basedOn w:val="1"/>
    <w:autoRedefine/>
    <w:qFormat/>
    <w:uiPriority w:val="99"/>
    <w:pPr>
      <w:tabs>
        <w:tab w:val="left" w:pos="3375"/>
      </w:tabs>
      <w:spacing w:line="400" w:lineRule="exact"/>
    </w:pPr>
    <w:rPr>
      <w:rFonts w:ascii="仿宋_GB2312" w:hAnsi="宋体" w:eastAsia="仿宋_GB2312"/>
      <w:sz w:val="24"/>
      <w:szCs w:val="24"/>
    </w:rPr>
  </w:style>
  <w:style w:type="paragraph" w:customStyle="1" w:styleId="473">
    <w:name w:val="Char Char1 Char Char Char Char Char Char Char Char Char Char Char Char Char Char1"/>
    <w:basedOn w:val="1"/>
    <w:autoRedefine/>
    <w:qFormat/>
    <w:uiPriority w:val="99"/>
    <w:pPr>
      <w:widowControl/>
      <w:spacing w:after="160" w:line="240" w:lineRule="exact"/>
      <w:jc w:val="left"/>
    </w:pPr>
    <w:rPr>
      <w:szCs w:val="20"/>
    </w:rPr>
  </w:style>
  <w:style w:type="paragraph" w:customStyle="1" w:styleId="474">
    <w:name w:val="Char1 Char Char Char1"/>
    <w:basedOn w:val="1"/>
    <w:autoRedefine/>
    <w:qFormat/>
    <w:uiPriority w:val="99"/>
    <w:rPr>
      <w:rFonts w:ascii="Tahoma" w:hAnsi="Tahoma"/>
      <w:sz w:val="24"/>
      <w:szCs w:val="20"/>
    </w:rPr>
  </w:style>
  <w:style w:type="paragraph" w:customStyle="1" w:styleId="475">
    <w:name w:val="标题 3Chapter X.X.X. + 段后: 0.5 行 + 段后: 0.5 行 + 段后: 0.5 行1"/>
    <w:basedOn w:val="303"/>
    <w:autoRedefine/>
    <w:qFormat/>
    <w:uiPriority w:val="99"/>
  </w:style>
  <w:style w:type="paragraph" w:customStyle="1" w:styleId="476">
    <w:name w:val="样式 纯文本 + 首行缩进:  2 字符 Char Char Char Char Char Char Char Char Char Char Char Char Char Char Char Char Char Char Char Char Char Char Char Char"/>
    <w:basedOn w:val="30"/>
    <w:autoRedefine/>
    <w:qFormat/>
    <w:uiPriority w:val="99"/>
    <w:pPr>
      <w:spacing w:beforeLines="0" w:afterLines="0" w:line="360" w:lineRule="auto"/>
      <w:jc w:val="left"/>
    </w:pPr>
    <w:rPr>
      <w:rFonts w:eastAsia="仿宋_GB2312" w:cs="Arial"/>
      <w:sz w:val="28"/>
      <w:szCs w:val="20"/>
    </w:rPr>
  </w:style>
  <w:style w:type="paragraph" w:customStyle="1" w:styleId="477">
    <w:name w:val="样式 标题 1 + 左侧:  0 厘米 首行缩进:  0 厘米"/>
    <w:basedOn w:val="2"/>
    <w:autoRedefine/>
    <w:qFormat/>
    <w:uiPriority w:val="99"/>
    <w:pPr>
      <w:keepNext/>
      <w:keepLines/>
      <w:autoSpaceDE/>
      <w:autoSpaceDN/>
      <w:adjustRightInd/>
      <w:spacing w:after="120"/>
      <w:jc w:val="both"/>
    </w:pPr>
    <w:rPr>
      <w:rFonts w:ascii="黑体" w:eastAsia="黑体" w:cs="宋体"/>
      <w:kern w:val="44"/>
    </w:rPr>
  </w:style>
  <w:style w:type="paragraph" w:customStyle="1" w:styleId="478">
    <w:name w:val="样式 标题 5 + 五号 居中 段前: 1.5 磅 段后: 1.5 磅 行距: 多倍行距 1.57 字行"/>
    <w:basedOn w:val="6"/>
    <w:autoRedefine/>
    <w:qFormat/>
    <w:uiPriority w:val="99"/>
    <w:pPr>
      <w:tabs>
        <w:tab w:val="clear" w:pos="992"/>
      </w:tabs>
      <w:spacing w:before="30" w:after="30" w:line="377" w:lineRule="auto"/>
      <w:ind w:left="0" w:firstLine="0"/>
      <w:jc w:val="center"/>
    </w:pPr>
    <w:rPr>
      <w:rFonts w:cs="宋体"/>
      <w:sz w:val="21"/>
      <w:szCs w:val="20"/>
    </w:rPr>
  </w:style>
  <w:style w:type="paragraph" w:customStyle="1" w:styleId="479">
    <w:name w:val="Normal0"/>
    <w:autoRedefine/>
    <w:qFormat/>
    <w:uiPriority w:val="99"/>
    <w:rPr>
      <w:rFonts w:ascii="Times New Roman" w:hAnsi="Times New Roman" w:eastAsia="宋体" w:cs="Times New Roman"/>
      <w:lang w:val="en-US" w:eastAsia="en-US" w:bidi="ar-SA"/>
    </w:rPr>
  </w:style>
  <w:style w:type="paragraph" w:customStyle="1" w:styleId="480">
    <w:name w:val="InfoBlue"/>
    <w:basedOn w:val="1"/>
    <w:next w:val="22"/>
    <w:autoRedefine/>
    <w:qFormat/>
    <w:uiPriority w:val="99"/>
    <w:pPr>
      <w:spacing w:afterLines="50"/>
      <w:ind w:left="720"/>
      <w:jc w:val="left"/>
    </w:pPr>
    <w:rPr>
      <w:rFonts w:ascii="宋体"/>
      <w:i/>
      <w:color w:val="0000FF"/>
      <w:kern w:val="0"/>
      <w:szCs w:val="20"/>
    </w:rPr>
  </w:style>
  <w:style w:type="paragraph" w:customStyle="1" w:styleId="481">
    <w:name w:val="二级标题"/>
    <w:basedOn w:val="3"/>
    <w:autoRedefine/>
    <w:qFormat/>
    <w:uiPriority w:val="99"/>
    <w:pPr>
      <w:tabs>
        <w:tab w:val="left" w:pos="1116"/>
      </w:tabs>
      <w:ind w:left="1116" w:hanging="576"/>
    </w:pPr>
    <w:rPr>
      <w:rFonts w:ascii="黑体" w:hAnsi="Cambria"/>
      <w:kern w:val="0"/>
    </w:rPr>
  </w:style>
  <w:style w:type="paragraph" w:customStyle="1" w:styleId="482">
    <w:name w:val="正文空4格  1）"/>
    <w:basedOn w:val="1"/>
    <w:autoRedefine/>
    <w:qFormat/>
    <w:uiPriority w:val="99"/>
    <w:pPr>
      <w:ind w:firstLine="1120" w:firstLineChars="400"/>
    </w:pPr>
    <w:rPr>
      <w:rFonts w:cs="宋体"/>
      <w:szCs w:val="20"/>
    </w:rPr>
  </w:style>
  <w:style w:type="paragraph" w:customStyle="1" w:styleId="483">
    <w:name w:val="S4-L15"/>
    <w:basedOn w:val="1"/>
    <w:autoRedefine/>
    <w:qFormat/>
    <w:uiPriority w:val="99"/>
    <w:pPr>
      <w:spacing w:after="120" w:line="360" w:lineRule="auto"/>
      <w:ind w:left="720" w:firstLine="392"/>
    </w:pPr>
    <w:rPr>
      <w:szCs w:val="21"/>
      <w:lang w:val="fr-FR"/>
    </w:rPr>
  </w:style>
  <w:style w:type="paragraph" w:customStyle="1" w:styleId="484">
    <w:name w:val="样式 标题 1 + 五号"/>
    <w:basedOn w:val="2"/>
    <w:autoRedefine/>
    <w:qFormat/>
    <w:uiPriority w:val="99"/>
    <w:pPr>
      <w:keepNext/>
      <w:keepLines/>
      <w:autoSpaceDE/>
      <w:autoSpaceDN/>
      <w:adjustRightInd/>
      <w:spacing w:line="240" w:lineRule="auto"/>
    </w:pPr>
    <w:rPr>
      <w:rFonts w:eastAsia="宋体"/>
      <w:kern w:val="44"/>
      <w:sz w:val="32"/>
      <w:szCs w:val="32"/>
    </w:rPr>
  </w:style>
  <w:style w:type="paragraph" w:customStyle="1" w:styleId="485">
    <w:name w:val="正文-带编号1)"/>
    <w:basedOn w:val="1"/>
    <w:autoRedefine/>
    <w:qFormat/>
    <w:uiPriority w:val="99"/>
    <w:pPr>
      <w:numPr>
        <w:ilvl w:val="0"/>
        <w:numId w:val="15"/>
      </w:numPr>
      <w:spacing w:line="400" w:lineRule="exact"/>
    </w:pPr>
    <w:rPr>
      <w:rFonts w:ascii="Arial" w:hAnsi="Arial"/>
      <w:szCs w:val="24"/>
    </w:rPr>
  </w:style>
  <w:style w:type="paragraph" w:customStyle="1" w:styleId="486">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487">
    <w:name w:val="tab0/2"/>
    <w:basedOn w:val="1"/>
    <w:autoRedefine/>
    <w:qFormat/>
    <w:uiPriority w:val="99"/>
    <w:pPr>
      <w:widowControl/>
      <w:tabs>
        <w:tab w:val="left" w:pos="3402"/>
        <w:tab w:val="left" w:pos="5670"/>
      </w:tabs>
      <w:spacing w:after="240"/>
      <w:ind w:left="1134" w:hanging="1134"/>
      <w:jc w:val="left"/>
    </w:pPr>
    <w:rPr>
      <w:rFonts w:ascii="Arial" w:hAnsi="Arial"/>
      <w:b/>
      <w:kern w:val="0"/>
      <w:sz w:val="24"/>
      <w:szCs w:val="20"/>
      <w:lang w:eastAsia="de-DE"/>
    </w:rPr>
  </w:style>
  <w:style w:type="paragraph" w:customStyle="1" w:styleId="488">
    <w:name w:val="Char Char1 Char Char Char Char1 Char Char Char1"/>
    <w:basedOn w:val="1"/>
    <w:autoRedefine/>
    <w:qFormat/>
    <w:uiPriority w:val="99"/>
    <w:pPr>
      <w:adjustRightInd w:val="0"/>
      <w:spacing w:line="360" w:lineRule="atLeast"/>
      <w:textAlignment w:val="baseline"/>
    </w:pPr>
    <w:rPr>
      <w:rFonts w:ascii="Tahoma" w:hAnsi="Tahoma"/>
      <w:sz w:val="24"/>
      <w:szCs w:val="20"/>
    </w:rPr>
  </w:style>
  <w:style w:type="paragraph" w:customStyle="1" w:styleId="489">
    <w:name w:val="图样式"/>
    <w:basedOn w:val="1"/>
    <w:autoRedefine/>
    <w:qFormat/>
    <w:uiPriority w:val="99"/>
    <w:pPr>
      <w:keepNext/>
      <w:widowControl/>
      <w:spacing w:before="80" w:after="80"/>
      <w:jc w:val="center"/>
    </w:pPr>
    <w:rPr>
      <w:szCs w:val="20"/>
    </w:rPr>
  </w:style>
  <w:style w:type="paragraph" w:customStyle="1" w:styleId="490">
    <w:name w:val="沈标题四"/>
    <w:basedOn w:val="5"/>
    <w:next w:val="1"/>
    <w:autoRedefine/>
    <w:qFormat/>
    <w:uiPriority w:val="99"/>
    <w:pPr>
      <w:keepNext w:val="0"/>
      <w:keepLines w:val="0"/>
      <w:tabs>
        <w:tab w:val="left" w:pos="864"/>
      </w:tabs>
      <w:spacing w:line="377" w:lineRule="auto"/>
      <w:ind w:left="864" w:hanging="864"/>
    </w:pPr>
    <w:rPr>
      <w:rFonts w:ascii="Arial Narrow" w:hAnsi="Arial Narrow" w:eastAsia="方正姚体"/>
      <w:b w:val="0"/>
      <w:sz w:val="24"/>
      <w:szCs w:val="24"/>
    </w:rPr>
  </w:style>
  <w:style w:type="paragraph" w:customStyle="1" w:styleId="491">
    <w:name w:val="Char Char Char"/>
    <w:basedOn w:val="1"/>
    <w:autoRedefine/>
    <w:qFormat/>
    <w:uiPriority w:val="99"/>
  </w:style>
  <w:style w:type="paragraph" w:customStyle="1" w:styleId="492">
    <w:name w:val="彩色底纹 - 强调文字颜色 11"/>
    <w:autoRedefine/>
    <w:semiHidden/>
    <w:qFormat/>
    <w:uiPriority w:val="99"/>
    <w:rPr>
      <w:rFonts w:ascii="Times New Roman" w:hAnsi="Times New Roman" w:eastAsia="宋体" w:cs="Times New Roman"/>
      <w:kern w:val="2"/>
      <w:sz w:val="21"/>
      <w:szCs w:val="22"/>
      <w:lang w:val="en-US" w:eastAsia="zh-CN" w:bidi="ar-SA"/>
    </w:rPr>
  </w:style>
  <w:style w:type="paragraph" w:customStyle="1" w:styleId="493">
    <w:name w:val="Char Char Char Char Char Char Char Char Char Char1"/>
    <w:basedOn w:val="1"/>
    <w:autoRedefine/>
    <w:qFormat/>
    <w:uiPriority w:val="99"/>
    <w:pPr>
      <w:tabs>
        <w:tab w:val="left" w:pos="360"/>
      </w:tabs>
      <w:ind w:left="480" w:hanging="480" w:hangingChars="200"/>
    </w:pPr>
    <w:rPr>
      <w:rFonts w:ascii="仿宋_GB2312" w:eastAsia="仿宋_GB2312"/>
      <w:b/>
      <w:sz w:val="24"/>
      <w:szCs w:val="24"/>
    </w:rPr>
  </w:style>
  <w:style w:type="paragraph" w:customStyle="1" w:styleId="494">
    <w:name w:val="P3"/>
    <w:basedOn w:val="1"/>
    <w:autoRedefine/>
    <w:qFormat/>
    <w:uiPriority w:val="99"/>
    <w:pPr>
      <w:widowControl/>
      <w:spacing w:before="240" w:line="240" w:lineRule="atLeast"/>
      <w:ind w:left="1152"/>
      <w:jc w:val="left"/>
    </w:pPr>
    <w:rPr>
      <w:b/>
      <w:kern w:val="0"/>
      <w:szCs w:val="21"/>
      <w:lang w:val="en-AU" w:eastAsia="en-US"/>
    </w:rPr>
  </w:style>
  <w:style w:type="paragraph" w:customStyle="1" w:styleId="495">
    <w:name w:val="样式 样式 小四 行距: 1.5 倍行距 首行缩进:  2 字符 + +中文正文"/>
    <w:basedOn w:val="1"/>
    <w:autoRedefine/>
    <w:qFormat/>
    <w:uiPriority w:val="99"/>
    <w:pPr>
      <w:spacing w:line="360" w:lineRule="auto"/>
      <w:ind w:firstLine="480" w:firstLineChars="200"/>
    </w:pPr>
    <w:rPr>
      <w:rFonts w:ascii="宋体" w:hAnsi="宋体" w:cs="宋体"/>
      <w:sz w:val="24"/>
      <w:szCs w:val="20"/>
    </w:rPr>
  </w:style>
  <w:style w:type="paragraph" w:customStyle="1" w:styleId="496">
    <w:name w:val="此正文"/>
    <w:basedOn w:val="1"/>
    <w:autoRedefine/>
    <w:qFormat/>
    <w:uiPriority w:val="99"/>
    <w:pPr>
      <w:spacing w:line="360" w:lineRule="auto"/>
      <w:ind w:firstLine="200" w:firstLineChars="200"/>
    </w:pPr>
    <w:rPr>
      <w:sz w:val="24"/>
      <w:szCs w:val="24"/>
    </w:rPr>
  </w:style>
  <w:style w:type="paragraph" w:customStyle="1" w:styleId="497">
    <w:name w:val="列出段落11"/>
    <w:basedOn w:val="1"/>
    <w:autoRedefine/>
    <w:qFormat/>
    <w:uiPriority w:val="99"/>
    <w:pPr>
      <w:ind w:firstLine="420" w:firstLineChars="200"/>
    </w:pPr>
  </w:style>
  <w:style w:type="paragraph" w:customStyle="1" w:styleId="498">
    <w:name w:val="正文文本 New"/>
    <w:basedOn w:val="1"/>
    <w:autoRedefine/>
    <w:qFormat/>
    <w:uiPriority w:val="99"/>
    <w:pPr>
      <w:spacing w:after="120"/>
    </w:pPr>
    <w:rPr>
      <w:sz w:val="28"/>
      <w:szCs w:val="24"/>
    </w:rPr>
  </w:style>
  <w:style w:type="paragraph" w:customStyle="1" w:styleId="499">
    <w:name w:val="text"/>
    <w:basedOn w:val="1"/>
    <w:autoRedefine/>
    <w:qFormat/>
    <w:uiPriority w:val="99"/>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500">
    <w:name w:val="样式7"/>
    <w:basedOn w:val="1"/>
    <w:autoRedefine/>
    <w:qFormat/>
    <w:uiPriority w:val="99"/>
    <w:pPr>
      <w:adjustRightInd w:val="0"/>
      <w:spacing w:beforeLines="50" w:afterLines="50" w:line="360" w:lineRule="auto"/>
      <w:ind w:firstLine="669"/>
      <w:textAlignment w:val="baseline"/>
    </w:pPr>
    <w:rPr>
      <w:rFonts w:ascii="宋体" w:hAnsi="宋体"/>
      <w:kern w:val="0"/>
      <w:sz w:val="28"/>
      <w:szCs w:val="20"/>
    </w:rPr>
  </w:style>
  <w:style w:type="paragraph" w:customStyle="1" w:styleId="501">
    <w:name w:val="样式 标题 3Chapter X.X.X"/>
    <w:basedOn w:val="475"/>
    <w:autoRedefine/>
    <w:qFormat/>
    <w:uiPriority w:val="99"/>
    <w:pPr>
      <w:spacing w:afterLines="0"/>
    </w:pPr>
  </w:style>
  <w:style w:type="paragraph" w:customStyle="1" w:styleId="502">
    <w:name w:val="15"/>
    <w:basedOn w:val="1"/>
    <w:autoRedefine/>
    <w:qFormat/>
    <w:uiPriority w:val="99"/>
    <w:pPr>
      <w:widowControl/>
      <w:spacing w:line="312" w:lineRule="auto"/>
      <w:ind w:firstLine="202"/>
    </w:pPr>
    <w:rPr>
      <w:kern w:val="0"/>
      <w:sz w:val="24"/>
      <w:szCs w:val="24"/>
    </w:rPr>
  </w:style>
  <w:style w:type="paragraph" w:customStyle="1" w:styleId="503">
    <w:name w:val="二级项目符号"/>
    <w:basedOn w:val="1"/>
    <w:autoRedefine/>
    <w:qFormat/>
    <w:uiPriority w:val="99"/>
    <w:pPr>
      <w:widowControl/>
      <w:tabs>
        <w:tab w:val="left" w:pos="964"/>
      </w:tabs>
      <w:spacing w:line="360" w:lineRule="auto"/>
      <w:ind w:left="964" w:hanging="482"/>
    </w:pPr>
    <w:rPr>
      <w:kern w:val="0"/>
      <w:sz w:val="24"/>
      <w:szCs w:val="20"/>
    </w:rPr>
  </w:style>
  <w:style w:type="paragraph" w:customStyle="1" w:styleId="504">
    <w:name w:val="标准有序列表（L1）"/>
    <w:basedOn w:val="14"/>
    <w:autoRedefine/>
    <w:qFormat/>
    <w:uiPriority w:val="99"/>
    <w:pPr>
      <w:tabs>
        <w:tab w:val="left" w:pos="0"/>
      </w:tabs>
      <w:spacing w:line="360" w:lineRule="auto"/>
      <w:ind w:firstLine="0"/>
    </w:pPr>
    <w:rPr>
      <w:rFonts w:ascii="黑体" w:eastAsia="黑体"/>
      <w:color w:val="000000"/>
      <w:sz w:val="24"/>
    </w:rPr>
  </w:style>
  <w:style w:type="paragraph" w:customStyle="1" w:styleId="505">
    <w:name w:val="Item List"/>
    <w:autoRedefine/>
    <w:qFormat/>
    <w:uiPriority w:val="99"/>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506">
    <w:name w:val="表格标题"/>
    <w:basedOn w:val="418"/>
    <w:autoRedefine/>
    <w:qFormat/>
    <w:uiPriority w:val="99"/>
    <w:pPr>
      <w:numPr>
        <w:ilvl w:val="0"/>
        <w:numId w:val="16"/>
      </w:numPr>
      <w:tabs>
        <w:tab w:val="clear" w:pos="360"/>
      </w:tabs>
      <w:ind w:left="0" w:firstLine="0"/>
      <w:jc w:val="center"/>
    </w:pPr>
    <w:rPr>
      <w:b/>
      <w:bCs/>
      <w:i/>
      <w:iCs/>
    </w:rPr>
  </w:style>
  <w:style w:type="paragraph" w:customStyle="1" w:styleId="507">
    <w:name w:val="内文正文"/>
    <w:basedOn w:val="1"/>
    <w:autoRedefine/>
    <w:qFormat/>
    <w:uiPriority w:val="99"/>
    <w:pPr>
      <w:adjustRightInd w:val="0"/>
      <w:snapToGrid w:val="0"/>
      <w:spacing w:line="400" w:lineRule="atLeast"/>
      <w:ind w:firstLine="200" w:firstLineChars="200"/>
    </w:pPr>
    <w:rPr>
      <w:rFonts w:ascii="宋体"/>
      <w:szCs w:val="24"/>
    </w:rPr>
  </w:style>
  <w:style w:type="paragraph" w:customStyle="1" w:styleId="508">
    <w:name w:val="金保标题2"/>
    <w:basedOn w:val="3"/>
    <w:next w:val="1"/>
    <w:autoRedefine/>
    <w:qFormat/>
    <w:uiPriority w:val="99"/>
    <w:pPr>
      <w:tabs>
        <w:tab w:val="left" w:pos="709"/>
      </w:tabs>
      <w:spacing w:line="360" w:lineRule="auto"/>
    </w:pPr>
    <w:rPr>
      <w:rFonts w:ascii="Times New Roman" w:hAnsi="Times New Roman"/>
      <w:kern w:val="0"/>
      <w:sz w:val="28"/>
      <w:szCs w:val="28"/>
    </w:rPr>
  </w:style>
  <w:style w:type="paragraph" w:customStyle="1" w:styleId="509">
    <w:name w:val="Char2 Char Char Char"/>
    <w:basedOn w:val="1"/>
    <w:autoRedefine/>
    <w:qFormat/>
    <w:uiPriority w:val="99"/>
    <w:rPr>
      <w:rFonts w:ascii="仿宋_GB2312" w:eastAsia="仿宋_GB2312"/>
      <w:b/>
      <w:sz w:val="32"/>
      <w:szCs w:val="32"/>
    </w:rPr>
  </w:style>
  <w:style w:type="paragraph" w:customStyle="1" w:styleId="510">
    <w:name w:val="ab"/>
    <w:basedOn w:val="1"/>
    <w:autoRedefine/>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customStyle="1" w:styleId="511">
    <w:name w:val="p0"/>
    <w:basedOn w:val="1"/>
    <w:autoRedefine/>
    <w:qFormat/>
    <w:uiPriority w:val="99"/>
    <w:pPr>
      <w:widowControl/>
      <w:spacing w:before="100" w:beforeAutospacing="1" w:after="100" w:afterAutospacing="1"/>
      <w:jc w:val="left"/>
    </w:pPr>
    <w:rPr>
      <w:rFonts w:ascii="宋体" w:hAnsi="宋体"/>
      <w:kern w:val="0"/>
      <w:sz w:val="24"/>
      <w:szCs w:val="20"/>
    </w:rPr>
  </w:style>
  <w:style w:type="paragraph" w:customStyle="1" w:styleId="512">
    <w:name w:val="样式 正文（首行缩进两字） + 首行缩进:  2 字符 段后: 0.5 行 行距: 1.5 倍行距"/>
    <w:basedOn w:val="14"/>
    <w:autoRedefine/>
    <w:qFormat/>
    <w:uiPriority w:val="99"/>
    <w:pPr>
      <w:spacing w:line="360" w:lineRule="auto"/>
    </w:pPr>
    <w:rPr>
      <w:sz w:val="24"/>
      <w:szCs w:val="24"/>
    </w:rPr>
  </w:style>
  <w:style w:type="paragraph" w:customStyle="1" w:styleId="513">
    <w:name w:val="正文缩进2"/>
    <w:basedOn w:val="1"/>
    <w:autoRedefine/>
    <w:qFormat/>
    <w:uiPriority w:val="99"/>
    <w:pPr>
      <w:autoSpaceDE w:val="0"/>
      <w:autoSpaceDN w:val="0"/>
      <w:adjustRightInd w:val="0"/>
      <w:spacing w:after="180" w:line="310" w:lineRule="auto"/>
      <w:ind w:firstLine="420"/>
      <w:jc w:val="left"/>
    </w:pPr>
    <w:rPr>
      <w:kern w:val="0"/>
      <w:sz w:val="20"/>
      <w:szCs w:val="20"/>
    </w:rPr>
  </w:style>
  <w:style w:type="paragraph" w:customStyle="1" w:styleId="514">
    <w:name w:val="pbullet2cmt"/>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515">
    <w:name w:val="S4-L15-No"/>
    <w:basedOn w:val="483"/>
    <w:autoRedefine/>
    <w:qFormat/>
    <w:uiPriority w:val="99"/>
    <w:pPr>
      <w:tabs>
        <w:tab w:val="left" w:pos="720"/>
      </w:tabs>
      <w:ind w:hanging="720"/>
    </w:pPr>
  </w:style>
  <w:style w:type="paragraph" w:customStyle="1" w:styleId="516">
    <w:name w:val="Char3 Char Char Char1"/>
    <w:basedOn w:val="1"/>
    <w:autoRedefine/>
    <w:qFormat/>
    <w:uiPriority w:val="99"/>
    <w:pPr>
      <w:widowControl/>
      <w:spacing w:after="160" w:line="240" w:lineRule="exact"/>
      <w:jc w:val="left"/>
    </w:pPr>
    <w:rPr>
      <w:szCs w:val="20"/>
    </w:rPr>
  </w:style>
  <w:style w:type="paragraph" w:customStyle="1" w:styleId="517">
    <w:name w:val="样式 样式 标题 4 + 段后: 0.5 行1"/>
    <w:basedOn w:val="334"/>
    <w:next w:val="35"/>
    <w:autoRedefine/>
    <w:qFormat/>
    <w:uiPriority w:val="99"/>
    <w:pPr>
      <w:numPr>
        <w:ilvl w:val="1"/>
        <w:numId w:val="2"/>
      </w:numPr>
      <w:ind w:left="0" w:firstLine="0"/>
    </w:pPr>
  </w:style>
  <w:style w:type="paragraph" w:customStyle="1" w:styleId="518">
    <w:name w:val="Paragraph3"/>
    <w:basedOn w:val="1"/>
    <w:autoRedefine/>
    <w:qFormat/>
    <w:uiPriority w:val="99"/>
    <w:pPr>
      <w:spacing w:before="80" w:afterLines="50"/>
      <w:ind w:left="1530"/>
    </w:pPr>
    <w:rPr>
      <w:rFonts w:ascii="宋体"/>
      <w:kern w:val="0"/>
      <w:szCs w:val="20"/>
    </w:rPr>
  </w:style>
  <w:style w:type="paragraph" w:customStyle="1" w:styleId="519">
    <w:name w:val="样式 标题 3(A-3)sect1.2.3h3H3level_3PIM 3Level 3 HeadHeading..."/>
    <w:basedOn w:val="4"/>
    <w:autoRedefine/>
    <w:qFormat/>
    <w:uiPriority w:val="99"/>
    <w:rPr>
      <w:rFonts w:ascii="Arial" w:hAnsi="Arial"/>
      <w:sz w:val="30"/>
    </w:rPr>
  </w:style>
  <w:style w:type="paragraph" w:customStyle="1" w:styleId="520">
    <w:name w:val="Bullet 2"/>
    <w:basedOn w:val="22"/>
    <w:autoRedefine/>
    <w:qFormat/>
    <w:uiPriority w:val="99"/>
    <w:pPr>
      <w:numPr>
        <w:ilvl w:val="0"/>
        <w:numId w:val="17"/>
      </w:numPr>
      <w:spacing w:beforeLines="10" w:afterLines="10" w:line="264" w:lineRule="auto"/>
    </w:pPr>
    <w:rPr>
      <w:rFonts w:ascii="Arial" w:hAnsi="Arial"/>
      <w:sz w:val="21"/>
      <w:szCs w:val="21"/>
    </w:rPr>
  </w:style>
  <w:style w:type="paragraph" w:customStyle="1" w:styleId="521">
    <w:name w:val="Char Char3 Char Char Char Char"/>
    <w:basedOn w:val="1"/>
    <w:autoRedefine/>
    <w:qFormat/>
    <w:uiPriority w:val="99"/>
    <w:pPr>
      <w:widowControl/>
      <w:spacing w:after="160" w:line="360" w:lineRule="auto"/>
      <w:jc w:val="left"/>
    </w:pPr>
    <w:rPr>
      <w:rFonts w:ascii="Verdana" w:hAnsi="Verdana"/>
      <w:kern w:val="0"/>
      <w:sz w:val="24"/>
      <w:szCs w:val="20"/>
      <w:lang w:eastAsia="en-US"/>
    </w:rPr>
  </w:style>
  <w:style w:type="paragraph" w:customStyle="1" w:styleId="522">
    <w:name w:val="样式 模板描述"/>
    <w:basedOn w:val="1"/>
    <w:next w:val="358"/>
    <w:autoRedefine/>
    <w:qFormat/>
    <w:uiPriority w:val="99"/>
    <w:pPr>
      <w:spacing w:afterLines="50"/>
      <w:jc w:val="left"/>
    </w:pPr>
    <w:rPr>
      <w:rFonts w:ascii="宋体" w:cs="宋体"/>
      <w:i/>
      <w:iCs/>
      <w:color w:val="0000FF"/>
      <w:kern w:val="0"/>
      <w:szCs w:val="21"/>
    </w:rPr>
  </w:style>
  <w:style w:type="paragraph" w:customStyle="1" w:styleId="523">
    <w:name w:val="P2"/>
    <w:basedOn w:val="1"/>
    <w:autoRedefine/>
    <w:qFormat/>
    <w:uiPriority w:val="99"/>
    <w:pPr>
      <w:widowControl/>
      <w:spacing w:before="240" w:line="240" w:lineRule="atLeast"/>
      <w:ind w:left="578"/>
      <w:jc w:val="left"/>
    </w:pPr>
    <w:rPr>
      <w:b/>
      <w:kern w:val="0"/>
      <w:szCs w:val="21"/>
      <w:lang w:val="en-AU" w:eastAsia="en-US"/>
    </w:rPr>
  </w:style>
  <w:style w:type="paragraph" w:customStyle="1" w:styleId="524">
    <w:name w:val="标书_正文"/>
    <w:basedOn w:val="1"/>
    <w:autoRedefine/>
    <w:qFormat/>
    <w:uiPriority w:val="99"/>
    <w:pPr>
      <w:spacing w:line="360" w:lineRule="auto"/>
    </w:pPr>
    <w:rPr>
      <w:rFonts w:ascii="宋体"/>
      <w:b/>
      <w:kern w:val="0"/>
      <w:sz w:val="32"/>
      <w:szCs w:val="32"/>
    </w:rPr>
  </w:style>
  <w:style w:type="paragraph" w:customStyle="1" w:styleId="525">
    <w:name w:val="样式 样式 正文文本缩进 + 仿宋_GB2312 小四 首行缩进:  0 厘米 行距: 1.5 倍行距 + (中文) 仿宋_GB... Char Char"/>
    <w:basedOn w:val="410"/>
    <w:autoRedefine/>
    <w:qFormat/>
    <w:uiPriority w:val="99"/>
    <w:pPr>
      <w:ind w:firstLine="480" w:firstLineChars="200"/>
    </w:pPr>
  </w:style>
  <w:style w:type="paragraph" w:customStyle="1" w:styleId="526">
    <w:name w:val="正文空2格  1."/>
    <w:basedOn w:val="1"/>
    <w:autoRedefine/>
    <w:qFormat/>
    <w:uiPriority w:val="99"/>
    <w:pPr>
      <w:ind w:firstLine="480" w:firstLineChars="200"/>
    </w:pPr>
    <w:rPr>
      <w:rFonts w:cs="宋体"/>
      <w:sz w:val="28"/>
      <w:szCs w:val="20"/>
    </w:rPr>
  </w:style>
  <w:style w:type="paragraph" w:customStyle="1" w:styleId="527">
    <w:name w:val="Table - Text"/>
    <w:basedOn w:val="1"/>
    <w:autoRedefine/>
    <w:qFormat/>
    <w:uiPriority w:val="99"/>
    <w:pPr>
      <w:widowControl/>
      <w:spacing w:before="60" w:afterLines="50"/>
      <w:jc w:val="left"/>
    </w:pPr>
    <w:rPr>
      <w:kern w:val="0"/>
      <w:szCs w:val="20"/>
      <w:lang w:eastAsia="en-US"/>
    </w:rPr>
  </w:style>
  <w:style w:type="paragraph" w:customStyle="1" w:styleId="528">
    <w:name w:val="f1"/>
    <w:basedOn w:val="1"/>
    <w:autoRedefine/>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29">
    <w:name w:val="Proposals body"/>
    <w:basedOn w:val="1"/>
    <w:next w:val="1"/>
    <w:autoRedefine/>
    <w:qFormat/>
    <w:uiPriority w:val="99"/>
    <w:pPr>
      <w:widowControl/>
      <w:spacing w:line="360" w:lineRule="auto"/>
      <w:jc w:val="left"/>
    </w:pPr>
    <w:rPr>
      <w:rFonts w:ascii="宋体"/>
      <w:color w:val="000000"/>
      <w:kern w:val="0"/>
      <w:sz w:val="24"/>
      <w:szCs w:val="20"/>
    </w:rPr>
  </w:style>
  <w:style w:type="paragraph" w:customStyle="1" w:styleId="530">
    <w:name w:val="小标题"/>
    <w:basedOn w:val="22"/>
    <w:autoRedefine/>
    <w:qFormat/>
    <w:uiPriority w:val="99"/>
    <w:pPr>
      <w:tabs>
        <w:tab w:val="left" w:pos="840"/>
      </w:tabs>
      <w:spacing w:before="60" w:after="60" w:line="360" w:lineRule="auto"/>
      <w:ind w:left="840" w:hanging="420"/>
    </w:pPr>
    <w:rPr>
      <w:rFonts w:eastAsia="黑体"/>
      <w:sz w:val="24"/>
      <w:szCs w:val="20"/>
    </w:rPr>
  </w:style>
  <w:style w:type="paragraph" w:customStyle="1" w:styleId="531">
    <w:name w:val="样式 样式 标题 4 + 段后: 0.5 行 + 段后: 0.5 行"/>
    <w:basedOn w:val="334"/>
    <w:autoRedefine/>
    <w:qFormat/>
    <w:uiPriority w:val="99"/>
    <w:pPr>
      <w:numPr>
        <w:numId w:val="0"/>
      </w:numPr>
      <w:tabs>
        <w:tab w:val="left" w:pos="864"/>
      </w:tabs>
      <w:ind w:left="864" w:hanging="864"/>
    </w:pPr>
  </w:style>
  <w:style w:type="paragraph" w:customStyle="1" w:styleId="532">
    <w:name w:val="4"/>
    <w:basedOn w:val="1"/>
    <w:autoRedefine/>
    <w:qFormat/>
    <w:uiPriority w:val="99"/>
  </w:style>
  <w:style w:type="paragraph" w:customStyle="1" w:styleId="533">
    <w:name w:val="样式 四号 行距: 1.5 倍行距"/>
    <w:basedOn w:val="1"/>
    <w:autoRedefine/>
    <w:qFormat/>
    <w:uiPriority w:val="99"/>
    <w:pPr>
      <w:spacing w:line="312" w:lineRule="auto"/>
      <w:ind w:firstLine="202" w:firstLineChars="202"/>
    </w:pPr>
    <w:rPr>
      <w:rFonts w:cs="宋体"/>
      <w:sz w:val="24"/>
      <w:szCs w:val="20"/>
    </w:rPr>
  </w:style>
  <w:style w:type="paragraph" w:customStyle="1" w:styleId="534">
    <w:name w:val="最新标题1"/>
    <w:basedOn w:val="402"/>
    <w:next w:val="404"/>
    <w:autoRedefine/>
    <w:qFormat/>
    <w:uiPriority w:val="99"/>
    <w:rPr>
      <w:bCs/>
    </w:rPr>
  </w:style>
  <w:style w:type="paragraph" w:customStyle="1" w:styleId="535">
    <w:name w:val="Main Title"/>
    <w:basedOn w:val="1"/>
    <w:autoRedefine/>
    <w:qFormat/>
    <w:uiPriority w:val="99"/>
    <w:pPr>
      <w:spacing w:before="480" w:afterLines="50"/>
      <w:jc w:val="center"/>
    </w:pPr>
    <w:rPr>
      <w:rFonts w:ascii="宋体"/>
      <w:b/>
      <w:kern w:val="28"/>
      <w:sz w:val="32"/>
      <w:szCs w:val="20"/>
    </w:rPr>
  </w:style>
  <w:style w:type="paragraph" w:customStyle="1" w:styleId="536">
    <w:name w:val="_Style 118"/>
    <w:basedOn w:val="1"/>
    <w:autoRedefine/>
    <w:qFormat/>
    <w:uiPriority w:val="99"/>
  </w:style>
  <w:style w:type="paragraph" w:customStyle="1" w:styleId="537">
    <w:name w:val="Tabletext"/>
    <w:basedOn w:val="1"/>
    <w:autoRedefine/>
    <w:qFormat/>
    <w:uiPriority w:val="99"/>
    <w:pPr>
      <w:keepLines/>
      <w:spacing w:afterLines="50"/>
      <w:jc w:val="left"/>
    </w:pPr>
    <w:rPr>
      <w:rFonts w:ascii="宋体"/>
      <w:kern w:val="0"/>
      <w:szCs w:val="20"/>
    </w:rPr>
  </w:style>
  <w:style w:type="table" w:customStyle="1" w:styleId="538">
    <w:name w:val="网格型1"/>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539">
    <w:name w:val="正文5"/>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540">
    <w:name w:val="纯文本1"/>
    <w:basedOn w:val="539"/>
    <w:autoRedefine/>
    <w:qFormat/>
    <w:uiPriority w:val="99"/>
    <w:pPr>
      <w:widowControl/>
      <w:jc w:val="left"/>
    </w:pPr>
    <w:rPr>
      <w:rFonts w:ascii="宋体" w:hAnsi="Courier New"/>
    </w:rPr>
  </w:style>
  <w:style w:type="paragraph" w:customStyle="1" w:styleId="541">
    <w:name w:val="一级标题"/>
    <w:autoRedefine/>
    <w:qFormat/>
    <w:uiPriority w:val="99"/>
    <w:pPr>
      <w:widowControl w:val="0"/>
      <w:spacing w:beforeLines="50" w:afterLines="50" w:line="360" w:lineRule="auto"/>
      <w:jc w:val="center"/>
    </w:pPr>
    <w:rPr>
      <w:rFonts w:ascii="宋体" w:hAnsi="宋体" w:eastAsia="宋体" w:cs="宋体"/>
      <w:b/>
      <w:bCs/>
      <w:kern w:val="2"/>
      <w:sz w:val="36"/>
      <w:szCs w:val="36"/>
      <w:lang w:val="en-US" w:eastAsia="zh-CN" w:bidi="ar-SA"/>
    </w:rPr>
  </w:style>
  <w:style w:type="character" w:customStyle="1" w:styleId="542">
    <w:name w:val="10"/>
    <w:basedOn w:val="57"/>
    <w:autoRedefine/>
    <w:qFormat/>
    <w:uiPriority w:val="99"/>
    <w:rPr>
      <w:rFonts w:ascii="楷体_GB2312" w:eastAsia="楷体_GB2312" w:cs="Times New Roman"/>
    </w:rPr>
  </w:style>
  <w:style w:type="character" w:customStyle="1" w:styleId="543">
    <w:name w:val="font41"/>
    <w:autoRedefine/>
    <w:qFormat/>
    <w:uiPriority w:val="99"/>
    <w:rPr>
      <w:rFonts w:ascii="Wingdings" w:hAnsi="Wingdings"/>
      <w:color w:val="000000"/>
      <w:sz w:val="22"/>
      <w:u w:val="none"/>
    </w:rPr>
  </w:style>
  <w:style w:type="character" w:customStyle="1" w:styleId="544">
    <w:name w:val="font01"/>
    <w:autoRedefine/>
    <w:qFormat/>
    <w:uiPriority w:val="99"/>
    <w:rPr>
      <w:rFonts w:ascii="宋体" w:hAnsi="宋体" w:eastAsia="宋体"/>
      <w:color w:val="000000"/>
      <w:sz w:val="22"/>
      <w:u w:val="none"/>
    </w:rPr>
  </w:style>
  <w:style w:type="paragraph" w:customStyle="1" w:styleId="545">
    <w:name w:val="_Style 5"/>
    <w:basedOn w:val="1"/>
    <w:autoRedefine/>
    <w:qFormat/>
    <w:uiPriority w:val="99"/>
    <w:pPr>
      <w:widowControl/>
      <w:spacing w:after="160" w:line="259" w:lineRule="auto"/>
      <w:ind w:firstLine="420" w:firstLineChars="200"/>
      <w:jc w:val="left"/>
    </w:pPr>
    <w:rPr>
      <w:rFonts w:ascii="Calibri" w:hAnsi="Calibri"/>
      <w:kern w:val="0"/>
      <w:sz w:val="22"/>
    </w:rPr>
  </w:style>
  <w:style w:type="paragraph" w:customStyle="1" w:styleId="546">
    <w:name w:val="样式 列表编号 + 段后: 0.5 行"/>
    <w:basedOn w:val="13"/>
    <w:autoRedefine/>
    <w:qFormat/>
    <w:uiPriority w:val="99"/>
    <w:pPr>
      <w:tabs>
        <w:tab w:val="clear" w:pos="454"/>
      </w:tabs>
      <w:spacing w:after="156" w:line="360" w:lineRule="auto"/>
      <w:ind w:left="720" w:hanging="720"/>
    </w:pPr>
  </w:style>
  <w:style w:type="paragraph" w:customStyle="1" w:styleId="547">
    <w:name w:val="正文 + 宋体"/>
    <w:basedOn w:val="1"/>
    <w:autoRedefine/>
    <w:qFormat/>
    <w:uiPriority w:val="99"/>
    <w:pPr>
      <w:spacing w:beforeLines="10" w:line="400" w:lineRule="atLeast"/>
      <w:ind w:firstLine="420"/>
    </w:pPr>
    <w:rPr>
      <w:rFonts w:ascii="宋体" w:hAnsi="宋体"/>
      <w:szCs w:val="20"/>
    </w:rPr>
  </w:style>
  <w:style w:type="paragraph" w:customStyle="1" w:styleId="548">
    <w:name w:val="DG正文"/>
    <w:basedOn w:val="1"/>
    <w:autoRedefine/>
    <w:qFormat/>
    <w:uiPriority w:val="99"/>
    <w:pPr>
      <w:widowControl/>
      <w:spacing w:line="360" w:lineRule="auto"/>
      <w:ind w:right="142" w:firstLine="640" w:firstLineChars="200"/>
      <w:jc w:val="left"/>
    </w:pPr>
    <w:rPr>
      <w:rFonts w:ascii="Calibri" w:hAnsi="Calibri" w:cs="Calibri"/>
      <w:sz w:val="24"/>
      <w:szCs w:val="24"/>
    </w:rPr>
  </w:style>
  <w:style w:type="character" w:customStyle="1" w:styleId="549">
    <w:name w:val="case31"/>
    <w:basedOn w:val="57"/>
    <w:autoRedefine/>
    <w:qFormat/>
    <w:uiPriority w:val="99"/>
    <w:rPr>
      <w:rFonts w:ascii="_x000B__x000C_" w:hAnsi="_x000B__x000C_" w:cs="Times New Roman"/>
      <w:sz w:val="21"/>
      <w:szCs w:val="21"/>
    </w:rPr>
  </w:style>
  <w:style w:type="paragraph" w:customStyle="1" w:styleId="550">
    <w:name w:val="Plain Text2"/>
    <w:basedOn w:val="551"/>
    <w:autoRedefine/>
    <w:qFormat/>
    <w:uiPriority w:val="99"/>
    <w:pPr>
      <w:widowControl/>
      <w:jc w:val="left"/>
    </w:pPr>
    <w:rPr>
      <w:rFonts w:ascii="Times New Roman" w:hAnsi="Courier New" w:cs="Times New Roman"/>
    </w:rPr>
  </w:style>
  <w:style w:type="paragraph" w:customStyle="1" w:styleId="551">
    <w:name w:val="Normal1"/>
    <w:basedOn w:val="1"/>
    <w:autoRedefine/>
    <w:qFormat/>
    <w:uiPriority w:val="99"/>
    <w:rPr>
      <w:rFonts w:ascii="宋体" w:hAnsi="宋体" w:cs="宋体"/>
      <w:szCs w:val="21"/>
    </w:rPr>
  </w:style>
  <w:style w:type="paragraph" w:customStyle="1" w:styleId="552">
    <w:name w:val="Heading1"/>
    <w:next w:val="1"/>
    <w:autoRedefine/>
    <w:qFormat/>
    <w:uiPriority w:val="0"/>
    <w:pPr>
      <w:keepNext/>
      <w:keepLines/>
      <w:widowControl w:val="0"/>
      <w:spacing w:before="340" w:after="330" w:line="578" w:lineRule="auto"/>
      <w:ind w:left="425" w:hanging="425" w:firstLineChars="200"/>
      <w:jc w:val="both"/>
    </w:pPr>
    <w:rPr>
      <w:rFonts w:ascii="Times New Roman" w:hAnsi="Times New Roman" w:eastAsia="仿宋_GB2312" w:cs="Times New Roman"/>
      <w:b/>
      <w:kern w:val="44"/>
      <w:sz w:val="44"/>
      <w:lang w:val="en-US" w:eastAsia="zh-CN" w:bidi="ar-SA"/>
    </w:rPr>
  </w:style>
  <w:style w:type="character" w:customStyle="1" w:styleId="553">
    <w:name w:val="font11"/>
    <w:basedOn w:val="57"/>
    <w:autoRedefine/>
    <w:qFormat/>
    <w:uiPriority w:val="0"/>
    <w:rPr>
      <w:rFonts w:hint="eastAsia" w:ascii="宋体" w:hAnsi="宋体" w:eastAsia="宋体" w:cs="宋体"/>
      <w:color w:val="000000"/>
      <w:sz w:val="20"/>
      <w:szCs w:val="20"/>
      <w:u w:val="none"/>
    </w:rPr>
  </w:style>
  <w:style w:type="paragraph" w:customStyle="1" w:styleId="554">
    <w:name w:val="列出段落2"/>
    <w:basedOn w:val="1"/>
    <w:autoRedefine/>
    <w:qFormat/>
    <w:uiPriority w:val="0"/>
    <w:pPr>
      <w:ind w:firstLine="420" w:firstLineChars="200"/>
    </w:pPr>
  </w:style>
  <w:style w:type="paragraph" w:customStyle="1" w:styleId="555">
    <w:name w:val="Table Paragraph"/>
    <w:basedOn w:val="1"/>
    <w:autoRedefine/>
    <w:qFormat/>
    <w:uiPriority w:val="1"/>
    <w:pPr>
      <w:autoSpaceDE w:val="0"/>
      <w:autoSpaceDN w:val="0"/>
      <w:jc w:val="left"/>
    </w:pPr>
    <w:rPr>
      <w:rFonts w:ascii="宋体" w:hAnsi="宋体" w:cs="宋体"/>
      <w:kern w:val="0"/>
      <w:sz w:val="22"/>
      <w:lang w:val="zh-CN" w:bidi="zh-CN"/>
    </w:rPr>
  </w:style>
  <w:style w:type="paragraph" w:customStyle="1" w:styleId="556">
    <w:name w:val="图"/>
    <w:basedOn w:val="1"/>
    <w:autoRedefine/>
    <w:qFormat/>
    <w:uiPriority w:val="0"/>
    <w:pPr>
      <w:keepNext/>
      <w:adjustRightInd w:val="0"/>
      <w:snapToGrid w:val="0"/>
      <w:spacing w:before="60" w:after="60" w:line="300" w:lineRule="auto"/>
      <w:jc w:val="center"/>
    </w:pPr>
    <w:rPr>
      <w:spacing w:val="20"/>
      <w:kern w:val="0"/>
      <w:sz w:val="24"/>
      <w:szCs w:val="20"/>
    </w:rPr>
  </w:style>
  <w:style w:type="paragraph" w:styleId="557">
    <w:name w:val="List Paragraph"/>
    <w:basedOn w:val="1"/>
    <w:autoRedefine/>
    <w:qFormat/>
    <w:uiPriority w:val="34"/>
    <w:pPr>
      <w:ind w:firstLine="420" w:firstLineChars="200"/>
    </w:pPr>
  </w:style>
  <w:style w:type="paragraph" w:customStyle="1" w:styleId="558">
    <w:name w:val="_正文"/>
    <w:basedOn w:val="1"/>
    <w:autoRedefine/>
    <w:qFormat/>
    <w:uiPriority w:val="0"/>
    <w:pPr>
      <w:adjustRightInd w:val="0"/>
      <w:snapToGrid w:val="0"/>
      <w:ind w:firstLine="200" w:firstLineChars="200"/>
    </w:pPr>
    <w:rPr>
      <w:rFonts w:cs="宋体"/>
    </w:rPr>
  </w:style>
  <w:style w:type="character" w:customStyle="1" w:styleId="559">
    <w:name w:val="font151"/>
    <w:basedOn w:val="57"/>
    <w:autoRedefine/>
    <w:qFormat/>
    <w:uiPriority w:val="0"/>
    <w:rPr>
      <w:rFonts w:hint="eastAsia" w:ascii="宋体" w:hAnsi="宋体" w:eastAsia="宋体" w:cs="宋体"/>
      <w:color w:val="000000"/>
      <w:sz w:val="20"/>
      <w:szCs w:val="20"/>
      <w:u w:val="none"/>
    </w:rPr>
  </w:style>
  <w:style w:type="paragraph" w:customStyle="1" w:styleId="560">
    <w:name w:val="正文 New New New New"/>
    <w:autoRedefine/>
    <w:qFormat/>
    <w:uiPriority w:val="99"/>
    <w:pPr>
      <w:widowControl w:val="0"/>
      <w:jc w:val="both"/>
    </w:pPr>
    <w:rPr>
      <w:rFonts w:ascii="Times New Roman" w:hAnsi="Times New Roman" w:eastAsia="宋体" w:cs="Times New Roman"/>
      <w:szCs w:val="24"/>
      <w:lang w:val="en-US" w:eastAsia="zh-CN" w:bidi="ar-SA"/>
    </w:rPr>
  </w:style>
  <w:style w:type="paragraph" w:customStyle="1" w:styleId="561">
    <w:name w:val="纯文本_0_0"/>
    <w:basedOn w:val="562"/>
    <w:autoRedefine/>
    <w:qFormat/>
    <w:uiPriority w:val="0"/>
    <w:rPr>
      <w:rFonts w:ascii="宋体" w:hAnsi="Courier New"/>
      <w:szCs w:val="21"/>
    </w:rPr>
  </w:style>
  <w:style w:type="paragraph" w:customStyle="1" w:styleId="56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3">
    <w:name w:val="纯文本2"/>
    <w:basedOn w:val="564"/>
    <w:autoRedefine/>
    <w:qFormat/>
    <w:uiPriority w:val="0"/>
    <w:pPr>
      <w:widowControl/>
      <w:jc w:val="left"/>
    </w:pPr>
    <w:rPr>
      <w:rFonts w:hAnsi="Courier New"/>
    </w:rPr>
  </w:style>
  <w:style w:type="paragraph" w:customStyle="1" w:styleId="564">
    <w:name w:val="正文6"/>
    <w:autoRedefine/>
    <w:qFormat/>
    <w:uiPriority w:val="0"/>
    <w:pPr>
      <w:widowControl w:val="0"/>
      <w:spacing w:line="360" w:lineRule="auto"/>
      <w:jc w:val="both"/>
    </w:pPr>
    <w:rPr>
      <w:rFonts w:hint="eastAsia" w:ascii="Times New Roman" w:hAnsi="Times New Roman" w:eastAsia="宋体" w:cs="Times New Roman"/>
      <w:kern w:val="2"/>
      <w:sz w:val="21"/>
      <w:lang w:val="en-US" w:eastAsia="zh-CN" w:bidi="ar-SA"/>
    </w:rPr>
  </w:style>
  <w:style w:type="paragraph" w:customStyle="1" w:styleId="565">
    <w:name w:val="普通(网站)_0"/>
    <w:basedOn w:val="1"/>
    <w:autoRedefine/>
    <w:unhideWhenUsed/>
    <w:qFormat/>
    <w:uiPriority w:val="0"/>
    <w:pPr>
      <w:spacing w:before="100" w:beforeAutospacing="1" w:after="100" w:afterAutospacing="1"/>
    </w:pPr>
    <w:rPr>
      <w:rFonts w:ascii="宋体"/>
      <w:sz w:val="24"/>
    </w:rPr>
  </w:style>
  <w:style w:type="paragraph" w:customStyle="1" w:styleId="566">
    <w:name w:val="默认"/>
    <w:autoRedefine/>
    <w:qFormat/>
    <w:uiPriority w:val="0"/>
    <w:pPr>
      <w:spacing w:before="160" w:line="288" w:lineRule="auto"/>
    </w:pPr>
    <w:rPr>
      <w:rFonts w:hint="eastAsia" w:ascii="Arial Unicode MS" w:hAnsi="Arial Unicode MS" w:eastAsia="PingFang SC Regular" w:cs="Arial Unicode MS"/>
      <w:color w:val="000000"/>
      <w:kern w:val="0"/>
      <w:sz w:val="24"/>
      <w:szCs w:val="24"/>
      <w:lang w:val="zh-CN" w:eastAsia="zh-CN" w:bidi="ar-SA"/>
    </w:rPr>
  </w:style>
  <w:style w:type="paragraph" w:customStyle="1" w:styleId="567">
    <w:name w:val="表格样式 1"/>
    <w:autoRedefine/>
    <w:qFormat/>
    <w:uiPriority w:val="0"/>
    <w:rPr>
      <w:rFonts w:ascii="PingFang SC Semibold" w:hAnsi="PingFang SC Semibold" w:eastAsia="PingFang SC Semibold" w:cs="PingFang SC Semibold"/>
      <w:color w:val="000000"/>
      <w:kern w:val="0"/>
      <w:sz w:val="20"/>
      <w:szCs w:val="20"/>
      <w:lang w:val="en-US" w:eastAsia="zh-CN" w:bidi="ar-SA"/>
    </w:rPr>
  </w:style>
  <w:style w:type="paragraph" w:customStyle="1" w:styleId="568">
    <w:name w:val="表格样式 2"/>
    <w:autoRedefine/>
    <w:qFormat/>
    <w:uiPriority w:val="0"/>
    <w:rPr>
      <w:rFonts w:ascii="PingFang SC Regular" w:hAnsi="PingFang SC Regular" w:eastAsia="PingFang SC Regular" w:cs="PingFang SC Regular"/>
      <w:color w:val="000000"/>
      <w:kern w:val="0"/>
      <w:sz w:val="20"/>
      <w:szCs w:val="20"/>
      <w:lang w:val="en-US" w:eastAsia="zh-CN" w:bidi="ar-SA"/>
    </w:rPr>
  </w:style>
  <w:style w:type="paragraph" w:customStyle="1" w:styleId="569">
    <w:name w:val="Heading2"/>
    <w:basedOn w:val="552"/>
    <w:next w:val="1"/>
    <w:autoRedefine/>
    <w:qFormat/>
    <w:uiPriority w:val="0"/>
    <w:pPr>
      <w:keepLines/>
      <w:tabs>
        <w:tab w:val="left" w:pos="706"/>
        <w:tab w:val="left" w:pos="1110"/>
      </w:tabs>
      <w:ind w:left="106" w:firstLine="454"/>
    </w:pPr>
    <w:rPr>
      <w:rFonts w:ascii="Arial" w:hAnsi="Arial" w:cs="Arial"/>
      <w:bCs/>
      <w:szCs w:val="32"/>
    </w:rPr>
  </w:style>
  <w:style w:type="paragraph" w:customStyle="1" w:styleId="57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71">
    <w:name w:val="Plain Text"/>
    <w:basedOn w:val="572"/>
    <w:autoRedefine/>
    <w:qFormat/>
    <w:uiPriority w:val="0"/>
    <w:pPr>
      <w:widowControl/>
      <w:jc w:val="left"/>
    </w:pPr>
    <w:rPr>
      <w:rFonts w:ascii="宋体" w:hAnsi="Courier New"/>
    </w:rPr>
  </w:style>
  <w:style w:type="paragraph" w:customStyle="1" w:styleId="572">
    <w:name w:val="Normal"/>
    <w:basedOn w:val="1"/>
    <w:autoRedefine/>
    <w:qFormat/>
    <w:uiPriority w:val="0"/>
    <w:pPr>
      <w:widowControl w:val="0"/>
      <w:jc w:val="both"/>
    </w:pPr>
    <w:rPr>
      <w:rFonts w:eastAsia="宋体"/>
      <w:color w:val="000000"/>
      <w:kern w:val="1"/>
      <w:sz w:val="21"/>
      <w:lang w:val="en-US" w:eastAsia="zh-CN" w:bidi="ar-SA"/>
    </w:rPr>
  </w:style>
  <w:style w:type="character" w:customStyle="1" w:styleId="573">
    <w:name w:val="NormalCharacter"/>
    <w:autoRedefine/>
    <w:semiHidden/>
    <w:qFormat/>
    <w:uiPriority w:val="0"/>
    <w:rPr>
      <w:rFonts w:ascii="Calibri" w:hAnsi="Calibri"/>
      <w:kern w:val="2"/>
      <w:sz w:val="21"/>
      <w:szCs w:val="24"/>
      <w:lang w:val="en-US" w:eastAsia="zh-CN" w:bidi="ar-SA"/>
    </w:rPr>
  </w:style>
  <w:style w:type="paragraph" w:customStyle="1" w:styleId="574">
    <w:name w:val="Normal_6"/>
    <w:autoRedefine/>
    <w:qFormat/>
    <w:uiPriority w:val="0"/>
    <w:pPr>
      <w:spacing w:before="120" w:after="240"/>
      <w:jc w:val="both"/>
    </w:pPr>
    <w:rPr>
      <w:rFonts w:ascii="Calibri" w:hAnsi="Calibri" w:eastAsia="Calibri" w:cs="Times New Roman"/>
      <w:sz w:val="22"/>
      <w:szCs w:val="22"/>
      <w:lang w:val="ru-RU" w:eastAsia="en-US" w:bidi="ar-SA"/>
    </w:rPr>
  </w:style>
  <w:style w:type="character" w:customStyle="1" w:styleId="575">
    <w:name w:val="font71"/>
    <w:basedOn w:val="57"/>
    <w:autoRedefine/>
    <w:qFormat/>
    <w:uiPriority w:val="0"/>
    <w:rPr>
      <w:rFonts w:hint="eastAsia" w:ascii="宋体" w:hAnsi="宋体" w:eastAsia="宋体" w:cs="宋体"/>
      <w:color w:val="000000"/>
      <w:sz w:val="16"/>
      <w:szCs w:val="16"/>
      <w:u w:val="none"/>
    </w:rPr>
  </w:style>
  <w:style w:type="paragraph" w:customStyle="1" w:styleId="576">
    <w:name w:val="表格格式"/>
    <w:basedOn w:val="1"/>
    <w:autoRedefine/>
    <w:qFormat/>
    <w:uiPriority w:val="0"/>
    <w:pPr>
      <w:spacing w:line="240" w:lineRule="auto"/>
      <w:ind w:firstLine="0" w:firstLineChars="0"/>
      <w:jc w:val="center"/>
    </w:pPr>
    <w:rPr>
      <w:rFonts w:ascii="Times New Roman" w:hAnsi="Times New Roman" w:eastAsia="宋体" w:cs="Times New Roman"/>
      <w:sz w:val="21"/>
      <w:szCs w:val="21"/>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microsoft.com/office/2006/relationships/keyMapCustomizations" Target="customizations.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Info spid="_x0000_s4100"/>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ZJMIIT</Company>
  <Pages>60</Pages>
  <Words>32522</Words>
  <Characters>34609</Characters>
  <Lines>274</Lines>
  <Paragraphs>77</Paragraphs>
  <TotalTime>7</TotalTime>
  <ScaleCrop>false</ScaleCrop>
  <LinksUpToDate>false</LinksUpToDate>
  <CharactersWithSpaces>36783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2023-03-03T08:46:00Z</dcterms:created>
  <dc:creator>zhangjing</dc:creator>
  <cp:lastModifiedBy>春暖 开</cp:lastModifiedBy>
  <cp:lastPrinted>2024-03-13T08:08:00Z</cp:lastPrinted>
  <dcterms:modified xsi:type="dcterms:W3CDTF">2024-03-14T06:46:38Z</dcterms:modified>
  <dc:title>浙江省政府采购中心关于浙江省</dc:title>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D3113AA185CF42938FED1F049E388051_13</vt:lpwstr>
  </property>
</Properties>
</file>