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ascii="仿宋_GB2312" w:hAnsi="仿宋" w:eastAsia="仿宋_GB2312" w:cs="仿宋_GB2312"/>
          <w:b/>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ascii="仿宋" w:hAnsi="仿宋" w:eastAsia="仿宋" w:cs="仿宋_GB2312"/>
          <w:color w:val="auto"/>
          <w:sz w:val="48"/>
          <w:szCs w:val="48"/>
          <w:highlight w:val="none"/>
        </w:rPr>
        <w:t>滨江区2023-2024年度智能交通设施维护采购项目</w:t>
      </w: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ZJXY-HZ2022-95</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杭州市滨江区综合行政执法局</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杭州市公安局交通警察支队滨江大队</w:t>
      </w:r>
    </w:p>
    <w:p>
      <w:pPr>
        <w:spacing w:line="360" w:lineRule="auto"/>
        <w:jc w:val="center"/>
        <w:rPr>
          <w:rFonts w:ascii="仿宋" w:hAnsi="仿宋" w:eastAsia="仿宋" w:cs="仿宋_GB2312"/>
          <w:bCs/>
          <w:color w:val="auto"/>
          <w:sz w:val="32"/>
          <w:szCs w:val="32"/>
          <w:highlight w:val="none"/>
        </w:rPr>
      </w:pPr>
      <w:r>
        <w:rPr>
          <w:rFonts w:hint="eastAsia" w:ascii="宋体" w:hAnsi="宋体" w:cs="宋体"/>
          <w:bCs/>
          <w:color w:val="auto"/>
          <w:sz w:val="32"/>
          <w:szCs w:val="32"/>
          <w:highlight w:val="none"/>
        </w:rPr>
        <w:t>浙江筑脸全过程工程咨询有限公司</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宋体" w:hAnsi="宋体" w:cs="宋体"/>
          <w:bCs/>
          <w:color w:val="auto"/>
          <w:sz w:val="32"/>
          <w:szCs w:val="32"/>
          <w:highlight w:val="none"/>
        </w:rPr>
        <w:t>二〇二 年十</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二十一</w:t>
      </w:r>
      <w:r>
        <w:rPr>
          <w:rFonts w:hint="eastAsia" w:ascii="宋体" w:hAnsi="宋体" w:cs="宋体"/>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 分</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ascii="仿宋_GB2312" w:hAnsi="仿宋" w:eastAsia="仿宋_GB2312"/>
          <w:color w:val="auto"/>
          <w:sz w:val="24"/>
          <w:highlight w:val="none"/>
          <w:u w:val="single"/>
        </w:rPr>
        <w:t>滨江区2023-2024年度智能交通设施维护采购项目</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13时30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ZJXY-HZ2022-95</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ascii="仿宋_GB2312" w:hAnsi="仿宋" w:eastAsia="仿宋_GB2312"/>
          <w:bCs/>
          <w:color w:val="auto"/>
          <w:sz w:val="24"/>
          <w:highlight w:val="none"/>
        </w:rPr>
        <w:t>滨江区2023-2024年度智能交通设施维护采购项目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ascii="宋体" w:hAnsi="宋体" w:cs="宋体"/>
          <w:color w:val="auto"/>
          <w:kern w:val="0"/>
          <w:sz w:val="24"/>
          <w:highlight w:val="none"/>
          <w:lang w:bidi="ar"/>
        </w:rPr>
        <w:t>32000000</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ascii="宋体" w:hAnsi="宋体" w:cs="宋体"/>
          <w:color w:val="auto"/>
          <w:kern w:val="0"/>
          <w:sz w:val="24"/>
          <w:highlight w:val="none"/>
          <w:lang w:bidi="ar"/>
        </w:rPr>
        <w:t>32000000</w:t>
      </w:r>
    </w:p>
    <w:p>
      <w:pPr>
        <w:pStyle w:val="5"/>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（项目名称）主要内容：对滨江交警大队管辖范围内的所有道路的智能交通设施进行日常维护以及采购管理</w:t>
      </w:r>
      <w:r>
        <w:rPr>
          <w:rFonts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rPr>
        <w:t>详见招标文件第三部分采购需求。</w:t>
      </w:r>
    </w:p>
    <w:p>
      <w:pPr>
        <w:pStyle w:val="128"/>
        <w:ind w:firstLine="482"/>
        <w:outlineLvl w:val="2"/>
        <w:rPr>
          <w:rFonts w:ascii="仿宋_GB2312" w:hAnsi="仿宋" w:eastAsia="仿宋_GB2312"/>
          <w:color w:val="auto"/>
          <w:highlight w:val="none"/>
        </w:rPr>
      </w:pPr>
      <w:r>
        <w:rPr>
          <w:rFonts w:hint="eastAsia" w:ascii="仿宋_GB2312" w:hAnsi="仿宋" w:eastAsia="仿宋_GB2312"/>
          <w:b/>
          <w:color w:val="auto"/>
          <w:highlight w:val="none"/>
        </w:rPr>
        <w:t>合同履约期限：2年</w:t>
      </w:r>
    </w:p>
    <w:p>
      <w:pPr>
        <w:pStyle w:val="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_GB2312" w:hAnsi="仿宋" w:eastAsia="仿宋_GB2312"/>
          <w:color w:val="auto"/>
          <w:sz w:val="24"/>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_GB2312" w:hAnsi="仿宋" w:eastAsia="仿宋_GB2312"/>
          <w:color w:val="auto"/>
          <w:sz w:val="24"/>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w:t>
      </w:r>
      <w:r>
        <w:rPr>
          <w:rFonts w:hint="eastAsia" w:ascii="仿宋_GB2312" w:hAnsi="仿宋" w:eastAsia="仿宋_GB2312"/>
          <w:color w:val="auto"/>
          <w:sz w:val="24"/>
          <w:highlight w:val="none"/>
        </w:rPr>
        <w:t>求合同分包，提供分包意向协议和中小企业声明函，分包意向协议中中小企业合同金额应当达到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如果供应商本身提供所有标的均由中小企业制造、承建或承接，视同符合了资格条件，无需再向中小企业分包，无需提供分包意向协议；</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w:t>
      </w:r>
      <w:r>
        <w:rPr>
          <w:rFonts w:hint="eastAsia" w:ascii="仿宋_GB2312" w:hAnsi="仿宋" w:eastAsia="仿宋_GB2312"/>
          <w:color w:val="auto"/>
          <w:sz w:val="24"/>
          <w:highlight w:val="none"/>
        </w:rPr>
        <w:t>投标人必须具备有效的公路交通工程（公路机电工程）专业承包</w:t>
      </w:r>
      <w:r>
        <w:rPr>
          <w:rFonts w:ascii="仿宋_GB2312" w:hAnsi="仿宋" w:eastAsia="仿宋_GB2312"/>
          <w:color w:val="auto"/>
          <w:sz w:val="24"/>
          <w:highlight w:val="none"/>
        </w:rPr>
        <w:t>壹</w:t>
      </w:r>
      <w:r>
        <w:rPr>
          <w:rFonts w:hint="eastAsia" w:ascii="仿宋_GB2312" w:hAnsi="仿宋" w:eastAsia="仿宋_GB2312"/>
          <w:color w:val="auto"/>
          <w:sz w:val="24"/>
          <w:highlight w:val="none"/>
        </w:rPr>
        <w:t>级资质及以上资质；</w:t>
      </w:r>
    </w:p>
    <w:p>
      <w:pPr>
        <w:snapToGrid w:val="0"/>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olor w:val="auto"/>
          <w:sz w:val="24"/>
          <w:highlight w:val="none"/>
        </w:rPr>
        <w:t>为采购项目提供整体设计、规范编制或者项目管理、监理、检测等服务后</w:t>
      </w:r>
      <w:r>
        <w:rPr>
          <w:rFonts w:hint="eastAsia" w:ascii="仿宋_GB2312" w:hAnsi="仿宋" w:eastAsia="仿宋_GB2312"/>
          <w:color w:val="auto"/>
          <w:sz w:val="24"/>
          <w:highlight w:val="none"/>
        </w:rPr>
        <w:t>不得</w:t>
      </w:r>
      <w:r>
        <w:rPr>
          <w:rFonts w:ascii="仿宋_GB2312" w:hAnsi="仿宋" w:eastAsia="仿宋_GB2312"/>
          <w:color w:val="auto"/>
          <w:sz w:val="24"/>
          <w:highlight w:val="none"/>
        </w:rPr>
        <w:t>再参加该采购项目的其他采购活动</w:t>
      </w:r>
      <w:r>
        <w:rPr>
          <w:rFonts w:ascii="仿宋_GB2312" w:hAnsi="仿宋" w:eastAsia="仿宋_GB2312" w:cs="仿宋_GB2312"/>
          <w:color w:val="auto"/>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00:00至12:00</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0</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13时30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https://www.zcygov.cn/）</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12</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13时30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00秒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2.其他事项：（1）需要落实的政府采购政策：包括节约资源、保护环境、支持创新、促进中小企业发展等。详见招标文件的第二部分总则。（2）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rPr>
        <w:t xml:space="preserve">）招标文件公告期限与招标公告的公告期限一致。  </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1.采购人信息</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名    称：杭州市滨江区综合行政执法局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地    址：杭州市滨江区滨文路358号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传    真：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项目联系人（询问）：冯先生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项目联系方式（询问）：0571-87282564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质疑联系人：童先生 </w:t>
      </w:r>
    </w:p>
    <w:p>
      <w:pPr>
        <w:spacing w:line="360" w:lineRule="auto"/>
        <w:ind w:firstLine="480" w:firstLineChars="200"/>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质疑联系方式：</w:t>
      </w:r>
      <w:r>
        <w:rPr>
          <w:rFonts w:hint="eastAsia" w:ascii="仿宋_GB2312" w:hAnsi="仿宋" w:eastAsia="仿宋_GB2312"/>
          <w:color w:val="auto"/>
          <w:sz w:val="24"/>
          <w:highlight w:val="none"/>
          <w:lang w:eastAsia="zh-CN"/>
        </w:rPr>
        <w:t>0571-87282576</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2.采购代理机构信息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    称：浙江筑脸全过程工程咨询有限公司</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地    址：杭州市萧山区金城路165号金瑞大厦1幢6楼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传    真：/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项目联系人（询问）：韩莹琼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项目联系方式（询问）：13758145887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质疑联系人：蒋炎亮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质疑联系方式：0571-82217356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3.同级政府采购监督管理部门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名    称：杭州市滨江区财政局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地    址：杭州市滨江区江南大道328号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传    真：/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联系人 ：何先生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监督投诉电话：0571-87760023</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3"/>
        <w:spacing w:line="360" w:lineRule="auto"/>
        <w:rPr>
          <w:rFonts w:ascii="仿宋" w:hAnsi="仿宋" w:eastAsia="仿宋" w:cs="仿宋_GB2312"/>
          <w:color w:val="auto"/>
          <w:sz w:val="24"/>
          <w:szCs w:val="24"/>
          <w:highlight w:val="none"/>
        </w:rPr>
      </w:pP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hint="eastAsia" w:ascii="仿宋" w:hAnsi="仿宋" w:eastAsia="仿宋" w:cs="仿宋_GB2312"/>
          <w:b/>
          <w:color w:val="auto"/>
          <w:sz w:val="36"/>
          <w:szCs w:val="20"/>
          <w:highlight w:val="none"/>
        </w:rPr>
        <w:t xml:space="preserve"> </w:t>
      </w:r>
      <w:r>
        <w:rPr>
          <w:rFonts w:ascii="仿宋" w:hAnsi="仿宋" w:eastAsia="仿宋" w:cs="仿宋_GB2312"/>
          <w:b/>
          <w:color w:val="auto"/>
          <w:sz w:val="36"/>
          <w:szCs w:val="20"/>
          <w:highlight w:val="none"/>
        </w:rPr>
        <w:t>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482" w:firstLineChars="2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482" w:firstLineChars="2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47728692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运输</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p>
          <w:p>
            <w:pPr>
              <w:spacing w:line="360" w:lineRule="auto"/>
              <w:rPr>
                <w:rFonts w:ascii="仿宋_GB2312" w:hAnsi="仿宋" w:eastAsia="仿宋_GB2312" w:cs="仿宋_GB2312"/>
                <w:color w:val="auto"/>
                <w:sz w:val="24"/>
                <w:highlight w:val="none"/>
              </w:rPr>
            </w:pPr>
            <w:sdt>
              <w:sdtPr>
                <w:rPr>
                  <w:rFonts w:hint="eastAsia" w:ascii="仿宋_GB2312" w:hAnsi="仿宋" w:eastAsia="仿宋_GB2312" w:cs="Arial"/>
                  <w:color w:val="auto"/>
                  <w:kern w:val="0"/>
                  <w:sz w:val="24"/>
                  <w:highlight w:val="none"/>
                </w:rPr>
                <w:id w:val="-127633135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29664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sdt>
              <w:sdtPr>
                <w:rPr>
                  <w:rFonts w:hint="eastAsia" w:ascii="仿宋_GB2312" w:hAnsi="仿宋" w:eastAsia="仿宋_GB2312" w:cs="Arial"/>
                  <w:color w:val="auto"/>
                  <w:kern w:val="0"/>
                  <w:sz w:val="24"/>
                  <w:highlight w:val="none"/>
                </w:rPr>
                <w:id w:val="-99980297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þ</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0268319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sdt>
              <w:sdtPr>
                <w:rPr>
                  <w:rFonts w:hint="eastAsia" w:ascii="仿宋_GB2312" w:hAnsi="仿宋" w:eastAsia="仿宋_GB2312" w:cs="Arial"/>
                  <w:color w:val="auto"/>
                  <w:kern w:val="0"/>
                  <w:sz w:val="24"/>
                  <w:highlight w:val="none"/>
                </w:rPr>
                <w:id w:val="130342145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olor w:val="auto"/>
                <w:kern w:val="0"/>
                <w:sz w:val="24"/>
                <w:highlight w:val="none"/>
              </w:rPr>
              <w:t>否；</w:t>
            </w:r>
            <w:sdt>
              <w:sdtPr>
                <w:rPr>
                  <w:rFonts w:hint="eastAsia" w:ascii="仿宋_GB2312" w:hAnsi="仿宋" w:eastAsia="仿宋_GB2312" w:cs="Arial"/>
                  <w:color w:val="auto"/>
                  <w:kern w:val="0"/>
                  <w:sz w:val="24"/>
                  <w:highlight w:val="none"/>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59348549"/>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sdt>
              <w:sdtPr>
                <w:rPr>
                  <w:rFonts w:hint="eastAsia" w:ascii="仿宋_GB2312" w:hAnsi="仿宋" w:eastAsia="仿宋_GB2312" w:cs="Arial"/>
                  <w:color w:val="auto"/>
                  <w:kern w:val="0"/>
                  <w:sz w:val="24"/>
                  <w:highlight w:val="none"/>
                </w:rPr>
                <w:id w:val="11740717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ascii="仿宋_GB2312" w:hAnsi="仿宋" w:eastAsia="仿宋_GB2312"/>
                <w:color w:val="auto"/>
                <w:kern w:val="0"/>
                <w:sz w:val="24"/>
                <w:highlight w:val="none"/>
              </w:rPr>
              <w:t>B组织。</w:t>
            </w:r>
          </w:p>
          <w:p>
            <w:pPr>
              <w:snapToGrid w:val="0"/>
              <w:spacing w:line="360" w:lineRule="auto"/>
              <w:jc w:val="left"/>
              <w:rPr>
                <w:rFonts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lang w:val="zh-CN"/>
              </w:rPr>
              <w:t>（1）在评标时安排每个投标人进行方案讲解演示。每个投标人时间不超过</w:t>
            </w:r>
            <w:r>
              <w:rPr>
                <w:rFonts w:hint="eastAsia"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lang w:val="zh-CN"/>
              </w:rPr>
              <w:t>分钟，演示次序以投标文件解密时间先后次序为准，讲解演示人员不超过3人。</w:t>
            </w:r>
          </w:p>
          <w:p>
            <w:pPr>
              <w:snapToGrid w:val="0"/>
              <w:spacing w:line="360" w:lineRule="auto"/>
              <w:jc w:val="left"/>
              <w:rPr>
                <w:rFonts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lang w:val="zh-CN"/>
              </w:rPr>
              <w:t>（2）方案讲解演示方式：</w:t>
            </w:r>
          </w:p>
          <w:p>
            <w:pPr>
              <w:snapToGrid w:val="0"/>
              <w:spacing w:line="360" w:lineRule="auto"/>
              <w:jc w:val="left"/>
              <w:rPr>
                <w:rFonts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lang w:val="zh-CN"/>
              </w:rPr>
              <w:t>各投标人在提供方案讲解演示的光盘或U盘1份，提供的演示文件格式要求为：MP4或AVI</w:t>
            </w:r>
            <w:r>
              <w:rPr>
                <w:rFonts w:hint="eastAsia" w:ascii="仿宋" w:hAnsi="仿宋" w:eastAsia="仿宋"/>
                <w:b/>
                <w:bCs/>
                <w:color w:val="auto"/>
                <w:sz w:val="24"/>
                <w:highlight w:val="none"/>
                <w:lang w:val="zh-CN"/>
              </w:rPr>
              <w:t>（采用图片、PPT等非原型演示的不得分）</w:t>
            </w:r>
            <w:r>
              <w:rPr>
                <w:rFonts w:hint="eastAsia" w:ascii="仿宋_GB2312" w:hAnsi="仿宋" w:eastAsia="仿宋_GB2312" w:cs="仿宋_GB2312"/>
                <w:b/>
                <w:color w:val="auto"/>
                <w:sz w:val="24"/>
                <w:highlight w:val="none"/>
                <w:lang w:val="zh-CN"/>
              </w:rPr>
              <w:t>。演示内容刻录在光盘或U盘，U盘要符合NTFS或者FAT32的格式。</w:t>
            </w:r>
          </w:p>
          <w:p>
            <w:pPr>
              <w:snapToGrid w:val="0"/>
              <w:spacing w:line="360" w:lineRule="auto"/>
              <w:jc w:val="left"/>
              <w:rPr>
                <w:rFonts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lang w:val="zh-CN"/>
              </w:rPr>
              <w:t>方案讲解演示内容应稳定、清晰，刻录成光盘或存储于U盘当中。</w:t>
            </w:r>
          </w:p>
          <w:p>
            <w:pPr>
              <w:snapToGrid w:val="0"/>
              <w:spacing w:line="360" w:lineRule="auto"/>
              <w:jc w:val="left"/>
              <w:rPr>
                <w:rFonts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lang w:val="zh-CN"/>
              </w:rPr>
              <w:t>未提供方案讲解演示光盘或U盘的，或读取不到数据、无法播放，或数据内容不符合要求的，系统演示部分不得分。</w:t>
            </w:r>
          </w:p>
          <w:p>
            <w:pPr>
              <w:snapToGrid w:val="0"/>
              <w:spacing w:line="360" w:lineRule="auto"/>
              <w:jc w:val="left"/>
              <w:rPr>
                <w:rFonts w:ascii="仿宋_GB2312" w:hAnsi="仿宋" w:eastAsia="仿宋_GB2312" w:cs="仿宋_GB2312"/>
                <w:b/>
                <w:color w:val="auto"/>
                <w:sz w:val="24"/>
                <w:highlight w:val="none"/>
                <w:lang w:val="zh-CN"/>
              </w:rPr>
            </w:pPr>
            <w:r>
              <w:rPr>
                <w:rFonts w:hint="eastAsia" w:ascii="仿宋_GB2312" w:hAnsi="仿宋" w:eastAsia="仿宋_GB2312" w:cs="仿宋_GB2312"/>
                <w:b/>
                <w:color w:val="auto"/>
                <w:sz w:val="24"/>
                <w:highlight w:val="none"/>
                <w:lang w:val="zh-CN"/>
              </w:rPr>
              <w:t>注：因投标人自身原因导致无法演示或者演示效果不理想的，责任自负。</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sz w:val="24"/>
                <w:highlight w:val="none"/>
                <w:lang w:val="zh-CN"/>
              </w:rPr>
              <w:t>（3）方案讲解演示文件送达地点：杭州市萧山区金城路165号金瑞大厦1幢6楼 ；方案讲解演示文件签收人员联系电话： 韩莹琼，13758145887 ；方案讲解演示文件递交截止时间：同提交投标文件截止时间。可同备份文件一同递交。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s="Arial"/>
                <w:color w:val="auto"/>
                <w:kern w:val="0"/>
                <w:sz w:val="24"/>
                <w:highlight w:val="none"/>
              </w:rPr>
            </w:pPr>
            <w:sdt>
              <w:sdtPr>
                <w:rPr>
                  <w:rFonts w:hint="eastAsia" w:ascii="仿宋_GB2312" w:hAnsi="仿宋" w:eastAsia="仿宋_GB2312" w:cs="Arial"/>
                  <w:color w:val="auto"/>
                  <w:kern w:val="0"/>
                  <w:sz w:val="24"/>
                  <w:highlight w:val="none"/>
                </w:rPr>
                <w:id w:val="-1828425707"/>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sdt>
              <w:sdtPr>
                <w:rPr>
                  <w:rFonts w:hint="eastAsia" w:ascii="仿宋_GB2312" w:hAnsi="仿宋" w:eastAsia="仿宋_GB2312" w:cs="Arial"/>
                  <w:color w:val="auto"/>
                  <w:kern w:val="0"/>
                  <w:sz w:val="24"/>
                  <w:highlight w:val="none"/>
                </w:rPr>
                <w:id w:val="-528528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872786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货物类，单一产品或</w:t>
            </w:r>
            <w:r>
              <w:rPr>
                <w:rFonts w:hint="eastAsia" w:ascii="仿宋_GB2312" w:hAnsi="仿宋" w:eastAsia="仿宋_GB2312"/>
                <w:color w:val="auto"/>
                <w:kern w:val="0"/>
                <w:sz w:val="24"/>
                <w:highlight w:val="none"/>
              </w:rPr>
              <w:t>核心产品为：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47488555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highlight w:val="none"/>
                  </w:rPr>
                  <w:t>þ</w:t>
                </w:r>
              </w:sdtContent>
            </w:sdt>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color w:val="auto"/>
                <w:highlight w:val="none"/>
                <w:lang w:val="en-US"/>
              </w:rPr>
            </w:pPr>
            <w:r>
              <w:rPr>
                <w:rFonts w:hint="eastAsia" w:cs="Arial"/>
                <w:color w:val="auto"/>
                <w:kern w:val="0"/>
                <w:sz w:val="24"/>
                <w:highlight w:val="none"/>
              </w:rPr>
              <w:t>（</w:t>
            </w:r>
            <w:r>
              <w:rPr>
                <w:rFonts w:cs="Arial"/>
                <w:color w:val="auto"/>
                <w:kern w:val="0"/>
                <w:sz w:val="24"/>
                <w:highlight w:val="none"/>
              </w:rPr>
              <w:t>1</w:t>
            </w:r>
            <w:r>
              <w:rPr>
                <w:rFonts w:hint="eastAsia" w:cs="Arial"/>
                <w:color w:val="auto"/>
                <w:kern w:val="0"/>
                <w:sz w:val="24"/>
                <w:highlight w:val="none"/>
              </w:rPr>
              <w:t>）标的：</w:t>
            </w:r>
            <w:r>
              <w:rPr>
                <w:rFonts w:hint="eastAsia" w:cs="Arial"/>
                <w:color w:val="auto"/>
                <w:kern w:val="0"/>
                <w:sz w:val="24"/>
                <w:highlight w:val="none"/>
                <w:u w:val="single"/>
              </w:rPr>
              <w:t xml:space="preserve"> </w:t>
            </w:r>
            <w:r>
              <w:rPr>
                <w:rFonts w:hint="eastAsia" w:ascii="仿宋" w:cs="仿宋"/>
                <w:color w:val="auto"/>
                <w:szCs w:val="24"/>
                <w:highlight w:val="none"/>
                <w:u w:val="single"/>
              </w:rPr>
              <w:t>智能交通设施维护</w:t>
            </w:r>
            <w:bookmarkStart w:id="408" w:name="_GoBack"/>
            <w:bookmarkEnd w:id="408"/>
            <w:r>
              <w:rPr>
                <w:rFonts w:hint="eastAsia" w:cs="Arial"/>
                <w:color w:val="auto"/>
                <w:kern w:val="0"/>
                <w:sz w:val="24"/>
                <w:highlight w:val="none"/>
                <w:u w:val="single"/>
              </w:rPr>
              <w:t xml:space="preserve"> </w:t>
            </w:r>
            <w:r>
              <w:rPr>
                <w:rFonts w:hint="eastAsia" w:cs="Arial"/>
                <w:color w:val="auto"/>
                <w:kern w:val="0"/>
                <w:sz w:val="24"/>
                <w:highlight w:val="none"/>
              </w:rPr>
              <w:t>，属于</w:t>
            </w:r>
            <w:r>
              <w:rPr>
                <w:rFonts w:hint="eastAsia" w:cs="Arial"/>
                <w:color w:val="auto"/>
                <w:kern w:val="0"/>
                <w:sz w:val="24"/>
                <w:highlight w:val="none"/>
                <w:u w:val="single"/>
              </w:rPr>
              <w:t xml:space="preserve"> </w:t>
            </w:r>
            <w:r>
              <w:rPr>
                <w:rFonts w:hint="eastAsia" w:ascii="仿宋" w:cs="仿宋"/>
                <w:color w:val="auto"/>
                <w:szCs w:val="24"/>
                <w:highlight w:val="none"/>
                <w:u w:val="single"/>
              </w:rPr>
              <w:t>软件和信息技术服务业</w:t>
            </w:r>
            <w:r>
              <w:rPr>
                <w:rFonts w:hint="eastAsia" w:cs="Arial"/>
                <w:color w:val="auto"/>
                <w:kern w:val="0"/>
                <w:sz w:val="24"/>
                <w:highlight w:val="none"/>
                <w:u w:val="single"/>
              </w:rPr>
              <w:t xml:space="preserve">  </w:t>
            </w:r>
            <w:r>
              <w:rPr>
                <w:rFonts w:hint="eastAsia" w:cs="Arial"/>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9"/>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应列明本项目强制节能产品清单、优先节能产品清单、优先环保产品清单。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eastAsia="仿宋"/>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widowControl/>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w:t>
            </w:r>
            <w:r>
              <w:rPr>
                <w:rFonts w:ascii="仿宋_GB2312" w:hAnsi="仿宋" w:eastAsia="仿宋_GB2312"/>
                <w:color w:val="auto"/>
                <w:sz w:val="24"/>
                <w:highlight w:val="none"/>
              </w:rPr>
              <w:t>杭州市滨江区财政局出台了</w:t>
            </w:r>
            <w:r>
              <w:rPr>
                <w:rFonts w:hint="eastAsia" w:ascii="仿宋_GB2312" w:hAnsi="仿宋" w:eastAsia="仿宋_GB2312"/>
                <w:color w:val="auto"/>
                <w:sz w:val="24"/>
                <w:highlight w:val="none"/>
              </w:rPr>
              <w:t>《杭州高新开发区（滨江）政府采购支持中小企业信用融资暂行办法》。供应商中标后根据杭州市滨江区门户网站公示的滨江区政采贷合作银行及联系人信息表（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ascii="Times New Roman" w:hAnsi="Times New Roman" w:eastAsia="宋体" w:cs="Times New Roman"/>
                <w:color w:val="auto"/>
                <w:kern w:val="2"/>
                <w:sz w:val="21"/>
                <w:szCs w:val="24"/>
                <w:highlight w:val="none"/>
              </w:rPr>
              <w:t>http://www.hhtz.gov.cn/art/2022/1/11/art_1487037_59039349.html</w:t>
            </w:r>
            <w:r>
              <w:rPr>
                <w:rStyle w:val="76"/>
                <w:rFonts w:ascii="Times New Roman" w:hAnsi="Times New Roman" w:eastAsia="宋体" w:cs="Times New Roman"/>
                <w:color w:val="auto"/>
                <w:kern w:val="2"/>
                <w:sz w:val="21"/>
                <w:szCs w:val="24"/>
                <w:highlight w:val="none"/>
              </w:rPr>
              <w:fldChar w:fldCharType="end"/>
            </w:r>
            <w:r>
              <w:rPr>
                <w:rFonts w:ascii="仿宋_GB2312" w:hAnsi="仿宋" w:eastAsia="仿宋_GB2312"/>
                <w:snapToGrid w:val="0"/>
                <w:color w:val="auto"/>
                <w:kern w:val="28"/>
                <w:sz w:val="24"/>
                <w:highlight w:val="none"/>
              </w:rPr>
              <w:t>）获取联系方式选择银行进行对接申请。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firstLine="480" w:firstLineChars="200"/>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zh-CN"/>
              </w:rPr>
              <w:t>杭州市萧山区金城路165号金瑞大厦1幢6楼</w:t>
            </w:r>
            <w:r>
              <w:rPr>
                <w:rFonts w:ascii="仿宋_GB2312" w:hAnsi="仿宋" w:eastAsia="仿宋_GB2312"/>
                <w:color w:val="auto"/>
                <w:sz w:val="24"/>
                <w:highlight w:val="none"/>
                <w:u w:val="single"/>
              </w:rPr>
              <w:t xml:space="preserve"> </w:t>
            </w:r>
            <w:r>
              <w:rPr>
                <w:rFonts w:hint="eastAsia" w:ascii="仿宋_GB2312" w:hAnsi="仿宋" w:eastAsia="仿宋_GB2312" w:cs="Times New Roman"/>
                <w:color w:val="auto"/>
                <w:kern w:val="28"/>
                <w:sz w:val="24"/>
                <w:szCs w:val="24"/>
                <w:highlight w:val="none"/>
              </w:rPr>
              <w:t>；备份投标文件签收人员联系电话：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zh-CN"/>
              </w:rPr>
              <w:t xml:space="preserve"> 韩莹琼，13758145887</w:t>
            </w:r>
            <w:r>
              <w:rPr>
                <w:rFonts w:hint="eastAsia" w:ascii="仿宋_GB2312" w:hAnsi="仿宋" w:eastAsia="仿宋_GB2312"/>
                <w:color w:val="auto"/>
                <w:sz w:val="24"/>
                <w:highlight w:val="none"/>
                <w:u w:val="single"/>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无</w:t>
            </w:r>
            <w:r>
              <w:rPr>
                <w:rFonts w:hint="eastAsia" w:ascii="仿宋_GB2312" w:hAnsi="仿宋" w:eastAsia="仿宋_GB2312"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ind w:hanging="4"/>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本次招标代理费按一次性包干价100000元计取，在发放中标（成交）确认书时由中标（成交）候选人支付,该费用考虑在总报价中，不必单列。</w:t>
            </w:r>
          </w:p>
        </w:tc>
      </w:tr>
    </w:tbl>
    <w:p>
      <w:pPr>
        <w:snapToGrid w:val="0"/>
        <w:spacing w:line="360" w:lineRule="auto"/>
        <w:jc w:val="center"/>
        <w:rPr>
          <w:rFonts w:ascii="仿宋" w:hAnsi="仿宋" w:eastAsia="仿宋" w:cs="仿宋_GB2312"/>
          <w:b/>
          <w:color w:val="auto"/>
          <w:sz w:val="32"/>
          <w:szCs w:val="20"/>
          <w:highlight w:val="none"/>
        </w:rPr>
      </w:pPr>
    </w:p>
    <w:bookmarkEnd w:id="10"/>
    <w:p>
      <w:pPr>
        <w:rPr>
          <w:rFonts w:ascii="仿宋_GB2312" w:hAnsi="仿宋" w:eastAsia="仿宋_GB2312" w:cs="仿宋_GB2312"/>
          <w:b/>
          <w:color w:val="auto"/>
          <w:sz w:val="32"/>
          <w:szCs w:val="20"/>
          <w:highlight w:val="none"/>
        </w:rPr>
      </w:pPr>
      <w:bookmarkStart w:id="11" w:name="第三部分"/>
      <w:bookmarkStart w:id="12" w:name="_Toc164416483"/>
      <w:r>
        <w:rPr>
          <w:rFonts w:hint="eastAsia" w:ascii="仿宋_GB2312" w:hAnsi="仿宋" w:eastAsia="仿宋_GB2312" w:cs="仿宋_GB2312"/>
          <w:b/>
          <w:color w:val="auto"/>
          <w:sz w:val="32"/>
          <w:szCs w:val="20"/>
          <w:highlight w:val="none"/>
        </w:rPr>
        <w:br w:type="page"/>
      </w:r>
    </w:p>
    <w:p>
      <w:pPr>
        <w:adjustRightInd/>
        <w:spacing w:line="360" w:lineRule="auto"/>
        <w:ind w:firstLine="3845" w:firstLineChars="1197"/>
        <w:outlineLvl w:val="0"/>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snapToGrid w:val="0"/>
        <w:spacing w:line="360" w:lineRule="auto"/>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1.</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2.1</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2.2</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2.3</w:t>
      </w:r>
      <w:r>
        <w:rPr>
          <w:rFonts w:hint="eastAsia" w:ascii="仿宋_GB2312" w:hAnsi="仿宋" w:eastAsia="仿宋_GB2312"/>
          <w:color w:val="auto"/>
          <w:sz w:val="24"/>
          <w:highlight w:val="none"/>
        </w:rPr>
        <w:t>“投标人”系指响应招标、参加投标竞争的法人、其他组织或者自然人。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2.4</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_GB2312" w:hAnsi="仿宋" w:eastAsia="仿宋_GB2312"/>
          <w:color w:val="auto"/>
          <w:sz w:val="24"/>
          <w:highlight w:val="none"/>
        </w:rPr>
        <w:t>“公章”系指单位法定名称章。因特殊原因需要使用冠以法定名称的业务专用章的，投标时须提供《业务专用章使用说明函》（附件</w:t>
      </w:r>
      <w:r>
        <w:rPr>
          <w:rFonts w:ascii="仿宋_GB2312" w:hAnsi="仿宋" w:eastAsia="仿宋_GB2312"/>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2.7</w:t>
      </w:r>
      <w:r>
        <w:rPr>
          <w:rFonts w:hint="eastAsia" w:ascii="仿宋_GB2312" w:hAnsi="仿宋" w:eastAsia="仿宋_GB2312"/>
          <w:color w:val="auto"/>
          <w:sz w:val="24"/>
          <w:highlight w:val="none"/>
        </w:rPr>
        <w:t>“▲”系指实质性要求条款，“★”系产品采购项目中单一产品或核心产品，“</w:t>
      </w:r>
      <w:sdt>
        <w:sdtPr>
          <w:rPr>
            <w:rFonts w:hint="eastAsia" w:ascii="仿宋_GB2312" w:hAnsi="仿宋" w:eastAsia="仿宋_GB2312" w:cs="Arial"/>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highlight w:val="none"/>
            </w:rPr>
            <w:t>þ</w:t>
          </w:r>
        </w:sdtContent>
      </w:sdt>
      <w:r>
        <w:rPr>
          <w:rFonts w:hint="eastAsia" w:ascii="仿宋_GB2312" w:hAnsi="仿宋" w:eastAsia="仿宋_GB2312"/>
          <w:color w:val="auto"/>
          <w:sz w:val="24"/>
          <w:highlight w:val="none"/>
        </w:rPr>
        <w:t>”系指适用本项目的要求，“</w:t>
      </w:r>
      <w:sdt>
        <w:sdtPr>
          <w:rPr>
            <w:rFonts w:hint="eastAsia" w:ascii="仿宋_GB2312" w:hAnsi="仿宋" w:eastAsia="仿宋_GB2312" w:cs="Arial"/>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”系指不适用本项目的要求。</w:t>
      </w:r>
    </w:p>
    <w:p>
      <w:pPr>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hint="eastAsia" w:ascii="仿宋_GB2312" w:hAnsi="仿宋" w:eastAsia="仿宋_GB2312"/>
          <w:b/>
          <w:color w:val="auto"/>
          <w:sz w:val="24"/>
          <w:highlight w:val="none"/>
        </w:rPr>
        <w:t>采购项目需要落实的政府采购政策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3.1</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3.2</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3.2.2</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2" w:firstLineChars="200"/>
        <w:rPr>
          <w:rFonts w:ascii="仿宋_GB2312" w:hAnsi="仿宋" w:eastAsia="仿宋_GB2312"/>
          <w:b/>
          <w:bCs/>
          <w:color w:val="auto"/>
          <w:sz w:val="24"/>
          <w:highlight w:val="none"/>
        </w:rPr>
      </w:pPr>
      <w:r>
        <w:rPr>
          <w:rFonts w:ascii="仿宋_GB2312" w:hAnsi="仿宋" w:eastAsia="仿宋_GB2312"/>
          <w:b/>
          <w:bCs/>
          <w:color w:val="auto"/>
          <w:sz w:val="24"/>
          <w:highlight w:val="none"/>
        </w:rPr>
        <w:t>3.3.3</w:t>
      </w:r>
      <w:r>
        <w:rPr>
          <w:rFonts w:hint="eastAsia" w:ascii="仿宋_GB2312" w:hAnsi="仿宋" w:eastAsia="仿宋_GB2312"/>
          <w:b/>
          <w:bCs/>
          <w:color w:val="auto"/>
          <w:sz w:val="24"/>
          <w:highlight w:val="none"/>
        </w:rPr>
        <w:t>对于未预留份额专门面向中小企业的政府采购货物或服务项目，以及预留份额政府采购货物或服务项目中的非预留部分标项，对小型和微型企业的投标报价给予20</w:t>
      </w:r>
      <w:r>
        <w:rPr>
          <w:rFonts w:ascii="仿宋_GB2312" w:hAnsi="仿宋" w:eastAsia="仿宋_GB2312"/>
          <w:b/>
          <w:bCs/>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b/>
          <w:bCs/>
          <w:color w:val="auto"/>
          <w:sz w:val="24"/>
          <w:highlight w:val="none"/>
        </w:rPr>
        <w:t>政府</w:t>
      </w:r>
      <w:r>
        <w:rPr>
          <w:rFonts w:ascii="仿宋_GB2312" w:hAnsi="仿宋" w:eastAsia="仿宋_GB2312"/>
          <w:b/>
          <w:bCs/>
          <w:color w:val="auto"/>
          <w:sz w:val="24"/>
          <w:highlight w:val="none"/>
        </w:rPr>
        <w:t>采购</w:t>
      </w:r>
      <w:r>
        <w:rPr>
          <w:rFonts w:hint="eastAsia" w:ascii="仿宋_GB2312" w:hAnsi="仿宋" w:eastAsia="仿宋_GB2312"/>
          <w:b/>
          <w:bCs/>
          <w:color w:val="auto"/>
          <w:sz w:val="24"/>
          <w:highlight w:val="none"/>
        </w:rPr>
        <w:t>货物或服务</w:t>
      </w:r>
      <w:r>
        <w:rPr>
          <w:rFonts w:ascii="仿宋_GB2312" w:hAnsi="仿宋" w:eastAsia="仿宋_GB2312"/>
          <w:b/>
          <w:bCs/>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rPr>
        <w:t>6</w:t>
      </w:r>
      <w:r>
        <w:rPr>
          <w:rFonts w:ascii="仿宋_GB2312" w:hAnsi="仿宋" w:eastAsia="仿宋_GB2312"/>
          <w:b/>
          <w:bCs/>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wordWrap w:val="0"/>
        <w:spacing w:line="360" w:lineRule="auto"/>
        <w:ind w:firstLine="480" w:firstLineChars="200"/>
        <w:jc w:val="left"/>
        <w:rPr>
          <w:rFonts w:ascii="仿宋_GB2312" w:hAnsi="仿宋" w:eastAsia="仿宋_GB2312"/>
          <w:snapToGrid w:val="0"/>
          <w:color w:val="auto"/>
          <w:kern w:val="28"/>
          <w:sz w:val="24"/>
          <w:highlight w:val="none"/>
        </w:rPr>
      </w:pPr>
      <w:r>
        <w:rPr>
          <w:rFonts w:ascii="仿宋_GB2312" w:hAnsi="仿宋" w:eastAsia="仿宋_GB2312"/>
          <w:color w:val="auto"/>
          <w:sz w:val="24"/>
          <w:highlight w:val="none"/>
        </w:rPr>
        <w:t>3.5</w:t>
      </w:r>
      <w:r>
        <w:rPr>
          <w:rFonts w:ascii="仿宋_GB2312" w:hAnsi="仿宋" w:eastAsia="仿宋_GB2312" w:cs="微软雅黑"/>
          <w:color w:val="auto"/>
          <w:kern w:val="0"/>
          <w:sz w:val="24"/>
          <w:highlight w:val="none"/>
          <w:lang w:val="zh-CN"/>
        </w:rPr>
        <w:t>中小企业信用融资：为支持和促进中小企业发展，进一步发挥政府采购政策功能，杭州市滨江区财政局出台了《</w:t>
      </w:r>
      <w:r>
        <w:rPr>
          <w:rFonts w:hint="eastAsia" w:ascii="仿宋_GB2312" w:hAnsi="仿宋" w:eastAsia="仿宋_GB2312" w:cs="微软雅黑"/>
          <w:color w:val="auto"/>
          <w:kern w:val="0"/>
          <w:sz w:val="24"/>
          <w:highlight w:val="none"/>
          <w:lang w:val="zh-CN"/>
        </w:rPr>
        <w:t>关于印发《杭州高新开发区（滨江）政府采购支持中小企业信用融资暂行办法》的通知</w:t>
      </w:r>
      <w:r>
        <w:rPr>
          <w:rFonts w:ascii="仿宋_GB2312" w:hAnsi="仿宋" w:eastAsia="仿宋_GB2312" w:cs="微软雅黑"/>
          <w:color w:val="auto"/>
          <w:kern w:val="0"/>
          <w:sz w:val="24"/>
          <w:highlight w:val="none"/>
          <w:lang w:val="zh-CN"/>
        </w:rPr>
        <w:t>》。</w:t>
      </w:r>
      <w:r>
        <w:rPr>
          <w:rFonts w:hint="eastAsia" w:ascii="仿宋_GB2312" w:hAnsi="仿宋" w:eastAsia="仿宋_GB2312" w:cs="微软雅黑"/>
          <w:color w:val="auto"/>
          <w:kern w:val="0"/>
          <w:sz w:val="24"/>
          <w:highlight w:val="none"/>
          <w:lang w:val="zh-CN"/>
        </w:rPr>
        <w:t>供应商中标后根据滨江区门户网站公示的滨江区政采贷合作银行及联系人信息表（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Fonts w:ascii="仿宋_GB2312" w:hAnsi="仿宋" w:eastAsia="仿宋_GB2312" w:cs="微软雅黑"/>
          <w:snapToGrid w:val="0"/>
          <w:color w:val="auto"/>
          <w:kern w:val="0"/>
          <w:sz w:val="24"/>
          <w:highlight w:val="none"/>
          <w:lang w:val="zh-CN"/>
        </w:rPr>
        <w:t>http://www.hhtz.gov.cn/art/2022/1/11/art_1487037_59039349.html</w:t>
      </w:r>
      <w:r>
        <w:rPr>
          <w:rFonts w:ascii="仿宋_GB2312" w:hAnsi="仿宋" w:eastAsia="仿宋_GB2312" w:cs="微软雅黑"/>
          <w:snapToGrid w:val="0"/>
          <w:color w:val="auto"/>
          <w:kern w:val="0"/>
          <w:sz w:val="24"/>
          <w:highlight w:val="none"/>
          <w:lang w:val="zh-CN"/>
        </w:rPr>
        <w:fldChar w:fldCharType="end"/>
      </w:r>
      <w:r>
        <w:rPr>
          <w:rFonts w:ascii="仿宋_GB2312" w:hAnsi="仿宋" w:eastAsia="仿宋_GB2312" w:cs="微软雅黑"/>
          <w:color w:val="auto"/>
          <w:kern w:val="0"/>
          <w:sz w:val="24"/>
          <w:highlight w:val="none"/>
          <w:lang w:val="zh-CN"/>
        </w:rPr>
        <w:t>）获取联系方式，选择银行进行对接申请。</w:t>
      </w:r>
    </w:p>
    <w:p>
      <w:pPr>
        <w:spacing w:line="360" w:lineRule="auto"/>
        <w:jc w:val="left"/>
        <w:rPr>
          <w:rFonts w:ascii="仿宋_GB2312" w:hAnsi="仿宋" w:eastAsia="仿宋_GB2312"/>
          <w:color w:val="auto"/>
          <w:sz w:val="24"/>
          <w:highlight w:val="none"/>
        </w:rPr>
      </w:pPr>
      <w:r>
        <w:rPr>
          <w:rFonts w:ascii="仿宋_GB2312" w:hAnsi="仿宋" w:eastAsia="仿宋_GB2312"/>
          <w:b/>
          <w:color w:val="auto"/>
          <w:sz w:val="24"/>
          <w:highlight w:val="none"/>
        </w:rPr>
        <w:t>4.</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.2供应商认为招标文件、采购过程和中标结果使自己的权益受到损害的，可以在知道或者应知其权益受到损害之日起七个工作日内，以书面形式向采购人、采购机构提出质疑，否则，采购人、采购机构不予受理。</w:t>
      </w:r>
    </w:p>
    <w:p>
      <w:pPr>
        <w:pStyle w:val="5"/>
        <w:spacing w:line="360" w:lineRule="auto"/>
        <w:ind w:firstLine="720" w:firstLineChars="300"/>
        <w:rPr>
          <w:rFonts w:ascii="仿宋_GB2312" w:hAnsi="仿宋" w:eastAsia="仿宋_GB2312"/>
          <w:snapToGrid/>
          <w:color w:val="auto"/>
          <w:kern w:val="2"/>
          <w:sz w:val="24"/>
          <w:highlight w:val="none"/>
        </w:rPr>
      </w:pPr>
      <w:r>
        <w:rPr>
          <w:rFonts w:ascii="仿宋_GB2312" w:hAnsi="仿宋" w:eastAsia="仿宋_GB2312"/>
          <w:snapToGrid/>
          <w:color w:val="auto"/>
          <w:kern w:val="2"/>
          <w:sz w:val="24"/>
          <w:highlight w:val="none"/>
        </w:rPr>
        <w:t>4.2.2.1对招标文件提出质疑的，质疑期限为供应商获得招标文件之日或者招标文件公告期限届满之日起计算。</w:t>
      </w:r>
    </w:p>
    <w:p>
      <w:pPr>
        <w:pStyle w:val="33"/>
        <w:spacing w:line="360" w:lineRule="auto"/>
        <w:ind w:firstLine="720" w:firstLineChars="3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3"/>
        <w:spacing w:line="360" w:lineRule="auto"/>
        <w:ind w:firstLine="720" w:firstLineChars="3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3"/>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3"/>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采购人、采购机构在质疑回复后</w:t>
      </w:r>
      <w:r>
        <w:rPr>
          <w:rFonts w:ascii="仿宋_GB2312" w:hAnsi="仿宋" w:eastAsia="仿宋_GB2312"/>
          <w:color w:val="auto"/>
          <w:highlight w:val="none"/>
        </w:rPr>
        <w:t>5个工作日内，在浙江政府采购网的“其他公告”栏目公开质疑答复，答复内容应当完整。</w:t>
      </w:r>
      <w:r>
        <w:rPr>
          <w:rFonts w:hint="eastAsia" w:ascii="仿宋_GB2312" w:hAnsi="仿宋" w:eastAsia="仿宋_GB2312"/>
          <w:color w:val="auto"/>
          <w:highlight w:val="none"/>
        </w:rPr>
        <w:t>质疑答复公告时，如对采购文件质疑的，不公布质疑单位名称。涉及国家秘密、个人隐私、商业秘密以及法律法规规定应予保密的信息不公开。</w:t>
      </w:r>
      <w:r>
        <w:rPr>
          <w:rFonts w:ascii="仿宋_GB2312" w:hAnsi="仿宋" w:eastAsia="仿宋_GB2312"/>
          <w:color w:val="auto"/>
          <w:highlight w:val="none"/>
        </w:rPr>
        <w:t>质疑</w:t>
      </w:r>
      <w:r>
        <w:rPr>
          <w:rFonts w:hint="eastAsia" w:ascii="仿宋_GB2312" w:hAnsi="仿宋" w:eastAsia="仿宋_GB2312"/>
          <w:color w:val="auto"/>
          <w:highlight w:val="none"/>
        </w:rPr>
        <w:t>函作为附件上传。</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240" w:firstLineChars="1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hint="eastAsia" w:ascii="仿宋_GB2312" w:hAnsi="仿宋" w:eastAsia="仿宋_GB2312"/>
          <w:color w:val="auto"/>
          <w:highlight w:val="none"/>
        </w:rPr>
        <w:t>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二、招标文件的构成、澄清、修改</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w:t>
      </w:r>
      <w:r>
        <w:rPr>
          <w:rFonts w:hint="eastAsia" w:ascii="仿宋_GB2312" w:hAnsi="仿宋" w:eastAsia="仿宋_GB2312" w:cs="仿宋_GB2312"/>
          <w:color w:val="auto"/>
          <w:sz w:val="24"/>
          <w:szCs w:val="24"/>
          <w:highlight w:val="none"/>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3"/>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6.</w:t>
      </w:r>
      <w:r>
        <w:rPr>
          <w:rFonts w:hint="eastAsia" w:ascii="仿宋_GB2312" w:hAnsi="仿宋" w:eastAsia="仿宋_GB2312" w:cs="仿宋_GB2312"/>
          <w:b/>
          <w:color w:val="auto"/>
          <w:sz w:val="24"/>
          <w:szCs w:val="24"/>
          <w:highlight w:val="none"/>
        </w:rPr>
        <w:t>招标文件的澄清、修改</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8"/>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6.2</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auto"/>
          <w:sz w:val="18"/>
          <w:szCs w:val="18"/>
          <w:highlight w:val="none"/>
          <w:lang w:val="en-US"/>
        </w:rPr>
      </w:pP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7.</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3"/>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5"/>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10.</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11.</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r>
        <w:rPr>
          <w:rFonts w:hint="eastAsia" w:ascii="仿宋_GB2312" w:hAnsi="仿宋" w:eastAsia="仿宋_GB2312" w:cs="仿宋_GB2312"/>
          <w:color w:val="auto"/>
          <w:sz w:val="24"/>
          <w:highlight w:val="none"/>
        </w:rPr>
        <w:t>、报价明细清单</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8"/>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8"/>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14.</w:t>
      </w:r>
      <w:r>
        <w:rPr>
          <w:rFonts w:hint="eastAsia" w:ascii="仿宋_GB2312" w:hAnsi="仿宋" w:eastAsia="仿宋_GB2312" w:cs="仿宋_GB2312"/>
          <w:b/>
          <w:color w:val="auto"/>
          <w:szCs w:val="24"/>
          <w:highlight w:val="none"/>
        </w:rPr>
        <w:t>投标文件的提交、补充、修改、撤回</w:t>
      </w:r>
    </w:p>
    <w:p>
      <w:pPr>
        <w:pStyle w:val="128"/>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14.1</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3"/>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3"/>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color w:val="auto"/>
          <w:sz w:val="24"/>
          <w:szCs w:val="24"/>
          <w:highlight w:val="none"/>
        </w:rPr>
        <w:t>招标文件第二部分投标人须知前附表规定的备份投标文件送达地点；</w:t>
      </w:r>
      <w:r>
        <w:rPr>
          <w:rFonts w:hint="eastAsia" w:ascii="仿宋_GB2312" w:hAnsi="仿宋" w:eastAsia="仿宋_GB2312" w:cs="仿宋_GB2312"/>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5"/>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p>
    <w:p>
      <w:pPr>
        <w:pStyle w:val="554"/>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19</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资格审查</w:t>
      </w:r>
    </w:p>
    <w:p>
      <w:pPr>
        <w:pStyle w:val="128"/>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8"/>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w:t>
      </w:r>
      <w:r>
        <w:rPr>
          <w:rFonts w:hint="eastAsia" w:ascii="仿宋_GB2312" w:hAnsi="仿宋" w:eastAsia="仿宋_GB2312" w:cs="仿宋_GB2312"/>
          <w:b/>
          <w:color w:val="auto"/>
          <w:szCs w:val="24"/>
          <w:highlight w:val="none"/>
        </w:rPr>
        <w:t>.</w:t>
      </w:r>
      <w:r>
        <w:rPr>
          <w:rFonts w:ascii="仿宋_GB2312" w:hAnsi="仿宋" w:eastAsia="仿宋_GB2312" w:cs="仿宋_GB2312"/>
          <w:b/>
          <w:color w:val="auto"/>
          <w:szCs w:val="24"/>
          <w:highlight w:val="none"/>
        </w:rPr>
        <w:t>信用信息查询</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w:t>
      </w:r>
      <w:r>
        <w:rPr>
          <w:rFonts w:hint="eastAsia" w:ascii="仿宋_GB2312" w:hAnsi="仿宋" w:eastAsia="仿宋_GB2312" w:cs="Arial"/>
          <w:color w:val="auto"/>
          <w:kern w:val="0"/>
          <w:szCs w:val="24"/>
          <w:highlight w:val="none"/>
        </w:rPr>
        <w:t>4</w:t>
      </w:r>
      <w:r>
        <w:rPr>
          <w:rFonts w:ascii="仿宋_GB2312" w:hAnsi="仿宋" w:eastAsia="仿宋_GB2312" w:cs="Arial"/>
          <w:color w:val="auto"/>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六、定标</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22.</w:t>
      </w:r>
      <w:r>
        <w:rPr>
          <w:rFonts w:hint="eastAsia" w:ascii="仿宋_GB2312" w:hAnsi="仿宋" w:eastAsia="仿宋_GB2312" w:cs="仿宋_GB2312"/>
          <w:b/>
          <w:color w:val="auto"/>
          <w:highlight w:val="none"/>
        </w:rPr>
        <w:t>确定中标供应商</w:t>
      </w:r>
    </w:p>
    <w:p>
      <w:pPr>
        <w:pStyle w:val="128"/>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采购人将自收到评审报告之日起</w:t>
      </w:r>
      <w:r>
        <w:rPr>
          <w:rFonts w:ascii="仿宋_GB2312" w:hAnsi="仿宋" w:eastAsia="仿宋_GB2312" w:cs="仿宋_GB2312"/>
          <w:color w:val="auto"/>
          <w:szCs w:val="24"/>
          <w:highlight w:val="none"/>
        </w:rPr>
        <w:t>5个工作日内通过电子交易平台在评审报告推荐的中标候选人中按顺序确定中标供应商。</w:t>
      </w:r>
    </w:p>
    <w:p>
      <w:pPr>
        <w:pStyle w:val="128"/>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23.</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24.</w:t>
      </w:r>
      <w:r>
        <w:rPr>
          <w:rFonts w:hint="eastAsia" w:ascii="仿宋_GB2312" w:hAnsi="仿宋" w:eastAsia="仿宋_GB2312" w:cs="仿宋_GB2312"/>
          <w:color w:val="auto"/>
          <w:highlight w:val="none"/>
        </w:rPr>
        <w:t>合同主要条款详见第五部分拟签订的合同文本。</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25.</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采购人与中标人应当通过电子交易平台在中标通知书发出之日起三十日内，按照招标文件确定的事项签订政府采购合同，并在</w:t>
      </w:r>
      <w:r>
        <w:rPr>
          <w:rFonts w:hint="eastAsia" w:ascii="仿宋_GB2312" w:hAnsi="仿宋" w:eastAsia="仿宋_GB2312" w:cs="Arial"/>
          <w:color w:val="auto"/>
          <w:kern w:val="0"/>
          <w:sz w:val="24"/>
          <w:highlight w:val="none"/>
        </w:rPr>
        <w:t>合同签订（或变更）之日起2个工作日</w:t>
      </w:r>
      <w:r>
        <w:rPr>
          <w:rFonts w:ascii="仿宋_GB2312" w:hAnsi="仿宋" w:eastAsia="仿宋_GB2312" w:cs="Arial"/>
          <w:color w:val="auto"/>
          <w:kern w:val="0"/>
          <w:sz w:val="24"/>
          <w:highlight w:val="none"/>
        </w:rPr>
        <w:t>内依法发布合同公告。</w:t>
      </w:r>
    </w:p>
    <w:p>
      <w:pPr>
        <w:pStyle w:val="128"/>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26.</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。履约保证金的数额不得超过政府采购合同金额的1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Helvetica"/>
          <w:color w:val="auto"/>
          <w:kern w:val="0"/>
          <w:sz w:val="24"/>
          <w:highlight w:val="none"/>
        </w:rPr>
      </w:pPr>
      <w:r>
        <w:rPr>
          <w:rFonts w:hint="eastAsia" w:ascii="仿宋_GB2312" w:hAnsi="仿宋" w:eastAsia="仿宋_GB2312"/>
          <w:color w:val="auto"/>
          <w:sz w:val="24"/>
          <w:highlight w:val="none"/>
        </w:rPr>
        <w:t>供应商提供保函可以根据杭州市滨江区门户网站公示的滨江区政采贷合作银行及联系人信息表（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ascii="Times New Roman" w:hAnsi="Times New Roman" w:eastAsia="宋体" w:cs="Times New Roman"/>
          <w:color w:val="auto"/>
          <w:kern w:val="2"/>
          <w:sz w:val="21"/>
          <w:szCs w:val="24"/>
          <w:highlight w:val="none"/>
        </w:rPr>
        <w:t>http://www.hhtz.gov.cn/art/2022/1/11/art_1487037_59039349.html</w:t>
      </w:r>
      <w:r>
        <w:rPr>
          <w:rStyle w:val="76"/>
          <w:rFonts w:ascii="Times New Roman" w:hAnsi="Times New Roman" w:eastAsia="宋体" w:cs="Times New Roman"/>
          <w:color w:val="auto"/>
          <w:kern w:val="2"/>
          <w:sz w:val="21"/>
          <w:szCs w:val="24"/>
          <w:highlight w:val="none"/>
        </w:rPr>
        <w:fldChar w:fldCharType="end"/>
      </w:r>
      <w:r>
        <w:rPr>
          <w:rFonts w:ascii="仿宋_GB2312" w:hAnsi="仿宋" w:eastAsia="仿宋_GB2312"/>
          <w:snapToGrid w:val="0"/>
          <w:color w:val="auto"/>
          <w:kern w:val="28"/>
          <w:sz w:val="24"/>
          <w:highlight w:val="none"/>
        </w:rPr>
        <w:t>）获取联系方式选择银行、对接申请提供保函服务。还可以</w:t>
      </w:r>
      <w:r>
        <w:rPr>
          <w:rFonts w:hint="eastAsia" w:ascii="仿宋_GB2312" w:hAnsi="仿宋" w:eastAsia="仿宋_GB2312" w:cs="Helvetica"/>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7.</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27.1电子交易平台发生故障而无法登录访问的；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27.4病毒发作导致不能进行正常操作的；</w:t>
      </w:r>
    </w:p>
    <w:p>
      <w:pPr>
        <w:pStyle w:val="128"/>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8"/>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b/>
          <w:color w:val="auto"/>
          <w:highlight w:val="none"/>
        </w:rPr>
        <w:t>28.</w:t>
      </w:r>
      <w:r>
        <w:rPr>
          <w:rFonts w:ascii="仿宋_GB2312" w:hAnsi="仿宋" w:eastAsia="仿宋_GB2312" w:cs="仿宋_GB2312"/>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采购人应在浙江政府采购网上及时进行履约验收结果公示，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72998"/>
      <w:bookmarkEnd w:id="14"/>
      <w:bookmarkStart w:id="15" w:name="_Hlt75236290"/>
      <w:bookmarkEnd w:id="15"/>
      <w:bookmarkStart w:id="16" w:name="_Hlt68072990"/>
      <w:bookmarkEnd w:id="16"/>
      <w:bookmarkStart w:id="17" w:name="_Hlt74730295"/>
      <w:bookmarkEnd w:id="17"/>
      <w:bookmarkStart w:id="18" w:name="_Hlt74714665"/>
      <w:bookmarkEnd w:id="18"/>
      <w:bookmarkStart w:id="19" w:name="_Hlt75236011"/>
      <w:bookmarkEnd w:id="19"/>
      <w:bookmarkStart w:id="20" w:name="_Hlt74729768"/>
      <w:bookmarkEnd w:id="20"/>
      <w:bookmarkStart w:id="21" w:name="_Hlt68057669"/>
      <w:bookmarkEnd w:id="21"/>
      <w:bookmarkStart w:id="22" w:name="_Hlt75236101"/>
      <w:bookmarkEnd w:id="22"/>
      <w:bookmarkStart w:id="23" w:name="_Hlt68403820"/>
      <w:bookmarkEnd w:id="23"/>
      <w:bookmarkStart w:id="24" w:name="_Hlt74707468"/>
      <w:bookmarkEnd w:id="24"/>
      <w:bookmarkStart w:id="25" w:name="_Hlt68073093"/>
      <w:bookmarkEnd w:id="25"/>
    </w:p>
    <w:bookmarkEnd w:id="11"/>
    <w:bookmarkEnd w:id="12"/>
    <w:p>
      <w:pPr>
        <w:spacing w:line="360" w:lineRule="auto"/>
        <w:jc w:val="center"/>
        <w:outlineLvl w:val="0"/>
        <w:rPr>
          <w:rFonts w:ascii="仿宋_GB2312" w:hAnsi="仿宋" w:eastAsia="仿宋_GB2312" w:cs="仿宋_GB2312"/>
          <w:b/>
          <w:color w:val="auto"/>
          <w:sz w:val="36"/>
          <w:szCs w:val="36"/>
          <w:highlight w:val="none"/>
        </w:rPr>
      </w:pPr>
      <w:bookmarkStart w:id="26" w:name="第四部分"/>
      <w:r>
        <w:rPr>
          <w:rFonts w:hint="eastAsia" w:ascii="仿宋_GB2312" w:hAnsi="仿宋" w:eastAsia="仿宋_GB2312" w:cs="仿宋_GB2312"/>
          <w:b/>
          <w:color w:val="auto"/>
          <w:sz w:val="36"/>
          <w:szCs w:val="36"/>
          <w:highlight w:val="none"/>
        </w:rPr>
        <w:t>第三部分 采购需求</w:t>
      </w:r>
    </w:p>
    <w:p>
      <w:pPr>
        <w:pStyle w:val="2"/>
        <w:tabs>
          <w:tab w:val="left" w:pos="706"/>
          <w:tab w:val="clear" w:pos="432"/>
        </w:tabs>
        <w:ind w:left="0" w:firstLine="0"/>
        <w:rPr>
          <w:color w:val="auto"/>
          <w:highlight w:val="none"/>
        </w:rPr>
      </w:pPr>
      <w:bookmarkStart w:id="27" w:name="_Toc13823"/>
      <w:bookmarkStart w:id="28" w:name="_Toc30830"/>
      <w:bookmarkStart w:id="29" w:name="_Toc8240"/>
      <w:bookmarkStart w:id="30" w:name="_Toc307393710"/>
      <w:bookmarkStart w:id="31" w:name="_Toc11082"/>
      <w:bookmarkStart w:id="32" w:name="_Toc18363"/>
      <w:r>
        <w:rPr>
          <w:rFonts w:hint="eastAsia"/>
          <w:color w:val="auto"/>
          <w:highlight w:val="none"/>
        </w:rPr>
        <w:t>一、项目概况</w:t>
      </w:r>
      <w:bookmarkEnd w:id="27"/>
      <w:bookmarkEnd w:id="28"/>
      <w:bookmarkEnd w:id="29"/>
      <w:bookmarkEnd w:id="30"/>
      <w:bookmarkEnd w:id="31"/>
      <w:bookmarkEnd w:id="32"/>
    </w:p>
    <w:p>
      <w:pPr>
        <w:spacing w:line="360" w:lineRule="auto"/>
        <w:ind w:firstLine="480"/>
        <w:rPr>
          <w:rFonts w:ascii="宋体" w:hAnsi="宋体"/>
          <w:color w:val="auto"/>
          <w:sz w:val="24"/>
          <w:highlight w:val="none"/>
        </w:rPr>
      </w:pPr>
      <w:r>
        <w:rPr>
          <w:rFonts w:hint="eastAsia" w:ascii="宋体" w:hAnsi="宋体"/>
          <w:color w:val="auto"/>
          <w:sz w:val="24"/>
          <w:highlight w:val="none"/>
        </w:rPr>
        <w:t>1、本次采购主要内容为：对滨江区城市道路交通信号系统、交通监视系统、违法监测系统、重点车辆查控系统等智能交通管理系统、以及滨江交警大队中心机房的维护优化工作。</w:t>
      </w:r>
    </w:p>
    <w:p>
      <w:pPr>
        <w:ind w:left="424" w:leftChars="202" w:firstLine="480" w:firstLineChars="200"/>
        <w:rPr>
          <w:rFonts w:ascii="宋体" w:hAnsi="宋体"/>
          <w:color w:val="auto"/>
          <w:sz w:val="24"/>
          <w:highlight w:val="none"/>
        </w:rPr>
      </w:pPr>
      <w:r>
        <w:rPr>
          <w:rFonts w:hint="eastAsia" w:ascii="宋体" w:hAnsi="宋体"/>
          <w:color w:val="auto"/>
          <w:sz w:val="24"/>
          <w:highlight w:val="none"/>
        </w:rPr>
        <w:t>2、</w:t>
      </w:r>
      <w:r>
        <w:rPr>
          <w:rFonts w:hint="eastAsia" w:cs="宋体" w:asciiTheme="minorEastAsia" w:hAnsiTheme="minorEastAsia" w:eastAsiaTheme="minorEastAsia"/>
          <w:b/>
          <w:color w:val="auto"/>
          <w:sz w:val="24"/>
          <w:highlight w:val="none"/>
        </w:rPr>
        <w:t>本项目服务期2年，2年预算</w:t>
      </w:r>
      <w:r>
        <w:rPr>
          <w:rFonts w:hint="eastAsia" w:cs="宋体" w:asciiTheme="minorEastAsia" w:hAnsiTheme="minorEastAsia" w:eastAsiaTheme="minorEastAsia"/>
          <w:b/>
          <w:color w:val="auto"/>
          <w:sz w:val="24"/>
          <w:highlight w:val="none"/>
          <w:lang w:val="en-US" w:eastAsia="zh-CN"/>
        </w:rPr>
        <w:t>总</w:t>
      </w:r>
      <w:r>
        <w:rPr>
          <w:rFonts w:hint="eastAsia" w:cs="宋体" w:asciiTheme="minorEastAsia" w:hAnsiTheme="minorEastAsia" w:eastAsiaTheme="minorEastAsia"/>
          <w:b/>
          <w:color w:val="auto"/>
          <w:sz w:val="24"/>
          <w:highlight w:val="none"/>
        </w:rPr>
        <w:t>金额为</w:t>
      </w:r>
      <w:r>
        <w:rPr>
          <w:rFonts w:ascii="宋体" w:hAnsi="宋体" w:cs="宋体"/>
          <w:color w:val="auto"/>
          <w:kern w:val="0"/>
          <w:sz w:val="24"/>
          <w:highlight w:val="none"/>
          <w:lang w:bidi="ar"/>
        </w:rPr>
        <w:t>32000000</w:t>
      </w:r>
      <w:r>
        <w:rPr>
          <w:rFonts w:hint="eastAsia" w:ascii="宋体" w:hAnsi="宋体" w:cs="宋体"/>
          <w:color w:val="auto"/>
          <w:kern w:val="0"/>
          <w:sz w:val="24"/>
          <w:highlight w:val="none"/>
          <w:lang w:bidi="ar"/>
        </w:rPr>
        <w:t>元</w:t>
      </w:r>
      <w:r>
        <w:rPr>
          <w:rFonts w:hint="eastAsia" w:ascii="宋体" w:hAnsi="宋体"/>
          <w:color w:val="auto"/>
          <w:sz w:val="24"/>
          <w:highlight w:val="none"/>
        </w:rPr>
        <w:t>。</w:t>
      </w:r>
    </w:p>
    <w:p>
      <w:pPr>
        <w:pStyle w:val="2"/>
        <w:tabs>
          <w:tab w:val="left" w:pos="706"/>
          <w:tab w:val="clear" w:pos="432"/>
        </w:tabs>
        <w:ind w:left="0" w:firstLine="0"/>
        <w:rPr>
          <w:color w:val="auto"/>
          <w:highlight w:val="none"/>
        </w:rPr>
      </w:pPr>
      <w:r>
        <w:rPr>
          <w:rFonts w:hint="eastAsia"/>
          <w:color w:val="auto"/>
          <w:highlight w:val="none"/>
        </w:rPr>
        <w:t>二、项目内容</w:t>
      </w:r>
    </w:p>
    <w:p>
      <w:pPr>
        <w:spacing w:line="360" w:lineRule="auto"/>
        <w:rPr>
          <w:rFonts w:ascii="宋体" w:hAnsi="宋体"/>
          <w:color w:val="auto"/>
          <w:sz w:val="24"/>
          <w:highlight w:val="none"/>
        </w:rPr>
      </w:pPr>
      <w:r>
        <w:rPr>
          <w:rFonts w:hint="eastAsia" w:ascii="宋体" w:hAnsi="宋体"/>
          <w:b/>
          <w:bCs/>
          <w:color w:val="auto"/>
          <w:sz w:val="24"/>
          <w:highlight w:val="none"/>
        </w:rPr>
        <w:t>（一）工作内容简况：</w:t>
      </w:r>
    </w:p>
    <w:p>
      <w:pPr>
        <w:spacing w:line="360" w:lineRule="auto"/>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、滨江区范围内已建成的所有智能交通系统设施的日常巡查、维护及现有未开启的智能交通设施的维修更新及根据大队工作需要的智能交通设施的改造、更新；智能系统的功能提升、改造和调整</w:t>
      </w:r>
      <w:r>
        <w:rPr>
          <w:rFonts w:ascii="宋体" w:hAnsi="宋体"/>
          <w:color w:val="auto"/>
          <w:sz w:val="24"/>
          <w:highlight w:val="none"/>
        </w:rPr>
        <w:t>(</w:t>
      </w:r>
      <w:r>
        <w:rPr>
          <w:rFonts w:hint="eastAsia" w:ascii="宋体" w:hAnsi="宋体"/>
          <w:color w:val="auto"/>
          <w:sz w:val="24"/>
          <w:highlight w:val="none"/>
        </w:rPr>
        <w:t>包括平台的功能调整和外场设备的位置调整等</w:t>
      </w:r>
      <w:r>
        <w:rPr>
          <w:rFonts w:ascii="宋体" w:hAnsi="宋体"/>
          <w:color w:val="auto"/>
          <w:sz w:val="24"/>
          <w:highlight w:val="none"/>
        </w:rPr>
        <w:t>)</w:t>
      </w:r>
      <w:r>
        <w:rPr>
          <w:rFonts w:hint="eastAsia" w:ascii="宋体" w:hAnsi="宋体"/>
          <w:color w:val="auto"/>
          <w:sz w:val="24"/>
          <w:highlight w:val="none"/>
        </w:rPr>
        <w:t>等。保证维护范围内所有智能交通系统设施的完整、工作正常、及时排除因智能交通设施问题而产生的所有安全隐患。</w:t>
      </w:r>
    </w:p>
    <w:p>
      <w:pPr>
        <w:spacing w:line="360" w:lineRule="auto"/>
        <w:ind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日常主要巡查、维护内容为：每日需车辆上路对辖区所有智能交通设施巡查、维护,及时排除故障，对智能交通设施整修、拆除、移位、更换、线路故障、电气故障（如漏电等情况）排除；遇灾害天气，应提前加固外场设备，确保外场设备安全。保证设备</w:t>
      </w:r>
      <w:r>
        <w:rPr>
          <w:rFonts w:ascii="宋体" w:hAnsi="宋体"/>
          <w:color w:val="auto"/>
          <w:sz w:val="24"/>
          <w:highlight w:val="none"/>
        </w:rPr>
        <w:t>100%</w:t>
      </w:r>
      <w:r>
        <w:rPr>
          <w:rFonts w:hint="eastAsia" w:ascii="宋体" w:hAnsi="宋体"/>
          <w:color w:val="auto"/>
          <w:sz w:val="24"/>
          <w:highlight w:val="none"/>
        </w:rPr>
        <w:t>的正常工作率和设施的清洁。</w:t>
      </w:r>
    </w:p>
    <w:p>
      <w:pPr>
        <w:spacing w:line="360" w:lineRule="auto"/>
        <w:ind w:firstLine="480"/>
        <w:rPr>
          <w:rFonts w:ascii="宋体" w:hAnsi="宋体"/>
          <w:b/>
          <w:color w:val="auto"/>
          <w:sz w:val="24"/>
          <w:highlight w:val="none"/>
        </w:rPr>
      </w:pPr>
      <w:r>
        <w:rPr>
          <w:rFonts w:hint="eastAsia" w:ascii="宋体" w:hAnsi="宋体"/>
          <w:color w:val="auto"/>
          <w:sz w:val="24"/>
          <w:highlight w:val="none"/>
        </w:rPr>
        <w:t>3、驻交警大队人员11名：</w:t>
      </w:r>
    </w:p>
    <w:p>
      <w:pPr>
        <w:spacing w:line="360" w:lineRule="auto"/>
        <w:rPr>
          <w:rFonts w:ascii="宋体" w:hAnsi="宋体"/>
          <w:b/>
          <w:color w:val="auto"/>
          <w:sz w:val="24"/>
          <w:highlight w:val="none"/>
        </w:rPr>
      </w:pPr>
      <w:r>
        <w:rPr>
          <w:rFonts w:hint="eastAsia" w:ascii="宋体" w:hAnsi="宋体"/>
          <w:color w:val="auto"/>
          <w:sz w:val="24"/>
          <w:highlight w:val="none"/>
        </w:rPr>
        <w:t>具体职责见下表：</w:t>
      </w:r>
    </w:p>
    <w:tbl>
      <w:tblPr>
        <w:tblStyle w:val="62"/>
        <w:tblW w:w="8631" w:type="dxa"/>
        <w:tblInd w:w="0" w:type="dxa"/>
        <w:tblLayout w:type="fixed"/>
        <w:tblCellMar>
          <w:top w:w="0" w:type="dxa"/>
          <w:left w:w="0" w:type="dxa"/>
          <w:bottom w:w="0" w:type="dxa"/>
          <w:right w:w="0" w:type="dxa"/>
        </w:tblCellMar>
      </w:tblPr>
      <w:tblGrid>
        <w:gridCol w:w="771"/>
        <w:gridCol w:w="4280"/>
        <w:gridCol w:w="1066"/>
        <w:gridCol w:w="2514"/>
      </w:tblGrid>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428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工作职责</w:t>
            </w:r>
          </w:p>
        </w:tc>
        <w:tc>
          <w:tcPr>
            <w:tcW w:w="106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责任人员</w:t>
            </w:r>
          </w:p>
        </w:tc>
        <w:tc>
          <w:tcPr>
            <w:tcW w:w="251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备注</w:t>
            </w:r>
          </w:p>
        </w:tc>
      </w:tr>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专职信号配时工程师 （信号控制策略研究制定、方案设置、优化调整、修改）</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本科及以上学历</w:t>
            </w:r>
          </w:p>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（交通工程及相关专业）</w:t>
            </w:r>
          </w:p>
        </w:tc>
      </w:tr>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专职信号配时员 负责辖区信号灯调控</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大专以上学历</w:t>
            </w:r>
          </w:p>
        </w:tc>
      </w:tr>
      <w:tr>
        <w:tblPrEx>
          <w:tblCellMar>
            <w:top w:w="0" w:type="dxa"/>
            <w:left w:w="0" w:type="dxa"/>
            <w:bottom w:w="0" w:type="dxa"/>
            <w:right w:w="0" w:type="dxa"/>
          </w:tblCellMar>
        </w:tblPrEx>
        <w:trPr>
          <w:trHeight w:val="1611"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机房巡检、维护（出入登记工作，内部环境整理，机房内部服务器、存储、矩阵、交换机、硬盘录像机、光端机等硬件设备的巡检及维护，保障中心机房出口网络，大型活动设备搭建调试及通讯保障）</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1163"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集成平台、信号控制平台、视频平台、主页等平台维护</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1268"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数据分析（如KPI考核等按要求计算每周各事项指标量，以文档形式提供）、相关解决方案制定</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数字城管（指定时限内处理，且做到及时回复）</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1310"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设备排查及任务单申报（配合外场巡查故障设备，提交任务单跟进设备修复进度，制成台账）、监理日报、运维通回复</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bl>
    <w:p>
      <w:pPr>
        <w:spacing w:line="360" w:lineRule="auto"/>
        <w:ind w:firstLine="480"/>
        <w:rPr>
          <w:rFonts w:ascii="宋体" w:hAnsi="宋体"/>
          <w:color w:val="auto"/>
          <w:sz w:val="24"/>
          <w:highlight w:val="none"/>
        </w:rPr>
      </w:pPr>
      <w:r>
        <w:rPr>
          <w:rFonts w:hint="eastAsia" w:ascii="宋体" w:hAnsi="宋体"/>
          <w:color w:val="auto"/>
          <w:sz w:val="24"/>
          <w:highlight w:val="none"/>
        </w:rPr>
        <w:t>4、需对现有设备进行登记、编号并造册。</w:t>
      </w:r>
    </w:p>
    <w:p>
      <w:pPr>
        <w:spacing w:line="360" w:lineRule="auto"/>
        <w:rPr>
          <w:rFonts w:ascii="宋体" w:hAnsi="宋体"/>
          <w:b/>
          <w:bCs/>
          <w:color w:val="auto"/>
          <w:sz w:val="24"/>
          <w:highlight w:val="none"/>
        </w:rPr>
      </w:pPr>
      <w:r>
        <w:rPr>
          <w:rFonts w:hint="eastAsia" w:ascii="宋体" w:hAnsi="宋体"/>
          <w:b/>
          <w:bCs/>
          <w:color w:val="auto"/>
          <w:sz w:val="24"/>
          <w:highlight w:val="none"/>
        </w:rPr>
        <w:t>（二）具体的工作内容：</w:t>
      </w:r>
    </w:p>
    <w:p>
      <w:pPr>
        <w:spacing w:line="360" w:lineRule="auto"/>
        <w:ind w:firstLine="480"/>
        <w:rPr>
          <w:rFonts w:ascii="宋体" w:hAnsi="宋体"/>
          <w:color w:val="auto"/>
          <w:sz w:val="24"/>
          <w:highlight w:val="none"/>
        </w:rPr>
      </w:pPr>
      <w:r>
        <w:rPr>
          <w:rFonts w:hint="eastAsia" w:ascii="宋体" w:hAnsi="宋体"/>
          <w:color w:val="auto"/>
          <w:sz w:val="24"/>
          <w:highlight w:val="none"/>
        </w:rPr>
        <w:t>包括滨江区范围内现有所有智能交通系统设施的日常巡查、维护及由于道路实际情况需要的智能交通设施增补项目。保证合同范围内所有智能交通系统设施的完整、工作正常、及时排除因设施而产生的所有安全隐患。每季度对辖区内所有智能交通设施安全性进行检查（包括接地、电气安全、基础、管线、杆件），形成检查记录，如有问题并立即整改，具体维护项目:</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77</w:t>
      </w:r>
      <w:r>
        <w:rPr>
          <w:rFonts w:hint="eastAsia" w:ascii="宋体" w:hAnsi="宋体"/>
          <w:color w:val="auto"/>
          <w:sz w:val="24"/>
          <w:highlight w:val="none"/>
        </w:rPr>
        <w:t xml:space="preserve">个路口的信号控制系统； </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49</w:t>
      </w:r>
      <w:r>
        <w:rPr>
          <w:rFonts w:hint="eastAsia" w:ascii="宋体" w:hAnsi="宋体"/>
          <w:color w:val="auto"/>
          <w:sz w:val="24"/>
          <w:highlight w:val="none"/>
        </w:rPr>
        <w:t>个监控点的交通监视系统；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89</w:t>
      </w:r>
      <w:r>
        <w:rPr>
          <w:rFonts w:hint="eastAsia" w:ascii="宋体" w:hAnsi="宋体"/>
          <w:color w:val="auto"/>
          <w:sz w:val="24"/>
          <w:highlight w:val="none"/>
        </w:rPr>
        <w:t>个高点交通监视系统；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184</w:t>
      </w:r>
      <w:r>
        <w:rPr>
          <w:rFonts w:hint="eastAsia" w:ascii="宋体" w:hAnsi="宋体"/>
          <w:color w:val="auto"/>
          <w:sz w:val="24"/>
          <w:highlight w:val="none"/>
        </w:rPr>
        <w:t>个点位高清电子警察系统；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）22块交通诱导系统；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28</w:t>
      </w:r>
      <w:r>
        <w:rPr>
          <w:rFonts w:hint="eastAsia" w:ascii="宋体" w:hAnsi="宋体"/>
          <w:color w:val="auto"/>
          <w:sz w:val="24"/>
          <w:highlight w:val="none"/>
        </w:rPr>
        <w:t>个路口的可变车道牌维护；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（7）滨江区交警大队中心机房维护；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（8）滨江区交警大队配电房维护；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（9）滨江区交警集成平台维护；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（10）滨江区交警视频管理平台维护；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1）滨江区交通信号控制平台维护；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（12）滨江大队主页维护。</w:t>
      </w:r>
    </w:p>
    <w:p>
      <w:pPr>
        <w:pStyle w:val="2"/>
        <w:tabs>
          <w:tab w:val="left" w:pos="706"/>
          <w:tab w:val="clear" w:pos="432"/>
        </w:tabs>
        <w:ind w:left="0" w:firstLine="0"/>
        <w:rPr>
          <w:rFonts w:eastAsia="宋体"/>
          <w:color w:val="auto"/>
          <w:highlight w:val="none"/>
          <w:lang w:val="en-US"/>
        </w:rPr>
      </w:pPr>
      <w:r>
        <w:rPr>
          <w:rFonts w:hint="eastAsia" w:eastAsia="宋体"/>
          <w:color w:val="auto"/>
          <w:highlight w:val="none"/>
          <w:lang w:val="en-US"/>
        </w:rPr>
        <w:t>三、项目要求</w:t>
      </w:r>
    </w:p>
    <w:p>
      <w:pPr>
        <w:spacing w:line="360" w:lineRule="auto"/>
        <w:ind w:firstLine="482"/>
        <w:rPr>
          <w:rFonts w:ascii="宋体" w:hAnsi="宋体" w:cs="仿宋_GB2312"/>
          <w:color w:val="auto"/>
          <w:kern w:val="1"/>
          <w:sz w:val="24"/>
          <w:highlight w:val="none"/>
        </w:rPr>
      </w:pPr>
      <w:r>
        <w:rPr>
          <w:rFonts w:hint="eastAsia" w:ascii="宋体" w:hAnsi="宋体" w:cs="仿宋_GB2312"/>
          <w:color w:val="auto"/>
          <w:kern w:val="1"/>
          <w:sz w:val="24"/>
          <w:highlight w:val="none"/>
        </w:rPr>
        <w:t>1、本项目需供应商提供清单项目的材料费、人工费、安全文明措施费（意外伤害保险费、农民工工伤保险等）、机械费、设备使用费、相应的施工措施费、检验试验费、项目报批手续费、售后服务费、企业管理费、规费、税费、利润等一切费用。</w:t>
      </w:r>
    </w:p>
    <w:p>
      <w:pPr>
        <w:spacing w:line="360" w:lineRule="auto"/>
        <w:ind w:firstLine="482"/>
        <w:rPr>
          <w:rFonts w:ascii="宋体" w:hAnsi="宋体" w:cs="仿宋_GB2312"/>
          <w:color w:val="auto"/>
          <w:kern w:val="1"/>
          <w:sz w:val="24"/>
          <w:highlight w:val="none"/>
        </w:rPr>
      </w:pPr>
      <w:r>
        <w:rPr>
          <w:rFonts w:hint="eastAsia" w:ascii="宋体" w:hAnsi="宋体" w:cs="仿宋_GB2312"/>
          <w:color w:val="auto"/>
          <w:kern w:val="1"/>
          <w:sz w:val="24"/>
          <w:highlight w:val="none"/>
        </w:rPr>
        <w:t>2、供应商需保证不少于</w:t>
      </w:r>
      <w:r>
        <w:rPr>
          <w:rFonts w:ascii="宋体" w:hAnsi="宋体" w:cs="仿宋_GB2312"/>
          <w:color w:val="auto"/>
          <w:kern w:val="1"/>
          <w:sz w:val="24"/>
          <w:highlight w:val="none"/>
        </w:rPr>
        <w:t>4</w:t>
      </w:r>
      <w:r>
        <w:rPr>
          <w:rFonts w:hint="eastAsia" w:ascii="宋体" w:hAnsi="宋体" w:cs="仿宋_GB2312"/>
          <w:color w:val="auto"/>
          <w:kern w:val="1"/>
          <w:sz w:val="24"/>
          <w:highlight w:val="none"/>
        </w:rPr>
        <w:t>辆登高专项作业车，参于日常的巡查工作。</w:t>
      </w:r>
    </w:p>
    <w:p>
      <w:pPr>
        <w:spacing w:line="360" w:lineRule="auto"/>
        <w:ind w:firstLine="482"/>
        <w:rPr>
          <w:rFonts w:ascii="宋体" w:hAnsi="宋体" w:cs="仿宋_GB2312"/>
          <w:color w:val="auto"/>
          <w:kern w:val="1"/>
          <w:sz w:val="24"/>
          <w:highlight w:val="none"/>
        </w:rPr>
      </w:pPr>
      <w:r>
        <w:rPr>
          <w:rFonts w:hint="eastAsia" w:ascii="宋体" w:hAnsi="宋体" w:cs="仿宋_GB2312"/>
          <w:color w:val="auto"/>
          <w:kern w:val="1"/>
          <w:sz w:val="24"/>
          <w:highlight w:val="none"/>
        </w:rPr>
        <w:t>3、日常抢修的任务需30分钟内到现场，一般维护任务4小时内完成。</w:t>
      </w:r>
    </w:p>
    <w:p>
      <w:pPr>
        <w:pStyle w:val="2"/>
        <w:tabs>
          <w:tab w:val="left" w:pos="706"/>
          <w:tab w:val="clear" w:pos="432"/>
        </w:tabs>
        <w:ind w:left="0" w:firstLine="0"/>
        <w:rPr>
          <w:color w:val="auto"/>
          <w:highlight w:val="none"/>
        </w:rPr>
      </w:pPr>
      <w:r>
        <w:rPr>
          <w:rFonts w:hint="eastAsia" w:eastAsia="宋体"/>
          <w:color w:val="auto"/>
          <w:highlight w:val="none"/>
          <w:lang w:val="en-US"/>
        </w:rPr>
        <w:t>四</w:t>
      </w:r>
      <w:r>
        <w:rPr>
          <w:rFonts w:hint="eastAsia"/>
          <w:color w:val="auto"/>
          <w:highlight w:val="none"/>
        </w:rPr>
        <w:t>、项目技术需求</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符合（工程施工质量验收规范）合格标准。</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（一）、总体要求：</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维护、施工质量符合合同条款、本次招投标技术规范要求及《滨江区道路交通安全设施维护考核办法》（详附件）、《滨江交警大队机房及UPS配电房管理手册》、JTJ001—97《公路工程技术标准》、GAT652—2008《公安交通管理外场设备》等现行标准。如相互间有出入，则以较严格者为准。</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2、足量提供正常维护工作必须的所有人工(包括工种)、机械设备（包括汽车台班）、主要原材料等。其中机械设备必须包括：① 登高专项作业车4辆以上；②专业万用表；③光功率测试仪。</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3、承担管辖范围内所有设施、作业人员安全和公共安全责任。维护、施工作业中，如发生交通事故，由供应商承担全部责任及由此产生的全部费用；因供应商巡查不力、维护不及时、管理不善或使用不当造成的损失或由此引发的各类伤亡事故由供应商承担全部责任并负责赔偿。</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4、不得自行增设、调整各类智能智能交通设施，如发现上述情形采购人有权终止合同，由于上述原因所造成的一切后果全部由供应商承担。</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5、接受交警大队的各项工作业务指导，及对维护工程实施的安全、质量等方面的监管和考评。确保在各类考核中不失责任分。</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6、设备维护前后需拍照，并将照片存档。</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（二）、维护管理工程：</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日常主要巡查、维护内容为：每日需车辆上路对辖区所有智能交通设施巡查、维护及时排除故障，对智能交通设施整修、拆除、移位、更换、线路故障、电气故障（如漏电等问题）排除。每月一次对全部外场设备进行保洁。</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确保维护点7×24小时正常运行，每天有不少于3辆车上路巡查，路口点每周至少巡检一次，发现不安全因素和隐患及时排除。对维护范围内全部智能交通设施至少每季度检查1次，对检查中发现不安全因素和隐患及时排除。建立巡检台帐，供业主随时检查。巡检内容为：</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检查信号灯灯控模块运行情况。</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检查各方向灯的运行情况，是否存在缺亮。</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检查监控的实时图像。</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检查电警违法数据有效性。</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检查外场设备的完整性、牢固性、设备线路的安全性及设备用电安全（是否有漏电等问题），消除人为或自然原因影响安全和功能使用的隐患。</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清洁设备，保证外场设备安全、整洁、干净。</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统计遮挡物，如树枝等遮挡设备的情况，及时清理。</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3、每年重要节假日（“五一”、“十一”等）、大型活动期间，特定巡检、维修、维护、清洁、保养。</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4、遇灾害天气，应提前检查加固外场设备，确保外场设备的安全。因灾害天气造成的损失及由此造成的一切后果，全部由供应商承担。</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5、维护滨江大队指挥室控制软件。受业主单位项目责任人管理，配合业主单位对智能交通系统及设备检查检测，系统参数调整；配合项目责任人开展业务培训。</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（三）、维修更新工程：</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建立接报记录档案，接到大队建设通知时，服从大队工作的进程安排，及时进场并保证工期；严格按大队要求，根据提供的智能交通设施图纸、合同条款、技术规范、工程量清单和材料等的要求进行施工，确保施工质量；并无条件承担任何质量缺陷修复工作。</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一般更新内容，根据滨江交警交通组织优化及设施维护系下发的联系单施工，任务完成后，在联系单上按照要求填写完成任务所需的来料等相关费用，需经大队验收并在联系单上签字、录入滨江交警交通组织优化及设施维护系统审核后生效。</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3、供应商必须设立7×24小时服务专用电话，并配备相应的人员、车辆及必要的维护工具，遇到突发事件或紧急情况（例如：接到市、区二级指挥室的应急抢修任务），接受滨江大队的维修指令，抢修各种原因引起的故障（包括：①系统本身故障；②系统因受到外力（如车辆碰撞、偷盗等）影响造成故障）30分钟内到场。供应商在完成任务后1个工作日内录入滨江交警交通组织优化及设施维护系统审核。</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4、一般维修任务4小时内完成，特殊情况须报大队并取得同意后采用先应急后修复的方式。因供应商原因，未能按大队任务单要求及时维护更新相关智能交通设施而造成的各类事故由供应商承担全部责任并负责赔偿。</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5、维修、更新工程中所有涉及的主要原材料均必须提供检测报告或质量保证单、购买发票，否则视为伪劣产品，使用该类产品所导致的一切后果，全部由供应商承担。</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6、供应商在施工前应先制定完善的施工方案，尽可能减小因施工对道路通行带来的影响。施工时应服从现场民警的管理及指挥。大队在巡查过程中发现不符合国家有关标准的，有权责令供应商返工，供应商必须无条件执行，直至工程合格，由此造成损失由供应商承担。</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7、建立工程施工的质量保证体系，做到施工场地安全文明生产，确保施工过程中施工场地、人员、车辆、机械设备、原材料等充足、安全。</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（四）、其他</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1、协助调查、解决来电来访等信访反映的维护问题。</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2、日常维护工作必须遵守区数字城管相关制度规定。</w:t>
      </w:r>
    </w:p>
    <w:p>
      <w:pPr>
        <w:spacing w:line="360" w:lineRule="auto"/>
        <w:ind w:left="-29" w:firstLine="480"/>
        <w:rPr>
          <w:rFonts w:ascii="宋体" w:hAnsi="宋体"/>
          <w:color w:val="auto"/>
          <w:sz w:val="24"/>
          <w:highlight w:val="none"/>
        </w:rPr>
      </w:pPr>
    </w:p>
    <w:p>
      <w:pPr>
        <w:rPr>
          <w:color w:val="auto"/>
          <w:highlight w:val="none"/>
        </w:rPr>
      </w:pPr>
      <w:r>
        <w:rPr>
          <w:rFonts w:hint="eastAsia"/>
          <w:color w:val="auto"/>
          <w:highlight w:val="none"/>
        </w:rPr>
        <w:br w:type="page"/>
      </w:r>
    </w:p>
    <w:p>
      <w:pPr>
        <w:pStyle w:val="2"/>
        <w:tabs>
          <w:tab w:val="left" w:pos="706"/>
          <w:tab w:val="clear" w:pos="432"/>
        </w:tabs>
        <w:ind w:left="0" w:firstLine="0"/>
        <w:rPr>
          <w:color w:val="auto"/>
          <w:highlight w:val="none"/>
          <w:lang w:val="en-US"/>
        </w:rPr>
      </w:pPr>
      <w:r>
        <w:rPr>
          <w:rFonts w:hint="eastAsia" w:eastAsia="宋体"/>
          <w:color w:val="auto"/>
          <w:highlight w:val="none"/>
          <w:lang w:val="en-US"/>
        </w:rPr>
        <w:t>五</w:t>
      </w:r>
      <w:r>
        <w:rPr>
          <w:rFonts w:hint="eastAsia"/>
          <w:color w:val="auto"/>
          <w:highlight w:val="none"/>
        </w:rPr>
        <w:t>、项目</w:t>
      </w:r>
      <w:r>
        <w:rPr>
          <w:rFonts w:hint="eastAsia"/>
          <w:color w:val="auto"/>
          <w:highlight w:val="none"/>
          <w:lang w:val="en-US"/>
        </w:rPr>
        <w:t>清单</w:t>
      </w:r>
    </w:p>
    <w:p>
      <w:pPr>
        <w:pStyle w:val="2"/>
        <w:tabs>
          <w:tab w:val="left" w:pos="706"/>
          <w:tab w:val="clear" w:pos="432"/>
        </w:tabs>
        <w:ind w:left="0" w:firstLine="0"/>
        <w:rPr>
          <w:rFonts w:ascii="宋体" w:hAnsi="宋体"/>
          <w:color w:val="auto"/>
          <w:sz w:val="24"/>
          <w:highlight w:val="none"/>
        </w:rPr>
      </w:pPr>
      <w:r>
        <w:rPr>
          <w:rFonts w:hint="eastAsia" w:ascii="宋体" w:hAnsi="宋体"/>
          <w:color w:val="auto"/>
          <w:sz w:val="24"/>
          <w:highlight w:val="none"/>
          <w:lang w:val="en-US"/>
        </w:rPr>
        <w:t>1</w:t>
      </w:r>
      <w:r>
        <w:rPr>
          <w:rFonts w:hint="eastAsia" w:ascii="宋体" w:hAnsi="宋体"/>
          <w:color w:val="auto"/>
          <w:sz w:val="24"/>
          <w:highlight w:val="none"/>
        </w:rPr>
        <w:t>、维护项目具体分布清单</w:t>
      </w:r>
    </w:p>
    <w:p>
      <w:pPr>
        <w:pStyle w:val="2"/>
        <w:tabs>
          <w:tab w:val="left" w:pos="706"/>
          <w:tab w:val="clear" w:pos="432"/>
        </w:tabs>
        <w:ind w:left="0" w:firstLine="0"/>
        <w:rPr>
          <w:rFonts w:ascii="宋体" w:hAnsi="宋体"/>
          <w:color w:val="auto"/>
          <w:sz w:val="24"/>
          <w:highlight w:val="none"/>
          <w:lang w:val="en-US"/>
        </w:rPr>
      </w:pPr>
      <w:r>
        <w:rPr>
          <w:rFonts w:hint="eastAsia" w:ascii="宋体" w:hAnsi="宋体"/>
          <w:color w:val="auto"/>
          <w:sz w:val="24"/>
          <w:highlight w:val="none"/>
          <w:lang w:val="en-US"/>
        </w:rPr>
        <w:t>维护交通信号灯清单</w:t>
      </w:r>
    </w:p>
    <w:tbl>
      <w:tblPr>
        <w:tblStyle w:val="62"/>
        <w:tblW w:w="5053" w:type="dxa"/>
        <w:tblInd w:w="93" w:type="dxa"/>
        <w:tblLayout w:type="autofit"/>
        <w:tblCellMar>
          <w:top w:w="0" w:type="dxa"/>
          <w:left w:w="108" w:type="dxa"/>
          <w:bottom w:w="0" w:type="dxa"/>
          <w:right w:w="108" w:type="dxa"/>
        </w:tblCellMar>
      </w:tblPr>
      <w:tblGrid>
        <w:gridCol w:w="1080"/>
        <w:gridCol w:w="3973"/>
      </w:tblGrid>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奥体街飞虹路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奥体街扬帆路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八甲街闻涛路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八甲路承前巷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八甲路西浦路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白马湖路湖西路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白马湖路江虹南路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白马湖路腾龙路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白马湖路长江路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奔竞大道扬帆路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滨安路诚业路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滨安路固陵路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滨安路火炬大道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滨安路建业路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滨安路聚才路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滨安路南川路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滨安路信诚路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滨安路长河路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滨和路春晓路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滨和路共联路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滨和路江汉路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滨和路齐飞路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滨和路协同路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滨和路新联路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滨和路长河路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滨康路江虹路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滨康路江晖路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滨康路江淑路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滨康路聚才路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滨康路网商路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滨康路长河路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滨盛路诚品路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滨盛路东信大道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滨盛路儿康路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滨盛路火炬大道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滨盛路机场城市大道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滨盛路建业路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滨盛路伟业路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滨盛路信诚路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滨盛路扬帆路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滨文路百仁路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滨文路楚天路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滨文路光裕路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滨文路江虹南路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滨文路江晖南路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滨文路江陵路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滨文路明德路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滨文路南川路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滨文路浦沿路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滨文路新浦路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滨文路信诚南路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滨文路越城巷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滨文路至善路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滨兴路春晓路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滨兴路建业路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滨兴路立业路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滨兴路齐飞路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滨兴路迎春南苑</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滨兴路长河路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缤纷街阡陌路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彩虹快速路西浦路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创慧街江淑路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创慧街众创路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春波路江晖路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丹枫路机场城市大道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丹枫路阡陌路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丹枫路睿祥巷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丹枫路泰安路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丹枫路通和路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丹枫路扬帆路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东冠路潮涌路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东冠路闻涛路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东冠路西浦路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东冠路新浦路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东流路江晖路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东流路江淑路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东流路聚工路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东流路聚业路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东流路西陵路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东信大道六和路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东信大道浦沿路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东信大道闻涛路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东信大道西浦路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方陆盛街诚业南路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芳华弄闻涛路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福瑞弄善言路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冠山路明德路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冠山路浦沿路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冠山路太庙桥</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冠山路信诚路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冠山路至善路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冠新路智源路口</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怀德街建业路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坚塔路潮涌路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坚塔路浦沿路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坚塔路闻涛路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坚塔路新浦路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江二路聚才路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江二路网商路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江二路长河路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江汉东路共联路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江汉东路阡陌路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江汉东路新联路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江汉路春晓路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江汉路江晖路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江虹路江二路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江南大道机场城市大道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江南大道南环路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江南大道时代大道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聚园路江晖路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聚园路江淑路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聚园路聚工路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聚园路聚业路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科技馆街安业路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科技馆街江汉路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科技馆街江陵路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科技馆街泰安路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科技馆街通和路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联慧街阡陌路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联慧街协同路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联慧街新联路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陆家潭街潮涌路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陆家潭街规划支路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陆家潭街闻涛路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陆家潭街西浦路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绿香街聚才路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绿香街网商路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绿香街长河路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漫湖巷长江路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南川路时代大道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南环路诚业路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南环路东信大道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南环路聚才路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南环路聚工路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南环路立业路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南环路南川路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南环路伟业路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南环路西陵路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南环路信诚路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南环路振业路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南浦路浦联路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南浦路闻涛路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平乐街诚品路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平乐街儿康路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平乐街时代大道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平乐街信诚路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平乐街育德巷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浦矩街长桥线</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浦炬街回龙庵路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浦炬街浦沿路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浦炬街闻涛路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浦炬街西浦路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浦炬街新浦路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浦炬街紫云路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启智街春晓路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启智街共联路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启智街阡陌路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启智街协同路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启智街新联路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秋溢路江虹路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秋溢路江淑路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秋溢路网商路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秋溢路长河路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乳泉路长江路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山阴路西陵路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生地街潮涌路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生地街规划支路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生地街闻涛路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生地街西浦路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天官路光裕路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天官路江虹路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天马路海福路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天马路湖西路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天马路南川路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天马路腾龙路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天马路延庆寺路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天马路长江路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望水路潮涌路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望水路闻涛路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望水路西浦路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闻涛路安业路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闻涛路诚品路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闻涛路东信大道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闻涛路儿康路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闻涛路飞虹路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闻涛路火炬大道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闻涛路机场城市大道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闻涛路建业路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闻涛路江汉路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闻涛路江陵路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闻涛路连江街</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闻涛路临桥巷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闻涛路六和路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闻涛路时代大道</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闻涛路水印巷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闻涛路通和路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闻涛路伟业路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闻涛路西兴路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闻涛路新和路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闻涛路信诚路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闻涛路扬帆路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闻涛路咏渡巷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闻涛路长河路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物联网街共联路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物联网街阡陌路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物联网街协同路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物联网街新联路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物联网路网聚街</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西浦路坚塔路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湘滨路湖西路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湘滨路善言路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湘滨路腾龙路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新和路六和路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新南路潮涌路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新南路闻涛路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新月路江汉路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新月路江虹路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兴才街共鸣巷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兴才街江虹路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兴才街齐飞路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兴才街长河路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一号路江虹南路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一号路江晖南路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映翠路湖西路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映翠路漫湖巷</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映翠路汤堰路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映翠路腾龙路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映翠路长江路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268</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月明路春晓路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269</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月明路共联路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270</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月明路江汉路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271</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月明路江晖路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272</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月明路阡陌路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273</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月明路协同路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274</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月明路新联路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275</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镇前路西浦路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276</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众创路共享路</w:t>
            </w:r>
          </w:p>
        </w:tc>
      </w:tr>
      <w:tr>
        <w:tblPrEx>
          <w:tblCellMar>
            <w:top w:w="0" w:type="dxa"/>
            <w:left w:w="108" w:type="dxa"/>
            <w:bottom w:w="0" w:type="dxa"/>
            <w:right w:w="108"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277</w:t>
            </w:r>
          </w:p>
        </w:tc>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众创路江淑路</w:t>
            </w:r>
          </w:p>
        </w:tc>
      </w:tr>
    </w:tbl>
    <w:p>
      <w:pPr>
        <w:spacing w:line="360" w:lineRule="auto"/>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br w:type="page"/>
      </w:r>
    </w:p>
    <w:p>
      <w:pPr>
        <w:pStyle w:val="2"/>
        <w:tabs>
          <w:tab w:val="left" w:pos="706"/>
          <w:tab w:val="clear" w:pos="432"/>
        </w:tabs>
        <w:ind w:left="0" w:firstLine="0"/>
        <w:rPr>
          <w:rFonts w:ascii="宋体" w:hAnsi="宋体"/>
          <w:color w:val="auto"/>
          <w:sz w:val="24"/>
          <w:highlight w:val="none"/>
          <w:lang w:val="en-US"/>
        </w:rPr>
      </w:pPr>
      <w:r>
        <w:rPr>
          <w:rFonts w:hint="eastAsia" w:ascii="宋体" w:hAnsi="宋体"/>
          <w:color w:val="auto"/>
          <w:sz w:val="24"/>
          <w:highlight w:val="none"/>
          <w:lang w:val="en-US"/>
        </w:rPr>
        <w:t>维护交通监控清单</w:t>
      </w:r>
    </w:p>
    <w:tbl>
      <w:tblPr>
        <w:tblStyle w:val="62"/>
        <w:tblW w:w="4107" w:type="dxa"/>
        <w:tblInd w:w="93" w:type="dxa"/>
        <w:tblLayout w:type="autofit"/>
        <w:tblCellMar>
          <w:top w:w="0" w:type="dxa"/>
          <w:left w:w="108" w:type="dxa"/>
          <w:bottom w:w="0" w:type="dxa"/>
          <w:right w:w="108" w:type="dxa"/>
        </w:tblCellMar>
      </w:tblPr>
      <w:tblGrid>
        <w:gridCol w:w="603"/>
        <w:gridCol w:w="3504"/>
      </w:tblGrid>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奥体馆大莲花北侧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奥体馆大莲花东侧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奥体馆大莲花西侧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奥体馆大莲花斜坡下</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奥体馆二号门出口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奥体馆五号门出口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奥体馆小莲花南侧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奥体馆小莲花西侧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奥体街飞虹路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奥体街扬帆路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八甲街承前巷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八甲街闻涛路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八甲街西浦路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八甲街新浦路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白马湖路6号停车场</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白马湖路7号停车场</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白马湖路8号停车场</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白马湖路湖西路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白马湖路湖西路以南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白马湖路江虹南路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白马湖路江晖路转角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白马湖路孔家里东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白马湖路孔家里西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白马湖路腾龙路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白马湖路五号路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北塘路固陵路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北塘路阡陌路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北塘路萧山界</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北塘路钟鼓巷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奔竞大道扬帆路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滨安路滨康地铁站</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滨安路诚业路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滨安路大华门口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滨安路固陵路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滨安路火炬大道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滨安路建业路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滨安路江虹路北侧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滨安路聚才路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滨安路南川路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滨安路西兴地铁站</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滨安路信诚路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滨安路正泰门口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滨诚路诚品路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滨诚路建业路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滨和路春晓路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滨和路春晓路东侧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滨和路共联路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滨和路共鸣巷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滨和路江汉路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滨和路江虹路北侧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滨和路江虹路西侧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滨和路江南实验学校门口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滨和路齐飞路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滨和路协同路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滨和路新联路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69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滨康路聚才路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滨康路聚工路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滨盛路安德巷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滨盛路彩虹城东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滨盛路彩虹城门口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滨盛路彩虹城西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79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滨盛路诚品路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滨盛路诚业路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滨盛路东信大道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滨盛路东信大道以西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滨盛路儿康路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滨盛路飞虹路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滨盛路光辉路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滨盛路火炬大道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滨盛路机场城市大道东侧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滨盛路建业路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89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滨盛路江滨花园门口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滨盛路聚鸿巷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滨盛路南环路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滨盛路南环路西侧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滨盛路四桥二层东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滨盛路四桥二层西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滨盛路伟业路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滨盛路信诚路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滨盛路扬帆路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99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滨盛路育华巷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滨文路百仁路东南角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滨文路百仁路西北角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滨文路诚业南路北侧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滨文路诚业南路南侧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滨文路楚天路北侧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滨文路楚天路南侧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滨文路东冠路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滨文路光裕路北侧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109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滨文路光裕路东南角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滨文路江虹南路北侧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滨文路江虹南路南侧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滨文路江晖南路东南角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滨文路江晖南路西北角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滨文路江陵路东南角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滨文路江陵路西北角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滨文路江陵路以东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滨文路江陵路以西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滨文路警察学院门口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119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滨文路南川路北侧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滨文路南川路南侧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滨文路浦沿路西北角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滨文路勤业路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滨文路时代大道东北角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滨文路时代大道西北角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滨文路文泉巷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129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滨文路闻涛路以南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滨文路新浦河</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滨文路新浦路东南角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滨文路信诚南路北侧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滨文路信诚南路南侧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滨文路越城巷东南角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滨文路越城巷西北角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139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滨文路长江路西侧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滨文路至善路北侧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滨文路至善路南侧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滨兴路春晓路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滨兴路固陵路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滨兴路建业路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滨兴路江陵路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149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滨兴路立业路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滨兴路旅游职高门口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滨兴路齐飞路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滨兴路时代大道东北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滨兴路时代大道西南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滨兴路钟鼓巷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缤纷街阡陌路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159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缤纷街瑞网巷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缤纷街瑞网巷以北1</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缤纷街瑞网巷以北2</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缤纷街睿祥巷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缤纷街星泽路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彩虹大道闻涛路北侧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彩虹大道闻涛路南侧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彩虹快速路西浦路北侧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彩虹快速路西浦路桥下</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彩虹路百仁路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169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彩虹路明德路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彩虹路汤吴家路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彩霞路百仁路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彩霞路诚业南路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彩霞路火炬大道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诚业路城市广场东侧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创慧街共享路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创慧街江淑路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创慧街众创路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春波路江晖路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179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春晓路东方郡门口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春晓路康康谷东门</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丹枫路飞虹路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丹枫路光辉路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丹枫路机场城市大道东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丹枫路机场城市大道西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丹枫路区文体中心</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丹枫路瑞网巷以北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189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丹枫路瑞网巷以北2</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丹枫路睿祥巷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丹枫路泰安路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丹枫路通和路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丹枫路星飞路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丹枫路星泽路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丹枫路扬帆路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东冠路诚业南路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东冠路冠业巷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199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东冠路规划支路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东冠路浦联社区门口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东冠路浦沿小学门口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东冠路浦沿中学</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东冠路汤吴家路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东冠路新南路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209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东冠路信诚南路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东流路江晖路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东流路江淑路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东流路聚工路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东流路聚业路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东流路西陵路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东信大道杭二中门口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东信大道六和路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219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东信大道浦沿路以南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东信大道之江花园</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动漫馆二号路六号路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动漫馆二号路五号路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动漫馆南通道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动漫馆一号路四号路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儿康路儿保东门</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229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方陆盛街诚业南路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方陆盛街丰谷路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方陆盛街火炬大道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方陆盛街信诚南路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芳华弄潮涌路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芳华弄承前巷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芳华弄教育学校门口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芳华弄闻涛路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芳华弄西浦路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福瑞弄湖西路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239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福瑞弄善言路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高家里路西浦路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官河路固陵路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冠山路百仁路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冠山路江虹南路北侧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冠山路江虹南路东侧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冠山路江虹南路以东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冠山路江晖南路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冠山路江晖南路以东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249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冠山路南川路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冠山路汤吴家路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冠山路信诚南路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冠山路月湾路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259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冠山路长江路以西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冠山路至善路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冠新路明德路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冠新路智源巷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冠新路智源巷以北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冠新路智源巷以北2</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规划路江虹南路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规划路信诚南路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国慷街儿康路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国慷街信诚路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269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红门巷江虹路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花圃路江虹路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怀德街建业路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回龙庵路浦沿路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惠商街火炬大道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惠商街流金巷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惠商街伟业路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慧炬街潮涌路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慧炬街浦沿路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慧炬街西浦路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279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机场城市大道水电基地出入口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坚塔路规划路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坚塔路明德路以南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江二路江虹路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289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江二路聚才路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江二路网商路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江二路长河路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江汉东路共联路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江汉东路阡陌路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江汉东路新联路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江汉路八图园巷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江汉路春晓路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江汉路中兴花园门口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299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江虹路跨铁立交桥顶</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江南大道滨怡路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江南大道滨怡路</w:t>
            </w:r>
            <w:r>
              <w:rPr>
                <w:rFonts w:ascii="Calibri" w:hAnsi="Calibri" w:cs="Calibri"/>
                <w:color w:val="auto"/>
                <w:kern w:val="0"/>
                <w:sz w:val="22"/>
                <w:szCs w:val="22"/>
                <w:highlight w:val="none"/>
                <w:lang w:bidi="ar"/>
              </w:rPr>
              <w:t>2</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江南大道机场城市大道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江南大道机场城市大道西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江南大道临桥巷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江南大道南环路东侧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江南大道南环路西北角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309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江南大道一桥南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井山坞路茶庄门口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井山坞路茶庄南侧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井山坞路萧山界</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聚才路聚光科技门口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聚园路江晖路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聚园路江淑路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聚园路聚工路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聚园路聚业路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科技馆街安业路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319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科技馆街飞虹路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科技馆街光辉路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科技馆街江汉路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科技馆街江虹路东侧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科技馆街江陵路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科技馆街泰安路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科技馆街通和路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329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科技馆街星飞路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科技馆街扬帆路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科技馆街舟渡巷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连江街承前巷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连江街闻涛路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联慧街联智路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联慧街阡陌路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联慧街协同路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联慧街新联路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龙山路西浦路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339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陆家潭街潮涌路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陆家潭街闻涛路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陆家潭街西浦路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绿香街聚才路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绿香街网商路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绿香街长河路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漫湖巷长江路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明志路长岛之春门口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南川路时代大道东侧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南川路时代大道西侧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349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南川路时代大道以北东侧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南川路时代大道以北西侧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南环路诚业路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南环路东信大道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南环路东信大道以东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南环路火炬大道涵洞北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南环路火炬大道涵洞南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359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南环路聚才路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南环路聚工路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南环路立业路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南环路联庄门口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南环路南川路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南环路伟业路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南环路西陵路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369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南环路信诚路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南环路长江路涵洞以南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南环路振业路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南浦路闻涛路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南浦路西浦路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南浦路新浦路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平达弄网商路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平达弄长江路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379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平乐街诚品路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平乐街儿康路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平乐街建业路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平乐街时代大道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平乐街信诚路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平乐街育德巷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平乐街育华巷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屏北路江虹路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浦湖街紫云路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浦炬街浦湖街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389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浦炬街浦湖街以西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浦炬街长桥线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浦炬街紫云路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浦炬街紫云路以东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启智街春晓路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启智街共联路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399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启智街阡陌路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启智街协同路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启智街新联路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阡陌路海康门口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阡陌路迎春小区东门</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秋溢路江虹路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秋溢路江淑路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秋溢路网商路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秋溢路网商路东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秋溢路长河路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409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乳泉路江虹南路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乳泉路时代大道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乳泉路长江路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睿祥巷丹枫路以南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山一村村道腾龙路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山一村村道章苏村口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山阴路西陵路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生地街潮涌路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生地街规划路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生地街浦沿路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419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生地街闻涛路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生地街西浦路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石漴弄塘子堰路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石漴弄腾龙路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石漴弄腾龙路以东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拾排理弄网商路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双庙路长江路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汤堰路美女山公墓1</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汤堰路美女山公墓2</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汤堰路美女山公墓3</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429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汤堰路美女山公墓4</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塘子堰路长江路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塘子堰路长江路以西</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塘子堰路转角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腾龙路白马湖小学</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天官路光裕路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天官路江虹南路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天官路长江路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天马路湖西路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天马路湖西路以北</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439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天马路南川路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天马路善言路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天马路塘子堰路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天马路腾龙路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天马路延庆寺路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天马路长江路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同人街水印巷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网商路阿里巴巴门口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望水路潮涌路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449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望水路闻涛路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望水路西浦路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伟业路彩虹城东门</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闻涛路安业路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闻涛路奥体四号门</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闻涛路奥体五号门</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闻涛路诚品路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闻涛路东信大道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闻涛路儿康路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闻涛路飞虹路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459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闻涛路光辉路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闻涛路华家排灌站门口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闻涛路火炬大道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闻涛路机场城市大道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闻涛路建业路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闻涛路江汉路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闻涛路江陵路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闻涛路临桥巷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469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闻涛路六和路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闻涛路钱江大桥东</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闻涛路时代大道北侧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闻涛路时代大道南侧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闻涛路水印巷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闻涛路泰安路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闻涛路通和路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闻涛路伟业路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闻涛路西兴路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479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闻涛路信诚路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闻涛路星飞路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闻涛路扬帆路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闻涛路咏渡巷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闻涛路长河路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物联网街共联路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物联网街联智路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物联网街网聚路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物联网街西兴路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489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物联网街协同路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物联网街新联路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西浦路滨科大厦门口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西浦路农贸市场门口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湘滨路湖西路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湘滨路善言路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湘滨路腾龙路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新和路六和路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新和路六和路西南角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新和路闻涛路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499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新南路潮涌路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新南路闻涛路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新南路西浦路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新浦路玫瑰湾小区门口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新浦路新生社区门口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新浦路浙新小区门口</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新月路安业路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新月路江汉路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509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新月路泰安路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新月路泰安路东侧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新月路通和路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新月路通和路西侧</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新月路星光转盘</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兴才街共鸣巷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兴才街江虹路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兴才街齐飞路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杨家墩街浦沿路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一号路江虹南路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519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一号路江晖南路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艺洲街明德路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映翠路湖西路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映翠路漫湖巷</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映翠路漫湖巷东北角</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映翠路汤堰路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映翠路腾龙路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映翠路萧山界</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映翠路长江路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育华巷高新实验学校西门</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529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月明路春晓路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月明路共联路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月明路江汉路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月明路江晖路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月明路阡陌路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月明路协同路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月明路新联路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越达巷立业路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越达巷时代大道</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539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长江路二号桥</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540</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长江路湖畔幼儿园</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541</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长江路三号桥</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542</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长江路一号桥</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543</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镇前路浦沿路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544</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镇前路西浦路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545</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镇前路新浦路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546</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众创路共享路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547</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众创路江虹路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548</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众创路江淑路</w:t>
            </w:r>
          </w:p>
        </w:tc>
      </w:tr>
      <w:tr>
        <w:tblPrEx>
          <w:tblCellMar>
            <w:top w:w="0" w:type="dxa"/>
            <w:left w:w="108" w:type="dxa"/>
            <w:bottom w:w="0" w:type="dxa"/>
            <w:right w:w="108" w:type="dxa"/>
          </w:tblCellMar>
        </w:tblPrEx>
        <w:trPr>
          <w:trHeight w:val="288"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righ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549</w:t>
            </w:r>
          </w:p>
        </w:tc>
        <w:tc>
          <w:tcPr>
            <w:tcW w:w="3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紫红岭路浦湖街</w:t>
            </w:r>
          </w:p>
        </w:tc>
      </w:tr>
    </w:tbl>
    <w:p>
      <w:pP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pStyle w:val="2"/>
        <w:tabs>
          <w:tab w:val="left" w:pos="706"/>
          <w:tab w:val="clear" w:pos="432"/>
        </w:tabs>
        <w:ind w:left="0" w:firstLine="0"/>
        <w:rPr>
          <w:rFonts w:ascii="宋体" w:hAnsi="宋体"/>
          <w:color w:val="auto"/>
          <w:sz w:val="24"/>
          <w:highlight w:val="none"/>
          <w:lang w:val="en-US"/>
        </w:rPr>
      </w:pPr>
      <w:r>
        <w:rPr>
          <w:rFonts w:hint="eastAsia" w:ascii="宋体" w:hAnsi="宋体"/>
          <w:color w:val="auto"/>
          <w:sz w:val="24"/>
          <w:highlight w:val="none"/>
          <w:lang w:val="en-US"/>
        </w:rPr>
        <w:t>维护高点监控路口清单</w:t>
      </w:r>
    </w:p>
    <w:tbl>
      <w:tblPr>
        <w:tblStyle w:val="62"/>
        <w:tblW w:w="4126" w:type="dxa"/>
        <w:tblInd w:w="93" w:type="dxa"/>
        <w:tblLayout w:type="autofit"/>
        <w:tblCellMar>
          <w:top w:w="0" w:type="dxa"/>
          <w:left w:w="108" w:type="dxa"/>
          <w:bottom w:w="0" w:type="dxa"/>
          <w:right w:w="108" w:type="dxa"/>
        </w:tblCellMar>
      </w:tblPr>
      <w:tblGrid>
        <w:gridCol w:w="1080"/>
        <w:gridCol w:w="3046"/>
      </w:tblGrid>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奥体馆灯塔高点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奥体馆主体育场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白马湖路冠山小区东侧高点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白马湖路冠山小区西侧高点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滨安路东方花城高点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滨安路联合工程高点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滨安路现代印象广场高点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滨和路滨兴家园高点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滨和路春江郦城高点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滨和路钱塘滨和花园高点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滨康路博邑郡高点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滨康路江晖路高点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滨康路康恩贝高点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滨康路玲珑府高点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滨康路南岸晶都高点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滨康路鑫都汇高点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滨康路中南集团高点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滨盛路半岛国际高点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滨盛路东和时代高点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滨盛路盾安大厦高点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滨盛路盾安大厦高点2</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滨盛路国能大厦高点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滨盛路寰宇天下高点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滨盛路君尚金座高点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滨盛路君尚金座高点</w:t>
            </w:r>
            <w:r>
              <w:rPr>
                <w:rFonts w:ascii="Calibri" w:hAnsi="Calibri" w:cs="Calibri"/>
                <w:color w:val="auto"/>
                <w:kern w:val="0"/>
                <w:sz w:val="22"/>
                <w:szCs w:val="22"/>
                <w:highlight w:val="none"/>
                <w:lang w:bidi="ar"/>
              </w:rPr>
              <w:t>2</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滨盛路莱蒙大厦高点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滨盛路六合天寓高点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滨盛路盛庐小区高点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滨盛路水电新村高点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滨盛路水晶城高点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滨盛路旭辉城高点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滨文路机电学院高点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滨文路警察学院高点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滨文路璞悦湾高点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滨文路文苑大厦高点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滨兴路滨成科创高点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滨兴路春波西苑高点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春晓路江南豪园高点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丹枫路缤纷东苑高点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丹枫路春江彼岸高点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东冠路东和云第高点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东冠路冠新佳苑高点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东冠路浦沿路高点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东信大道浦沿路高点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东信大道天鸿君邑高点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动漫馆B馆高点东北</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动漫馆B馆高点东南</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动漫馆B馆高点西侧</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火炬大道火炬小区高点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火炬大道三维大厦高点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坚塔路浦沿路高点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建业路仁苑高点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江汉东路湘云雅苑高点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江汉路东方郡高点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江虹路中南幕墙高点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江南大道创新大厦高点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江南大道东冠大厦高点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江南大道东信大道高点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江南大道风雅钱塘高点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江南大道海康威视高点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江南大道华美达高点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江南大道机专高点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江南大道钱塘之星高点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江南大道全季酒店高点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江南大道亚科药业高点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江南大道知本大厦高点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江南大道智汇中心高点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江南大道中化蓝天高点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江南大道中南国际高点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科技馆街寰宇天下高点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南环路铂金名筑高点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南环路龙禧BOSS港高点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浦炬街公交停车场高点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秋溢路金润科技园高点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时代大道白马湖和院高点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闻涛路彩虹城高点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闻涛路江南国美高点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闻涛路锦绣江南高点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闻涛路钱塘山水高点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80</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闻涛路水晶城高点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81</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闻涛路水泥厂遗址高点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82</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闻涛路太阳城高点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83</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闻涛路信雅达高点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84</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物联网街海威新界高点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85</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西浦路滨科大厦高点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86</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西兴路金辰之光高点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87</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扬帆路春江彼岸高点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88</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月明路天街高点</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89</w:t>
            </w:r>
          </w:p>
        </w:tc>
        <w:tc>
          <w:tcPr>
            <w:tcW w:w="2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Calibri" w:hAnsi="Calibri" w:cs="Calibri"/>
                <w:color w:val="auto"/>
                <w:sz w:val="22"/>
                <w:szCs w:val="22"/>
                <w:highlight w:val="none"/>
              </w:rPr>
            </w:pPr>
            <w:r>
              <w:rPr>
                <w:rFonts w:ascii="Calibri" w:hAnsi="Calibri" w:cs="Calibri"/>
                <w:color w:val="auto"/>
                <w:kern w:val="0"/>
                <w:sz w:val="22"/>
                <w:szCs w:val="22"/>
                <w:highlight w:val="none"/>
                <w:lang w:bidi="ar"/>
              </w:rPr>
              <w:t>长河路白金海岸高点</w:t>
            </w:r>
          </w:p>
        </w:tc>
      </w:tr>
    </w:tbl>
    <w:p>
      <w:pP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pStyle w:val="2"/>
        <w:tabs>
          <w:tab w:val="left" w:pos="706"/>
          <w:tab w:val="clear" w:pos="432"/>
        </w:tabs>
        <w:ind w:left="0" w:firstLine="0"/>
        <w:rPr>
          <w:rFonts w:ascii="宋体" w:hAnsi="宋体"/>
          <w:color w:val="auto"/>
          <w:sz w:val="24"/>
          <w:highlight w:val="none"/>
          <w:lang w:val="en-US"/>
        </w:rPr>
      </w:pPr>
      <w:r>
        <w:rPr>
          <w:rFonts w:hint="eastAsia" w:ascii="宋体" w:hAnsi="宋体"/>
          <w:color w:val="auto"/>
          <w:sz w:val="24"/>
          <w:highlight w:val="none"/>
          <w:lang w:val="en-US"/>
        </w:rPr>
        <w:t>维护电子警察清单</w:t>
      </w:r>
    </w:p>
    <w:tbl>
      <w:tblPr>
        <w:tblStyle w:val="62"/>
        <w:tblW w:w="6285" w:type="dxa"/>
        <w:tblInd w:w="93" w:type="dxa"/>
        <w:tblLayout w:type="autofit"/>
        <w:tblCellMar>
          <w:top w:w="0" w:type="dxa"/>
          <w:left w:w="108" w:type="dxa"/>
          <w:bottom w:w="0" w:type="dxa"/>
          <w:right w:w="108" w:type="dxa"/>
        </w:tblCellMar>
      </w:tblPr>
      <w:tblGrid>
        <w:gridCol w:w="1080"/>
        <w:gridCol w:w="5205"/>
      </w:tblGrid>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奥体街飞虹路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奥体街扬帆路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八甲街闻涛路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八甲街西浦路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白马湖路湖西路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白马湖路江虹南路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白马湖路孔家里礼让行人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白马湖路腾龙路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白马湖路长江路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北塘路固陵路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奔竞大道扬帆路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滨安路滨康地铁站礼让行人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滨安路风情大道卡口</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滨安路固陵路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滨安路火炬大道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滨安路建业路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滨安路立业路礼让行人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滨安路网商路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滨安路信诚路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滨安路长河路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滨和路江晖路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滨和路阡陌路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滨和路协同路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滨康路时代大道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滨康路长河路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滨盛路彩虹城门口礼让行人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滨盛路诚品路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滨盛路儿康路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滨盛路飞虹路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滨盛路火炬大道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滨盛路建业路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滨盛路南环路礼让行人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滨盛路信诚路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滨盛路扬帆路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滨盛路育华巷礼让行人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滨文路百仁路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滨文路百味人生门口礼让行人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滨文路潮涌路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滨文路楚天路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滨文路光裕路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滨文路江虹南路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滨文路江晖南路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滨文路江陵路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滨文路警察学院门口礼让行人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滨文路明德路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滨文路南川路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滨文路浦沿路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滨文路文泉巷礼让行人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滨文路新浦路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滨文路信诚南路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滨文路越城巷</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滨文路长江路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滨文路至善路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滨兴路江虹路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滨兴路江晖路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滨兴路江淑路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滨兴路阡陌路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缤纷街阡陌路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彩虹快速路西浦路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创慧街共享路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创慧街江淑路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创慧街众创路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春晓路东方郡门口礼让行人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春晓路钱塘春晓幼儿园门口礼让行人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丹枫路机场城市大道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丹枫路阡陌路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丹枫路区文体中心礼让行人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丹枫路睿祥巷</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丹枫路星飞路礼让行人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丹枫路扬帆路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东冠路潮涌路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东冠路闻涛路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东流路江淑路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东流路聚业路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东信大道浦沿路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东信大道闻涛路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方陆盛街诚业南路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芳华弄潮涌路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芳华弄闻涛路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福瑞弄善言路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古塘路风情大道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古塘路固陵路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冠山路潮涌路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冠山路江虹南路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冠山路江晖南路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冠山路闻涛路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冠山路西浦路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国慷街儿康路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惠商街火炬大道礼让行人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火炬大道时代大道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坚塔路潮涌路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坚塔路闻涛路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坚塔路西浦路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江二路江虹路礼让行人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江二路网商路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江汉东路阡陌路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江汉路中兴花园礼让行人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井山坞路萧山界</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科技馆街江晖路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科技馆街江陵路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科技馆街阡陌路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科技馆街舟渡巷</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联慧街阡陌路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联慧街协同路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联慧街新联路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陆家潭街潮涌路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陆家潭街规划路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陆家潭街闻涛路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漫湖巷长江路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南川路时代大道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南环路东信大道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南环路江虹路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南环路伟业路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南环路振业路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南浦路闻涛路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平乐街诚品路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平乐街时代大道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平乐街育德巷</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浦炬街浦湖街</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浦炬街浦沿路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浦炬街闻涛路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浦炬街西浦路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浦炬街新浦路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浦炬街紫云路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启智街协同路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乳泉路时代大道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山阴路西陵路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生地街闻涛路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汤堰路美女山公墓电警</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天官路长江路礼让行人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天马路湖西路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天马路南川路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天马路腾龙路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天马路延庆寺路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天马路长江路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望水路潮涌路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望水路闻涛路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望水路西浦路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闻涛路彩虹城门口礼让行人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闻涛路诚品路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闻涛路东信大道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闻涛路儿康路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闻涛路飞虹路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闻涛路火炬大道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闻涛路机场城市大道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闻涛路建业路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闻涛路江晖路礼让行人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闻涛路江陵路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闻涛路临桥巷</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闻涛路六和路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闻涛路通和路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闻涛路伟业路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闻涛路西兴路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闻涛路信诚路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闻涛路星飞路礼让行人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闻涛路扬帆路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物联网街阡陌路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物联网街网聚路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物联网街协同路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湘滨路湖西路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湘滨路善言路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湘滨路腾龙路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新和路闻涛路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新南路闻涛路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新月路泰安路礼让行人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新月路通和路礼让行人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175</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新月路星飞路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176</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兴才街江虹路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177</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艺洲街明德路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178</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映翠路漫湖巷</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179</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映翠路汤堰路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180</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映翠路萧山界卡口</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181</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月明路江晖路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182</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月明路协同路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183</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长江路湖畔幼儿园礼让行人</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nil"/>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184</w:t>
            </w:r>
          </w:p>
        </w:tc>
        <w:tc>
          <w:tcPr>
            <w:tcW w:w="4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长江路华数东门礼让行人</w:t>
            </w:r>
          </w:p>
        </w:tc>
      </w:tr>
    </w:tbl>
    <w:p>
      <w:pPr>
        <w:rPr>
          <w:rFonts w:ascii="宋体" w:hAnsi="宋体"/>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pStyle w:val="2"/>
        <w:tabs>
          <w:tab w:val="left" w:pos="706"/>
          <w:tab w:val="clear" w:pos="432"/>
        </w:tabs>
        <w:ind w:left="0" w:firstLine="0"/>
        <w:rPr>
          <w:rFonts w:ascii="宋体" w:hAnsi="宋体"/>
          <w:color w:val="auto"/>
          <w:sz w:val="24"/>
          <w:highlight w:val="none"/>
          <w:lang w:val="en-US"/>
        </w:rPr>
      </w:pPr>
      <w:r>
        <w:rPr>
          <w:rFonts w:hint="eastAsia" w:ascii="宋体" w:hAnsi="宋体"/>
          <w:color w:val="auto"/>
          <w:sz w:val="24"/>
          <w:highlight w:val="none"/>
          <w:lang w:val="en-US"/>
        </w:rPr>
        <w:t>维护交通诱导系统点位清单</w:t>
      </w:r>
    </w:p>
    <w:tbl>
      <w:tblPr>
        <w:tblStyle w:val="62"/>
        <w:tblW w:w="3631" w:type="dxa"/>
        <w:tblInd w:w="93" w:type="dxa"/>
        <w:tblLayout w:type="autofit"/>
        <w:tblCellMar>
          <w:top w:w="0" w:type="dxa"/>
          <w:left w:w="108" w:type="dxa"/>
          <w:bottom w:w="0" w:type="dxa"/>
          <w:right w:w="108" w:type="dxa"/>
        </w:tblCellMar>
      </w:tblPr>
      <w:tblGrid>
        <w:gridCol w:w="1080"/>
        <w:gridCol w:w="2551"/>
      </w:tblGrid>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白马湖路江晖路转角</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白马湖长江南路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滨康路火炬大道南侧</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滨康路时代大道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滨康路西兴路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滨盛路江陵路东</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滨盛路西兴路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滨文路百仁路东侧</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滨文路火炬大道南侧</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滨文路江晖南路南口</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滨文路商业学校南侧</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滨文路新浦路西侧</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滨文路长江路西侧</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江南大道火炬大道南口</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江南大道江晖路南</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江南大道泰安路西</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江南大道西环路西口</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聚园路江晖路北</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天马路湖西路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闻涛路飞虹路东</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映翠路萧山界</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月明江晖南向北</w:t>
            </w:r>
          </w:p>
        </w:tc>
      </w:tr>
    </w:tbl>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br w:type="page"/>
      </w:r>
    </w:p>
    <w:p>
      <w:pPr>
        <w:pStyle w:val="2"/>
        <w:tabs>
          <w:tab w:val="left" w:pos="706"/>
          <w:tab w:val="clear" w:pos="432"/>
        </w:tabs>
        <w:ind w:left="0" w:firstLine="0"/>
        <w:rPr>
          <w:rFonts w:ascii="宋体" w:hAnsi="宋体"/>
          <w:color w:val="auto"/>
          <w:sz w:val="24"/>
          <w:highlight w:val="none"/>
          <w:lang w:val="en-US"/>
        </w:rPr>
      </w:pPr>
      <w:r>
        <w:rPr>
          <w:rFonts w:hint="eastAsia" w:ascii="宋体" w:hAnsi="宋体"/>
          <w:color w:val="auto"/>
          <w:sz w:val="24"/>
          <w:highlight w:val="none"/>
          <w:lang w:val="en-US"/>
        </w:rPr>
        <w:t>维护可变车道牌点位清单</w:t>
      </w:r>
    </w:p>
    <w:tbl>
      <w:tblPr>
        <w:tblStyle w:val="62"/>
        <w:tblW w:w="3841" w:type="dxa"/>
        <w:tblInd w:w="93" w:type="dxa"/>
        <w:tblLayout w:type="autofit"/>
        <w:tblCellMar>
          <w:top w:w="0" w:type="dxa"/>
          <w:left w:w="108" w:type="dxa"/>
          <w:bottom w:w="0" w:type="dxa"/>
          <w:right w:w="108" w:type="dxa"/>
        </w:tblCellMar>
      </w:tblPr>
      <w:tblGrid>
        <w:gridCol w:w="1080"/>
        <w:gridCol w:w="2761"/>
      </w:tblGrid>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白马湖路长江路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滨安路江淑路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滨安路时代大道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滨安路网商路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滨和路江虹路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滨和路协同路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滨康路江虹路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滨康路网商路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滨盛路建业路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滨文路江晖路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滨兴路江虹路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滨兴路江晖路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滨兴路网商路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东流路江晖路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东流路江淑路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江二路网商路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聚园路江晖路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南环路东信大道</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浦炬街浦沿路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秋溢路江虹路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秋溢路网商路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秋溢路长河路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天马路长江路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闻涛路临桥巷</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闻涛路六和路</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月明路江汉路</w:t>
            </w:r>
          </w:p>
        </w:tc>
      </w:tr>
    </w:tbl>
    <w:p>
      <w:pPr>
        <w:rPr>
          <w:color w:val="auto"/>
          <w:highlight w:val="none"/>
        </w:rPr>
      </w:pPr>
    </w:p>
    <w:p>
      <w:pPr>
        <w:pStyle w:val="2"/>
        <w:tabs>
          <w:tab w:val="left" w:pos="706"/>
          <w:tab w:val="clear" w:pos="432"/>
        </w:tabs>
        <w:ind w:left="0" w:firstLine="482" w:firstLineChars="200"/>
        <w:rPr>
          <w:rFonts w:ascii="宋体" w:hAnsi="宋体"/>
          <w:color w:val="auto"/>
          <w:sz w:val="24"/>
          <w:highlight w:val="none"/>
        </w:rPr>
      </w:pPr>
      <w:r>
        <w:rPr>
          <w:rFonts w:hint="eastAsia" w:ascii="宋体" w:hAnsi="宋体"/>
          <w:color w:val="auto"/>
          <w:sz w:val="24"/>
          <w:highlight w:val="none"/>
        </w:rPr>
        <w:t>维护范围为滨江区全区智能交通设施，清单作为参考，如清单有遗漏以交警大队任务单为准。</w:t>
      </w:r>
    </w:p>
    <w:p>
      <w:pPr>
        <w:rPr>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pStyle w:val="2"/>
        <w:tabs>
          <w:tab w:val="left" w:pos="706"/>
          <w:tab w:val="clear" w:pos="432"/>
        </w:tabs>
        <w:ind w:left="0" w:firstLine="0"/>
        <w:rPr>
          <w:rFonts w:ascii="宋体" w:hAnsi="宋体"/>
          <w:color w:val="auto"/>
          <w:sz w:val="24"/>
          <w:highlight w:val="none"/>
        </w:rPr>
      </w:pPr>
      <w:r>
        <w:rPr>
          <w:rFonts w:hint="eastAsia" w:ascii="宋体" w:hAnsi="宋体"/>
          <w:color w:val="auto"/>
          <w:sz w:val="24"/>
          <w:highlight w:val="none"/>
          <w:lang w:val="en-US"/>
        </w:rPr>
        <w:t>2</w:t>
      </w:r>
      <w:r>
        <w:rPr>
          <w:rFonts w:hint="eastAsia" w:ascii="宋体" w:hAnsi="宋体"/>
          <w:color w:val="auto"/>
          <w:sz w:val="24"/>
          <w:highlight w:val="none"/>
        </w:rPr>
        <w:t>、</w:t>
      </w:r>
      <w:r>
        <w:rPr>
          <w:rFonts w:hint="eastAsia" w:ascii="宋体" w:hAnsi="宋体"/>
          <w:color w:val="auto"/>
          <w:sz w:val="24"/>
          <w:highlight w:val="none"/>
          <w:lang w:val="en-US"/>
        </w:rPr>
        <w:t>项目</w:t>
      </w:r>
      <w:r>
        <w:rPr>
          <w:rFonts w:hint="eastAsia" w:ascii="宋体" w:hAnsi="宋体"/>
          <w:color w:val="auto"/>
          <w:sz w:val="24"/>
          <w:highlight w:val="none"/>
        </w:rPr>
        <w:t>清单</w:t>
      </w:r>
    </w:p>
    <w:p>
      <w:pPr>
        <w:rPr>
          <w:rFonts w:ascii="宋体" w:hAnsi="宋体"/>
          <w:color w:val="auto"/>
          <w:sz w:val="24"/>
          <w:highlight w:val="none"/>
        </w:rPr>
      </w:pPr>
      <w:r>
        <w:rPr>
          <w:rFonts w:hint="eastAsia" w:ascii="宋体" w:hAnsi="宋体"/>
          <w:color w:val="auto"/>
          <w:sz w:val="24"/>
          <w:highlight w:val="none"/>
        </w:rPr>
        <w:t>2.1、日常维护费</w:t>
      </w:r>
    </w:p>
    <w:tbl>
      <w:tblPr>
        <w:tblStyle w:val="62"/>
        <w:tblW w:w="8796" w:type="dxa"/>
        <w:tblInd w:w="93" w:type="dxa"/>
        <w:tblLayout w:type="fixed"/>
        <w:tblCellMar>
          <w:top w:w="0" w:type="dxa"/>
          <w:left w:w="108" w:type="dxa"/>
          <w:bottom w:w="0" w:type="dxa"/>
          <w:right w:w="108" w:type="dxa"/>
        </w:tblCellMar>
      </w:tblPr>
      <w:tblGrid>
        <w:gridCol w:w="810"/>
        <w:gridCol w:w="2556"/>
        <w:gridCol w:w="750"/>
        <w:gridCol w:w="720"/>
        <w:gridCol w:w="2655"/>
        <w:gridCol w:w="1305"/>
      </w:tblGrid>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服务项目名称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计量单位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综合单价限价（元/月）</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合价 ( 元 )</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信号控制系统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277</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997200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交通监视系统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1712880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556"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高点监控系统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534000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电子警察系统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662400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交通诱导系统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79200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可变车道牌系统</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100800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机房硬件维护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204000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配电房维护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6000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交警集成平台维护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54000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视频管理平台维护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54000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交通信号控制平台维护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54000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2556" w:type="dxa"/>
            <w:tcBorders>
              <w:top w:val="single" w:color="000000" w:sz="4" w:space="0"/>
              <w:left w:val="single" w:color="000000" w:sz="4" w:space="0"/>
              <w:bottom w:val="single" w:color="000000" w:sz="4" w:space="0"/>
              <w:right w:val="nil"/>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滨江大队主页平台维护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84000</w:t>
            </w:r>
          </w:p>
        </w:tc>
      </w:tr>
      <w:tr>
        <w:tblPrEx>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25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auto"/>
                <w:sz w:val="22"/>
                <w:szCs w:val="22"/>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auto"/>
                <w:sz w:val="22"/>
                <w:szCs w:val="22"/>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cs="宋体"/>
                <w:color w:val="auto"/>
                <w:sz w:val="22"/>
                <w:szCs w:val="22"/>
                <w:highlight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auto"/>
                <w:sz w:val="22"/>
                <w:szCs w:val="22"/>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4542480</w:t>
            </w:r>
          </w:p>
        </w:tc>
      </w:tr>
    </w:tbl>
    <w:p>
      <w:pPr>
        <w:rPr>
          <w:rFonts w:ascii="宋体" w:hAnsi="宋体" w:cs="宋体"/>
          <w:color w:val="auto"/>
          <w:kern w:val="0"/>
          <w:sz w:val="22"/>
          <w:szCs w:val="22"/>
          <w:highlight w:val="none"/>
          <w:lang w:bidi="ar"/>
        </w:rPr>
      </w:pPr>
      <w:r>
        <w:rPr>
          <w:rFonts w:hint="eastAsia" w:ascii="宋体" w:hAnsi="宋体"/>
          <w:color w:val="auto"/>
          <w:sz w:val="24"/>
          <w:highlight w:val="none"/>
        </w:rPr>
        <w:t>注：1</w:t>
      </w:r>
      <w:r>
        <w:rPr>
          <w:rFonts w:ascii="宋体" w:hAnsi="宋体"/>
          <w:color w:val="auto"/>
          <w:sz w:val="24"/>
          <w:highlight w:val="none"/>
        </w:rPr>
        <w:t>2</w:t>
      </w:r>
      <w:r>
        <w:rPr>
          <w:rFonts w:hint="eastAsia" w:ascii="宋体" w:hAnsi="宋体"/>
          <w:color w:val="auto"/>
          <w:sz w:val="24"/>
          <w:highlight w:val="none"/>
        </w:rPr>
        <w:t>个月</w:t>
      </w:r>
      <w:r>
        <w:rPr>
          <w:rFonts w:hint="eastAsia" w:ascii="宋体" w:hAnsi="宋体" w:cs="宋体"/>
          <w:color w:val="auto"/>
          <w:kern w:val="0"/>
          <w:sz w:val="22"/>
          <w:szCs w:val="22"/>
          <w:highlight w:val="none"/>
          <w:lang w:bidi="ar"/>
        </w:rPr>
        <w:t>合计报价为1</w:t>
      </w: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个月的总数量报价。</w:t>
      </w:r>
    </w:p>
    <w:p>
      <w:pPr>
        <w:rPr>
          <w:rFonts w:ascii="宋体" w:hAnsi="宋体"/>
          <w:color w:val="auto"/>
          <w:sz w:val="24"/>
          <w:highlight w:val="none"/>
        </w:rPr>
      </w:pPr>
      <w:r>
        <w:rPr>
          <w:rFonts w:hint="eastAsia" w:ascii="宋体" w:hAnsi="宋体" w:cs="宋体"/>
          <w:color w:val="auto"/>
          <w:kern w:val="0"/>
          <w:sz w:val="22"/>
          <w:szCs w:val="22"/>
          <w:highlight w:val="none"/>
          <w:lang w:bidi="ar"/>
        </w:rPr>
        <w:t>例：信号控制系统的1</w:t>
      </w: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个月合计报价（元）=数量277个</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投标综合单价*</w:t>
      </w:r>
      <w:r>
        <w:rPr>
          <w:rFonts w:ascii="宋体" w:hAnsi="宋体" w:cs="宋体"/>
          <w:color w:val="auto"/>
          <w:kern w:val="0"/>
          <w:sz w:val="22"/>
          <w:szCs w:val="22"/>
          <w:highlight w:val="none"/>
          <w:lang w:bidi="ar"/>
        </w:rPr>
        <w:t>12</w:t>
      </w:r>
      <w:r>
        <w:rPr>
          <w:rFonts w:hint="eastAsia" w:ascii="宋体" w:hAnsi="宋体" w:cs="宋体"/>
          <w:color w:val="auto"/>
          <w:kern w:val="0"/>
          <w:sz w:val="22"/>
          <w:szCs w:val="22"/>
          <w:highlight w:val="none"/>
          <w:lang w:bidi="ar"/>
        </w:rPr>
        <w:t>个月</w:t>
      </w:r>
    </w:p>
    <w:p>
      <w:pPr>
        <w:rPr>
          <w:color w:val="auto"/>
          <w:highlight w:val="none"/>
        </w:rPr>
      </w:pPr>
    </w:p>
    <w:p>
      <w:pPr>
        <w:rPr>
          <w:rFonts w:ascii="宋体" w:hAnsi="宋体"/>
          <w:color w:val="auto"/>
          <w:sz w:val="24"/>
          <w:highlight w:val="none"/>
        </w:rPr>
      </w:pPr>
      <w:r>
        <w:rPr>
          <w:rFonts w:hint="eastAsia" w:ascii="宋体" w:hAnsi="宋体"/>
          <w:color w:val="auto"/>
          <w:sz w:val="24"/>
          <w:highlight w:val="none"/>
        </w:rPr>
        <w:t>2.2、系统维护相关设备（材料）价格表</w:t>
      </w:r>
    </w:p>
    <w:tbl>
      <w:tblPr>
        <w:tblStyle w:val="62"/>
        <w:tblW w:w="8931" w:type="dxa"/>
        <w:tblInd w:w="93" w:type="dxa"/>
        <w:tblLayout w:type="fixed"/>
        <w:tblCellMar>
          <w:top w:w="0" w:type="dxa"/>
          <w:left w:w="108" w:type="dxa"/>
          <w:bottom w:w="0" w:type="dxa"/>
          <w:right w:w="108" w:type="dxa"/>
        </w:tblCellMar>
      </w:tblPr>
      <w:tblGrid>
        <w:gridCol w:w="600"/>
        <w:gridCol w:w="1356"/>
        <w:gridCol w:w="2505"/>
        <w:gridCol w:w="2460"/>
        <w:gridCol w:w="720"/>
        <w:gridCol w:w="1290"/>
      </w:tblGrid>
      <w:tr>
        <w:tblPrEx>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序号</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类别</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设备名称</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规格及参数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color w:val="auto"/>
                <w:highlight w:val="none"/>
              </w:rPr>
            </w:pPr>
            <w:r>
              <w:rPr>
                <w:color w:val="auto"/>
                <w:highlight w:val="none"/>
              </w:rPr>
              <w:t>综合单价最高限价（元）</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控制器（中控）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包括(主板、灯组板、电源板)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46799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信号灯杆（12米)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16615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信号灯杆（9米)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15198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信号灯杆（6米）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13050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一体化辅灯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9533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多相位临时信号灯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定制（多相位）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9957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信号灯杆（3米）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8945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控制机主板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8655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协议转换器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8331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单相位临时信号灯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定制（单相位）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7809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一体化人行灯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7083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请求式一体化人行灯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7895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信号灯直立杆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4739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控制机灯组板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5491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300非机动车信号灯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φ300LED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2962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300辅灯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φ300LED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2961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300人行信号灯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φ300LED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2423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401机动车信号灯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φ400LED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1568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402机动车信号灯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φ400LED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2844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403机动车信号灯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φ400LED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3885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404机动车信号灯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φ400LED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4077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智能回检信号灯模块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待转屏</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4562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待转屏灯板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2324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待转屏控制器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2559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行人倒记时板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843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机动车倒记时板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1578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可变车道多屏控制器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中控、新源、普乐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17601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可变车道牌</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中控、新源、普乐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5043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控制机电源板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3702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广域雷达</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毫米波、激光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18906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全息感知终端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海康、大华、中控、华为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36285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人行灯基础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尺寸:400mm*400mm*800mm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1813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人行灯控制器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人行灯帽沿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φ300LED</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人行灯直立杆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4025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信号灯灯板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847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信号灯装饰片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杆件装饰片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一体化人行灯灯板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新源、普乐、中控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3693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信号机箱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信号灯</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发光斑马线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防护等级:IP67</w:t>
            </w:r>
            <w:r>
              <w:rPr>
                <w:color w:val="auto"/>
                <w:highlight w:val="none"/>
              </w:rPr>
              <w:br w:type="textWrapping"/>
            </w:r>
            <w:r>
              <w:rPr>
                <w:color w:val="auto"/>
                <w:highlight w:val="none"/>
              </w:rPr>
              <w:t>显色指数：≥70RA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AR全景摄像机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40354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鹰眼数字球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26703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37倍数字球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37倍以上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17582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23倍数字球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23倍以上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16430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监控立杆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根据周围环境定制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11356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球机外壳更换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球机外罩更换</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球机主板维修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3145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监控</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摄像机电源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雷达测速仪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160262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雷视一体机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23186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射频视频一体读写器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48035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固定式四通道读写器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28476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非机动车抓拍高清摄像机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22801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读写器天线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2214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音柱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非机动车存储终端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14240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红绿灯信号检测器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4761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违停球机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16907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高清摄像机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CCD，包含视频分析功能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15787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电警L杆挑12米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L型杆横挑12M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12860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电警T杆挑6米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T型杆横挑6M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10783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报警主机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14717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路口工控机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嵌入式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10054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电警L杆挑10米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L型杆横挑10M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10247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环保LED灯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9479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环保闪光灯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9492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电警L杆挑6米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L型杆横挑6M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9202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电警L杆挑3米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L型杆横挑3M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5314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LED频闪灯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4851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待转待驶模块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电警直立杆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直立杆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防护罩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亚安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高清摄像机镜头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百万像素光学镜头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4012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雷达测速箱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5136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全景摄像机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2963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全景摄像机防护罩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全景摄像机镜头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定焦光圈</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1473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闪光灯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4651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摄像机电源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视频检测立杆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3798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LED屏</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海康、大华、上海三思</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24126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车辆检测识别设备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微波雷达交通流检测器（包括接线及调试）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22110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情报杆立杆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16844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视频车检</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14592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路口工控机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嵌入式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10115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电警L杆挑6米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L型杆横挑6M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9227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协议转换器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8305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电警L杆挑3米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L型杆横挑3M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5333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防护罩</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亚安</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控制器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4958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连接排线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驱动板卡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驱动电源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视频检测立杆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3808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1685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显示和信号设备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无线传输模块（包括接线及调试）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1687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显示屏模块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4735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移动天线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情报板、微波</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信息发布屏</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8372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万兆核心交换机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华三、华为、思科等同品牌中高级系列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189771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千兆24口光纤汇聚交换机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华三、华为、思科等同品牌中高级系列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28910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千兆48口光纤汇聚交换机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华三、华为、思科等同品牌中高级系列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47461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网闸</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254173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B20矩阵</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224094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高清磁盘阵列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大华、华为、海康等同品牌中高级系列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241843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高清磁盘柜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大华、华为、海康等同品牌中高级系列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189663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中心服务器2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海康系列、HP系列、华三系列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100385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新增平台功能模块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98024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中心服务器3</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海康系列、HP系列、华三系列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78568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UPS配电房市电输入配电柜(AP-1)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69987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中心服务器4</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海康系列、HP系列、华三系列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54880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平台功能模块提升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47979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热备软件或平台功能模块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48293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中心服务器5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海康系列、HP系列、华三系列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46008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机房专用空调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大金、施耐德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43332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消防联动控制箱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冷通道封闭实现消防联动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26284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UPS控制板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27195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柜式气体灭火装置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120L，2.5MPa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29457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中心服务器6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海康系列、HP系列、华三系列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38111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千兆48口网络交换机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华三、华为、思科等同品牌中高级系列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37221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B20输出板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28912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B20输入板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28924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平移通道门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27174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气体灭火控制盘(2区)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最多可同时启动2个区的气体灭火设备释放灭火剂进行灭火。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15678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百兆网络交换机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华三、华为、思科等同品牌中高级系列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18620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千兆24口网络交换机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华三、华为、思科等同品牌中高级系列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18563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中心服务器1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海康系列、HP系列、华三系列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166303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数字硬盘录象机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海康威视16回放分辨率1024*768以上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14089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GPRS短信模块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双频GSM GPRS MODEM(900/1800MHz)</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10037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门禁一体机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9811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高清键盘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海康、大华、宇视系列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9578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KVM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17寸LCD液晶屏幕、键盘,接口数8个以上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6991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柜式空调</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格力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6429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操作员工作站</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5996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139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19英寸标准机柜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机房专用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4231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智能机柜控制模块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8463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针孔摄像机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海康、大华、中控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423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UPS</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4935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Ups电池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12V100AH</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4614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电力电量仪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发卡器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配套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2114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感烟、感温探测器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机房安防面层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平米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监视器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3679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键盘主板维修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3165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精密空调过滤网</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3696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精密空调加湿灌</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5182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精密空调压缩机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大金、施耐德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16830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精密空调主板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大金、施耐德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28932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精密空调制冷剂</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R22、R410A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Kg</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传感器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压力、风力、温湿度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3682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蒸汽管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含进水软管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开关量、通讯转换模块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自动控制数据流方向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喷洒模块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平钢玻璃顶棚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平钢玻璃</w:t>
            </w:r>
            <w:r>
              <w:rPr>
                <w:color w:val="auto"/>
                <w:highlight w:val="none"/>
              </w:rPr>
              <w:br w:type="textWrapping"/>
            </w:r>
            <w:r>
              <w:rPr>
                <w:color w:val="auto"/>
                <w:highlight w:val="none"/>
              </w:rPr>
              <w:t>1200mm(L)*600mm(W),金属加强,6mm,含安装附件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4745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七氟丙烷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千兆光模块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5149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嵌入式LED灯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40w灯盘，300*1200，LED灯管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419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区域式漏水控制器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供电电源：12～60VDC（如配有BTR-BJ报警器采用12-24V）</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5167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人脸、指纹采集仪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配套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2209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摄像机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海康、大华、宇视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1260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声光报警器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万兆光模块</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29897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温湿度传感器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5152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移动硬盘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应急出口指示灯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断电延迟时间≥90min</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1267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服务器主板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10205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云存储主板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23910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服务器控制卡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4398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机房</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云存储控制卡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4963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千兆光端机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千兆网口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17940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无线接入网关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14069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百兆光端机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百兆网口</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10883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无线传输设备</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10041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新增光纤点位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电信、华数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8014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光纤移位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电信、华数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5066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UP-C配电箱输入电缆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ZR-YJV-4*25+1*16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UPS输入输出电缆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电池组连接线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ZR-YJV-4*240+1*120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379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KVV22-16×1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KVV22-16×1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KVV22-6×1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KVV22-6×1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KVV23-3*6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KVV23-3*6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RVV2×1.5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RVV2×1.5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RVV3×1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RVV3×1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RVV3×2.5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RVV3×2.5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RVV3×2.5+3*1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RVV3×2.5+3*1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RVV4×1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RVV4×1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RVVP6×0.5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RVVP6×0.5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电缆 YJV3*6</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YJV3*6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馈线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光端机视频端口维修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光端机数据端口维修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光端机网口维修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光端机主板维修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3682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199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光纤</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单模、多模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光纤连接线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电信级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光纤收发器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工业级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2221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光纤终端盒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178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交换机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工业级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精密空调输入电缆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ZR-YJV-4*185+1*96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配电柜输入电缆1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ZR-YJV-4*70+1*35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配电柜输入电缆2</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ZR-YJV-5*6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视频线 SYV75-5</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SYV75-5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视频线 SYV75-7</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SYV75-7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209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网线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超五类网线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通讯、线材</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稳压电源</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SVC-1KVA</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2950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钢结构构建</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12540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基础钢结构</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9627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D75PE管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D80钢管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三维万向节支架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安装专用抱箍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安装专用支架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壁挂小机柜</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2837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避雷器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633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插线板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插座</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承重窨井(350*250*300)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尺寸:350mm*250mm*300mm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827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承重窨井(500*500*500)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尺寸:500mm*500mm*500mm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1251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窨井盖</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210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杆件检修板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存储硬盘4T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4T SATAS硬盘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2732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存储硬盘8T</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8T SATAS硬盘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3457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第三方检测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方向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3697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229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防雷器接地线、敷料</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293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杆件吊装</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班</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杆件横桃杆（1-3m）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1260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杆件横桃杆（4-6m)</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3156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机箱</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4947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空气开关</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62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控制主板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5203</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商品砼</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C25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立方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580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渣土消纳处置费用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立方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330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挖沟槽土方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立方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320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239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路面恢复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立方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设备调试</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方向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2632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摄像机主板维修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5152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数据传输器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105</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数据控制仪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投影仪</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4587</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无线接收器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2481</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无线路由器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274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247</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窨井(350*250*300)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尺寸:350mm*250mm*300mm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476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248</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窨井(500*500*500)</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尺寸:500mm*500mm*500mm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589</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249</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应用软件</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2850</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250</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油漆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平方米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251</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板卡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2466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252</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专用数据线</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528</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253</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机箱门锁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104</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254</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磁力锁/插梢锁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定制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846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255</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自喷油漆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26</w:t>
            </w:r>
          </w:p>
        </w:tc>
      </w:tr>
      <w:tr>
        <w:tblPrEx>
          <w:tblCellMar>
            <w:top w:w="0" w:type="dxa"/>
            <w:left w:w="108" w:type="dxa"/>
            <w:bottom w:w="0" w:type="dxa"/>
            <w:right w:w="108" w:type="dxa"/>
          </w:tblCellMar>
        </w:tblPrEx>
        <w:trPr>
          <w:trHeight w:val="4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256</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管路、其它</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绿化恢复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平方米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r>
              <w:rPr>
                <w:color w:val="auto"/>
                <w:highlight w:val="none"/>
              </w:rPr>
              <w:t>150</w:t>
            </w:r>
          </w:p>
        </w:tc>
      </w:tr>
    </w:tbl>
    <w:p>
      <w:pPr>
        <w:rPr>
          <w:color w:val="auto"/>
          <w:highlight w:val="none"/>
        </w:rPr>
      </w:pPr>
    </w:p>
    <w:p>
      <w:pPr>
        <w:rPr>
          <w:color w:val="auto"/>
          <w:highlight w:val="none"/>
        </w:rPr>
      </w:pPr>
    </w:p>
    <w:p>
      <w:pPr>
        <w:pStyle w:val="2"/>
        <w:tabs>
          <w:tab w:val="left" w:pos="706"/>
          <w:tab w:val="clear" w:pos="432"/>
        </w:tabs>
        <w:ind w:left="0" w:firstLine="0"/>
        <w:rPr>
          <w:rFonts w:ascii="宋体" w:hAnsi="宋体" w:eastAsia="宋体" w:cs="宋体"/>
          <w:color w:val="auto"/>
          <w:highlight w:val="none"/>
        </w:rPr>
      </w:pPr>
      <w:r>
        <w:rPr>
          <w:rFonts w:hint="eastAsia" w:ascii="宋体" w:hAnsi="宋体" w:eastAsia="宋体" w:cs="宋体"/>
          <w:color w:val="auto"/>
          <w:highlight w:val="none"/>
          <w:lang w:val="en-US"/>
        </w:rPr>
        <w:t>六</w:t>
      </w:r>
      <w:r>
        <w:rPr>
          <w:rFonts w:hint="eastAsia" w:ascii="宋体" w:hAnsi="宋体" w:eastAsia="宋体" w:cs="宋体"/>
          <w:color w:val="auto"/>
          <w:highlight w:val="none"/>
        </w:rPr>
        <w:t>、项目报价要求</w:t>
      </w:r>
    </w:p>
    <w:p>
      <w:pPr>
        <w:spacing w:line="360" w:lineRule="auto"/>
        <w:ind w:firstLine="480"/>
        <w:rPr>
          <w:rFonts w:ascii="宋体" w:hAnsi="宋体"/>
          <w:color w:val="auto"/>
          <w:sz w:val="24"/>
          <w:highlight w:val="none"/>
        </w:rPr>
      </w:pPr>
      <w:r>
        <w:rPr>
          <w:rFonts w:hint="eastAsia" w:ascii="宋体" w:hAnsi="宋体"/>
          <w:color w:val="auto"/>
          <w:sz w:val="24"/>
          <w:highlight w:val="none"/>
        </w:rPr>
        <w:t>1、本项目的投标价应包括售后服务费、企业管理费、规费、税费、利润等一切费用。</w:t>
      </w:r>
    </w:p>
    <w:p>
      <w:pPr>
        <w:spacing w:line="360" w:lineRule="auto"/>
        <w:ind w:firstLine="480"/>
        <w:rPr>
          <w:rFonts w:ascii="宋体" w:hAnsi="宋体"/>
          <w:color w:val="auto"/>
          <w:sz w:val="24"/>
          <w:highlight w:val="none"/>
        </w:rPr>
      </w:pPr>
      <w:r>
        <w:rPr>
          <w:rFonts w:hint="eastAsia" w:ascii="宋体" w:hAnsi="宋体"/>
          <w:color w:val="auto"/>
          <w:sz w:val="24"/>
          <w:highlight w:val="none"/>
        </w:rPr>
        <w:t>2、本项目采购文件中未明确，但完成各清单子项应包括的施工措施费用，由投标人应自行计入综合单价中，中标后不得调整。</w:t>
      </w:r>
    </w:p>
    <w:p>
      <w:pPr>
        <w:spacing w:line="360" w:lineRule="auto"/>
        <w:ind w:firstLine="482"/>
        <w:rPr>
          <w:rFonts w:ascii="宋体" w:hAnsi="宋体"/>
          <w:color w:val="auto"/>
          <w:sz w:val="24"/>
          <w:highlight w:val="none"/>
        </w:rPr>
      </w:pPr>
      <w:r>
        <w:rPr>
          <w:rFonts w:hint="eastAsia" w:ascii="宋体" w:hAnsi="宋体"/>
          <w:color w:val="auto"/>
          <w:sz w:val="24"/>
          <w:highlight w:val="none"/>
        </w:rPr>
        <w:t>3、本项目工程量（除日常维护费外）仅作为招标时各投标人报价的基础，工程最终结算时，根据实际完成的工程量及投标时综合单价结算。</w:t>
      </w:r>
    </w:p>
    <w:p>
      <w:pPr>
        <w:spacing w:line="360" w:lineRule="auto"/>
        <w:ind w:firstLine="482"/>
        <w:rPr>
          <w:rFonts w:ascii="宋体" w:hAnsi="宋体"/>
          <w:color w:val="auto"/>
          <w:sz w:val="24"/>
          <w:highlight w:val="none"/>
        </w:rPr>
      </w:pPr>
      <w:r>
        <w:rPr>
          <w:rFonts w:hint="eastAsia" w:ascii="宋体" w:hAnsi="宋体"/>
          <w:color w:val="auto"/>
          <w:sz w:val="24"/>
          <w:highlight w:val="none"/>
        </w:rPr>
        <w:t>4、本项目日常维护费由投标人按照项报价，该项由投标人根据项目的实际情况及自身的综合实力报价，一次性包干，中标后不调整。</w:t>
      </w:r>
    </w:p>
    <w:p>
      <w:pPr>
        <w:spacing w:line="360" w:lineRule="auto"/>
        <w:ind w:firstLine="482"/>
        <w:rPr>
          <w:rFonts w:ascii="宋体" w:hAnsi="宋体"/>
          <w:color w:val="auto"/>
          <w:sz w:val="24"/>
          <w:highlight w:val="none"/>
        </w:rPr>
      </w:pPr>
      <w:r>
        <w:rPr>
          <w:rFonts w:hint="eastAsia" w:ascii="宋体" w:hAnsi="宋体"/>
          <w:color w:val="auto"/>
          <w:sz w:val="24"/>
          <w:highlight w:val="none"/>
        </w:rPr>
        <w:t>5、现场施工用电、用水由投标人自行解决接线，单独装表计量。结算时须按装表计量数额加损耗计算，费用由投标人承担。</w:t>
      </w:r>
    </w:p>
    <w:p>
      <w:pPr>
        <w:spacing w:line="360" w:lineRule="auto"/>
        <w:ind w:firstLine="482"/>
        <w:rPr>
          <w:rFonts w:ascii="宋体" w:hAnsi="宋体"/>
          <w:color w:val="auto"/>
          <w:sz w:val="24"/>
          <w:highlight w:val="none"/>
        </w:rPr>
      </w:pPr>
      <w:r>
        <w:rPr>
          <w:rFonts w:hint="eastAsia" w:ascii="宋体" w:hAnsi="宋体"/>
          <w:color w:val="auto"/>
          <w:sz w:val="24"/>
          <w:highlight w:val="none"/>
        </w:rPr>
        <w:t>6、要求各投标单位自行踏勘现场，采购文件所列现场情况有与实际现场情况不符之处，请投标人按照现场实际情况报价，相关费用计入年维护费报价中，否则视为优惠。</w:t>
      </w:r>
    </w:p>
    <w:p>
      <w:pPr>
        <w:rPr>
          <w:color w:val="auto"/>
          <w:highlight w:val="none"/>
        </w:rPr>
      </w:pPr>
    </w:p>
    <w:p>
      <w:pPr>
        <w:rPr>
          <w:rFonts w:ascii="宋体" w:hAnsi="宋体"/>
          <w:color w:val="auto"/>
          <w:sz w:val="24"/>
          <w:highlight w:val="none"/>
        </w:rPr>
      </w:pPr>
      <w:r>
        <w:rPr>
          <w:rFonts w:hint="eastAsia" w:ascii="宋体" w:hAnsi="宋体"/>
          <w:color w:val="auto"/>
          <w:sz w:val="24"/>
          <w:highlight w:val="none"/>
        </w:rPr>
        <w:br w:type="page"/>
      </w:r>
    </w:p>
    <w:p>
      <w:pPr>
        <w:jc w:val="left"/>
        <w:rPr>
          <w:rFonts w:ascii="宋体" w:hAnsi="宋体"/>
          <w:color w:val="auto"/>
          <w:highlight w:val="none"/>
        </w:rPr>
      </w:pPr>
      <w:r>
        <w:rPr>
          <w:rFonts w:hint="eastAsia" w:ascii="宋体" w:hAnsi="宋体"/>
          <w:color w:val="auto"/>
          <w:highlight w:val="none"/>
        </w:rPr>
        <w:t>附件1</w:t>
      </w:r>
    </w:p>
    <w:p>
      <w:pPr>
        <w:widowControl/>
        <w:snapToGrid w:val="0"/>
        <w:spacing w:line="360" w:lineRule="auto"/>
        <w:ind w:firstLine="482"/>
        <w:jc w:val="center"/>
        <w:rPr>
          <w:rFonts w:ascii="宋体" w:hAnsi="宋体" w:cs="宋体"/>
          <w:b/>
          <w:color w:val="auto"/>
          <w:kern w:val="0"/>
          <w:sz w:val="24"/>
          <w:highlight w:val="none"/>
        </w:rPr>
      </w:pPr>
      <w:r>
        <w:rPr>
          <w:rFonts w:hint="eastAsia" w:ascii="宋体" w:hAnsi="宋体" w:cs="宋体"/>
          <w:b/>
          <w:color w:val="auto"/>
          <w:kern w:val="0"/>
          <w:sz w:val="24"/>
          <w:highlight w:val="none"/>
        </w:rPr>
        <w:t>滨江区道路交通安全设施维护工程考核办法</w:t>
      </w:r>
    </w:p>
    <w:p>
      <w:pPr>
        <w:widowControl/>
        <w:snapToGrid w:val="0"/>
        <w:spacing w:line="360" w:lineRule="auto"/>
        <w:ind w:firstLine="480"/>
        <w:jc w:val="center"/>
        <w:rPr>
          <w:rFonts w:ascii="宋体" w:hAnsi="宋体" w:cs="宋体"/>
          <w:color w:val="auto"/>
          <w:kern w:val="0"/>
          <w:sz w:val="24"/>
          <w:highlight w:val="none"/>
        </w:rPr>
      </w:pPr>
    </w:p>
    <w:p>
      <w:pPr>
        <w:widowControl/>
        <w:snapToGrid w:val="0"/>
        <w:spacing w:line="360" w:lineRule="auto"/>
        <w:ind w:firstLine="480"/>
        <w:jc w:val="center"/>
        <w:rPr>
          <w:rFonts w:ascii="宋体" w:hAnsi="宋体" w:cs="宋体"/>
          <w:color w:val="auto"/>
          <w:kern w:val="0"/>
          <w:sz w:val="24"/>
          <w:highlight w:val="none"/>
        </w:rPr>
      </w:pPr>
      <w:r>
        <w:rPr>
          <w:rFonts w:hint="eastAsia" w:ascii="宋体" w:hAnsi="宋体" w:cs="宋体"/>
          <w:color w:val="auto"/>
          <w:kern w:val="0"/>
          <w:sz w:val="24"/>
          <w:highlight w:val="none"/>
        </w:rPr>
        <w:t>第一章  总则</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第一条</w:t>
      </w:r>
      <w:r>
        <w:rPr>
          <w:rFonts w:hint="eastAsia" w:ascii="宋体" w:hAnsi="宋体" w:cs="宋体"/>
          <w:color w:val="auto"/>
          <w:kern w:val="0"/>
          <w:sz w:val="24"/>
          <w:highlight w:val="none"/>
        </w:rPr>
        <w:t xml:space="preserve">  为进一步</w:t>
      </w:r>
      <w:r>
        <w:rPr>
          <w:rFonts w:hint="eastAsia" w:ascii="宋体" w:hAnsi="宋体"/>
          <w:color w:val="auto"/>
          <w:sz w:val="24"/>
          <w:highlight w:val="none"/>
        </w:rPr>
        <w:t>规范滨江区道路交通标志、标线、隔离、警示等设施（以下统称交通设施）和交通信号灯、监控、电子警察等设施（以下统称智能交通设施）的管理维护工作，</w:t>
      </w:r>
      <w:r>
        <w:rPr>
          <w:rFonts w:hint="eastAsia" w:ascii="宋体" w:hAnsi="宋体" w:cs="宋体"/>
          <w:color w:val="auto"/>
          <w:kern w:val="0"/>
          <w:sz w:val="24"/>
          <w:highlight w:val="none"/>
        </w:rPr>
        <w:t>建立完善交通安全设施（包括智能交通设施和交通设施）维护考核监督机制，确保交通安全设施维护工程按合同履行，特制订本办法。</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第二条</w:t>
      </w:r>
      <w:r>
        <w:rPr>
          <w:rFonts w:hint="eastAsia" w:ascii="宋体" w:hAnsi="宋体" w:cs="宋体"/>
          <w:color w:val="auto"/>
          <w:kern w:val="0"/>
          <w:sz w:val="24"/>
          <w:highlight w:val="none"/>
        </w:rPr>
        <w:t xml:space="preserve">  由道管或科技民警牵头，大队分指挥室和各中队参与对维护单位维护工程的管理指导、验收考核等职责，督促维护单位履行合同规定。</w:t>
      </w:r>
    </w:p>
    <w:p>
      <w:pPr>
        <w:widowControl/>
        <w:snapToGrid w:val="0"/>
        <w:spacing w:line="360" w:lineRule="auto"/>
        <w:ind w:firstLine="480"/>
        <w:jc w:val="left"/>
        <w:rPr>
          <w:rFonts w:ascii="宋体" w:hAnsi="宋体" w:cs="宋体"/>
          <w:color w:val="auto"/>
          <w:kern w:val="0"/>
          <w:sz w:val="24"/>
          <w:highlight w:val="none"/>
        </w:rPr>
      </w:pPr>
    </w:p>
    <w:p>
      <w:pPr>
        <w:widowControl/>
        <w:snapToGrid w:val="0"/>
        <w:spacing w:line="360" w:lineRule="auto"/>
        <w:ind w:firstLine="480"/>
        <w:jc w:val="center"/>
        <w:rPr>
          <w:rFonts w:ascii="宋体" w:hAnsi="宋体" w:cs="宋体"/>
          <w:color w:val="auto"/>
          <w:kern w:val="0"/>
          <w:sz w:val="24"/>
          <w:highlight w:val="none"/>
        </w:rPr>
      </w:pPr>
      <w:r>
        <w:rPr>
          <w:rFonts w:hint="eastAsia" w:ascii="宋体" w:hAnsi="宋体" w:cs="宋体"/>
          <w:color w:val="auto"/>
          <w:kern w:val="0"/>
          <w:sz w:val="24"/>
          <w:highlight w:val="none"/>
        </w:rPr>
        <w:t>第二章  维护单位日常工作职责</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第三条</w:t>
      </w:r>
      <w:r>
        <w:rPr>
          <w:rFonts w:hint="eastAsia" w:ascii="宋体" w:hAnsi="宋体" w:cs="宋体"/>
          <w:color w:val="auto"/>
          <w:kern w:val="0"/>
          <w:sz w:val="24"/>
          <w:highlight w:val="none"/>
        </w:rPr>
        <w:t xml:space="preserve">  维护单位应按规定配备车辆、人员，每天上路巡查并做好巡查记录。同时，每天（含双休日、节假日）须落实人员接听24小时维护热线电话，落实24小时值班制度，确保值班人员、车辆到位，保持通信畅通。</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第四条</w:t>
      </w:r>
      <w:r>
        <w:rPr>
          <w:rFonts w:hint="eastAsia" w:ascii="宋体" w:hAnsi="宋体" w:cs="宋体"/>
          <w:color w:val="auto"/>
          <w:kern w:val="0"/>
          <w:sz w:val="24"/>
          <w:highlight w:val="none"/>
        </w:rPr>
        <w:t xml:space="preserve">  维护单位应定期对交通设施进行安全检查，及时消除安全隐患。</w:t>
      </w:r>
    </w:p>
    <w:p>
      <w:pPr>
        <w:spacing w:line="360" w:lineRule="auto"/>
        <w:ind w:left="-21" w:leftChars="-10" w:firstLine="482"/>
        <w:rPr>
          <w:rFonts w:ascii="宋体" w:hAnsi="宋体"/>
          <w:color w:val="auto"/>
          <w:sz w:val="24"/>
          <w:highlight w:val="none"/>
        </w:rPr>
      </w:pPr>
      <w:r>
        <w:rPr>
          <w:rFonts w:hint="eastAsia" w:ascii="宋体" w:hAnsi="宋体" w:cs="宋体"/>
          <w:b/>
          <w:color w:val="auto"/>
          <w:kern w:val="0"/>
          <w:sz w:val="24"/>
          <w:highlight w:val="none"/>
        </w:rPr>
        <w:t>第五条</w:t>
      </w:r>
      <w:r>
        <w:rPr>
          <w:rFonts w:hint="eastAsia" w:ascii="宋体" w:hAnsi="宋体" w:cs="宋体"/>
          <w:color w:val="auto"/>
          <w:kern w:val="0"/>
          <w:sz w:val="24"/>
          <w:highlight w:val="none"/>
        </w:rPr>
        <w:t xml:space="preserve">  维护单位应每周上报巡查情况，每月1日前上报月工作计划，当月进行工作小结、上报工作数据。遇节假日或重大活动需临时上报相关数据的，应在规定时限内上报。</w:t>
      </w:r>
      <w:r>
        <w:rPr>
          <w:rFonts w:hint="eastAsia" w:ascii="宋体" w:hAnsi="宋体"/>
          <w:color w:val="auto"/>
          <w:sz w:val="24"/>
          <w:highlight w:val="none"/>
        </w:rPr>
        <w:t>对维护范围内全部交通安全设施至少每季度检查1次，对检查中发现不安全因素和隐患及时排除。建立巡检台帐，供业主随时检查。</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第六条</w:t>
      </w:r>
      <w:r>
        <w:rPr>
          <w:rFonts w:hint="eastAsia" w:ascii="宋体" w:hAnsi="宋体" w:cs="宋体"/>
          <w:color w:val="auto"/>
          <w:kern w:val="0"/>
          <w:sz w:val="24"/>
          <w:highlight w:val="none"/>
        </w:rPr>
        <w:t>维护单位应按工作联系单内容、交办期限等要求保质保量完成工作，不得擅自改变施工内容和数量。工作联系单反馈应填写完整，做到费用金额准确无差错，字迹清楚无涂改。</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第七条</w:t>
      </w:r>
      <w:r>
        <w:rPr>
          <w:rFonts w:hint="eastAsia" w:ascii="宋体" w:hAnsi="宋体" w:cs="宋体"/>
          <w:color w:val="auto"/>
          <w:kern w:val="0"/>
          <w:sz w:val="24"/>
          <w:highlight w:val="none"/>
        </w:rPr>
        <w:t xml:space="preserve">  维护单位制作与安装安全交通设施的质量规格应符合合同规定。</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第八条</w:t>
      </w:r>
      <w:r>
        <w:rPr>
          <w:rFonts w:hint="eastAsia" w:ascii="宋体" w:hAnsi="宋体" w:cs="宋体"/>
          <w:color w:val="auto"/>
          <w:kern w:val="0"/>
          <w:sz w:val="24"/>
          <w:highlight w:val="none"/>
        </w:rPr>
        <w:t xml:space="preserve">  维护单位施工作业时应按规定做好安全防范措施，施工人员应按规定着装，文明施工，早晚高峰（7:00-9:00,17:00-19:00）期间除抢修任务外，不得进行其他施工作业。</w:t>
      </w:r>
    </w:p>
    <w:p>
      <w:pPr>
        <w:spacing w:line="360" w:lineRule="auto"/>
        <w:ind w:firstLine="602" w:firstLineChars="250"/>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维护单位按照滨江交警交通组织优化及设施维护管理系统要求填写维护内容，建立设施维护登记本，对中队申报情况进行登记，按照设施维护规定时间完成维护，同时每日电话通知中队维护完成情况，做好完成情况登记。</w:t>
      </w:r>
    </w:p>
    <w:p>
      <w:pPr>
        <w:widowControl/>
        <w:snapToGrid w:val="0"/>
        <w:spacing w:line="360" w:lineRule="auto"/>
        <w:ind w:firstLine="480"/>
        <w:jc w:val="center"/>
        <w:rPr>
          <w:rFonts w:ascii="宋体" w:hAnsi="宋体" w:cs="宋体"/>
          <w:color w:val="auto"/>
          <w:kern w:val="0"/>
          <w:sz w:val="24"/>
          <w:highlight w:val="none"/>
        </w:rPr>
      </w:pPr>
      <w:r>
        <w:rPr>
          <w:rFonts w:hint="eastAsia" w:ascii="宋体" w:hAnsi="宋体" w:cs="宋体"/>
          <w:color w:val="auto"/>
          <w:kern w:val="0"/>
          <w:sz w:val="24"/>
          <w:highlight w:val="none"/>
        </w:rPr>
        <w:t>第三章  考核制度</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第九条</w:t>
      </w:r>
      <w:r>
        <w:rPr>
          <w:rFonts w:hint="eastAsia" w:ascii="宋体" w:hAnsi="宋体" w:cs="宋体"/>
          <w:color w:val="auto"/>
          <w:kern w:val="0"/>
          <w:sz w:val="24"/>
          <w:highlight w:val="none"/>
        </w:rPr>
        <w:t xml:space="preserve">  对维护单位的管理考核，依据维护招标文件以及维护合同的约定进行。出现违约情况的，按照相关文件的违约责任进行处理。</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第十条</w:t>
      </w:r>
      <w:r>
        <w:rPr>
          <w:rFonts w:hint="eastAsia" w:ascii="宋体" w:hAnsi="宋体" w:cs="宋体"/>
          <w:color w:val="auto"/>
          <w:kern w:val="0"/>
          <w:sz w:val="24"/>
          <w:highlight w:val="none"/>
        </w:rPr>
        <w:t xml:space="preserve">  考核采取百分制的形式，时间为一年合同期内。得分在95分（含95分）以上，可记取当月维护费；得分在94分—85分（含85分）按所得分百分比支付维护费，得分在85分以下，扣除当月维护费的一半；每月考核连续2次在85分以下，终止维护合同，并取消下年度维护工程投标的资格；得分低于60分的单位，取消后3年的维护投标资格。</w:t>
      </w:r>
    </w:p>
    <w:p>
      <w:pPr>
        <w:widowControl/>
        <w:snapToGrid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第十一条  </w:t>
      </w:r>
      <w:r>
        <w:rPr>
          <w:rFonts w:hint="eastAsia" w:ascii="宋体" w:hAnsi="宋体" w:cs="宋体"/>
          <w:color w:val="auto"/>
          <w:kern w:val="0"/>
          <w:sz w:val="24"/>
          <w:highlight w:val="none"/>
        </w:rPr>
        <w:t>考核扣分项目：</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（一）未按规定配备车辆、人员每天上路巡查，每周巡查情况、每月工作数据及每季度检查情况未按要求上报的，驻点维护人员未到位的，第一次由公司说明情况，第二次及以上，每次扣1分。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（二）联系单填写不完整、费用出现差错或涂改、资料不全的，每起扣0.2分；办理时限超期或不按时反馈联系单的，每起扣0.1分。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（三）未按联系单办理，擅自施工或改变施工内容或数量的，第一次扣2.5分，第二次扣5分，第三次扣10分。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（四）施工中有使用不合材质要求的材料、偷工减料的，除按合同要求履约外，相应扣分。第一次扣2.5分，第二次扣5分，第三次扣10分。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（五）发生因施工质量问题引起媒体曝光，造成社会不良影响的，按第四款规定加倍处理。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（六）交办的工作不落实或拖延应付，产生不良后果的，参照第四款规定处理。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（七）联系单交办的工作未按规定时间完成的，参照第四款规定处理。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（七）24小时维护热线电话无人接听，每发生一次，扣1分；发生重大交通设施损坏导致现场无法及时处理，引起二次事故造成后果的，视情扣5—10分，除扣分外，还需承担相应法律责任。</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（八）维护区域内道路隔离带、信号灯、交通监控、电子警察等交通安全设施的破损率、数字城管案卷上报率、大队的抢修维护上报率连续2个月未下降甚至上升的，视情扣0.5—1分。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（九）施工现场不规范、施工后现场不及时清理，影响交通、引发投诉的，视情扣1-3分。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（十）施工人员着装不规范、安全措施不到位、未按规定收发“维护牌”的，每次扣0.2分。</w:t>
      </w:r>
    </w:p>
    <w:p>
      <w:pPr>
        <w:spacing w:line="360" w:lineRule="auto"/>
        <w:ind w:firstLine="600" w:firstLineChars="250"/>
        <w:rPr>
          <w:rFonts w:ascii="宋体" w:hAnsi="宋体"/>
          <w:color w:val="auto"/>
          <w:sz w:val="24"/>
          <w:highlight w:val="none"/>
        </w:rPr>
      </w:pPr>
      <w:r>
        <w:rPr>
          <w:rFonts w:hint="eastAsia" w:ascii="宋体" w:hAnsi="宋体" w:cs="宋体"/>
          <w:color w:val="auto"/>
          <w:kern w:val="0"/>
          <w:sz w:val="24"/>
          <w:highlight w:val="none"/>
        </w:rPr>
        <w:t>（十一）</w:t>
      </w:r>
      <w:r>
        <w:rPr>
          <w:rFonts w:hint="eastAsia" w:ascii="宋体" w:hAnsi="宋体"/>
          <w:color w:val="auto"/>
          <w:sz w:val="24"/>
          <w:highlight w:val="none"/>
        </w:rPr>
        <w:t>滨江交警交通组织优化及设施维护管理系统未登记或者错误登记报修内容，发现一条扣0.1分，当日维护情况未反馈相关中队，发现一次扣0.1分，造成严重后果视情扣1-3分。</w:t>
      </w:r>
    </w:p>
    <w:p>
      <w:pPr>
        <w:widowControl/>
        <w:snapToGrid w:val="0"/>
        <w:spacing w:line="360" w:lineRule="auto"/>
        <w:ind w:firstLine="480"/>
        <w:jc w:val="left"/>
        <w:rPr>
          <w:rFonts w:ascii="宋体" w:hAnsi="宋体" w:cs="宋体"/>
          <w:color w:val="auto"/>
          <w:kern w:val="0"/>
          <w:sz w:val="24"/>
          <w:highlight w:val="none"/>
        </w:rPr>
      </w:pPr>
    </w:p>
    <w:p>
      <w:pPr>
        <w:widowControl/>
        <w:snapToGrid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第十二条  </w:t>
      </w:r>
      <w:r>
        <w:rPr>
          <w:rFonts w:hint="eastAsia" w:ascii="宋体" w:hAnsi="宋体" w:cs="宋体"/>
          <w:color w:val="auto"/>
          <w:kern w:val="0"/>
          <w:sz w:val="24"/>
          <w:highlight w:val="none"/>
        </w:rPr>
        <w:t>考核加分项目：</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（一）维护区域内道路隔离带、信号灯、交通监控、电子警察等交通安全设施的破损率、数字城管案卷上报率、大队的抢修、维护上报率连续2个月下降的，加1分。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（二）日常路面巡查、维护施工等工作主动，任务完成出色，受到大队、支队领导、媒体表扬的，每次加1分。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（三）维护工作受到大队书面表扬的，每件加1分。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（四）能结合维护工作提出有价值的交通设施优化举措、改进措施等合理化建议的，每件加2分。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（五）工作中有其它突出表现的，视情给予加分。</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第十三条</w:t>
      </w:r>
      <w:r>
        <w:rPr>
          <w:rFonts w:hint="eastAsia" w:ascii="宋体" w:hAnsi="宋体" w:cs="宋体"/>
          <w:color w:val="auto"/>
          <w:kern w:val="0"/>
          <w:sz w:val="24"/>
          <w:highlight w:val="none"/>
        </w:rPr>
        <w:t xml:space="preserve">  对维护单位的工作考核结果，在当月交通安全设施工作例会上进行通</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报，奖惩情况列入维护单位履行合同记录。</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本办法由大队道管办公室负责解释，自2016年07月01日起实施。</w:t>
      </w:r>
    </w:p>
    <w:p>
      <w:pPr>
        <w:widowControl/>
        <w:snapToGrid w:val="0"/>
        <w:spacing w:line="360" w:lineRule="auto"/>
        <w:ind w:firstLine="480"/>
        <w:jc w:val="left"/>
        <w:rPr>
          <w:rFonts w:ascii="宋体" w:hAnsi="宋体" w:cs="宋体"/>
          <w:color w:val="auto"/>
          <w:kern w:val="0"/>
          <w:sz w:val="24"/>
          <w:highlight w:val="none"/>
        </w:rPr>
      </w:pPr>
    </w:p>
    <w:p>
      <w:pPr>
        <w:jc w:val="left"/>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附件2</w:t>
      </w:r>
    </w:p>
    <w:p>
      <w:pPr>
        <w:spacing w:before="624" w:beforeLines="200" w:line="360" w:lineRule="auto"/>
        <w:ind w:right="210" w:rightChars="100" w:firstLine="723" w:firstLineChars="200"/>
        <w:jc w:val="center"/>
        <w:rPr>
          <w:rFonts w:ascii="宋体" w:hAnsi="宋体"/>
          <w:b/>
          <w:color w:val="auto"/>
          <w:sz w:val="24"/>
          <w:highlight w:val="none"/>
        </w:rPr>
      </w:pPr>
      <w:r>
        <w:rPr>
          <w:rFonts w:hint="eastAsia" w:ascii="宋体" w:hAnsi="宋体"/>
          <w:b/>
          <w:color w:val="auto"/>
          <w:sz w:val="36"/>
          <w:szCs w:val="36"/>
          <w:highlight w:val="none"/>
        </w:rPr>
        <w:t>滨江交警大队机房及UPS间管理规范</w:t>
      </w:r>
    </w:p>
    <w:p>
      <w:pPr>
        <w:spacing w:before="624" w:beforeLines="200" w:line="360" w:lineRule="auto"/>
        <w:ind w:right="210" w:rightChars="10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为加强大队机房及UPS间安全管理，保证信息系统正常运行，确保信息安全，大队机房及UPS间实行严格的出入控制，巡检制度，严格管理规范，具体涵盖如下内容：</w:t>
      </w:r>
    </w:p>
    <w:p>
      <w:pPr>
        <w:spacing w:before="312"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一、机房及UPS间的日常管理由大队分指挥室负责，指挥室应落实责任人及每日机房值班人员，负责对机房进行日常管理，对进出人员执行7X24小时机房访问人员身份确认工作，建立进入滨江交警大队机房登记认证和设备管理登记台账：</w:t>
      </w:r>
    </w:p>
    <w:p>
      <w:pPr>
        <w:spacing w:before="312"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二、7X24小时机房人员值守。</w:t>
      </w:r>
    </w:p>
    <w:p>
      <w:pPr>
        <w:spacing w:before="312"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三、7X24小时设备出入确认工作；</w:t>
      </w:r>
    </w:p>
    <w:p>
      <w:pPr>
        <w:spacing w:before="312"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四、大队智能交通维护公司必须定时进行机房及UPS间巡检工作，巡检内容包括机房环境，温湿度，电源柜状态，空调运行状态，UPS运行情况，视频监控，消防设备运行情况；及时排除安全隐患，消防隐患等。</w:t>
      </w:r>
    </w:p>
    <w:p>
      <w:pPr>
        <w:spacing w:before="312"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机房及UPS间设备每月必须清点一次，每周必须清扫一次，每天必须巡检一次，对空调、UPS、消防报警设备、灭火设备、监控等设备运行情况进行检查。检查后建立设备清单和检查台账，并制作成册。</w:t>
      </w:r>
    </w:p>
    <w:p>
      <w:pPr>
        <w:spacing w:before="312"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五、必须由指定专业人员负责装拆机业务，处理相关工作联系单；</w:t>
      </w:r>
    </w:p>
    <w:p>
      <w:pPr>
        <w:spacing w:before="100" w:beforeAutospacing="1"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为保障机房的设备安全，限制非授权人员进入，保证机房的正常运行，需遵守以下出入管理制度：</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一）：机房长期维护人员，请维护单位填写《滨江交警大队机房长期授权进入人员名单》，并加盖公章，将原件交至大队科技民警处。名单内的维护人员进入相关机房，需出示身份证或工作证并接受机房值班人员进行身份核实，并填写《滨江交警大队机房人员出入登记表》后，值班人员在机房登记认证和设备管理台账登记方可进入相关机房，并由机房值班人员全程陪同。</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二）：不包括在《滨江交警大队机房长期授权进入人员名单》内且需要临时进入相关机房的维护人员，进入机房前，由单位填写《滨江交警大队机房人员进入申请函》，加盖公章后由相关维护人员持原件（或将原件传真至值班机房），并出示有效证件（如身份证，施工证，工作证等），接受机房值班人员进行身份核实，填写《滨江交警大队机房人员出入登记表》后，方可进入相关机房。如非授权人员且未携带任何有效证件的，则由陪同的授权人员在《滨江交警大队机房人员出入登记表》备注栏中签字确认，否则机房有权拒绝其进入机房。以上进出情况必须由值班人员在机房登记认证和设备管理台账上登记。如有紧急情况需临时进入机房，进入机房前应由大队科技民警同意后，由授权人员陪同方可登记进入机房。以上进入机房过程中必须有值班人员及授权人员全程陪同。</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（三）：离开机房的人员，需于机房值班人员处，在《滨江交警大队机房人员出入登记表》相应位置填写离开时间。由值班人员在机房登记认证和设备管理台账上登记。</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四）：进入机房的设备，需要在机房值班人员处，填写《滨江交警大队机房设备出入记录》后方能进入设备，维护所用到的物品请登记《临时物品出入记录》，其余手提包，笔记本包，摄影摄像设备及临时物品请存入储物柜。由值班人员在机房登记认证和设备管理台账上登记。</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六、移出机房的设备可采取以下两种方式：</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一）设备移出机房之前，单位需填写《滨江交警大队机房设备移出申请函》，将原件提交至大队科技民警处审核同意并由其通知值班人员。移出时相关维护人员必须持原件，经值班人员确认带离者身份，设备名称，设备数量，机房位置；</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二）单位授权临时凭签名带离设备的维护人员在需紧急移出设备时，需提供移出设备清单，经大队科技民警处审核同意并由其通知值班人员，由机房值班人员确认，事后必须补办《滨江交警大队机房设备移出申请函》。所有移出机房的设备均需在值班处填写《机房设备进出记录》。</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设备进出由值班人员在机房登记认证和设备管理台账上登记。</w:t>
      </w:r>
    </w:p>
    <w:p>
      <w:pPr>
        <w:spacing w:before="312"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如因值班人员工作疏忽导致机房设备无法正常运行、设备丢失、故障，造成后果由值班人员及责任人承担。</w:t>
      </w:r>
    </w:p>
    <w:p>
      <w:pPr>
        <w:spacing w:before="312" w:beforeLines="100" w:line="480" w:lineRule="auto"/>
        <w:ind w:left="105" w:leftChars="50" w:right="105" w:rightChars="50" w:firstLine="720" w:firstLineChars="300"/>
        <w:rPr>
          <w:rFonts w:ascii="宋体" w:hAnsi="宋体" w:cs="宋体"/>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以下情况大队将对维护单位进行扣分，计入智能交通设施维护考核分数，按照考核规范进行考核管理。</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（一）维护单位未按时对机房及UPS间进行巡检，并进行巡检登记的，发现一次扣0.5分。</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（二）维护人员进入机房及UPS间未按规定进行登记，擅自进入机房的每起扣0.5分。</w:t>
      </w:r>
    </w:p>
    <w:p>
      <w:pPr>
        <w:widowControl/>
        <w:ind w:firstLine="480" w:firstLineChars="200"/>
        <w:rPr>
          <w:rFonts w:ascii="仿宋_GB2312" w:hAnsi="仿宋" w:eastAsia="仿宋_GB2312"/>
          <w:bCs/>
          <w:color w:val="auto"/>
          <w:sz w:val="24"/>
          <w:highlight w:val="none"/>
        </w:rPr>
      </w:pPr>
      <w:r>
        <w:rPr>
          <w:rFonts w:hint="eastAsia" w:ascii="宋体" w:hAnsi="宋体" w:cs="宋体"/>
          <w:color w:val="auto"/>
          <w:kern w:val="0"/>
          <w:sz w:val="24"/>
          <w:highlight w:val="none"/>
        </w:rPr>
        <w:t>（三）维护人员未按规定进行登记，擅自将设备移入或移出机房及UPS间的的每起扣1分。移入或移出设备未按规定进行登记的每起扣0.5分。造成严重后果的加倍扣分，还需承担相应法律责任。</w:t>
      </w:r>
    </w:p>
    <w:p>
      <w:pP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第四部分</w:t>
      </w:r>
      <w:bookmarkStart w:id="33" w:name="_Toc184310300"/>
      <w:bookmarkEnd w:id="33"/>
      <w:bookmarkStart w:id="34" w:name="_Toc184308092"/>
      <w:bookmarkEnd w:id="34"/>
      <w:bookmarkStart w:id="35" w:name="_Toc184310272"/>
      <w:bookmarkEnd w:id="35"/>
      <w:bookmarkStart w:id="36" w:name="_Toc184313279"/>
      <w:bookmarkEnd w:id="36"/>
      <w:bookmarkStart w:id="37" w:name="_Toc184312113"/>
      <w:bookmarkEnd w:id="37"/>
      <w:bookmarkStart w:id="38" w:name="_Toc184308090"/>
      <w:bookmarkEnd w:id="38"/>
      <w:bookmarkStart w:id="39" w:name="_Toc184308040"/>
      <w:bookmarkEnd w:id="39"/>
      <w:bookmarkStart w:id="40" w:name="_Toc184310301"/>
      <w:bookmarkEnd w:id="40"/>
      <w:bookmarkStart w:id="41" w:name="_Toc184310338"/>
      <w:bookmarkEnd w:id="41"/>
      <w:bookmarkStart w:id="42" w:name="_Toc184308042"/>
      <w:bookmarkEnd w:id="42"/>
      <w:bookmarkStart w:id="43" w:name="_Toc184308095"/>
      <w:bookmarkEnd w:id="43"/>
      <w:bookmarkStart w:id="44" w:name="_Toc184313241"/>
      <w:bookmarkEnd w:id="44"/>
      <w:bookmarkStart w:id="45" w:name="_Toc184313276"/>
      <w:bookmarkEnd w:id="45"/>
      <w:bookmarkStart w:id="46" w:name="_Toc184314417"/>
      <w:bookmarkEnd w:id="46"/>
      <w:bookmarkStart w:id="47" w:name="_Toc184312124"/>
      <w:bookmarkEnd w:id="47"/>
      <w:bookmarkStart w:id="48" w:name="_Toc184313266"/>
      <w:bookmarkEnd w:id="48"/>
      <w:bookmarkStart w:id="49" w:name="_Toc184312107"/>
      <w:bookmarkEnd w:id="49"/>
      <w:bookmarkStart w:id="50" w:name="_Toc184312090"/>
      <w:bookmarkEnd w:id="50"/>
      <w:bookmarkStart w:id="51" w:name="_Toc184312130"/>
      <w:bookmarkEnd w:id="51"/>
      <w:bookmarkStart w:id="52" w:name="_Toc184314425"/>
      <w:bookmarkEnd w:id="52"/>
      <w:bookmarkStart w:id="53" w:name="_Toc184314462"/>
      <w:bookmarkEnd w:id="53"/>
      <w:bookmarkStart w:id="54" w:name="_Toc184314445"/>
      <w:bookmarkEnd w:id="54"/>
      <w:bookmarkStart w:id="55" w:name="_Toc184314416"/>
      <w:bookmarkEnd w:id="55"/>
      <w:bookmarkStart w:id="56" w:name="_Toc184312099"/>
      <w:bookmarkEnd w:id="56"/>
      <w:bookmarkStart w:id="57" w:name="_Toc184312091"/>
      <w:bookmarkEnd w:id="57"/>
      <w:bookmarkStart w:id="58" w:name="_Toc184308079"/>
      <w:bookmarkEnd w:id="58"/>
      <w:bookmarkStart w:id="59" w:name="_Toc184313289"/>
      <w:bookmarkEnd w:id="59"/>
      <w:bookmarkStart w:id="60" w:name="_Toc184310343"/>
      <w:bookmarkEnd w:id="60"/>
      <w:bookmarkStart w:id="61" w:name="_Toc184312110"/>
      <w:bookmarkEnd w:id="61"/>
      <w:bookmarkStart w:id="62" w:name="_Toc184312105"/>
      <w:bookmarkEnd w:id="62"/>
      <w:bookmarkStart w:id="63" w:name="_Toc184313288"/>
      <w:bookmarkEnd w:id="63"/>
      <w:bookmarkStart w:id="64" w:name="_Toc184308043"/>
      <w:bookmarkEnd w:id="64"/>
      <w:bookmarkStart w:id="65" w:name="_Toc184314452"/>
      <w:bookmarkEnd w:id="65"/>
      <w:bookmarkStart w:id="66" w:name="_Toc184312100"/>
      <w:bookmarkEnd w:id="66"/>
      <w:bookmarkStart w:id="67" w:name="_Toc184308097"/>
      <w:bookmarkEnd w:id="67"/>
      <w:bookmarkStart w:id="68" w:name="_Toc184314448"/>
      <w:bookmarkEnd w:id="68"/>
      <w:bookmarkStart w:id="69" w:name="_Toc184308050"/>
      <w:bookmarkEnd w:id="69"/>
      <w:bookmarkStart w:id="70" w:name="_Toc184308099"/>
      <w:bookmarkEnd w:id="70"/>
      <w:bookmarkStart w:id="71" w:name="_Toc184308106"/>
      <w:bookmarkEnd w:id="71"/>
      <w:bookmarkStart w:id="72" w:name="_Toc184312092"/>
      <w:bookmarkEnd w:id="72"/>
      <w:bookmarkStart w:id="73" w:name="_Toc184313282"/>
      <w:bookmarkEnd w:id="73"/>
      <w:bookmarkStart w:id="74" w:name="_Toc184310307"/>
      <w:bookmarkEnd w:id="74"/>
      <w:bookmarkStart w:id="75" w:name="_Toc184310280"/>
      <w:bookmarkEnd w:id="75"/>
      <w:bookmarkStart w:id="76" w:name="_Toc184313290"/>
      <w:bookmarkEnd w:id="76"/>
      <w:bookmarkStart w:id="77" w:name="_Toc184313300"/>
      <w:bookmarkEnd w:id="77"/>
      <w:bookmarkStart w:id="78" w:name="_Toc184308076"/>
      <w:bookmarkEnd w:id="78"/>
      <w:bookmarkStart w:id="79" w:name="_Toc184314418"/>
      <w:bookmarkEnd w:id="79"/>
      <w:bookmarkStart w:id="80" w:name="_Toc184313265"/>
      <w:bookmarkEnd w:id="80"/>
      <w:bookmarkStart w:id="81" w:name="_Toc184310329"/>
      <w:bookmarkEnd w:id="81"/>
      <w:bookmarkStart w:id="82" w:name="_Toc184313270"/>
      <w:bookmarkEnd w:id="82"/>
      <w:bookmarkStart w:id="83" w:name="_Toc184308046"/>
      <w:bookmarkEnd w:id="83"/>
      <w:bookmarkStart w:id="84" w:name="_Toc184310281"/>
      <w:bookmarkEnd w:id="84"/>
      <w:bookmarkStart w:id="85" w:name="_Toc184312080"/>
      <w:bookmarkEnd w:id="85"/>
      <w:bookmarkStart w:id="86" w:name="_Toc184312132"/>
      <w:bookmarkEnd w:id="86"/>
      <w:bookmarkStart w:id="87" w:name="_Toc184313295"/>
      <w:bookmarkEnd w:id="87"/>
      <w:bookmarkStart w:id="88" w:name="_Toc184313250"/>
      <w:bookmarkEnd w:id="88"/>
      <w:bookmarkStart w:id="89" w:name="_Toc184313299"/>
      <w:bookmarkEnd w:id="89"/>
      <w:bookmarkStart w:id="90" w:name="_Toc184310302"/>
      <w:bookmarkEnd w:id="90"/>
      <w:bookmarkStart w:id="91" w:name="_Toc184314457"/>
      <w:bookmarkEnd w:id="91"/>
      <w:bookmarkStart w:id="92" w:name="_Toc184310282"/>
      <w:bookmarkEnd w:id="92"/>
      <w:bookmarkStart w:id="93" w:name="_Toc184312093"/>
      <w:bookmarkEnd w:id="93"/>
      <w:bookmarkStart w:id="94" w:name="_Toc184310295"/>
      <w:bookmarkEnd w:id="94"/>
      <w:bookmarkStart w:id="95" w:name="_Toc184312120"/>
      <w:bookmarkEnd w:id="95"/>
      <w:bookmarkStart w:id="96" w:name="_Toc184314431"/>
      <w:bookmarkEnd w:id="96"/>
      <w:bookmarkStart w:id="97" w:name="_Toc184313281"/>
      <w:bookmarkEnd w:id="97"/>
      <w:bookmarkStart w:id="98" w:name="_Toc184314424"/>
      <w:bookmarkEnd w:id="98"/>
      <w:bookmarkStart w:id="99" w:name="_Toc184313249"/>
      <w:bookmarkEnd w:id="99"/>
      <w:bookmarkStart w:id="100" w:name="_Toc184312074"/>
      <w:bookmarkEnd w:id="100"/>
      <w:bookmarkStart w:id="101" w:name="_Toc184308080"/>
      <w:bookmarkEnd w:id="101"/>
      <w:bookmarkStart w:id="102" w:name="_Toc184312134"/>
      <w:bookmarkEnd w:id="102"/>
      <w:bookmarkStart w:id="103" w:name="_Toc184312102"/>
      <w:bookmarkEnd w:id="103"/>
      <w:bookmarkStart w:id="104" w:name="_Toc184308071"/>
      <w:bookmarkEnd w:id="104"/>
      <w:bookmarkStart w:id="105" w:name="_Toc184314464"/>
      <w:bookmarkEnd w:id="105"/>
      <w:bookmarkStart w:id="106" w:name="_Toc184310303"/>
      <w:bookmarkEnd w:id="106"/>
      <w:bookmarkStart w:id="107" w:name="_Toc184308066"/>
      <w:bookmarkEnd w:id="107"/>
      <w:bookmarkStart w:id="108" w:name="_Toc184314479"/>
      <w:bookmarkEnd w:id="108"/>
      <w:bookmarkStart w:id="109" w:name="_Toc184310293"/>
      <w:bookmarkEnd w:id="109"/>
      <w:bookmarkStart w:id="110" w:name="_Toc184314437"/>
      <w:bookmarkEnd w:id="110"/>
      <w:bookmarkStart w:id="111" w:name="_Toc184313286"/>
      <w:bookmarkEnd w:id="111"/>
      <w:bookmarkStart w:id="112" w:name="_Toc184310325"/>
      <w:bookmarkEnd w:id="112"/>
      <w:bookmarkStart w:id="113" w:name="_Toc184310317"/>
      <w:bookmarkEnd w:id="113"/>
      <w:bookmarkStart w:id="114" w:name="_Toc184314477"/>
      <w:bookmarkEnd w:id="114"/>
      <w:bookmarkStart w:id="115" w:name="_Toc184312086"/>
      <w:bookmarkEnd w:id="115"/>
      <w:bookmarkStart w:id="116" w:name="_Toc184308084"/>
      <w:bookmarkEnd w:id="116"/>
      <w:bookmarkStart w:id="117" w:name="_Toc184310337"/>
      <w:bookmarkEnd w:id="117"/>
      <w:bookmarkStart w:id="118" w:name="_Toc184313252"/>
      <w:bookmarkEnd w:id="118"/>
      <w:bookmarkStart w:id="119" w:name="_Toc184310320"/>
      <w:bookmarkEnd w:id="119"/>
      <w:bookmarkStart w:id="120" w:name="_Toc184312121"/>
      <w:bookmarkEnd w:id="120"/>
      <w:bookmarkStart w:id="121" w:name="_Toc184308044"/>
      <w:bookmarkEnd w:id="121"/>
      <w:bookmarkStart w:id="122" w:name="_Toc184310306"/>
      <w:bookmarkEnd w:id="122"/>
      <w:bookmarkStart w:id="123" w:name="_Toc184313301"/>
      <w:bookmarkEnd w:id="123"/>
      <w:bookmarkStart w:id="124" w:name="_Toc184310304"/>
      <w:bookmarkEnd w:id="124"/>
      <w:bookmarkStart w:id="125" w:name="_Toc184312081"/>
      <w:bookmarkEnd w:id="125"/>
      <w:bookmarkStart w:id="126" w:name="_Toc184313238"/>
      <w:bookmarkEnd w:id="126"/>
      <w:bookmarkStart w:id="127" w:name="_Toc184308089"/>
      <w:bookmarkEnd w:id="127"/>
      <w:bookmarkStart w:id="128" w:name="_Toc184308051"/>
      <w:bookmarkEnd w:id="128"/>
      <w:bookmarkStart w:id="129" w:name="_Toc184312117"/>
      <w:bookmarkEnd w:id="129"/>
      <w:bookmarkStart w:id="130" w:name="_Toc184310274"/>
      <w:bookmarkEnd w:id="130"/>
      <w:bookmarkStart w:id="131" w:name="_Toc184308058"/>
      <w:bookmarkEnd w:id="131"/>
      <w:bookmarkStart w:id="132" w:name="_Toc184308102"/>
      <w:bookmarkEnd w:id="132"/>
      <w:bookmarkStart w:id="133" w:name="_Toc184313271"/>
      <w:bookmarkEnd w:id="133"/>
      <w:bookmarkStart w:id="134" w:name="_Toc184312123"/>
      <w:bookmarkEnd w:id="134"/>
      <w:bookmarkStart w:id="135" w:name="_Toc184310310"/>
      <w:bookmarkEnd w:id="135"/>
      <w:bookmarkStart w:id="136" w:name="_Toc184314410"/>
      <w:bookmarkEnd w:id="136"/>
      <w:bookmarkStart w:id="137" w:name="_Toc184314463"/>
      <w:bookmarkEnd w:id="137"/>
      <w:bookmarkStart w:id="138" w:name="_Toc184312079"/>
      <w:bookmarkEnd w:id="138"/>
      <w:bookmarkStart w:id="139" w:name="_Toc184313257"/>
      <w:bookmarkEnd w:id="139"/>
      <w:bookmarkStart w:id="140" w:name="_Toc184312131"/>
      <w:bookmarkEnd w:id="140"/>
      <w:bookmarkStart w:id="141" w:name="_Toc184314482"/>
      <w:bookmarkEnd w:id="141"/>
      <w:bookmarkStart w:id="142" w:name="_Toc184310309"/>
      <w:bookmarkEnd w:id="142"/>
      <w:bookmarkStart w:id="143" w:name="_Toc184308073"/>
      <w:bookmarkEnd w:id="143"/>
      <w:bookmarkStart w:id="144" w:name="_Toc184313267"/>
      <w:bookmarkEnd w:id="144"/>
      <w:bookmarkStart w:id="145" w:name="_Toc184314461"/>
      <w:bookmarkEnd w:id="145"/>
      <w:bookmarkStart w:id="146" w:name="_Toc184308052"/>
      <w:bookmarkEnd w:id="146"/>
      <w:bookmarkStart w:id="147" w:name="_Toc184314480"/>
      <w:bookmarkEnd w:id="147"/>
      <w:bookmarkStart w:id="148" w:name="_Toc184312106"/>
      <w:bookmarkEnd w:id="148"/>
      <w:bookmarkStart w:id="149" w:name="_Toc184314432"/>
      <w:bookmarkEnd w:id="149"/>
      <w:bookmarkStart w:id="150" w:name="_Toc184313243"/>
      <w:bookmarkEnd w:id="150"/>
      <w:bookmarkStart w:id="151" w:name="_Toc184310330"/>
      <w:bookmarkEnd w:id="151"/>
      <w:bookmarkStart w:id="152" w:name="_Toc184314446"/>
      <w:bookmarkEnd w:id="152"/>
      <w:bookmarkStart w:id="153" w:name="_Toc184308088"/>
      <w:bookmarkEnd w:id="153"/>
      <w:bookmarkStart w:id="154" w:name="_Toc184313242"/>
      <w:bookmarkEnd w:id="154"/>
      <w:bookmarkStart w:id="155" w:name="_Toc184308094"/>
      <w:bookmarkEnd w:id="155"/>
      <w:bookmarkStart w:id="156" w:name="_Toc184310333"/>
      <w:bookmarkEnd w:id="156"/>
      <w:bookmarkStart w:id="157" w:name="_Toc184313294"/>
      <w:bookmarkEnd w:id="157"/>
      <w:bookmarkStart w:id="158" w:name="_Toc184313303"/>
      <w:bookmarkEnd w:id="158"/>
      <w:bookmarkStart w:id="159" w:name="_Toc184308101"/>
      <w:bookmarkEnd w:id="159"/>
      <w:bookmarkStart w:id="160" w:name="_Toc184313293"/>
      <w:bookmarkEnd w:id="160"/>
      <w:bookmarkStart w:id="161" w:name="_Toc184310283"/>
      <w:bookmarkEnd w:id="161"/>
      <w:bookmarkStart w:id="162" w:name="_Toc184312137"/>
      <w:bookmarkEnd w:id="162"/>
      <w:bookmarkStart w:id="163" w:name="_Toc184314430"/>
      <w:bookmarkEnd w:id="163"/>
      <w:bookmarkStart w:id="164" w:name="_Toc184310342"/>
      <w:bookmarkEnd w:id="164"/>
      <w:bookmarkStart w:id="165" w:name="_Toc184314453"/>
      <w:bookmarkEnd w:id="165"/>
      <w:bookmarkStart w:id="166" w:name="_Toc184308078"/>
      <w:bookmarkEnd w:id="166"/>
      <w:bookmarkStart w:id="167" w:name="_Toc184314481"/>
      <w:bookmarkEnd w:id="167"/>
      <w:bookmarkStart w:id="168" w:name="_Toc184312118"/>
      <w:bookmarkEnd w:id="168"/>
      <w:bookmarkStart w:id="169" w:name="_Toc184310315"/>
      <w:bookmarkEnd w:id="169"/>
      <w:bookmarkStart w:id="170" w:name="_Toc184308082"/>
      <w:bookmarkEnd w:id="170"/>
      <w:bookmarkStart w:id="171" w:name="_Toc184314439"/>
      <w:bookmarkEnd w:id="171"/>
      <w:bookmarkStart w:id="172" w:name="_Toc184314421"/>
      <w:bookmarkEnd w:id="172"/>
      <w:bookmarkStart w:id="173" w:name="_Toc184312116"/>
      <w:bookmarkEnd w:id="173"/>
      <w:bookmarkStart w:id="174" w:name="_Toc184310285"/>
      <w:bookmarkEnd w:id="174"/>
      <w:bookmarkStart w:id="175" w:name="_Toc184310341"/>
      <w:bookmarkEnd w:id="175"/>
      <w:bookmarkStart w:id="176" w:name="_Toc184308049"/>
      <w:bookmarkEnd w:id="176"/>
      <w:bookmarkStart w:id="177" w:name="_Toc184308045"/>
      <w:bookmarkEnd w:id="177"/>
      <w:bookmarkStart w:id="178" w:name="_Toc184313255"/>
      <w:bookmarkEnd w:id="178"/>
      <w:bookmarkStart w:id="179" w:name="_Toc184314469"/>
      <w:bookmarkEnd w:id="179"/>
      <w:bookmarkStart w:id="180" w:name="_Toc184313240"/>
      <w:bookmarkEnd w:id="180"/>
      <w:bookmarkStart w:id="181" w:name="_Toc184310313"/>
      <w:bookmarkEnd w:id="181"/>
      <w:bookmarkStart w:id="182" w:name="_Toc184310298"/>
      <w:bookmarkEnd w:id="182"/>
      <w:bookmarkStart w:id="183" w:name="_Toc184310294"/>
      <w:bookmarkEnd w:id="183"/>
      <w:bookmarkStart w:id="184" w:name="_Toc184308103"/>
      <w:bookmarkEnd w:id="184"/>
      <w:bookmarkStart w:id="185" w:name="_Toc184310316"/>
      <w:bookmarkEnd w:id="185"/>
      <w:bookmarkStart w:id="186" w:name="_Toc184314444"/>
      <w:bookmarkEnd w:id="186"/>
      <w:bookmarkStart w:id="187" w:name="_Toc184310276"/>
      <w:bookmarkEnd w:id="187"/>
      <w:bookmarkStart w:id="188" w:name="_Toc184314434"/>
      <w:bookmarkEnd w:id="188"/>
      <w:bookmarkStart w:id="189" w:name="_Toc184310277"/>
      <w:bookmarkEnd w:id="189"/>
      <w:bookmarkStart w:id="190" w:name="_Toc184312127"/>
      <w:bookmarkEnd w:id="190"/>
      <w:bookmarkStart w:id="191" w:name="_Toc184313292"/>
      <w:bookmarkEnd w:id="191"/>
      <w:bookmarkStart w:id="192" w:name="_Toc184314435"/>
      <w:bookmarkEnd w:id="192"/>
      <w:bookmarkStart w:id="193" w:name="_Toc184312073"/>
      <w:bookmarkEnd w:id="193"/>
      <w:bookmarkStart w:id="194" w:name="_Toc184312082"/>
      <w:bookmarkEnd w:id="194"/>
      <w:bookmarkStart w:id="195" w:name="_Toc184313280"/>
      <w:bookmarkEnd w:id="195"/>
      <w:bookmarkStart w:id="196" w:name="_Toc184308062"/>
      <w:bookmarkEnd w:id="196"/>
      <w:bookmarkStart w:id="197" w:name="_Toc184308067"/>
      <w:bookmarkEnd w:id="197"/>
      <w:bookmarkStart w:id="198" w:name="_Toc184313306"/>
      <w:bookmarkEnd w:id="198"/>
      <w:bookmarkStart w:id="199" w:name="_Toc184314427"/>
      <w:bookmarkEnd w:id="199"/>
      <w:bookmarkStart w:id="200" w:name="_Toc184314411"/>
      <w:bookmarkEnd w:id="200"/>
      <w:bookmarkStart w:id="201" w:name="_Toc184312089"/>
      <w:bookmarkEnd w:id="201"/>
      <w:bookmarkStart w:id="202" w:name="_Toc184314470"/>
      <w:bookmarkEnd w:id="202"/>
      <w:bookmarkStart w:id="203" w:name="_Toc184313285"/>
      <w:bookmarkEnd w:id="203"/>
      <w:bookmarkStart w:id="204" w:name="_Toc184313277"/>
      <w:bookmarkEnd w:id="204"/>
      <w:bookmarkStart w:id="205" w:name="_Toc184310332"/>
      <w:bookmarkEnd w:id="205"/>
      <w:bookmarkStart w:id="206" w:name="_Toc184310287"/>
      <w:bookmarkEnd w:id="206"/>
      <w:bookmarkStart w:id="207" w:name="_Toc184308074"/>
      <w:bookmarkEnd w:id="207"/>
      <w:bookmarkStart w:id="208" w:name="_Toc184314466"/>
      <w:bookmarkEnd w:id="208"/>
      <w:bookmarkStart w:id="209" w:name="_Toc184310339"/>
      <w:bookmarkEnd w:id="209"/>
      <w:bookmarkStart w:id="210" w:name="_Toc184308057"/>
      <w:bookmarkEnd w:id="210"/>
      <w:bookmarkStart w:id="211" w:name="_Toc184313253"/>
      <w:bookmarkEnd w:id="211"/>
      <w:bookmarkStart w:id="212" w:name="_Toc184308104"/>
      <w:bookmarkEnd w:id="212"/>
      <w:bookmarkStart w:id="213" w:name="_Toc184314467"/>
      <w:bookmarkEnd w:id="213"/>
      <w:bookmarkStart w:id="214" w:name="_Toc184314443"/>
      <w:bookmarkEnd w:id="214"/>
      <w:bookmarkStart w:id="215" w:name="_Toc184312087"/>
      <w:bookmarkEnd w:id="215"/>
      <w:bookmarkStart w:id="216" w:name="_Toc184312128"/>
      <w:bookmarkEnd w:id="216"/>
      <w:bookmarkStart w:id="217" w:name="_Toc184312072"/>
      <w:bookmarkEnd w:id="217"/>
      <w:bookmarkStart w:id="218" w:name="_Toc184312097"/>
      <w:bookmarkEnd w:id="218"/>
      <w:bookmarkStart w:id="219" w:name="_Toc184313260"/>
      <w:bookmarkEnd w:id="219"/>
      <w:bookmarkStart w:id="220" w:name="_Toc184310312"/>
      <w:bookmarkEnd w:id="220"/>
      <w:bookmarkStart w:id="221" w:name="_Toc184313297"/>
      <w:bookmarkEnd w:id="221"/>
      <w:bookmarkStart w:id="222" w:name="_Toc184308083"/>
      <w:bookmarkEnd w:id="222"/>
      <w:bookmarkStart w:id="223" w:name="_Toc184310279"/>
      <w:bookmarkEnd w:id="223"/>
      <w:bookmarkStart w:id="224" w:name="_Toc184314422"/>
      <w:bookmarkEnd w:id="224"/>
      <w:bookmarkStart w:id="225" w:name="_Toc184310291"/>
      <w:bookmarkEnd w:id="225"/>
      <w:bookmarkStart w:id="226" w:name="_Toc184310335"/>
      <w:bookmarkEnd w:id="226"/>
      <w:bookmarkStart w:id="227" w:name="_Toc184308039"/>
      <w:bookmarkEnd w:id="227"/>
      <w:bookmarkStart w:id="228" w:name="_Toc184312069"/>
      <w:bookmarkEnd w:id="228"/>
      <w:bookmarkStart w:id="229" w:name="_Toc184313247"/>
      <w:bookmarkEnd w:id="229"/>
      <w:bookmarkStart w:id="230" w:name="_Toc184308096"/>
      <w:bookmarkEnd w:id="230"/>
      <w:bookmarkStart w:id="231" w:name="_Toc184314471"/>
      <w:bookmarkEnd w:id="231"/>
      <w:bookmarkStart w:id="232" w:name="_Toc184314476"/>
      <w:bookmarkEnd w:id="232"/>
      <w:bookmarkStart w:id="233" w:name="_Toc184310297"/>
      <w:bookmarkEnd w:id="233"/>
      <w:bookmarkStart w:id="234" w:name="_Toc184312075"/>
      <w:bookmarkEnd w:id="234"/>
      <w:bookmarkStart w:id="235" w:name="_Toc184314459"/>
      <w:bookmarkEnd w:id="235"/>
      <w:bookmarkStart w:id="236" w:name="_Toc184312095"/>
      <w:bookmarkEnd w:id="236"/>
      <w:bookmarkStart w:id="237" w:name="_Toc184313305"/>
      <w:bookmarkEnd w:id="237"/>
      <w:bookmarkStart w:id="238" w:name="_Toc184310278"/>
      <w:bookmarkEnd w:id="238"/>
      <w:bookmarkStart w:id="239" w:name="_Toc184313274"/>
      <w:bookmarkEnd w:id="239"/>
      <w:bookmarkStart w:id="240" w:name="_Toc184314438"/>
      <w:bookmarkEnd w:id="240"/>
      <w:bookmarkStart w:id="241" w:name="_Toc184314415"/>
      <w:bookmarkEnd w:id="241"/>
      <w:bookmarkStart w:id="242" w:name="_Toc184312115"/>
      <w:bookmarkEnd w:id="242"/>
      <w:bookmarkStart w:id="243" w:name="_Toc184313284"/>
      <w:bookmarkEnd w:id="243"/>
      <w:bookmarkStart w:id="244" w:name="_Toc184310319"/>
      <w:bookmarkEnd w:id="244"/>
      <w:bookmarkStart w:id="245" w:name="_Toc184308038"/>
      <w:bookmarkEnd w:id="245"/>
      <w:bookmarkStart w:id="246" w:name="_Toc184310336"/>
      <w:bookmarkEnd w:id="246"/>
      <w:bookmarkStart w:id="247" w:name="_Toc184310288"/>
      <w:bookmarkEnd w:id="247"/>
      <w:bookmarkStart w:id="248" w:name="_Toc184312122"/>
      <w:bookmarkEnd w:id="248"/>
      <w:bookmarkStart w:id="249" w:name="_Toc184314433"/>
      <w:bookmarkEnd w:id="249"/>
      <w:bookmarkStart w:id="250" w:name="_Toc184312077"/>
      <w:bookmarkEnd w:id="250"/>
      <w:bookmarkStart w:id="251" w:name="_Toc184308068"/>
      <w:bookmarkEnd w:id="251"/>
      <w:bookmarkStart w:id="252" w:name="_Toc184312085"/>
      <w:bookmarkEnd w:id="252"/>
      <w:bookmarkStart w:id="253" w:name="_Toc184312111"/>
      <w:bookmarkEnd w:id="253"/>
      <w:bookmarkStart w:id="254" w:name="_Toc184312138"/>
      <w:bookmarkEnd w:id="254"/>
      <w:bookmarkStart w:id="255" w:name="_Toc184313248"/>
      <w:bookmarkEnd w:id="255"/>
      <w:bookmarkStart w:id="256" w:name="_Toc184310290"/>
      <w:bookmarkEnd w:id="256"/>
      <w:bookmarkStart w:id="257" w:name="_Toc184312135"/>
      <w:bookmarkEnd w:id="257"/>
      <w:bookmarkStart w:id="258" w:name="_Toc184314423"/>
      <w:bookmarkEnd w:id="258"/>
      <w:bookmarkStart w:id="259" w:name="_Toc184314412"/>
      <w:bookmarkEnd w:id="259"/>
      <w:bookmarkStart w:id="260" w:name="_Toc184310324"/>
      <w:bookmarkEnd w:id="260"/>
      <w:bookmarkStart w:id="261" w:name="_Toc184314428"/>
      <w:bookmarkEnd w:id="261"/>
      <w:bookmarkStart w:id="262" w:name="_Toc184308048"/>
      <w:bookmarkEnd w:id="262"/>
      <w:bookmarkStart w:id="263" w:name="_Toc184314449"/>
      <w:bookmarkEnd w:id="263"/>
      <w:bookmarkStart w:id="264" w:name="_Toc184314473"/>
      <w:bookmarkEnd w:id="264"/>
      <w:bookmarkStart w:id="265" w:name="_Toc184314478"/>
      <w:bookmarkEnd w:id="265"/>
      <w:bookmarkStart w:id="266" w:name="_Toc184308041"/>
      <w:bookmarkEnd w:id="266"/>
      <w:bookmarkStart w:id="267" w:name="_Toc184308105"/>
      <w:bookmarkEnd w:id="267"/>
      <w:bookmarkStart w:id="268" w:name="_Toc184313309"/>
      <w:bookmarkEnd w:id="268"/>
      <w:bookmarkStart w:id="269" w:name="_Toc184313310"/>
      <w:bookmarkEnd w:id="269"/>
      <w:bookmarkStart w:id="270" w:name="_Toc184310275"/>
      <w:bookmarkEnd w:id="270"/>
      <w:bookmarkStart w:id="271" w:name="_Toc184314442"/>
      <w:bookmarkEnd w:id="271"/>
      <w:bookmarkStart w:id="272" w:name="_Toc184312125"/>
      <w:bookmarkEnd w:id="272"/>
      <w:bookmarkStart w:id="273" w:name="_Toc184308036"/>
      <w:bookmarkEnd w:id="273"/>
      <w:bookmarkStart w:id="274" w:name="_Toc184313244"/>
      <w:bookmarkEnd w:id="274"/>
      <w:bookmarkStart w:id="275" w:name="_Toc184310321"/>
      <w:bookmarkEnd w:id="275"/>
      <w:bookmarkStart w:id="276" w:name="_Toc184312129"/>
      <w:bookmarkEnd w:id="276"/>
      <w:bookmarkStart w:id="277" w:name="_Toc184310296"/>
      <w:bookmarkEnd w:id="277"/>
      <w:bookmarkStart w:id="278" w:name="_Toc184310340"/>
      <w:bookmarkEnd w:id="278"/>
      <w:bookmarkStart w:id="279" w:name="_Toc184314413"/>
      <w:bookmarkEnd w:id="279"/>
      <w:bookmarkStart w:id="280" w:name="_Toc184313278"/>
      <w:bookmarkEnd w:id="280"/>
      <w:bookmarkStart w:id="281" w:name="_Toc184313251"/>
      <w:bookmarkEnd w:id="281"/>
      <w:bookmarkStart w:id="282" w:name="_Toc184310299"/>
      <w:bookmarkEnd w:id="282"/>
      <w:bookmarkStart w:id="283" w:name="_Toc184314451"/>
      <w:bookmarkEnd w:id="283"/>
      <w:bookmarkStart w:id="284" w:name="_Toc184313273"/>
      <w:bookmarkEnd w:id="284"/>
      <w:bookmarkStart w:id="285" w:name="_Toc184313261"/>
      <w:bookmarkEnd w:id="285"/>
      <w:bookmarkStart w:id="286" w:name="_Toc184310344"/>
      <w:bookmarkEnd w:id="286"/>
      <w:bookmarkStart w:id="287" w:name="_Toc184308075"/>
      <w:bookmarkEnd w:id="287"/>
      <w:bookmarkStart w:id="288" w:name="_Toc184312083"/>
      <w:bookmarkEnd w:id="288"/>
      <w:bookmarkStart w:id="289" w:name="_Toc184312139"/>
      <w:bookmarkEnd w:id="289"/>
      <w:bookmarkStart w:id="290" w:name="_Toc184314474"/>
      <w:bookmarkEnd w:id="290"/>
      <w:bookmarkStart w:id="291" w:name="_Toc184313245"/>
      <w:bookmarkEnd w:id="291"/>
      <w:bookmarkStart w:id="292" w:name="_Toc184308061"/>
      <w:bookmarkEnd w:id="292"/>
      <w:bookmarkStart w:id="293" w:name="_Toc184312108"/>
      <w:bookmarkEnd w:id="293"/>
      <w:bookmarkStart w:id="294" w:name="_Toc184312068"/>
      <w:bookmarkEnd w:id="294"/>
      <w:bookmarkStart w:id="295" w:name="_Toc184310326"/>
      <w:bookmarkEnd w:id="295"/>
      <w:bookmarkStart w:id="296" w:name="_Toc184308098"/>
      <w:bookmarkEnd w:id="296"/>
      <w:bookmarkStart w:id="297" w:name="_Toc184314460"/>
      <w:bookmarkEnd w:id="297"/>
      <w:bookmarkStart w:id="298" w:name="_Toc184308065"/>
      <w:bookmarkEnd w:id="298"/>
      <w:bookmarkStart w:id="299" w:name="_Toc184313264"/>
      <w:bookmarkEnd w:id="299"/>
      <w:bookmarkStart w:id="300" w:name="_Toc184310273"/>
      <w:bookmarkEnd w:id="300"/>
      <w:bookmarkStart w:id="301" w:name="_Toc184310305"/>
      <w:bookmarkEnd w:id="301"/>
      <w:bookmarkStart w:id="302" w:name="_Toc184308060"/>
      <w:bookmarkEnd w:id="302"/>
      <w:bookmarkStart w:id="303" w:name="_Toc184313239"/>
      <w:bookmarkEnd w:id="303"/>
      <w:bookmarkStart w:id="304" w:name="_Toc184313296"/>
      <w:bookmarkEnd w:id="304"/>
      <w:bookmarkStart w:id="305" w:name="_Toc184314455"/>
      <w:bookmarkEnd w:id="305"/>
      <w:bookmarkStart w:id="306" w:name="_Toc184308055"/>
      <w:bookmarkEnd w:id="306"/>
      <w:bookmarkStart w:id="307" w:name="_Toc184313268"/>
      <w:bookmarkEnd w:id="307"/>
      <w:bookmarkStart w:id="308" w:name="_Toc184310327"/>
      <w:bookmarkEnd w:id="308"/>
      <w:bookmarkStart w:id="309" w:name="_Toc184310318"/>
      <w:bookmarkEnd w:id="309"/>
      <w:bookmarkStart w:id="310" w:name="_Toc184314420"/>
      <w:bookmarkEnd w:id="310"/>
      <w:bookmarkStart w:id="311" w:name="_Toc184312084"/>
      <w:bookmarkEnd w:id="311"/>
      <w:bookmarkStart w:id="312" w:name="_Toc184308070"/>
      <w:bookmarkEnd w:id="312"/>
      <w:bookmarkStart w:id="313" w:name="_Toc184310323"/>
      <w:bookmarkEnd w:id="313"/>
      <w:bookmarkStart w:id="314" w:name="_Toc184314450"/>
      <w:bookmarkEnd w:id="314"/>
      <w:bookmarkStart w:id="315" w:name="_Toc184312076"/>
      <w:bookmarkEnd w:id="315"/>
      <w:bookmarkStart w:id="316" w:name="_Toc184314441"/>
      <w:bookmarkEnd w:id="316"/>
      <w:bookmarkStart w:id="317" w:name="_Toc184308086"/>
      <w:bookmarkEnd w:id="317"/>
      <w:bookmarkStart w:id="318" w:name="_Toc184314436"/>
      <w:bookmarkEnd w:id="318"/>
      <w:bookmarkStart w:id="319" w:name="_Toc184310328"/>
      <w:bookmarkEnd w:id="319"/>
      <w:bookmarkStart w:id="320" w:name="_Toc184312078"/>
      <w:bookmarkEnd w:id="320"/>
      <w:bookmarkStart w:id="321" w:name="_Toc184313258"/>
      <w:bookmarkEnd w:id="321"/>
      <w:bookmarkStart w:id="322" w:name="_Toc184312096"/>
      <w:bookmarkEnd w:id="322"/>
      <w:bookmarkStart w:id="323" w:name="_Toc184314447"/>
      <w:bookmarkEnd w:id="323"/>
      <w:bookmarkStart w:id="324" w:name="_Toc184308100"/>
      <w:bookmarkEnd w:id="324"/>
      <w:bookmarkStart w:id="325" w:name="_Toc184314454"/>
      <w:bookmarkEnd w:id="325"/>
      <w:bookmarkStart w:id="326" w:name="_Toc184308037"/>
      <w:bookmarkEnd w:id="326"/>
      <w:bookmarkStart w:id="327" w:name="_Toc184312112"/>
      <w:bookmarkEnd w:id="327"/>
      <w:bookmarkStart w:id="328" w:name="_Toc184308091"/>
      <w:bookmarkEnd w:id="328"/>
      <w:bookmarkStart w:id="329" w:name="_Toc184308072"/>
      <w:bookmarkEnd w:id="329"/>
      <w:bookmarkStart w:id="330" w:name="_Toc184308054"/>
      <w:bookmarkEnd w:id="330"/>
      <w:bookmarkStart w:id="331" w:name="_Toc184312104"/>
      <w:bookmarkEnd w:id="331"/>
      <w:bookmarkStart w:id="332" w:name="_Toc184312071"/>
      <w:bookmarkEnd w:id="332"/>
      <w:bookmarkStart w:id="333" w:name="_Toc184313263"/>
      <w:bookmarkEnd w:id="333"/>
      <w:bookmarkStart w:id="334" w:name="_Toc184310284"/>
      <w:bookmarkEnd w:id="334"/>
      <w:bookmarkStart w:id="335" w:name="_Toc184310331"/>
      <w:bookmarkEnd w:id="335"/>
      <w:bookmarkStart w:id="336" w:name="_Toc184313291"/>
      <w:bookmarkEnd w:id="336"/>
      <w:bookmarkStart w:id="337" w:name="_Toc184310286"/>
      <w:bookmarkEnd w:id="337"/>
      <w:bookmarkStart w:id="338" w:name="_Toc184312103"/>
      <w:bookmarkEnd w:id="338"/>
      <w:bookmarkStart w:id="339" w:name="_Toc184314456"/>
      <w:bookmarkEnd w:id="339"/>
      <w:bookmarkStart w:id="340" w:name="_Toc184314465"/>
      <w:bookmarkEnd w:id="340"/>
      <w:bookmarkStart w:id="341" w:name="_Toc184312101"/>
      <w:bookmarkEnd w:id="341"/>
      <w:bookmarkStart w:id="342" w:name="_Toc184310308"/>
      <w:bookmarkEnd w:id="342"/>
      <w:bookmarkStart w:id="343" w:name="_Toc184312109"/>
      <w:bookmarkEnd w:id="343"/>
      <w:bookmarkStart w:id="344" w:name="_Toc184310289"/>
      <w:bookmarkEnd w:id="344"/>
      <w:bookmarkStart w:id="345" w:name="_Toc184308085"/>
      <w:bookmarkEnd w:id="345"/>
      <w:bookmarkStart w:id="346" w:name="_Toc184310334"/>
      <w:bookmarkEnd w:id="346"/>
      <w:bookmarkStart w:id="347" w:name="_Toc184313302"/>
      <w:bookmarkEnd w:id="347"/>
      <w:bookmarkStart w:id="348" w:name="_Toc184314419"/>
      <w:bookmarkEnd w:id="348"/>
      <w:bookmarkStart w:id="349" w:name="_Toc184313298"/>
      <w:bookmarkEnd w:id="349"/>
      <w:bookmarkStart w:id="350" w:name="_Toc184308063"/>
      <w:bookmarkEnd w:id="350"/>
      <w:bookmarkStart w:id="351" w:name="_Toc184310311"/>
      <w:bookmarkEnd w:id="351"/>
      <w:bookmarkStart w:id="352" w:name="_Toc184312067"/>
      <w:bookmarkEnd w:id="352"/>
      <w:bookmarkStart w:id="353" w:name="_Toc184314426"/>
      <w:bookmarkEnd w:id="353"/>
      <w:bookmarkStart w:id="354" w:name="_Toc184313308"/>
      <w:bookmarkEnd w:id="354"/>
      <w:bookmarkStart w:id="355" w:name="_Toc184314468"/>
      <w:bookmarkEnd w:id="355"/>
      <w:bookmarkStart w:id="356" w:name="_Toc184313272"/>
      <w:bookmarkEnd w:id="356"/>
      <w:bookmarkStart w:id="357" w:name="_Toc184313287"/>
      <w:bookmarkEnd w:id="357"/>
      <w:bookmarkStart w:id="358" w:name="_Toc184314472"/>
      <w:bookmarkEnd w:id="358"/>
      <w:bookmarkStart w:id="359" w:name="_Toc184313304"/>
      <w:bookmarkEnd w:id="359"/>
      <w:bookmarkStart w:id="360" w:name="_Toc184314440"/>
      <w:bookmarkEnd w:id="360"/>
      <w:bookmarkStart w:id="361" w:name="_Toc184308107"/>
      <w:bookmarkEnd w:id="361"/>
      <w:bookmarkStart w:id="362" w:name="_Toc184308081"/>
      <w:bookmarkEnd w:id="362"/>
      <w:bookmarkStart w:id="363" w:name="_Toc184308047"/>
      <w:bookmarkEnd w:id="363"/>
      <w:bookmarkStart w:id="364" w:name="_Toc184308077"/>
      <w:bookmarkEnd w:id="364"/>
      <w:bookmarkStart w:id="365" w:name="_Toc184312088"/>
      <w:bookmarkEnd w:id="365"/>
      <w:bookmarkStart w:id="366" w:name="_Toc184313259"/>
      <w:bookmarkEnd w:id="366"/>
      <w:bookmarkStart w:id="367" w:name="_Toc184308093"/>
      <w:bookmarkEnd w:id="367"/>
      <w:bookmarkStart w:id="368" w:name="_Toc184312126"/>
      <w:bookmarkEnd w:id="368"/>
      <w:bookmarkStart w:id="369" w:name="_Toc184308069"/>
      <w:bookmarkEnd w:id="369"/>
      <w:bookmarkStart w:id="370" w:name="_Toc184312136"/>
      <w:bookmarkEnd w:id="370"/>
      <w:bookmarkStart w:id="371" w:name="_Toc184308059"/>
      <w:bookmarkEnd w:id="371"/>
      <w:bookmarkStart w:id="372" w:name="_Toc184310314"/>
      <w:bookmarkEnd w:id="372"/>
      <w:bookmarkStart w:id="373" w:name="_Toc184308108"/>
      <w:bookmarkEnd w:id="373"/>
      <w:bookmarkStart w:id="374" w:name="_Toc184312094"/>
      <w:bookmarkEnd w:id="374"/>
      <w:bookmarkStart w:id="375" w:name="_Toc184313269"/>
      <w:bookmarkEnd w:id="375"/>
      <w:bookmarkStart w:id="376" w:name="_Toc184313246"/>
      <w:bookmarkEnd w:id="376"/>
      <w:bookmarkStart w:id="377" w:name="_Toc184312133"/>
      <w:bookmarkEnd w:id="377"/>
      <w:bookmarkStart w:id="378" w:name="_Toc184308053"/>
      <w:bookmarkEnd w:id="378"/>
      <w:bookmarkStart w:id="379" w:name="_Toc184313262"/>
      <w:bookmarkEnd w:id="379"/>
      <w:bookmarkStart w:id="380" w:name="_Toc184308056"/>
      <w:bookmarkEnd w:id="380"/>
      <w:bookmarkStart w:id="381" w:name="_Toc184312098"/>
      <w:bookmarkEnd w:id="381"/>
      <w:bookmarkStart w:id="382" w:name="_Toc184313307"/>
      <w:bookmarkEnd w:id="382"/>
      <w:bookmarkStart w:id="383" w:name="_Toc184310292"/>
      <w:bookmarkEnd w:id="383"/>
      <w:bookmarkStart w:id="384" w:name="_Toc184312119"/>
      <w:bookmarkEnd w:id="384"/>
      <w:bookmarkStart w:id="385" w:name="_Toc184312114"/>
      <w:bookmarkEnd w:id="385"/>
      <w:bookmarkStart w:id="386" w:name="_Toc184310322"/>
      <w:bookmarkEnd w:id="386"/>
      <w:bookmarkStart w:id="387" w:name="_Toc184313283"/>
      <w:bookmarkEnd w:id="387"/>
      <w:bookmarkStart w:id="388" w:name="_Toc184314429"/>
      <w:bookmarkEnd w:id="388"/>
      <w:bookmarkStart w:id="389" w:name="_Toc184314475"/>
      <w:bookmarkEnd w:id="389"/>
      <w:bookmarkStart w:id="390" w:name="_Toc184314414"/>
      <w:bookmarkEnd w:id="390"/>
      <w:bookmarkStart w:id="391" w:name="_Toc184313256"/>
      <w:bookmarkEnd w:id="391"/>
      <w:bookmarkStart w:id="392" w:name="_Toc184313275"/>
      <w:bookmarkEnd w:id="392"/>
      <w:bookmarkStart w:id="393" w:name="_Toc184313254"/>
      <w:bookmarkEnd w:id="393"/>
      <w:bookmarkStart w:id="394" w:name="_Toc184314458"/>
      <w:bookmarkEnd w:id="394"/>
      <w:bookmarkStart w:id="395" w:name="_Toc184308087"/>
      <w:bookmarkEnd w:id="395"/>
      <w:bookmarkStart w:id="396" w:name="_Toc184308064"/>
      <w:bookmarkEnd w:id="396"/>
      <w:bookmarkStart w:id="397" w:name="_Toc184312070"/>
      <w:bookmarkEnd w:id="397"/>
      <w:r>
        <w:rPr>
          <w:rFonts w:hint="eastAsia" w:ascii="仿宋_GB2312" w:hAnsi="仿宋" w:eastAsia="仿宋_GB2312" w:cs="仿宋_GB2312"/>
          <w:b/>
          <w:color w:val="auto"/>
          <w:sz w:val="36"/>
          <w:szCs w:val="36"/>
          <w:highlight w:val="none"/>
        </w:rPr>
        <w:t>评标办法</w:t>
      </w:r>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929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966"/>
        <w:gridCol w:w="548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napToGrid w:val="0"/>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66" w:type="dxa"/>
            <w:vAlign w:val="center"/>
          </w:tcPr>
          <w:p>
            <w:pPr>
              <w:snapToGrid w:val="0"/>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5482" w:type="dxa"/>
            <w:vAlign w:val="center"/>
          </w:tcPr>
          <w:p>
            <w:pPr>
              <w:snapToGrid w:val="0"/>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评标标准</w:t>
            </w:r>
          </w:p>
        </w:tc>
        <w:tc>
          <w:tcPr>
            <w:tcW w:w="1082" w:type="dxa"/>
            <w:vAlign w:val="center"/>
          </w:tcPr>
          <w:p>
            <w:pPr>
              <w:snapToGrid w:val="0"/>
              <w:spacing w:line="360" w:lineRule="auto"/>
              <w:jc w:val="center"/>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napToGrid w:val="0"/>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8530" w:type="dxa"/>
            <w:gridSpan w:val="3"/>
            <w:vAlign w:val="center"/>
          </w:tcPr>
          <w:p>
            <w:pPr>
              <w:snapToGrid w:val="0"/>
              <w:spacing w:line="360" w:lineRule="auto"/>
              <w:jc w:val="left"/>
              <w:rPr>
                <w:rFonts w:ascii="仿宋" w:hAnsi="仿宋" w:eastAsia="仿宋" w:cs="仿宋"/>
                <w:color w:val="auto"/>
                <w:sz w:val="24"/>
                <w:highlight w:val="none"/>
              </w:rPr>
            </w:pPr>
            <w:r>
              <w:rPr>
                <w:rFonts w:hint="eastAsia" w:ascii="仿宋" w:hAnsi="仿宋" w:eastAsia="仿宋" w:cs="仿宋"/>
                <w:b/>
                <w:bCs/>
                <w:color w:val="auto"/>
                <w:sz w:val="24"/>
                <w:highlight w:val="none"/>
              </w:rPr>
              <w:t>技术和服务方案（79分）：</w:t>
            </w:r>
            <w:r>
              <w:rPr>
                <w:rFonts w:hint="eastAsia" w:ascii="仿宋" w:hAnsi="仿宋" w:eastAsia="仿宋" w:cs="仿宋"/>
                <w:b/>
                <w:color w:val="auto"/>
                <w:sz w:val="24"/>
                <w:highlight w:val="none"/>
              </w:rPr>
              <w:t>主要包含服务方案、服务人员、服务技术手段</w:t>
            </w:r>
            <w:r>
              <w:rPr>
                <w:rFonts w:hint="eastAsia" w:ascii="仿宋" w:hAnsi="仿宋" w:eastAsia="仿宋" w:cs="仿宋"/>
                <w:b/>
                <w:bCs/>
                <w:color w:val="auto"/>
                <w:sz w:val="24"/>
                <w:highlight w:val="none"/>
              </w:rPr>
              <w:t>与</w:t>
            </w:r>
            <w:r>
              <w:rPr>
                <w:rFonts w:hint="eastAsia" w:ascii="仿宋" w:hAnsi="仿宋" w:eastAsia="仿宋" w:cs="仿宋"/>
                <w:b/>
                <w:color w:val="auto"/>
                <w:sz w:val="24"/>
                <w:highlight w:val="none"/>
              </w:rPr>
              <w:t>需求的吻合程度。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7448" w:type="dxa"/>
            <w:gridSpan w:val="2"/>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本项目的维护计划方案及措施：合理的得4分，相对合理的得3分，基本合理的得1分，有但缺乏合理性的得0.5分，没有或不合理的不得分；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7448" w:type="dxa"/>
            <w:gridSpan w:val="2"/>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本项目年度维护对本方案重点、难点的分析及采取的应对措施：合理的得4分，相对合理的得3分，基本合理的得1分，有但缺乏合理性的得0.5分，没有或不合理的不得分；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7448" w:type="dxa"/>
            <w:gridSpan w:val="2"/>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本项目的质量管理和质量保证方案及措施（包括验收）：合理的得4分，相对合理的得3分，基本合理的得1分，有但缺乏合理性的得0.5分，没有或不合理的不得分；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7448" w:type="dxa"/>
            <w:gridSpan w:val="2"/>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本项目在维护过程中的安全保障方案及措施：合理的得4分，相对合理的得3分，基本合理的得1分，有但缺乏合理性的得0.5分，没有或不合理的不得分；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7448" w:type="dxa"/>
            <w:gridSpan w:val="2"/>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本项目在维护过程中的应急保障方案及措施：合理的得4分，相对合理的得3分，基本合理的得1分，有但缺乏合理性的得0.5分，没有或不合理的不得分；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7448" w:type="dxa"/>
            <w:gridSpan w:val="2"/>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对采购人现有智能交通系统现状的熟悉和理解情况：对现有滨江交通警察大队智能交通系统外场设备、智能交通系统中心设备及智能交通系统维护现状的熟悉和理解：合理的得4分，相对合理的得3分，基本合理的得1分，有但缺乏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1966" w:type="dxa"/>
            <w:vMerge w:val="restart"/>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投标方案设计在扩展性考虑、体系结构、设计思想，体现一定前瞻性，合理可行，是否充分考虑机房的现状需求，并针对机房现状进行充分的调研，在方案中提供如下调研材料</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对大队整体网络组网架构、智能交通专网组网架构及物理分布情况做详细的说明并附系统架构图：准确合理的得4分，相对准确合理的得3分，基本准确合理的得1分，有但缺乏准确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1966" w:type="dxa"/>
            <w:vMerge w:val="continue"/>
            <w:vAlign w:val="center"/>
          </w:tcPr>
          <w:p>
            <w:pPr>
              <w:snapToGrid w:val="0"/>
              <w:spacing w:line="360" w:lineRule="auto"/>
              <w:rPr>
                <w:rFonts w:ascii="仿宋" w:hAnsi="仿宋" w:eastAsia="仿宋"/>
                <w:color w:val="auto"/>
                <w:sz w:val="24"/>
                <w:highlight w:val="none"/>
                <w:lang w:val="zh-CN"/>
              </w:rPr>
            </w:pP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对大队整体光纤接入现状做详细描述：准确合理的得4分，相对准确合理的得3分，基本准确合理的得1分，有但缺乏准确合理性的得0.5分，没有或不合理的不得分；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1966" w:type="dxa"/>
            <w:vMerge w:val="continue"/>
            <w:vAlign w:val="center"/>
          </w:tcPr>
          <w:p>
            <w:pPr>
              <w:snapToGrid w:val="0"/>
              <w:spacing w:line="360" w:lineRule="auto"/>
              <w:rPr>
                <w:rFonts w:ascii="仿宋" w:hAnsi="仿宋" w:eastAsia="仿宋"/>
                <w:color w:val="auto"/>
                <w:sz w:val="24"/>
                <w:highlight w:val="none"/>
                <w:lang w:val="zh-CN"/>
              </w:rPr>
            </w:pP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对大队视频传输的整体架构、组网方式做详细的说明并附系统架构图：准确合理的得4分，相对准确合理的得3分，基本准确合理的得1分，有但缺乏准确合理性的得0.5分，没有或不合理的不得分；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1966" w:type="dxa"/>
            <w:vMerge w:val="continue"/>
            <w:vAlign w:val="center"/>
          </w:tcPr>
          <w:p>
            <w:pPr>
              <w:snapToGrid w:val="0"/>
              <w:spacing w:line="360" w:lineRule="auto"/>
              <w:rPr>
                <w:rFonts w:ascii="仿宋" w:hAnsi="仿宋" w:eastAsia="仿宋"/>
                <w:color w:val="auto"/>
                <w:sz w:val="24"/>
                <w:highlight w:val="none"/>
                <w:lang w:val="zh-CN"/>
              </w:rPr>
            </w:pP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对大队视频监控系统、信号控制系统、诱导系统、非现场系统、视频检测系统、卡口系统系统的建设状况、系统架构、系统组成做详细的说明并附系统架构图：准确合理的得4分，相对准确合理的得3分，基本准确合理的得1分，有但缺乏准确合理性的得0.5分，没有或不合理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11</w:t>
            </w:r>
          </w:p>
        </w:tc>
        <w:tc>
          <w:tcPr>
            <w:tcW w:w="1966" w:type="dxa"/>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演示讲解</w:t>
            </w:r>
            <w:r>
              <w:rPr>
                <w:rFonts w:hint="eastAsia" w:ascii="仿宋" w:hAnsi="仿宋" w:eastAsia="仿宋"/>
                <w:b/>
                <w:bCs/>
                <w:color w:val="auto"/>
                <w:sz w:val="24"/>
                <w:highlight w:val="none"/>
                <w:lang w:val="zh-CN"/>
              </w:rPr>
              <w:t>（采用图片、PPT等非原型演示的不得分）</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为保证本项目点位的在线率、提升维护的及时性和便捷性，投标单位需具有可视化信息运维管理平台，该平台需要符合在视频专网运行的要求，平台功能演示以下功能模块：</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eastAsia="zh-Hans"/>
              </w:rPr>
              <w:t>“设备台账管理”子模块</w:t>
            </w:r>
            <w:r>
              <w:rPr>
                <w:rFonts w:hint="eastAsia" w:ascii="仿宋" w:hAnsi="仿宋" w:eastAsia="仿宋"/>
                <w:color w:val="auto"/>
                <w:sz w:val="24"/>
                <w:highlight w:val="none"/>
              </w:rPr>
              <w:t>（2分）</w:t>
            </w:r>
          </w:p>
          <w:p>
            <w:pPr>
              <w:snapToGrid w:val="0"/>
              <w:spacing w:line="360" w:lineRule="auto"/>
              <w:rPr>
                <w:rFonts w:ascii="仿宋" w:hAnsi="仿宋" w:eastAsia="仿宋"/>
                <w:b/>
                <w:bCs/>
                <w:color w:val="auto"/>
                <w:sz w:val="24"/>
                <w:highlight w:val="none"/>
              </w:rPr>
            </w:pPr>
            <w:r>
              <w:rPr>
                <w:rFonts w:hint="eastAsia" w:ascii="仿宋" w:hAnsi="仿宋" w:eastAsia="仿宋"/>
                <w:color w:val="auto"/>
                <w:sz w:val="24"/>
                <w:highlight w:val="none"/>
              </w:rPr>
              <w:t>该模块具备雷达、卡口</w:t>
            </w:r>
            <w:r>
              <w:rPr>
                <w:rFonts w:hint="eastAsia" w:ascii="仿宋" w:hAnsi="仿宋" w:eastAsia="仿宋"/>
                <w:color w:val="auto"/>
                <w:sz w:val="24"/>
                <w:highlight w:val="none"/>
                <w:lang w:eastAsia="zh-Hans"/>
              </w:rPr>
              <w:t>、</w:t>
            </w:r>
            <w:r>
              <w:rPr>
                <w:rFonts w:hint="eastAsia" w:ascii="仿宋" w:hAnsi="仿宋" w:eastAsia="仿宋"/>
                <w:color w:val="auto"/>
                <w:sz w:val="24"/>
                <w:highlight w:val="none"/>
              </w:rPr>
              <w:t>电警、监控、信号机、可变车道屏、诱导屏、智能机柜</w:t>
            </w:r>
            <w:r>
              <w:rPr>
                <w:rFonts w:hint="eastAsia" w:ascii="仿宋" w:hAnsi="仿宋" w:eastAsia="仿宋"/>
                <w:color w:val="auto"/>
                <w:sz w:val="24"/>
                <w:highlight w:val="none"/>
                <w:lang w:eastAsia="zh-Hans"/>
              </w:rPr>
              <w:t>等</w:t>
            </w:r>
            <w:r>
              <w:rPr>
                <w:rFonts w:hint="eastAsia" w:ascii="仿宋" w:hAnsi="仿宋" w:eastAsia="仿宋"/>
                <w:color w:val="auto"/>
                <w:sz w:val="24"/>
                <w:highlight w:val="none"/>
              </w:rPr>
              <w:t>设备</w:t>
            </w:r>
            <w:r>
              <w:rPr>
                <w:rFonts w:hint="eastAsia" w:ascii="仿宋" w:hAnsi="仿宋" w:eastAsia="仿宋"/>
                <w:color w:val="auto"/>
                <w:sz w:val="24"/>
                <w:highlight w:val="none"/>
                <w:lang w:eastAsia="zh-Hans"/>
              </w:rPr>
              <w:t>信息台账</w:t>
            </w:r>
            <w:r>
              <w:rPr>
                <w:rFonts w:hint="eastAsia" w:ascii="仿宋" w:hAnsi="仿宋" w:eastAsia="仿宋"/>
                <w:color w:val="auto"/>
                <w:sz w:val="24"/>
                <w:highlight w:val="none"/>
              </w:rPr>
              <w:t>管理功能且包含</w:t>
            </w:r>
            <w:r>
              <w:rPr>
                <w:rFonts w:hint="eastAsia" w:ascii="仿宋" w:hAnsi="仿宋" w:eastAsia="仿宋"/>
                <w:color w:val="auto"/>
                <w:sz w:val="24"/>
                <w:highlight w:val="none"/>
                <w:lang w:eastAsia="zh-Hans"/>
              </w:rPr>
              <w:t>设备</w:t>
            </w:r>
            <w:r>
              <w:rPr>
                <w:rFonts w:hint="eastAsia" w:ascii="仿宋" w:hAnsi="仿宋" w:eastAsia="仿宋"/>
                <w:color w:val="auto"/>
                <w:sz w:val="24"/>
                <w:highlight w:val="none"/>
              </w:rPr>
              <w:t>新增、修改、删除、导出、条件查询</w:t>
            </w:r>
            <w:r>
              <w:rPr>
                <w:rFonts w:hint="eastAsia" w:ascii="仿宋" w:hAnsi="仿宋" w:eastAsia="仿宋"/>
                <w:color w:val="auto"/>
                <w:sz w:val="24"/>
                <w:highlight w:val="none"/>
                <w:lang w:eastAsia="zh-Hans"/>
              </w:rPr>
              <w:t>等</w:t>
            </w:r>
            <w:r>
              <w:rPr>
                <w:rFonts w:hint="eastAsia" w:ascii="仿宋" w:hAnsi="仿宋" w:eastAsia="仿宋"/>
                <w:color w:val="auto"/>
                <w:sz w:val="24"/>
                <w:highlight w:val="none"/>
              </w:rPr>
              <w:t>功能</w:t>
            </w:r>
            <w:r>
              <w:rPr>
                <w:rFonts w:hint="eastAsia" w:ascii="仿宋" w:hAnsi="仿宋" w:eastAsia="仿宋"/>
                <w:color w:val="auto"/>
                <w:sz w:val="24"/>
                <w:highlight w:val="none"/>
                <w:lang w:eastAsia="zh-Hans"/>
              </w:rPr>
              <w:t>。</w:t>
            </w:r>
            <w:r>
              <w:rPr>
                <w:rFonts w:hint="eastAsia" w:ascii="仿宋" w:hAnsi="仿宋" w:eastAsia="仿宋"/>
                <w:b/>
                <w:bCs/>
                <w:color w:val="auto"/>
                <w:sz w:val="24"/>
                <w:highlight w:val="none"/>
              </w:rPr>
              <w:t>演示内容有且符合评审要求的得2分，演示内容不完整或不符合评审要求或未提供的不得分。</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2、</w:t>
            </w:r>
            <w:r>
              <w:rPr>
                <w:rFonts w:hint="eastAsia" w:ascii="仿宋" w:hAnsi="仿宋" w:eastAsia="仿宋"/>
                <w:color w:val="auto"/>
                <w:sz w:val="24"/>
                <w:highlight w:val="none"/>
                <w:lang w:eastAsia="zh-Hans"/>
              </w:rPr>
              <w:t>“设备网络监测”子模块</w:t>
            </w:r>
            <w:r>
              <w:rPr>
                <w:rFonts w:hint="eastAsia" w:ascii="仿宋" w:hAnsi="仿宋" w:eastAsia="仿宋"/>
                <w:color w:val="auto"/>
                <w:sz w:val="24"/>
                <w:highlight w:val="none"/>
              </w:rPr>
              <w:t>（1分）</w:t>
            </w:r>
          </w:p>
          <w:p>
            <w:pPr>
              <w:snapToGrid w:val="0"/>
              <w:spacing w:line="360" w:lineRule="auto"/>
              <w:rPr>
                <w:rFonts w:ascii="仿宋" w:hAnsi="仿宋" w:eastAsia="仿宋"/>
                <w:b/>
                <w:bCs/>
                <w:color w:val="auto"/>
                <w:sz w:val="24"/>
                <w:highlight w:val="none"/>
              </w:rPr>
            </w:pPr>
            <w:r>
              <w:rPr>
                <w:rFonts w:hint="eastAsia" w:ascii="仿宋" w:hAnsi="仿宋" w:eastAsia="仿宋"/>
                <w:color w:val="auto"/>
                <w:sz w:val="24"/>
                <w:highlight w:val="none"/>
              </w:rPr>
              <w:t>该模块</w:t>
            </w:r>
            <w:r>
              <w:rPr>
                <w:rFonts w:hint="eastAsia" w:ascii="仿宋" w:hAnsi="仿宋" w:eastAsia="仿宋"/>
                <w:color w:val="auto"/>
                <w:sz w:val="24"/>
                <w:highlight w:val="none"/>
                <w:lang w:eastAsia="zh-Hans"/>
              </w:rPr>
              <w:t>支持后台自动定时巡检各类设施设备网络在线、离线状态信息。支持设备设备网络波动延迟状态监测。</w:t>
            </w:r>
            <w:r>
              <w:rPr>
                <w:rFonts w:hint="eastAsia" w:ascii="仿宋" w:hAnsi="仿宋" w:eastAsia="仿宋"/>
                <w:b/>
                <w:bCs/>
                <w:color w:val="auto"/>
                <w:sz w:val="24"/>
                <w:highlight w:val="none"/>
              </w:rPr>
              <w:t>演示内容有且符合评审要求的得1分，演示内容不完整或不符合评审要求或未提供的不得分。</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rPr>
              <w:t>3、</w:t>
            </w:r>
            <w:r>
              <w:rPr>
                <w:rFonts w:hint="eastAsia" w:ascii="仿宋" w:hAnsi="仿宋" w:eastAsia="仿宋"/>
                <w:color w:val="auto"/>
                <w:sz w:val="24"/>
                <w:highlight w:val="none"/>
                <w:lang w:eastAsia="zh-Hans"/>
              </w:rPr>
              <w:t>“设备数据监测”子模块</w:t>
            </w:r>
            <w:r>
              <w:rPr>
                <w:rFonts w:hint="eastAsia" w:ascii="仿宋" w:hAnsi="仿宋" w:eastAsia="仿宋"/>
                <w:color w:val="auto"/>
                <w:sz w:val="24"/>
                <w:highlight w:val="none"/>
              </w:rPr>
              <w:t>（2分）</w:t>
            </w:r>
          </w:p>
          <w:p>
            <w:pPr>
              <w:snapToGrid w:val="0"/>
              <w:spacing w:line="360" w:lineRule="auto"/>
              <w:rPr>
                <w:rFonts w:ascii="仿宋" w:hAnsi="仿宋" w:eastAsia="仿宋"/>
                <w:b/>
                <w:bCs/>
                <w:color w:val="auto"/>
                <w:sz w:val="24"/>
                <w:highlight w:val="none"/>
              </w:rPr>
            </w:pPr>
            <w:r>
              <w:rPr>
                <w:rFonts w:hint="eastAsia" w:ascii="仿宋" w:hAnsi="仿宋" w:eastAsia="仿宋"/>
                <w:color w:val="auto"/>
                <w:sz w:val="24"/>
                <w:highlight w:val="none"/>
              </w:rPr>
              <w:t>该模块</w:t>
            </w:r>
            <w:r>
              <w:rPr>
                <w:rFonts w:hint="eastAsia" w:ascii="仿宋" w:hAnsi="仿宋" w:eastAsia="仿宋"/>
                <w:color w:val="auto"/>
                <w:sz w:val="24"/>
                <w:highlight w:val="none"/>
                <w:lang w:eastAsia="zh-Hans"/>
              </w:rPr>
              <w:t>集成⼤量数据质量监测算法，支持</w:t>
            </w:r>
            <w:r>
              <w:rPr>
                <w:rFonts w:hint="eastAsia" w:ascii="仿宋" w:hAnsi="仿宋" w:eastAsia="仿宋"/>
                <w:color w:val="auto"/>
                <w:sz w:val="24"/>
                <w:highlight w:val="none"/>
              </w:rPr>
              <w:t>对</w:t>
            </w:r>
            <w:r>
              <w:rPr>
                <w:rFonts w:hint="eastAsia" w:ascii="仿宋" w:hAnsi="仿宋" w:eastAsia="仿宋"/>
                <w:color w:val="auto"/>
                <w:sz w:val="24"/>
                <w:highlight w:val="none"/>
                <w:lang w:eastAsia="zh-Hans"/>
              </w:rPr>
              <w:t>雷达、卡口、电警等</w:t>
            </w:r>
            <w:r>
              <w:rPr>
                <w:rFonts w:hint="eastAsia" w:ascii="仿宋" w:hAnsi="仿宋" w:eastAsia="仿宋"/>
                <w:color w:val="auto"/>
                <w:sz w:val="24"/>
                <w:highlight w:val="none"/>
              </w:rPr>
              <w:t>按设备、按路口，对数据在线状态、数据上传频率、</w:t>
            </w:r>
            <w:r>
              <w:rPr>
                <w:rFonts w:hint="eastAsia" w:ascii="仿宋" w:hAnsi="仿宋" w:eastAsia="仿宋"/>
                <w:color w:val="auto"/>
                <w:sz w:val="24"/>
                <w:highlight w:val="none"/>
                <w:lang w:eastAsia="zh-Hans"/>
              </w:rPr>
              <w:t>数据</w:t>
            </w:r>
            <w:r>
              <w:rPr>
                <w:rFonts w:hint="eastAsia" w:ascii="仿宋" w:hAnsi="仿宋" w:eastAsia="仿宋"/>
                <w:color w:val="auto"/>
                <w:sz w:val="24"/>
                <w:highlight w:val="none"/>
              </w:rPr>
              <w:t>延时时差、短时中断等数据质量进行监测及预警。</w:t>
            </w:r>
            <w:r>
              <w:rPr>
                <w:rFonts w:hint="eastAsia" w:ascii="仿宋" w:hAnsi="仿宋" w:eastAsia="仿宋"/>
                <w:b/>
                <w:bCs/>
                <w:color w:val="auto"/>
                <w:sz w:val="24"/>
                <w:highlight w:val="none"/>
              </w:rPr>
              <w:t>演示内容有且符合评审要求的得2分，演示内容不完整或不符合评审要求或未提供的不得分。</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rPr>
              <w:t>4、</w:t>
            </w:r>
            <w:r>
              <w:rPr>
                <w:rFonts w:hint="eastAsia" w:ascii="仿宋" w:hAnsi="仿宋" w:eastAsia="仿宋"/>
                <w:color w:val="auto"/>
                <w:sz w:val="24"/>
                <w:highlight w:val="none"/>
                <w:lang w:eastAsia="zh-Hans"/>
              </w:rPr>
              <w:t>“服务器监测”子模块</w:t>
            </w:r>
            <w:r>
              <w:rPr>
                <w:rFonts w:hint="eastAsia" w:ascii="仿宋" w:hAnsi="仿宋" w:eastAsia="仿宋"/>
                <w:color w:val="auto"/>
                <w:sz w:val="24"/>
                <w:highlight w:val="none"/>
              </w:rPr>
              <w:t>（1分）</w:t>
            </w:r>
          </w:p>
          <w:p>
            <w:pPr>
              <w:snapToGrid w:val="0"/>
              <w:spacing w:line="360" w:lineRule="auto"/>
              <w:rPr>
                <w:rFonts w:ascii="仿宋" w:hAnsi="仿宋" w:eastAsia="仿宋"/>
                <w:b/>
                <w:bCs/>
                <w:color w:val="auto"/>
                <w:sz w:val="24"/>
                <w:highlight w:val="none"/>
              </w:rPr>
            </w:pPr>
            <w:r>
              <w:rPr>
                <w:rFonts w:hint="eastAsia" w:ascii="仿宋" w:hAnsi="仿宋" w:eastAsia="仿宋"/>
                <w:color w:val="auto"/>
                <w:sz w:val="24"/>
                <w:highlight w:val="none"/>
              </w:rPr>
              <w:t>该模块</w:t>
            </w:r>
            <w:r>
              <w:rPr>
                <w:rFonts w:hint="eastAsia" w:ascii="仿宋" w:hAnsi="仿宋" w:eastAsia="仿宋"/>
                <w:color w:val="auto"/>
                <w:sz w:val="24"/>
                <w:highlight w:val="none"/>
                <w:lang w:eastAsia="zh-Hans"/>
              </w:rPr>
              <w:t>支持对</w:t>
            </w:r>
            <w:r>
              <w:rPr>
                <w:rFonts w:hint="eastAsia" w:ascii="仿宋" w:hAnsi="仿宋" w:eastAsia="仿宋"/>
                <w:color w:val="auto"/>
                <w:sz w:val="24"/>
                <w:highlight w:val="none"/>
              </w:rPr>
              <w:t>服务器</w:t>
            </w:r>
            <w:r>
              <w:rPr>
                <w:rFonts w:hint="eastAsia" w:ascii="仿宋" w:hAnsi="仿宋" w:eastAsia="仿宋"/>
                <w:color w:val="auto"/>
                <w:sz w:val="24"/>
                <w:highlight w:val="none"/>
                <w:lang w:eastAsia="zh-Hans"/>
              </w:rPr>
              <w:t>硬件</w:t>
            </w:r>
            <w:r>
              <w:rPr>
                <w:rFonts w:hint="eastAsia" w:ascii="仿宋" w:hAnsi="仿宋" w:eastAsia="仿宋"/>
                <w:color w:val="auto"/>
                <w:sz w:val="24"/>
                <w:highlight w:val="none"/>
              </w:rPr>
              <w:t>性能监控，</w:t>
            </w:r>
            <w:r>
              <w:rPr>
                <w:rFonts w:hint="eastAsia" w:ascii="仿宋" w:hAnsi="仿宋" w:eastAsia="仿宋"/>
                <w:color w:val="auto"/>
                <w:sz w:val="24"/>
                <w:highlight w:val="none"/>
                <w:lang w:eastAsia="zh-Hans"/>
              </w:rPr>
              <w:t>包括</w:t>
            </w:r>
            <w:r>
              <w:rPr>
                <w:rFonts w:hint="eastAsia" w:ascii="仿宋" w:hAnsi="仿宋" w:eastAsia="仿宋"/>
                <w:color w:val="auto"/>
                <w:sz w:val="24"/>
                <w:highlight w:val="none"/>
              </w:rPr>
              <w:t>CPU、内存、硬盘、</w:t>
            </w:r>
            <w:r>
              <w:rPr>
                <w:rFonts w:hint="eastAsia" w:ascii="仿宋" w:hAnsi="仿宋" w:eastAsia="仿宋"/>
                <w:color w:val="auto"/>
                <w:sz w:val="24"/>
                <w:highlight w:val="none"/>
                <w:lang w:eastAsia="zh-Hans"/>
              </w:rPr>
              <w:t>网络</w:t>
            </w:r>
            <w:r>
              <w:rPr>
                <w:rFonts w:hint="eastAsia" w:ascii="仿宋" w:hAnsi="仿宋" w:eastAsia="仿宋"/>
                <w:color w:val="auto"/>
                <w:sz w:val="24"/>
                <w:highlight w:val="none"/>
              </w:rPr>
              <w:t>等</w:t>
            </w:r>
            <w:r>
              <w:rPr>
                <w:rFonts w:hint="eastAsia" w:ascii="仿宋" w:hAnsi="仿宋" w:eastAsia="仿宋"/>
                <w:color w:val="auto"/>
                <w:sz w:val="24"/>
                <w:highlight w:val="none"/>
                <w:lang w:eastAsia="zh-Hans"/>
              </w:rPr>
              <w:t>维度。</w:t>
            </w:r>
            <w:r>
              <w:rPr>
                <w:rFonts w:hint="eastAsia" w:ascii="仿宋" w:hAnsi="仿宋" w:eastAsia="仿宋"/>
                <w:b/>
                <w:bCs/>
                <w:color w:val="auto"/>
                <w:sz w:val="24"/>
                <w:highlight w:val="none"/>
              </w:rPr>
              <w:t>演示内容有且符合评审要求的得1分，演示内容不完整或不符合评审要求或未提供的不得分。</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rPr>
              <w:t>5、</w:t>
            </w:r>
            <w:r>
              <w:rPr>
                <w:rFonts w:hint="eastAsia" w:ascii="仿宋" w:hAnsi="仿宋" w:eastAsia="仿宋"/>
                <w:color w:val="auto"/>
                <w:sz w:val="24"/>
                <w:highlight w:val="none"/>
                <w:lang w:eastAsia="zh-Hans"/>
              </w:rPr>
              <w:t>“软件中间件监测”子模块</w:t>
            </w:r>
            <w:r>
              <w:rPr>
                <w:rFonts w:hint="eastAsia" w:ascii="仿宋" w:hAnsi="仿宋" w:eastAsia="仿宋"/>
                <w:color w:val="auto"/>
                <w:sz w:val="24"/>
                <w:highlight w:val="none"/>
              </w:rPr>
              <w:t>（2分）</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该模块</w:t>
            </w:r>
            <w:r>
              <w:rPr>
                <w:rFonts w:hint="eastAsia" w:ascii="仿宋" w:hAnsi="仿宋" w:eastAsia="仿宋"/>
                <w:color w:val="auto"/>
                <w:sz w:val="24"/>
                <w:highlight w:val="none"/>
                <w:lang w:eastAsia="zh-Hans"/>
              </w:rPr>
              <w:t>支持对</w:t>
            </w:r>
            <w:r>
              <w:rPr>
                <w:rFonts w:hint="eastAsia" w:ascii="仿宋" w:hAnsi="仿宋" w:eastAsia="仿宋"/>
                <w:color w:val="auto"/>
                <w:sz w:val="24"/>
                <w:highlight w:val="none"/>
              </w:rPr>
              <w:t>卡夫卡集群，大数据引擎集群</w:t>
            </w:r>
            <w:r>
              <w:rPr>
                <w:rFonts w:hint="eastAsia" w:ascii="仿宋" w:hAnsi="仿宋" w:eastAsia="仿宋"/>
                <w:color w:val="auto"/>
                <w:sz w:val="24"/>
                <w:highlight w:val="none"/>
                <w:lang w:eastAsia="zh-Hans"/>
              </w:rPr>
              <w:t>、数据库</w:t>
            </w:r>
            <w:r>
              <w:rPr>
                <w:rFonts w:hint="eastAsia" w:ascii="仿宋" w:hAnsi="仿宋" w:eastAsia="仿宋"/>
                <w:color w:val="auto"/>
                <w:sz w:val="24"/>
                <w:highlight w:val="none"/>
              </w:rPr>
              <w:t>资源使用情况整体监控，并进行异常分析及报表输出。并对各软件服务资源占用情况的整体监控，异常情况告警机制，报表统计，异常服务源数据分析。</w:t>
            </w:r>
            <w:r>
              <w:rPr>
                <w:rFonts w:hint="eastAsia" w:ascii="仿宋" w:hAnsi="仿宋" w:eastAsia="仿宋"/>
                <w:b/>
                <w:bCs/>
                <w:color w:val="auto"/>
                <w:sz w:val="24"/>
                <w:highlight w:val="none"/>
              </w:rPr>
              <w:t>演示内容有且符合评审要求的得2分，演示内容不完整或不符合评审要求或未提供的不得分。</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rPr>
              <w:t>6、</w:t>
            </w:r>
            <w:r>
              <w:rPr>
                <w:rFonts w:hint="eastAsia" w:ascii="仿宋" w:hAnsi="仿宋" w:eastAsia="仿宋"/>
                <w:color w:val="auto"/>
                <w:sz w:val="24"/>
                <w:highlight w:val="none"/>
                <w:lang w:eastAsia="zh-Hans"/>
              </w:rPr>
              <w:t>“设备运维驾驶舱”子模块</w:t>
            </w:r>
            <w:r>
              <w:rPr>
                <w:rFonts w:hint="eastAsia" w:ascii="仿宋" w:hAnsi="仿宋" w:eastAsia="仿宋"/>
                <w:color w:val="auto"/>
                <w:sz w:val="24"/>
                <w:highlight w:val="none"/>
              </w:rPr>
              <w:t>（4分）</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对纳入运维服务的交通设施设备各维度运维数据进行总体展示。</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支持汇总设施设备实时运行状态，包括在线、离线。</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支持展示各类数据质量情况。</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支持以路口维度监测路口实时运行状态。</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支持以故障次数维度展示设备历史异常次数。</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支持设备故障修复率与数据异常修复率。</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rPr>
              <w:t>支持各类软件服务、硬件巡检等故障告警推送，并在平台页面上高亮显示</w:t>
            </w:r>
          </w:p>
          <w:p>
            <w:pPr>
              <w:snapToGrid w:val="0"/>
              <w:spacing w:line="360" w:lineRule="auto"/>
              <w:rPr>
                <w:rFonts w:ascii="仿宋" w:hAnsi="仿宋" w:eastAsia="仿宋"/>
                <w:color w:val="auto"/>
                <w:sz w:val="24"/>
                <w:highlight w:val="none"/>
                <w:lang w:eastAsia="zh-Hans"/>
              </w:rPr>
            </w:pPr>
            <w:r>
              <w:rPr>
                <w:rFonts w:hint="eastAsia" w:ascii="仿宋" w:hAnsi="仿宋" w:eastAsia="仿宋"/>
                <w:color w:val="auto"/>
                <w:sz w:val="24"/>
                <w:highlight w:val="none"/>
                <w:lang w:eastAsia="zh-Hans"/>
              </w:rPr>
              <w:t>支持各软件服务运行总体总览展示</w:t>
            </w:r>
          </w:p>
          <w:p>
            <w:pPr>
              <w:snapToGrid w:val="0"/>
              <w:spacing w:line="360" w:lineRule="auto"/>
              <w:rPr>
                <w:color w:val="auto"/>
                <w:highlight w:val="none"/>
              </w:rPr>
            </w:pPr>
            <w:r>
              <w:rPr>
                <w:rFonts w:hint="eastAsia" w:ascii="仿宋" w:hAnsi="仿宋" w:eastAsia="仿宋"/>
                <w:b/>
                <w:bCs/>
                <w:color w:val="auto"/>
                <w:sz w:val="24"/>
                <w:highlight w:val="none"/>
              </w:rPr>
              <w:t>演示内容有且符合评审要求的得4分，演示内容不完整或不符合评审要求或未提供的不得分。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12</w:t>
            </w:r>
          </w:p>
        </w:tc>
        <w:tc>
          <w:tcPr>
            <w:tcW w:w="1966" w:type="dxa"/>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拟投入本项目的项目负责人</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同时具备机电工程专业一级注册建造师证书和IT服务项目经理证书得2分，同时具备机电工程专业二级注册建造师证书和IT服务项目经理证书得1分，其他不得分；（投标文件中提供有效的相关证书和投标人为其缴纳的社保证明材料复印件，未提供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13</w:t>
            </w:r>
          </w:p>
        </w:tc>
        <w:tc>
          <w:tcPr>
            <w:tcW w:w="1966" w:type="dxa"/>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拟投入本项目的项目技术负责人</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具有智能交通或智慧交通专业高级工程师职称得2分，具有智能交通或智慧交通专业工程师职称得1分；（投标文件中提供有效的相关证书和投标人为其缴纳的社保证明材料复印件，未提供的不得分）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14</w:t>
            </w:r>
          </w:p>
        </w:tc>
        <w:tc>
          <w:tcPr>
            <w:tcW w:w="1966" w:type="dxa"/>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项目组成员</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拟投入本项目的售后服务团队成员具备 IT 服务工程师证书每人得 0.5 分，最高得 3分。（投标文件中提供有效的相关证书和投标人为其缴纳的社保证明材料复印件，未提供的不得分）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15</w:t>
            </w:r>
          </w:p>
        </w:tc>
        <w:tc>
          <w:tcPr>
            <w:tcW w:w="1966" w:type="dxa"/>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权威认证</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标企业通过质量管理体系认证得1分；通过环境管理体系认证得1分；通过职业健康安全管理体系认证的得1分；通过IT服务管理体系认证体系得1分；通过信息安全管理体系认证体系得1分。（上述证书认证范围需包含“智慧交通”字样，证书须在有效期内，提供证书复印件，不提供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16</w:t>
            </w:r>
          </w:p>
        </w:tc>
        <w:tc>
          <w:tcPr>
            <w:tcW w:w="1966" w:type="dxa"/>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服务能力</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投标人具有信息系统服务交付能力等级证书一级的得2分，二级的得1分，其他不得分；投标人具有 ITSS 运行2分，其他不得分。（需提供相关证书或证明材料复印件，不提供或不符合的不得分）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17</w:t>
            </w:r>
          </w:p>
        </w:tc>
        <w:tc>
          <w:tcPr>
            <w:tcW w:w="1966"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投标人拟投入本项目的车辆情况</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标人拟投入登高专项作业车（非载货专项作业车）4辆的得1分，每增加一辆加1分，本项最高得5分。（证明材料：若为自有的提供车辆行驶证复印件；若为租赁的提供车辆行驶证复印件、车辆购置税发票复印件、租赁协议复印件及租赁发票复印件。未提供或提供的证明材料不齐全的不得分。提供虚假材料谋取中标的取消中标资格）</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18</w:t>
            </w:r>
          </w:p>
        </w:tc>
        <w:tc>
          <w:tcPr>
            <w:tcW w:w="1966" w:type="dxa"/>
            <w:vMerge w:val="restart"/>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软件著作权</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投标人具备信号机维护系统软件著作权登记证书的得2分；（需提供相关证书或证明材料复印件，不提供或不符合的不得分）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19</w:t>
            </w:r>
          </w:p>
        </w:tc>
        <w:tc>
          <w:tcPr>
            <w:tcW w:w="1966" w:type="dxa"/>
            <w:vMerge w:val="continue"/>
            <w:vAlign w:val="center"/>
          </w:tcPr>
          <w:p>
            <w:pPr>
              <w:snapToGrid w:val="0"/>
              <w:spacing w:line="360" w:lineRule="auto"/>
              <w:rPr>
                <w:rFonts w:ascii="仿宋" w:hAnsi="仿宋" w:eastAsia="仿宋"/>
                <w:color w:val="auto"/>
                <w:sz w:val="24"/>
                <w:highlight w:val="none"/>
              </w:rPr>
            </w:pP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具备智慧交通指挥中心运维监控软件、交通设备设施运维管理系统、大数据运维平台、设备设施运维调度系统等与本项目建设内容相关的软件著作权登记证书的每个得0.5分，最高得2分；（需提供相关证书或证明材料复印件，不提供或不符合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760"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20</w:t>
            </w:r>
          </w:p>
        </w:tc>
        <w:tc>
          <w:tcPr>
            <w:tcW w:w="1966" w:type="dxa"/>
            <w:vAlign w:val="center"/>
          </w:tcPr>
          <w:p>
            <w:pPr>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rPr>
              <w:t>环境标志产品、节能产品评审</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投标产品组成部分具有国家确定的认证机构出具的、处于有效期之内的节能产品认证证书的得1分。投标产品组成部分具有国家确定的认证机构出具的、处于有效期之内的环境标志产品认证证书的得1分（投标文件中需提供有效的相关证明材料复印件并加盖公章（或电子签名），未提供的不得分）</w:t>
            </w:r>
          </w:p>
        </w:tc>
        <w:tc>
          <w:tcPr>
            <w:tcW w:w="1082" w:type="dxa"/>
            <w:vAlign w:val="center"/>
          </w:tcPr>
          <w:p>
            <w:pPr>
              <w:snapToGrid w:val="0"/>
              <w:spacing w:line="360" w:lineRule="auto"/>
              <w:jc w:val="center"/>
              <w:rPr>
                <w:rFonts w:ascii="仿宋" w:hAnsi="仿宋" w:eastAsia="仿宋"/>
                <w:color w:val="auto"/>
                <w:sz w:val="24"/>
                <w:highlight w:val="none"/>
              </w:rPr>
            </w:pPr>
            <w:r>
              <w:rPr>
                <w:rFonts w:hint="eastAsia" w:ascii="仿宋" w:hAnsi="仿宋" w:eastAsia="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760" w:type="dxa"/>
            <w:vAlign w:val="center"/>
          </w:tcPr>
          <w:p>
            <w:pPr>
              <w:snapToGrid w:val="0"/>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1966" w:type="dxa"/>
            <w:vAlign w:val="center"/>
          </w:tcPr>
          <w:p>
            <w:pPr>
              <w:snapToGrid w:val="0"/>
              <w:spacing w:line="360" w:lineRule="auto"/>
              <w:jc w:val="center"/>
              <w:outlineLvl w:val="0"/>
              <w:rPr>
                <w:rFonts w:ascii="仿宋" w:hAnsi="仿宋" w:eastAsia="仿宋" w:cs="仿宋"/>
                <w:color w:val="auto"/>
                <w:sz w:val="24"/>
                <w:highlight w:val="none"/>
              </w:rPr>
            </w:pPr>
            <w:r>
              <w:rPr>
                <w:rFonts w:hint="eastAsia" w:ascii="仿宋" w:hAnsi="仿宋" w:eastAsia="仿宋" w:cs="仿宋"/>
                <w:b/>
                <w:color w:val="auto"/>
                <w:sz w:val="24"/>
                <w:highlight w:val="none"/>
              </w:rPr>
              <w:t>投标供应商的业绩情况（1分）</w:t>
            </w:r>
          </w:p>
        </w:tc>
        <w:tc>
          <w:tcPr>
            <w:tcW w:w="5482" w:type="dxa"/>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olor w:val="auto"/>
                <w:sz w:val="24"/>
                <w:highlight w:val="none"/>
              </w:rPr>
              <w:t>投标供应商同类项目的成功经验（1分）：截止投标时间近三年以来投标供应商独立完成类似项目实施的成功经验情况，须同时提供合同和采购人验收报告（或验收证明）复印件并加盖公章（或电子签名），每个得</w:t>
            </w:r>
            <w:r>
              <w:rPr>
                <w:rFonts w:ascii="仿宋" w:hAnsi="仿宋" w:eastAsia="仿宋"/>
                <w:color w:val="auto"/>
                <w:sz w:val="24"/>
                <w:highlight w:val="none"/>
              </w:rPr>
              <w:t>1分，最高得</w:t>
            </w:r>
            <w:r>
              <w:rPr>
                <w:rFonts w:hint="eastAsia" w:ascii="仿宋" w:hAnsi="仿宋" w:eastAsia="仿宋"/>
                <w:color w:val="auto"/>
                <w:sz w:val="24"/>
                <w:highlight w:val="none"/>
              </w:rPr>
              <w:t>1分。</w:t>
            </w:r>
          </w:p>
        </w:tc>
        <w:tc>
          <w:tcPr>
            <w:tcW w:w="1082" w:type="dxa"/>
            <w:vAlign w:val="center"/>
          </w:tcPr>
          <w:p>
            <w:pPr>
              <w:snapToGrid w:val="0"/>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760" w:type="dxa"/>
            <w:vAlign w:val="center"/>
          </w:tcPr>
          <w:p>
            <w:pPr>
              <w:snapToGrid w:val="0"/>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1966" w:type="dxa"/>
            <w:vAlign w:val="center"/>
          </w:tcPr>
          <w:p>
            <w:pPr>
              <w:snapToGrid w:val="0"/>
              <w:spacing w:line="360" w:lineRule="auto"/>
              <w:jc w:val="center"/>
              <w:outlineLvl w:val="0"/>
              <w:rPr>
                <w:rFonts w:ascii="仿宋" w:hAnsi="仿宋" w:eastAsia="仿宋"/>
                <w:color w:val="auto"/>
                <w:sz w:val="24"/>
                <w:highlight w:val="none"/>
              </w:rPr>
            </w:pPr>
            <w:r>
              <w:rPr>
                <w:rFonts w:hint="eastAsia" w:ascii="仿宋" w:hAnsi="仿宋" w:eastAsia="仿宋" w:cs="仿宋"/>
                <w:b/>
                <w:color w:val="auto"/>
                <w:sz w:val="24"/>
                <w:highlight w:val="none"/>
              </w:rPr>
              <w:t>投标价格分（2</w:t>
            </w:r>
            <w:r>
              <w:rPr>
                <w:rFonts w:ascii="仿宋" w:hAnsi="仿宋" w:eastAsia="仿宋" w:cs="仿宋"/>
                <w:b/>
                <w:color w:val="auto"/>
                <w:sz w:val="24"/>
                <w:highlight w:val="none"/>
              </w:rPr>
              <w:t>0</w:t>
            </w:r>
            <w:r>
              <w:rPr>
                <w:rFonts w:hint="eastAsia" w:ascii="仿宋" w:hAnsi="仿宋" w:eastAsia="仿宋" w:cs="仿宋"/>
                <w:b/>
                <w:color w:val="auto"/>
                <w:sz w:val="24"/>
                <w:highlight w:val="none"/>
              </w:rPr>
              <w:t>分）</w:t>
            </w:r>
          </w:p>
        </w:tc>
        <w:tc>
          <w:tcPr>
            <w:tcW w:w="5482" w:type="dxa"/>
            <w:vAlign w:val="center"/>
          </w:tcPr>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有效投标报价的最低价作为评标基准价，最低报价为满分；其余按［投标报价得分</w:t>
            </w:r>
            <w:r>
              <w:rPr>
                <w:rFonts w:ascii="仿宋" w:hAnsi="仿宋" w:eastAsia="仿宋"/>
                <w:color w:val="auto"/>
                <w:sz w:val="24"/>
                <w:highlight w:val="none"/>
              </w:rPr>
              <w:t>=（评标基准价/投标报价）*</w:t>
            </w:r>
            <w:r>
              <w:rPr>
                <w:rFonts w:hint="eastAsia" w:ascii="仿宋" w:hAnsi="仿宋" w:eastAsia="仿宋"/>
                <w:color w:val="auto"/>
                <w:sz w:val="24"/>
                <w:highlight w:val="none"/>
              </w:rPr>
              <w:t>2</w:t>
            </w:r>
            <w:r>
              <w:rPr>
                <w:rFonts w:ascii="仿宋" w:hAnsi="仿宋" w:eastAsia="仿宋"/>
                <w:color w:val="auto"/>
                <w:sz w:val="24"/>
                <w:highlight w:val="none"/>
              </w:rPr>
              <w:t>0</w:t>
            </w:r>
            <w:r>
              <w:rPr>
                <w:rFonts w:hint="eastAsia" w:ascii="仿宋" w:hAnsi="仿宋" w:eastAsia="仿宋"/>
                <w:color w:val="auto"/>
                <w:sz w:val="24"/>
                <w:highlight w:val="none"/>
              </w:rPr>
              <w:t>］的计算公式计算。评标过程中，不得去掉报价中的最高报价和最低报价。</w:t>
            </w:r>
          </w:p>
          <w:p>
            <w:pPr>
              <w:spacing w:line="360" w:lineRule="auto"/>
              <w:rPr>
                <w:rFonts w:ascii="仿宋" w:hAnsi="仿宋" w:eastAsia="仿宋"/>
                <w:color w:val="auto"/>
                <w:sz w:val="24"/>
                <w:highlight w:val="none"/>
              </w:rPr>
            </w:pPr>
            <w:r>
              <w:rPr>
                <w:rFonts w:hint="eastAsia" w:ascii="仿宋" w:hAnsi="仿宋" w:eastAsia="仿宋"/>
                <w:color w:val="auto"/>
                <w:sz w:val="24"/>
                <w:highlight w:val="none"/>
              </w:rPr>
              <w:t>本项目为未预留份额专门面向中小企业的政府采购服务项目，对小型和微型企业的投标报价给予20%的扣除，用扣除后的价格参与评审。</w:t>
            </w:r>
          </w:p>
        </w:tc>
        <w:tc>
          <w:tcPr>
            <w:tcW w:w="1082" w:type="dxa"/>
            <w:vAlign w:val="center"/>
          </w:tcPr>
          <w:p>
            <w:pPr>
              <w:snapToGrid w:val="0"/>
              <w:spacing w:line="360" w:lineRule="auto"/>
              <w:jc w:val="center"/>
              <w:outlineLvl w:val="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ascii="仿宋" w:hAnsi="仿宋" w:eastAsia="仿宋" w:cs="仿宋"/>
                <w:color w:val="auto"/>
                <w:sz w:val="24"/>
                <w:highlight w:val="none"/>
              </w:rPr>
              <w:t>0</w:t>
            </w:r>
          </w:p>
        </w:tc>
      </w:tr>
    </w:tbl>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3.1符合性审查。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3.2比较与评价。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3.4报价评审。</w:t>
      </w:r>
    </w:p>
    <w:p>
      <w:pPr>
        <w:pStyle w:val="128"/>
        <w:spacing w:before="0"/>
        <w:ind w:firstLine="508" w:firstLineChars="212"/>
        <w:rPr>
          <w:rFonts w:ascii="仿宋_GB2312" w:hAnsi="仿宋" w:eastAsia="仿宋_GB2312" w:cs="Arial"/>
          <w:color w:val="auto"/>
          <w:kern w:val="0"/>
          <w:highlight w:val="none"/>
        </w:rPr>
      </w:pPr>
      <w:r>
        <w:rPr>
          <w:rFonts w:hint="eastAsia" w:ascii="仿宋_GB2312" w:hAnsi="仿宋" w:eastAsia="仿宋_GB2312" w:cs="Arial"/>
          <w:color w:val="auto"/>
          <w:kern w:val="0"/>
          <w:highlight w:val="none"/>
        </w:rPr>
        <w:t>3.4.1投标文件报价出现前后不一致的，按照下列规定修正：</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3.4.1.2大写金额和小写金额不一致的，以大写金额为准;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3.4.1.3单价金额小数点或者百分比有明显错位的，以开标一览表的总价为准，并修改单价;</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3.4.1.4总价金额与按单价汇总金额不一致的，以单价金额计算结果为准；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3.4.3投标报价超过招标文件中规定的预算金额或者最高限价的，投标无效。</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仿宋_GB2312" w:hAnsi="仿宋" w:eastAsia="仿宋_GB2312" w:cs="仿宋"/>
          <w:color w:val="auto"/>
          <w:kern w:val="0"/>
          <w:szCs w:val="24"/>
          <w:highlight w:val="none"/>
        </w:rPr>
      </w:pPr>
      <w:r>
        <w:rPr>
          <w:rFonts w:hint="eastAsia" w:ascii="仿宋_GB2312" w:hAnsi="仿宋" w:eastAsia="仿宋_GB2312" w:cs="仿宋"/>
          <w:color w:val="auto"/>
          <w:kern w:val="0"/>
          <w:szCs w:val="24"/>
          <w:highlight w:val="none"/>
        </w:rPr>
        <w:t>3.4.5</w:t>
      </w:r>
      <w:r>
        <w:rPr>
          <w:rFonts w:hint="eastAsia" w:ascii="仿宋_GB2312" w:hAnsi="仿宋" w:eastAsia="仿宋_GB2312" w:cs="仿宋"/>
          <w:b/>
          <w:bCs/>
          <w:color w:val="auto"/>
          <w:kern w:val="0"/>
          <w:szCs w:val="24"/>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3.5排序与推荐。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3.6编写评标报告。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8"/>
        <w:spacing w:before="0"/>
        <w:ind w:firstLine="472" w:firstLineChars="196"/>
        <w:rPr>
          <w:rFonts w:ascii="仿宋_GB2312" w:hAnsi="仿宋" w:eastAsia="仿宋_GB2312" w:cs="Arial"/>
          <w:color w:val="auto"/>
          <w:kern w:val="0"/>
          <w:szCs w:val="24"/>
          <w:highlight w:val="none"/>
        </w:rPr>
      </w:pPr>
      <w:r>
        <w:rPr>
          <w:rFonts w:hint="eastAsia" w:ascii="仿宋_GB2312" w:hAnsi="仿宋" w:eastAsia="仿宋_GB2312" w:cs="Arial"/>
          <w:b/>
          <w:color w:val="auto"/>
          <w:kern w:val="0"/>
          <w:szCs w:val="24"/>
          <w:highlight w:val="none"/>
        </w:rPr>
        <w:t>4.1投标人澄清、说明或者补正。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auto"/>
          <w:szCs w:val="21"/>
          <w:highlight w:val="none"/>
        </w:rPr>
      </w:pPr>
      <w:r>
        <w:rPr>
          <w:rFonts w:hint="eastAsia"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4.2.5投标文件中承诺的投标有效期少于招标文件中载明的投标有效期的；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4.2.10投标人提供虚假材料投标的；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4.2.12投标人仅提交备份投标文件，没有在电子交易平台传输递交投标文件的，投标无效；</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4.2.13投标文件不满足招标文件的其它实质性要求的；</w:t>
      </w:r>
    </w:p>
    <w:p>
      <w:pPr>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5.2出现影响采购公正的违法、违规行为的；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5.3投标人的报价均超过了采购预算，采购人不能支付的；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5.4因重大变故，采购任务取消的。</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5"/>
        <w:snapToGrid w:val="0"/>
        <w:spacing w:line="360" w:lineRule="auto"/>
        <w:ind w:firstLine="482"/>
        <w:rPr>
          <w:rFonts w:ascii="仿宋_GB2312" w:hAnsi="仿宋" w:eastAsia="仿宋_GB2312" w:cs="仿宋_GB2312"/>
          <w:color w:val="auto"/>
          <w:highlight w:val="none"/>
        </w:rPr>
      </w:pPr>
      <w:r>
        <w:rPr>
          <w:rFonts w:hint="eastAsia"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7.1未确定中标、成交供应商的，终止本次政府采购活动，重新开展政府采购活动。</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7.2已确定中标、成交供应商但尚未签订政府采购合同的，中标、成交结果无效，从合格的中标、成交候选人中另行确定中标、成交候选人；没有合格的中标、成交候选人的，重新开展政府采购活动。</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7.3政府采购合同已签订但尚未履行的，撤销合同，从合格的中标、成交候选人中另行确定中标、成交候选人；没有合格的中标、成交候选人的，重新开展政府采购活动。</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7.4政府采购合同已经履行，给采购人、供应商造成损失的，由责任人承担赔偿责任。</w:t>
      </w:r>
    </w:p>
    <w:p>
      <w:pPr>
        <w:pStyle w:val="25"/>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7.5政府采购当事人有其他违反政府采购法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的行为，经改正后仍然影响或者可能影响中标、成交结果或者依法被认定为中标、成交无效的，依照7.1-7.4规定处理。</w:t>
      </w:r>
    </w:p>
    <w:p>
      <w:pPr>
        <w:pStyle w:val="25"/>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398" w:name="第五部分"/>
      <w:bookmarkStart w:id="399"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 拟签订的合同文本</w:t>
      </w:r>
    </w:p>
    <w:p>
      <w:pPr>
        <w:spacing w:line="480" w:lineRule="auto"/>
        <w:rPr>
          <w:color w:val="auto"/>
          <w:spacing w:val="74"/>
          <w:sz w:val="30"/>
          <w:highlight w:val="none"/>
        </w:rPr>
      </w:pPr>
    </w:p>
    <w:p>
      <w:pPr>
        <w:spacing w:line="480" w:lineRule="auto"/>
        <w:rPr>
          <w:color w:val="auto"/>
          <w:spacing w:val="74"/>
          <w:sz w:val="30"/>
          <w:highlight w:val="none"/>
        </w:rPr>
      </w:pPr>
    </w:p>
    <w:p>
      <w:pPr>
        <w:spacing w:line="480" w:lineRule="auto"/>
        <w:rPr>
          <w:rFonts w:eastAsia="楷体_GB2312"/>
          <w:b/>
          <w:color w:val="auto"/>
          <w:spacing w:val="-16"/>
          <w:sz w:val="30"/>
          <w:szCs w:val="30"/>
          <w:highlight w:val="none"/>
        </w:rPr>
      </w:pPr>
      <w:r>
        <w:rPr>
          <w:rFonts w:hint="eastAsia"/>
          <w:color w:val="auto"/>
          <w:spacing w:val="74"/>
          <w:sz w:val="30"/>
          <w:highlight w:val="none"/>
        </w:rPr>
        <w:t>项目名称：</w:t>
      </w:r>
      <w:r>
        <w:rPr>
          <w:rFonts w:hint="eastAsia" w:eastAsia="楷体_GB2312"/>
          <w:b/>
          <w:color w:val="auto"/>
          <w:spacing w:val="-16"/>
          <w:sz w:val="30"/>
          <w:szCs w:val="30"/>
          <w:highlight w:val="none"/>
        </w:rPr>
        <w:t xml:space="preserve"> </w:t>
      </w:r>
    </w:p>
    <w:p>
      <w:pPr>
        <w:spacing w:line="480" w:lineRule="auto"/>
        <w:ind w:firstLine="3623" w:firstLineChars="1203"/>
        <w:jc w:val="left"/>
        <w:rPr>
          <w:rFonts w:eastAsia="楷体_GB2312"/>
          <w:b/>
          <w:color w:val="auto"/>
          <w:sz w:val="30"/>
          <w:highlight w:val="none"/>
        </w:rPr>
      </w:pPr>
    </w:p>
    <w:p>
      <w:pPr>
        <w:snapToGrid w:val="0"/>
        <w:spacing w:line="360" w:lineRule="auto"/>
        <w:jc w:val="left"/>
        <w:rPr>
          <w:b/>
          <w:color w:val="auto"/>
          <w:spacing w:val="74"/>
          <w:sz w:val="30"/>
          <w:highlight w:val="none"/>
        </w:rPr>
      </w:pPr>
      <w:r>
        <w:rPr>
          <w:rFonts w:hint="eastAsia"/>
          <w:color w:val="auto"/>
          <w:spacing w:val="74"/>
          <w:sz w:val="30"/>
          <w:highlight w:val="none"/>
        </w:rPr>
        <w:t>项目地点：</w:t>
      </w:r>
    </w:p>
    <w:p>
      <w:pPr>
        <w:snapToGrid w:val="0"/>
        <w:spacing w:line="360" w:lineRule="auto"/>
        <w:ind w:left="4480" w:hanging="4480" w:hangingChars="1000"/>
        <w:jc w:val="left"/>
        <w:rPr>
          <w:color w:val="auto"/>
          <w:spacing w:val="74"/>
          <w:sz w:val="30"/>
          <w:highlight w:val="none"/>
        </w:rPr>
      </w:pPr>
      <w:r>
        <w:rPr>
          <w:rFonts w:hint="eastAsia"/>
          <w:color w:val="auto"/>
          <w:spacing w:val="74"/>
          <w:sz w:val="30"/>
          <w:highlight w:val="none"/>
        </w:rPr>
        <w:t>合同编号：</w:t>
      </w:r>
    </w:p>
    <w:p>
      <w:pPr>
        <w:snapToGrid w:val="0"/>
        <w:spacing w:line="360" w:lineRule="auto"/>
        <w:jc w:val="left"/>
        <w:rPr>
          <w:rFonts w:eastAsia="楷体_GB2312"/>
          <w:color w:val="auto"/>
          <w:sz w:val="30"/>
          <w:highlight w:val="none"/>
        </w:rPr>
      </w:pPr>
    </w:p>
    <w:p>
      <w:pPr>
        <w:snapToGrid w:val="0"/>
        <w:spacing w:line="480" w:lineRule="auto"/>
        <w:jc w:val="left"/>
        <w:rPr>
          <w:rFonts w:eastAsia="楷体_GB2312"/>
          <w:color w:val="auto"/>
          <w:sz w:val="30"/>
          <w:highlight w:val="none"/>
        </w:rPr>
      </w:pPr>
    </w:p>
    <w:p>
      <w:pPr>
        <w:snapToGrid w:val="0"/>
        <w:spacing w:line="480" w:lineRule="auto"/>
        <w:jc w:val="left"/>
        <w:rPr>
          <w:rFonts w:eastAsia="楷体_GB2312"/>
          <w:color w:val="auto"/>
          <w:sz w:val="30"/>
          <w:highlight w:val="none"/>
        </w:rPr>
      </w:pPr>
    </w:p>
    <w:p>
      <w:pPr>
        <w:snapToGrid w:val="0"/>
        <w:spacing w:line="360" w:lineRule="auto"/>
        <w:ind w:left="1796" w:leftChars="284" w:hanging="1200" w:hangingChars="400"/>
        <w:jc w:val="left"/>
        <w:rPr>
          <w:rFonts w:eastAsia="楷体_GB2312"/>
          <w:b/>
          <w:color w:val="auto"/>
          <w:sz w:val="30"/>
          <w:highlight w:val="none"/>
        </w:rPr>
      </w:pPr>
      <w:bookmarkStart w:id="400" w:name="_Hlk13040097"/>
      <w:r>
        <w:rPr>
          <w:rFonts w:hint="eastAsia"/>
          <w:color w:val="auto"/>
          <w:sz w:val="30"/>
          <w:highlight w:val="none"/>
        </w:rPr>
        <w:t>发包方（甲方）：</w:t>
      </w:r>
      <w:r>
        <w:rPr>
          <w:rFonts w:hint="eastAsia" w:eastAsia="楷体_GB2312"/>
          <w:b/>
          <w:color w:val="auto"/>
          <w:sz w:val="30"/>
          <w:highlight w:val="none"/>
        </w:rPr>
        <w:t>杭州市公安局交通警察支队滨江大队、</w:t>
      </w:r>
    </w:p>
    <w:p>
      <w:pPr>
        <w:snapToGrid w:val="0"/>
        <w:spacing w:line="360" w:lineRule="auto"/>
        <w:ind w:left="1796" w:leftChars="284" w:hanging="1200" w:hangingChars="400"/>
        <w:jc w:val="left"/>
        <w:rPr>
          <w:rFonts w:eastAsia="楷体_GB2312"/>
          <w:b/>
          <w:color w:val="auto"/>
          <w:sz w:val="30"/>
          <w:highlight w:val="none"/>
        </w:rPr>
      </w:pPr>
      <w:r>
        <w:rPr>
          <w:rFonts w:hint="eastAsia"/>
          <w:color w:val="auto"/>
          <w:sz w:val="30"/>
          <w:highlight w:val="none"/>
        </w:rPr>
        <w:t>见证方</w:t>
      </w:r>
      <w:r>
        <w:rPr>
          <w:rFonts w:hint="eastAsia" w:eastAsia="楷体_GB2312"/>
          <w:b/>
          <w:color w:val="auto"/>
          <w:sz w:val="30"/>
          <w:highlight w:val="none"/>
        </w:rPr>
        <w:t>：杭州市滨江区城市管理局</w:t>
      </w:r>
    </w:p>
    <w:bookmarkEnd w:id="400"/>
    <w:p>
      <w:pPr>
        <w:snapToGrid w:val="0"/>
        <w:spacing w:line="360" w:lineRule="auto"/>
        <w:ind w:left="1641" w:leftChars="284" w:hanging="1045" w:hangingChars="400"/>
        <w:jc w:val="left"/>
        <w:rPr>
          <w:b/>
          <w:color w:val="auto"/>
          <w:spacing w:val="-20"/>
          <w:sz w:val="30"/>
          <w:szCs w:val="30"/>
          <w:highlight w:val="none"/>
        </w:rPr>
      </w:pPr>
    </w:p>
    <w:p>
      <w:pPr>
        <w:snapToGrid w:val="0"/>
        <w:spacing w:line="360" w:lineRule="auto"/>
        <w:ind w:firstLine="588"/>
        <w:jc w:val="left"/>
        <w:rPr>
          <w:color w:val="auto"/>
          <w:sz w:val="30"/>
          <w:highlight w:val="none"/>
        </w:rPr>
      </w:pPr>
      <w:r>
        <w:rPr>
          <w:rFonts w:hint="eastAsia"/>
          <w:color w:val="auto"/>
          <w:sz w:val="30"/>
          <w:highlight w:val="none"/>
        </w:rPr>
        <w:t>承包方（乙方）：</w:t>
      </w:r>
    </w:p>
    <w:p>
      <w:pPr>
        <w:snapToGrid w:val="0"/>
        <w:spacing w:line="360" w:lineRule="auto"/>
        <w:ind w:firstLine="588"/>
        <w:jc w:val="left"/>
        <w:rPr>
          <w:color w:val="auto"/>
          <w:sz w:val="30"/>
          <w:highlight w:val="none"/>
        </w:rPr>
      </w:pPr>
    </w:p>
    <w:p>
      <w:pPr>
        <w:snapToGrid w:val="0"/>
        <w:spacing w:line="360" w:lineRule="auto"/>
        <w:ind w:firstLine="666" w:firstLineChars="150"/>
        <w:jc w:val="left"/>
        <w:rPr>
          <w:b/>
          <w:color w:val="auto"/>
          <w:spacing w:val="50"/>
          <w:sz w:val="30"/>
          <w:highlight w:val="none"/>
        </w:rPr>
      </w:pPr>
      <w:r>
        <w:rPr>
          <w:rFonts w:hint="eastAsia"/>
          <w:color w:val="auto"/>
          <w:spacing w:val="72"/>
          <w:sz w:val="30"/>
          <w:highlight w:val="none"/>
        </w:rPr>
        <w:t>签订日期：</w:t>
      </w:r>
      <w:r>
        <w:rPr>
          <w:rFonts w:hint="eastAsia" w:ascii="楷体_GB2312" w:eastAsia="楷体_GB2312"/>
          <w:b/>
          <w:color w:val="auto"/>
          <w:spacing w:val="50"/>
          <w:sz w:val="30"/>
          <w:highlight w:val="none"/>
        </w:rPr>
        <w:t>年月日</w:t>
      </w:r>
    </w:p>
    <w:p>
      <w:pPr>
        <w:snapToGrid w:val="0"/>
        <w:spacing w:line="360" w:lineRule="auto"/>
        <w:jc w:val="left"/>
        <w:rPr>
          <w:color w:val="auto"/>
          <w:sz w:val="24"/>
          <w:highlight w:val="none"/>
        </w:rPr>
        <w:sectPr>
          <w:headerReference r:id="rId9" w:type="first"/>
          <w:footerReference r:id="rId11" w:type="first"/>
          <w:headerReference r:id="rId8" w:type="default"/>
          <w:footerReference r:id="rId10" w:type="default"/>
          <w:pgSz w:w="11907" w:h="16840"/>
          <w:pgMar w:top="1701" w:right="1418" w:bottom="1701" w:left="1701" w:header="851" w:footer="992" w:gutter="0"/>
          <w:cols w:space="720" w:num="1"/>
          <w:titlePg/>
          <w:docGrid w:type="lines" w:linePitch="312" w:charSpace="0"/>
        </w:sectPr>
      </w:pPr>
    </w:p>
    <w:p>
      <w:pPr>
        <w:snapToGrid w:val="0"/>
        <w:spacing w:line="440" w:lineRule="exact"/>
        <w:jc w:val="left"/>
        <w:rPr>
          <w:color w:val="auto"/>
          <w:sz w:val="24"/>
          <w:highlight w:val="none"/>
        </w:rPr>
      </w:pPr>
      <w:r>
        <w:rPr>
          <w:rFonts w:hint="eastAsia"/>
          <w:color w:val="auto"/>
          <w:sz w:val="24"/>
          <w:highlight w:val="none"/>
        </w:rPr>
        <w:t>发包方（甲方）：</w:t>
      </w:r>
      <w:r>
        <w:rPr>
          <w:rFonts w:hint="eastAsia" w:eastAsia="楷体_GB2312"/>
          <w:b/>
          <w:color w:val="auto"/>
          <w:sz w:val="24"/>
          <w:highlight w:val="none"/>
          <w:u w:val="single"/>
        </w:rPr>
        <w:t>杭州市公安局交通警察支队滨江大队</w:t>
      </w:r>
      <w:r>
        <w:rPr>
          <w:rFonts w:hint="eastAsia"/>
          <w:color w:val="auto"/>
          <w:sz w:val="24"/>
          <w:highlight w:val="none"/>
        </w:rPr>
        <w:t>、</w:t>
      </w:r>
    </w:p>
    <w:p>
      <w:pPr>
        <w:snapToGrid w:val="0"/>
        <w:spacing w:line="440" w:lineRule="exact"/>
        <w:jc w:val="left"/>
        <w:rPr>
          <w:rFonts w:eastAsia="楷体_GB2312"/>
          <w:b/>
          <w:color w:val="auto"/>
          <w:sz w:val="24"/>
          <w:highlight w:val="none"/>
          <w:u w:val="single"/>
        </w:rPr>
      </w:pPr>
      <w:r>
        <w:rPr>
          <w:rFonts w:hint="eastAsia"/>
          <w:color w:val="auto"/>
          <w:sz w:val="24"/>
          <w:highlight w:val="none"/>
        </w:rPr>
        <w:t>见证方：</w:t>
      </w:r>
      <w:r>
        <w:rPr>
          <w:rFonts w:hint="eastAsia" w:eastAsia="楷体_GB2312"/>
          <w:b/>
          <w:color w:val="auto"/>
          <w:sz w:val="24"/>
          <w:highlight w:val="none"/>
          <w:u w:val="single"/>
        </w:rPr>
        <w:t>杭州市滨江区城市管理局</w:t>
      </w:r>
    </w:p>
    <w:p>
      <w:pPr>
        <w:snapToGrid w:val="0"/>
        <w:spacing w:line="440" w:lineRule="exact"/>
        <w:jc w:val="left"/>
        <w:rPr>
          <w:color w:val="auto"/>
          <w:sz w:val="24"/>
          <w:highlight w:val="none"/>
          <w:u w:val="single"/>
        </w:rPr>
      </w:pPr>
      <w:r>
        <w:rPr>
          <w:rFonts w:hint="eastAsia"/>
          <w:color w:val="auto"/>
          <w:sz w:val="24"/>
          <w:highlight w:val="none"/>
        </w:rPr>
        <w:t>承包方（乙方）：</w:t>
      </w:r>
      <w:r>
        <w:rPr>
          <w:rFonts w:hint="eastAsia"/>
          <w:color w:val="auto"/>
          <w:sz w:val="24"/>
          <w:highlight w:val="none"/>
          <w:u w:val="single"/>
        </w:rPr>
        <w:t xml:space="preserve">                         </w:t>
      </w:r>
    </w:p>
    <w:p>
      <w:pPr>
        <w:snapToGrid w:val="0"/>
        <w:spacing w:line="360" w:lineRule="auto"/>
        <w:ind w:left="480" w:hanging="480" w:hangingChars="200"/>
        <w:rPr>
          <w:rFonts w:ascii="宋体" w:hAnsi="宋体"/>
          <w:color w:val="auto"/>
          <w:sz w:val="24"/>
          <w:highlight w:val="none"/>
        </w:rPr>
      </w:pPr>
    </w:p>
    <w:p>
      <w:pPr>
        <w:spacing w:line="360" w:lineRule="auto"/>
        <w:ind w:left="-28" w:firstLine="480"/>
        <w:rPr>
          <w:rFonts w:ascii="宋体" w:hAnsi="宋体"/>
          <w:color w:val="auto"/>
          <w:sz w:val="24"/>
          <w:highlight w:val="none"/>
        </w:rPr>
      </w:pPr>
      <w:r>
        <w:rPr>
          <w:rFonts w:hint="eastAsia" w:ascii="宋体" w:hAnsi="宋体"/>
          <w:color w:val="auto"/>
          <w:sz w:val="24"/>
          <w:highlight w:val="none"/>
        </w:rPr>
        <w:t>根据对</w:t>
      </w:r>
      <w:r>
        <w:rPr>
          <w:rFonts w:hint="eastAsia" w:ascii="宋体" w:hAnsi="宋体"/>
          <w:color w:val="auto"/>
          <w:sz w:val="24"/>
          <w:highlight w:val="none"/>
          <w:u w:val="single"/>
        </w:rPr>
        <w:t xml:space="preserve">              </w:t>
      </w:r>
      <w:r>
        <w:rPr>
          <w:rFonts w:hint="eastAsia" w:ascii="宋体" w:hAnsi="宋体"/>
          <w:color w:val="auto"/>
          <w:sz w:val="24"/>
          <w:highlight w:val="none"/>
        </w:rPr>
        <w:t>依法进行公开招投标的结果，甲方根据区交警大队提供的智能交通系统维护及更新设施清单委托乙方维护管理该工程。依照《民法典》及双方招标文件、招标补充文件、投标文件，为了明确双方责任，经双方协商一致，签订本合同。</w:t>
      </w:r>
    </w:p>
    <w:p>
      <w:pPr>
        <w:numPr>
          <w:ilvl w:val="0"/>
          <w:numId w:val="1"/>
        </w:numPr>
        <w:spacing w:line="360" w:lineRule="auto"/>
        <w:rPr>
          <w:rFonts w:ascii="宋体" w:hAnsi="宋体"/>
          <w:color w:val="auto"/>
          <w:sz w:val="24"/>
          <w:highlight w:val="none"/>
        </w:rPr>
      </w:pPr>
      <w:r>
        <w:rPr>
          <w:rFonts w:hint="eastAsia" w:ascii="宋体" w:hAnsi="宋体"/>
          <w:color w:val="auto"/>
          <w:sz w:val="24"/>
          <w:highlight w:val="none"/>
        </w:rPr>
        <w:t>维护范围及内容：</w:t>
      </w:r>
    </w:p>
    <w:p>
      <w:pPr>
        <w:spacing w:line="360" w:lineRule="auto"/>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、滨江区范围内已建成的所有智能交通系统设施的日常巡查、维护及现有未开启的智能交通设施的维修更新及根据大队工作需要的智能交通设施的改造、更新；智能系统的功能提升、改造和调整</w:t>
      </w:r>
      <w:r>
        <w:rPr>
          <w:rFonts w:ascii="宋体" w:hAnsi="宋体"/>
          <w:color w:val="auto"/>
          <w:sz w:val="24"/>
          <w:highlight w:val="none"/>
        </w:rPr>
        <w:t>(</w:t>
      </w:r>
      <w:r>
        <w:rPr>
          <w:rFonts w:hint="eastAsia" w:ascii="宋体" w:hAnsi="宋体"/>
          <w:color w:val="auto"/>
          <w:sz w:val="24"/>
          <w:highlight w:val="none"/>
        </w:rPr>
        <w:t>包括平台的功能调整和外场设备的位置调整等</w:t>
      </w:r>
      <w:r>
        <w:rPr>
          <w:rFonts w:ascii="宋体" w:hAnsi="宋体"/>
          <w:color w:val="auto"/>
          <w:sz w:val="24"/>
          <w:highlight w:val="none"/>
        </w:rPr>
        <w:t>)</w:t>
      </w:r>
      <w:r>
        <w:rPr>
          <w:rFonts w:hint="eastAsia" w:ascii="宋体" w:hAnsi="宋体"/>
          <w:color w:val="auto"/>
          <w:sz w:val="24"/>
          <w:highlight w:val="none"/>
        </w:rPr>
        <w:t>等。保证维护范围内所有智能交通系统设施的完整、工作正常、及时排除因智能交通设施问题而产生的所有安全隐患。</w:t>
      </w:r>
    </w:p>
    <w:p>
      <w:pPr>
        <w:spacing w:line="360" w:lineRule="auto"/>
        <w:ind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日常主要巡查、维护内容为：每日需车辆上路对辖区所有智能交通设施巡查、维护,及时排除故障，对智能交通设施整修、拆除、移位、更换、线路故障、电气故障（如漏电等情况）排除；遇灾害天气，应提前加固外场设备，确保外场设备安全。保证设备</w:t>
      </w:r>
      <w:r>
        <w:rPr>
          <w:rFonts w:ascii="宋体" w:hAnsi="宋体"/>
          <w:color w:val="auto"/>
          <w:sz w:val="24"/>
          <w:highlight w:val="none"/>
        </w:rPr>
        <w:t>100%</w:t>
      </w:r>
      <w:r>
        <w:rPr>
          <w:rFonts w:hint="eastAsia" w:ascii="宋体" w:hAnsi="宋体"/>
          <w:color w:val="auto"/>
          <w:sz w:val="24"/>
          <w:highlight w:val="none"/>
        </w:rPr>
        <w:t>的正常工作率和设施的清洁。</w:t>
      </w:r>
    </w:p>
    <w:p>
      <w:pPr>
        <w:spacing w:line="360" w:lineRule="auto"/>
        <w:ind w:firstLine="480"/>
        <w:rPr>
          <w:rFonts w:ascii="宋体" w:hAnsi="宋体"/>
          <w:color w:val="auto"/>
          <w:sz w:val="24"/>
          <w:highlight w:val="none"/>
        </w:rPr>
      </w:pPr>
      <w:r>
        <w:rPr>
          <w:rFonts w:hint="eastAsia" w:ascii="宋体" w:hAnsi="宋体"/>
          <w:color w:val="auto"/>
          <w:sz w:val="24"/>
          <w:highlight w:val="none"/>
        </w:rPr>
        <w:t>具体为：</w:t>
      </w:r>
    </w:p>
    <w:p>
      <w:pPr>
        <w:spacing w:line="360" w:lineRule="auto"/>
        <w:ind w:firstLine="480"/>
        <w:rPr>
          <w:rFonts w:ascii="宋体" w:hAnsi="宋体" w:cs="Courier New"/>
          <w:color w:val="auto"/>
          <w:sz w:val="24"/>
          <w:highlight w:val="none"/>
        </w:rPr>
      </w:pPr>
      <w:r>
        <w:rPr>
          <w:rFonts w:hint="eastAsia" w:ascii="宋体" w:hAnsi="宋体" w:cs="Courier New"/>
          <w:color w:val="auto"/>
          <w:sz w:val="24"/>
          <w:highlight w:val="none"/>
        </w:rPr>
        <w:t>（一）：维护项目</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77</w:t>
      </w:r>
      <w:r>
        <w:rPr>
          <w:rFonts w:hint="eastAsia" w:ascii="宋体" w:hAnsi="宋体"/>
          <w:color w:val="auto"/>
          <w:sz w:val="24"/>
          <w:highlight w:val="none"/>
        </w:rPr>
        <w:t xml:space="preserve">个路口的信号控制系统； </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）5</w:t>
      </w:r>
      <w:r>
        <w:rPr>
          <w:rFonts w:ascii="宋体" w:hAnsi="宋体"/>
          <w:color w:val="auto"/>
          <w:sz w:val="24"/>
          <w:highlight w:val="none"/>
        </w:rPr>
        <w:t>49</w:t>
      </w:r>
      <w:r>
        <w:rPr>
          <w:rFonts w:hint="eastAsia" w:ascii="宋体" w:hAnsi="宋体"/>
          <w:color w:val="auto"/>
          <w:sz w:val="24"/>
          <w:highlight w:val="none"/>
        </w:rPr>
        <w:t>个监控点的交通监视系统；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89</w:t>
      </w:r>
      <w:r>
        <w:rPr>
          <w:rFonts w:hint="eastAsia" w:ascii="宋体" w:hAnsi="宋体"/>
          <w:color w:val="auto"/>
          <w:sz w:val="24"/>
          <w:highlight w:val="none"/>
        </w:rPr>
        <w:t>个高点交通监视系统；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184</w:t>
      </w:r>
      <w:r>
        <w:rPr>
          <w:rFonts w:hint="eastAsia" w:ascii="宋体" w:hAnsi="宋体"/>
          <w:color w:val="auto"/>
          <w:sz w:val="24"/>
          <w:highlight w:val="none"/>
        </w:rPr>
        <w:t>个点位高清电子警察系统；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）22块交通诱导系统；</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28</w:t>
      </w:r>
      <w:r>
        <w:rPr>
          <w:rFonts w:hint="eastAsia" w:ascii="宋体" w:hAnsi="宋体"/>
          <w:color w:val="auto"/>
          <w:sz w:val="24"/>
          <w:highlight w:val="none"/>
        </w:rPr>
        <w:t>个路口的可变车道牌维护；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（7）滨江区交警大队中心机房维护；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（8）滨江区交警大队配电房维护；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（9）滨江区交警集成平台维护；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（10）滨江区交警视频管理平台维护；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1）滨江区交通信号控制平台维护；</w:t>
      </w:r>
    </w:p>
    <w:p>
      <w:pPr>
        <w:spacing w:line="360" w:lineRule="auto"/>
        <w:ind w:firstLine="480"/>
        <w:rPr>
          <w:rFonts w:ascii="宋体" w:hAnsi="宋体"/>
          <w:color w:val="auto"/>
          <w:sz w:val="24"/>
          <w:highlight w:val="none"/>
        </w:rPr>
      </w:pPr>
      <w:r>
        <w:rPr>
          <w:rFonts w:hint="eastAsia" w:ascii="宋体" w:hAnsi="宋体"/>
          <w:color w:val="auto"/>
          <w:sz w:val="24"/>
          <w:highlight w:val="none"/>
        </w:rPr>
        <w:t>（12）滨江大队主页维护。</w:t>
      </w:r>
    </w:p>
    <w:p>
      <w:pPr>
        <w:spacing w:line="360" w:lineRule="auto"/>
        <w:ind w:firstLine="480"/>
        <w:rPr>
          <w:rFonts w:ascii="宋体" w:hAnsi="宋体"/>
          <w:b/>
          <w:color w:val="auto"/>
          <w:sz w:val="24"/>
          <w:highlight w:val="none"/>
        </w:rPr>
      </w:pPr>
      <w:r>
        <w:rPr>
          <w:rFonts w:hint="eastAsia" w:ascii="宋体" w:hAnsi="宋体"/>
          <w:b/>
          <w:color w:val="auto"/>
          <w:sz w:val="24"/>
          <w:highlight w:val="none"/>
        </w:rPr>
        <w:t>需安排会电脑操作的交警大队驻点人员11名：具体职责见下表：</w:t>
      </w:r>
    </w:p>
    <w:tbl>
      <w:tblPr>
        <w:tblStyle w:val="62"/>
        <w:tblW w:w="8631" w:type="dxa"/>
        <w:tblInd w:w="0" w:type="dxa"/>
        <w:tblLayout w:type="fixed"/>
        <w:tblCellMar>
          <w:top w:w="0" w:type="dxa"/>
          <w:left w:w="0" w:type="dxa"/>
          <w:bottom w:w="0" w:type="dxa"/>
          <w:right w:w="0" w:type="dxa"/>
        </w:tblCellMar>
      </w:tblPr>
      <w:tblGrid>
        <w:gridCol w:w="771"/>
        <w:gridCol w:w="4280"/>
        <w:gridCol w:w="1066"/>
        <w:gridCol w:w="2514"/>
      </w:tblGrid>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序号</w:t>
            </w:r>
          </w:p>
        </w:tc>
        <w:tc>
          <w:tcPr>
            <w:tcW w:w="428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工作职责</w:t>
            </w:r>
          </w:p>
        </w:tc>
        <w:tc>
          <w:tcPr>
            <w:tcW w:w="106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责任人员</w:t>
            </w:r>
          </w:p>
        </w:tc>
        <w:tc>
          <w:tcPr>
            <w:tcW w:w="251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备注</w:t>
            </w:r>
          </w:p>
        </w:tc>
      </w:tr>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专职信号配时工程师 （信号控制策略研究制定、方案设置、优化调整、修改）</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本科及以上学历</w:t>
            </w:r>
          </w:p>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（交通工程及相关专业）</w:t>
            </w:r>
          </w:p>
        </w:tc>
      </w:tr>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专职信号配时员 负责辖区信号灯调控</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大专以上学历</w:t>
            </w:r>
          </w:p>
        </w:tc>
      </w:tr>
      <w:tr>
        <w:tblPrEx>
          <w:tblCellMar>
            <w:top w:w="0" w:type="dxa"/>
            <w:left w:w="0" w:type="dxa"/>
            <w:bottom w:w="0" w:type="dxa"/>
            <w:right w:w="0" w:type="dxa"/>
          </w:tblCellMar>
        </w:tblPrEx>
        <w:trPr>
          <w:trHeight w:val="1611"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机房巡检、维护（出入登记工作，内部环境整理，机房内部服务器、存储、矩阵、交换机、硬盘录像机、光端机等硬件设备的巡检及维护，保障中心机房出口网络，大型活动设备搭建调试及通讯保障）</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1163"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集成平台、信号控制平台、视频平台、主页等平台维护</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1268"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数据分析（如KPI考核等按要求计算每周各事项指标量，以文档形式提供）、相关解决方案制定</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686"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数字城管（指定时限内处理，且做到及时回复）</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r>
        <w:tblPrEx>
          <w:tblCellMar>
            <w:top w:w="0" w:type="dxa"/>
            <w:left w:w="0" w:type="dxa"/>
            <w:bottom w:w="0" w:type="dxa"/>
            <w:right w:w="0" w:type="dxa"/>
          </w:tblCellMar>
        </w:tblPrEx>
        <w:trPr>
          <w:trHeight w:val="1310" w:hRule="atLeast"/>
        </w:trPr>
        <w:tc>
          <w:tcPr>
            <w:tcW w:w="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7</w:t>
            </w:r>
          </w:p>
        </w:tc>
        <w:tc>
          <w:tcPr>
            <w:tcW w:w="4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设备排查及任务单申报（配合外场巡查故障设备，提交任务单跟进设备修复进度，制成台账）、监理日报、运维通回复</w:t>
            </w:r>
          </w:p>
        </w:tc>
        <w:tc>
          <w:tcPr>
            <w:tcW w:w="1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1人</w:t>
            </w:r>
          </w:p>
        </w:tc>
        <w:tc>
          <w:tcPr>
            <w:tcW w:w="25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lang w:bidi="ar"/>
              </w:rPr>
              <w:t>本科及以上学历</w:t>
            </w:r>
          </w:p>
        </w:tc>
      </w:tr>
    </w:tbl>
    <w:p>
      <w:pPr>
        <w:spacing w:line="360" w:lineRule="auto"/>
        <w:ind w:firstLine="480"/>
        <w:rPr>
          <w:rFonts w:ascii="宋体" w:hAnsi="宋体"/>
          <w:color w:val="auto"/>
          <w:sz w:val="24"/>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二、合同价：</w:t>
      </w:r>
    </w:p>
    <w:p>
      <w:pPr>
        <w:spacing w:line="360" w:lineRule="auto"/>
        <w:ind w:firstLine="480"/>
        <w:rPr>
          <w:rFonts w:ascii="宋体" w:hAnsi="宋体"/>
          <w:color w:val="auto"/>
          <w:sz w:val="24"/>
          <w:highlight w:val="none"/>
        </w:rPr>
      </w:pPr>
      <w:r>
        <w:rPr>
          <w:rFonts w:hint="eastAsia" w:ascii="宋体" w:hAnsi="宋体"/>
          <w:color w:val="auto"/>
          <w:sz w:val="24"/>
          <w:highlight w:val="none"/>
        </w:rPr>
        <w:t>（一）年度维护费</w:t>
      </w:r>
    </w:p>
    <w:p>
      <w:pPr>
        <w:spacing w:line="360" w:lineRule="auto"/>
        <w:ind w:firstLine="480"/>
        <w:rPr>
          <w:rFonts w:ascii="宋体" w:hAnsi="宋体"/>
          <w:color w:val="auto"/>
          <w:sz w:val="24"/>
          <w:highlight w:val="none"/>
        </w:rPr>
      </w:pPr>
      <w:r>
        <w:rPr>
          <w:rFonts w:hint="eastAsia" w:ascii="宋体" w:hAnsi="宋体"/>
          <w:color w:val="auto"/>
          <w:sz w:val="24"/>
          <w:highlight w:val="none"/>
        </w:rPr>
        <w:t>根据甲方招标文件及乙方投标书承诺内容，该项目维护期</w:t>
      </w:r>
      <w:r>
        <w:rPr>
          <w:rFonts w:hint="eastAsia" w:ascii="宋体" w:hAnsi="宋体"/>
          <w:color w:val="auto"/>
          <w:sz w:val="24"/>
          <w:highlight w:val="none"/>
          <w:u w:val="single"/>
        </w:rPr>
        <w:t xml:space="preserve">            </w:t>
      </w:r>
      <w:r>
        <w:rPr>
          <w:rFonts w:hint="eastAsia" w:ascii="宋体" w:hAnsi="宋体"/>
          <w:color w:val="auto"/>
          <w:sz w:val="24"/>
          <w:highlight w:val="none"/>
        </w:rPr>
        <w:t>，中标价大写</w:t>
      </w:r>
      <w:r>
        <w:rPr>
          <w:rFonts w:hint="eastAsia" w:ascii="宋体" w:hAnsi="宋体"/>
          <w:color w:val="auto"/>
          <w:sz w:val="24"/>
          <w:highlight w:val="none"/>
          <w:u w:val="single"/>
        </w:rPr>
        <w:t xml:space="preserve">          (￥    ) </w:t>
      </w:r>
      <w:r>
        <w:rPr>
          <w:rFonts w:hint="eastAsia" w:ascii="宋体" w:hAnsi="宋体"/>
          <w:color w:val="auto"/>
          <w:sz w:val="24"/>
          <w:highlight w:val="none"/>
        </w:rPr>
        <w:t>。维护经费由1、2两部分相加组成。</w:t>
      </w:r>
    </w:p>
    <w:p>
      <w:pPr>
        <w:spacing w:line="360" w:lineRule="auto"/>
        <w:ind w:firstLine="480"/>
        <w:rPr>
          <w:rFonts w:ascii="宋体" w:hAnsi="宋体"/>
          <w:color w:val="auto"/>
          <w:sz w:val="24"/>
          <w:highlight w:val="none"/>
        </w:rPr>
      </w:pPr>
      <w:r>
        <w:rPr>
          <w:rFonts w:hint="eastAsia" w:ascii="宋体" w:hAnsi="宋体"/>
          <w:color w:val="auto"/>
          <w:sz w:val="24"/>
          <w:highlight w:val="none"/>
        </w:rPr>
        <w:t>1、日常维护费。日常维护费为：大写</w:t>
      </w:r>
      <w:r>
        <w:rPr>
          <w:rFonts w:hint="eastAsia" w:ascii="宋体" w:hAnsi="宋体"/>
          <w:color w:val="auto"/>
          <w:sz w:val="24"/>
          <w:highlight w:val="none"/>
          <w:u w:val="single"/>
        </w:rPr>
        <w:t xml:space="preserve">          (￥    ) </w:t>
      </w:r>
      <w:r>
        <w:rPr>
          <w:rFonts w:hint="eastAsia" w:ascii="宋体" w:hAnsi="宋体"/>
          <w:color w:val="auto"/>
          <w:sz w:val="24"/>
          <w:highlight w:val="none"/>
        </w:rPr>
        <w:t>。</w:t>
      </w:r>
    </w:p>
    <w:p>
      <w:pPr>
        <w:spacing w:line="360" w:lineRule="auto"/>
        <w:ind w:firstLine="480"/>
        <w:rPr>
          <w:rFonts w:ascii="宋体" w:hAnsi="宋体"/>
          <w:color w:val="auto"/>
          <w:sz w:val="24"/>
          <w:highlight w:val="none"/>
        </w:rPr>
      </w:pPr>
      <w:r>
        <w:rPr>
          <w:rFonts w:hint="eastAsia" w:ascii="宋体" w:hAnsi="宋体"/>
          <w:color w:val="auto"/>
          <w:sz w:val="24"/>
          <w:highlight w:val="none"/>
        </w:rPr>
        <w:t>日常维护费用按每月考核情况，每季度（平均）付款一次。</w:t>
      </w:r>
    </w:p>
    <w:p>
      <w:pPr>
        <w:spacing w:line="360" w:lineRule="auto"/>
        <w:ind w:firstLine="480"/>
        <w:rPr>
          <w:rFonts w:ascii="宋体" w:hAnsi="宋体"/>
          <w:color w:val="auto"/>
          <w:sz w:val="24"/>
          <w:highlight w:val="none"/>
        </w:rPr>
      </w:pPr>
      <w:r>
        <w:rPr>
          <w:rFonts w:hint="eastAsia" w:ascii="宋体" w:hAnsi="宋体"/>
          <w:color w:val="auto"/>
          <w:sz w:val="24"/>
          <w:highlight w:val="none"/>
        </w:rPr>
        <w:t>2、应急抢修、设施改造、更新发生的费用按实际发生数，每季度经滨江交警大队及监理单位审核后结算。应急抢修、更新、改造材料价按中标单价结算（材料清单附后）。</w:t>
      </w:r>
    </w:p>
    <w:p>
      <w:pPr>
        <w:spacing w:line="360" w:lineRule="auto"/>
        <w:ind w:firstLine="480"/>
        <w:rPr>
          <w:rFonts w:ascii="宋体" w:hAnsi="宋体"/>
          <w:color w:val="auto"/>
          <w:sz w:val="24"/>
          <w:highlight w:val="none"/>
        </w:rPr>
      </w:pPr>
      <w:r>
        <w:rPr>
          <w:rFonts w:hint="eastAsia" w:ascii="宋体" w:hAnsi="宋体"/>
          <w:color w:val="auto"/>
          <w:sz w:val="24"/>
          <w:highlight w:val="none"/>
        </w:rPr>
        <w:t>三、维护期限：</w:t>
      </w:r>
    </w:p>
    <w:p>
      <w:pPr>
        <w:spacing w:line="360" w:lineRule="auto"/>
        <w:ind w:firstLine="480"/>
        <w:rPr>
          <w:rFonts w:ascii="宋体" w:hAnsi="宋体"/>
          <w:color w:val="auto"/>
          <w:sz w:val="24"/>
          <w:highlight w:val="none"/>
        </w:rPr>
      </w:pPr>
      <w:r>
        <w:rPr>
          <w:rFonts w:hint="eastAsia" w:ascii="宋体" w:hAnsi="宋体"/>
          <w:color w:val="auto"/>
          <w:sz w:val="24"/>
          <w:highlight w:val="none"/>
        </w:rPr>
        <w:t>合同期为自2023年</w:t>
      </w:r>
      <w:r>
        <w:rPr>
          <w:rFonts w:ascii="宋体" w:hAnsi="宋体"/>
          <w:color w:val="auto"/>
          <w:sz w:val="24"/>
          <w:highlight w:val="none"/>
        </w:rPr>
        <w:t>1</w:t>
      </w:r>
      <w:r>
        <w:rPr>
          <w:rFonts w:hint="eastAsia" w:ascii="宋体" w:hAnsi="宋体"/>
          <w:color w:val="auto"/>
          <w:sz w:val="24"/>
          <w:highlight w:val="none"/>
        </w:rPr>
        <w:t>月1日至2024年12月31日止。滨江交警大队对承包方考核满意后可继续执行第二年合同（月度考核无任何一个月低于95分为考核满意）。考核不满意第二年发包方有权重新招标。</w:t>
      </w:r>
    </w:p>
    <w:p>
      <w:pPr>
        <w:spacing w:line="360" w:lineRule="auto"/>
        <w:ind w:left="941" w:leftChars="285" w:hanging="343" w:hangingChars="143"/>
        <w:rPr>
          <w:rFonts w:ascii="宋体" w:hAnsi="宋体"/>
          <w:color w:val="auto"/>
          <w:sz w:val="24"/>
          <w:highlight w:val="none"/>
        </w:rPr>
      </w:pPr>
      <w:r>
        <w:rPr>
          <w:rFonts w:hint="eastAsia" w:ascii="宋体" w:hAnsi="宋体"/>
          <w:color w:val="auto"/>
          <w:sz w:val="24"/>
          <w:highlight w:val="none"/>
        </w:rPr>
        <w:t>四、维护人员组成</w:t>
      </w:r>
    </w:p>
    <w:p>
      <w:pPr>
        <w:spacing w:line="360" w:lineRule="auto"/>
        <w:ind w:firstLine="480"/>
        <w:rPr>
          <w:rFonts w:ascii="宋体" w:hAnsi="宋体"/>
          <w:color w:val="auto"/>
          <w:sz w:val="24"/>
          <w:highlight w:val="none"/>
        </w:rPr>
      </w:pPr>
      <w:r>
        <w:rPr>
          <w:rFonts w:hint="eastAsia" w:ascii="宋体" w:hAnsi="宋体"/>
          <w:color w:val="auto"/>
          <w:sz w:val="24"/>
          <w:highlight w:val="none"/>
        </w:rPr>
        <w:t>项目管理班子配备名单需到甲方备案。其中项目负责人未经甲方允许，不得擅自变更。维护过程中专业操作人员及有特殊要求的岗位，应持证上岗。</w:t>
      </w:r>
    </w:p>
    <w:tbl>
      <w:tblPr>
        <w:tblStyle w:val="62"/>
        <w:tblpPr w:leftFromText="180" w:rightFromText="180" w:vertAnchor="text" w:horzAnchor="margin" w:tblpXSpec="center" w:tblpY="7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620"/>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宋体" w:hAnsi="宋体"/>
                <w:color w:val="auto"/>
                <w:sz w:val="24"/>
                <w:highlight w:val="none"/>
              </w:rPr>
            </w:pPr>
            <w:r>
              <w:rPr>
                <w:rFonts w:hint="eastAsia" w:ascii="宋体" w:hAnsi="宋体"/>
                <w:color w:val="auto"/>
                <w:sz w:val="24"/>
                <w:highlight w:val="none"/>
              </w:rPr>
              <w:t xml:space="preserve">  人员组成</w:t>
            </w:r>
          </w:p>
        </w:tc>
        <w:tc>
          <w:tcPr>
            <w:tcW w:w="1620" w:type="dxa"/>
          </w:tcPr>
          <w:p>
            <w:pPr>
              <w:spacing w:line="360" w:lineRule="auto"/>
              <w:rPr>
                <w:rFonts w:ascii="宋体" w:hAnsi="宋体"/>
                <w:color w:val="auto"/>
                <w:sz w:val="24"/>
                <w:highlight w:val="none"/>
              </w:rPr>
            </w:pPr>
            <w:r>
              <w:rPr>
                <w:rFonts w:hint="eastAsia" w:ascii="宋体" w:hAnsi="宋体"/>
                <w:color w:val="auto"/>
                <w:sz w:val="24"/>
                <w:highlight w:val="none"/>
              </w:rPr>
              <w:t xml:space="preserve">  姓名</w:t>
            </w:r>
          </w:p>
        </w:tc>
        <w:tc>
          <w:tcPr>
            <w:tcW w:w="1980" w:type="dxa"/>
          </w:tcPr>
          <w:p>
            <w:pPr>
              <w:spacing w:line="360" w:lineRule="auto"/>
              <w:rPr>
                <w:rFonts w:ascii="宋体" w:hAnsi="宋体"/>
                <w:color w:val="auto"/>
                <w:sz w:val="24"/>
                <w:highlight w:val="none"/>
              </w:rPr>
            </w:pPr>
            <w:r>
              <w:rPr>
                <w:rFonts w:hint="eastAsia" w:ascii="宋体" w:hAnsi="宋体"/>
                <w:color w:val="auto"/>
                <w:sz w:val="24"/>
                <w:highlight w:val="none"/>
              </w:rPr>
              <w:t>技术职称</w:t>
            </w:r>
          </w:p>
        </w:tc>
        <w:tc>
          <w:tcPr>
            <w:tcW w:w="2160" w:type="dxa"/>
          </w:tcPr>
          <w:p>
            <w:pPr>
              <w:spacing w:line="360" w:lineRule="auto"/>
              <w:rPr>
                <w:rFonts w:ascii="宋体" w:hAnsi="宋体"/>
                <w:color w:val="auto"/>
                <w:sz w:val="24"/>
                <w:highlight w:val="none"/>
              </w:rPr>
            </w:pPr>
            <w:r>
              <w:rPr>
                <w:rFonts w:hint="eastAsia" w:ascii="宋体" w:hAnsi="宋体"/>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宋体" w:hAnsi="宋体"/>
                <w:color w:val="auto"/>
                <w:sz w:val="24"/>
                <w:highlight w:val="none"/>
              </w:rPr>
            </w:pPr>
          </w:p>
        </w:tc>
        <w:tc>
          <w:tcPr>
            <w:tcW w:w="1620" w:type="dxa"/>
          </w:tcPr>
          <w:p>
            <w:pPr>
              <w:spacing w:line="360" w:lineRule="auto"/>
              <w:rPr>
                <w:rFonts w:ascii="宋体" w:hAnsi="宋体"/>
                <w:color w:val="auto"/>
                <w:sz w:val="24"/>
                <w:highlight w:val="none"/>
              </w:rPr>
            </w:pPr>
          </w:p>
        </w:tc>
        <w:tc>
          <w:tcPr>
            <w:tcW w:w="1980" w:type="dxa"/>
          </w:tcPr>
          <w:p>
            <w:pPr>
              <w:spacing w:line="360" w:lineRule="auto"/>
              <w:rPr>
                <w:rFonts w:ascii="宋体" w:hAnsi="宋体"/>
                <w:color w:val="auto"/>
                <w:sz w:val="24"/>
                <w:highlight w:val="none"/>
              </w:rPr>
            </w:pPr>
          </w:p>
        </w:tc>
        <w:tc>
          <w:tcPr>
            <w:tcW w:w="2160"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宋体" w:hAnsi="宋体"/>
                <w:color w:val="auto"/>
                <w:sz w:val="24"/>
                <w:highlight w:val="none"/>
              </w:rPr>
            </w:pPr>
          </w:p>
        </w:tc>
        <w:tc>
          <w:tcPr>
            <w:tcW w:w="1620" w:type="dxa"/>
          </w:tcPr>
          <w:p>
            <w:pPr>
              <w:spacing w:line="360" w:lineRule="auto"/>
              <w:rPr>
                <w:rFonts w:ascii="宋体" w:hAnsi="宋体"/>
                <w:color w:val="auto"/>
                <w:sz w:val="24"/>
                <w:highlight w:val="none"/>
              </w:rPr>
            </w:pPr>
          </w:p>
        </w:tc>
        <w:tc>
          <w:tcPr>
            <w:tcW w:w="1980" w:type="dxa"/>
          </w:tcPr>
          <w:p>
            <w:pPr>
              <w:spacing w:line="360" w:lineRule="auto"/>
              <w:rPr>
                <w:rFonts w:ascii="宋体" w:hAnsi="宋体"/>
                <w:color w:val="auto"/>
                <w:sz w:val="24"/>
                <w:highlight w:val="none"/>
              </w:rPr>
            </w:pPr>
          </w:p>
        </w:tc>
        <w:tc>
          <w:tcPr>
            <w:tcW w:w="2160"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spacing w:line="360" w:lineRule="auto"/>
              <w:rPr>
                <w:rFonts w:ascii="宋体" w:hAnsi="宋体"/>
                <w:color w:val="auto"/>
                <w:sz w:val="24"/>
                <w:highlight w:val="none"/>
              </w:rPr>
            </w:pPr>
          </w:p>
        </w:tc>
        <w:tc>
          <w:tcPr>
            <w:tcW w:w="1620" w:type="dxa"/>
          </w:tcPr>
          <w:p>
            <w:pPr>
              <w:spacing w:line="360" w:lineRule="auto"/>
              <w:rPr>
                <w:rFonts w:ascii="宋体" w:hAnsi="宋体"/>
                <w:color w:val="auto"/>
                <w:sz w:val="24"/>
                <w:highlight w:val="none"/>
              </w:rPr>
            </w:pPr>
          </w:p>
        </w:tc>
        <w:tc>
          <w:tcPr>
            <w:tcW w:w="1980" w:type="dxa"/>
          </w:tcPr>
          <w:p>
            <w:pPr>
              <w:spacing w:line="360" w:lineRule="auto"/>
              <w:rPr>
                <w:rFonts w:ascii="宋体" w:hAnsi="宋体"/>
                <w:color w:val="auto"/>
                <w:sz w:val="24"/>
                <w:highlight w:val="none"/>
              </w:rPr>
            </w:pPr>
          </w:p>
        </w:tc>
        <w:tc>
          <w:tcPr>
            <w:tcW w:w="2160" w:type="dxa"/>
          </w:tcPr>
          <w:p>
            <w:pPr>
              <w:spacing w:line="360" w:lineRule="auto"/>
              <w:rPr>
                <w:rFonts w:ascii="宋体" w:hAnsi="宋体"/>
                <w:color w:val="auto"/>
                <w:sz w:val="24"/>
                <w:highlight w:val="none"/>
              </w:rPr>
            </w:pPr>
          </w:p>
        </w:tc>
      </w:tr>
    </w:tbl>
    <w:p>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该项目维护人员组成： </w:t>
      </w:r>
    </w:p>
    <w:p>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   五、机械设备</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rPr>
                <w:rFonts w:ascii="宋体" w:hAnsi="宋体"/>
                <w:color w:val="auto"/>
                <w:sz w:val="24"/>
                <w:highlight w:val="none"/>
              </w:rPr>
            </w:pPr>
            <w:r>
              <w:rPr>
                <w:rFonts w:hint="eastAsia" w:ascii="宋体" w:hAnsi="宋体"/>
                <w:color w:val="auto"/>
                <w:sz w:val="24"/>
                <w:highlight w:val="none"/>
              </w:rPr>
              <w:t>设备名称</w:t>
            </w:r>
          </w:p>
        </w:tc>
        <w:tc>
          <w:tcPr>
            <w:tcW w:w="1620" w:type="dxa"/>
          </w:tcPr>
          <w:p>
            <w:pPr>
              <w:spacing w:line="360" w:lineRule="auto"/>
              <w:rPr>
                <w:rFonts w:ascii="宋体" w:hAnsi="宋体"/>
                <w:color w:val="auto"/>
                <w:sz w:val="24"/>
                <w:highlight w:val="none"/>
              </w:rPr>
            </w:pPr>
            <w:r>
              <w:rPr>
                <w:rFonts w:hint="eastAsia" w:ascii="宋体" w:hAnsi="宋体"/>
                <w:color w:val="auto"/>
                <w:sz w:val="24"/>
                <w:highlight w:val="none"/>
              </w:rPr>
              <w:t>数量</w:t>
            </w:r>
          </w:p>
        </w:tc>
        <w:tc>
          <w:tcPr>
            <w:tcW w:w="4500" w:type="dxa"/>
          </w:tcPr>
          <w:p>
            <w:pPr>
              <w:spacing w:line="360" w:lineRule="auto"/>
              <w:rPr>
                <w:rFonts w:ascii="宋体" w:hAnsi="宋体"/>
                <w:color w:val="auto"/>
                <w:sz w:val="24"/>
                <w:highlight w:val="none"/>
              </w:rPr>
            </w:pPr>
            <w:r>
              <w:rPr>
                <w:rFonts w:hint="eastAsia" w:ascii="宋体" w:hAnsi="宋体"/>
                <w:color w:val="auto"/>
                <w:sz w:val="24"/>
                <w:highlight w:val="none"/>
              </w:rPr>
              <w:t>品牌、型号、主要技术参数、机动车牌号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rPr>
                <w:rFonts w:ascii="宋体" w:hAnsi="宋体"/>
                <w:color w:val="auto"/>
                <w:sz w:val="24"/>
                <w:highlight w:val="none"/>
              </w:rPr>
            </w:pPr>
          </w:p>
        </w:tc>
        <w:tc>
          <w:tcPr>
            <w:tcW w:w="1620" w:type="dxa"/>
          </w:tcPr>
          <w:p>
            <w:pPr>
              <w:spacing w:line="360" w:lineRule="auto"/>
              <w:rPr>
                <w:rFonts w:ascii="宋体" w:hAnsi="宋体"/>
                <w:color w:val="auto"/>
                <w:sz w:val="24"/>
                <w:highlight w:val="none"/>
              </w:rPr>
            </w:pPr>
          </w:p>
        </w:tc>
        <w:tc>
          <w:tcPr>
            <w:tcW w:w="4500"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spacing w:line="360" w:lineRule="auto"/>
              <w:rPr>
                <w:rFonts w:ascii="宋体" w:hAnsi="宋体"/>
                <w:color w:val="auto"/>
                <w:sz w:val="24"/>
                <w:highlight w:val="none"/>
              </w:rPr>
            </w:pPr>
          </w:p>
        </w:tc>
        <w:tc>
          <w:tcPr>
            <w:tcW w:w="1620" w:type="dxa"/>
          </w:tcPr>
          <w:p>
            <w:pPr>
              <w:spacing w:line="360" w:lineRule="auto"/>
              <w:rPr>
                <w:rFonts w:ascii="宋体" w:hAnsi="宋体"/>
                <w:color w:val="auto"/>
                <w:sz w:val="24"/>
                <w:highlight w:val="none"/>
              </w:rPr>
            </w:pPr>
          </w:p>
        </w:tc>
        <w:tc>
          <w:tcPr>
            <w:tcW w:w="4500" w:type="dxa"/>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spacing w:line="360" w:lineRule="auto"/>
              <w:rPr>
                <w:rFonts w:ascii="宋体" w:hAnsi="宋体"/>
                <w:color w:val="auto"/>
                <w:sz w:val="24"/>
                <w:highlight w:val="none"/>
              </w:rPr>
            </w:pPr>
          </w:p>
        </w:tc>
        <w:tc>
          <w:tcPr>
            <w:tcW w:w="1620" w:type="dxa"/>
          </w:tcPr>
          <w:p>
            <w:pPr>
              <w:spacing w:line="360" w:lineRule="auto"/>
              <w:rPr>
                <w:rFonts w:ascii="宋体" w:hAnsi="宋体"/>
                <w:color w:val="auto"/>
                <w:sz w:val="24"/>
                <w:highlight w:val="none"/>
              </w:rPr>
            </w:pPr>
          </w:p>
        </w:tc>
        <w:tc>
          <w:tcPr>
            <w:tcW w:w="4500" w:type="dxa"/>
          </w:tcPr>
          <w:p>
            <w:pPr>
              <w:spacing w:line="360" w:lineRule="auto"/>
              <w:rPr>
                <w:rFonts w:ascii="宋体" w:hAnsi="宋体"/>
                <w:color w:val="auto"/>
                <w:sz w:val="24"/>
                <w:highlight w:val="none"/>
              </w:rPr>
            </w:pPr>
          </w:p>
        </w:tc>
      </w:tr>
    </w:tbl>
    <w:p>
      <w:pPr>
        <w:spacing w:line="360" w:lineRule="auto"/>
        <w:ind w:firstLine="480"/>
        <w:rPr>
          <w:rFonts w:ascii="宋体" w:hAnsi="宋体"/>
          <w:color w:val="auto"/>
          <w:sz w:val="24"/>
          <w:highlight w:val="none"/>
        </w:rPr>
      </w:pPr>
      <w:r>
        <w:rPr>
          <w:rFonts w:hint="eastAsia" w:ascii="宋体" w:hAnsi="宋体"/>
          <w:color w:val="auto"/>
          <w:sz w:val="24"/>
          <w:highlight w:val="none"/>
        </w:rPr>
        <w:t>六、甲方职责</w:t>
      </w:r>
    </w:p>
    <w:p>
      <w:pPr>
        <w:spacing w:line="360" w:lineRule="auto"/>
        <w:ind w:firstLine="480"/>
        <w:rPr>
          <w:rFonts w:ascii="宋体" w:hAnsi="宋体"/>
          <w:color w:val="auto"/>
          <w:sz w:val="24"/>
          <w:highlight w:val="none"/>
        </w:rPr>
      </w:pPr>
      <w:r>
        <w:rPr>
          <w:rFonts w:hint="eastAsia" w:ascii="宋体" w:hAnsi="宋体"/>
          <w:color w:val="auto"/>
          <w:sz w:val="24"/>
          <w:highlight w:val="none"/>
        </w:rPr>
        <w:t>1、及时对智能交通设施维护计划、措施、维护质量与安全进行监督管理。</w:t>
      </w:r>
    </w:p>
    <w:p>
      <w:pPr>
        <w:spacing w:line="360" w:lineRule="auto"/>
        <w:ind w:firstLine="480"/>
        <w:rPr>
          <w:rFonts w:ascii="宋体" w:hAnsi="宋体"/>
          <w:color w:val="auto"/>
          <w:sz w:val="24"/>
          <w:highlight w:val="none"/>
        </w:rPr>
      </w:pPr>
      <w:r>
        <w:rPr>
          <w:rFonts w:hint="eastAsia" w:ascii="宋体" w:hAnsi="宋体"/>
          <w:color w:val="auto"/>
          <w:sz w:val="24"/>
          <w:highlight w:val="none"/>
        </w:rPr>
        <w:t>2、负责与相关部门的协调工作。</w:t>
      </w:r>
    </w:p>
    <w:p>
      <w:pPr>
        <w:spacing w:line="360" w:lineRule="auto"/>
        <w:ind w:firstLine="480"/>
        <w:rPr>
          <w:rFonts w:ascii="宋体" w:hAnsi="宋体"/>
          <w:color w:val="auto"/>
          <w:sz w:val="24"/>
          <w:highlight w:val="none"/>
        </w:rPr>
      </w:pPr>
      <w:r>
        <w:rPr>
          <w:rFonts w:hint="eastAsia" w:ascii="宋体" w:hAnsi="宋体"/>
          <w:color w:val="auto"/>
          <w:sz w:val="24"/>
          <w:highlight w:val="none"/>
        </w:rPr>
        <w:t>3、按合同规定按时支付乙方维护经费。</w:t>
      </w:r>
    </w:p>
    <w:p>
      <w:pPr>
        <w:spacing w:line="360" w:lineRule="auto"/>
        <w:ind w:firstLine="480"/>
        <w:rPr>
          <w:rFonts w:ascii="宋体" w:hAnsi="宋体"/>
          <w:color w:val="auto"/>
          <w:sz w:val="24"/>
          <w:highlight w:val="none"/>
        </w:rPr>
      </w:pPr>
      <w:r>
        <w:rPr>
          <w:rFonts w:hint="eastAsia" w:ascii="宋体" w:hAnsi="宋体"/>
          <w:color w:val="auto"/>
          <w:sz w:val="24"/>
          <w:highlight w:val="none"/>
        </w:rPr>
        <w:t>七、维护管理、施工质量要求及乙方职责</w:t>
      </w:r>
    </w:p>
    <w:p>
      <w:pPr>
        <w:spacing w:line="360" w:lineRule="auto"/>
        <w:ind w:firstLine="480"/>
        <w:rPr>
          <w:rFonts w:ascii="宋体" w:hAnsi="宋体"/>
          <w:color w:val="auto"/>
          <w:sz w:val="24"/>
          <w:highlight w:val="none"/>
        </w:rPr>
      </w:pPr>
      <w:r>
        <w:rPr>
          <w:rFonts w:hint="eastAsia" w:ascii="宋体" w:hAnsi="宋体"/>
          <w:color w:val="auto"/>
          <w:sz w:val="24"/>
          <w:highlight w:val="none"/>
        </w:rPr>
        <w:t>（一）、总体要求：</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（一）、总体要求：</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维护、施工质量符合合同条款、本次招投标技术规范要求及《滨江区道路交通安全设施维护考核办法》（详附件）、《滨江交警大队机房及UPS配电房管理手册》、JTJ001—97《公路工程技术标准》、GAT652—2008《公安交通管理外场设备》等现行标准。如相互间有出入，则以较严格者为准。</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2、足量提供正常维护工作必须的所有人工(包括工种)、机械设备（包括汽车台班）、主要原材料等。其中机械设备必须包括：① 登高专项作业车4辆以上；②专业万用表；③光功率测试仪。</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3、承担管辖范围内所有设施、作业人员安全和公共安全责任。维护、施工作业中，如发生交通事故，由供应商承担全部责任及由此产生的全部费用；因供应商巡查不力、维护不及时、管理不善或使用不当造成的损失或由此引发的各类伤亡事故由供应商承担全部责任并负责赔偿。</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4、不得自行增设、调整各类智能智能交通设施，如发现上述情形采购人有权终止合同，由于上述原因所造成的一切后果全部由供应商承担。</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5、接受交警大队的各项工作业务指导，及对维护工程实施的安全、质量等方面的监管和考评。确保在各类考核中不失责任分。</w:t>
      </w:r>
    </w:p>
    <w:p>
      <w:pPr>
        <w:spacing w:line="360" w:lineRule="auto"/>
        <w:ind w:firstLine="480"/>
        <w:rPr>
          <w:rFonts w:ascii="宋体" w:hAnsi="宋体"/>
          <w:color w:val="auto"/>
          <w:sz w:val="24"/>
          <w:highlight w:val="none"/>
        </w:rPr>
      </w:pPr>
      <w:r>
        <w:rPr>
          <w:rFonts w:hint="eastAsia" w:ascii="宋体" w:hAnsi="宋体"/>
          <w:color w:val="auto"/>
          <w:sz w:val="24"/>
          <w:highlight w:val="none"/>
        </w:rPr>
        <w:t>6、设备维护前后需拍照，并将照片存档。</w:t>
      </w:r>
    </w:p>
    <w:p>
      <w:pPr>
        <w:spacing w:line="360" w:lineRule="auto"/>
        <w:ind w:firstLine="480"/>
        <w:rPr>
          <w:rFonts w:ascii="宋体" w:hAnsi="宋体"/>
          <w:color w:val="auto"/>
          <w:sz w:val="24"/>
          <w:highlight w:val="none"/>
        </w:rPr>
      </w:pPr>
      <w:r>
        <w:rPr>
          <w:rFonts w:hint="eastAsia" w:ascii="宋体" w:hAnsi="宋体"/>
          <w:color w:val="auto"/>
          <w:sz w:val="24"/>
          <w:highlight w:val="none"/>
        </w:rPr>
        <w:t>（二）、维护管理工程：</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日常主要巡查、维护内容为：每日需车辆上路对辖区所有智能交通设施巡查、维护及时排除故障，对智能交通设施整修、拆除、移位、更换、线路故障、电气故障（如漏电等问题）排除。每月一次对全部外场设备进行保洁。</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确保维护点7×24小时正常运行，每天有不少于3辆车上路巡查，路口点每周至少巡检一次，发现不安全因素和隐患及时排除。对维护范围内全部智能交通设施至少每季度检查1次，对检查中发现不安全因素和隐患及时排除。建立巡检台帐，供业主随时检查。巡检内容为：</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检查信号灯灯控模块运行情况。</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检查各方向灯的运行情况，是否存在缺亮。</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检查监控的实时图像。</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检查电警违法数据有效性。</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检查外场设备的完整性、牢固性、设备线路的安全性及设备用电安全（是否有漏电等问题），消除人为或自然原因影响安全和功能使用的隐患。</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清洁设备，保证外场设备安全、整洁、干净。</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统计遮挡物，如树枝等遮挡设备的情况，及时清理。</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3、每年重要节假日（“五一”、“十一”等）、大型活动期间，特定巡检、维修、维护、清洁、保养。</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4、遇灾害天气，应提前检查加固外场设备，确保外场设备的安全。因灾害天气造成的损失及由此造成的一切后果，全部由供应商承担。</w:t>
      </w:r>
    </w:p>
    <w:p>
      <w:pPr>
        <w:spacing w:line="360" w:lineRule="auto"/>
        <w:ind w:firstLine="480"/>
        <w:rPr>
          <w:rFonts w:ascii="宋体" w:hAnsi="宋体"/>
          <w:color w:val="auto"/>
          <w:sz w:val="24"/>
          <w:highlight w:val="none"/>
        </w:rPr>
      </w:pPr>
      <w:r>
        <w:rPr>
          <w:rFonts w:hint="eastAsia" w:ascii="宋体" w:hAnsi="宋体"/>
          <w:color w:val="auto"/>
          <w:sz w:val="24"/>
          <w:highlight w:val="none"/>
        </w:rPr>
        <w:t>5、维护滨江大队指挥室控制软件。受业主单位项目责任人管理，配合业主单位对智能交通系统及设备检查检测，系统参数调整；配合项目责任人开展业务培训。。</w:t>
      </w:r>
    </w:p>
    <w:p>
      <w:pPr>
        <w:spacing w:line="360" w:lineRule="auto"/>
        <w:ind w:firstLine="480"/>
        <w:rPr>
          <w:rFonts w:ascii="宋体" w:hAnsi="宋体"/>
          <w:color w:val="auto"/>
          <w:sz w:val="24"/>
          <w:highlight w:val="none"/>
        </w:rPr>
      </w:pPr>
      <w:r>
        <w:rPr>
          <w:rFonts w:hint="eastAsia" w:ascii="宋体" w:hAnsi="宋体"/>
          <w:color w:val="auto"/>
          <w:sz w:val="24"/>
          <w:highlight w:val="none"/>
        </w:rPr>
        <w:t>（三）、维修更新工程：</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建立接报记录档案，接到大队建设通知时，服从大队工作的进程安排，及时进场并保证工期；严格按大队要求，根据提供的智能交通设施图纸、合同条款、技术规范、工程量清单和材料等的要求进行施工，确保施工质量；并无条件承担任何质量缺陷修复工作。</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一般更新内容，根据滨江交警交通组织优化及设施维护系下发的联系单施工，任务完成后，在联系单上按照要求填写完成任务所需的来料等相关费用，需经大队验收并在联系单上签字、录入滨江交警交通组织优化及设施维护系统审核后生效。</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3、供应商必须设立7×24小时服务专用电话，并配备相应的人员、车辆及必要的维护工具，遇到突发事件或紧急情况（例如：接到市、区二级指挥室的应急抢修任务），接受滨江大队的维修指令，抢修各种原因引起的故障（包括：①系统本身故障；②系统因受到外力（如车辆碰撞、偷盗等）影响造成故障）30分钟内到场。供应商在完成任务后1个工作日内录入滨江交警交通组织优化及设施维护系统审核。</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4、一般维修任务4小时内完成，特殊情况须报大队并取得同意后采用先应急后修复的方式。因供应商原因，未能按大队任务单要求及时维护更新相关智能交通设施而造成的各类事故由供应商承担全部责任并负责赔偿。</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5、维修、更新工程中所有涉及的主要原材料均必须提供检测报告或质量保证单、购买发票，否则视为伪劣产品，使用该类产品所导致的一切后果，全部由供应商承担。</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6、供应商在施工前应先制定完善的施工方案，尽可能减小因施工对道路通行带来的影响。施工时应服从现场民警的管理及指挥。大队在巡查过程中发现不符合国家有关标准的，有权责令供应商返工，供应商必须无条件执行，直至工程合格，由此造成损失由供应商承担。</w:t>
      </w:r>
    </w:p>
    <w:p>
      <w:pPr>
        <w:spacing w:line="360" w:lineRule="auto"/>
        <w:ind w:firstLine="480"/>
        <w:rPr>
          <w:rFonts w:ascii="宋体" w:hAnsi="宋体"/>
          <w:color w:val="auto"/>
          <w:sz w:val="24"/>
          <w:highlight w:val="none"/>
        </w:rPr>
      </w:pPr>
      <w:r>
        <w:rPr>
          <w:rFonts w:hint="eastAsia" w:ascii="宋体" w:hAnsi="宋体"/>
          <w:color w:val="auto"/>
          <w:sz w:val="24"/>
          <w:highlight w:val="none"/>
        </w:rPr>
        <w:t>7、建立工程施工的质量保证体系，做到施工场地安全文明生产，确保施工过程中施工场地、人员、车辆、机械设备、原材料等充足、安全。</w:t>
      </w:r>
    </w:p>
    <w:p>
      <w:pPr>
        <w:spacing w:line="360" w:lineRule="auto"/>
        <w:ind w:firstLine="480"/>
        <w:rPr>
          <w:rFonts w:ascii="宋体" w:hAnsi="宋体"/>
          <w:color w:val="auto"/>
          <w:sz w:val="24"/>
          <w:highlight w:val="none"/>
        </w:rPr>
      </w:pPr>
      <w:r>
        <w:rPr>
          <w:rFonts w:hint="eastAsia" w:ascii="宋体" w:hAnsi="宋体"/>
          <w:color w:val="auto"/>
          <w:sz w:val="24"/>
          <w:highlight w:val="none"/>
        </w:rPr>
        <w:t>（四）、其他</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1、协助调查、解决来电来访等信访反映的维护问题。</w:t>
      </w:r>
    </w:p>
    <w:p>
      <w:pPr>
        <w:spacing w:line="360" w:lineRule="auto"/>
        <w:ind w:left="-29" w:firstLine="480"/>
        <w:rPr>
          <w:rFonts w:ascii="宋体" w:hAnsi="宋体"/>
          <w:color w:val="auto"/>
          <w:sz w:val="24"/>
          <w:highlight w:val="none"/>
        </w:rPr>
      </w:pPr>
      <w:r>
        <w:rPr>
          <w:rFonts w:hint="eastAsia" w:ascii="宋体" w:hAnsi="宋体"/>
          <w:color w:val="auto"/>
          <w:sz w:val="24"/>
          <w:highlight w:val="none"/>
        </w:rPr>
        <w:t>2、日常维护工作必须遵守区数字城管相关制度规定。</w:t>
      </w:r>
    </w:p>
    <w:p>
      <w:pPr>
        <w:spacing w:line="360" w:lineRule="auto"/>
        <w:ind w:firstLine="480"/>
        <w:rPr>
          <w:rFonts w:ascii="宋体" w:hAnsi="宋体"/>
          <w:color w:val="auto"/>
          <w:sz w:val="24"/>
          <w:highlight w:val="none"/>
        </w:rPr>
      </w:pPr>
      <w:r>
        <w:rPr>
          <w:rFonts w:hint="eastAsia" w:ascii="宋体" w:hAnsi="宋体"/>
          <w:color w:val="auto"/>
          <w:sz w:val="24"/>
          <w:highlight w:val="none"/>
        </w:rPr>
        <w:t>八、合同签订、经费付款办法</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1、承包人应按合同要求自行组织实施、完成本项目，不得将本项目转让（转包）给他人。</w:t>
      </w:r>
    </w:p>
    <w:p>
      <w:pPr>
        <w:spacing w:line="360" w:lineRule="auto"/>
        <w:ind w:firstLine="480"/>
        <w:jc w:val="left"/>
        <w:rPr>
          <w:rFonts w:ascii="宋体" w:hAnsi="宋体"/>
          <w:b/>
          <w:color w:val="auto"/>
          <w:sz w:val="24"/>
          <w:highlight w:val="none"/>
        </w:rPr>
      </w:pPr>
      <w:r>
        <w:rPr>
          <w:rFonts w:hint="eastAsia" w:ascii="宋体" w:hAnsi="宋体"/>
          <w:color w:val="auto"/>
          <w:sz w:val="24"/>
          <w:highlight w:val="none"/>
        </w:rPr>
        <w:t>2、维护管理按照《</w:t>
      </w:r>
      <w:r>
        <w:rPr>
          <w:rFonts w:hint="eastAsia" w:ascii="宋体" w:hAnsi="宋体" w:cs="宋体"/>
          <w:color w:val="auto"/>
          <w:kern w:val="0"/>
          <w:sz w:val="24"/>
          <w:highlight w:val="none"/>
        </w:rPr>
        <w:t>滨江区道路交通安全设施维护工程考核办法》及《</w:t>
      </w:r>
      <w:r>
        <w:rPr>
          <w:rFonts w:hint="eastAsia" w:ascii="宋体" w:hAnsi="宋体"/>
          <w:color w:val="auto"/>
          <w:sz w:val="24"/>
          <w:highlight w:val="none"/>
        </w:rPr>
        <w:t>滨江交警大队机房及UPS配电房管理手册</w:t>
      </w:r>
      <w:r>
        <w:rPr>
          <w:rFonts w:hint="eastAsia" w:ascii="宋体" w:hAnsi="宋体" w:cs="宋体"/>
          <w:color w:val="auto"/>
          <w:kern w:val="0"/>
          <w:sz w:val="24"/>
          <w:highlight w:val="none"/>
        </w:rPr>
        <w:t>》考核，</w:t>
      </w:r>
      <w:r>
        <w:rPr>
          <w:rFonts w:hint="eastAsia" w:ascii="宋体" w:hAnsi="宋体"/>
          <w:color w:val="auto"/>
          <w:sz w:val="24"/>
          <w:highlight w:val="none"/>
        </w:rPr>
        <w:t>实行百分制考评，维护费根据签订的合同费用，按每月考核情况，按照实际工程量原则上每季发放一次。得分在95分（含95分）以上，可计取当月维护费；得分在90分—85分（含85分）按所得分百分比支付维护费，得分在85分以下，扣除当月维护费的一半；每月考核连续2次得分在85分以下，终止维护合同。基础维护等费用按每月考核情况，每季度按照实际工程量和滨江交警大队考核情况付款一次。</w:t>
      </w:r>
    </w:p>
    <w:p>
      <w:pPr>
        <w:spacing w:line="360" w:lineRule="auto"/>
        <w:ind w:firstLine="480"/>
        <w:rPr>
          <w:rFonts w:ascii="宋体" w:hAnsi="宋体"/>
          <w:color w:val="auto"/>
          <w:sz w:val="24"/>
          <w:highlight w:val="none"/>
        </w:rPr>
      </w:pPr>
      <w:r>
        <w:rPr>
          <w:rFonts w:hint="eastAsia" w:ascii="宋体" w:hAnsi="宋体"/>
          <w:color w:val="auto"/>
          <w:sz w:val="24"/>
          <w:highlight w:val="none"/>
        </w:rPr>
        <w:t>具体见《滨江区道路交通安全设施维护工程考核办法》（详附件）</w:t>
      </w:r>
    </w:p>
    <w:p>
      <w:pPr>
        <w:spacing w:line="360" w:lineRule="auto"/>
        <w:ind w:firstLine="480"/>
        <w:rPr>
          <w:rFonts w:ascii="宋体" w:hAnsi="宋体"/>
          <w:color w:val="auto"/>
          <w:sz w:val="24"/>
          <w:highlight w:val="none"/>
        </w:rPr>
      </w:pPr>
      <w:r>
        <w:rPr>
          <w:rFonts w:hint="eastAsia" w:ascii="宋体" w:hAnsi="宋体"/>
          <w:color w:val="auto"/>
          <w:sz w:val="24"/>
          <w:highlight w:val="none"/>
        </w:rPr>
        <w:t>3、应急抢修、更新、改造发生的费用按材料单价及实际发生的数量计算</w:t>
      </w:r>
      <w:r>
        <w:rPr>
          <w:rFonts w:hint="eastAsia" w:ascii="宋体" w:hAnsi="宋体"/>
          <w:color w:val="auto"/>
          <w:sz w:val="24"/>
          <w:highlight w:val="none"/>
          <w:lang w:eastAsia="zh-CN"/>
        </w:rPr>
        <w:t>。</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九、违约责任</w:t>
      </w:r>
    </w:p>
    <w:p>
      <w:pPr>
        <w:pStyle w:val="25"/>
        <w:spacing w:line="360" w:lineRule="auto"/>
        <w:ind w:left="480" w:firstLine="600" w:firstLineChars="250"/>
        <w:rPr>
          <w:color w:val="auto"/>
          <w:highlight w:val="none"/>
        </w:rPr>
      </w:pPr>
      <w:r>
        <w:rPr>
          <w:rFonts w:hint="eastAsia"/>
          <w:color w:val="auto"/>
          <w:highlight w:val="none"/>
        </w:rPr>
        <w:t>乙方在维护管理期间，出现以下情况之一，甲方有权终止合同并由乙方承担一切责任。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1、未经发包人允许，擅自将中标项目施工转让(转包)给他人。</w:t>
      </w:r>
    </w:p>
    <w:p>
      <w:pPr>
        <w:spacing w:line="360" w:lineRule="auto"/>
        <w:ind w:firstLine="480"/>
        <w:rPr>
          <w:rFonts w:ascii="宋体" w:hAnsi="宋体"/>
          <w:color w:val="auto"/>
          <w:sz w:val="24"/>
          <w:highlight w:val="none"/>
        </w:rPr>
      </w:pPr>
      <w:r>
        <w:rPr>
          <w:rFonts w:hint="eastAsia" w:ascii="宋体" w:hAnsi="宋体"/>
          <w:color w:val="auto"/>
          <w:sz w:val="24"/>
          <w:highlight w:val="none"/>
        </w:rPr>
        <w:t>2、不符合工程技术标准的；</w:t>
      </w:r>
    </w:p>
    <w:p>
      <w:pPr>
        <w:spacing w:line="360" w:lineRule="auto"/>
        <w:ind w:firstLine="480"/>
        <w:rPr>
          <w:rFonts w:ascii="宋体" w:hAnsi="宋体"/>
          <w:color w:val="auto"/>
          <w:sz w:val="24"/>
          <w:highlight w:val="none"/>
        </w:rPr>
      </w:pPr>
      <w:r>
        <w:rPr>
          <w:rFonts w:hint="eastAsia" w:ascii="宋体" w:hAnsi="宋体"/>
          <w:color w:val="auto"/>
          <w:sz w:val="24"/>
          <w:highlight w:val="none"/>
        </w:rPr>
        <w:t>3、不按图纸施工的；偷工减料的；</w:t>
      </w:r>
    </w:p>
    <w:p>
      <w:pPr>
        <w:spacing w:line="360" w:lineRule="auto"/>
        <w:ind w:firstLine="480"/>
        <w:rPr>
          <w:rFonts w:ascii="宋体" w:hAnsi="宋体"/>
          <w:color w:val="auto"/>
          <w:sz w:val="24"/>
          <w:highlight w:val="none"/>
        </w:rPr>
      </w:pPr>
      <w:r>
        <w:rPr>
          <w:rFonts w:hint="eastAsia" w:ascii="宋体" w:hAnsi="宋体"/>
          <w:color w:val="auto"/>
          <w:sz w:val="24"/>
          <w:highlight w:val="none"/>
        </w:rPr>
        <w:t>4、造成重特大事故的；或被媒体曝光造成严重影响的；</w:t>
      </w:r>
    </w:p>
    <w:p>
      <w:pPr>
        <w:spacing w:line="360" w:lineRule="auto"/>
        <w:ind w:firstLine="480"/>
        <w:rPr>
          <w:rFonts w:ascii="宋体" w:hAnsi="宋体"/>
          <w:color w:val="auto"/>
          <w:sz w:val="24"/>
          <w:highlight w:val="none"/>
        </w:rPr>
      </w:pPr>
      <w:r>
        <w:rPr>
          <w:rFonts w:hint="eastAsia" w:ascii="宋体" w:hAnsi="宋体"/>
          <w:color w:val="auto"/>
          <w:sz w:val="24"/>
          <w:highlight w:val="none"/>
        </w:rPr>
        <w:t>5、不文明、安全施工的；</w:t>
      </w:r>
    </w:p>
    <w:p>
      <w:pPr>
        <w:spacing w:line="360" w:lineRule="auto"/>
        <w:ind w:firstLine="480"/>
        <w:rPr>
          <w:rFonts w:ascii="宋体" w:hAnsi="宋体"/>
          <w:color w:val="auto"/>
          <w:sz w:val="24"/>
          <w:highlight w:val="none"/>
        </w:rPr>
      </w:pPr>
      <w:r>
        <w:rPr>
          <w:rFonts w:hint="eastAsia" w:ascii="宋体" w:hAnsi="宋体"/>
          <w:color w:val="auto"/>
          <w:sz w:val="24"/>
          <w:highlight w:val="none"/>
        </w:rPr>
        <w:t>6、不服从现场民警指挥的；</w:t>
      </w:r>
    </w:p>
    <w:p>
      <w:pPr>
        <w:spacing w:line="360" w:lineRule="auto"/>
        <w:ind w:firstLine="480"/>
        <w:rPr>
          <w:rFonts w:ascii="宋体" w:hAnsi="宋体"/>
          <w:color w:val="auto"/>
          <w:sz w:val="24"/>
          <w:highlight w:val="none"/>
        </w:rPr>
      </w:pPr>
      <w:r>
        <w:rPr>
          <w:rFonts w:hint="eastAsia" w:ascii="宋体" w:hAnsi="宋体"/>
          <w:color w:val="auto"/>
          <w:sz w:val="24"/>
          <w:highlight w:val="none"/>
        </w:rPr>
        <w:t>7、擅自增设或更改设施的；</w:t>
      </w:r>
    </w:p>
    <w:p>
      <w:pPr>
        <w:spacing w:line="360" w:lineRule="auto"/>
        <w:ind w:firstLine="480"/>
        <w:rPr>
          <w:rFonts w:ascii="宋体" w:hAnsi="宋体"/>
          <w:color w:val="auto"/>
          <w:sz w:val="24"/>
          <w:highlight w:val="none"/>
        </w:rPr>
      </w:pPr>
      <w:r>
        <w:rPr>
          <w:rFonts w:hint="eastAsia" w:ascii="宋体" w:hAnsi="宋体"/>
          <w:color w:val="auto"/>
          <w:sz w:val="24"/>
          <w:highlight w:val="none"/>
        </w:rPr>
        <w:t>8、连续2次月度考核85分以下的；</w:t>
      </w:r>
    </w:p>
    <w:p>
      <w:pPr>
        <w:spacing w:line="360" w:lineRule="auto"/>
        <w:ind w:firstLine="480"/>
        <w:rPr>
          <w:rFonts w:ascii="宋体" w:hAnsi="宋体"/>
          <w:bCs/>
          <w:color w:val="auto"/>
          <w:sz w:val="24"/>
          <w:highlight w:val="none"/>
        </w:rPr>
      </w:pPr>
      <w:r>
        <w:rPr>
          <w:rFonts w:hint="eastAsia" w:ascii="宋体" w:hAnsi="宋体"/>
          <w:bCs/>
          <w:color w:val="auto"/>
          <w:sz w:val="24"/>
          <w:highlight w:val="none"/>
        </w:rPr>
        <w:t>十、履约保证金</w:t>
      </w:r>
    </w:p>
    <w:p>
      <w:pPr>
        <w:spacing w:line="360" w:lineRule="auto"/>
        <w:ind w:left="1" w:firstLine="480"/>
        <w:rPr>
          <w:rFonts w:ascii="宋体" w:hAnsi="宋体"/>
          <w:color w:val="auto"/>
          <w:sz w:val="24"/>
          <w:highlight w:val="none"/>
        </w:rPr>
      </w:pPr>
      <w:r>
        <w:rPr>
          <w:rFonts w:hint="eastAsia" w:ascii="宋体" w:hAnsi="宋体"/>
          <w:color w:val="auto"/>
          <w:sz w:val="24"/>
          <w:highlight w:val="none"/>
        </w:rPr>
        <w:t>1、无。</w:t>
      </w:r>
    </w:p>
    <w:p>
      <w:pPr>
        <w:spacing w:line="360" w:lineRule="auto"/>
        <w:ind w:firstLine="480"/>
        <w:rPr>
          <w:rFonts w:ascii="宋体" w:hAnsi="宋体"/>
          <w:color w:val="auto"/>
          <w:sz w:val="24"/>
          <w:highlight w:val="none"/>
        </w:rPr>
      </w:pPr>
      <w:r>
        <w:rPr>
          <w:rFonts w:hint="eastAsia" w:ascii="宋体" w:hAnsi="宋体"/>
          <w:color w:val="auto"/>
          <w:sz w:val="24"/>
          <w:highlight w:val="none"/>
        </w:rPr>
        <w:t>十二、其它</w:t>
      </w:r>
    </w:p>
    <w:p>
      <w:pPr>
        <w:snapToGrid w:val="0"/>
        <w:spacing w:line="360" w:lineRule="auto"/>
        <w:ind w:firstLine="48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合同经双方法定代表人或授权代表签字并加盖单位公章</w:t>
      </w:r>
      <w:r>
        <w:rPr>
          <w:rFonts w:hint="eastAsia" w:ascii="宋体" w:hAnsi="宋体"/>
          <w:color w:val="auto"/>
          <w:sz w:val="24"/>
          <w:highlight w:val="none"/>
        </w:rPr>
        <w:t>，经招标代理公司鉴证备案后</w:t>
      </w:r>
      <w:r>
        <w:rPr>
          <w:rFonts w:ascii="宋体" w:hAnsi="宋体"/>
          <w:color w:val="auto"/>
          <w:sz w:val="24"/>
          <w:highlight w:val="none"/>
        </w:rPr>
        <w:t>生效。</w:t>
      </w:r>
    </w:p>
    <w:p>
      <w:pPr>
        <w:snapToGrid w:val="0"/>
        <w:spacing w:line="360" w:lineRule="auto"/>
        <w:ind w:firstLine="48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.如发生合同以外的材料，按市场价及综合单价同比例优惠率结算。</w:t>
      </w:r>
    </w:p>
    <w:p>
      <w:pPr>
        <w:snapToGrid w:val="0"/>
        <w:spacing w:line="360" w:lineRule="auto"/>
        <w:ind w:left="420" w:left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本合同未尽事宜，遵照《</w:t>
      </w:r>
      <w:r>
        <w:rPr>
          <w:rFonts w:hint="eastAsia" w:ascii="宋体" w:hAnsi="宋体"/>
          <w:color w:val="auto"/>
          <w:sz w:val="24"/>
          <w:highlight w:val="none"/>
        </w:rPr>
        <w:t>民法典</w:t>
      </w:r>
      <w:r>
        <w:rPr>
          <w:rFonts w:ascii="宋体" w:hAnsi="宋体"/>
          <w:color w:val="auto"/>
          <w:sz w:val="24"/>
          <w:highlight w:val="none"/>
        </w:rPr>
        <w:t>》有关条文执行。</w:t>
      </w:r>
    </w:p>
    <w:p>
      <w:pPr>
        <w:pStyle w:val="24"/>
        <w:rPr>
          <w:rFonts w:hAnsi="宋体"/>
          <w:color w:val="auto"/>
          <w:highlight w:val="none"/>
        </w:rPr>
      </w:pPr>
      <w:r>
        <w:rPr>
          <w:rFonts w:hAnsi="宋体"/>
          <w:color w:val="auto"/>
          <w:highlight w:val="none"/>
        </w:rPr>
        <w:t>4</w:t>
      </w:r>
      <w:r>
        <w:rPr>
          <w:rFonts w:hint="eastAsia" w:hAnsi="宋体"/>
          <w:color w:val="auto"/>
          <w:highlight w:val="none"/>
        </w:rPr>
        <w:t>.</w:t>
      </w:r>
      <w:r>
        <w:rPr>
          <w:rFonts w:hAnsi="宋体"/>
          <w:color w:val="auto"/>
          <w:highlight w:val="none"/>
        </w:rPr>
        <w:t>本合同正本一式</w:t>
      </w:r>
      <w:r>
        <w:rPr>
          <w:rFonts w:hint="eastAsia" w:hAnsi="宋体"/>
          <w:color w:val="auto"/>
          <w:highlight w:val="none"/>
        </w:rPr>
        <w:t>叁</w:t>
      </w:r>
      <w:r>
        <w:rPr>
          <w:rFonts w:hAnsi="宋体"/>
          <w:color w:val="auto"/>
          <w:highlight w:val="none"/>
        </w:rPr>
        <w:t>份，具同等法律效力，</w:t>
      </w:r>
      <w:r>
        <w:rPr>
          <w:rFonts w:hint="eastAsia" w:hAnsi="宋体"/>
          <w:color w:val="auto"/>
          <w:highlight w:val="none"/>
        </w:rPr>
        <w:t>鉴证方备案一份，</w:t>
      </w:r>
      <w:r>
        <w:rPr>
          <w:rFonts w:hAnsi="宋体"/>
          <w:color w:val="auto"/>
          <w:highlight w:val="none"/>
        </w:rPr>
        <w:t>甲乙双方各执一份；副本</w:t>
      </w:r>
      <w:r>
        <w:rPr>
          <w:rFonts w:hAnsi="宋体"/>
          <w:b/>
          <w:color w:val="auto"/>
          <w:highlight w:val="none"/>
        </w:rPr>
        <w:t>△</w:t>
      </w:r>
      <w:r>
        <w:rPr>
          <w:rFonts w:hAnsi="宋体"/>
          <w:color w:val="auto"/>
          <w:highlight w:val="none"/>
        </w:rPr>
        <w:t>份，</w:t>
      </w:r>
      <w:r>
        <w:rPr>
          <w:rFonts w:hint="eastAsia" w:hAnsi="宋体"/>
          <w:color w:val="auto"/>
          <w:highlight w:val="none"/>
        </w:rPr>
        <w:t>代理机构存档一份</w:t>
      </w:r>
      <w:r>
        <w:rPr>
          <w:rFonts w:hAnsi="宋体"/>
          <w:color w:val="auto"/>
          <w:highlight w:val="none"/>
        </w:rPr>
        <w:t>(用途)。</w:t>
      </w:r>
    </w:p>
    <w:p>
      <w:pPr>
        <w:pStyle w:val="24"/>
        <w:rPr>
          <w:rFonts w:hAnsi="宋体"/>
          <w:color w:val="auto"/>
          <w:highlight w:val="none"/>
        </w:rPr>
      </w:pPr>
    </w:p>
    <w:p>
      <w:pPr>
        <w:pStyle w:val="24"/>
        <w:rPr>
          <w:rFonts w:hAnsi="宋体"/>
          <w:color w:val="auto"/>
          <w:highlight w:val="none"/>
        </w:rPr>
      </w:pPr>
    </w:p>
    <w:p>
      <w:pPr>
        <w:snapToGrid w:val="0"/>
        <w:spacing w:line="440" w:lineRule="exact"/>
        <w:jc w:val="left"/>
        <w:rPr>
          <w:color w:val="auto"/>
          <w:sz w:val="24"/>
          <w:highlight w:val="none"/>
        </w:rPr>
      </w:pPr>
    </w:p>
    <w:tbl>
      <w:tblPr>
        <w:tblStyle w:val="62"/>
        <w:tblW w:w="87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5"/>
        <w:gridCol w:w="2916"/>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6" w:hRule="atLeast"/>
          <w:jc w:val="center"/>
        </w:trPr>
        <w:tc>
          <w:tcPr>
            <w:tcW w:w="2915" w:type="dxa"/>
          </w:tcPr>
          <w:p>
            <w:pPr>
              <w:snapToGrid w:val="0"/>
              <w:spacing w:line="360" w:lineRule="auto"/>
              <w:ind w:firstLine="480"/>
              <w:jc w:val="left"/>
              <w:rPr>
                <w:color w:val="auto"/>
                <w:highlight w:val="none"/>
              </w:rPr>
            </w:pPr>
            <w:r>
              <w:rPr>
                <w:rFonts w:hint="eastAsia"/>
                <w:color w:val="auto"/>
                <w:highlight w:val="none"/>
              </w:rPr>
              <w:t>发包方</w:t>
            </w:r>
            <w:r>
              <w:rPr>
                <w:color w:val="auto"/>
                <w:highlight w:val="none"/>
              </w:rPr>
              <w:t>：</w:t>
            </w:r>
          </w:p>
          <w:p>
            <w:pPr>
              <w:snapToGrid w:val="0"/>
              <w:spacing w:line="360" w:lineRule="auto"/>
              <w:ind w:firstLine="480"/>
              <w:jc w:val="left"/>
              <w:rPr>
                <w:color w:val="auto"/>
                <w:highlight w:val="none"/>
              </w:rPr>
            </w:pPr>
          </w:p>
          <w:p>
            <w:pPr>
              <w:snapToGrid w:val="0"/>
              <w:spacing w:line="360" w:lineRule="auto"/>
              <w:ind w:firstLine="480"/>
              <w:jc w:val="left"/>
              <w:rPr>
                <w:color w:val="auto"/>
                <w:highlight w:val="none"/>
              </w:rPr>
            </w:pPr>
            <w:r>
              <w:rPr>
                <w:color w:val="auto"/>
                <w:highlight w:val="none"/>
              </w:rPr>
              <w:t>地址：</w:t>
            </w:r>
          </w:p>
          <w:p>
            <w:pPr>
              <w:snapToGrid w:val="0"/>
              <w:spacing w:line="360" w:lineRule="auto"/>
              <w:ind w:firstLine="480"/>
              <w:jc w:val="left"/>
              <w:rPr>
                <w:color w:val="auto"/>
                <w:highlight w:val="none"/>
              </w:rPr>
            </w:pPr>
            <w:r>
              <w:rPr>
                <w:color w:val="auto"/>
                <w:highlight w:val="none"/>
              </w:rPr>
              <w:t>法定</w:t>
            </w:r>
            <w:r>
              <w:rPr>
                <w:rFonts w:hint="eastAsia"/>
                <w:color w:val="auto"/>
                <w:highlight w:val="none"/>
              </w:rPr>
              <w:t>（授权）</w:t>
            </w:r>
            <w:r>
              <w:rPr>
                <w:color w:val="auto"/>
                <w:highlight w:val="none"/>
              </w:rPr>
              <w:t>代表人：</w:t>
            </w:r>
          </w:p>
          <w:p>
            <w:pPr>
              <w:snapToGrid w:val="0"/>
              <w:spacing w:line="360" w:lineRule="auto"/>
              <w:ind w:firstLine="480"/>
              <w:jc w:val="left"/>
              <w:rPr>
                <w:color w:val="auto"/>
                <w:highlight w:val="none"/>
              </w:rPr>
            </w:pPr>
          </w:p>
          <w:p>
            <w:pPr>
              <w:snapToGrid w:val="0"/>
              <w:spacing w:line="360" w:lineRule="auto"/>
              <w:jc w:val="left"/>
              <w:rPr>
                <w:color w:val="auto"/>
                <w:highlight w:val="none"/>
              </w:rPr>
            </w:pPr>
          </w:p>
          <w:p>
            <w:pPr>
              <w:snapToGrid w:val="0"/>
              <w:spacing w:line="360" w:lineRule="auto"/>
              <w:jc w:val="left"/>
              <w:rPr>
                <w:color w:val="auto"/>
                <w:highlight w:val="none"/>
              </w:rPr>
            </w:pPr>
            <w:r>
              <w:rPr>
                <w:color w:val="auto"/>
                <w:highlight w:val="none"/>
              </w:rPr>
              <w:t>签名</w:t>
            </w:r>
            <w:r>
              <w:rPr>
                <w:rFonts w:hint="eastAsia"/>
                <w:color w:val="auto"/>
                <w:highlight w:val="none"/>
              </w:rPr>
              <w:t>日期</w:t>
            </w:r>
            <w:r>
              <w:rPr>
                <w:color w:val="auto"/>
                <w:highlight w:val="none"/>
              </w:rPr>
              <w:t>：年月日</w:t>
            </w:r>
          </w:p>
        </w:tc>
        <w:tc>
          <w:tcPr>
            <w:tcW w:w="2916" w:type="dxa"/>
          </w:tcPr>
          <w:p>
            <w:pPr>
              <w:snapToGrid w:val="0"/>
              <w:spacing w:line="360" w:lineRule="auto"/>
              <w:ind w:left="420" w:hanging="420" w:hangingChars="200"/>
              <w:jc w:val="left"/>
              <w:rPr>
                <w:color w:val="auto"/>
                <w:highlight w:val="none"/>
              </w:rPr>
            </w:pPr>
            <w:r>
              <w:rPr>
                <w:rFonts w:hint="eastAsia"/>
                <w:color w:val="auto"/>
                <w:highlight w:val="none"/>
              </w:rPr>
              <w:t>见证方</w:t>
            </w:r>
            <w:r>
              <w:rPr>
                <w:color w:val="auto"/>
                <w:highlight w:val="none"/>
              </w:rPr>
              <w:t>：</w:t>
            </w:r>
          </w:p>
          <w:p>
            <w:pPr>
              <w:snapToGrid w:val="0"/>
              <w:spacing w:line="360" w:lineRule="auto"/>
              <w:ind w:firstLine="480"/>
              <w:jc w:val="left"/>
              <w:rPr>
                <w:color w:val="auto"/>
                <w:highlight w:val="none"/>
              </w:rPr>
            </w:pPr>
          </w:p>
          <w:p>
            <w:pPr>
              <w:snapToGrid w:val="0"/>
              <w:spacing w:line="360" w:lineRule="auto"/>
              <w:ind w:firstLine="480"/>
              <w:jc w:val="left"/>
              <w:rPr>
                <w:color w:val="auto"/>
                <w:highlight w:val="none"/>
              </w:rPr>
            </w:pPr>
            <w:r>
              <w:rPr>
                <w:color w:val="auto"/>
                <w:highlight w:val="none"/>
              </w:rPr>
              <w:t>地址：</w:t>
            </w:r>
          </w:p>
          <w:p>
            <w:pPr>
              <w:snapToGrid w:val="0"/>
              <w:spacing w:line="360" w:lineRule="auto"/>
              <w:ind w:firstLine="480"/>
              <w:jc w:val="left"/>
              <w:rPr>
                <w:color w:val="auto"/>
                <w:highlight w:val="none"/>
              </w:rPr>
            </w:pPr>
            <w:r>
              <w:rPr>
                <w:color w:val="auto"/>
                <w:highlight w:val="none"/>
              </w:rPr>
              <w:t>法定</w:t>
            </w:r>
            <w:r>
              <w:rPr>
                <w:rFonts w:hint="eastAsia"/>
                <w:color w:val="auto"/>
                <w:highlight w:val="none"/>
              </w:rPr>
              <w:t>（授权）</w:t>
            </w:r>
            <w:r>
              <w:rPr>
                <w:color w:val="auto"/>
                <w:highlight w:val="none"/>
              </w:rPr>
              <w:t>代表人：</w:t>
            </w:r>
          </w:p>
          <w:p>
            <w:pPr>
              <w:snapToGrid w:val="0"/>
              <w:spacing w:line="360" w:lineRule="auto"/>
              <w:jc w:val="left"/>
              <w:rPr>
                <w:color w:val="auto"/>
                <w:highlight w:val="none"/>
              </w:rPr>
            </w:pPr>
          </w:p>
          <w:p>
            <w:pPr>
              <w:pStyle w:val="24"/>
              <w:rPr>
                <w:color w:val="auto"/>
                <w:highlight w:val="none"/>
              </w:rPr>
            </w:pPr>
          </w:p>
          <w:p>
            <w:pPr>
              <w:snapToGrid w:val="0"/>
              <w:spacing w:line="360" w:lineRule="auto"/>
              <w:jc w:val="left"/>
              <w:rPr>
                <w:color w:val="auto"/>
                <w:highlight w:val="none"/>
              </w:rPr>
            </w:pPr>
            <w:r>
              <w:rPr>
                <w:color w:val="auto"/>
                <w:highlight w:val="none"/>
              </w:rPr>
              <w:t>签名日期：年月日</w:t>
            </w:r>
          </w:p>
        </w:tc>
        <w:tc>
          <w:tcPr>
            <w:tcW w:w="2942" w:type="dxa"/>
          </w:tcPr>
          <w:p>
            <w:pPr>
              <w:snapToGrid w:val="0"/>
              <w:spacing w:line="360" w:lineRule="auto"/>
              <w:ind w:firstLine="480"/>
              <w:jc w:val="left"/>
              <w:rPr>
                <w:color w:val="auto"/>
                <w:highlight w:val="none"/>
              </w:rPr>
            </w:pPr>
            <w:r>
              <w:rPr>
                <w:rFonts w:hint="eastAsia"/>
                <w:color w:val="auto"/>
                <w:highlight w:val="none"/>
              </w:rPr>
              <w:t>承包方乙方</w:t>
            </w:r>
          </w:p>
          <w:p>
            <w:pPr>
              <w:snapToGrid w:val="0"/>
              <w:spacing w:line="360" w:lineRule="auto"/>
              <w:ind w:firstLine="480"/>
              <w:jc w:val="left"/>
              <w:rPr>
                <w:color w:val="auto"/>
                <w:highlight w:val="none"/>
              </w:rPr>
            </w:pPr>
          </w:p>
          <w:p>
            <w:pPr>
              <w:snapToGrid w:val="0"/>
              <w:spacing w:line="360" w:lineRule="auto"/>
              <w:ind w:firstLine="480"/>
              <w:jc w:val="left"/>
              <w:rPr>
                <w:color w:val="auto"/>
                <w:highlight w:val="none"/>
              </w:rPr>
            </w:pPr>
            <w:r>
              <w:rPr>
                <w:color w:val="auto"/>
                <w:highlight w:val="none"/>
              </w:rPr>
              <w:t>地址：</w:t>
            </w:r>
          </w:p>
          <w:p>
            <w:pPr>
              <w:snapToGrid w:val="0"/>
              <w:spacing w:line="360" w:lineRule="auto"/>
              <w:ind w:firstLine="480"/>
              <w:jc w:val="left"/>
              <w:rPr>
                <w:color w:val="auto"/>
                <w:highlight w:val="none"/>
              </w:rPr>
            </w:pPr>
            <w:r>
              <w:rPr>
                <w:color w:val="auto"/>
                <w:highlight w:val="none"/>
              </w:rPr>
              <w:t>法定</w:t>
            </w:r>
            <w:r>
              <w:rPr>
                <w:rFonts w:hint="eastAsia"/>
                <w:color w:val="auto"/>
                <w:highlight w:val="none"/>
              </w:rPr>
              <w:t>（授权）</w:t>
            </w:r>
            <w:r>
              <w:rPr>
                <w:color w:val="auto"/>
                <w:highlight w:val="none"/>
              </w:rPr>
              <w:t>代表人：</w:t>
            </w:r>
          </w:p>
          <w:p>
            <w:pPr>
              <w:snapToGrid w:val="0"/>
              <w:spacing w:line="360" w:lineRule="auto"/>
              <w:jc w:val="left"/>
              <w:rPr>
                <w:color w:val="auto"/>
                <w:highlight w:val="none"/>
              </w:rPr>
            </w:pPr>
          </w:p>
          <w:p>
            <w:pPr>
              <w:pStyle w:val="24"/>
              <w:rPr>
                <w:color w:val="auto"/>
                <w:highlight w:val="none"/>
              </w:rPr>
            </w:pPr>
          </w:p>
          <w:p>
            <w:pPr>
              <w:snapToGrid w:val="0"/>
              <w:spacing w:line="360" w:lineRule="auto"/>
              <w:jc w:val="left"/>
              <w:rPr>
                <w:color w:val="auto"/>
                <w:highlight w:val="none"/>
              </w:rPr>
            </w:pPr>
            <w:r>
              <w:rPr>
                <w:color w:val="auto"/>
                <w:highlight w:val="none"/>
              </w:rPr>
              <w:t>签名日期：年月日</w:t>
            </w:r>
          </w:p>
        </w:tc>
      </w:tr>
    </w:tbl>
    <w:p>
      <w:pPr>
        <w:ind w:firstLine="542" w:firstLineChars="225"/>
        <w:jc w:val="left"/>
        <w:rPr>
          <w:rFonts w:ascii="宋体" w:hAnsi="宋体"/>
          <w:b/>
          <w:color w:val="auto"/>
          <w:sz w:val="24"/>
          <w:highlight w:val="none"/>
        </w:rPr>
      </w:pPr>
    </w:p>
    <w:p>
      <w:pPr>
        <w:ind w:firstLine="542" w:firstLineChars="225"/>
        <w:jc w:val="left"/>
        <w:rPr>
          <w:rFonts w:ascii="宋体" w:hAnsi="宋体"/>
          <w:b/>
          <w:color w:val="auto"/>
          <w:sz w:val="24"/>
          <w:highlight w:val="none"/>
        </w:rPr>
      </w:pPr>
    </w:p>
    <w:p>
      <w:pPr>
        <w:pStyle w:val="33"/>
        <w:snapToGrid w:val="0"/>
        <w:spacing w:before="120" w:beforeLines="50" w:line="320" w:lineRule="exact"/>
        <w:rPr>
          <w:rFonts w:hAnsi="Times New Roman" w:cs="宋体"/>
          <w:b/>
          <w:bCs/>
          <w:color w:val="auto"/>
          <w:kern w:val="44"/>
          <w:sz w:val="32"/>
          <w:szCs w:val="32"/>
          <w:highlight w:val="none"/>
          <w:u w:val="single"/>
        </w:rPr>
      </w:pPr>
    </w:p>
    <w:p>
      <w:pPr>
        <w:autoSpaceDE w:val="0"/>
        <w:autoSpaceDN w:val="0"/>
        <w:snapToGrid w:val="0"/>
        <w:spacing w:line="400" w:lineRule="exact"/>
        <w:ind w:firstLine="420"/>
        <w:rPr>
          <w:rFonts w:ascii="宋体" w:hAnsi="宋体" w:cs="宋体"/>
          <w:color w:val="auto"/>
          <w:kern w:val="0"/>
          <w:sz w:val="24"/>
          <w:highlight w:val="none"/>
          <w:lang w:val="zh-CN"/>
        </w:rPr>
      </w:pPr>
      <w:r>
        <w:rPr>
          <w:rFonts w:ascii="宋体" w:hAnsi="宋体" w:cs="宋体"/>
          <w:color w:val="auto"/>
          <w:kern w:val="0"/>
          <w:sz w:val="24"/>
          <w:highlight w:val="none"/>
          <w:lang w:val="zh-CN"/>
        </w:rPr>
        <w:t xml:space="preserve">                  </w:t>
      </w:r>
    </w:p>
    <w:p>
      <w:pPr>
        <w:jc w:val="left"/>
        <w:rPr>
          <w:rFonts w:ascii="宋体" w:hAnsi="宋体"/>
          <w:color w:val="auto"/>
          <w:highlight w:val="none"/>
        </w:rPr>
      </w:pPr>
      <w:r>
        <w:rPr>
          <w:rFonts w:ascii="宋体" w:hAnsi="宋体" w:cs="宋体"/>
          <w:color w:val="auto"/>
          <w:kern w:val="0"/>
          <w:sz w:val="24"/>
          <w:highlight w:val="none"/>
          <w:lang w:val="zh-CN"/>
        </w:rPr>
        <w:br w:type="page"/>
      </w:r>
      <w:r>
        <w:rPr>
          <w:rFonts w:hint="eastAsia" w:ascii="宋体" w:hAnsi="宋体"/>
          <w:color w:val="auto"/>
          <w:highlight w:val="none"/>
        </w:rPr>
        <w:t>附件</w:t>
      </w:r>
    </w:p>
    <w:p>
      <w:pPr>
        <w:widowControl/>
        <w:snapToGrid w:val="0"/>
        <w:spacing w:line="360" w:lineRule="auto"/>
        <w:ind w:firstLine="482"/>
        <w:jc w:val="center"/>
        <w:rPr>
          <w:rFonts w:ascii="宋体" w:hAnsi="宋体" w:cs="宋体"/>
          <w:b/>
          <w:color w:val="auto"/>
          <w:kern w:val="0"/>
          <w:sz w:val="24"/>
          <w:highlight w:val="none"/>
        </w:rPr>
      </w:pPr>
      <w:r>
        <w:rPr>
          <w:rFonts w:hint="eastAsia" w:ascii="宋体" w:hAnsi="宋体" w:cs="宋体"/>
          <w:b/>
          <w:color w:val="auto"/>
          <w:kern w:val="0"/>
          <w:sz w:val="24"/>
          <w:highlight w:val="none"/>
        </w:rPr>
        <w:t>滨江区道路交通安全设施维护工程考核办法</w:t>
      </w:r>
    </w:p>
    <w:p>
      <w:pPr>
        <w:widowControl/>
        <w:snapToGrid w:val="0"/>
        <w:spacing w:line="360" w:lineRule="auto"/>
        <w:ind w:firstLine="480"/>
        <w:jc w:val="center"/>
        <w:rPr>
          <w:rFonts w:ascii="宋体" w:hAnsi="宋体" w:cs="宋体"/>
          <w:color w:val="auto"/>
          <w:kern w:val="0"/>
          <w:sz w:val="24"/>
          <w:highlight w:val="none"/>
        </w:rPr>
      </w:pPr>
    </w:p>
    <w:p>
      <w:pPr>
        <w:widowControl/>
        <w:snapToGrid w:val="0"/>
        <w:spacing w:line="360" w:lineRule="auto"/>
        <w:ind w:firstLine="480"/>
        <w:jc w:val="center"/>
        <w:rPr>
          <w:rFonts w:ascii="宋体" w:hAnsi="宋体" w:cs="宋体"/>
          <w:color w:val="auto"/>
          <w:kern w:val="0"/>
          <w:sz w:val="24"/>
          <w:highlight w:val="none"/>
        </w:rPr>
      </w:pPr>
      <w:r>
        <w:rPr>
          <w:rFonts w:hint="eastAsia" w:ascii="宋体" w:hAnsi="宋体" w:cs="宋体"/>
          <w:color w:val="auto"/>
          <w:kern w:val="0"/>
          <w:sz w:val="24"/>
          <w:highlight w:val="none"/>
        </w:rPr>
        <w:t>第一章  总则</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第一条</w:t>
      </w:r>
      <w:r>
        <w:rPr>
          <w:rFonts w:hint="eastAsia" w:ascii="宋体" w:hAnsi="宋体" w:cs="宋体"/>
          <w:color w:val="auto"/>
          <w:kern w:val="0"/>
          <w:sz w:val="24"/>
          <w:highlight w:val="none"/>
        </w:rPr>
        <w:t xml:space="preserve">  为进一步</w:t>
      </w:r>
      <w:r>
        <w:rPr>
          <w:rFonts w:hint="eastAsia" w:ascii="宋体" w:hAnsi="宋体"/>
          <w:color w:val="auto"/>
          <w:sz w:val="24"/>
          <w:highlight w:val="none"/>
        </w:rPr>
        <w:t>规范滨江区道路交通标志、标线、隔离、警示等设施（以下统称交通设施）和交通信号灯、监控、电子警察等设施（以下统称智能交通设施）的管理维护工作，</w:t>
      </w:r>
      <w:r>
        <w:rPr>
          <w:rFonts w:hint="eastAsia" w:ascii="宋体" w:hAnsi="宋体" w:cs="宋体"/>
          <w:color w:val="auto"/>
          <w:kern w:val="0"/>
          <w:sz w:val="24"/>
          <w:highlight w:val="none"/>
        </w:rPr>
        <w:t>建立完善交通安全设施（包括智能交通设施和交通设施）维护考核监督机制，确保交通安全设施维护工程按合同履行，特制订本办法。</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第二条</w:t>
      </w:r>
      <w:r>
        <w:rPr>
          <w:rFonts w:hint="eastAsia" w:ascii="宋体" w:hAnsi="宋体" w:cs="宋体"/>
          <w:color w:val="auto"/>
          <w:kern w:val="0"/>
          <w:sz w:val="24"/>
          <w:highlight w:val="none"/>
        </w:rPr>
        <w:t xml:space="preserve">  由道管或科技民警牵头，大队分指挥室和各中队参与对维护单位维护工程的管理指导、验收考核等职责，督促维护单位履行合同规定。</w:t>
      </w:r>
    </w:p>
    <w:p>
      <w:pPr>
        <w:widowControl/>
        <w:snapToGrid w:val="0"/>
        <w:spacing w:line="360" w:lineRule="auto"/>
        <w:ind w:firstLine="480"/>
        <w:jc w:val="left"/>
        <w:rPr>
          <w:rFonts w:ascii="宋体" w:hAnsi="宋体" w:cs="宋体"/>
          <w:color w:val="auto"/>
          <w:kern w:val="0"/>
          <w:sz w:val="24"/>
          <w:highlight w:val="none"/>
        </w:rPr>
      </w:pPr>
    </w:p>
    <w:p>
      <w:pPr>
        <w:widowControl/>
        <w:snapToGrid w:val="0"/>
        <w:spacing w:line="360" w:lineRule="auto"/>
        <w:ind w:firstLine="480"/>
        <w:jc w:val="center"/>
        <w:rPr>
          <w:rFonts w:ascii="宋体" w:hAnsi="宋体" w:cs="宋体"/>
          <w:color w:val="auto"/>
          <w:kern w:val="0"/>
          <w:sz w:val="24"/>
          <w:highlight w:val="none"/>
        </w:rPr>
      </w:pPr>
      <w:r>
        <w:rPr>
          <w:rFonts w:hint="eastAsia" w:ascii="宋体" w:hAnsi="宋体" w:cs="宋体"/>
          <w:color w:val="auto"/>
          <w:kern w:val="0"/>
          <w:sz w:val="24"/>
          <w:highlight w:val="none"/>
        </w:rPr>
        <w:t>第二章  维护单位日常工作职责</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第三条</w:t>
      </w:r>
      <w:r>
        <w:rPr>
          <w:rFonts w:hint="eastAsia" w:ascii="宋体" w:hAnsi="宋体" w:cs="宋体"/>
          <w:color w:val="auto"/>
          <w:kern w:val="0"/>
          <w:sz w:val="24"/>
          <w:highlight w:val="none"/>
        </w:rPr>
        <w:t xml:space="preserve">  维护单位应按规定配备车辆、人员，每天上路巡查并做好巡查记录。同时，每天（含双休日、节假日）须落实人员接听24小时维护热线电话，落实24小时值班制度，确保值班人员、车辆到位，保持通信畅通。</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第四条</w:t>
      </w:r>
      <w:r>
        <w:rPr>
          <w:rFonts w:hint="eastAsia" w:ascii="宋体" w:hAnsi="宋体" w:cs="宋体"/>
          <w:color w:val="auto"/>
          <w:kern w:val="0"/>
          <w:sz w:val="24"/>
          <w:highlight w:val="none"/>
        </w:rPr>
        <w:t xml:space="preserve">  维护单位应定期对交通设施进行安全检查，及时消除安全隐患。</w:t>
      </w:r>
    </w:p>
    <w:p>
      <w:pPr>
        <w:spacing w:line="360" w:lineRule="auto"/>
        <w:ind w:left="-21" w:leftChars="-10" w:firstLine="482"/>
        <w:rPr>
          <w:rFonts w:ascii="宋体" w:hAnsi="宋体"/>
          <w:color w:val="auto"/>
          <w:sz w:val="24"/>
          <w:highlight w:val="none"/>
        </w:rPr>
      </w:pPr>
      <w:r>
        <w:rPr>
          <w:rFonts w:hint="eastAsia" w:ascii="宋体" w:hAnsi="宋体" w:cs="宋体"/>
          <w:b/>
          <w:color w:val="auto"/>
          <w:kern w:val="0"/>
          <w:sz w:val="24"/>
          <w:highlight w:val="none"/>
        </w:rPr>
        <w:t>第五条</w:t>
      </w:r>
      <w:r>
        <w:rPr>
          <w:rFonts w:hint="eastAsia" w:ascii="宋体" w:hAnsi="宋体" w:cs="宋体"/>
          <w:color w:val="auto"/>
          <w:kern w:val="0"/>
          <w:sz w:val="24"/>
          <w:highlight w:val="none"/>
        </w:rPr>
        <w:t xml:space="preserve">  维护单位应每周上报巡查情况，每月1日前上报月工作计划，当月进行工作小结、上报工作数据。遇节假日或重大活动需临时上报相关数据的，应在规定时限内上报。</w:t>
      </w:r>
      <w:r>
        <w:rPr>
          <w:rFonts w:hint="eastAsia" w:ascii="宋体" w:hAnsi="宋体"/>
          <w:color w:val="auto"/>
          <w:sz w:val="24"/>
          <w:highlight w:val="none"/>
        </w:rPr>
        <w:t>对维护范围内全部交通安全设施至少每季度检查1次，对检查中发现不安全因素和隐患及时排除。建立巡检台帐，供业主随时检查。</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第六条</w:t>
      </w:r>
      <w:r>
        <w:rPr>
          <w:rFonts w:hint="eastAsia" w:ascii="宋体" w:hAnsi="宋体" w:cs="宋体"/>
          <w:color w:val="auto"/>
          <w:kern w:val="0"/>
          <w:sz w:val="24"/>
          <w:highlight w:val="none"/>
        </w:rPr>
        <w:t>维护单位应按工作联系单内容、交办期限等要求保质保量完成工作，不得擅自改变施工内容和数量。工作联系单反馈应填写完整，做到费用金额准确无差错，字迹清楚无涂改。</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第七条</w:t>
      </w:r>
      <w:r>
        <w:rPr>
          <w:rFonts w:hint="eastAsia" w:ascii="宋体" w:hAnsi="宋体" w:cs="宋体"/>
          <w:color w:val="auto"/>
          <w:kern w:val="0"/>
          <w:sz w:val="24"/>
          <w:highlight w:val="none"/>
        </w:rPr>
        <w:t xml:space="preserve">  维护单位制作与安装安全交通设施的质量规格应符合合同规定。</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第八条</w:t>
      </w:r>
      <w:r>
        <w:rPr>
          <w:rFonts w:hint="eastAsia" w:ascii="宋体" w:hAnsi="宋体" w:cs="宋体"/>
          <w:color w:val="auto"/>
          <w:kern w:val="0"/>
          <w:sz w:val="24"/>
          <w:highlight w:val="none"/>
        </w:rPr>
        <w:t xml:space="preserve">  维护单位施工作业时应按规定做好安全防范措施，施工人员应按规定着装，文明施工，早晚高峰（7:00-9:00,17:00-19:00）期间除抢修任务外，不得进行其他施工作业。</w:t>
      </w:r>
    </w:p>
    <w:p>
      <w:pPr>
        <w:spacing w:line="360" w:lineRule="auto"/>
        <w:ind w:firstLine="602" w:firstLineChars="250"/>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维护单位按照滨江交警交通组织优化及设施维护管理系统要求填写维护内容，建立设施维护登记本，对中队申报情况进行登记，按照设施维护规定时间完成维护，同时每日电话通知中队维护完成情况，做好完成情况登记。</w:t>
      </w:r>
    </w:p>
    <w:p>
      <w:pPr>
        <w:widowControl/>
        <w:snapToGrid w:val="0"/>
        <w:spacing w:line="360" w:lineRule="auto"/>
        <w:ind w:firstLine="480"/>
        <w:jc w:val="center"/>
        <w:rPr>
          <w:rFonts w:ascii="宋体" w:hAnsi="宋体" w:cs="宋体"/>
          <w:color w:val="auto"/>
          <w:kern w:val="0"/>
          <w:sz w:val="24"/>
          <w:highlight w:val="none"/>
        </w:rPr>
      </w:pPr>
      <w:r>
        <w:rPr>
          <w:rFonts w:hint="eastAsia" w:ascii="宋体" w:hAnsi="宋体" w:cs="宋体"/>
          <w:color w:val="auto"/>
          <w:kern w:val="0"/>
          <w:sz w:val="24"/>
          <w:highlight w:val="none"/>
        </w:rPr>
        <w:t>第三章  考核制度</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第九条</w:t>
      </w:r>
      <w:r>
        <w:rPr>
          <w:rFonts w:hint="eastAsia" w:ascii="宋体" w:hAnsi="宋体" w:cs="宋体"/>
          <w:color w:val="auto"/>
          <w:kern w:val="0"/>
          <w:sz w:val="24"/>
          <w:highlight w:val="none"/>
        </w:rPr>
        <w:t xml:space="preserve">  对维护单位的管理考核，依据维护招标文件以及维护合同的约定进行。出现违约情况的，按照相关文件的违约责任进行处理。</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第十条</w:t>
      </w:r>
      <w:r>
        <w:rPr>
          <w:rFonts w:hint="eastAsia" w:ascii="宋体" w:hAnsi="宋体" w:cs="宋体"/>
          <w:color w:val="auto"/>
          <w:kern w:val="0"/>
          <w:sz w:val="24"/>
          <w:highlight w:val="none"/>
        </w:rPr>
        <w:t xml:space="preserve">  考核采取百分制的形式，时间为一年合同期内。得分在95分（含95分）以上，可记取当月维护费；得分在94分—85分（含85分）按所得分百分比支付维护费，得分在85分以下，扣除当月维护费的一半；每月考核连续2次在85分以下，终止维护合同，并取消下年度维护工程投标的资格；得分低于60分的单位，取消后3年的维护投标资格。</w:t>
      </w:r>
    </w:p>
    <w:p>
      <w:pPr>
        <w:widowControl/>
        <w:snapToGrid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第十一条  </w:t>
      </w:r>
      <w:r>
        <w:rPr>
          <w:rFonts w:hint="eastAsia" w:ascii="宋体" w:hAnsi="宋体" w:cs="宋体"/>
          <w:color w:val="auto"/>
          <w:kern w:val="0"/>
          <w:sz w:val="24"/>
          <w:highlight w:val="none"/>
        </w:rPr>
        <w:t>考核扣分项目：</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（一）未按规定配备车辆、人员每天上路巡查，每周巡查情况、每月工作数据及每季度检查情况未按要求上报的，驻点维护人员未到位的，第一次由公司说明情况，第二次及以上，每次扣1分。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（二）联系单填写不完整、费用出现差错或涂改、资料不全的，每起扣0.2分；办理时限超期或不按时反馈联系单的，每起扣0.1分。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（三）未按联系单办理，擅自施工或改变施工内容或数量的，第一次扣2.5分，第二次扣5分，第三次扣10分。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（四）施工中有使用不合材质要求的材料、偷工减料的，除按合同要求履约外，相应扣分。第一次扣2.5分，第二次扣5分，第三次扣10分。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（五）发生因施工质量问题引起媒体曝光，造成社会不良影响的，按第四款规定加倍处理。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（六）交办的工作不落实或拖延应付，产生不良后果的，参照第四款规定处理。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（七）联系单交办的工作未按规定时间完成的，参照第四款规定处理。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（七）24小时维护热线电话无人接听，每发生一次，扣1分；发生重大交通设施损坏导致现场无法及时处理，引起二次事故造成后果的，视情扣5—10分，除扣分外，还需承担相应法律责任。</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（八）维护区域内道路隔离带、信号灯、交通监控、电子警察等交通安全设施的破损率、数字城管案卷上报率、大队的抢修维护上报率连续2个月未下降甚至上升的，视情扣0.5—1分。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（九）施工现场不规范、施工后现场不及时清理，影响交通、引发投诉的，视情扣1-3分。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（十）施工人员着装不规范、安全措施不到位、未按规定收发“维护牌”的，每次扣0.2分。</w:t>
      </w:r>
    </w:p>
    <w:p>
      <w:pPr>
        <w:spacing w:line="360" w:lineRule="auto"/>
        <w:ind w:firstLine="600" w:firstLineChars="250"/>
        <w:rPr>
          <w:rFonts w:ascii="宋体" w:hAnsi="宋体"/>
          <w:color w:val="auto"/>
          <w:sz w:val="24"/>
          <w:highlight w:val="none"/>
        </w:rPr>
      </w:pPr>
      <w:r>
        <w:rPr>
          <w:rFonts w:hint="eastAsia" w:ascii="宋体" w:hAnsi="宋体" w:cs="宋体"/>
          <w:color w:val="auto"/>
          <w:kern w:val="0"/>
          <w:sz w:val="24"/>
          <w:highlight w:val="none"/>
        </w:rPr>
        <w:t>（十一）</w:t>
      </w:r>
      <w:r>
        <w:rPr>
          <w:rFonts w:hint="eastAsia" w:ascii="宋体" w:hAnsi="宋体"/>
          <w:color w:val="auto"/>
          <w:sz w:val="24"/>
          <w:highlight w:val="none"/>
        </w:rPr>
        <w:t>滨江交警交通组织优化及设施维护管理系统未登记或者错误登记报修内容，发现一条扣0.1分，当日维护情况未反馈相关中队，发现一次扣0.1分，造成严重后果视情扣1-3分。</w:t>
      </w:r>
    </w:p>
    <w:p>
      <w:pPr>
        <w:widowControl/>
        <w:snapToGrid w:val="0"/>
        <w:spacing w:line="360" w:lineRule="auto"/>
        <w:ind w:firstLine="480"/>
        <w:jc w:val="left"/>
        <w:rPr>
          <w:rFonts w:ascii="宋体" w:hAnsi="宋体" w:cs="宋体"/>
          <w:color w:val="auto"/>
          <w:kern w:val="0"/>
          <w:sz w:val="24"/>
          <w:highlight w:val="none"/>
        </w:rPr>
      </w:pPr>
    </w:p>
    <w:p>
      <w:pPr>
        <w:widowControl/>
        <w:snapToGrid w:val="0"/>
        <w:spacing w:line="360" w:lineRule="auto"/>
        <w:ind w:firstLine="482"/>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第十二条  </w:t>
      </w:r>
      <w:r>
        <w:rPr>
          <w:rFonts w:hint="eastAsia" w:ascii="宋体" w:hAnsi="宋体" w:cs="宋体"/>
          <w:color w:val="auto"/>
          <w:kern w:val="0"/>
          <w:sz w:val="24"/>
          <w:highlight w:val="none"/>
        </w:rPr>
        <w:t>考核加分项目：</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（一）维护区域内道路隔离带、信号灯、交通监控、电子警察等交通安全设施的破损率、数字城管案卷上报率、大队的抢修、维护上报率连续2个月下降的，加1分。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（二）日常路面巡查、维护施工等工作主动，任务完成出色，受到大队、支队领导、媒体表扬的，每次加1分。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（三）维护工作受到大队书面表扬的，每件加1分。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（四）能结合维护工作提出有价值的交通设施优化举措、改进措施等合理化建议的，每件加2分。</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（五）工作中有其它突出表现的，视情给予加分。</w:t>
      </w:r>
    </w:p>
    <w:p>
      <w:pPr>
        <w:widowControl/>
        <w:snapToGrid w:val="0"/>
        <w:spacing w:line="360" w:lineRule="auto"/>
        <w:ind w:firstLine="482"/>
        <w:jc w:val="left"/>
        <w:rPr>
          <w:rFonts w:ascii="宋体" w:hAnsi="宋体" w:cs="宋体"/>
          <w:color w:val="auto"/>
          <w:kern w:val="0"/>
          <w:sz w:val="24"/>
          <w:highlight w:val="none"/>
        </w:rPr>
      </w:pPr>
      <w:r>
        <w:rPr>
          <w:rFonts w:hint="eastAsia" w:ascii="宋体" w:hAnsi="宋体" w:cs="宋体"/>
          <w:b/>
          <w:color w:val="auto"/>
          <w:kern w:val="0"/>
          <w:sz w:val="24"/>
          <w:highlight w:val="none"/>
        </w:rPr>
        <w:t>第十三条</w:t>
      </w:r>
      <w:r>
        <w:rPr>
          <w:rFonts w:hint="eastAsia" w:ascii="宋体" w:hAnsi="宋体" w:cs="宋体"/>
          <w:color w:val="auto"/>
          <w:kern w:val="0"/>
          <w:sz w:val="24"/>
          <w:highlight w:val="none"/>
        </w:rPr>
        <w:t xml:space="preserve">  对维护单位的工作考核结果，在当月交通安全设施工作例会上进行通</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报，奖惩情况列入维护单位履行合同记录。</w:t>
      </w:r>
    </w:p>
    <w:p>
      <w:pPr>
        <w:widowControl/>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本办法由大队道管办公室负责解释，自2016年07月01日起实施。</w:t>
      </w:r>
    </w:p>
    <w:p>
      <w:pPr>
        <w:widowControl/>
        <w:snapToGrid w:val="0"/>
        <w:spacing w:line="360" w:lineRule="auto"/>
        <w:ind w:firstLine="480"/>
        <w:jc w:val="left"/>
        <w:rPr>
          <w:rFonts w:ascii="宋体" w:hAnsi="宋体" w:cs="宋体"/>
          <w:color w:val="auto"/>
          <w:kern w:val="0"/>
          <w:sz w:val="24"/>
          <w:highlight w:val="none"/>
        </w:rPr>
      </w:pPr>
    </w:p>
    <w:p>
      <w:pPr>
        <w:widowControl/>
        <w:snapToGrid w:val="0"/>
        <w:spacing w:line="360" w:lineRule="auto"/>
        <w:ind w:firstLine="480"/>
        <w:jc w:val="left"/>
        <w:rPr>
          <w:rFonts w:ascii="宋体" w:hAnsi="宋体" w:cs="宋体"/>
          <w:color w:val="auto"/>
          <w:kern w:val="0"/>
          <w:sz w:val="24"/>
          <w:highlight w:val="none"/>
        </w:rPr>
      </w:pPr>
    </w:p>
    <w:p>
      <w:pPr>
        <w:jc w:val="left"/>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附件2</w:t>
      </w:r>
    </w:p>
    <w:p>
      <w:pPr>
        <w:spacing w:before="480" w:beforeLines="200" w:line="360" w:lineRule="auto"/>
        <w:ind w:right="210" w:rightChars="100" w:firstLine="723" w:firstLineChars="200"/>
        <w:jc w:val="center"/>
        <w:rPr>
          <w:rFonts w:ascii="宋体" w:hAnsi="宋体"/>
          <w:b/>
          <w:color w:val="auto"/>
          <w:sz w:val="24"/>
          <w:highlight w:val="none"/>
        </w:rPr>
      </w:pPr>
      <w:r>
        <w:rPr>
          <w:rFonts w:hint="eastAsia" w:ascii="宋体" w:hAnsi="宋体"/>
          <w:b/>
          <w:color w:val="auto"/>
          <w:sz w:val="36"/>
          <w:szCs w:val="36"/>
          <w:highlight w:val="none"/>
        </w:rPr>
        <w:t>滨江交警大队机房及UPS间管理规范</w:t>
      </w:r>
    </w:p>
    <w:p>
      <w:pPr>
        <w:spacing w:before="480" w:beforeLines="200" w:line="360" w:lineRule="auto"/>
        <w:ind w:right="210" w:rightChars="100"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为加强大队机房及UPS间安全管理，保证信息系统正常运行，确保信息安全，大队机房及UPS间实行严格的出入控制，巡检制度，严格管理规范，具体涵盖如下内容：</w:t>
      </w:r>
    </w:p>
    <w:p>
      <w:pPr>
        <w:spacing w:before="240"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一、机房及UPS间的日常管理由大队分指挥室负责，指挥室应落实责任人及每日机房值班人员，负责对机房进行日常管理，对进出人员执行7X24小时机房访问人员身份确认工作，建立进入滨江交警大队机房登记认证和设备管理登记台账：</w:t>
      </w:r>
    </w:p>
    <w:p>
      <w:pPr>
        <w:spacing w:before="240"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二、7X24小时机房人员值守。</w:t>
      </w:r>
    </w:p>
    <w:p>
      <w:pPr>
        <w:spacing w:before="240"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三、7X24小时设备出入确认工作；</w:t>
      </w:r>
    </w:p>
    <w:p>
      <w:pPr>
        <w:spacing w:before="240"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四、大队智能交通维护公司必须定时进行机房及UPS间巡检工作，巡检内容包括机房环境，温湿度，电源柜状态，空调运行状态，UPS运行情况，视频监控，消防设备运行情况；及时排除安全隐患，消防隐患等。</w:t>
      </w:r>
    </w:p>
    <w:p>
      <w:pPr>
        <w:spacing w:before="240"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机房及UPS间设备每月必须清点一次，每周必须清扫一次，每天必须巡检一次，对空调、UPS、消防报警设备、灭火设备、监控等设备运行情况进行检查。检查后建立设备清单和检查台账，并制作成册。</w:t>
      </w:r>
    </w:p>
    <w:p>
      <w:pPr>
        <w:spacing w:before="240" w:beforeLines="100" w:line="360" w:lineRule="auto"/>
        <w:ind w:right="210" w:rightChars="100"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五、必须由指定专业人员负责装拆机业务，处理相关工作联系单；</w:t>
      </w:r>
    </w:p>
    <w:p>
      <w:pPr>
        <w:spacing w:before="100" w:beforeAutospacing="1"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为保障机房的设备安全，限制非授权人员进入，保证机房的正常运行，需遵守以下出入管理制度：</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一）：机房长期维护人员，请维护单位填写《滨江交警大队机房长期授权进入人员名单》，并加盖公章，将原件交至大队科技民警处。名单内的维护人员进入相关机房，需出示身份证或工作证并接受机房值班人员进行身份核实，并填写《滨江交警大队机房人员出入登记表》后，值班人员在机房登记认证和设备管理台账登记方可进入相关机房，并由机房值班人员全程陪同。</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二）：不包括在《滨江交警大队机房长期授权进入人员名单》内且需要临时进入相关机房的维护人员，进入机房前，由单位填写《滨江交警大队机房人员进入申请函》，加盖公章后由相关维护人员持原件（或将原件传真至值班机房），并出示有效证件（如身份证，施工证，工作证等），接受机房值班人员进行身份核实，填写《滨江交警大队机房人员出入登记表》后，方可进入相关机房。如非授权人员且未携带任何有效证件的，则由陪同的授权人员在《滨江交警大队机房人员出入登记表》备注栏中签字确认，否则机房有权拒绝其进入机房。以上进出情况必须由值班人员在机房登记认证和设备管理台账上登记。如有紧急情况需临时进入机房，进入机房前应由大队科技民警同意后，由授权人员陪同方可登记进入机房。以上进入机房过程中必须有值班人员及授权人员全程陪同。</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（三）：离开机房的人员，需于机房值班人员处，在《滨江交警大队机房人员出入登记表》相应位置填写离开时间。由值班人员在机房登记认证和设备管理台账上登记。</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四）：进入机房的设备，需要在机房值班人员处，填写《滨江交警大队机房设备出入记录》后方能进入设备，维护所用到的物品请登记《临时物品出入记录》，其余手提包，笔记本包，摄影摄像设备及临时物品请存入储物柜。由值班人员在机房登记认证和设备管理台账上登记。</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六、移出机房的设备可采取以下两种方式：</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一）设备移出机房之前，单位需填写《滨江交警大队机房设备移出申请函》，将原件提交至大队科技民警处审核同意并由其通知值班人员。移出时相关维护人员必须持原件，经值班人员确认带离者身份，设备名称，设备数量，机房位置；</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二）单位授权临时凭签名带离设备的维护人员在需紧急移出设备时，需提供移出设备清单，经大队科技民警处审核同意并由其通知值班人员，由机房值班人员确认，事后必须补办《滨江交警大队机房设备移出申请函》。所有移出机房的设备均需在值班处填写《机房设备进出记录》。</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设备进出由值班人员在机房登记认证和设备管理台账上登记。</w:t>
      </w:r>
    </w:p>
    <w:p>
      <w:pPr>
        <w:spacing w:before="240" w:beforeLines="100" w:line="480" w:lineRule="auto"/>
        <w:ind w:left="105" w:leftChars="50" w:right="105" w:rightChars="50"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如因值班人员工作疏忽导致机房设备无法正常运行、设备丢失、故障，造成后果由值班人员及责任人承担。</w:t>
      </w:r>
    </w:p>
    <w:p>
      <w:pPr>
        <w:spacing w:before="240" w:beforeLines="100" w:line="480" w:lineRule="auto"/>
        <w:ind w:left="105" w:leftChars="50" w:right="105" w:rightChars="50" w:firstLine="720" w:firstLineChars="300"/>
        <w:rPr>
          <w:rFonts w:ascii="宋体" w:hAnsi="宋体" w:cs="宋体"/>
          <w:color w:val="auto"/>
          <w:kern w:val="0"/>
          <w:sz w:val="24"/>
          <w:highlight w:val="none"/>
        </w:rPr>
      </w:pP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以下情况大队将对维护单位进行扣分，计入智能交通设施维护考核分数，按照考核规范进行考核管理。</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（一）维护单位未按时对机房及UPS间进行巡检，并进行巡检登记的，发现一次扣0.5分。</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（二）维护人员进入机房及UPS间未按规定进行登记，擅自进入机房的每起扣0.5分。</w:t>
      </w:r>
    </w:p>
    <w:p>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（三）维护人员未按规定进行登记，擅自将设备移入或移出机房及UPS间的的每起扣1分。移入或移出设备未按规定进行登记的每起扣0.5分。造成严重后果的加倍扣分，还需承担相应法律责任。</w:t>
      </w:r>
    </w:p>
    <w:p>
      <w:pPr>
        <w:spacing w:before="240" w:beforeLines="100" w:line="480" w:lineRule="auto"/>
        <w:ind w:left="105" w:leftChars="50" w:right="105" w:rightChars="50" w:firstLine="840" w:firstLineChars="300"/>
        <w:rPr>
          <w:rFonts w:ascii="宋体" w:hAnsi="宋体"/>
          <w:color w:val="auto"/>
          <w:sz w:val="28"/>
          <w:szCs w:val="28"/>
          <w:highlight w:val="none"/>
        </w:rPr>
      </w:pPr>
    </w:p>
    <w:p>
      <w:pPr>
        <w:spacing w:line="360" w:lineRule="auto"/>
        <w:ind w:left="-420" w:leftChars="-200" w:right="-420" w:rightChars="-200" w:firstLine="480" w:firstLineChars="200"/>
        <w:jc w:val="center"/>
        <w:outlineLvl w:val="0"/>
        <w:rPr>
          <w:rFonts w:ascii="仿宋_GB2312" w:hAnsi="仿宋" w:eastAsia="仿宋_GB2312"/>
          <w:color w:val="auto"/>
          <w:sz w:val="24"/>
          <w:highlight w:val="none"/>
        </w:rPr>
      </w:pPr>
    </w:p>
    <w:p>
      <w:pPr>
        <w:spacing w:line="360" w:lineRule="auto"/>
        <w:ind w:left="-420" w:leftChars="-200" w:right="-420" w:rightChars="-200" w:firstLine="480" w:firstLineChars="200"/>
        <w:jc w:val="center"/>
        <w:outlineLvl w:val="0"/>
        <w:rPr>
          <w:rFonts w:ascii="仿宋_GB2312" w:hAnsi="仿宋" w:eastAsia="仿宋_GB2312"/>
          <w:color w:val="auto"/>
          <w:sz w:val="24"/>
          <w:highlight w:val="none"/>
        </w:rPr>
      </w:pPr>
    </w:p>
    <w:p>
      <w:pPr>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br w:type="page"/>
      </w:r>
    </w:p>
    <w:p>
      <w:pPr>
        <w:spacing w:line="360" w:lineRule="auto"/>
        <w:ind w:left="720" w:firstLine="723" w:firstLineChars="200"/>
        <w:outlineLvl w:val="0"/>
        <w:rPr>
          <w:rFonts w:ascii="仿宋_GB2312" w:hAnsi="仿宋" w:eastAsia="仿宋_GB2312" w:cs="仿宋_GB2312"/>
          <w:b/>
          <w:color w:val="auto"/>
          <w:sz w:val="36"/>
          <w:szCs w:val="20"/>
          <w:highlight w:val="none"/>
        </w:rPr>
      </w:pPr>
      <w:r>
        <w:rPr>
          <w:rFonts w:hint="eastAsia" w:ascii="仿宋_GB2312" w:hAnsi="仿宋" w:eastAsia="仿宋_GB2312" w:cs="仿宋_GB2312"/>
          <w:b/>
          <w:color w:val="auto"/>
          <w:sz w:val="36"/>
          <w:szCs w:val="20"/>
          <w:highlight w:val="none"/>
        </w:rPr>
        <w:t>第六部分</w:t>
      </w:r>
      <w:bookmarkEnd w:id="398"/>
      <w:r>
        <w:rPr>
          <w:rFonts w:hint="eastAsia" w:ascii="仿宋_GB2312" w:hAnsi="仿宋" w:eastAsia="仿宋_GB2312" w:cs="仿宋_GB2312"/>
          <w:b/>
          <w:color w:val="auto"/>
          <w:sz w:val="36"/>
          <w:szCs w:val="20"/>
          <w:highlight w:val="none"/>
        </w:rPr>
        <w:t xml:space="preserve"> </w:t>
      </w:r>
      <w:bookmarkEnd w:id="399"/>
      <w:r>
        <w:rPr>
          <w:rFonts w:hint="eastAsia" w:ascii="仿宋_GB2312" w:hAnsi="仿宋" w:eastAsia="仿宋_GB2312"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（1）符合参加政府采购活动应当具备的一般条件的承诺函……………（页码）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（2）落实政府采购政策需满足的资格要求………………………………（页码）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（3）本项目的特定资格要求………………………………………………（页码）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kern w:val="0"/>
          <w:sz w:val="24"/>
          <w:highlight w:val="none"/>
        </w:rPr>
        <w:br w:type="page"/>
      </w:r>
      <w:r>
        <w:rPr>
          <w:rFonts w:hint="eastAsia" w:ascii="仿宋_GB2312" w:hAnsi="仿宋" w:eastAsia="仿宋_GB2312" w:cs="仿宋_GB2312"/>
          <w:b/>
          <w:color w:val="auto"/>
          <w:kern w:val="0"/>
          <w:sz w:val="32"/>
          <w:szCs w:val="32"/>
          <w:highlight w:val="none"/>
        </w:rPr>
        <w:t xml:space="preserve">  一、符合参加政府采购活动应当具备的一般条件的承诺函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1、具有独立承担民事责任的能力，营业执照（复印件）；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2、具有良好的商业信誉和健全的财务会计制度；</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3、具有履行合同所必需的场地、设备和专业技术能力；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w:t>
      </w:r>
      <w:r>
        <w:rPr>
          <w:rFonts w:hint="eastAsia" w:ascii="仿宋_GB2312" w:hAnsi="仿宋" w:eastAsia="仿宋_GB2312"/>
          <w:color w:val="auto"/>
          <w:sz w:val="24"/>
          <w:highlight w:val="none"/>
        </w:rPr>
        <w:t>名单</w:t>
      </w:r>
      <w:r>
        <w:rPr>
          <w:rFonts w:ascii="仿宋_GB2312" w:hAnsi="仿宋" w:eastAsia="仿宋_GB2312"/>
          <w:color w:val="auto"/>
          <w:sz w:val="24"/>
          <w:highlight w:val="none"/>
        </w:rPr>
        <w:t>、重大税收违法案件当事人名单、政府采购严重违法失信行为记录名单。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(电子签名/公章)：</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XX工作内容</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投标人名称(电子签名/公章)：</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r>
        <w:rPr>
          <w:rFonts w:hint="eastAsia" w:ascii="仿宋_GB2312" w:hAnsi="仿宋" w:eastAsia="仿宋_GB2312" w:cs="仿宋_GB2312"/>
          <w:color w:val="auto"/>
          <w:sz w:val="24"/>
          <w:highlight w:val="none"/>
        </w:rPr>
        <w:t>、报价明细清单</w:t>
      </w:r>
      <w:r>
        <w:rPr>
          <w:rFonts w:ascii="仿宋_GB2312" w:hAnsi="仿宋" w:eastAsia="仿宋_GB2312" w:cs="仿宋_GB2312"/>
          <w:color w:val="auto"/>
          <w:sz w:val="24"/>
          <w:highlight w:val="none"/>
        </w:rPr>
        <w:t>；</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4.1在收到中标通知书后，在中标通知书规定的期限内与你方签订合同；</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4.3按照招标文件要求提交履约保证金；</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4.4在合同约定的期限内完成合同规定的全部义务。</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w:t>
      </w:r>
      <w:r>
        <w:rPr>
          <w:rFonts w:ascii="仿宋_GB2312" w:hAnsi="仿宋" w:eastAsia="仿宋_GB2312" w:cs="仿宋_GB2312"/>
          <w:color w:val="auto"/>
          <w:kern w:val="0"/>
          <w:sz w:val="24"/>
          <w:highlight w:val="none"/>
          <w:lang w:val="zh-CN"/>
        </w:rPr>
        <w:t>(电子签名/公章)</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w:t>
      </w:r>
      <w:r>
        <w:rPr>
          <w:rFonts w:hint="eastAsia" w:ascii="仿宋_GB2312" w:hAnsi="仿宋" w:eastAsia="仿宋_GB2312" w:cs="仿宋_GB2312"/>
          <w:color w:val="auto"/>
          <w:kern w:val="0"/>
          <w:sz w:val="24"/>
          <w:highlight w:val="none"/>
          <w:lang w:val="zh-CN"/>
        </w:rPr>
        <w:t>(电子签名/公章)</w:t>
      </w:r>
      <w:r>
        <w:rPr>
          <w:rFonts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w:t>
      </w:r>
      <w:r>
        <w:rPr>
          <w:rFonts w:hint="eastAsia" w:ascii="仿宋_GB2312" w:hAnsi="仿宋" w:eastAsia="仿宋_GB2312" w:cs="仿宋_GB2312"/>
          <w:color w:val="auto"/>
          <w:kern w:val="0"/>
          <w:sz w:val="24"/>
          <w:highlight w:val="none"/>
          <w:lang w:val="zh-CN"/>
        </w:rPr>
        <w:t>(电子签名/公章)</w:t>
      </w:r>
      <w:r>
        <w:rPr>
          <w:rFonts w:ascii="仿宋_GB2312" w:hAnsi="仿宋" w:eastAsia="仿宋_GB2312" w:cs="仿宋_GB2312"/>
          <w:color w:val="auto"/>
          <w:kern w:val="0"/>
          <w:sz w:val="24"/>
          <w:highlight w:val="none"/>
          <w:lang w:val="zh-CN"/>
        </w:rPr>
        <w:t xml:space="preserve">：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法定代表人、单位负责人或自然人本人和受委托人</w:t>
      </w:r>
      <w:r>
        <w:rPr>
          <w:rFonts w:hint="eastAsia" w:ascii="仿宋_GB2312" w:hAnsi="仿宋" w:eastAsia="仿宋_GB2312" w:cs="仿宋_GB2312"/>
          <w:b/>
          <w:color w:val="auto"/>
          <w:sz w:val="30"/>
          <w:szCs w:val="30"/>
          <w:highlight w:val="none"/>
        </w:rPr>
        <w:t>的身份证明（适用于法定代表人、单位负责人或者自然人本人委托他人代表投标人参加投标）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委托人身份证件扫描件：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pStyle w:val="146"/>
        <w:spacing w:line="360" w:lineRule="auto"/>
        <w:rPr>
          <w:rFonts w:ascii="仿宋_GB2312" w:hAnsi="仿宋" w:eastAsia="仿宋_GB2312"/>
          <w:bCs/>
          <w:color w:val="auto"/>
          <w:sz w:val="24"/>
          <w:highlight w:val="none"/>
        </w:rPr>
      </w:pPr>
      <w:r>
        <w:rPr>
          <w:rFonts w:ascii="仿宋_GB2312" w:hAnsi="仿宋" w:eastAsia="仿宋_GB2312" w:cs="仿宋_GB2312"/>
          <w:color w:val="auto"/>
          <w:kern w:val="0"/>
          <w:sz w:val="24"/>
          <w:highlight w:val="none"/>
          <w:lang w:val="zh-CN"/>
        </w:rPr>
        <w:t>受委托人</w:t>
      </w: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投标人名称</w:t>
      </w:r>
      <w:r>
        <w:rPr>
          <w:rFonts w:hint="eastAsia" w:ascii="仿宋_GB2312" w:hAnsi="仿宋" w:eastAsia="仿宋_GB2312" w:cs="仿宋_GB2312"/>
          <w:color w:val="auto"/>
          <w:kern w:val="0"/>
          <w:sz w:val="24"/>
          <w:highlight w:val="none"/>
          <w:lang w:val="zh-CN"/>
        </w:rPr>
        <w:t>(电子签名/公章)</w:t>
      </w:r>
      <w:r>
        <w:rPr>
          <w:rFonts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日期：  年  月  日</w:t>
      </w: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授权代表根据招标文件规定及投标内容而对采购人、采购机构所作的任何合法承诺，包括书面澄清及响应等均对联合投标各方产生约束力。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30%以上</w:t>
      </w:r>
      <w:r>
        <w:rPr>
          <w:rFonts w:hint="eastAsia" w:ascii="仿宋_GB2312" w:hAnsi="仿宋" w:eastAsia="仿宋_GB2312" w:cs="仿宋_GB2312"/>
          <w:b/>
          <w:color w:val="auto"/>
          <w:kern w:val="0"/>
          <w:sz w:val="24"/>
          <w:highlight w:val="none"/>
          <w:lang w:val="zh-CN"/>
        </w:rPr>
        <w:t>，对联合体报价给予6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30%以上</w:t>
      </w:r>
      <w:r>
        <w:rPr>
          <w:rFonts w:hint="eastAsia" w:ascii="仿宋_GB2312" w:hAnsi="仿宋" w:eastAsia="仿宋_GB2312" w:cs="仿宋_GB2312"/>
          <w:b/>
          <w:color w:val="auto"/>
          <w:kern w:val="0"/>
          <w:sz w:val="24"/>
          <w:highlight w:val="none"/>
          <w:lang w:val="zh-CN"/>
        </w:rPr>
        <w:t>的，对大中型企业的报价给予6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w:t>
      </w:r>
      <w:r>
        <w:rPr>
          <w:rFonts w:hint="eastAsia" w:ascii="仿宋_GB2312" w:hAnsi="仿宋" w:eastAsia="仿宋_GB2312" w:cs="仿宋_GB2312"/>
          <w:color w:val="auto"/>
          <w:kern w:val="0"/>
          <w:sz w:val="24"/>
          <w:highlight w:val="none"/>
          <w:lang w:val="zh-CN"/>
        </w:rPr>
        <w:t>(电子签名/公章)</w:t>
      </w:r>
      <w:r>
        <w:rPr>
          <w:rFonts w:ascii="仿宋_GB2312" w:hAnsi="仿宋" w:eastAsia="仿宋_GB2312" w:cs="仿宋_GB2312"/>
          <w:color w:val="auto"/>
          <w:kern w:val="0"/>
          <w:sz w:val="24"/>
          <w:highlight w:val="none"/>
          <w:lang w:val="zh-CN"/>
        </w:rPr>
        <w:t>：</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需要使用电子签名（或公章）或者签字盖章的投标文件的组成部分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2"/>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投标人名称(电子签名/公章)：</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、报价明细清单</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5391"/>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55"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序号</w:t>
            </w:r>
          </w:p>
        </w:tc>
        <w:tc>
          <w:tcPr>
            <w:tcW w:w="5391" w:type="dxa"/>
            <w:vAlign w:val="center"/>
          </w:tcPr>
          <w:p>
            <w:pPr>
              <w:spacing w:line="360" w:lineRule="auto"/>
              <w:jc w:val="center"/>
              <w:rPr>
                <w:rFonts w:ascii="宋体" w:hAnsi="宋体" w:cs="仿宋_GB2312"/>
                <w:b/>
                <w:color w:val="auto"/>
                <w:sz w:val="24"/>
                <w:highlight w:val="none"/>
              </w:rPr>
            </w:pPr>
            <w:r>
              <w:rPr>
                <w:rFonts w:hint="eastAsia" w:ascii="宋体" w:hAnsi="宋体"/>
                <w:b/>
                <w:color w:val="auto"/>
                <w:sz w:val="24"/>
                <w:highlight w:val="none"/>
              </w:rPr>
              <w:t>名称</w:t>
            </w:r>
          </w:p>
        </w:tc>
        <w:tc>
          <w:tcPr>
            <w:tcW w:w="6113" w:type="dxa"/>
            <w:vAlign w:val="center"/>
          </w:tcPr>
          <w:p>
            <w:pPr>
              <w:spacing w:line="360" w:lineRule="auto"/>
              <w:jc w:val="center"/>
              <w:rPr>
                <w:rFonts w:ascii="宋体" w:hAnsi="宋体" w:cs="仿宋_GB2312"/>
                <w:b/>
                <w:color w:val="auto"/>
                <w:sz w:val="24"/>
                <w:highlight w:val="none"/>
              </w:rPr>
            </w:pPr>
            <w:r>
              <w:rPr>
                <w:rFonts w:hint="eastAsia" w:ascii="宋体" w:hAnsi="宋体" w:cs="宋体"/>
                <w:b/>
                <w:color w:val="auto"/>
                <w:sz w:val="24"/>
                <w:highlight w:val="none"/>
                <w:u w:val="single"/>
              </w:rPr>
              <w:t>每年度</w:t>
            </w:r>
            <w:r>
              <w:rPr>
                <w:rFonts w:hint="eastAsia" w:ascii="宋体" w:hAnsi="宋体" w:cs="宋体"/>
                <w:b/>
                <w:color w:val="auto"/>
                <w:sz w:val="24"/>
                <w:highlight w:val="none"/>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055" w:type="dxa"/>
            <w:vAlign w:val="center"/>
          </w:tcPr>
          <w:p>
            <w:pPr>
              <w:spacing w:line="360" w:lineRule="auto"/>
              <w:jc w:val="center"/>
              <w:rPr>
                <w:rFonts w:ascii="宋体" w:hAnsi="宋体"/>
                <w:color w:val="auto"/>
                <w:kern w:val="0"/>
                <w:sz w:val="24"/>
                <w:highlight w:val="none"/>
                <w:lang w:val="zh-CN"/>
              </w:rPr>
            </w:pPr>
            <w:r>
              <w:rPr>
                <w:rFonts w:hint="eastAsia" w:ascii="宋体" w:hAnsi="宋体"/>
                <w:color w:val="auto"/>
                <w:kern w:val="0"/>
                <w:sz w:val="24"/>
                <w:highlight w:val="none"/>
                <w:lang w:val="zh-CN"/>
              </w:rPr>
              <w:t>1</w:t>
            </w:r>
          </w:p>
        </w:tc>
        <w:tc>
          <w:tcPr>
            <w:tcW w:w="5391" w:type="dxa"/>
            <w:vAlign w:val="center"/>
          </w:tcPr>
          <w:p>
            <w:pPr>
              <w:jc w:val="center"/>
              <w:rPr>
                <w:rFonts w:ascii="宋体" w:hAnsi="宋体"/>
                <w:color w:val="auto"/>
                <w:kern w:val="0"/>
                <w:sz w:val="24"/>
                <w:highlight w:val="none"/>
                <w:lang w:val="zh-CN"/>
              </w:rPr>
            </w:pPr>
            <w:r>
              <w:rPr>
                <w:rFonts w:hint="eastAsia" w:ascii="宋体" w:hAnsi="宋体"/>
                <w:color w:val="auto"/>
                <w:kern w:val="0"/>
                <w:sz w:val="24"/>
                <w:highlight w:val="none"/>
              </w:rPr>
              <w:t>日常维护费</w:t>
            </w:r>
            <w:r>
              <w:rPr>
                <w:rFonts w:hint="eastAsia" w:ascii="宋体" w:hAnsi="宋体" w:eastAsia="MS Mincho" w:cs="MS Mincho"/>
                <w:color w:val="auto"/>
                <w:sz w:val="24"/>
                <w:highlight w:val="none"/>
              </w:rPr>
              <w:t>​</w:t>
            </w:r>
          </w:p>
        </w:tc>
        <w:tc>
          <w:tcPr>
            <w:tcW w:w="6113" w:type="dxa"/>
            <w:vAlign w:val="center"/>
          </w:tcPr>
          <w:p>
            <w:pPr>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55" w:type="dxa"/>
            <w:vAlign w:val="center"/>
          </w:tcPr>
          <w:p>
            <w:pPr>
              <w:spacing w:line="360" w:lineRule="auto"/>
              <w:jc w:val="center"/>
              <w:rPr>
                <w:rFonts w:ascii="宋体" w:hAnsi="宋体"/>
                <w:color w:val="auto"/>
                <w:kern w:val="0"/>
                <w:sz w:val="24"/>
                <w:highlight w:val="none"/>
                <w:lang w:val="zh-CN"/>
              </w:rPr>
            </w:pPr>
            <w:r>
              <w:rPr>
                <w:rFonts w:hint="eastAsia" w:ascii="宋体" w:hAnsi="宋体"/>
                <w:color w:val="auto"/>
                <w:kern w:val="0"/>
                <w:sz w:val="24"/>
                <w:highlight w:val="none"/>
                <w:lang w:val="zh-CN"/>
              </w:rPr>
              <w:t>2</w:t>
            </w:r>
          </w:p>
        </w:tc>
        <w:tc>
          <w:tcPr>
            <w:tcW w:w="5391" w:type="dxa"/>
            <w:vAlign w:val="center"/>
          </w:tcPr>
          <w:p>
            <w:pPr>
              <w:jc w:val="center"/>
              <w:rPr>
                <w:rFonts w:ascii="宋体" w:hAnsi="宋体"/>
                <w:color w:val="auto"/>
                <w:kern w:val="0"/>
                <w:sz w:val="24"/>
                <w:highlight w:val="none"/>
              </w:rPr>
            </w:pPr>
            <w:r>
              <w:rPr>
                <w:rFonts w:hint="eastAsia" w:ascii="宋体" w:hAnsi="宋体"/>
                <w:color w:val="auto"/>
                <w:sz w:val="24"/>
                <w:highlight w:val="none"/>
              </w:rPr>
              <w:t>系统维护相关设备（材料）费</w:t>
            </w:r>
          </w:p>
        </w:tc>
        <w:tc>
          <w:tcPr>
            <w:tcW w:w="6113" w:type="dxa"/>
            <w:vAlign w:val="center"/>
          </w:tcPr>
          <w:p>
            <w:pPr>
              <w:jc w:val="center"/>
              <w:rPr>
                <w:rFonts w:ascii="宋体" w:hAnsi="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446" w:type="dxa"/>
            <w:gridSpan w:val="2"/>
            <w:vAlign w:val="center"/>
          </w:tcPr>
          <w:p>
            <w:pPr>
              <w:spacing w:line="360" w:lineRule="auto"/>
              <w:jc w:val="left"/>
              <w:rPr>
                <w:rFonts w:ascii="宋体" w:hAnsi="宋体" w:cs="仿宋_GB2312"/>
                <w:color w:val="auto"/>
                <w:sz w:val="24"/>
                <w:highlight w:val="none"/>
              </w:rPr>
            </w:pPr>
            <w:r>
              <w:rPr>
                <w:rFonts w:hint="eastAsia" w:ascii="宋体" w:hAnsi="宋体" w:cs="仿宋_GB2312"/>
                <w:b/>
                <w:color w:val="auto"/>
                <w:sz w:val="24"/>
                <w:highlight w:val="none"/>
              </w:rPr>
              <w:t>投标总价（小写）</w:t>
            </w:r>
          </w:p>
        </w:tc>
        <w:tc>
          <w:tcPr>
            <w:tcW w:w="6113" w:type="dxa"/>
            <w:vAlign w:val="center"/>
          </w:tcPr>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 xml:space="preserve"> </w:t>
            </w:r>
            <w:r>
              <w:rPr>
                <w:rFonts w:ascii="宋体" w:hAnsi="宋体" w:cs="仿宋_GB2312"/>
                <w:color w:val="auto"/>
                <w:sz w:val="24"/>
                <w:highlight w:val="none"/>
              </w:rPr>
              <w:t xml:space="preserve"> </w:t>
            </w:r>
            <w:r>
              <w:rPr>
                <w:rFonts w:hint="eastAsia" w:ascii="宋体" w:hAnsi="宋体"/>
                <w:b/>
                <w:color w:val="auto"/>
                <w:sz w:val="24"/>
                <w:highlight w:val="none"/>
              </w:rPr>
              <w:t>序号</w:t>
            </w:r>
            <w:r>
              <w:rPr>
                <w:rFonts w:ascii="宋体" w:hAnsi="宋体" w:cs="仿宋_GB2312"/>
                <w:color w:val="auto"/>
                <w:sz w:val="24"/>
                <w:highlight w:val="none"/>
              </w:rPr>
              <w:t>1+</w:t>
            </w:r>
            <w:r>
              <w:rPr>
                <w:rFonts w:hint="eastAsia" w:ascii="宋体" w:hAnsi="宋体"/>
                <w:b/>
                <w:color w:val="auto"/>
                <w:sz w:val="24"/>
                <w:highlight w:val="none"/>
              </w:rPr>
              <w:t>序号</w:t>
            </w:r>
            <w:r>
              <w:rPr>
                <w:rFonts w:ascii="宋体" w:hAnsi="宋体" w:cs="仿宋_GB2312"/>
                <w:color w:val="auto"/>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446" w:type="dxa"/>
            <w:gridSpan w:val="2"/>
            <w:vAlign w:val="center"/>
          </w:tcPr>
          <w:p>
            <w:pPr>
              <w:spacing w:line="360" w:lineRule="auto"/>
              <w:jc w:val="left"/>
              <w:rPr>
                <w:rFonts w:ascii="宋体" w:hAnsi="宋体" w:cs="仿宋_GB2312"/>
                <w:color w:val="auto"/>
                <w:sz w:val="24"/>
                <w:highlight w:val="none"/>
              </w:rPr>
            </w:pPr>
            <w:r>
              <w:rPr>
                <w:rFonts w:hint="eastAsia" w:ascii="宋体" w:hAnsi="宋体" w:cs="仿宋_GB2312"/>
                <w:b/>
                <w:color w:val="auto"/>
                <w:sz w:val="24"/>
                <w:highlight w:val="none"/>
              </w:rPr>
              <w:t>投标总价（大写）</w:t>
            </w:r>
          </w:p>
        </w:tc>
        <w:tc>
          <w:tcPr>
            <w:tcW w:w="6113" w:type="dxa"/>
            <w:vAlign w:val="center"/>
          </w:tcPr>
          <w:p>
            <w:pPr>
              <w:spacing w:line="360" w:lineRule="auto"/>
              <w:jc w:val="left"/>
              <w:rPr>
                <w:rFonts w:ascii="宋体" w:hAnsi="宋体" w:cs="仿宋_GB2312"/>
                <w:color w:val="auto"/>
                <w:sz w:val="24"/>
                <w:highlight w:val="none"/>
              </w:rPr>
            </w:pPr>
          </w:p>
        </w:tc>
      </w:tr>
    </w:tbl>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注：1、投标人需按本表格式填写，栏数不够可自加。</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color w:val="auto"/>
          <w:kern w:val="0"/>
          <w:sz w:val="24"/>
          <w:highlight w:val="none"/>
          <w:lang w:val="zh-CN"/>
        </w:rPr>
        <w:tab/>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3、投标总报价应包括售后服务费、企业管理费、规费、税费、利润、招标代理服务费等一切费用。</w:t>
      </w: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投标文件含有采购人不能接受的附加条件，投标无效</w:t>
      </w:r>
      <w:r>
        <w:rPr>
          <w:rFonts w:hint="eastAsia" w:ascii="仿宋_GB2312" w:hAnsi="仿宋" w:eastAsia="仿宋_GB2312" w:cs="仿宋_GB2312"/>
          <w:b/>
          <w:color w:val="auto"/>
          <w:kern w:val="0"/>
          <w:sz w:val="24"/>
          <w:highlight w:val="none"/>
          <w:lang w:val="zh-CN"/>
        </w:rPr>
        <w:t>。</w:t>
      </w:r>
    </w:p>
    <w:p>
      <w:pPr>
        <w:autoSpaceDE w:val="0"/>
        <w:autoSpaceDN w:val="0"/>
        <w:spacing w:line="360" w:lineRule="auto"/>
        <w:ind w:right="112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autoSpaceDE w:val="0"/>
        <w:autoSpaceDN w:val="0"/>
        <w:spacing w:line="360" w:lineRule="auto"/>
        <w:ind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投标人名称(电子签名/公章)：</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p>
    <w:p>
      <w:pPr>
        <w:spacing w:line="360" w:lineRule="auto"/>
        <w:ind w:firstLine="482" w:firstLineChars="200"/>
        <w:rPr>
          <w:rFonts w:ascii="仿宋_GB2312" w:hAnsi="仿宋" w:eastAsia="仿宋_GB2312"/>
          <w:b/>
          <w:color w:val="auto"/>
          <w:kern w:val="0"/>
          <w:sz w:val="24"/>
          <w:highlight w:val="none"/>
        </w:rPr>
      </w:pPr>
    </w:p>
    <w:p>
      <w:pPr>
        <w:rPr>
          <w:rFonts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报价明细清单</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1、日常维护费</w:t>
      </w:r>
    </w:p>
    <w:p>
      <w:pPr>
        <w:rPr>
          <w:rFonts w:ascii="宋体" w:hAnsi="宋体"/>
          <w:color w:val="auto"/>
          <w:sz w:val="24"/>
          <w:highlight w:val="none"/>
        </w:rPr>
      </w:pPr>
    </w:p>
    <w:tbl>
      <w:tblPr>
        <w:tblStyle w:val="62"/>
        <w:tblW w:w="9715" w:type="dxa"/>
        <w:jc w:val="center"/>
        <w:tblLayout w:type="fixed"/>
        <w:tblCellMar>
          <w:top w:w="0" w:type="dxa"/>
          <w:left w:w="0" w:type="dxa"/>
          <w:bottom w:w="0" w:type="dxa"/>
          <w:right w:w="0" w:type="dxa"/>
        </w:tblCellMar>
      </w:tblPr>
      <w:tblGrid>
        <w:gridCol w:w="1083"/>
        <w:gridCol w:w="2559"/>
        <w:gridCol w:w="989"/>
        <w:gridCol w:w="851"/>
        <w:gridCol w:w="1559"/>
        <w:gridCol w:w="1417"/>
        <w:gridCol w:w="1257"/>
      </w:tblGrid>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2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服务项目名称</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计量单位</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数量（个）</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综合单价限价（元/月/个）</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投标综合单价（元/月/个）</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一年（1</w:t>
            </w: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个月）合计报价（元）</w:t>
            </w: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信号控制系统</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277</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交通监视系统</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549</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260（★）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2559" w:type="dxa"/>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高点监控系统</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89</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电子警察系统</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184</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交通诱导系统</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可变车道牌系统</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路口</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机房硬件维护</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台</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配电房维护</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500（★）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9</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交警集成平台维护</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视频管理平台维护</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交通信号控制平台维护</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4500（★）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w:t>
            </w:r>
          </w:p>
        </w:tc>
        <w:tc>
          <w:tcPr>
            <w:tcW w:w="2559" w:type="dxa"/>
            <w:tcBorders>
              <w:top w:val="single" w:color="000000" w:sz="4" w:space="0"/>
              <w:left w:val="single" w:color="000000" w:sz="4" w:space="0"/>
              <w:bottom w:val="single" w:color="000000" w:sz="4" w:space="0"/>
              <w:right w:val="nil"/>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滨江大队主页平台维护</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项</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7000（★）</w:t>
            </w:r>
          </w:p>
        </w:tc>
        <w:tc>
          <w:tcPr>
            <w:tcW w:w="141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63" w:hRule="atLeast"/>
          <w:jc w:val="center"/>
        </w:trPr>
        <w:tc>
          <w:tcPr>
            <w:tcW w:w="845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left"/>
              <w:textAlignment w:val="center"/>
              <w:rPr>
                <w:rFonts w:ascii="宋体" w:hAnsi="宋体" w:cs="宋体"/>
                <w:color w:val="auto"/>
                <w:kern w:val="0"/>
                <w:sz w:val="22"/>
                <w:szCs w:val="22"/>
                <w:highlight w:val="none"/>
                <w:lang w:bidi="ar"/>
              </w:rPr>
            </w:pPr>
            <w:r>
              <w:rPr>
                <w:rFonts w:hint="eastAsia" w:ascii="宋体" w:hAnsi="宋体"/>
                <w:color w:val="auto"/>
                <w:sz w:val="24"/>
                <w:highlight w:val="none"/>
              </w:rPr>
              <w:t>年度基础维护</w:t>
            </w:r>
            <w:r>
              <w:rPr>
                <w:rFonts w:hint="eastAsia" w:ascii="宋体" w:hAnsi="宋体" w:cs="宋体"/>
                <w:color w:val="auto"/>
                <w:kern w:val="0"/>
                <w:sz w:val="22"/>
                <w:szCs w:val="22"/>
                <w:highlight w:val="none"/>
                <w:lang w:bidi="ar"/>
              </w:rPr>
              <w:t>总计（元）</w:t>
            </w:r>
          </w:p>
        </w:tc>
        <w:tc>
          <w:tcPr>
            <w:tcW w:w="125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auto"/>
                <w:kern w:val="0"/>
                <w:sz w:val="22"/>
                <w:szCs w:val="22"/>
                <w:highlight w:val="none"/>
                <w:lang w:bidi="ar"/>
              </w:rPr>
            </w:pPr>
          </w:p>
        </w:tc>
      </w:tr>
    </w:tbl>
    <w:p>
      <w:pPr>
        <w:rPr>
          <w:rFonts w:ascii="宋体" w:hAnsi="宋体"/>
          <w:color w:val="auto"/>
          <w:sz w:val="24"/>
          <w:highlight w:val="none"/>
        </w:rPr>
      </w:pPr>
    </w:p>
    <w:p>
      <w:pPr>
        <w:rPr>
          <w:rFonts w:ascii="宋体" w:hAnsi="宋体" w:cs="宋体"/>
          <w:color w:val="auto"/>
          <w:kern w:val="0"/>
          <w:sz w:val="22"/>
          <w:szCs w:val="22"/>
          <w:highlight w:val="none"/>
          <w:lang w:bidi="ar"/>
        </w:rPr>
      </w:pPr>
      <w:r>
        <w:rPr>
          <w:rFonts w:hint="eastAsia" w:ascii="宋体" w:hAnsi="宋体"/>
          <w:color w:val="auto"/>
          <w:sz w:val="24"/>
          <w:highlight w:val="none"/>
        </w:rPr>
        <w:t>注：一年（12个月）</w:t>
      </w:r>
      <w:r>
        <w:rPr>
          <w:rFonts w:hint="eastAsia" w:ascii="宋体" w:hAnsi="宋体" w:cs="宋体"/>
          <w:color w:val="auto"/>
          <w:kern w:val="0"/>
          <w:sz w:val="22"/>
          <w:szCs w:val="22"/>
          <w:highlight w:val="none"/>
          <w:lang w:bidi="ar"/>
        </w:rPr>
        <w:t>合计报价为1</w:t>
      </w: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个月的总数量报价。</w:t>
      </w:r>
    </w:p>
    <w:p>
      <w:pPr>
        <w:rPr>
          <w:rFonts w:ascii="宋体" w:hAnsi="宋体"/>
          <w:color w:val="auto"/>
          <w:sz w:val="24"/>
          <w:highlight w:val="none"/>
        </w:rPr>
      </w:pPr>
      <w:r>
        <w:rPr>
          <w:rFonts w:hint="eastAsia" w:ascii="宋体" w:hAnsi="宋体" w:cs="宋体"/>
          <w:color w:val="auto"/>
          <w:kern w:val="0"/>
          <w:sz w:val="22"/>
          <w:szCs w:val="22"/>
          <w:highlight w:val="none"/>
          <w:lang w:bidi="ar"/>
        </w:rPr>
        <w:t>例：信号控制系统的1</w:t>
      </w:r>
      <w:r>
        <w:rPr>
          <w:rFonts w:ascii="宋体" w:hAnsi="宋体" w:cs="宋体"/>
          <w:color w:val="auto"/>
          <w:kern w:val="0"/>
          <w:sz w:val="22"/>
          <w:szCs w:val="22"/>
          <w:highlight w:val="none"/>
          <w:lang w:bidi="ar"/>
        </w:rPr>
        <w:t>2</w:t>
      </w:r>
      <w:r>
        <w:rPr>
          <w:rFonts w:hint="eastAsia" w:ascii="宋体" w:hAnsi="宋体" w:cs="宋体"/>
          <w:color w:val="auto"/>
          <w:kern w:val="0"/>
          <w:sz w:val="22"/>
          <w:szCs w:val="22"/>
          <w:highlight w:val="none"/>
          <w:lang w:bidi="ar"/>
        </w:rPr>
        <w:t>个月合计报价（元）=数量277个</w:t>
      </w:r>
      <w:r>
        <w:rPr>
          <w:rFonts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投标综合单价*</w:t>
      </w:r>
      <w:r>
        <w:rPr>
          <w:rFonts w:ascii="宋体" w:hAnsi="宋体" w:cs="宋体"/>
          <w:color w:val="auto"/>
          <w:kern w:val="0"/>
          <w:sz w:val="22"/>
          <w:szCs w:val="22"/>
          <w:highlight w:val="none"/>
          <w:lang w:bidi="ar"/>
        </w:rPr>
        <w:t>12</w:t>
      </w:r>
      <w:r>
        <w:rPr>
          <w:rFonts w:hint="eastAsia" w:ascii="宋体" w:hAnsi="宋体" w:cs="宋体"/>
          <w:color w:val="auto"/>
          <w:kern w:val="0"/>
          <w:sz w:val="22"/>
          <w:szCs w:val="22"/>
          <w:highlight w:val="none"/>
          <w:lang w:bidi="ar"/>
        </w:rPr>
        <w:t>个月</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2、系统维护相关设备（材料）价格表</w:t>
      </w:r>
    </w:p>
    <w:p>
      <w:pPr>
        <w:rPr>
          <w:rFonts w:ascii="宋体" w:hAnsi="宋体"/>
          <w:color w:val="auto"/>
          <w:sz w:val="24"/>
          <w:highlight w:val="none"/>
        </w:rPr>
      </w:pPr>
    </w:p>
    <w:tbl>
      <w:tblPr>
        <w:tblStyle w:val="62"/>
        <w:tblW w:w="13007" w:type="dxa"/>
        <w:tblInd w:w="93" w:type="dxa"/>
        <w:tblLayout w:type="fixed"/>
        <w:tblCellMar>
          <w:top w:w="0" w:type="dxa"/>
          <w:left w:w="108" w:type="dxa"/>
          <w:bottom w:w="0" w:type="dxa"/>
          <w:right w:w="108" w:type="dxa"/>
        </w:tblCellMar>
      </w:tblPr>
      <w:tblGrid>
        <w:gridCol w:w="901"/>
        <w:gridCol w:w="1905"/>
        <w:gridCol w:w="2670"/>
        <w:gridCol w:w="3540"/>
        <w:gridCol w:w="975"/>
        <w:gridCol w:w="1470"/>
        <w:gridCol w:w="1485"/>
      </w:tblGrid>
      <w:tr>
        <w:tblPrEx>
          <w:tblCellMar>
            <w:top w:w="0" w:type="dxa"/>
            <w:left w:w="108" w:type="dxa"/>
            <w:bottom w:w="0" w:type="dxa"/>
            <w:right w:w="108" w:type="dxa"/>
          </w:tblCellMar>
        </w:tblPrEx>
        <w:trPr>
          <w:trHeight w:val="810"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类别</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设备名称</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规格及参数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单位</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宋体" w:hAnsi="宋体" w:cs="宋体"/>
                <w:color w:val="auto"/>
                <w:sz w:val="22"/>
                <w:szCs w:val="22"/>
                <w:highlight w:val="none"/>
              </w:rPr>
            </w:pPr>
            <w:r>
              <w:rPr>
                <w:rFonts w:hint="eastAsia" w:ascii="宋体" w:hAnsi="宋体" w:cs="宋体"/>
                <w:color w:val="auto"/>
                <w:kern w:val="0"/>
                <w:sz w:val="22"/>
                <w:szCs w:val="22"/>
                <w:highlight w:val="none"/>
                <w:lang w:bidi="ar"/>
              </w:rPr>
              <w:t>综合单价最高限价（元）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textAlignment w:val="bottom"/>
              <w:rPr>
                <w:rFonts w:ascii="宋体" w:hAnsi="宋体" w:cs="宋体"/>
                <w:color w:val="auto"/>
                <w:szCs w:val="21"/>
                <w:highlight w:val="none"/>
              </w:rPr>
            </w:pPr>
            <w:r>
              <w:rPr>
                <w:rFonts w:hint="eastAsia" w:ascii="宋体" w:hAnsi="宋体" w:cs="宋体"/>
                <w:color w:val="auto"/>
                <w:kern w:val="0"/>
                <w:szCs w:val="21"/>
                <w:highlight w:val="none"/>
                <w:lang w:bidi="ar"/>
              </w:rPr>
              <w:t>投标综合单价报价（元）</w:t>
            </w: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控制器（中控）</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包括(主板、灯组板、电源板)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46799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信号灯杆（12米)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16615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信号灯杆（9米)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15198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信号灯杆（6米）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13050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一体化辅灯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9533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多相位临时信号灯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定制（多相位）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9957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信号灯杆（3米）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8945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控制机主板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8655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协议转换器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8331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单相位临时信号灯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定制（单相位）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7809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一体化人行灯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7083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请求式一体化人行灯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7895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信号灯直立杆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4739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控制机灯组板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5491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300非机动车信号灯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φ300LED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2962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300辅灯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φ300LED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2961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300人行信号灯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φ300LED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2423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401机动车信号灯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φ400LED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1568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402机动车信号灯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φ400LED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2844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403机动车信号灯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φ400LED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3885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404机动车信号灯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φ400LED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4077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智能回检信号灯模块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待转屏</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4562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待转屏灯板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2324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待转屏控制器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2559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行人倒记时板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机动车倒记时板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1578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可变车道多屏控制器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中控、新源、普乐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17601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可变车道牌</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中控、新源、普乐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5043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控制机电源板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3702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广域雷达</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毫米波、激光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18906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全息感知终端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海康、大华、中控、华为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36285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人行灯基础</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尺寸:400mm*400mm*800mm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1813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人行灯控制器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人行灯帽沿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φ300LED</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人行灯直立杆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4025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电源</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信号灯灯板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847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信号灯装饰片</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杆件装饰片</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一体化人行灯灯板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新源、普乐、中控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3693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信号机箱</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信号灯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发光斑马线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防护等级:IP67</w:t>
            </w:r>
            <w:r>
              <w:rPr>
                <w:rFonts w:hint="eastAsia" w:ascii="等线" w:hAnsi="等线" w:eastAsia="等线" w:cs="等线"/>
                <w:color w:val="auto"/>
                <w:kern w:val="0"/>
                <w:sz w:val="24"/>
                <w:highlight w:val="none"/>
                <w:lang w:bidi="ar"/>
              </w:rPr>
              <w:br w:type="textWrapping"/>
            </w:r>
            <w:r>
              <w:rPr>
                <w:rFonts w:hint="eastAsia" w:ascii="等线" w:hAnsi="等线" w:eastAsia="等线" w:cs="等线"/>
                <w:color w:val="auto"/>
                <w:kern w:val="0"/>
                <w:sz w:val="24"/>
                <w:highlight w:val="none"/>
                <w:lang w:bidi="ar"/>
              </w:rPr>
              <w:t>显色指数：≥70RA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AR全景摄像机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40354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鹰眼数字球</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26703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37倍数字球</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37倍以上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17582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23倍数字球</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23倍以上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16430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监控立杆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根据周围环境定制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11356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球机外壳更换</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球机外罩更换</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球机主板维修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3145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监控</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摄像机电源</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雷达测速仪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160262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雷视一体机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23186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射频视频一体读写器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48035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固定式四通道读写器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28476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非机动车抓拍高清摄像机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22801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读写器天线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音柱</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非机动车存储终端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14240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红绿灯信号检测器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4761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违停球机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16907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高清摄像机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CCD，包含视频分析功能</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15787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电警L杆挑12米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L型杆横挑12M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12860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电警T杆挑6米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T型杆横挑6M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10783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报警主机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14717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路口工控机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嵌入式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10054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电警L杆挑10米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L型杆横挑10M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10247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环保LED灯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9479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环保闪光灯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9492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电警L杆挑6米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L型杆横挑6M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9202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电警L杆挑3米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L型杆横挑3M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5314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LED频闪灯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4851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待转待驶模块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电警直立杆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直立杆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防护罩</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亚安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高清摄像机镜头</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百万像素光学镜头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雷达测速箱</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5136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全景摄像机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2963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全景摄像机防护罩</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全景摄像机镜头</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定焦光圈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1473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闪光灯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4651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摄像机电源</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视频检测立杆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3798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LED屏</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海康、大华、上海三思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24126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车辆检测识别设备</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微波雷达交通流检测器（包括接线及调试）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情报杆立杆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16844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视频车检</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14592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路口工控机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嵌入式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10115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电警L杆挑6米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L型杆横挑6M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9227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协议转换器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8305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电警L杆挑3米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L型杆横挑3M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5333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防护罩</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亚安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控制器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4958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连接排线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驱动板卡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驱动电源</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视频检测立杆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3808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1685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显示和信号设备</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无线传输模块（包括接线及调试）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1687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显示屏模块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4735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移动天线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情报板、微波</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信息发布屏</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8372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万兆核心交换机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华三、华为、思科等同品牌中高级系列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189771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千兆24口光纤汇聚交换机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华三、华为、思科等同品牌中高级系列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28910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千兆48口光纤汇聚交换机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华三、华为、思科等同品牌中高级系列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47461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网闸</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254173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B20矩阵</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224094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高清磁盘阵列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大华、华为、海康等同品牌中高级系列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241843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高清磁盘柜</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大华、华为、海康等同品牌中高级系列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189663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中心服务器2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海康系列、HP系列、华三系列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100385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新增平台功能模块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98024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中心服务器3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海康系列、HP系列、华三系列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78568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UPS配电房市电输入配电柜(AP-1)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69987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中心服务器4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海康系列、HP系列、华三系列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54880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平台功能模块提升</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47979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热备软件或平台功能模块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48293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中心服务器5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海康系列、HP系列、华三系列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46008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119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机房专用空调</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大金、施耐德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43332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消防联动控制箱</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冷通道封闭实现消防联动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26284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UPS控制板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27195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柜式气体灭火装置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120L，2.5MPa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29457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中心服务器6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海康系列、HP系列、华三系列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38111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千兆48口网络交换机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华三、华为、思科等同品牌中高级系列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37221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B20输出板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28912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B20输入板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28924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平移通道门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27174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气体灭火控制盘(2区)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最多可同时启动2个区的气体灭火设备释放灭火剂进行灭火。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15678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百兆网络交换机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华三、华为、思科等同品牌中高级系列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18620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千兆24口网络交换机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华三、华为、思科等同品牌中高级系列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18563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中心服务器1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海康系列、HP系列、华三系列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166303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数字硬盘录象机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海康威视16回放分辨率1024*768以上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14089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GPRS短信模块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双频GSM GPRS MODEM(900/1800MHz)</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10037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门禁一体机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9811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高清键盘</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海康、大华、宇视系列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9578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KVM</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17寸LCD液晶屏幕、键盘,接口数8个以上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6991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柜式空调</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格力</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6429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操作员工作站</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5996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139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19英寸标准机柜</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机房专用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4231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智能机柜控制模块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8463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针孔摄像机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海康、大华、中控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423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UPS</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4935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Ups电池</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12V100AH</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4614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电力电量仪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发卡器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配套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感烟、感温探测器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机房安防面层</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平米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监视器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3679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键盘主板维修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3165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精密空调过滤网</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3696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精密空调加湿灌</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5182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精密空调压缩机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大金、施耐德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16830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精密空调主板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大金、施耐德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28932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精密空调制冷剂</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R22、R410A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Kg</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传感器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压力、风力、温湿度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3682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蒸汽管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含进水软管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m</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开关量、通讯转换模块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自动控制数据流方向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喷洒模块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平钢玻璃顶棚</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平钢玻璃</w:t>
            </w:r>
            <w:r>
              <w:rPr>
                <w:rFonts w:hint="eastAsia" w:ascii="等线" w:hAnsi="等线" w:eastAsia="等线" w:cs="等线"/>
                <w:color w:val="auto"/>
                <w:kern w:val="0"/>
                <w:sz w:val="24"/>
                <w:highlight w:val="none"/>
                <w:lang w:bidi="ar"/>
              </w:rPr>
              <w:br w:type="textWrapping"/>
            </w:r>
            <w:r>
              <w:rPr>
                <w:rFonts w:hint="eastAsia" w:ascii="等线" w:hAnsi="等线" w:eastAsia="等线" w:cs="等线"/>
                <w:color w:val="auto"/>
                <w:kern w:val="0"/>
                <w:sz w:val="24"/>
                <w:highlight w:val="none"/>
                <w:lang w:bidi="ar"/>
              </w:rPr>
              <w:t>1200mm(L)*600mm(W),金属加强,6mm,含安装附件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4745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七氟丙烷</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千兆光模块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5149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嵌入式LED灯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40w灯盘，300*1200，LED灯管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419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区域式漏水控制器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供电电源：12～60VDC（如配有BTR-BJ报警器采用12-24V）</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5167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人脸、指纹采集仪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配套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2209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摄像机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海康、大华、宇视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声光报警器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万兆光模块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29897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温湿度传感器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5152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移动硬盘</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应急出口指示灯</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断电延迟时间≥90min</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1267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服务器主板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10205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云存储主板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23910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服务器控制卡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4398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云存储控制卡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4963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千兆光端机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千兆网口</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17940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无线接入网关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14069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百兆光端机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百兆网口</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10883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无线传输设备</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10041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新增光纤点位</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电信、华数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8014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光纤移位</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电信、华数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5066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UP-C配电箱输入电缆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ZR-YJV-4*25+1*16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UPS输入输出电缆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电池组连接线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ZR-YJV-4*240+1*120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379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KVV22-16×1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KVV22-16×1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KVV22-6×1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KVV22-6×1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KVV23-3*6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KVV23-3*6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RVV2×1.5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RVV2×1.5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RVV3×1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RVV3×1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RVV3×2.5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RVV3×2.5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RVV3×2.5+3*1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RVV3×2.5+3*1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RVV4×1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RVV4×1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RVVP6×0.5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RVVP6×0.5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电缆 YJV3*6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YJV3*6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馈线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光端机视频端口维修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光端机数据端口维修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光端机网口维修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光端机主板维修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3682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199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光纤</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单模、多模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光纤连接线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电信级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光纤收发器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工业级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2221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光纤终端盒</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178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交换机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工业级</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精密空调输入电缆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ZR-YJV-4*185+1*96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配电柜输入电缆1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ZR-YJV-4*70+1*35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配电柜输入电缆2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ZR-YJV-5*6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视频线 SYV75-5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SYV75-5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视频线 SYV75-7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SYV75-7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209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网线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超五类网线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通讯、线材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稳压电源</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SVC-1KVA</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钢结构构建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12540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基础钢结构</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9627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D75PE管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D80钢管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三维万向节支架</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安装专用抱箍</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安装专用支架</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壁挂小机柜</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2837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避雷器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633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插线板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插座</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承重窨井(350*250*300)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尺寸:350mm*250mm*300mm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8</w:t>
            </w:r>
            <w:r>
              <w:rPr>
                <w:rFonts w:hint="eastAsia" w:ascii="等线" w:hAnsi="等线" w:eastAsia="等线" w:cs="等线"/>
                <w:color w:val="auto"/>
                <w:kern w:val="0"/>
                <w:sz w:val="24"/>
                <w:highlight w:val="none"/>
                <w:lang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承重窨井(500*500*500)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尺寸:500mm*500mm*500mm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12</w:t>
            </w:r>
            <w:r>
              <w:rPr>
                <w:rFonts w:hint="eastAsia" w:ascii="等线" w:hAnsi="等线" w:eastAsia="等线" w:cs="等线"/>
                <w:color w:val="auto"/>
                <w:kern w:val="0"/>
                <w:sz w:val="24"/>
                <w:highlight w:val="none"/>
                <w:lang w:bidi="ar"/>
              </w:rPr>
              <w:t>51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窨井盖</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210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杆件检修板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存储硬盘4T</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4T SATAS硬盘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2732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存储硬盘8T</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8T SATAS硬盘</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3457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第三方检测</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方向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3697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229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防雷器接地线、敷料</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293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杆件吊装</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班</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杆件横桃杆（1-3m）</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1260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杆件横桃杆（4-6m)</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3156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机箱</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4947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空气开关</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62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控制主板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5203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商品砼</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C25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立方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580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渣土消纳处置费用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立方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330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挖沟槽土方</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立方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320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239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路面恢复</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立方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设备调试</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方向</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2632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摄像机主板维修</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5152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数据传输器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数据控制仪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投影仪</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4587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无线接收器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2481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无线路由器</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274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247</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窨井(350*250*300)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尺寸:350mm*250mm*300mm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476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248</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窨井(500*500*500)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尺寸:500mm*500mm*500mm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ascii="等线" w:hAnsi="等线" w:eastAsia="等线" w:cs="等线"/>
                <w:color w:val="auto"/>
                <w:kern w:val="0"/>
                <w:sz w:val="24"/>
                <w:highlight w:val="none"/>
                <w:lang w:bidi="ar"/>
              </w:rPr>
              <w:t>58</w:t>
            </w:r>
            <w:r>
              <w:rPr>
                <w:rFonts w:hint="eastAsia" w:ascii="等线" w:hAnsi="等线" w:eastAsia="等线" w:cs="等线"/>
                <w:color w:val="auto"/>
                <w:kern w:val="0"/>
                <w:sz w:val="24"/>
                <w:highlight w:val="none"/>
                <w:lang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249</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应用软件</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2850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250</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油漆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平方米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251</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板卡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2466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专用数据线</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528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253</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机箱门锁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254</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磁力锁/插梢锁</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定制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只</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846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自喷油漆</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瓶</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r>
        <w:tblPrEx>
          <w:tblCellMar>
            <w:top w:w="0" w:type="dxa"/>
            <w:left w:w="108" w:type="dxa"/>
            <w:bottom w:w="0" w:type="dxa"/>
            <w:right w:w="108" w:type="dxa"/>
          </w:tblCellMar>
        </w:tblPrEx>
        <w:trPr>
          <w:trHeight w:val="498" w:hRule="atLeast"/>
        </w:trPr>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256</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管路、其它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绿化恢复</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等线" w:hAnsi="等线" w:eastAsia="等线" w:cs="等线"/>
                <w:color w:val="auto"/>
                <w:sz w:val="24"/>
                <w:highlight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平方米</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等线" w:hAnsi="等线" w:eastAsia="等线" w:cs="等线"/>
                <w:color w:val="auto"/>
                <w:sz w:val="24"/>
                <w:highlight w:val="none"/>
              </w:rPr>
            </w:pPr>
            <w:r>
              <w:rPr>
                <w:rFonts w:hint="eastAsia" w:ascii="等线" w:hAnsi="等线" w:eastAsia="等线" w:cs="等线"/>
                <w:color w:val="auto"/>
                <w:kern w:val="0"/>
                <w:sz w:val="24"/>
                <w:highlight w:val="none"/>
                <w:lang w:bidi="ar"/>
              </w:rPr>
              <w:t>15</w:t>
            </w:r>
            <w:r>
              <w:rPr>
                <w:rFonts w:ascii="等线" w:hAnsi="等线" w:eastAsia="等线" w:cs="等线"/>
                <w:color w:val="auto"/>
                <w:kern w:val="0"/>
                <w:sz w:val="24"/>
                <w:highlight w:val="none"/>
                <w:lang w:bidi="ar"/>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4"/>
                <w:highlight w:val="none"/>
              </w:rPr>
            </w:pPr>
          </w:p>
        </w:tc>
      </w:tr>
    </w:tbl>
    <w:p>
      <w:pPr>
        <w:rPr>
          <w:rFonts w:ascii="宋体" w:hAnsi="宋体"/>
          <w:b/>
          <w:bCs/>
          <w:color w:val="auto"/>
          <w:sz w:val="24"/>
          <w:highlight w:val="none"/>
        </w:rPr>
      </w:pPr>
    </w:p>
    <w:p>
      <w:pPr>
        <w:pStyle w:val="33"/>
        <w:snapToGrid w:val="0"/>
        <w:spacing w:line="360" w:lineRule="auto"/>
        <w:rPr>
          <w:rFonts w:hAnsi="宋体" w:cs="宋体"/>
          <w:color w:val="auto"/>
          <w:kern w:val="0"/>
          <w:sz w:val="24"/>
          <w:highlight w:val="none"/>
          <w:lang w:val="zh-CN"/>
        </w:rPr>
      </w:pPr>
    </w:p>
    <w:p>
      <w:pPr>
        <w:pStyle w:val="33"/>
        <w:snapToGrid w:val="0"/>
        <w:spacing w:line="360" w:lineRule="auto"/>
        <w:rPr>
          <w:rFonts w:hAnsi="宋体" w:cs="宋体"/>
          <w:color w:val="auto"/>
          <w:kern w:val="0"/>
          <w:sz w:val="24"/>
          <w:highlight w:val="none"/>
          <w:lang w:val="zh-CN"/>
        </w:rPr>
      </w:pPr>
    </w:p>
    <w:p>
      <w:pPr>
        <w:pStyle w:val="33"/>
        <w:snapToGrid w:val="0"/>
        <w:spacing w:line="360" w:lineRule="auto"/>
        <w:rPr>
          <w:rFonts w:hAnsi="宋体" w:cs="宋体"/>
          <w:color w:val="auto"/>
          <w:sz w:val="24"/>
          <w:highlight w:val="none"/>
        </w:rPr>
      </w:pPr>
      <w:r>
        <w:rPr>
          <w:rFonts w:hint="eastAsia" w:hAnsi="宋体" w:cs="宋体"/>
          <w:color w:val="auto"/>
          <w:kern w:val="0"/>
          <w:sz w:val="24"/>
          <w:highlight w:val="none"/>
          <w:lang w:val="zh-CN"/>
        </w:rPr>
        <w:t>注：</w:t>
      </w:r>
      <w:r>
        <w:rPr>
          <w:rFonts w:hint="eastAsia" w:hAnsi="宋体" w:cs="宋体"/>
          <w:color w:val="auto"/>
          <w:sz w:val="24"/>
          <w:highlight w:val="none"/>
        </w:rPr>
        <w:t>可根据具体情况调整报价明细清单格式，但应包括项目涉及的一切相关税费等费用。以上表格中各项可进一步细分，栏数不够可自加，要求按产品和服务内容细分项目及报价。</w:t>
      </w:r>
    </w:p>
    <w:p>
      <w:pPr>
        <w:shd w:val="clear" w:color="auto" w:fill="FFFFFF"/>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 xml:space="preserve">投标人名称(电子签名/公章)：                                                                                                                                                                                                               </w:t>
      </w:r>
    </w:p>
    <w:p>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日期</w:t>
      </w:r>
      <w:r>
        <w:rPr>
          <w:rFonts w:hint="eastAsia" w:ascii="宋体" w:hAnsi="宋体" w:cs="宋体"/>
          <w:color w:val="auto"/>
          <w:sz w:val="24"/>
          <w:highlight w:val="none"/>
        </w:rPr>
        <w:t>：</w:t>
      </w:r>
      <w:r>
        <w:rPr>
          <w:rFonts w:hint="eastAsia" w:ascii="宋体" w:hAnsi="宋体" w:cs="宋体"/>
          <w:color w:val="auto"/>
          <w:sz w:val="24"/>
          <w:highlight w:val="none"/>
          <w:lang w:val="zh-CN"/>
        </w:rPr>
        <w:t xml:space="preserve">   年   月   日</w:t>
      </w: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杭州高新开发区（滨江）政府采购支持</w:t>
      </w:r>
    </w:p>
    <w:p>
      <w:pPr>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中小企业信用融资暂行办法</w:t>
      </w: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p>
    <w:p>
      <w:pPr>
        <w:spacing w:line="360" w:lineRule="auto"/>
        <w:ind w:firstLine="480" w:firstLineChars="2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贯彻落实中央和省、市政府关于支持和促进中小企业发展的有关文件精神，进一步发挥政府采购政策功能，促进政府采购制度创新，加强诚信体系建设，根据财政部、工信部《政府采购促进中小企业发展暂行办法》、《浙江省政府采购支持中小企业信用融资试点办法》、《杭州市政府采购支持中小企业信用融资暂行办法》等有关规定，结合本区实际，制定本办法。</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一、适用对象</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凡已在浙江省政府采购云平台上注册入库，并取得杭州高新开发区（滨江）政府采购合同的区内中小企业供应商（以下简称供应商），均可申请政府采购信用融资。</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开展本区政府采购信用融资工作的银行，应当为区内注册或设立分支机构、且已开展中小企业贷款业务的商业银行。</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二、相关信息获取方式</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供应商可通过滨江区门户网站公布的政采贷合作银行相关信息(http://www.hhtz.gov.cn/art/2022/1/11/art_1487037_59039349.html)进行接洽申请。政采贷合作银行可通过浙江政府采购网(https://zfcg.czt.zj.gov.cn/)了解滨江区政府采购项目相关公示信息主动联系供应商。鼓励各银行加大融资规模。区财政局积极推进政府采购中标成交信息、合同信息等信息资源共享，提供相关的服务支持，做好协调工作。</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三、　政府采购信用融资操作流程：</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（一）线上融资模式：</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1.供应商中标后，可通过“政采云-金融服务-融资贷款”向合作银行测算授信额度；</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2.供应商根据合作银行提供的方案，自行选择金融产品，并办理开户等手续；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3.采购合同签订后，供应商向相应银行发出融资申请；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4.审批通过后，在线办理放贷手续。</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（二）线下融资模式：</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1.供应商根据杭州市滨江区政府门户网站</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76"/>
          <w:rFonts w:hint="eastAsia" w:ascii="仿宋_GB2312" w:hAnsi="仿宋" w:eastAsia="仿宋_GB2312" w:cs="Times New Roman"/>
          <w:snapToGrid/>
          <w:color w:val="auto"/>
          <w:kern w:val="2"/>
          <w:sz w:val="24"/>
          <w:szCs w:val="24"/>
          <w:highlight w:val="none"/>
        </w:rPr>
        <w:t>http://www.hhtz.gov.cn/art/2022/1/11/art_1487037_59039349.html</w:t>
      </w:r>
      <w:r>
        <w:rPr>
          <w:rStyle w:val="76"/>
          <w:rFonts w:hint="eastAsia" w:ascii="仿宋_GB2312" w:hAnsi="仿宋" w:eastAsia="仿宋_GB2312" w:cs="Times New Roman"/>
          <w:snapToGrid/>
          <w:color w:val="auto"/>
          <w:kern w:val="2"/>
          <w:sz w:val="24"/>
          <w:szCs w:val="24"/>
          <w:highlight w:val="none"/>
        </w:rPr>
        <w:fldChar w:fldCharType="end"/>
      </w:r>
      <w:r>
        <w:rPr>
          <w:rFonts w:hint="eastAsia" w:ascii="仿宋_GB2312" w:hAnsi="仿宋" w:eastAsia="仿宋_GB2312"/>
          <w:color w:val="auto"/>
          <w:sz w:val="24"/>
          <w:highlight w:val="none"/>
        </w:rPr>
        <w:t>获取滨江区政采贷合作银行联系人信息，根据合作银行提供的方案，自行选择金融产品，向合作银行提出信用资格预审，并办理开户等手续；</w:t>
      </w:r>
    </w:p>
    <w:p>
      <w:pPr>
        <w:wordWrap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2.采购合同签订后，向合作银行发出融资申请；</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3.合作银行受理申请后，供应商提供审批材料。合作银行应对申请信用融资的供应商及备案的政府采购合同信息进行核对和审查；</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4.审批通过后，合作银行应按照与杭州市滨江区财政局合作备忘录中约定的审批放款期限和优惠利率及时予以放款。</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四、注意事项</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01" w:name="_Toc465665161"/>
      <w:r>
        <w:rPr>
          <w:rFonts w:hint="eastAsia" w:ascii="仿宋_GB2312" w:hAnsi="仿宋" w:eastAsia="仿宋_GB2312"/>
          <w:color w:val="auto"/>
          <w:highlight w:val="none"/>
        </w:rPr>
        <w:t>附件</w:t>
      </w:r>
      <w:bookmarkEnd w:id="401"/>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02" w:name="OLE_LINK13"/>
      <w:bookmarkStart w:id="403" w:name="OLE_LINK14"/>
      <w:r>
        <w:rPr>
          <w:rFonts w:hint="eastAsia" w:ascii="仿宋_GB2312" w:hAnsi="仿宋" w:eastAsia="仿宋_GB2312"/>
          <w:b/>
          <w:color w:val="auto"/>
          <w:spacing w:val="6"/>
          <w:sz w:val="32"/>
          <w:szCs w:val="32"/>
          <w:highlight w:val="none"/>
        </w:rPr>
        <w:t>残疾人福利性单位声明函</w:t>
      </w:r>
    </w:p>
    <w:bookmarkEnd w:id="402"/>
    <w:bookmarkEnd w:id="403"/>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投标人名称(电子签名/公章)</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righ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ascii="仿宋_GB2312" w:hAnsi="仿宋" w:eastAsia="仿宋_GB2312"/>
          <w:color w:val="auto"/>
          <w:sz w:val="24"/>
          <w:highlight w:val="none"/>
        </w:rPr>
        <w:t>分包号：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分包号</w:t>
      </w:r>
      <w:r>
        <w:rPr>
          <w:rFonts w:hint="eastAsia" w:ascii="仿宋_GB2312" w:hAnsi="仿宋" w:eastAsia="仿宋_GB2312"/>
          <w:color w:val="auto"/>
          <w:sz w:val="24"/>
          <w:highlight w:val="none"/>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2020﹞46</w:t>
      </w:r>
      <w:r>
        <w:rPr>
          <w:rFonts w:hint="eastAsia" w:ascii="仿宋_GB2312" w:hAnsi="宋体" w:eastAsia="仿宋_GB2312"/>
          <w:color w:val="auto"/>
          <w:sz w:val="24"/>
          <w:highlight w:val="none"/>
        </w:rPr>
        <w:t>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；承接企业为</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；承接企业为</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名称(电子签名/公章)：</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auto"/>
          <w:highlight w:val="none"/>
        </w:rPr>
      </w:pPr>
    </w:p>
    <w:p>
      <w:pPr>
        <w:spacing w:line="360" w:lineRule="auto"/>
        <w:ind w:right="420"/>
        <w:rPr>
          <w:color w:val="auto"/>
          <w:highlight w:val="none"/>
        </w:rPr>
      </w:pPr>
    </w:p>
    <w:p>
      <w:pPr>
        <w:spacing w:line="360" w:lineRule="auto"/>
        <w:ind w:right="420"/>
        <w:rPr>
          <w:color w:val="auto"/>
          <w:highlight w:val="none"/>
        </w:rPr>
      </w:pPr>
    </w:p>
    <w:p>
      <w:pPr>
        <w:spacing w:line="360" w:lineRule="auto"/>
        <w:jc w:val="center"/>
        <w:rPr>
          <w:rFonts w:ascii="方正小标宋简体" w:hAnsi="方正小标宋简体" w:eastAsia="方正小标宋简体" w:cs="宋体"/>
          <w:color w:val="auto"/>
          <w:sz w:val="44"/>
          <w:szCs w:val="44"/>
          <w:highlight w:val="none"/>
          <w:u w:val="single"/>
        </w:rPr>
      </w:pPr>
    </w:p>
    <w:p>
      <w:pPr>
        <w:spacing w:line="360" w:lineRule="auto"/>
        <w:jc w:val="left"/>
        <w:rPr>
          <w:rFonts w:ascii="仿宋_GB2312" w:hAnsi="方正小标宋简体" w:eastAsia="仿宋_GB2312" w:cs="宋体"/>
          <w:color w:val="auto"/>
          <w:sz w:val="32"/>
          <w:szCs w:val="32"/>
          <w:highlight w:val="none"/>
        </w:rPr>
      </w:pPr>
      <w:r>
        <w:rPr>
          <w:rFonts w:hint="eastAsia" w:ascii="仿宋_GB2312" w:hAnsi="方正小标宋简体" w:eastAsia="仿宋_GB2312" w:cs="宋体"/>
          <w:color w:val="auto"/>
          <w:sz w:val="32"/>
          <w:szCs w:val="32"/>
          <w:highlight w:val="none"/>
        </w:rPr>
        <w:t>附件6：</w:t>
      </w:r>
    </w:p>
    <w:p>
      <w:pPr>
        <w:spacing w:line="360" w:lineRule="auto"/>
        <w:jc w:val="center"/>
        <w:rPr>
          <w:rFonts w:ascii="方正小标宋简体" w:hAnsi="方正小标宋简体" w:eastAsia="方正小标宋简体" w:cs="宋体"/>
          <w:color w:val="auto"/>
          <w:sz w:val="48"/>
          <w:szCs w:val="48"/>
          <w:highlight w:val="none"/>
        </w:rPr>
      </w:pPr>
    </w:p>
    <w:p>
      <w:pPr>
        <w:spacing w:line="360" w:lineRule="auto"/>
        <w:jc w:val="center"/>
        <w:rPr>
          <w:rFonts w:ascii="方正小标宋简体" w:hAnsi="方正小标宋简体" w:eastAsia="方正小标宋简体" w:cs="宋体"/>
          <w:color w:val="auto"/>
          <w:sz w:val="52"/>
          <w:szCs w:val="52"/>
          <w:highlight w:val="none"/>
        </w:rPr>
      </w:pPr>
      <w:r>
        <w:rPr>
          <w:rFonts w:hint="eastAsia" w:ascii="方正小标宋简体" w:hAnsi="方正小标宋简体" w:eastAsia="方正小标宋简体" w:cs="宋体"/>
          <w:color w:val="auto"/>
          <w:sz w:val="52"/>
          <w:szCs w:val="52"/>
          <w:highlight w:val="none"/>
        </w:rPr>
        <w:t>杭州市政府采购项目</w:t>
      </w:r>
    </w:p>
    <w:p>
      <w:pPr>
        <w:spacing w:line="360" w:lineRule="auto"/>
        <w:jc w:val="center"/>
        <w:rPr>
          <w:rFonts w:ascii="方正小标宋简体" w:hAnsi="方正小标宋简体" w:eastAsia="方正小标宋简体" w:cs="宋体"/>
          <w:color w:val="auto"/>
          <w:sz w:val="52"/>
          <w:szCs w:val="52"/>
          <w:highlight w:val="none"/>
        </w:rPr>
      </w:pPr>
      <w:r>
        <w:rPr>
          <w:rFonts w:hint="eastAsia" w:ascii="方正小标宋简体" w:hAnsi="方正小标宋简体" w:eastAsia="方正小标宋简体" w:cs="宋体"/>
          <w:color w:val="auto"/>
          <w:sz w:val="52"/>
          <w:szCs w:val="52"/>
          <w:highlight w:val="none"/>
        </w:rPr>
        <w:t>采购需求</w:t>
      </w:r>
    </w:p>
    <w:p>
      <w:pPr>
        <w:spacing w:line="360" w:lineRule="auto"/>
        <w:jc w:val="center"/>
        <w:rPr>
          <w:rFonts w:ascii="仿宋_GB2312" w:hAnsi="仿宋_GB2312" w:eastAsia="仿宋_GB2312" w:cs="仿宋_GB2312"/>
          <w:color w:val="auto"/>
          <w:sz w:val="32"/>
          <w:szCs w:val="32"/>
          <w:highlight w:val="none"/>
        </w:rPr>
      </w:pPr>
    </w:p>
    <w:p>
      <w:pPr>
        <w:spacing w:line="360" w:lineRule="auto"/>
        <w:jc w:val="center"/>
        <w:rPr>
          <w:rFonts w:ascii="方正小标宋简体" w:hAnsi="方正小标宋简体" w:eastAsia="方正小标宋简体"/>
          <w:color w:val="auto"/>
          <w:sz w:val="44"/>
          <w:szCs w:val="44"/>
          <w:highlight w:val="none"/>
        </w:rPr>
      </w:pPr>
    </w:p>
    <w:p>
      <w:pPr>
        <w:spacing w:line="360" w:lineRule="auto"/>
        <w:jc w:val="center"/>
        <w:rPr>
          <w:rFonts w:ascii="方正小标宋简体" w:hAnsi="方正小标宋简体" w:eastAsia="方正小标宋简体"/>
          <w:color w:val="auto"/>
          <w:sz w:val="44"/>
          <w:szCs w:val="44"/>
          <w:highlight w:val="none"/>
        </w:rPr>
      </w:pPr>
    </w:p>
    <w:p>
      <w:pPr>
        <w:spacing w:line="360" w:lineRule="auto"/>
        <w:jc w:val="center"/>
        <w:rPr>
          <w:rFonts w:ascii="方正小标宋简体" w:hAnsi="方正小标宋简体" w:eastAsia="方正小标宋简体"/>
          <w:color w:val="auto"/>
          <w:sz w:val="44"/>
          <w:szCs w:val="44"/>
          <w:highlight w:val="none"/>
        </w:rPr>
      </w:pP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采购单位：</w:t>
      </w:r>
      <w:r>
        <w:rPr>
          <w:rFonts w:hint="eastAsia" w:ascii="方正小标宋简体" w:hAnsi="方正小标宋简体" w:eastAsia="方正小标宋简体"/>
          <w:color w:val="auto"/>
          <w:sz w:val="28"/>
          <w:szCs w:val="28"/>
          <w:highlight w:val="none"/>
          <w:u w:val="single"/>
        </w:rPr>
        <w:t xml:space="preserve">                        </w:t>
      </w: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ascii="方正小标宋简体" w:hAnsi="方正小标宋简体" w:eastAsia="方正小标宋简体"/>
          <w:color w:val="auto"/>
          <w:sz w:val="28"/>
          <w:szCs w:val="28"/>
          <w:highlight w:val="none"/>
        </w:rPr>
        <w:t>项目名称</w:t>
      </w:r>
      <w:r>
        <w:rPr>
          <w:rFonts w:hint="eastAsia" w:ascii="方正小标宋简体" w:hAnsi="方正小标宋简体" w:eastAsia="方正小标宋简体"/>
          <w:color w:val="auto"/>
          <w:sz w:val="28"/>
          <w:szCs w:val="28"/>
          <w:highlight w:val="none"/>
        </w:rPr>
        <w:t>：</w:t>
      </w:r>
      <w:r>
        <w:rPr>
          <w:rFonts w:hint="eastAsia" w:ascii="方正小标宋简体" w:hAnsi="方正小标宋简体" w:eastAsia="方正小标宋简体"/>
          <w:color w:val="auto"/>
          <w:sz w:val="28"/>
          <w:szCs w:val="28"/>
          <w:highlight w:val="none"/>
          <w:u w:val="single"/>
        </w:rPr>
        <w:t xml:space="preserve">                        </w:t>
      </w: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编制单位：</w:t>
      </w:r>
      <w:r>
        <w:rPr>
          <w:rFonts w:hint="eastAsia" w:ascii="方正小标宋简体" w:hAnsi="方正小标宋简体" w:eastAsia="方正小标宋简体"/>
          <w:color w:val="auto"/>
          <w:sz w:val="28"/>
          <w:szCs w:val="28"/>
          <w:highlight w:val="none"/>
          <w:u w:val="single"/>
        </w:rPr>
        <w:t xml:space="preserve">                        </w:t>
      </w: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编制时间：</w:t>
      </w:r>
      <w:r>
        <w:rPr>
          <w:rFonts w:hint="eastAsia" w:ascii="方正小标宋简体" w:hAnsi="方正小标宋简体" w:eastAsia="方正小标宋简体"/>
          <w:color w:val="auto"/>
          <w:sz w:val="28"/>
          <w:szCs w:val="28"/>
          <w:highlight w:val="none"/>
          <w:u w:val="single"/>
        </w:rPr>
        <w:t xml:space="preserve">                        </w:t>
      </w:r>
    </w:p>
    <w:p>
      <w:pPr>
        <w:spacing w:line="360" w:lineRule="auto"/>
        <w:jc w:val="left"/>
        <w:rPr>
          <w:rFonts w:ascii="宋体" w:hAnsi="宋体"/>
          <w:b/>
          <w:color w:val="auto"/>
          <w:sz w:val="28"/>
          <w:szCs w:val="28"/>
          <w:highlight w:val="none"/>
        </w:rPr>
      </w:pPr>
      <w:r>
        <w:rPr>
          <w:rFonts w:ascii="黑体" w:hAnsi="黑体" w:eastAsia="黑体"/>
          <w:color w:val="auto"/>
          <w:sz w:val="32"/>
          <w:szCs w:val="32"/>
          <w:highlight w:val="none"/>
        </w:rPr>
        <w:br w:type="page"/>
      </w:r>
      <w:r>
        <w:rPr>
          <w:rFonts w:hint="eastAsia" w:ascii="宋体" w:hAnsi="宋体"/>
          <w:b/>
          <w:color w:val="auto"/>
          <w:sz w:val="28"/>
          <w:szCs w:val="28"/>
          <w:highlight w:val="none"/>
        </w:rPr>
        <w:t>一、需求调查情况</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（一）本项目是否需要开展需求调查：</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否</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（二）本项目是否属于可以不再重复开展需求调查情形：</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否</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（三）需求调查方式</w:t>
      </w:r>
    </w:p>
    <w:p>
      <w:pPr>
        <w:spacing w:line="360" w:lineRule="auto"/>
        <w:ind w:firstLine="420"/>
        <w:jc w:val="left"/>
        <w:rPr>
          <w:rFonts w:ascii="宋体" w:hAnsi="宋体" w:cs="仿宋_GB2312"/>
          <w:color w:val="auto"/>
          <w:sz w:val="24"/>
          <w:highlight w:val="non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咨询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论证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问卷调查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其他方式（</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（四）需求调查对象</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（五）需求调查结果</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1.相关产业发展情况</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2.市场供给情况</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3.同类采购项目历史成交信息情况</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4.可能涉及的运行维护、升级更新、备品备件、耗材等后续采购情况</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5.其他相关情况</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before="240" w:beforeLines="100" w:line="360" w:lineRule="auto"/>
        <w:jc w:val="left"/>
        <w:rPr>
          <w:rFonts w:ascii="宋体" w:hAnsi="宋体"/>
          <w:b/>
          <w:color w:val="auto"/>
          <w:sz w:val="28"/>
          <w:szCs w:val="28"/>
          <w:highlight w:val="none"/>
        </w:rPr>
      </w:pPr>
      <w:r>
        <w:rPr>
          <w:rFonts w:ascii="宋体" w:hAnsi="宋体"/>
          <w:b/>
          <w:color w:val="auto"/>
          <w:sz w:val="28"/>
          <w:szCs w:val="28"/>
          <w:highlight w:val="none"/>
        </w:rPr>
        <w:t>二</w:t>
      </w:r>
      <w:r>
        <w:rPr>
          <w:rFonts w:hint="eastAsia" w:ascii="宋体" w:hAnsi="宋体"/>
          <w:b/>
          <w:color w:val="auto"/>
          <w:sz w:val="28"/>
          <w:szCs w:val="28"/>
          <w:highlight w:val="none"/>
        </w:rPr>
        <w:t>、采购需求内容</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（一）项目概况</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（二）预算金额（元）：</w:t>
      </w:r>
      <w:r>
        <w:rPr>
          <w:rFonts w:hint="eastAsia" w:ascii="宋体" w:hAnsi="宋体"/>
          <w:color w:val="auto"/>
          <w:sz w:val="24"/>
          <w:highlight w:val="none"/>
          <w:u w:val="single"/>
        </w:rPr>
        <w:t xml:space="preserve">                         </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（三）需满足的政府采购政策目标和具体支持对象</w:t>
      </w:r>
    </w:p>
    <w:p>
      <w:pPr>
        <w:spacing w:line="360" w:lineRule="auto"/>
        <w:ind w:firstLine="420"/>
        <w:jc w:val="left"/>
        <w:rPr>
          <w:rFonts w:ascii="宋体" w:hAnsi="宋体" w:cs="仿宋_GB2312"/>
          <w:color w:val="auto"/>
          <w:sz w:val="24"/>
          <w:highlight w:val="non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扶持中小企业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节能环保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其他（</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 xml:space="preserve">（四）采购标的是否进口产品：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进口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国产</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（五）拟采购标的的技术要求</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拟采购标的（1）</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rPr>
                <w:rFonts w:ascii="宋体" w:hAnsi="宋体" w:cs="仿宋_GB2312"/>
                <w:color w:val="auto"/>
                <w:sz w:val="24"/>
                <w:highlight w:val="none"/>
              </w:rPr>
            </w:pPr>
          </w:p>
        </w:tc>
        <w:tc>
          <w:tcPr>
            <w:tcW w:w="1360"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jc w:val="center"/>
              <w:rPr>
                <w:rFonts w:ascii="宋体" w:hAnsi="宋体" w:cs="仿宋_GB2312"/>
                <w:color w:val="auto"/>
                <w:sz w:val="24"/>
                <w:highlight w:val="none"/>
              </w:rPr>
            </w:pPr>
          </w:p>
        </w:tc>
      </w:tr>
    </w:tbl>
    <w:p>
      <w:pPr>
        <w:spacing w:line="360" w:lineRule="auto"/>
        <w:jc w:val="left"/>
        <w:rPr>
          <w:rFonts w:ascii="宋体" w:hAnsi="宋体"/>
          <w:color w:val="auto"/>
          <w:sz w:val="24"/>
          <w:highlight w:val="none"/>
        </w:rPr>
      </w:pPr>
      <w:r>
        <w:rPr>
          <w:rFonts w:hint="eastAsia" w:ascii="宋体" w:hAnsi="宋体" w:cs="仿宋_GB2312"/>
          <w:color w:val="auto"/>
          <w:sz w:val="24"/>
          <w:highlight w:val="none"/>
        </w:rPr>
        <w:t>拟采购标的（2）</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jc w:val="center"/>
              <w:rPr>
                <w:rFonts w:ascii="宋体" w:hAnsi="宋体" w:cs="仿宋_GB2312"/>
                <w:color w:val="auto"/>
                <w:sz w:val="24"/>
                <w:highlight w:val="none"/>
              </w:rPr>
            </w:pPr>
          </w:p>
        </w:tc>
        <w:tc>
          <w:tcPr>
            <w:tcW w:w="1360"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jc w:val="center"/>
              <w:rPr>
                <w:rFonts w:ascii="宋体" w:hAnsi="宋体" w:cs="仿宋_GB2312"/>
                <w:color w:val="auto"/>
                <w:sz w:val="24"/>
                <w:highlight w:val="none"/>
              </w:rPr>
            </w:pPr>
          </w:p>
        </w:tc>
      </w:tr>
    </w:tbl>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拟采购标的（3）</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w:t>
            </w:r>
          </w:p>
        </w:tc>
        <w:tc>
          <w:tcPr>
            <w:tcW w:w="6804" w:type="dxa"/>
            <w:gridSpan w:val="3"/>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jc w:val="center"/>
              <w:rPr>
                <w:rFonts w:ascii="宋体" w:hAnsi="宋体" w:cs="仿宋_GB2312"/>
                <w:color w:val="auto"/>
                <w:sz w:val="24"/>
                <w:highlight w:val="none"/>
              </w:rPr>
            </w:pPr>
          </w:p>
        </w:tc>
        <w:tc>
          <w:tcPr>
            <w:tcW w:w="1360"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jc w:val="center"/>
              <w:rPr>
                <w:rFonts w:ascii="宋体" w:hAnsi="宋体" w:cs="仿宋_GB2312"/>
                <w:color w:val="auto"/>
                <w:sz w:val="24"/>
                <w:highlight w:val="none"/>
              </w:rPr>
            </w:pPr>
          </w:p>
        </w:tc>
      </w:tr>
    </w:tbl>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（六）拟采购标的的商务要求</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1.交付（实施）的时间（期限）：</w:t>
      </w:r>
      <w:r>
        <w:rPr>
          <w:rFonts w:hint="eastAsia" w:ascii="宋体" w:hAnsi="宋体"/>
          <w:color w:val="auto"/>
          <w:sz w:val="24"/>
          <w:highlight w:val="none"/>
          <w:u w:val="single"/>
        </w:rPr>
        <w:t xml:space="preserve">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2.交付（实施）的地点（范围）：</w:t>
      </w:r>
      <w:r>
        <w:rPr>
          <w:rFonts w:hint="eastAsia" w:ascii="宋体" w:hAnsi="宋体"/>
          <w:color w:val="auto"/>
          <w:sz w:val="24"/>
          <w:highlight w:val="none"/>
          <w:u w:val="single"/>
        </w:rPr>
        <w:t xml:space="preserve">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3.付款条件（进度和方式）</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2977"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4161"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2977" w:type="dxa"/>
            <w:shd w:val="clear" w:color="auto" w:fill="auto"/>
          </w:tcPr>
          <w:p>
            <w:pPr>
              <w:spacing w:line="360" w:lineRule="auto"/>
              <w:jc w:val="center"/>
              <w:rPr>
                <w:rFonts w:ascii="宋体" w:hAnsi="宋体" w:cs="仿宋_GB2312"/>
                <w:color w:val="auto"/>
                <w:sz w:val="24"/>
                <w:highlight w:val="none"/>
              </w:rPr>
            </w:pPr>
          </w:p>
        </w:tc>
        <w:tc>
          <w:tcPr>
            <w:tcW w:w="4161" w:type="dxa"/>
            <w:shd w:val="clear" w:color="auto" w:fill="auto"/>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2977" w:type="dxa"/>
            <w:shd w:val="clear" w:color="auto" w:fill="auto"/>
          </w:tcPr>
          <w:p>
            <w:pPr>
              <w:spacing w:line="360" w:lineRule="auto"/>
              <w:jc w:val="center"/>
              <w:rPr>
                <w:rFonts w:ascii="宋体" w:hAnsi="宋体" w:cs="仿宋_GB2312"/>
                <w:color w:val="auto"/>
                <w:sz w:val="24"/>
                <w:highlight w:val="none"/>
              </w:rPr>
            </w:pPr>
          </w:p>
        </w:tc>
        <w:tc>
          <w:tcPr>
            <w:tcW w:w="4161" w:type="dxa"/>
            <w:shd w:val="clear" w:color="auto" w:fill="auto"/>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c>
          <w:tcPr>
            <w:tcW w:w="1174"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2977" w:type="dxa"/>
            <w:shd w:val="clear" w:color="auto" w:fill="auto"/>
          </w:tcPr>
          <w:p>
            <w:pPr>
              <w:spacing w:line="360" w:lineRule="auto"/>
              <w:jc w:val="center"/>
              <w:rPr>
                <w:rFonts w:ascii="宋体" w:hAnsi="宋体" w:cs="仿宋_GB2312"/>
                <w:color w:val="auto"/>
                <w:sz w:val="24"/>
                <w:highlight w:val="none"/>
              </w:rPr>
            </w:pPr>
          </w:p>
        </w:tc>
        <w:tc>
          <w:tcPr>
            <w:tcW w:w="4161" w:type="dxa"/>
            <w:shd w:val="clear" w:color="auto" w:fill="auto"/>
          </w:tcPr>
          <w:p>
            <w:pPr>
              <w:spacing w:line="360" w:lineRule="auto"/>
              <w:jc w:val="center"/>
              <w:rPr>
                <w:rFonts w:ascii="宋体" w:hAnsi="宋体" w:cs="仿宋_GB2312"/>
                <w:color w:val="auto"/>
                <w:sz w:val="24"/>
                <w:highlight w:val="none"/>
              </w:rPr>
            </w:pPr>
          </w:p>
        </w:tc>
      </w:tr>
    </w:tbl>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4.售后服务要求</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rPr>
        <w:t>5.其他商务要求（包装和运输、保险等）</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（七）采购项目的其他要求</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p>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三、合同订立安排</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（一）采购项目预（概）算（元）：</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，最高限价（元）：</w:t>
      </w:r>
      <w:r>
        <w:rPr>
          <w:rFonts w:hint="eastAsia" w:ascii="宋体" w:hAnsi="宋体" w:cs="仿宋_GB2312"/>
          <w:color w:val="auto"/>
          <w:sz w:val="24"/>
          <w:highlight w:val="none"/>
          <w:u w:val="single"/>
        </w:rPr>
        <w:t xml:space="preserve">             </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（二）开展采购活动的时间安排：</w:t>
      </w:r>
      <w:r>
        <w:rPr>
          <w:rFonts w:hint="eastAsia" w:ascii="宋体" w:hAnsi="宋体" w:cs="仿宋_GB2312"/>
          <w:color w:val="auto"/>
          <w:sz w:val="24"/>
          <w:highlight w:val="none"/>
          <w:u w:val="single"/>
        </w:rPr>
        <w:t xml:space="preserve">                   </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（三）采购组织形式：</w:t>
      </w:r>
      <w:r>
        <w:rPr>
          <w:rFonts w:hint="eastAsia" w:ascii="宋体" w:hAnsi="宋体" w:cs="仿宋_GB2312"/>
          <w:color w:val="auto"/>
          <w:sz w:val="24"/>
          <w:highlight w:val="none"/>
        </w:rPr>
        <w:tab/>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集中采购</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分散采购</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（四）委托代理安排</w:t>
      </w:r>
    </w:p>
    <w:p>
      <w:pPr>
        <w:spacing w:line="360" w:lineRule="auto"/>
        <w:ind w:firstLine="420"/>
        <w:jc w:val="left"/>
        <w:rPr>
          <w:rFonts w:ascii="宋体" w:hAnsi="宋体" w:cs="仿宋_GB2312"/>
          <w:color w:val="auto"/>
          <w:sz w:val="24"/>
          <w:highlight w:val="non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集中采购机构</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部门集中采购机构</w:t>
      </w:r>
    </w:p>
    <w:p>
      <w:pPr>
        <w:spacing w:line="360" w:lineRule="auto"/>
        <w:ind w:firstLine="420"/>
        <w:jc w:val="left"/>
        <w:rPr>
          <w:rFonts w:ascii="宋体" w:hAnsi="宋体" w:cs="仿宋_GB2312"/>
          <w:color w:val="auto"/>
          <w:sz w:val="24"/>
          <w:highlight w:val="none"/>
        </w:rPr>
      </w:pP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采购代理机构</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自行采购（含电子卖场）</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（五）采购包划分：</w:t>
      </w:r>
      <w:r>
        <w:rPr>
          <w:rFonts w:hint="eastAsia" w:ascii="宋体" w:hAnsi="宋体" w:cs="仿宋_GB2312"/>
          <w:color w:val="auto"/>
          <w:sz w:val="24"/>
          <w:highlight w:val="none"/>
        </w:rPr>
        <w:tab/>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分标项</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不分标项</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（六）合同分包：</w:t>
      </w:r>
      <w:r>
        <w:rPr>
          <w:rFonts w:hint="eastAsia" w:ascii="宋体" w:hAnsi="宋体" w:cs="仿宋_GB2312"/>
          <w:color w:val="auto"/>
          <w:sz w:val="24"/>
          <w:highlight w:val="none"/>
        </w:rPr>
        <w:tab/>
      </w:r>
      <w:r>
        <w:rPr>
          <w:rFonts w:hint="eastAsia" w:ascii="宋体" w:hAnsi="宋体" w:cs="仿宋_GB2312"/>
          <w:color w:val="auto"/>
          <w:sz w:val="24"/>
          <w:highlight w:val="none"/>
        </w:rPr>
        <w:tab/>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 xml:space="preserve">允许分包    </w:t>
      </w:r>
      <w:r>
        <w:rPr>
          <w:rFonts w:hint="eastAsia" w:ascii="宋体" w:hAnsi="宋体" w:cs="仿宋_GB2312"/>
          <w:color w:val="auto"/>
          <w:sz w:val="24"/>
          <w:highlight w:val="none"/>
        </w:rPr>
        <w:sym w:font="Wingdings 2" w:char="00A3"/>
      </w:r>
      <w:r>
        <w:rPr>
          <w:rFonts w:hint="eastAsia" w:ascii="宋体" w:hAnsi="宋体" w:cs="仿宋_GB2312"/>
          <w:color w:val="auto"/>
          <w:sz w:val="24"/>
          <w:highlight w:val="none"/>
        </w:rPr>
        <w:t>不允许分包</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（七）供应商资格条件</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s="仿宋_GB2312"/>
          <w:color w:val="auto"/>
          <w:sz w:val="24"/>
          <w:highlight w:val="none"/>
        </w:rPr>
      </w:pPr>
      <w:r>
        <w:rPr>
          <w:rFonts w:hint="eastAsia" w:ascii="宋体" w:hAnsi="宋体" w:cs="仿宋_GB2312"/>
          <w:color w:val="auto"/>
          <w:sz w:val="24"/>
          <w:highlight w:val="none"/>
        </w:rPr>
        <w:t>（八）采购方式</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公开招标</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□邀请招标</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□竞争性谈判</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竞争性磋商</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A3"/>
      </w:r>
      <w:r>
        <w:rPr>
          <w:rFonts w:hint="eastAsia" w:ascii="宋体" w:hAnsi="宋体"/>
          <w:color w:val="auto"/>
          <w:sz w:val="24"/>
          <w:highlight w:val="none"/>
        </w:rPr>
        <w:t>询价</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□单一来源采购</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□电子卖场</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□其他采购方式（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jc w:val="left"/>
        <w:rPr>
          <w:rFonts w:ascii="宋体" w:hAnsi="宋体"/>
          <w:color w:val="auto"/>
          <w:sz w:val="24"/>
          <w:highlight w:val="none"/>
        </w:rPr>
      </w:pPr>
      <w:r>
        <w:rPr>
          <w:rFonts w:hint="eastAsia" w:ascii="宋体" w:hAnsi="宋体" w:cs="仿宋_GB2312"/>
          <w:color w:val="auto"/>
          <w:sz w:val="24"/>
          <w:highlight w:val="none"/>
        </w:rPr>
        <w:t>（九）</w:t>
      </w:r>
      <w:r>
        <w:rPr>
          <w:rFonts w:hint="eastAsia" w:ascii="宋体" w:hAnsi="宋体"/>
          <w:color w:val="auto"/>
          <w:sz w:val="24"/>
          <w:highlight w:val="none"/>
        </w:rPr>
        <w:t>选择采购方式的理由</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（十）竞争范围：</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公开发布</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电子卖场</w:t>
      </w:r>
    </w:p>
    <w:p>
      <w:pPr>
        <w:spacing w:line="360" w:lineRule="auto"/>
        <w:jc w:val="left"/>
        <w:rPr>
          <w:rFonts w:ascii="宋体" w:hAnsi="宋体"/>
          <w:color w:val="auto"/>
          <w:sz w:val="24"/>
          <w:highlight w:val="none"/>
        </w:rPr>
      </w:pPr>
      <w:r>
        <w:rPr>
          <w:rFonts w:hint="eastAsia" w:ascii="宋体" w:hAnsi="宋体"/>
          <w:color w:val="auto"/>
          <w:sz w:val="24"/>
          <w:highlight w:val="none"/>
        </w:rPr>
        <w:t>（十一）评审规则：</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综合评分</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最低价中标</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其他（</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二、合同管理安排</w:t>
      </w:r>
    </w:p>
    <w:p>
      <w:pPr>
        <w:spacing w:line="360" w:lineRule="auto"/>
        <w:jc w:val="left"/>
        <w:rPr>
          <w:rFonts w:ascii="宋体" w:hAnsi="宋体"/>
          <w:color w:val="auto"/>
          <w:sz w:val="24"/>
          <w:highlight w:val="none"/>
        </w:rPr>
      </w:pPr>
      <w:r>
        <w:rPr>
          <w:rFonts w:hint="eastAsia" w:ascii="宋体" w:hAnsi="宋体"/>
          <w:color w:val="auto"/>
          <w:sz w:val="24"/>
          <w:highlight w:val="none"/>
        </w:rPr>
        <w:t>（一）合同类型</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 xml:space="preserve">货物合同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□服务合同</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建设工程合同</w:t>
      </w:r>
      <w:r>
        <w:rPr>
          <w:rFonts w:hint="eastAsia" w:ascii="宋体" w:hAnsi="宋体"/>
          <w:color w:val="auto"/>
          <w:sz w:val="24"/>
          <w:highlight w:val="none"/>
        </w:rPr>
        <w:tab/>
      </w:r>
      <w:r>
        <w:rPr>
          <w:rFonts w:hint="eastAsia" w:ascii="宋体" w:hAnsi="宋体"/>
          <w:color w:val="auto"/>
          <w:sz w:val="24"/>
          <w:highlight w:val="none"/>
        </w:rPr>
        <w:t>□其他（</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jc w:val="left"/>
        <w:rPr>
          <w:rFonts w:ascii="宋体" w:hAnsi="宋体"/>
          <w:color w:val="auto"/>
          <w:sz w:val="24"/>
          <w:highlight w:val="none"/>
        </w:rPr>
      </w:pPr>
      <w:r>
        <w:rPr>
          <w:rFonts w:hint="eastAsia" w:ascii="宋体" w:hAnsi="宋体"/>
          <w:color w:val="auto"/>
          <w:sz w:val="24"/>
          <w:highlight w:val="none"/>
        </w:rPr>
        <w:t>（二）定价方式</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固定总价</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A3"/>
      </w:r>
      <w:r>
        <w:rPr>
          <w:rFonts w:hint="eastAsia" w:ascii="宋体" w:hAnsi="宋体"/>
          <w:color w:val="auto"/>
          <w:sz w:val="24"/>
          <w:highlight w:val="none"/>
        </w:rPr>
        <w:t>固定单价</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sym w:font="Wingdings 2" w:char="00A3"/>
      </w:r>
      <w:r>
        <w:rPr>
          <w:rFonts w:hint="eastAsia" w:ascii="宋体" w:hAnsi="宋体"/>
          <w:color w:val="auto"/>
          <w:sz w:val="24"/>
          <w:highlight w:val="none"/>
        </w:rPr>
        <w:t>成本补偿</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sym w:font="Wingdings 2" w:char="00A3"/>
      </w:r>
      <w:r>
        <w:rPr>
          <w:rFonts w:hint="eastAsia" w:ascii="宋体" w:hAnsi="宋体"/>
          <w:color w:val="auto"/>
          <w:sz w:val="24"/>
          <w:highlight w:val="none"/>
        </w:rPr>
        <w:t>绩效激励</w:t>
      </w:r>
    </w:p>
    <w:p>
      <w:pPr>
        <w:spacing w:line="360" w:lineRule="auto"/>
        <w:jc w:val="left"/>
        <w:rPr>
          <w:rFonts w:ascii="宋体" w:hAnsi="宋体"/>
          <w:color w:val="auto"/>
          <w:sz w:val="24"/>
          <w:highlight w:val="none"/>
        </w:rPr>
      </w:pPr>
      <w:r>
        <w:rPr>
          <w:rFonts w:hint="eastAsia" w:ascii="宋体" w:hAnsi="宋体"/>
          <w:color w:val="auto"/>
          <w:sz w:val="24"/>
          <w:highlight w:val="none"/>
        </w:rPr>
        <w:t>（三）合同文本的主要条款</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1.合同主要标的</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标的内容1</w:t>
            </w:r>
          </w:p>
        </w:tc>
        <w:tc>
          <w:tcPr>
            <w:tcW w:w="6804" w:type="dxa"/>
            <w:gridSpan w:val="3"/>
            <w:shd w:val="clear" w:color="auto" w:fill="auto"/>
            <w:vAlign w:val="center"/>
          </w:tcPr>
          <w:p>
            <w:pPr>
              <w:spacing w:line="360" w:lineRule="auto"/>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rPr>
                <w:rFonts w:ascii="宋体" w:hAnsi="宋体" w:cs="仿宋_GB2312"/>
                <w:color w:val="auto"/>
                <w:sz w:val="24"/>
                <w:highlight w:val="none"/>
              </w:rPr>
            </w:pPr>
          </w:p>
        </w:tc>
        <w:tc>
          <w:tcPr>
            <w:tcW w:w="1360"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jc w:val="center"/>
              <w:rPr>
                <w:rFonts w:ascii="宋体" w:hAnsi="宋体" w:cs="仿宋_GB2312"/>
                <w:color w:val="auto"/>
                <w:sz w:val="24"/>
                <w:highlight w:val="none"/>
              </w:rPr>
            </w:pPr>
          </w:p>
        </w:tc>
      </w:tr>
    </w:tbl>
    <w:p>
      <w:pPr>
        <w:spacing w:line="360" w:lineRule="auto"/>
        <w:jc w:val="left"/>
        <w:rPr>
          <w:rFonts w:ascii="宋体" w:hAnsi="宋体"/>
          <w:color w:val="auto"/>
          <w:sz w:val="24"/>
          <w:highlight w:val="none"/>
        </w:rPr>
      </w:pP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标的内容2</w:t>
            </w:r>
          </w:p>
        </w:tc>
        <w:tc>
          <w:tcPr>
            <w:tcW w:w="6804" w:type="dxa"/>
            <w:gridSpan w:val="3"/>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jc w:val="center"/>
              <w:rPr>
                <w:rFonts w:ascii="宋体" w:hAnsi="宋体" w:cs="仿宋_GB2312"/>
                <w:color w:val="auto"/>
                <w:sz w:val="24"/>
                <w:highlight w:val="none"/>
              </w:rPr>
            </w:pPr>
          </w:p>
        </w:tc>
        <w:tc>
          <w:tcPr>
            <w:tcW w:w="1360"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w:t>
            </w:r>
          </w:p>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要求</w:t>
            </w:r>
          </w:p>
        </w:tc>
        <w:tc>
          <w:tcPr>
            <w:tcW w:w="6804" w:type="dxa"/>
            <w:gridSpan w:val="3"/>
            <w:shd w:val="clear" w:color="auto" w:fill="auto"/>
          </w:tcPr>
          <w:p>
            <w:pPr>
              <w:spacing w:line="360" w:lineRule="auto"/>
              <w:jc w:val="center"/>
              <w:rPr>
                <w:rFonts w:ascii="宋体" w:hAnsi="宋体" w:cs="仿宋_GB2312"/>
                <w:color w:val="auto"/>
                <w:sz w:val="24"/>
                <w:highlight w:val="none"/>
              </w:rPr>
            </w:pPr>
          </w:p>
        </w:tc>
      </w:tr>
    </w:tbl>
    <w:p>
      <w:pPr>
        <w:spacing w:line="360" w:lineRule="auto"/>
        <w:jc w:val="left"/>
        <w:rPr>
          <w:rFonts w:ascii="宋体" w:hAnsi="宋体" w:cs="仿宋_GB2312"/>
          <w:color w:val="auto"/>
          <w:sz w:val="24"/>
          <w:highlight w:val="none"/>
        </w:rPr>
      </w:pP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标的内容3</w:t>
            </w:r>
          </w:p>
        </w:tc>
        <w:tc>
          <w:tcPr>
            <w:tcW w:w="6804" w:type="dxa"/>
            <w:gridSpan w:val="3"/>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数量</w:t>
            </w:r>
          </w:p>
        </w:tc>
        <w:tc>
          <w:tcPr>
            <w:tcW w:w="2409" w:type="dxa"/>
            <w:shd w:val="clear" w:color="auto" w:fill="auto"/>
            <w:vAlign w:val="center"/>
          </w:tcPr>
          <w:p>
            <w:pPr>
              <w:spacing w:line="360" w:lineRule="auto"/>
              <w:jc w:val="center"/>
              <w:rPr>
                <w:rFonts w:ascii="宋体" w:hAnsi="宋体" w:cs="仿宋_GB2312"/>
                <w:color w:val="auto"/>
                <w:sz w:val="24"/>
                <w:highlight w:val="none"/>
              </w:rPr>
            </w:pPr>
          </w:p>
        </w:tc>
        <w:tc>
          <w:tcPr>
            <w:tcW w:w="1360"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单位</w:t>
            </w:r>
          </w:p>
        </w:tc>
        <w:tc>
          <w:tcPr>
            <w:tcW w:w="3035" w:type="dxa"/>
            <w:shd w:val="clear" w:color="auto" w:fill="auto"/>
            <w:vAlign w:val="center"/>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功能和质量要求</w:t>
            </w:r>
          </w:p>
        </w:tc>
        <w:tc>
          <w:tcPr>
            <w:tcW w:w="6804" w:type="dxa"/>
            <w:gridSpan w:val="3"/>
            <w:shd w:val="clear" w:color="auto" w:fill="auto"/>
          </w:tcPr>
          <w:p>
            <w:pPr>
              <w:spacing w:line="360" w:lineRule="auto"/>
              <w:jc w:val="center"/>
              <w:rPr>
                <w:rFonts w:ascii="宋体" w:hAnsi="宋体" w:cs="仿宋_GB2312"/>
                <w:color w:val="auto"/>
                <w:sz w:val="24"/>
                <w:highlight w:val="none"/>
              </w:rPr>
            </w:pPr>
          </w:p>
        </w:tc>
      </w:tr>
    </w:tbl>
    <w:p>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2.履行时间（期限）：</w:t>
      </w:r>
      <w:r>
        <w:rPr>
          <w:rFonts w:hint="eastAsia" w:ascii="宋体" w:hAnsi="宋体"/>
          <w:iCs/>
          <w:color w:val="auto"/>
          <w:sz w:val="24"/>
          <w:highlight w:val="none"/>
          <w:u w:val="single"/>
        </w:rPr>
        <w:t xml:space="preserve">                       </w:t>
      </w:r>
    </w:p>
    <w:p>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3.履约地点和方式：</w:t>
      </w:r>
      <w:r>
        <w:rPr>
          <w:rFonts w:hint="eastAsia" w:ascii="宋体" w:hAnsi="宋体"/>
          <w:iCs/>
          <w:color w:val="auto"/>
          <w:sz w:val="24"/>
          <w:highlight w:val="none"/>
          <w:u w:val="single"/>
        </w:rPr>
        <w:t xml:space="preserve">                         </w:t>
      </w:r>
    </w:p>
    <w:p>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4.价款或者报酬：</w:t>
      </w:r>
      <w:r>
        <w:rPr>
          <w:rFonts w:hint="eastAsia" w:ascii="宋体" w:hAnsi="宋体"/>
          <w:iCs/>
          <w:color w:val="auto"/>
          <w:sz w:val="24"/>
          <w:highlight w:val="none"/>
          <w:u w:val="single"/>
        </w:rPr>
        <w:t xml:space="preserve">                           </w:t>
      </w:r>
    </w:p>
    <w:p>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5.考核要求和付款进度安排</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701"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5720" w:type="dxa"/>
            <w:shd w:val="clear" w:color="auto" w:fill="auto"/>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1</w:t>
            </w:r>
          </w:p>
        </w:tc>
        <w:tc>
          <w:tcPr>
            <w:tcW w:w="1701" w:type="dxa"/>
            <w:shd w:val="clear" w:color="auto" w:fill="auto"/>
          </w:tcPr>
          <w:p>
            <w:pPr>
              <w:spacing w:line="360" w:lineRule="auto"/>
              <w:jc w:val="center"/>
              <w:rPr>
                <w:rFonts w:ascii="宋体" w:hAnsi="宋体" w:cs="仿宋_GB2312"/>
                <w:color w:val="auto"/>
                <w:sz w:val="24"/>
                <w:highlight w:val="none"/>
              </w:rPr>
            </w:pPr>
          </w:p>
        </w:tc>
        <w:tc>
          <w:tcPr>
            <w:tcW w:w="5720" w:type="dxa"/>
            <w:shd w:val="clear" w:color="auto" w:fill="auto"/>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2</w:t>
            </w:r>
          </w:p>
        </w:tc>
        <w:tc>
          <w:tcPr>
            <w:tcW w:w="1701" w:type="dxa"/>
            <w:shd w:val="clear" w:color="auto" w:fill="auto"/>
          </w:tcPr>
          <w:p>
            <w:pPr>
              <w:spacing w:line="360" w:lineRule="auto"/>
              <w:jc w:val="center"/>
              <w:rPr>
                <w:rFonts w:ascii="宋体" w:hAnsi="宋体" w:cs="仿宋_GB2312"/>
                <w:color w:val="auto"/>
                <w:sz w:val="24"/>
                <w:highlight w:val="none"/>
              </w:rPr>
            </w:pPr>
          </w:p>
        </w:tc>
        <w:tc>
          <w:tcPr>
            <w:tcW w:w="5720" w:type="dxa"/>
            <w:shd w:val="clear" w:color="auto" w:fill="auto"/>
          </w:tcPr>
          <w:p>
            <w:pPr>
              <w:spacing w:line="360" w:lineRule="auto"/>
              <w:jc w:val="center"/>
              <w:rPr>
                <w:rFonts w:ascii="宋体" w:hAnsi="宋体" w:cs="仿宋_GB2312"/>
                <w:color w:val="auto"/>
                <w:sz w:val="24"/>
                <w:highlight w:val="none"/>
              </w:rP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3</w:t>
            </w:r>
          </w:p>
        </w:tc>
        <w:tc>
          <w:tcPr>
            <w:tcW w:w="1701" w:type="dxa"/>
            <w:shd w:val="clear" w:color="auto" w:fill="auto"/>
          </w:tcPr>
          <w:p>
            <w:pPr>
              <w:spacing w:line="360" w:lineRule="auto"/>
              <w:jc w:val="center"/>
              <w:rPr>
                <w:rFonts w:ascii="宋体" w:hAnsi="宋体" w:cs="仿宋_GB2312"/>
                <w:color w:val="auto"/>
                <w:sz w:val="24"/>
                <w:highlight w:val="none"/>
              </w:rPr>
            </w:pPr>
          </w:p>
        </w:tc>
        <w:tc>
          <w:tcPr>
            <w:tcW w:w="5720" w:type="dxa"/>
            <w:shd w:val="clear" w:color="auto" w:fill="auto"/>
          </w:tcPr>
          <w:p>
            <w:pPr>
              <w:spacing w:line="360" w:lineRule="auto"/>
              <w:jc w:val="center"/>
              <w:rPr>
                <w:rFonts w:ascii="宋体" w:hAnsi="宋体" w:cs="仿宋_GB2312"/>
                <w:color w:val="auto"/>
                <w:sz w:val="24"/>
                <w:highlight w:val="none"/>
              </w:rPr>
            </w:pPr>
          </w:p>
        </w:tc>
      </w:tr>
    </w:tbl>
    <w:p>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6.资金支付方式：</w:t>
      </w:r>
      <w:r>
        <w:rPr>
          <w:rFonts w:hint="eastAsia" w:ascii="宋体" w:hAnsi="宋体"/>
          <w:iCs/>
          <w:color w:val="auto"/>
          <w:sz w:val="24"/>
          <w:highlight w:val="none"/>
          <w:u w:val="single"/>
        </w:rPr>
        <w:t xml:space="preserve">                           </w:t>
      </w:r>
    </w:p>
    <w:p>
      <w:pPr>
        <w:spacing w:line="360" w:lineRule="auto"/>
        <w:ind w:firstLine="480" w:firstLineChars="200"/>
        <w:jc w:val="left"/>
        <w:rPr>
          <w:rFonts w:ascii="宋体" w:hAnsi="宋体"/>
          <w:iCs/>
          <w:color w:val="auto"/>
          <w:sz w:val="24"/>
          <w:highlight w:val="none"/>
        </w:rPr>
      </w:pPr>
      <w:r>
        <w:rPr>
          <w:rFonts w:hint="eastAsia" w:ascii="宋体" w:hAnsi="宋体"/>
          <w:iCs/>
          <w:color w:val="auto"/>
          <w:sz w:val="24"/>
          <w:highlight w:val="none"/>
        </w:rPr>
        <w:t>7.验收、交付标准和方法</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ascii="宋体" w:hAnsi="宋体"/>
          <w:color w:val="auto"/>
          <w:sz w:val="24"/>
          <w:highlight w:val="none"/>
          <w:u w:val="single"/>
        </w:rPr>
      </w:pPr>
      <w:r>
        <w:rPr>
          <w:rFonts w:hint="eastAsia" w:ascii="宋体" w:hAnsi="宋体"/>
          <w:iCs/>
          <w:color w:val="auto"/>
          <w:sz w:val="24"/>
          <w:highlight w:val="none"/>
        </w:rPr>
        <w:t>8.质量保修范围和保修期：</w:t>
      </w:r>
      <w:r>
        <w:rPr>
          <w:rFonts w:hint="eastAsia" w:ascii="宋体" w:hAnsi="宋体"/>
          <w:color w:val="auto"/>
          <w:sz w:val="24"/>
          <w:highlight w:val="none"/>
          <w:u w:val="single"/>
        </w:rPr>
        <w:t xml:space="preserve">                   </w:t>
      </w:r>
    </w:p>
    <w:p>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9.知识产权归属、处理方式：</w:t>
      </w:r>
      <w:r>
        <w:rPr>
          <w:rFonts w:hint="eastAsia" w:ascii="宋体" w:hAnsi="宋体"/>
          <w:iCs/>
          <w:color w:val="auto"/>
          <w:sz w:val="24"/>
          <w:highlight w:val="none"/>
          <w:u w:val="single"/>
        </w:rPr>
        <w:t xml:space="preserve">                    </w:t>
      </w:r>
    </w:p>
    <w:p>
      <w:pPr>
        <w:spacing w:line="360" w:lineRule="auto"/>
        <w:ind w:firstLine="480" w:firstLineChars="200"/>
        <w:jc w:val="left"/>
        <w:rPr>
          <w:rFonts w:ascii="宋体" w:hAnsi="宋体"/>
          <w:iCs/>
          <w:color w:val="auto"/>
          <w:sz w:val="24"/>
          <w:highlight w:val="none"/>
        </w:rPr>
      </w:pPr>
      <w:r>
        <w:rPr>
          <w:rFonts w:hint="eastAsia" w:ascii="宋体" w:hAnsi="宋体"/>
          <w:iCs/>
          <w:color w:val="auto"/>
          <w:sz w:val="24"/>
          <w:highlight w:val="none"/>
        </w:rPr>
        <w:t>10.成本补偿、风险分担约定</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80" w:firstLineChars="200"/>
        <w:jc w:val="left"/>
        <w:rPr>
          <w:rFonts w:ascii="宋体" w:hAnsi="宋体"/>
          <w:iCs/>
          <w:color w:val="auto"/>
          <w:sz w:val="24"/>
          <w:highlight w:val="none"/>
          <w:u w:val="single"/>
        </w:rPr>
      </w:pPr>
      <w:r>
        <w:rPr>
          <w:rFonts w:hint="eastAsia" w:ascii="宋体" w:hAnsi="宋体"/>
          <w:iCs/>
          <w:color w:val="auto"/>
          <w:sz w:val="24"/>
          <w:highlight w:val="none"/>
        </w:rPr>
        <w:t>11.违约责任与解决争议的方法：</w:t>
      </w:r>
      <w:r>
        <w:rPr>
          <w:rFonts w:hint="eastAsia" w:ascii="宋体" w:hAnsi="宋体"/>
          <w:iCs/>
          <w:color w:val="auto"/>
          <w:sz w:val="24"/>
          <w:highlight w:val="none"/>
          <w:u w:val="single"/>
        </w:rPr>
        <w:t xml:space="preserve">                                    </w:t>
      </w:r>
    </w:p>
    <w:p>
      <w:pPr>
        <w:spacing w:line="360" w:lineRule="auto"/>
        <w:ind w:firstLine="480" w:firstLineChars="200"/>
        <w:jc w:val="left"/>
        <w:rPr>
          <w:rFonts w:ascii="宋体" w:hAnsi="宋体"/>
          <w:iCs/>
          <w:color w:val="auto"/>
          <w:sz w:val="24"/>
          <w:highlight w:val="none"/>
        </w:rPr>
      </w:pPr>
      <w:r>
        <w:rPr>
          <w:rFonts w:hint="eastAsia" w:ascii="宋体" w:hAnsi="宋体"/>
          <w:iCs/>
          <w:color w:val="auto"/>
          <w:sz w:val="24"/>
          <w:highlight w:val="none"/>
        </w:rPr>
        <w:t>12.其他条款</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三、履约验收方案</w:t>
      </w:r>
    </w:p>
    <w:p>
      <w:pPr>
        <w:spacing w:line="360" w:lineRule="auto"/>
        <w:jc w:val="left"/>
        <w:rPr>
          <w:rFonts w:ascii="宋体" w:hAnsi="宋体"/>
          <w:color w:val="auto"/>
          <w:sz w:val="24"/>
          <w:highlight w:val="none"/>
        </w:rPr>
      </w:pPr>
      <w:r>
        <w:rPr>
          <w:rFonts w:hint="eastAsia" w:ascii="宋体" w:hAnsi="宋体"/>
          <w:color w:val="auto"/>
          <w:sz w:val="24"/>
          <w:highlight w:val="none"/>
        </w:rPr>
        <w:t>（一）履约验收主体</w:t>
      </w:r>
    </w:p>
    <w:p>
      <w:pPr>
        <w:spacing w:line="360" w:lineRule="auto"/>
        <w:ind w:left="420" w:leftChars="200"/>
        <w:jc w:val="left"/>
        <w:rPr>
          <w:rFonts w:ascii="宋体" w:hAnsi="宋体"/>
          <w:color w:val="auto"/>
          <w:sz w:val="24"/>
          <w:highlight w:val="none"/>
          <w:u w:val="single"/>
        </w:rPr>
      </w:pPr>
      <w:r>
        <w:rPr>
          <w:rFonts w:hint="eastAsia" w:ascii="宋体" w:hAnsi="宋体"/>
          <w:color w:val="auto"/>
          <w:sz w:val="24"/>
          <w:highlight w:val="none"/>
        </w:rPr>
        <w:t>1.采购单位：</w:t>
      </w:r>
      <w:r>
        <w:rPr>
          <w:rFonts w:hint="eastAsia" w:ascii="宋体" w:hAnsi="宋体"/>
          <w:color w:val="auto"/>
          <w:sz w:val="24"/>
          <w:highlight w:val="none"/>
          <w:u w:val="single"/>
        </w:rPr>
        <w:t xml:space="preserve">                             </w:t>
      </w:r>
    </w:p>
    <w:p>
      <w:pPr>
        <w:spacing w:line="360" w:lineRule="auto"/>
        <w:ind w:left="420" w:leftChars="200"/>
        <w:jc w:val="left"/>
        <w:rPr>
          <w:rFonts w:ascii="宋体" w:hAnsi="宋体"/>
          <w:color w:val="auto"/>
          <w:sz w:val="24"/>
          <w:highlight w:val="none"/>
          <w:u w:val="single"/>
        </w:rPr>
      </w:pPr>
      <w:r>
        <w:rPr>
          <w:rFonts w:hint="eastAsia" w:ascii="宋体" w:hAnsi="宋体"/>
          <w:color w:val="auto"/>
          <w:sz w:val="24"/>
          <w:highlight w:val="none"/>
        </w:rPr>
        <w:t>2.是否选择代理机构：</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p>
      <w:pPr>
        <w:spacing w:line="360" w:lineRule="auto"/>
        <w:ind w:left="420" w:leftChars="200"/>
        <w:jc w:val="left"/>
        <w:rPr>
          <w:rFonts w:ascii="宋体" w:hAnsi="宋体"/>
          <w:color w:val="auto"/>
          <w:sz w:val="24"/>
          <w:highlight w:val="none"/>
          <w:u w:val="single"/>
        </w:rPr>
      </w:pPr>
      <w:r>
        <w:rPr>
          <w:rFonts w:hint="eastAsia" w:ascii="宋体" w:hAnsi="宋体"/>
          <w:color w:val="auto"/>
          <w:sz w:val="24"/>
          <w:highlight w:val="none"/>
        </w:rPr>
        <w:t>3.是否邀请本项目的其他供应商：</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4.是否邀请专家：</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5.是否邀请服务对象：</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6.其他</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rPr>
        <w:t>（二）履约验收时间：</w:t>
      </w: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（三）履约验收方式：</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简易程序</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一般程序</w:t>
      </w:r>
    </w:p>
    <w:p>
      <w:pPr>
        <w:spacing w:line="360" w:lineRule="auto"/>
        <w:jc w:val="left"/>
        <w:rPr>
          <w:rFonts w:ascii="宋体" w:hAnsi="宋体"/>
          <w:color w:val="auto"/>
          <w:sz w:val="24"/>
          <w:highlight w:val="none"/>
        </w:rPr>
      </w:pPr>
      <w:r>
        <w:rPr>
          <w:rFonts w:hint="eastAsia" w:ascii="宋体" w:hAnsi="宋体"/>
          <w:color w:val="auto"/>
          <w:sz w:val="24"/>
          <w:highlight w:val="none"/>
        </w:rPr>
        <w:t>（四）履约验收程序：</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一次性验收</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分段验收</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分期验收</w:t>
      </w:r>
    </w:p>
    <w:p>
      <w:pPr>
        <w:spacing w:line="360" w:lineRule="auto"/>
        <w:jc w:val="left"/>
        <w:rPr>
          <w:rFonts w:ascii="宋体" w:hAnsi="宋体"/>
          <w:color w:val="auto"/>
          <w:sz w:val="24"/>
          <w:highlight w:val="none"/>
        </w:rPr>
      </w:pPr>
      <w:r>
        <w:rPr>
          <w:rFonts w:hint="eastAsia" w:ascii="宋体" w:hAnsi="宋体"/>
          <w:color w:val="auto"/>
          <w:sz w:val="24"/>
          <w:highlight w:val="none"/>
        </w:rPr>
        <w:t>（五）履约验收内容</w:t>
      </w:r>
    </w:p>
    <w:p>
      <w:pPr>
        <w:spacing w:line="360" w:lineRule="auto"/>
        <w:ind w:firstLine="420"/>
        <w:jc w:val="left"/>
        <w:rPr>
          <w:rFonts w:ascii="宋体" w:hAnsi="宋体"/>
          <w:iCs/>
          <w:color w:val="auto"/>
          <w:sz w:val="24"/>
          <w:highlight w:val="none"/>
        </w:rPr>
      </w:pPr>
      <w:r>
        <w:rPr>
          <w:rFonts w:hint="eastAsia" w:ascii="宋体" w:hAnsi="宋体"/>
          <w:iCs/>
          <w:color w:val="auto"/>
          <w:sz w:val="24"/>
          <w:highlight w:val="none"/>
        </w:rPr>
        <w:t>1.技术履约内容</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ind w:firstLine="420"/>
        <w:jc w:val="left"/>
        <w:rPr>
          <w:rFonts w:ascii="宋体" w:hAnsi="宋体"/>
          <w:iCs/>
          <w:color w:val="auto"/>
          <w:sz w:val="24"/>
          <w:highlight w:val="none"/>
        </w:rPr>
      </w:pPr>
      <w:r>
        <w:rPr>
          <w:rFonts w:hint="eastAsia" w:ascii="宋体" w:hAnsi="宋体"/>
          <w:iCs/>
          <w:color w:val="auto"/>
          <w:sz w:val="24"/>
          <w:highlight w:val="none"/>
        </w:rPr>
        <w:t>2.商务履约内容</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（六）履约验收标准</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（七）履约验收其他事项</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四、风险控制措施和替代方案</w:t>
      </w:r>
    </w:p>
    <w:p>
      <w:pPr>
        <w:spacing w:line="360" w:lineRule="auto"/>
        <w:ind w:firstLine="420"/>
        <w:jc w:val="left"/>
        <w:rPr>
          <w:rFonts w:ascii="宋体" w:hAnsi="宋体"/>
          <w:color w:val="auto"/>
          <w:sz w:val="24"/>
          <w:highlight w:val="none"/>
        </w:rPr>
      </w:pPr>
      <w:r>
        <w:rPr>
          <w:rFonts w:hint="eastAsia" w:ascii="宋体" w:hAnsi="宋体"/>
          <w:color w:val="auto"/>
          <w:sz w:val="24"/>
          <w:highlight w:val="none"/>
        </w:rPr>
        <w:t>该采购项目按照《政府采购需求管理办法》第二十五条规定，是否需要组织风险判断、提出处置措施和替代方案：</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是</w:t>
      </w:r>
      <w:r>
        <w:rPr>
          <w:rFonts w:hint="eastAsia" w:ascii="宋体" w:hAnsi="宋体"/>
          <w:color w:val="auto"/>
          <w:sz w:val="24"/>
          <w:highlight w:val="none"/>
        </w:rPr>
        <w:tab/>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p>
      <w:pPr>
        <w:spacing w:line="360" w:lineRule="auto"/>
        <w:jc w:val="left"/>
        <w:rPr>
          <w:rFonts w:ascii="宋体" w:hAnsi="宋体"/>
          <w:color w:val="auto"/>
          <w:sz w:val="24"/>
          <w:highlight w:val="none"/>
        </w:rPr>
      </w:pPr>
      <w:r>
        <w:rPr>
          <w:rFonts w:hint="eastAsia" w:ascii="宋体" w:hAnsi="宋体"/>
          <w:color w:val="auto"/>
          <w:sz w:val="24"/>
          <w:highlight w:val="none"/>
        </w:rPr>
        <w:t>（一）国家政策变化应对措施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（二）实施环境变化应对措施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（三）重大技术变化应对措施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（四）预算项目调整应对措施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（五）因质疑投诉影响采购进度应对措施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（六）采购失败应对措施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（七）不按规定签订或者履行合同应对措施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（八）出现损害国家利益和社会公共利益情形应对措施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rPr>
        <w:t>（九）其他采购和合同履行过程的风险及应对措施</w:t>
      </w:r>
    </w:p>
    <w:p>
      <w:pPr>
        <w:spacing w:line="360" w:lineRule="auto"/>
        <w:ind w:firstLine="420"/>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u w:val="single"/>
        </w:rPr>
      </w:pPr>
      <w:r>
        <w:rPr>
          <w:rFonts w:hint="eastAsia" w:ascii="宋体" w:hAnsi="宋体"/>
          <w:color w:val="auto"/>
          <w:sz w:val="24"/>
          <w:highlight w:val="none"/>
          <w:u w:val="single"/>
        </w:rPr>
        <w:t xml:space="preserve">                                                                     </w:t>
      </w:r>
    </w:p>
    <w:p>
      <w:pPr>
        <w:spacing w:line="360" w:lineRule="auto"/>
        <w:jc w:val="left"/>
        <w:rPr>
          <w:rFonts w:ascii="宋体" w:hAnsi="宋体"/>
          <w:color w:val="auto"/>
          <w:sz w:val="24"/>
          <w:highlight w:val="none"/>
        </w:rPr>
      </w:pPr>
      <w:r>
        <w:rPr>
          <w:rFonts w:hint="eastAsia" w:ascii="宋体" w:hAnsi="宋体"/>
          <w:color w:val="auto"/>
          <w:sz w:val="24"/>
          <w:highlight w:val="none"/>
          <w:u w:val="single"/>
        </w:rPr>
        <w:t xml:space="preserve">                                                                     </w:t>
      </w:r>
    </w:p>
    <w:p>
      <w:pPr>
        <w:spacing w:line="360" w:lineRule="auto"/>
        <w:jc w:val="center"/>
        <w:rPr>
          <w:rFonts w:ascii="宋体" w:hAnsi="宋体"/>
          <w:color w:val="auto"/>
          <w:sz w:val="24"/>
          <w:highlight w:val="none"/>
        </w:rPr>
      </w:pPr>
      <w:r>
        <w:rPr>
          <w:rFonts w:ascii="宋体" w:hAnsi="宋体"/>
          <w:color w:val="auto"/>
          <w:sz w:val="24"/>
          <w:highlight w:val="none"/>
        </w:rPr>
        <w:br w:type="page"/>
      </w: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left"/>
        <w:rPr>
          <w:rFonts w:ascii="宋体" w:hAnsi="宋体"/>
          <w:color w:val="auto"/>
          <w:sz w:val="24"/>
          <w:highlight w:val="none"/>
        </w:rPr>
      </w:pPr>
    </w:p>
    <w:p>
      <w:pPr>
        <w:spacing w:line="360" w:lineRule="auto"/>
        <w:jc w:val="center"/>
        <w:rPr>
          <w:rFonts w:ascii="方正小标宋简体" w:hAnsi="方正小标宋简体" w:eastAsia="方正小标宋简体" w:cs="宋体"/>
          <w:color w:val="auto"/>
          <w:sz w:val="52"/>
          <w:szCs w:val="52"/>
          <w:highlight w:val="none"/>
        </w:rPr>
      </w:pPr>
      <w:r>
        <w:rPr>
          <w:rFonts w:hint="eastAsia" w:ascii="方正小标宋简体" w:hAnsi="方正小标宋简体" w:eastAsia="方正小标宋简体" w:cs="宋体"/>
          <w:color w:val="auto"/>
          <w:sz w:val="52"/>
          <w:szCs w:val="52"/>
          <w:highlight w:val="none"/>
        </w:rPr>
        <w:t>政府采购项目采购需求</w:t>
      </w:r>
    </w:p>
    <w:p>
      <w:pPr>
        <w:spacing w:line="360" w:lineRule="auto"/>
        <w:jc w:val="center"/>
        <w:rPr>
          <w:rFonts w:ascii="方正小标宋简体" w:hAnsi="方正小标宋简体" w:eastAsia="方正小标宋简体" w:cs="宋体"/>
          <w:color w:val="auto"/>
          <w:sz w:val="52"/>
          <w:szCs w:val="52"/>
          <w:highlight w:val="none"/>
        </w:rPr>
      </w:pPr>
      <w:r>
        <w:rPr>
          <w:rFonts w:hint="eastAsia" w:ascii="方正小标宋简体" w:hAnsi="方正小标宋简体" w:eastAsia="方正小标宋简体" w:cs="宋体"/>
          <w:color w:val="auto"/>
          <w:sz w:val="52"/>
          <w:szCs w:val="52"/>
          <w:highlight w:val="none"/>
        </w:rPr>
        <w:t>审查意见</w:t>
      </w:r>
    </w:p>
    <w:p>
      <w:pPr>
        <w:spacing w:line="360" w:lineRule="auto"/>
        <w:jc w:val="center"/>
        <w:rPr>
          <w:rFonts w:ascii="方正小标宋简体" w:hAnsi="方正小标宋简体" w:eastAsia="方正小标宋简体"/>
          <w:color w:val="auto"/>
          <w:sz w:val="44"/>
          <w:szCs w:val="44"/>
          <w:highlight w:val="none"/>
        </w:rPr>
      </w:pPr>
    </w:p>
    <w:p>
      <w:pPr>
        <w:spacing w:line="360" w:lineRule="auto"/>
        <w:jc w:val="center"/>
        <w:rPr>
          <w:rFonts w:ascii="方正小标宋简体" w:hAnsi="方正小标宋简体" w:eastAsia="方正小标宋简体"/>
          <w:color w:val="auto"/>
          <w:sz w:val="44"/>
          <w:szCs w:val="44"/>
          <w:highlight w:val="none"/>
        </w:rPr>
      </w:pPr>
    </w:p>
    <w:p>
      <w:pPr>
        <w:spacing w:line="360" w:lineRule="auto"/>
        <w:jc w:val="center"/>
        <w:rPr>
          <w:rFonts w:ascii="方正小标宋简体" w:hAnsi="方正小标宋简体" w:eastAsia="方正小标宋简体"/>
          <w:color w:val="auto"/>
          <w:sz w:val="44"/>
          <w:szCs w:val="44"/>
          <w:highlight w:val="none"/>
        </w:rPr>
      </w:pP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采购单位：</w:t>
      </w:r>
      <w:r>
        <w:rPr>
          <w:rFonts w:hint="eastAsia" w:ascii="方正小标宋简体" w:hAnsi="方正小标宋简体" w:eastAsia="方正小标宋简体"/>
          <w:color w:val="auto"/>
          <w:sz w:val="28"/>
          <w:szCs w:val="28"/>
          <w:highlight w:val="none"/>
        </w:rPr>
        <w:tab/>
      </w:r>
      <w:r>
        <w:rPr>
          <w:rFonts w:hint="eastAsia" w:ascii="方正小标宋简体" w:hAnsi="方正小标宋简体" w:eastAsia="方正小标宋简体"/>
          <w:color w:val="auto"/>
          <w:sz w:val="28"/>
          <w:szCs w:val="28"/>
          <w:highlight w:val="none"/>
          <w:u w:val="single"/>
        </w:rPr>
        <w:t xml:space="preserve">                        </w:t>
      </w: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ascii="方正小标宋简体" w:hAnsi="方正小标宋简体" w:eastAsia="方正小标宋简体"/>
          <w:color w:val="auto"/>
          <w:sz w:val="28"/>
          <w:szCs w:val="28"/>
          <w:highlight w:val="none"/>
        </w:rPr>
        <w:t>项目名称</w:t>
      </w:r>
      <w:r>
        <w:rPr>
          <w:rFonts w:hint="eastAsia" w:ascii="方正小标宋简体" w:hAnsi="方正小标宋简体" w:eastAsia="方正小标宋简体"/>
          <w:color w:val="auto"/>
          <w:sz w:val="28"/>
          <w:szCs w:val="28"/>
          <w:highlight w:val="none"/>
        </w:rPr>
        <w:t>：</w:t>
      </w:r>
      <w:r>
        <w:rPr>
          <w:rFonts w:hint="eastAsia" w:ascii="方正小标宋简体" w:hAnsi="方正小标宋简体" w:eastAsia="方正小标宋简体"/>
          <w:color w:val="auto"/>
          <w:sz w:val="28"/>
          <w:szCs w:val="28"/>
          <w:highlight w:val="none"/>
        </w:rPr>
        <w:tab/>
      </w:r>
      <w:r>
        <w:rPr>
          <w:rFonts w:hint="eastAsia" w:ascii="方正小标宋简体" w:hAnsi="方正小标宋简体" w:eastAsia="方正小标宋简体"/>
          <w:color w:val="auto"/>
          <w:sz w:val="28"/>
          <w:szCs w:val="28"/>
          <w:highlight w:val="none"/>
          <w:u w:val="single"/>
        </w:rPr>
        <w:t xml:space="preserve">                        </w:t>
      </w: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第三方机构：</w:t>
      </w:r>
      <w:r>
        <w:rPr>
          <w:rFonts w:hint="eastAsia" w:ascii="方正小标宋简体" w:hAnsi="方正小标宋简体" w:eastAsia="方正小标宋简体"/>
          <w:color w:val="auto"/>
          <w:sz w:val="28"/>
          <w:szCs w:val="28"/>
          <w:highlight w:val="none"/>
          <w:u w:val="single"/>
        </w:rPr>
        <w:t xml:space="preserve">                        </w:t>
      </w:r>
    </w:p>
    <w:p>
      <w:pPr>
        <w:spacing w:line="360" w:lineRule="auto"/>
        <w:ind w:left="420" w:leftChars="200" w:firstLine="1260" w:firstLineChars="450"/>
        <w:rPr>
          <w:rFonts w:ascii="方正小标宋简体" w:hAnsi="方正小标宋简体" w:eastAsia="方正小标宋简体"/>
          <w:color w:val="auto"/>
          <w:sz w:val="28"/>
          <w:szCs w:val="28"/>
          <w:highlight w:val="none"/>
          <w:u w:val="single"/>
        </w:rPr>
      </w:pPr>
      <w:r>
        <w:rPr>
          <w:rFonts w:hint="eastAsia" w:ascii="方正小标宋简体" w:hAnsi="方正小标宋简体" w:eastAsia="方正小标宋简体"/>
          <w:color w:val="auto"/>
          <w:sz w:val="28"/>
          <w:szCs w:val="28"/>
          <w:highlight w:val="none"/>
        </w:rPr>
        <w:t>审查时间：</w:t>
      </w:r>
      <w:r>
        <w:rPr>
          <w:rFonts w:hint="eastAsia" w:ascii="方正小标宋简体" w:hAnsi="方正小标宋简体" w:eastAsia="方正小标宋简体"/>
          <w:color w:val="auto"/>
          <w:sz w:val="28"/>
          <w:szCs w:val="28"/>
          <w:highlight w:val="none"/>
        </w:rPr>
        <w:tab/>
      </w:r>
      <w:r>
        <w:rPr>
          <w:rFonts w:hint="eastAsia" w:ascii="方正小标宋简体" w:hAnsi="方正小标宋简体" w:eastAsia="方正小标宋简体"/>
          <w:color w:val="auto"/>
          <w:sz w:val="28"/>
          <w:szCs w:val="28"/>
          <w:highlight w:val="none"/>
          <w:u w:val="single"/>
        </w:rPr>
        <w:t xml:space="preserve">                        </w:t>
      </w:r>
    </w:p>
    <w:p>
      <w:pPr>
        <w:widowControl/>
        <w:jc w:val="left"/>
        <w:rPr>
          <w:rFonts w:ascii="宋体" w:hAnsi="宋体" w:cs="仿宋_GB2312"/>
          <w:color w:val="auto"/>
          <w:sz w:val="24"/>
          <w:highlight w:val="none"/>
        </w:rPr>
      </w:pPr>
      <w:r>
        <w:rPr>
          <w:rFonts w:ascii="宋体" w:hAnsi="宋体" w:cs="仿宋_GB2312"/>
          <w:color w:val="auto"/>
          <w:sz w:val="24"/>
          <w:highlight w:val="none"/>
        </w:rPr>
        <w:br w:type="page"/>
      </w:r>
    </w:p>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一、审查项目名称</w:t>
      </w:r>
    </w:p>
    <w:p>
      <w:pPr>
        <w:spacing w:before="240" w:beforeLines="100" w:line="360" w:lineRule="auto"/>
        <w:ind w:firstLine="420"/>
        <w:jc w:val="left"/>
        <w:rPr>
          <w:rFonts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p>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二、参与审查人员名单</w:t>
      </w:r>
    </w:p>
    <w:tbl>
      <w:tblPr>
        <w:tblStyle w:val="62"/>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405"/>
        <w:gridCol w:w="1922"/>
        <w:gridCol w:w="1207"/>
        <w:gridCol w:w="1345"/>
        <w:gridCol w:w="1301"/>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405" w:type="dxa"/>
            <w:tcBorders>
              <w:right w:val="single" w:color="auto" w:sz="4" w:space="0"/>
            </w:tcBorders>
            <w:vAlign w:val="center"/>
          </w:tcPr>
          <w:p>
            <w:pPr>
              <w:spacing w:line="360" w:lineRule="auto"/>
              <w:jc w:val="center"/>
              <w:rPr>
                <w:rFonts w:ascii="宋体" w:hAnsi="宋体"/>
                <w:color w:val="auto"/>
                <w:sz w:val="24"/>
                <w:highlight w:val="none"/>
              </w:rPr>
            </w:pPr>
            <w:r>
              <w:rPr>
                <w:rFonts w:ascii="宋体" w:hAnsi="宋体"/>
                <w:color w:val="auto"/>
                <w:sz w:val="24"/>
                <w:highlight w:val="none"/>
              </w:rPr>
              <w:t>姓名</w:t>
            </w:r>
          </w:p>
        </w:tc>
        <w:tc>
          <w:tcPr>
            <w:tcW w:w="1922" w:type="dxa"/>
            <w:tcBorders>
              <w:lef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120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内部处室</w:t>
            </w:r>
          </w:p>
        </w:tc>
        <w:tc>
          <w:tcPr>
            <w:tcW w:w="134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职务/职称</w:t>
            </w:r>
          </w:p>
        </w:tc>
        <w:tc>
          <w:tcPr>
            <w:tcW w:w="1301"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联系方式</w:t>
            </w:r>
          </w:p>
        </w:tc>
        <w:tc>
          <w:tcPr>
            <w:tcW w:w="82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color w:val="auto"/>
                <w:sz w:val="24"/>
                <w:highlight w:val="none"/>
              </w:rPr>
            </w:pPr>
          </w:p>
        </w:tc>
        <w:tc>
          <w:tcPr>
            <w:tcW w:w="1405" w:type="dxa"/>
            <w:tcBorders>
              <w:right w:val="single" w:color="auto" w:sz="4" w:space="0"/>
            </w:tcBorders>
            <w:vAlign w:val="center"/>
          </w:tcPr>
          <w:p>
            <w:pPr>
              <w:spacing w:line="360" w:lineRule="auto"/>
              <w:jc w:val="center"/>
              <w:rPr>
                <w:rFonts w:ascii="宋体" w:hAnsi="宋体"/>
                <w:color w:val="auto"/>
                <w:sz w:val="24"/>
                <w:highlight w:val="none"/>
              </w:rPr>
            </w:pPr>
          </w:p>
        </w:tc>
        <w:tc>
          <w:tcPr>
            <w:tcW w:w="1922" w:type="dxa"/>
            <w:tcBorders>
              <w:left w:val="single" w:color="auto" w:sz="4" w:space="0"/>
            </w:tcBorders>
            <w:vAlign w:val="center"/>
          </w:tcPr>
          <w:p>
            <w:pPr>
              <w:spacing w:line="360" w:lineRule="auto"/>
              <w:jc w:val="center"/>
              <w:rPr>
                <w:rFonts w:ascii="宋体" w:hAnsi="宋体"/>
                <w:color w:val="auto"/>
                <w:sz w:val="24"/>
                <w:highlight w:val="none"/>
              </w:rPr>
            </w:pPr>
          </w:p>
        </w:tc>
        <w:tc>
          <w:tcPr>
            <w:tcW w:w="1207" w:type="dxa"/>
            <w:vAlign w:val="center"/>
          </w:tcPr>
          <w:p>
            <w:pPr>
              <w:spacing w:line="360" w:lineRule="auto"/>
              <w:jc w:val="center"/>
              <w:rPr>
                <w:rFonts w:ascii="宋体" w:hAnsi="宋体"/>
                <w:color w:val="auto"/>
                <w:sz w:val="24"/>
                <w:highlight w:val="none"/>
              </w:rPr>
            </w:pPr>
          </w:p>
        </w:tc>
        <w:tc>
          <w:tcPr>
            <w:tcW w:w="1345" w:type="dxa"/>
            <w:vAlign w:val="center"/>
          </w:tcPr>
          <w:p>
            <w:pPr>
              <w:spacing w:line="360" w:lineRule="auto"/>
              <w:jc w:val="center"/>
              <w:rPr>
                <w:rFonts w:ascii="宋体" w:hAnsi="宋体"/>
                <w:color w:val="auto"/>
                <w:sz w:val="24"/>
                <w:highlight w:val="none"/>
              </w:rPr>
            </w:pPr>
          </w:p>
        </w:tc>
        <w:tc>
          <w:tcPr>
            <w:tcW w:w="1301" w:type="dxa"/>
            <w:vAlign w:val="center"/>
          </w:tcPr>
          <w:p>
            <w:pPr>
              <w:spacing w:line="360" w:lineRule="auto"/>
              <w:jc w:val="center"/>
              <w:rPr>
                <w:rFonts w:ascii="宋体" w:hAnsi="宋体"/>
                <w:color w:val="auto"/>
                <w:sz w:val="24"/>
                <w:highlight w:val="none"/>
              </w:rPr>
            </w:pPr>
          </w:p>
        </w:tc>
        <w:tc>
          <w:tcPr>
            <w:tcW w:w="825"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color w:val="auto"/>
                <w:sz w:val="24"/>
                <w:highlight w:val="none"/>
              </w:rPr>
            </w:pPr>
          </w:p>
        </w:tc>
        <w:tc>
          <w:tcPr>
            <w:tcW w:w="1405" w:type="dxa"/>
            <w:tcBorders>
              <w:right w:val="single" w:color="auto" w:sz="4" w:space="0"/>
            </w:tcBorders>
            <w:vAlign w:val="center"/>
          </w:tcPr>
          <w:p>
            <w:pPr>
              <w:spacing w:line="360" w:lineRule="auto"/>
              <w:jc w:val="center"/>
              <w:rPr>
                <w:rFonts w:ascii="宋体" w:hAnsi="宋体"/>
                <w:color w:val="auto"/>
                <w:sz w:val="24"/>
                <w:highlight w:val="none"/>
              </w:rPr>
            </w:pPr>
          </w:p>
        </w:tc>
        <w:tc>
          <w:tcPr>
            <w:tcW w:w="1922" w:type="dxa"/>
            <w:tcBorders>
              <w:left w:val="single" w:color="auto" w:sz="4" w:space="0"/>
            </w:tcBorders>
            <w:vAlign w:val="center"/>
          </w:tcPr>
          <w:p>
            <w:pPr>
              <w:spacing w:line="360" w:lineRule="auto"/>
              <w:jc w:val="center"/>
              <w:rPr>
                <w:rFonts w:ascii="宋体" w:hAnsi="宋体"/>
                <w:color w:val="auto"/>
                <w:sz w:val="24"/>
                <w:highlight w:val="none"/>
              </w:rPr>
            </w:pPr>
          </w:p>
        </w:tc>
        <w:tc>
          <w:tcPr>
            <w:tcW w:w="1207" w:type="dxa"/>
            <w:vAlign w:val="center"/>
          </w:tcPr>
          <w:p>
            <w:pPr>
              <w:spacing w:line="360" w:lineRule="auto"/>
              <w:jc w:val="center"/>
              <w:rPr>
                <w:rFonts w:ascii="宋体" w:hAnsi="宋体"/>
                <w:color w:val="auto"/>
                <w:sz w:val="24"/>
                <w:highlight w:val="none"/>
              </w:rPr>
            </w:pPr>
          </w:p>
        </w:tc>
        <w:tc>
          <w:tcPr>
            <w:tcW w:w="1345" w:type="dxa"/>
            <w:vAlign w:val="center"/>
          </w:tcPr>
          <w:p>
            <w:pPr>
              <w:spacing w:line="360" w:lineRule="auto"/>
              <w:jc w:val="center"/>
              <w:rPr>
                <w:rFonts w:ascii="宋体" w:hAnsi="宋体"/>
                <w:color w:val="auto"/>
                <w:sz w:val="24"/>
                <w:highlight w:val="none"/>
              </w:rPr>
            </w:pPr>
          </w:p>
        </w:tc>
        <w:tc>
          <w:tcPr>
            <w:tcW w:w="1301" w:type="dxa"/>
            <w:vAlign w:val="center"/>
          </w:tcPr>
          <w:p>
            <w:pPr>
              <w:spacing w:line="360" w:lineRule="auto"/>
              <w:jc w:val="center"/>
              <w:rPr>
                <w:rFonts w:ascii="宋体" w:hAnsi="宋体"/>
                <w:color w:val="auto"/>
                <w:sz w:val="24"/>
                <w:highlight w:val="none"/>
              </w:rPr>
            </w:pPr>
          </w:p>
        </w:tc>
        <w:tc>
          <w:tcPr>
            <w:tcW w:w="825"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color w:val="auto"/>
                <w:sz w:val="24"/>
                <w:highlight w:val="none"/>
              </w:rPr>
            </w:pPr>
          </w:p>
        </w:tc>
        <w:tc>
          <w:tcPr>
            <w:tcW w:w="1405" w:type="dxa"/>
            <w:tcBorders>
              <w:right w:val="single" w:color="auto" w:sz="4" w:space="0"/>
            </w:tcBorders>
            <w:vAlign w:val="center"/>
          </w:tcPr>
          <w:p>
            <w:pPr>
              <w:spacing w:line="360" w:lineRule="auto"/>
              <w:jc w:val="center"/>
              <w:rPr>
                <w:rFonts w:ascii="宋体" w:hAnsi="宋体"/>
                <w:color w:val="auto"/>
                <w:sz w:val="24"/>
                <w:highlight w:val="none"/>
              </w:rPr>
            </w:pPr>
          </w:p>
        </w:tc>
        <w:tc>
          <w:tcPr>
            <w:tcW w:w="1922" w:type="dxa"/>
            <w:tcBorders>
              <w:left w:val="single" w:color="auto" w:sz="4" w:space="0"/>
            </w:tcBorders>
            <w:vAlign w:val="center"/>
          </w:tcPr>
          <w:p>
            <w:pPr>
              <w:spacing w:line="360" w:lineRule="auto"/>
              <w:jc w:val="center"/>
              <w:rPr>
                <w:rFonts w:ascii="宋体" w:hAnsi="宋体"/>
                <w:color w:val="auto"/>
                <w:sz w:val="24"/>
                <w:highlight w:val="none"/>
              </w:rPr>
            </w:pPr>
          </w:p>
        </w:tc>
        <w:tc>
          <w:tcPr>
            <w:tcW w:w="1207" w:type="dxa"/>
            <w:vAlign w:val="center"/>
          </w:tcPr>
          <w:p>
            <w:pPr>
              <w:spacing w:line="360" w:lineRule="auto"/>
              <w:jc w:val="center"/>
              <w:rPr>
                <w:rFonts w:ascii="宋体" w:hAnsi="宋体"/>
                <w:color w:val="auto"/>
                <w:sz w:val="24"/>
                <w:highlight w:val="none"/>
              </w:rPr>
            </w:pPr>
          </w:p>
        </w:tc>
        <w:tc>
          <w:tcPr>
            <w:tcW w:w="1345" w:type="dxa"/>
            <w:vAlign w:val="center"/>
          </w:tcPr>
          <w:p>
            <w:pPr>
              <w:spacing w:line="360" w:lineRule="auto"/>
              <w:jc w:val="center"/>
              <w:rPr>
                <w:rFonts w:ascii="宋体" w:hAnsi="宋体"/>
                <w:color w:val="auto"/>
                <w:sz w:val="24"/>
                <w:highlight w:val="none"/>
              </w:rPr>
            </w:pPr>
          </w:p>
        </w:tc>
        <w:tc>
          <w:tcPr>
            <w:tcW w:w="1301" w:type="dxa"/>
            <w:vAlign w:val="center"/>
          </w:tcPr>
          <w:p>
            <w:pPr>
              <w:spacing w:line="360" w:lineRule="auto"/>
              <w:jc w:val="center"/>
              <w:rPr>
                <w:rFonts w:ascii="宋体" w:hAnsi="宋体"/>
                <w:color w:val="auto"/>
                <w:sz w:val="24"/>
                <w:highlight w:val="none"/>
              </w:rPr>
            </w:pPr>
          </w:p>
        </w:tc>
        <w:tc>
          <w:tcPr>
            <w:tcW w:w="825"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color w:val="auto"/>
                <w:sz w:val="24"/>
                <w:highlight w:val="none"/>
              </w:rPr>
            </w:pPr>
          </w:p>
        </w:tc>
        <w:tc>
          <w:tcPr>
            <w:tcW w:w="1405" w:type="dxa"/>
            <w:tcBorders>
              <w:right w:val="single" w:color="auto" w:sz="4" w:space="0"/>
            </w:tcBorders>
            <w:vAlign w:val="center"/>
          </w:tcPr>
          <w:p>
            <w:pPr>
              <w:spacing w:line="360" w:lineRule="auto"/>
              <w:jc w:val="center"/>
              <w:rPr>
                <w:rFonts w:ascii="宋体" w:hAnsi="宋体"/>
                <w:color w:val="auto"/>
                <w:sz w:val="24"/>
                <w:highlight w:val="none"/>
              </w:rPr>
            </w:pPr>
          </w:p>
        </w:tc>
        <w:tc>
          <w:tcPr>
            <w:tcW w:w="1922" w:type="dxa"/>
            <w:tcBorders>
              <w:left w:val="single" w:color="auto" w:sz="4" w:space="0"/>
            </w:tcBorders>
            <w:vAlign w:val="center"/>
          </w:tcPr>
          <w:p>
            <w:pPr>
              <w:spacing w:line="360" w:lineRule="auto"/>
              <w:jc w:val="center"/>
              <w:rPr>
                <w:rFonts w:ascii="宋体" w:hAnsi="宋体"/>
                <w:color w:val="auto"/>
                <w:sz w:val="24"/>
                <w:highlight w:val="none"/>
              </w:rPr>
            </w:pPr>
          </w:p>
        </w:tc>
        <w:tc>
          <w:tcPr>
            <w:tcW w:w="1207" w:type="dxa"/>
            <w:vAlign w:val="center"/>
          </w:tcPr>
          <w:p>
            <w:pPr>
              <w:spacing w:line="360" w:lineRule="auto"/>
              <w:jc w:val="center"/>
              <w:rPr>
                <w:rFonts w:ascii="宋体" w:hAnsi="宋体"/>
                <w:color w:val="auto"/>
                <w:sz w:val="24"/>
                <w:highlight w:val="none"/>
              </w:rPr>
            </w:pPr>
          </w:p>
        </w:tc>
        <w:tc>
          <w:tcPr>
            <w:tcW w:w="1345" w:type="dxa"/>
            <w:vAlign w:val="center"/>
          </w:tcPr>
          <w:p>
            <w:pPr>
              <w:spacing w:line="360" w:lineRule="auto"/>
              <w:jc w:val="center"/>
              <w:rPr>
                <w:rFonts w:ascii="宋体" w:hAnsi="宋体"/>
                <w:color w:val="auto"/>
                <w:sz w:val="24"/>
                <w:highlight w:val="none"/>
              </w:rPr>
            </w:pPr>
          </w:p>
        </w:tc>
        <w:tc>
          <w:tcPr>
            <w:tcW w:w="1301" w:type="dxa"/>
            <w:vAlign w:val="center"/>
          </w:tcPr>
          <w:p>
            <w:pPr>
              <w:spacing w:line="360" w:lineRule="auto"/>
              <w:jc w:val="center"/>
              <w:rPr>
                <w:rFonts w:ascii="宋体" w:hAnsi="宋体"/>
                <w:color w:val="auto"/>
                <w:sz w:val="24"/>
                <w:highlight w:val="none"/>
              </w:rPr>
            </w:pPr>
          </w:p>
        </w:tc>
        <w:tc>
          <w:tcPr>
            <w:tcW w:w="825" w:type="dxa"/>
            <w:vAlign w:val="center"/>
          </w:tcPr>
          <w:p>
            <w:pPr>
              <w:spacing w:line="360" w:lineRule="auto"/>
              <w:jc w:val="center"/>
              <w:rPr>
                <w:rFonts w:ascii="宋体" w:hAnsi="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color w:val="auto"/>
                <w:sz w:val="24"/>
                <w:highlight w:val="none"/>
              </w:rPr>
            </w:pPr>
          </w:p>
        </w:tc>
        <w:tc>
          <w:tcPr>
            <w:tcW w:w="1405" w:type="dxa"/>
            <w:tcBorders>
              <w:right w:val="single" w:color="auto" w:sz="4" w:space="0"/>
            </w:tcBorders>
            <w:vAlign w:val="center"/>
          </w:tcPr>
          <w:p>
            <w:pPr>
              <w:spacing w:line="360" w:lineRule="auto"/>
              <w:jc w:val="center"/>
              <w:rPr>
                <w:rFonts w:ascii="宋体" w:hAnsi="宋体"/>
                <w:color w:val="auto"/>
                <w:sz w:val="24"/>
                <w:highlight w:val="none"/>
              </w:rPr>
            </w:pPr>
          </w:p>
        </w:tc>
        <w:tc>
          <w:tcPr>
            <w:tcW w:w="1922" w:type="dxa"/>
            <w:tcBorders>
              <w:left w:val="single" w:color="auto" w:sz="4" w:space="0"/>
            </w:tcBorders>
            <w:vAlign w:val="center"/>
          </w:tcPr>
          <w:p>
            <w:pPr>
              <w:spacing w:line="360" w:lineRule="auto"/>
              <w:jc w:val="center"/>
              <w:rPr>
                <w:rFonts w:ascii="宋体" w:hAnsi="宋体"/>
                <w:color w:val="auto"/>
                <w:sz w:val="24"/>
                <w:highlight w:val="none"/>
              </w:rPr>
            </w:pPr>
          </w:p>
        </w:tc>
        <w:tc>
          <w:tcPr>
            <w:tcW w:w="1207" w:type="dxa"/>
            <w:vAlign w:val="center"/>
          </w:tcPr>
          <w:p>
            <w:pPr>
              <w:spacing w:line="360" w:lineRule="auto"/>
              <w:jc w:val="center"/>
              <w:rPr>
                <w:rFonts w:ascii="宋体" w:hAnsi="宋体"/>
                <w:color w:val="auto"/>
                <w:sz w:val="24"/>
                <w:highlight w:val="none"/>
              </w:rPr>
            </w:pPr>
          </w:p>
        </w:tc>
        <w:tc>
          <w:tcPr>
            <w:tcW w:w="1345" w:type="dxa"/>
            <w:vAlign w:val="center"/>
          </w:tcPr>
          <w:p>
            <w:pPr>
              <w:spacing w:line="360" w:lineRule="auto"/>
              <w:jc w:val="center"/>
              <w:rPr>
                <w:rFonts w:ascii="宋体" w:hAnsi="宋体"/>
                <w:color w:val="auto"/>
                <w:sz w:val="24"/>
                <w:highlight w:val="none"/>
              </w:rPr>
            </w:pPr>
          </w:p>
        </w:tc>
        <w:tc>
          <w:tcPr>
            <w:tcW w:w="1301" w:type="dxa"/>
            <w:vAlign w:val="center"/>
          </w:tcPr>
          <w:p>
            <w:pPr>
              <w:spacing w:line="360" w:lineRule="auto"/>
              <w:jc w:val="center"/>
              <w:rPr>
                <w:rFonts w:ascii="宋体" w:hAnsi="宋体"/>
                <w:color w:val="auto"/>
                <w:sz w:val="24"/>
                <w:highlight w:val="none"/>
              </w:rPr>
            </w:pPr>
          </w:p>
        </w:tc>
        <w:tc>
          <w:tcPr>
            <w:tcW w:w="825" w:type="dxa"/>
            <w:vAlign w:val="center"/>
          </w:tcPr>
          <w:p>
            <w:pPr>
              <w:spacing w:line="360" w:lineRule="auto"/>
              <w:jc w:val="center"/>
              <w:rPr>
                <w:rFonts w:ascii="宋体" w:hAnsi="宋体"/>
                <w:color w:val="auto"/>
                <w:sz w:val="24"/>
                <w:highlight w:val="none"/>
              </w:rPr>
            </w:pPr>
          </w:p>
        </w:tc>
      </w:tr>
    </w:tbl>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三、一般性审查情况</w:t>
      </w:r>
    </w:p>
    <w:tbl>
      <w:tblPr>
        <w:tblStyle w:val="62"/>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327"/>
        <w:gridCol w:w="2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2" w:type="dxa"/>
            <w:gridSpan w:val="2"/>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审 查 内 容</w:t>
            </w:r>
          </w:p>
        </w:tc>
        <w:tc>
          <w:tcPr>
            <w:tcW w:w="2727" w:type="dxa"/>
            <w:vAlign w:val="center"/>
          </w:tcPr>
          <w:p>
            <w:pPr>
              <w:spacing w:line="360" w:lineRule="auto"/>
              <w:jc w:val="center"/>
              <w:rPr>
                <w:rFonts w:ascii="宋体" w:hAnsi="宋体"/>
                <w:b/>
                <w:color w:val="auto"/>
                <w:sz w:val="24"/>
                <w:highlight w:val="none"/>
              </w:rPr>
            </w:pPr>
            <w:r>
              <w:rPr>
                <w:rFonts w:ascii="宋体" w:hAnsi="宋体"/>
                <w:b/>
                <w:color w:val="auto"/>
                <w:sz w:val="24"/>
                <w:highlight w:val="none"/>
              </w:rPr>
              <w:t>审查</w:t>
            </w:r>
            <w:r>
              <w:rPr>
                <w:rFonts w:hint="eastAsia" w:ascii="宋体" w:hAnsi="宋体"/>
                <w:b/>
                <w:color w:val="auto"/>
                <w:sz w:val="24"/>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5327" w:type="dxa"/>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color w:val="auto"/>
                <w:sz w:val="24"/>
                <w:highlight w:val="none"/>
              </w:rPr>
              <w:t>采购需求是否符合预算、资产、财务等管理制度规定。</w:t>
            </w:r>
          </w:p>
        </w:tc>
        <w:tc>
          <w:tcPr>
            <w:tcW w:w="2727"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5327"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对采购方式、评审规则、合同类型、定价方式的选择是否说明适用理由。</w:t>
            </w:r>
          </w:p>
        </w:tc>
        <w:tc>
          <w:tcPr>
            <w:tcW w:w="2727"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5327"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属于按规定需要报相关监管部门批准、核准的事项，是否作出相关安排。</w:t>
            </w:r>
          </w:p>
        </w:tc>
        <w:tc>
          <w:tcPr>
            <w:tcW w:w="2727"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5327"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采购实施计划是否完整。</w:t>
            </w:r>
          </w:p>
        </w:tc>
        <w:tc>
          <w:tcPr>
            <w:tcW w:w="2727"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bl>
    <w:p>
      <w:pPr>
        <w:spacing w:before="240" w:beforeLines="100" w:line="360" w:lineRule="auto"/>
        <w:jc w:val="left"/>
        <w:rPr>
          <w:rFonts w:ascii="宋体" w:hAnsi="宋体"/>
          <w:b/>
          <w:color w:val="auto"/>
          <w:sz w:val="28"/>
          <w:szCs w:val="28"/>
          <w:highlight w:val="none"/>
        </w:rPr>
      </w:pPr>
      <w:r>
        <w:rPr>
          <w:rFonts w:hint="eastAsia" w:ascii="宋体" w:hAnsi="宋体"/>
          <w:b/>
          <w:color w:val="auto"/>
          <w:sz w:val="28"/>
          <w:szCs w:val="28"/>
          <w:highlight w:val="none"/>
        </w:rPr>
        <w:t>四、重点审查情况</w:t>
      </w:r>
    </w:p>
    <w:tbl>
      <w:tblPr>
        <w:tblStyle w:val="62"/>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97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46" w:type="dxa"/>
            <w:gridSpan w:val="2"/>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审 查 内 容</w:t>
            </w:r>
          </w:p>
        </w:tc>
        <w:tc>
          <w:tcPr>
            <w:tcW w:w="1843" w:type="dxa"/>
            <w:vAlign w:val="center"/>
          </w:tcPr>
          <w:p>
            <w:pPr>
              <w:spacing w:line="360" w:lineRule="auto"/>
              <w:jc w:val="center"/>
              <w:rPr>
                <w:rFonts w:ascii="宋体" w:hAnsi="宋体"/>
                <w:b/>
                <w:color w:val="auto"/>
                <w:sz w:val="24"/>
                <w:highlight w:val="none"/>
              </w:rPr>
            </w:pPr>
            <w:r>
              <w:rPr>
                <w:rFonts w:ascii="宋体" w:hAnsi="宋体"/>
                <w:b/>
                <w:color w:val="auto"/>
                <w:sz w:val="24"/>
                <w:highlight w:val="none"/>
              </w:rPr>
              <w:t>审查</w:t>
            </w:r>
            <w:r>
              <w:rPr>
                <w:rFonts w:hint="eastAsia" w:ascii="宋体" w:hAnsi="宋体"/>
                <w:b/>
                <w:color w:val="auto"/>
                <w:sz w:val="24"/>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color w:val="auto"/>
                <w:sz w:val="24"/>
                <w:highlight w:val="none"/>
              </w:rPr>
            </w:pPr>
            <w:r>
              <w:rPr>
                <w:rFonts w:hint="eastAsia" w:ascii="宋体" w:hAnsi="宋体"/>
                <w:color w:val="auto"/>
                <w:sz w:val="24"/>
                <w:highlight w:val="none"/>
              </w:rPr>
              <w:t>（一）非歧视性审查（主要审查是否指向特定供应商或者特定产品）</w:t>
            </w:r>
          </w:p>
        </w:tc>
        <w:tc>
          <w:tcPr>
            <w:tcW w:w="4976" w:type="dxa"/>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color w:val="auto"/>
                <w:sz w:val="24"/>
                <w:highlight w:val="none"/>
              </w:rPr>
              <w:t>资格条件设置是否合理</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要求供应商提供超过2个同类业务合同的，是否具有合理性</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技术要求是否指向特定的专利、商标、品牌、技术路线等</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评审因素设置是否具有倾向性</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将有关履约能力作为评审因素是否适当</w:t>
            </w:r>
          </w:p>
        </w:tc>
        <w:tc>
          <w:tcPr>
            <w:tcW w:w="184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color w:val="auto"/>
                <w:sz w:val="24"/>
                <w:highlight w:val="none"/>
              </w:rPr>
            </w:pPr>
            <w:r>
              <w:rPr>
                <w:rFonts w:hint="eastAsia" w:ascii="宋体" w:hAnsi="宋体"/>
                <w:color w:val="auto"/>
                <w:sz w:val="24"/>
                <w:highlight w:val="none"/>
              </w:rPr>
              <w:t>（二）竞争性审查（主要审查是否确保充分竞争）</w:t>
            </w:r>
          </w:p>
        </w:tc>
        <w:tc>
          <w:tcPr>
            <w:tcW w:w="4976" w:type="dxa"/>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color w:val="auto"/>
                <w:sz w:val="24"/>
                <w:highlight w:val="none"/>
              </w:rPr>
              <w:t>应当以公开方式邀请供应商的，是否依法采用公开竞争方式</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采用单一来源采购方式的，是否符合法定情形</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采购需求的内容是否完整、明确</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采购需求的内容是否考虑后续采购竞争性</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评审方法、评审因素、价格权重等评审规则是否适当</w:t>
            </w:r>
          </w:p>
        </w:tc>
        <w:tc>
          <w:tcPr>
            <w:tcW w:w="184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color w:val="auto"/>
                <w:sz w:val="24"/>
                <w:highlight w:val="none"/>
              </w:rPr>
            </w:pPr>
            <w:r>
              <w:rPr>
                <w:rFonts w:hint="eastAsia" w:ascii="宋体" w:hAnsi="宋体"/>
                <w:color w:val="auto"/>
                <w:sz w:val="24"/>
                <w:highlight w:val="none"/>
              </w:rPr>
              <w:t>（三）采购政策审查</w:t>
            </w:r>
          </w:p>
        </w:tc>
        <w:tc>
          <w:tcPr>
            <w:tcW w:w="4976" w:type="dxa"/>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进口产品的采购是否必要</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是否落实支持创新政府采购政策要求</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是否落实绿色发展、节能环保政府采购政策要求</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是否落实中小企业发展政府采购政策要求</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是否落实支持监狱发展政府采购政策要求</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是否落实促进残疾人就业政府采购政策要求</w:t>
            </w:r>
          </w:p>
        </w:tc>
        <w:tc>
          <w:tcPr>
            <w:tcW w:w="184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color w:val="auto"/>
                <w:sz w:val="24"/>
                <w:highlight w:val="none"/>
              </w:rPr>
            </w:pPr>
            <w:r>
              <w:rPr>
                <w:rFonts w:hint="eastAsia" w:ascii="宋体" w:hAnsi="宋体"/>
                <w:color w:val="auto"/>
                <w:sz w:val="24"/>
                <w:highlight w:val="none"/>
              </w:rPr>
              <w:t>（四）履约风险审查</w:t>
            </w:r>
          </w:p>
        </w:tc>
        <w:tc>
          <w:tcPr>
            <w:tcW w:w="4976" w:type="dxa"/>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合同文本是否按规定由法律顾问审定</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合同文本运用是否适当</w:t>
            </w:r>
          </w:p>
        </w:tc>
        <w:tc>
          <w:tcPr>
            <w:tcW w:w="1843" w:type="dxa"/>
            <w:tcBorders>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是否围绕采购需求和合同履行设置权利义务</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是否明确知识产权等方面的要求</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bottom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履约验收方案是否完整、标准是否明确</w:t>
            </w:r>
          </w:p>
        </w:tc>
        <w:tc>
          <w:tcPr>
            <w:tcW w:w="1843" w:type="dxa"/>
            <w:tcBorders>
              <w:top w:val="single" w:color="auto" w:sz="4" w:space="0"/>
              <w:bottom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风险处置措施和替代方案是否可行</w:t>
            </w:r>
          </w:p>
        </w:tc>
        <w:tc>
          <w:tcPr>
            <w:tcW w:w="1843"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color w:val="auto"/>
                <w:sz w:val="24"/>
                <w:highlight w:val="none"/>
              </w:rPr>
            </w:pPr>
            <w:r>
              <w:rPr>
                <w:rFonts w:hint="eastAsia" w:ascii="宋体" w:hAnsi="宋体"/>
                <w:color w:val="auto"/>
                <w:sz w:val="24"/>
                <w:highlight w:val="none"/>
              </w:rPr>
              <w:t>（五）采购人或者主管预算单位认为应当审查的其他内容</w:t>
            </w:r>
          </w:p>
        </w:tc>
        <w:tc>
          <w:tcPr>
            <w:tcW w:w="4976"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采购人或者主管预算单位认为应当审查的其他内容1</w:t>
            </w:r>
          </w:p>
        </w:tc>
        <w:tc>
          <w:tcPr>
            <w:tcW w:w="1843" w:type="dxa"/>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采购人或者主管预算单位认为应当审查的其他内容2</w:t>
            </w:r>
          </w:p>
        </w:tc>
        <w:tc>
          <w:tcPr>
            <w:tcW w:w="1843" w:type="dxa"/>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color w:val="auto"/>
                <w:sz w:val="24"/>
                <w:highlight w:val="none"/>
              </w:rPr>
            </w:pPr>
          </w:p>
        </w:tc>
        <w:tc>
          <w:tcPr>
            <w:tcW w:w="4976"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采购人或者主管预算单位认为应当审查的其他内容3</w:t>
            </w:r>
          </w:p>
        </w:tc>
        <w:tc>
          <w:tcPr>
            <w:tcW w:w="1843" w:type="dxa"/>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pPr>
              <w:spacing w:line="360" w:lineRule="auto"/>
              <w:rPr>
                <w:rFonts w:ascii="宋体" w:hAnsi="宋体"/>
                <w:color w:val="auto"/>
                <w:sz w:val="24"/>
                <w:highlight w:val="none"/>
              </w:rPr>
            </w:pPr>
          </w:p>
        </w:tc>
        <w:tc>
          <w:tcPr>
            <w:tcW w:w="4976"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采购人或者主管预算单位认为应当审查的其他内容3</w:t>
            </w:r>
          </w:p>
        </w:tc>
        <w:tc>
          <w:tcPr>
            <w:tcW w:w="1843" w:type="dxa"/>
            <w:vAlign w:val="center"/>
          </w:tcPr>
          <w:p>
            <w:pPr>
              <w:spacing w:line="360" w:lineRule="auto"/>
              <w:jc w:val="center"/>
              <w:rPr>
                <w:rFonts w:ascii="宋体" w:hAnsi="宋体"/>
                <w:color w:val="auto"/>
                <w:sz w:val="24"/>
                <w:highlight w:val="none"/>
              </w:rPr>
            </w:pPr>
            <w:r>
              <w:rPr>
                <w:rFonts w:hint="eastAsia" w:ascii="宋体" w:hAnsi="宋体" w:cs="仿宋_GB2312"/>
                <w:color w:val="auto"/>
                <w:sz w:val="24"/>
                <w:highlight w:val="none"/>
              </w:rPr>
              <w:sym w:font="Wingdings 2" w:char="00A3"/>
            </w:r>
            <w:r>
              <w:rPr>
                <w:rFonts w:hint="eastAsia" w:ascii="宋体" w:hAnsi="宋体"/>
                <w:color w:val="auto"/>
                <w:sz w:val="24"/>
                <w:highlight w:val="none"/>
              </w:rPr>
              <w:t xml:space="preserve">是  </w:t>
            </w:r>
            <w:r>
              <w:rPr>
                <w:rFonts w:hint="eastAsia" w:ascii="宋体" w:hAnsi="宋体" w:cs="仿宋_GB2312"/>
                <w:color w:val="auto"/>
                <w:sz w:val="24"/>
                <w:highlight w:val="none"/>
              </w:rPr>
              <w:sym w:font="Wingdings 2" w:char="00A3"/>
            </w:r>
            <w:r>
              <w:rPr>
                <w:rFonts w:hint="eastAsia" w:ascii="宋体" w:hAnsi="宋体"/>
                <w:color w:val="auto"/>
                <w:sz w:val="24"/>
                <w:highlight w:val="none"/>
              </w:rPr>
              <w:t>否</w:t>
            </w:r>
          </w:p>
        </w:tc>
      </w:tr>
    </w:tbl>
    <w:p>
      <w:pPr>
        <w:spacing w:line="360" w:lineRule="auto"/>
        <w:rPr>
          <w:rFonts w:ascii="宋体" w:hAnsi="宋体"/>
          <w:color w:val="auto"/>
          <w:sz w:val="24"/>
          <w:highlight w:val="none"/>
        </w:rPr>
      </w:pPr>
    </w:p>
    <w:p>
      <w:pPr>
        <w:spacing w:line="360" w:lineRule="auto"/>
        <w:ind w:firstLine="241" w:firstLineChars="100"/>
        <w:jc w:val="left"/>
        <w:rPr>
          <w:rFonts w:ascii="宋体" w:hAnsi="宋体" w:cs="仿宋_GB2312"/>
          <w:b/>
          <w:color w:val="auto"/>
          <w:sz w:val="24"/>
          <w:highlight w:val="none"/>
        </w:rPr>
      </w:pPr>
      <w:r>
        <w:rPr>
          <w:rFonts w:hint="eastAsia" w:ascii="宋体" w:hAnsi="宋体"/>
          <w:b/>
          <w:color w:val="auto"/>
          <w:sz w:val="24"/>
          <w:highlight w:val="none"/>
        </w:rPr>
        <w:t xml:space="preserve">审查结果:   </w:t>
      </w:r>
      <w:r>
        <w:rPr>
          <w:rFonts w:hint="eastAsia" w:ascii="宋体" w:hAnsi="宋体" w:cs="仿宋_GB2312"/>
          <w:b/>
          <w:color w:val="auto"/>
          <w:sz w:val="24"/>
          <w:highlight w:val="none"/>
        </w:rPr>
        <w:sym w:font="Wingdings 2" w:char="00A3"/>
      </w:r>
      <w:r>
        <w:rPr>
          <w:rFonts w:hint="eastAsia" w:ascii="宋体" w:hAnsi="宋体" w:cs="仿宋_GB2312"/>
          <w:b/>
          <w:color w:val="auto"/>
          <w:sz w:val="24"/>
          <w:highlight w:val="none"/>
        </w:rPr>
        <w:t xml:space="preserve">通过    </w:t>
      </w:r>
      <w:r>
        <w:rPr>
          <w:rFonts w:hint="eastAsia" w:ascii="宋体" w:hAnsi="宋体" w:cs="仿宋_GB2312"/>
          <w:b/>
          <w:color w:val="auto"/>
          <w:sz w:val="24"/>
          <w:highlight w:val="none"/>
        </w:rPr>
        <w:sym w:font="Wingdings 2" w:char="00A3"/>
      </w:r>
      <w:r>
        <w:rPr>
          <w:rFonts w:hint="eastAsia" w:ascii="宋体" w:hAnsi="宋体" w:cs="仿宋_GB2312"/>
          <w:b/>
          <w:color w:val="auto"/>
          <w:sz w:val="24"/>
          <w:highlight w:val="none"/>
        </w:rPr>
        <w:t>不通过</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方正小标宋简体">
    <w:altName w:val="黑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404" w:name="_Toc91899912"/>
    <w:bookmarkStart w:id="405" w:name="_Toc131845147"/>
    <w:bookmarkStart w:id="406" w:name="_Toc36110187"/>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t xml:space="preserve">- </w:t>
    </w:r>
    <w:r>
      <w:fldChar w:fldCharType="begin"/>
    </w:r>
    <w:r>
      <w:instrText xml:space="preserve"> PAGE </w:instrText>
    </w:r>
    <w:r>
      <w:fldChar w:fldCharType="separate"/>
    </w:r>
    <w:r>
      <w:t>86</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rFonts w:hint="eastAsia"/>
      </w:rPr>
      <w:t>杭州市</w:t>
    </w:r>
    <w:r>
      <w:t>滨江区政府采购公开招标文件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杭州市滨江区政府采购公开招标文件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杭州市滨江区</w:t>
    </w:r>
    <w:r>
      <w:t>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杭州市滨江区政府采购公开招标文件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t>杭州市</w:t>
    </w:r>
    <w:r>
      <w:rPr>
        <w:lang w:val="zh-CN"/>
      </w:rPr>
      <w:t>滨江区政府采购公开招标文件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rPr>
        <w:rFonts w:hint="eastAsia"/>
      </w:rPr>
      <w:t>杭州市</w:t>
    </w:r>
    <w:r>
      <w:t>滨江区政府采购公开招标文件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杭州市滨江区政府采购公开招标文件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t>杭州市</w:t>
    </w:r>
    <w:r>
      <w:rPr>
        <w:lang w:val="zh-CN"/>
      </w:rPr>
      <w:t>滨江区政府采购公开招标文件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杭州市滨江区政府采购公开招标文件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both"/>
    </w:pPr>
  </w:p>
  <w:p>
    <w:pPr>
      <w:pStyle w:val="41"/>
      <w:jc w:val="right"/>
    </w:pPr>
    <w:r>
      <w:t>杭州市滨江区政府采购公开招标文件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杭州市滨江区</w:t>
    </w: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japaneseCounting"/>
      <w:lvlText w:val="%1、"/>
      <w:lvlJc w:val="left"/>
      <w:pPr>
        <w:tabs>
          <w:tab w:val="left" w:pos="941"/>
        </w:tabs>
        <w:ind w:left="941" w:hanging="480"/>
      </w:pPr>
      <w:rPr>
        <w:rFonts w:hint="default"/>
      </w:rPr>
    </w:lvl>
    <w:lvl w:ilvl="1" w:tentative="0">
      <w:start w:val="1"/>
      <w:numFmt w:val="lowerLetter"/>
      <w:lvlText w:val="%2)"/>
      <w:lvlJc w:val="left"/>
      <w:pPr>
        <w:tabs>
          <w:tab w:val="left" w:pos="1301"/>
        </w:tabs>
        <w:ind w:left="1301" w:hanging="420"/>
      </w:pPr>
    </w:lvl>
    <w:lvl w:ilvl="2" w:tentative="0">
      <w:start w:val="1"/>
      <w:numFmt w:val="lowerRoman"/>
      <w:lvlText w:val="%3."/>
      <w:lvlJc w:val="right"/>
      <w:pPr>
        <w:tabs>
          <w:tab w:val="left" w:pos="1721"/>
        </w:tabs>
        <w:ind w:left="1721" w:hanging="420"/>
      </w:pPr>
    </w:lvl>
    <w:lvl w:ilvl="3" w:tentative="0">
      <w:start w:val="1"/>
      <w:numFmt w:val="decimal"/>
      <w:lvlText w:val="%4."/>
      <w:lvlJc w:val="left"/>
      <w:pPr>
        <w:tabs>
          <w:tab w:val="left" w:pos="2141"/>
        </w:tabs>
        <w:ind w:left="2141" w:hanging="420"/>
      </w:pPr>
    </w:lvl>
    <w:lvl w:ilvl="4" w:tentative="0">
      <w:start w:val="1"/>
      <w:numFmt w:val="lowerLetter"/>
      <w:lvlText w:val="%5)"/>
      <w:lvlJc w:val="left"/>
      <w:pPr>
        <w:tabs>
          <w:tab w:val="left" w:pos="2561"/>
        </w:tabs>
        <w:ind w:left="2561" w:hanging="420"/>
      </w:pPr>
    </w:lvl>
    <w:lvl w:ilvl="5" w:tentative="0">
      <w:start w:val="1"/>
      <w:numFmt w:val="lowerRoman"/>
      <w:lvlText w:val="%6."/>
      <w:lvlJc w:val="right"/>
      <w:pPr>
        <w:tabs>
          <w:tab w:val="left" w:pos="2981"/>
        </w:tabs>
        <w:ind w:left="2981" w:hanging="420"/>
      </w:pPr>
    </w:lvl>
    <w:lvl w:ilvl="6" w:tentative="0">
      <w:start w:val="1"/>
      <w:numFmt w:val="decimal"/>
      <w:lvlText w:val="%7."/>
      <w:lvlJc w:val="left"/>
      <w:pPr>
        <w:tabs>
          <w:tab w:val="left" w:pos="3401"/>
        </w:tabs>
        <w:ind w:left="3401" w:hanging="420"/>
      </w:pPr>
    </w:lvl>
    <w:lvl w:ilvl="7" w:tentative="0">
      <w:start w:val="1"/>
      <w:numFmt w:val="lowerLetter"/>
      <w:lvlText w:val="%8)"/>
      <w:lvlJc w:val="left"/>
      <w:pPr>
        <w:tabs>
          <w:tab w:val="left" w:pos="3821"/>
        </w:tabs>
        <w:ind w:left="3821" w:hanging="420"/>
      </w:pPr>
    </w:lvl>
    <w:lvl w:ilvl="8" w:tentative="0">
      <w:start w:val="1"/>
      <w:numFmt w:val="lowerRoman"/>
      <w:lvlText w:val="%9."/>
      <w:lvlJc w:val="right"/>
      <w:pPr>
        <w:tabs>
          <w:tab w:val="left" w:pos="4241"/>
        </w:tabs>
        <w:ind w:left="42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NDJkNWVlN2RiMDIxY2M5YmQ3ZGZlMmFhMmNiN2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17E59"/>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EA1"/>
    <w:rsid w:val="00040447"/>
    <w:rsid w:val="00040494"/>
    <w:rsid w:val="00040B70"/>
    <w:rsid w:val="00042441"/>
    <w:rsid w:val="00042533"/>
    <w:rsid w:val="00042DBB"/>
    <w:rsid w:val="00042E65"/>
    <w:rsid w:val="0004347C"/>
    <w:rsid w:val="00043907"/>
    <w:rsid w:val="00044F48"/>
    <w:rsid w:val="00047354"/>
    <w:rsid w:val="00050656"/>
    <w:rsid w:val="00050A19"/>
    <w:rsid w:val="0005103D"/>
    <w:rsid w:val="000511B6"/>
    <w:rsid w:val="00051B00"/>
    <w:rsid w:val="00051C72"/>
    <w:rsid w:val="00052192"/>
    <w:rsid w:val="0005238F"/>
    <w:rsid w:val="000526DA"/>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784"/>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A2"/>
    <w:rsid w:val="000D11E5"/>
    <w:rsid w:val="000D19E8"/>
    <w:rsid w:val="000D1FA1"/>
    <w:rsid w:val="000D2834"/>
    <w:rsid w:val="000D2CAC"/>
    <w:rsid w:val="000D34C8"/>
    <w:rsid w:val="000D34FD"/>
    <w:rsid w:val="000D3BE5"/>
    <w:rsid w:val="000D3C37"/>
    <w:rsid w:val="000D3CF2"/>
    <w:rsid w:val="000D453A"/>
    <w:rsid w:val="000D4AFA"/>
    <w:rsid w:val="000D5EA6"/>
    <w:rsid w:val="000D5F00"/>
    <w:rsid w:val="000D6C9F"/>
    <w:rsid w:val="000D6E3B"/>
    <w:rsid w:val="000D6F30"/>
    <w:rsid w:val="000D74E4"/>
    <w:rsid w:val="000D7C9D"/>
    <w:rsid w:val="000D7CE0"/>
    <w:rsid w:val="000E164D"/>
    <w:rsid w:val="000E2785"/>
    <w:rsid w:val="000E27BB"/>
    <w:rsid w:val="000E3153"/>
    <w:rsid w:val="000E3484"/>
    <w:rsid w:val="000E386F"/>
    <w:rsid w:val="000E4051"/>
    <w:rsid w:val="000E4139"/>
    <w:rsid w:val="000E4765"/>
    <w:rsid w:val="000E4DD3"/>
    <w:rsid w:val="000E5B7E"/>
    <w:rsid w:val="000E5FF9"/>
    <w:rsid w:val="000E6AE1"/>
    <w:rsid w:val="000E7142"/>
    <w:rsid w:val="000E7632"/>
    <w:rsid w:val="000E7737"/>
    <w:rsid w:val="000E7739"/>
    <w:rsid w:val="000E77EE"/>
    <w:rsid w:val="000F1604"/>
    <w:rsid w:val="000F20E6"/>
    <w:rsid w:val="000F287A"/>
    <w:rsid w:val="000F2940"/>
    <w:rsid w:val="000F2AB3"/>
    <w:rsid w:val="000F3D08"/>
    <w:rsid w:val="000F4495"/>
    <w:rsid w:val="000F4A05"/>
    <w:rsid w:val="000F4AA8"/>
    <w:rsid w:val="000F4AEA"/>
    <w:rsid w:val="000F4E67"/>
    <w:rsid w:val="000F505B"/>
    <w:rsid w:val="000F5677"/>
    <w:rsid w:val="000F5C3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692"/>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956"/>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916"/>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933"/>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CD3"/>
    <w:rsid w:val="001A5FD7"/>
    <w:rsid w:val="001A66A6"/>
    <w:rsid w:val="001A6BAF"/>
    <w:rsid w:val="001A6BBB"/>
    <w:rsid w:val="001A79A2"/>
    <w:rsid w:val="001B06A6"/>
    <w:rsid w:val="001B13BF"/>
    <w:rsid w:val="001B16F5"/>
    <w:rsid w:val="001B1C1F"/>
    <w:rsid w:val="001B219B"/>
    <w:rsid w:val="001B2703"/>
    <w:rsid w:val="001B3DCD"/>
    <w:rsid w:val="001B3DD2"/>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FB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2F"/>
    <w:rsid w:val="001E507F"/>
    <w:rsid w:val="001E56C2"/>
    <w:rsid w:val="001E59FB"/>
    <w:rsid w:val="001E7AD0"/>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22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A8C"/>
    <w:rsid w:val="00215D21"/>
    <w:rsid w:val="0021636B"/>
    <w:rsid w:val="00216387"/>
    <w:rsid w:val="00216E7B"/>
    <w:rsid w:val="00217E1F"/>
    <w:rsid w:val="002203DC"/>
    <w:rsid w:val="002204BC"/>
    <w:rsid w:val="00220F7B"/>
    <w:rsid w:val="00221272"/>
    <w:rsid w:val="002213CE"/>
    <w:rsid w:val="00221AF7"/>
    <w:rsid w:val="00222494"/>
    <w:rsid w:val="00222775"/>
    <w:rsid w:val="00222A31"/>
    <w:rsid w:val="00222CF6"/>
    <w:rsid w:val="00223854"/>
    <w:rsid w:val="00224037"/>
    <w:rsid w:val="0022435B"/>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5EDA"/>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2694"/>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80D"/>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3DF"/>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34B"/>
    <w:rsid w:val="002D0C27"/>
    <w:rsid w:val="002D0E88"/>
    <w:rsid w:val="002D0EA7"/>
    <w:rsid w:val="002D0F31"/>
    <w:rsid w:val="002D1593"/>
    <w:rsid w:val="002D1A1E"/>
    <w:rsid w:val="002D1F8D"/>
    <w:rsid w:val="002D22A6"/>
    <w:rsid w:val="002D2819"/>
    <w:rsid w:val="002D2CD6"/>
    <w:rsid w:val="002D2F81"/>
    <w:rsid w:val="002D31E7"/>
    <w:rsid w:val="002D38A3"/>
    <w:rsid w:val="002D3BA3"/>
    <w:rsid w:val="002D43EE"/>
    <w:rsid w:val="002D4892"/>
    <w:rsid w:val="002D4D06"/>
    <w:rsid w:val="002D4DDE"/>
    <w:rsid w:val="002D4EE7"/>
    <w:rsid w:val="002D4EED"/>
    <w:rsid w:val="002D5850"/>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C31"/>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E8"/>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C24"/>
    <w:rsid w:val="00320688"/>
    <w:rsid w:val="00320B75"/>
    <w:rsid w:val="00321DB7"/>
    <w:rsid w:val="00321E7A"/>
    <w:rsid w:val="0032226D"/>
    <w:rsid w:val="003235E6"/>
    <w:rsid w:val="00324038"/>
    <w:rsid w:val="00324951"/>
    <w:rsid w:val="003249F6"/>
    <w:rsid w:val="00324B2F"/>
    <w:rsid w:val="00325856"/>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04F"/>
    <w:rsid w:val="00334927"/>
    <w:rsid w:val="003360AD"/>
    <w:rsid w:val="0033631D"/>
    <w:rsid w:val="003369C7"/>
    <w:rsid w:val="003373A6"/>
    <w:rsid w:val="00337409"/>
    <w:rsid w:val="00337E18"/>
    <w:rsid w:val="003405AF"/>
    <w:rsid w:val="00340756"/>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9CB"/>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6CB5"/>
    <w:rsid w:val="003B7403"/>
    <w:rsid w:val="003C0015"/>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0A"/>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8C4"/>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29EE"/>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5C"/>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4B3"/>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C45"/>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8C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247"/>
    <w:rsid w:val="004C3592"/>
    <w:rsid w:val="004C45C8"/>
    <w:rsid w:val="004C4EFC"/>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AC"/>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6"/>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23E"/>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63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A2C"/>
    <w:rsid w:val="00531064"/>
    <w:rsid w:val="005312CB"/>
    <w:rsid w:val="005313B2"/>
    <w:rsid w:val="005315F7"/>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90"/>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0F03"/>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72"/>
    <w:rsid w:val="00561A9B"/>
    <w:rsid w:val="00561E54"/>
    <w:rsid w:val="00561F73"/>
    <w:rsid w:val="005621F7"/>
    <w:rsid w:val="0056278F"/>
    <w:rsid w:val="00562FB1"/>
    <w:rsid w:val="00563068"/>
    <w:rsid w:val="0056376A"/>
    <w:rsid w:val="00563B3C"/>
    <w:rsid w:val="0056419C"/>
    <w:rsid w:val="00564A91"/>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5E1"/>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1CA1"/>
    <w:rsid w:val="00592825"/>
    <w:rsid w:val="00594437"/>
    <w:rsid w:val="00594B70"/>
    <w:rsid w:val="00596CFA"/>
    <w:rsid w:val="00596EC6"/>
    <w:rsid w:val="005973DF"/>
    <w:rsid w:val="005975CE"/>
    <w:rsid w:val="00597DD1"/>
    <w:rsid w:val="005A0088"/>
    <w:rsid w:val="005A030E"/>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6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C9C"/>
    <w:rsid w:val="005D0FB4"/>
    <w:rsid w:val="005D1176"/>
    <w:rsid w:val="005D1747"/>
    <w:rsid w:val="005D266D"/>
    <w:rsid w:val="005D306D"/>
    <w:rsid w:val="005D3327"/>
    <w:rsid w:val="005D4854"/>
    <w:rsid w:val="005D5BCF"/>
    <w:rsid w:val="005D65BF"/>
    <w:rsid w:val="005D6626"/>
    <w:rsid w:val="005D6D84"/>
    <w:rsid w:val="005D70A1"/>
    <w:rsid w:val="005D79F2"/>
    <w:rsid w:val="005D7CB1"/>
    <w:rsid w:val="005D7F57"/>
    <w:rsid w:val="005E0067"/>
    <w:rsid w:val="005E0141"/>
    <w:rsid w:val="005E083B"/>
    <w:rsid w:val="005E09CA"/>
    <w:rsid w:val="005E1AB4"/>
    <w:rsid w:val="005E255B"/>
    <w:rsid w:val="005E2CF7"/>
    <w:rsid w:val="005E4543"/>
    <w:rsid w:val="005E4A1C"/>
    <w:rsid w:val="005E56C9"/>
    <w:rsid w:val="005E5CF7"/>
    <w:rsid w:val="005E5FF0"/>
    <w:rsid w:val="005E642A"/>
    <w:rsid w:val="005E65A7"/>
    <w:rsid w:val="005E721E"/>
    <w:rsid w:val="005E7DEF"/>
    <w:rsid w:val="005F0857"/>
    <w:rsid w:val="005F1470"/>
    <w:rsid w:val="005F15A9"/>
    <w:rsid w:val="005F2807"/>
    <w:rsid w:val="005F2CD5"/>
    <w:rsid w:val="005F3382"/>
    <w:rsid w:val="005F3720"/>
    <w:rsid w:val="005F4811"/>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7FD"/>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208"/>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BD"/>
    <w:rsid w:val="00636CC7"/>
    <w:rsid w:val="00637F27"/>
    <w:rsid w:val="006405EC"/>
    <w:rsid w:val="00640A4D"/>
    <w:rsid w:val="006418F2"/>
    <w:rsid w:val="00641A84"/>
    <w:rsid w:val="00641B05"/>
    <w:rsid w:val="00641DA1"/>
    <w:rsid w:val="00641E5B"/>
    <w:rsid w:val="00642C69"/>
    <w:rsid w:val="0064330A"/>
    <w:rsid w:val="00643F89"/>
    <w:rsid w:val="00644176"/>
    <w:rsid w:val="00644334"/>
    <w:rsid w:val="0064487C"/>
    <w:rsid w:val="00644BED"/>
    <w:rsid w:val="00644E2E"/>
    <w:rsid w:val="00645A3A"/>
    <w:rsid w:val="00645B87"/>
    <w:rsid w:val="00645CB4"/>
    <w:rsid w:val="00646084"/>
    <w:rsid w:val="006468ED"/>
    <w:rsid w:val="00647664"/>
    <w:rsid w:val="006501EC"/>
    <w:rsid w:val="00650D19"/>
    <w:rsid w:val="0065270B"/>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262"/>
    <w:rsid w:val="00686E80"/>
    <w:rsid w:val="0068790B"/>
    <w:rsid w:val="00687AF2"/>
    <w:rsid w:val="006901AC"/>
    <w:rsid w:val="00690C8D"/>
    <w:rsid w:val="006914F6"/>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08F"/>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C85"/>
    <w:rsid w:val="006C4D02"/>
    <w:rsid w:val="006C53A4"/>
    <w:rsid w:val="006C53F0"/>
    <w:rsid w:val="006C54DF"/>
    <w:rsid w:val="006C5D5D"/>
    <w:rsid w:val="006C5E7E"/>
    <w:rsid w:val="006C627E"/>
    <w:rsid w:val="006C6303"/>
    <w:rsid w:val="006C6414"/>
    <w:rsid w:val="006C6A51"/>
    <w:rsid w:val="006C6EBD"/>
    <w:rsid w:val="006C7E04"/>
    <w:rsid w:val="006C7F79"/>
    <w:rsid w:val="006D0004"/>
    <w:rsid w:val="006D015F"/>
    <w:rsid w:val="006D060E"/>
    <w:rsid w:val="006D0681"/>
    <w:rsid w:val="006D0A80"/>
    <w:rsid w:val="006D0AE8"/>
    <w:rsid w:val="006D135C"/>
    <w:rsid w:val="006D2A98"/>
    <w:rsid w:val="006D2F72"/>
    <w:rsid w:val="006D3C5A"/>
    <w:rsid w:val="006D43C1"/>
    <w:rsid w:val="006D541F"/>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056"/>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9D7"/>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90"/>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30E"/>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C19"/>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632"/>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74"/>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1E95"/>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C54"/>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5EF5"/>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0CA"/>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276"/>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897"/>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897"/>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9C5"/>
    <w:rsid w:val="008B7042"/>
    <w:rsid w:val="008B770C"/>
    <w:rsid w:val="008B7BE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A88"/>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851"/>
    <w:rsid w:val="009307CA"/>
    <w:rsid w:val="009312F9"/>
    <w:rsid w:val="00931445"/>
    <w:rsid w:val="00931AB8"/>
    <w:rsid w:val="00931C19"/>
    <w:rsid w:val="00931C63"/>
    <w:rsid w:val="00931D10"/>
    <w:rsid w:val="0093218A"/>
    <w:rsid w:val="0093386D"/>
    <w:rsid w:val="00934C8E"/>
    <w:rsid w:val="00935194"/>
    <w:rsid w:val="00936EA5"/>
    <w:rsid w:val="0093701B"/>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01"/>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79"/>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896"/>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0C4"/>
    <w:rsid w:val="009E19BB"/>
    <w:rsid w:val="009E1C47"/>
    <w:rsid w:val="009E38D1"/>
    <w:rsid w:val="009E3DF1"/>
    <w:rsid w:val="009E514A"/>
    <w:rsid w:val="009E5177"/>
    <w:rsid w:val="009E5701"/>
    <w:rsid w:val="009E5711"/>
    <w:rsid w:val="009E7433"/>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03"/>
    <w:rsid w:val="00A044AA"/>
    <w:rsid w:val="00A0700C"/>
    <w:rsid w:val="00A102F8"/>
    <w:rsid w:val="00A10A20"/>
    <w:rsid w:val="00A1101A"/>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CC5"/>
    <w:rsid w:val="00A60350"/>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042"/>
    <w:rsid w:val="00A82D32"/>
    <w:rsid w:val="00A82EAE"/>
    <w:rsid w:val="00A82FC7"/>
    <w:rsid w:val="00A8362B"/>
    <w:rsid w:val="00A847F9"/>
    <w:rsid w:val="00A84F27"/>
    <w:rsid w:val="00A8519C"/>
    <w:rsid w:val="00A855EE"/>
    <w:rsid w:val="00A8597A"/>
    <w:rsid w:val="00A85B87"/>
    <w:rsid w:val="00A85F83"/>
    <w:rsid w:val="00A86019"/>
    <w:rsid w:val="00A86EED"/>
    <w:rsid w:val="00A8733A"/>
    <w:rsid w:val="00A87AC2"/>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16"/>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5E4A"/>
    <w:rsid w:val="00AA634D"/>
    <w:rsid w:val="00AA6F6C"/>
    <w:rsid w:val="00AA721D"/>
    <w:rsid w:val="00AA7519"/>
    <w:rsid w:val="00AA790A"/>
    <w:rsid w:val="00AB02EA"/>
    <w:rsid w:val="00AB110C"/>
    <w:rsid w:val="00AB227A"/>
    <w:rsid w:val="00AB22BF"/>
    <w:rsid w:val="00AB256E"/>
    <w:rsid w:val="00AB3466"/>
    <w:rsid w:val="00AB36C5"/>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08"/>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5E66"/>
    <w:rsid w:val="00AF6476"/>
    <w:rsid w:val="00AF669D"/>
    <w:rsid w:val="00AF672C"/>
    <w:rsid w:val="00AF673E"/>
    <w:rsid w:val="00AF6ABE"/>
    <w:rsid w:val="00AF7389"/>
    <w:rsid w:val="00AF79DF"/>
    <w:rsid w:val="00AF7C37"/>
    <w:rsid w:val="00B00378"/>
    <w:rsid w:val="00B00D91"/>
    <w:rsid w:val="00B00E84"/>
    <w:rsid w:val="00B01DD9"/>
    <w:rsid w:val="00B01F0E"/>
    <w:rsid w:val="00B02AF8"/>
    <w:rsid w:val="00B038F1"/>
    <w:rsid w:val="00B03C1B"/>
    <w:rsid w:val="00B04678"/>
    <w:rsid w:val="00B047C9"/>
    <w:rsid w:val="00B04A04"/>
    <w:rsid w:val="00B04B78"/>
    <w:rsid w:val="00B04C37"/>
    <w:rsid w:val="00B04D11"/>
    <w:rsid w:val="00B04F00"/>
    <w:rsid w:val="00B05BA6"/>
    <w:rsid w:val="00B066FE"/>
    <w:rsid w:val="00B06912"/>
    <w:rsid w:val="00B07316"/>
    <w:rsid w:val="00B07F74"/>
    <w:rsid w:val="00B10618"/>
    <w:rsid w:val="00B10B04"/>
    <w:rsid w:val="00B10CC6"/>
    <w:rsid w:val="00B11932"/>
    <w:rsid w:val="00B11A61"/>
    <w:rsid w:val="00B11E42"/>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8B4"/>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1DEE"/>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AB"/>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C65"/>
    <w:rsid w:val="00B70E01"/>
    <w:rsid w:val="00B72CF0"/>
    <w:rsid w:val="00B7380E"/>
    <w:rsid w:val="00B740F6"/>
    <w:rsid w:val="00B74615"/>
    <w:rsid w:val="00B74789"/>
    <w:rsid w:val="00B755B6"/>
    <w:rsid w:val="00B75977"/>
    <w:rsid w:val="00B75A48"/>
    <w:rsid w:val="00B75BC1"/>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52C"/>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008"/>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12"/>
    <w:rsid w:val="00BF4F7C"/>
    <w:rsid w:val="00BF537B"/>
    <w:rsid w:val="00BF5901"/>
    <w:rsid w:val="00BF626A"/>
    <w:rsid w:val="00BF688E"/>
    <w:rsid w:val="00BF6D77"/>
    <w:rsid w:val="00BF739A"/>
    <w:rsid w:val="00BF7EF5"/>
    <w:rsid w:val="00C00BF6"/>
    <w:rsid w:val="00C0185A"/>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207"/>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A86"/>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EEC"/>
    <w:rsid w:val="00C71F09"/>
    <w:rsid w:val="00C72588"/>
    <w:rsid w:val="00C727B9"/>
    <w:rsid w:val="00C72EE5"/>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6D8"/>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1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D9C"/>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B7FF7"/>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2C12"/>
    <w:rsid w:val="00CD3CAB"/>
    <w:rsid w:val="00CD44FF"/>
    <w:rsid w:val="00CD46A7"/>
    <w:rsid w:val="00CD47BC"/>
    <w:rsid w:val="00CD4BD2"/>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7E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13"/>
    <w:rsid w:val="00D10327"/>
    <w:rsid w:val="00D103C9"/>
    <w:rsid w:val="00D10BE1"/>
    <w:rsid w:val="00D11FE3"/>
    <w:rsid w:val="00D12393"/>
    <w:rsid w:val="00D12945"/>
    <w:rsid w:val="00D12CC0"/>
    <w:rsid w:val="00D12DA1"/>
    <w:rsid w:val="00D130C0"/>
    <w:rsid w:val="00D132E5"/>
    <w:rsid w:val="00D1343A"/>
    <w:rsid w:val="00D13D50"/>
    <w:rsid w:val="00D14101"/>
    <w:rsid w:val="00D144D8"/>
    <w:rsid w:val="00D14919"/>
    <w:rsid w:val="00D14E25"/>
    <w:rsid w:val="00D14E48"/>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2B23"/>
    <w:rsid w:val="00D2303F"/>
    <w:rsid w:val="00D2371E"/>
    <w:rsid w:val="00D237E0"/>
    <w:rsid w:val="00D23A17"/>
    <w:rsid w:val="00D255D7"/>
    <w:rsid w:val="00D25676"/>
    <w:rsid w:val="00D2579F"/>
    <w:rsid w:val="00D2580E"/>
    <w:rsid w:val="00D265A7"/>
    <w:rsid w:val="00D2690C"/>
    <w:rsid w:val="00D2696E"/>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561"/>
    <w:rsid w:val="00D539DA"/>
    <w:rsid w:val="00D54A50"/>
    <w:rsid w:val="00D54FFD"/>
    <w:rsid w:val="00D5552C"/>
    <w:rsid w:val="00D5556D"/>
    <w:rsid w:val="00D55C34"/>
    <w:rsid w:val="00D55C81"/>
    <w:rsid w:val="00D5674B"/>
    <w:rsid w:val="00D56B56"/>
    <w:rsid w:val="00D56BF5"/>
    <w:rsid w:val="00D56F99"/>
    <w:rsid w:val="00D5743F"/>
    <w:rsid w:val="00D579F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06B0"/>
    <w:rsid w:val="00D815E6"/>
    <w:rsid w:val="00D81A28"/>
    <w:rsid w:val="00D81BDE"/>
    <w:rsid w:val="00D8201D"/>
    <w:rsid w:val="00D82B00"/>
    <w:rsid w:val="00D82B04"/>
    <w:rsid w:val="00D82BE4"/>
    <w:rsid w:val="00D82E05"/>
    <w:rsid w:val="00D83B8A"/>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8B"/>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C22"/>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672"/>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C54"/>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8D1"/>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C8F"/>
    <w:rsid w:val="00E71D1E"/>
    <w:rsid w:val="00E726F2"/>
    <w:rsid w:val="00E728E2"/>
    <w:rsid w:val="00E738FA"/>
    <w:rsid w:val="00E739B6"/>
    <w:rsid w:val="00E74A2B"/>
    <w:rsid w:val="00E75667"/>
    <w:rsid w:val="00E756D3"/>
    <w:rsid w:val="00E75A5A"/>
    <w:rsid w:val="00E75E7C"/>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6F4"/>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AFB"/>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44C"/>
    <w:rsid w:val="00EB06D3"/>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82C"/>
    <w:rsid w:val="00EF196E"/>
    <w:rsid w:val="00EF1F01"/>
    <w:rsid w:val="00EF2C39"/>
    <w:rsid w:val="00EF2C5F"/>
    <w:rsid w:val="00EF3811"/>
    <w:rsid w:val="00EF3AC4"/>
    <w:rsid w:val="00EF3FF9"/>
    <w:rsid w:val="00EF41AF"/>
    <w:rsid w:val="00EF41D7"/>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E64"/>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B9D"/>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A16"/>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6C6"/>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23B"/>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DD9"/>
    <w:rsid w:val="00FE4F80"/>
    <w:rsid w:val="00FE570E"/>
    <w:rsid w:val="00FE6870"/>
    <w:rsid w:val="00FE6937"/>
    <w:rsid w:val="00FE713E"/>
    <w:rsid w:val="00FE7877"/>
    <w:rsid w:val="00FE7DD1"/>
    <w:rsid w:val="00FF001C"/>
    <w:rsid w:val="00FF0B4F"/>
    <w:rsid w:val="00FF0F58"/>
    <w:rsid w:val="00FF183C"/>
    <w:rsid w:val="00FF1A06"/>
    <w:rsid w:val="00FF1AD3"/>
    <w:rsid w:val="00FF1B46"/>
    <w:rsid w:val="00FF219D"/>
    <w:rsid w:val="00FF2A7B"/>
    <w:rsid w:val="00FF308C"/>
    <w:rsid w:val="00FF3D2B"/>
    <w:rsid w:val="00FF49B4"/>
    <w:rsid w:val="00FF49F4"/>
    <w:rsid w:val="00FF5C6A"/>
    <w:rsid w:val="00FF651D"/>
    <w:rsid w:val="00FF6843"/>
    <w:rsid w:val="00FF6C25"/>
    <w:rsid w:val="010651D9"/>
    <w:rsid w:val="011F6449"/>
    <w:rsid w:val="01236AFB"/>
    <w:rsid w:val="012F1A9D"/>
    <w:rsid w:val="014C6B51"/>
    <w:rsid w:val="01537095"/>
    <w:rsid w:val="01671BDD"/>
    <w:rsid w:val="01823B32"/>
    <w:rsid w:val="019F7441"/>
    <w:rsid w:val="01B37585"/>
    <w:rsid w:val="01D55165"/>
    <w:rsid w:val="01DF6BF8"/>
    <w:rsid w:val="01EC2C57"/>
    <w:rsid w:val="021A27AB"/>
    <w:rsid w:val="024B505A"/>
    <w:rsid w:val="02586C81"/>
    <w:rsid w:val="026B2E25"/>
    <w:rsid w:val="02824D4D"/>
    <w:rsid w:val="02AE1145"/>
    <w:rsid w:val="02DC4B10"/>
    <w:rsid w:val="02DD76CE"/>
    <w:rsid w:val="02F36323"/>
    <w:rsid w:val="02F5619C"/>
    <w:rsid w:val="02F92750"/>
    <w:rsid w:val="0326446A"/>
    <w:rsid w:val="032D5555"/>
    <w:rsid w:val="03323B24"/>
    <w:rsid w:val="035717DD"/>
    <w:rsid w:val="036634D2"/>
    <w:rsid w:val="03DD35E4"/>
    <w:rsid w:val="03E312C3"/>
    <w:rsid w:val="04076900"/>
    <w:rsid w:val="041555D9"/>
    <w:rsid w:val="041A5A3B"/>
    <w:rsid w:val="04204E5E"/>
    <w:rsid w:val="042311BA"/>
    <w:rsid w:val="04247911"/>
    <w:rsid w:val="04260126"/>
    <w:rsid w:val="042B157A"/>
    <w:rsid w:val="046A15A0"/>
    <w:rsid w:val="04813232"/>
    <w:rsid w:val="048F763B"/>
    <w:rsid w:val="049F330E"/>
    <w:rsid w:val="04AA775C"/>
    <w:rsid w:val="04AF1889"/>
    <w:rsid w:val="04E969CC"/>
    <w:rsid w:val="04F66F48"/>
    <w:rsid w:val="0518120E"/>
    <w:rsid w:val="05251E14"/>
    <w:rsid w:val="052E47BF"/>
    <w:rsid w:val="05886B6E"/>
    <w:rsid w:val="058F525E"/>
    <w:rsid w:val="05A16594"/>
    <w:rsid w:val="05A7762D"/>
    <w:rsid w:val="05EE6BE0"/>
    <w:rsid w:val="06004710"/>
    <w:rsid w:val="060E5941"/>
    <w:rsid w:val="06110FAF"/>
    <w:rsid w:val="06493CA7"/>
    <w:rsid w:val="065A6178"/>
    <w:rsid w:val="066F1CF3"/>
    <w:rsid w:val="06930BB8"/>
    <w:rsid w:val="06B24119"/>
    <w:rsid w:val="06ED3CFD"/>
    <w:rsid w:val="07245D42"/>
    <w:rsid w:val="07264C62"/>
    <w:rsid w:val="0779354C"/>
    <w:rsid w:val="07B1515E"/>
    <w:rsid w:val="08061376"/>
    <w:rsid w:val="083B347B"/>
    <w:rsid w:val="08452D77"/>
    <w:rsid w:val="086401F8"/>
    <w:rsid w:val="08751CAA"/>
    <w:rsid w:val="087E4C40"/>
    <w:rsid w:val="08842483"/>
    <w:rsid w:val="08C823BF"/>
    <w:rsid w:val="08D66AD6"/>
    <w:rsid w:val="08DA33A3"/>
    <w:rsid w:val="08DF32A4"/>
    <w:rsid w:val="08E01361"/>
    <w:rsid w:val="08E21B49"/>
    <w:rsid w:val="08E80F13"/>
    <w:rsid w:val="08F75BE3"/>
    <w:rsid w:val="08F9411D"/>
    <w:rsid w:val="09016473"/>
    <w:rsid w:val="09335624"/>
    <w:rsid w:val="0944690F"/>
    <w:rsid w:val="09535675"/>
    <w:rsid w:val="095F057D"/>
    <w:rsid w:val="09642282"/>
    <w:rsid w:val="09733572"/>
    <w:rsid w:val="09772C16"/>
    <w:rsid w:val="098353B5"/>
    <w:rsid w:val="09840E52"/>
    <w:rsid w:val="09A92330"/>
    <w:rsid w:val="09B06B87"/>
    <w:rsid w:val="09C13146"/>
    <w:rsid w:val="09E04166"/>
    <w:rsid w:val="0A0D52EB"/>
    <w:rsid w:val="0A1C0718"/>
    <w:rsid w:val="0A3E7710"/>
    <w:rsid w:val="0A5B7E63"/>
    <w:rsid w:val="0A670558"/>
    <w:rsid w:val="0A7E017B"/>
    <w:rsid w:val="0AA374A5"/>
    <w:rsid w:val="0AAB7649"/>
    <w:rsid w:val="0ABC5606"/>
    <w:rsid w:val="0B0C10FF"/>
    <w:rsid w:val="0B30404E"/>
    <w:rsid w:val="0B4C6C14"/>
    <w:rsid w:val="0B5F2C0D"/>
    <w:rsid w:val="0B631A88"/>
    <w:rsid w:val="0B683D45"/>
    <w:rsid w:val="0B7D3DAB"/>
    <w:rsid w:val="0B7F3F11"/>
    <w:rsid w:val="0B884417"/>
    <w:rsid w:val="0BF6188C"/>
    <w:rsid w:val="0BF64289"/>
    <w:rsid w:val="0BF73C91"/>
    <w:rsid w:val="0C170175"/>
    <w:rsid w:val="0C476646"/>
    <w:rsid w:val="0C571A41"/>
    <w:rsid w:val="0C5C1171"/>
    <w:rsid w:val="0C5E1CBC"/>
    <w:rsid w:val="0C615B50"/>
    <w:rsid w:val="0C8445DA"/>
    <w:rsid w:val="0C87121B"/>
    <w:rsid w:val="0CC007F7"/>
    <w:rsid w:val="0CFE707A"/>
    <w:rsid w:val="0D063BDA"/>
    <w:rsid w:val="0D08375F"/>
    <w:rsid w:val="0D184CFB"/>
    <w:rsid w:val="0D4A7419"/>
    <w:rsid w:val="0D576FA9"/>
    <w:rsid w:val="0D5A0848"/>
    <w:rsid w:val="0D827401"/>
    <w:rsid w:val="0D84094E"/>
    <w:rsid w:val="0D8A00E9"/>
    <w:rsid w:val="0D8D589E"/>
    <w:rsid w:val="0DA01C73"/>
    <w:rsid w:val="0DB937C0"/>
    <w:rsid w:val="0DD63300"/>
    <w:rsid w:val="0DED346A"/>
    <w:rsid w:val="0DF2282E"/>
    <w:rsid w:val="0DF50604"/>
    <w:rsid w:val="0DF702FE"/>
    <w:rsid w:val="0E060E51"/>
    <w:rsid w:val="0E1A1D85"/>
    <w:rsid w:val="0E5604B2"/>
    <w:rsid w:val="0E6D5D79"/>
    <w:rsid w:val="0E9D0089"/>
    <w:rsid w:val="0EA5189D"/>
    <w:rsid w:val="0EA578A0"/>
    <w:rsid w:val="0EB803EE"/>
    <w:rsid w:val="0EC202B0"/>
    <w:rsid w:val="0EC95F88"/>
    <w:rsid w:val="0ED10695"/>
    <w:rsid w:val="0EF94D4B"/>
    <w:rsid w:val="0F052A35"/>
    <w:rsid w:val="0F1D1B2D"/>
    <w:rsid w:val="0F2A5FF8"/>
    <w:rsid w:val="0F343319"/>
    <w:rsid w:val="0F4958DC"/>
    <w:rsid w:val="0F515DF7"/>
    <w:rsid w:val="0F533AFD"/>
    <w:rsid w:val="0F596BA8"/>
    <w:rsid w:val="0F6248D2"/>
    <w:rsid w:val="0F693536"/>
    <w:rsid w:val="0F711E78"/>
    <w:rsid w:val="0F7B0511"/>
    <w:rsid w:val="0F7B76D9"/>
    <w:rsid w:val="0F816ACD"/>
    <w:rsid w:val="0F9832DB"/>
    <w:rsid w:val="0FBF3FD2"/>
    <w:rsid w:val="0FBF7FF3"/>
    <w:rsid w:val="0FE8038D"/>
    <w:rsid w:val="10646583"/>
    <w:rsid w:val="107D4B15"/>
    <w:rsid w:val="108A3C80"/>
    <w:rsid w:val="108B0D18"/>
    <w:rsid w:val="10923E54"/>
    <w:rsid w:val="10AD0C8E"/>
    <w:rsid w:val="10C26171"/>
    <w:rsid w:val="10E24EFD"/>
    <w:rsid w:val="10F024E8"/>
    <w:rsid w:val="10F33360"/>
    <w:rsid w:val="10FC16EA"/>
    <w:rsid w:val="110F1D40"/>
    <w:rsid w:val="11266F33"/>
    <w:rsid w:val="112C4723"/>
    <w:rsid w:val="112F78F5"/>
    <w:rsid w:val="11885C0D"/>
    <w:rsid w:val="118963A1"/>
    <w:rsid w:val="11A958A6"/>
    <w:rsid w:val="11C6522A"/>
    <w:rsid w:val="11CC0F45"/>
    <w:rsid w:val="11E104CC"/>
    <w:rsid w:val="11E20309"/>
    <w:rsid w:val="11E46932"/>
    <w:rsid w:val="121A1071"/>
    <w:rsid w:val="12255233"/>
    <w:rsid w:val="12384280"/>
    <w:rsid w:val="12530213"/>
    <w:rsid w:val="127723A9"/>
    <w:rsid w:val="12862074"/>
    <w:rsid w:val="12883966"/>
    <w:rsid w:val="129A3494"/>
    <w:rsid w:val="129E45B4"/>
    <w:rsid w:val="12C10784"/>
    <w:rsid w:val="12D81596"/>
    <w:rsid w:val="13001549"/>
    <w:rsid w:val="13072A44"/>
    <w:rsid w:val="13124788"/>
    <w:rsid w:val="13174AE5"/>
    <w:rsid w:val="132E255A"/>
    <w:rsid w:val="13474F89"/>
    <w:rsid w:val="13497394"/>
    <w:rsid w:val="135F4BE2"/>
    <w:rsid w:val="139A7BF0"/>
    <w:rsid w:val="139B1A0A"/>
    <w:rsid w:val="139D25C7"/>
    <w:rsid w:val="13AF4D1D"/>
    <w:rsid w:val="13B30CB1"/>
    <w:rsid w:val="13BF3CE4"/>
    <w:rsid w:val="13C80B59"/>
    <w:rsid w:val="13DA05C7"/>
    <w:rsid w:val="141008D8"/>
    <w:rsid w:val="14111664"/>
    <w:rsid w:val="14125FE6"/>
    <w:rsid w:val="14131750"/>
    <w:rsid w:val="143842FC"/>
    <w:rsid w:val="146D271E"/>
    <w:rsid w:val="14982588"/>
    <w:rsid w:val="149A5AD9"/>
    <w:rsid w:val="14A7619D"/>
    <w:rsid w:val="14EB01A7"/>
    <w:rsid w:val="150536C3"/>
    <w:rsid w:val="150C1963"/>
    <w:rsid w:val="15115034"/>
    <w:rsid w:val="151447A0"/>
    <w:rsid w:val="152B4878"/>
    <w:rsid w:val="15330E22"/>
    <w:rsid w:val="154A6454"/>
    <w:rsid w:val="156C736A"/>
    <w:rsid w:val="15762120"/>
    <w:rsid w:val="15B545A0"/>
    <w:rsid w:val="15EC2AF6"/>
    <w:rsid w:val="15F12419"/>
    <w:rsid w:val="160F2EA7"/>
    <w:rsid w:val="162E461F"/>
    <w:rsid w:val="163E2DAF"/>
    <w:rsid w:val="16414353"/>
    <w:rsid w:val="165473FF"/>
    <w:rsid w:val="16660238"/>
    <w:rsid w:val="16A24B17"/>
    <w:rsid w:val="16A8729C"/>
    <w:rsid w:val="16B33777"/>
    <w:rsid w:val="16BC70A7"/>
    <w:rsid w:val="16C6339E"/>
    <w:rsid w:val="172A128B"/>
    <w:rsid w:val="172F2D79"/>
    <w:rsid w:val="17557BEF"/>
    <w:rsid w:val="17625508"/>
    <w:rsid w:val="1772678E"/>
    <w:rsid w:val="179B7A92"/>
    <w:rsid w:val="17D349C1"/>
    <w:rsid w:val="181F432D"/>
    <w:rsid w:val="1830729E"/>
    <w:rsid w:val="1833416F"/>
    <w:rsid w:val="1870062C"/>
    <w:rsid w:val="1873157B"/>
    <w:rsid w:val="18817102"/>
    <w:rsid w:val="18830A15"/>
    <w:rsid w:val="18852B28"/>
    <w:rsid w:val="188B5321"/>
    <w:rsid w:val="18941E6D"/>
    <w:rsid w:val="18943705"/>
    <w:rsid w:val="18CB43A7"/>
    <w:rsid w:val="18DF7E53"/>
    <w:rsid w:val="18FF2603"/>
    <w:rsid w:val="196565AA"/>
    <w:rsid w:val="19932372"/>
    <w:rsid w:val="19A20DD5"/>
    <w:rsid w:val="19AE03F1"/>
    <w:rsid w:val="19FB2A6A"/>
    <w:rsid w:val="1A071A03"/>
    <w:rsid w:val="1A1F16AE"/>
    <w:rsid w:val="1A3B5C77"/>
    <w:rsid w:val="1A751C00"/>
    <w:rsid w:val="1A815666"/>
    <w:rsid w:val="1A984BAD"/>
    <w:rsid w:val="1AB8220E"/>
    <w:rsid w:val="1ACB4B33"/>
    <w:rsid w:val="1AE4166C"/>
    <w:rsid w:val="1AF06CFB"/>
    <w:rsid w:val="1AF11B8D"/>
    <w:rsid w:val="1B11359C"/>
    <w:rsid w:val="1B2A271F"/>
    <w:rsid w:val="1B4D72F6"/>
    <w:rsid w:val="1B530544"/>
    <w:rsid w:val="1B570174"/>
    <w:rsid w:val="1B713184"/>
    <w:rsid w:val="1BA209CF"/>
    <w:rsid w:val="1BA3785E"/>
    <w:rsid w:val="1BAD5FE6"/>
    <w:rsid w:val="1BB4777D"/>
    <w:rsid w:val="1BD75AB8"/>
    <w:rsid w:val="1C0459C2"/>
    <w:rsid w:val="1C1B3B4A"/>
    <w:rsid w:val="1C4077A8"/>
    <w:rsid w:val="1C694603"/>
    <w:rsid w:val="1C88086E"/>
    <w:rsid w:val="1C890801"/>
    <w:rsid w:val="1CBF06C7"/>
    <w:rsid w:val="1CC373C8"/>
    <w:rsid w:val="1CF111F1"/>
    <w:rsid w:val="1D266CE1"/>
    <w:rsid w:val="1D2B7012"/>
    <w:rsid w:val="1D3963AF"/>
    <w:rsid w:val="1D6A673C"/>
    <w:rsid w:val="1D6E45EA"/>
    <w:rsid w:val="1D9247AE"/>
    <w:rsid w:val="1DAD0520"/>
    <w:rsid w:val="1DB567EC"/>
    <w:rsid w:val="1DF51A98"/>
    <w:rsid w:val="1E3D060F"/>
    <w:rsid w:val="1E3F7D2E"/>
    <w:rsid w:val="1E403142"/>
    <w:rsid w:val="1E4134E4"/>
    <w:rsid w:val="1E5062B3"/>
    <w:rsid w:val="1E523514"/>
    <w:rsid w:val="1E714A66"/>
    <w:rsid w:val="1E7B061E"/>
    <w:rsid w:val="1E802593"/>
    <w:rsid w:val="1E82375A"/>
    <w:rsid w:val="1E8844A7"/>
    <w:rsid w:val="1EA703CC"/>
    <w:rsid w:val="1EA70734"/>
    <w:rsid w:val="1EB7330C"/>
    <w:rsid w:val="1F0A0FF3"/>
    <w:rsid w:val="1F38206B"/>
    <w:rsid w:val="1F5771FF"/>
    <w:rsid w:val="1FBB33C8"/>
    <w:rsid w:val="1FE868A9"/>
    <w:rsid w:val="20034907"/>
    <w:rsid w:val="200D34F7"/>
    <w:rsid w:val="20173E4B"/>
    <w:rsid w:val="2040730C"/>
    <w:rsid w:val="204E48BC"/>
    <w:rsid w:val="20645889"/>
    <w:rsid w:val="208921B3"/>
    <w:rsid w:val="208B11F0"/>
    <w:rsid w:val="208C6B12"/>
    <w:rsid w:val="20971013"/>
    <w:rsid w:val="20973DEB"/>
    <w:rsid w:val="20B26522"/>
    <w:rsid w:val="20B44310"/>
    <w:rsid w:val="20BE463F"/>
    <w:rsid w:val="20F76B2D"/>
    <w:rsid w:val="20FA5DE4"/>
    <w:rsid w:val="211116EB"/>
    <w:rsid w:val="216133FC"/>
    <w:rsid w:val="21D56769"/>
    <w:rsid w:val="21DA0EB4"/>
    <w:rsid w:val="21DA117C"/>
    <w:rsid w:val="21E52EF3"/>
    <w:rsid w:val="21FB5D7B"/>
    <w:rsid w:val="220B1C3D"/>
    <w:rsid w:val="220B7F0B"/>
    <w:rsid w:val="221D1D20"/>
    <w:rsid w:val="223053CE"/>
    <w:rsid w:val="22334A87"/>
    <w:rsid w:val="22596EC8"/>
    <w:rsid w:val="228A0E2F"/>
    <w:rsid w:val="22BE6801"/>
    <w:rsid w:val="22FF6220"/>
    <w:rsid w:val="233500BF"/>
    <w:rsid w:val="23377FF7"/>
    <w:rsid w:val="236B425F"/>
    <w:rsid w:val="237C4C1C"/>
    <w:rsid w:val="23836192"/>
    <w:rsid w:val="23901F29"/>
    <w:rsid w:val="239C0061"/>
    <w:rsid w:val="23AD1279"/>
    <w:rsid w:val="23B908A4"/>
    <w:rsid w:val="23D42CAA"/>
    <w:rsid w:val="23E95BEF"/>
    <w:rsid w:val="23FD0064"/>
    <w:rsid w:val="240A1BB0"/>
    <w:rsid w:val="245375B0"/>
    <w:rsid w:val="245416F5"/>
    <w:rsid w:val="245C14DA"/>
    <w:rsid w:val="24642C0A"/>
    <w:rsid w:val="24681644"/>
    <w:rsid w:val="246D27B7"/>
    <w:rsid w:val="24932E23"/>
    <w:rsid w:val="24AB32DF"/>
    <w:rsid w:val="24B22173"/>
    <w:rsid w:val="24B95AD9"/>
    <w:rsid w:val="24BE24DA"/>
    <w:rsid w:val="24CF5825"/>
    <w:rsid w:val="24D663E6"/>
    <w:rsid w:val="24D77F2B"/>
    <w:rsid w:val="24DD19AF"/>
    <w:rsid w:val="24E326FD"/>
    <w:rsid w:val="24FA4E32"/>
    <w:rsid w:val="25371AAD"/>
    <w:rsid w:val="258B00E2"/>
    <w:rsid w:val="25A917A6"/>
    <w:rsid w:val="25BE27CC"/>
    <w:rsid w:val="25F022C7"/>
    <w:rsid w:val="25F0544D"/>
    <w:rsid w:val="25F74A5C"/>
    <w:rsid w:val="2628662C"/>
    <w:rsid w:val="262D45DE"/>
    <w:rsid w:val="26661BB3"/>
    <w:rsid w:val="26A53EF9"/>
    <w:rsid w:val="26A94201"/>
    <w:rsid w:val="26AC274F"/>
    <w:rsid w:val="26B75F6B"/>
    <w:rsid w:val="26F45411"/>
    <w:rsid w:val="26F86CAF"/>
    <w:rsid w:val="27044A29"/>
    <w:rsid w:val="271D34C8"/>
    <w:rsid w:val="273A33DC"/>
    <w:rsid w:val="273E043A"/>
    <w:rsid w:val="276142BF"/>
    <w:rsid w:val="27783712"/>
    <w:rsid w:val="27907362"/>
    <w:rsid w:val="279B2315"/>
    <w:rsid w:val="27AF30E6"/>
    <w:rsid w:val="27DA4607"/>
    <w:rsid w:val="27EC7E96"/>
    <w:rsid w:val="28333E1D"/>
    <w:rsid w:val="28454BD6"/>
    <w:rsid w:val="28455253"/>
    <w:rsid w:val="28551971"/>
    <w:rsid w:val="285B1C53"/>
    <w:rsid w:val="286541A3"/>
    <w:rsid w:val="287B355A"/>
    <w:rsid w:val="289F7086"/>
    <w:rsid w:val="28C32028"/>
    <w:rsid w:val="28CC490F"/>
    <w:rsid w:val="28DE40AA"/>
    <w:rsid w:val="28ED3EC6"/>
    <w:rsid w:val="28F27F55"/>
    <w:rsid w:val="29345E77"/>
    <w:rsid w:val="29445783"/>
    <w:rsid w:val="294C65AD"/>
    <w:rsid w:val="296A3B2A"/>
    <w:rsid w:val="29806583"/>
    <w:rsid w:val="298B3C4C"/>
    <w:rsid w:val="29F26D24"/>
    <w:rsid w:val="2A15033F"/>
    <w:rsid w:val="2A1662C1"/>
    <w:rsid w:val="2A1C7367"/>
    <w:rsid w:val="2A2815FA"/>
    <w:rsid w:val="2A6401B8"/>
    <w:rsid w:val="2A6D6092"/>
    <w:rsid w:val="2A710AAA"/>
    <w:rsid w:val="2A716B0E"/>
    <w:rsid w:val="2A7C3754"/>
    <w:rsid w:val="2A7D76B4"/>
    <w:rsid w:val="2B1971F4"/>
    <w:rsid w:val="2B437463"/>
    <w:rsid w:val="2B7807EE"/>
    <w:rsid w:val="2B7A52ED"/>
    <w:rsid w:val="2B876854"/>
    <w:rsid w:val="2BB05DAB"/>
    <w:rsid w:val="2BBF00EC"/>
    <w:rsid w:val="2BBF5B90"/>
    <w:rsid w:val="2BC37CFD"/>
    <w:rsid w:val="2BD15D21"/>
    <w:rsid w:val="2BD34AB9"/>
    <w:rsid w:val="2BD5237F"/>
    <w:rsid w:val="2BD80E5D"/>
    <w:rsid w:val="2BE536CE"/>
    <w:rsid w:val="2BE758D9"/>
    <w:rsid w:val="2C09049E"/>
    <w:rsid w:val="2C091017"/>
    <w:rsid w:val="2C0A653C"/>
    <w:rsid w:val="2C191F85"/>
    <w:rsid w:val="2CAD22EA"/>
    <w:rsid w:val="2CD71115"/>
    <w:rsid w:val="2CE82D6F"/>
    <w:rsid w:val="2D214A86"/>
    <w:rsid w:val="2D343236"/>
    <w:rsid w:val="2D855015"/>
    <w:rsid w:val="2DD15014"/>
    <w:rsid w:val="2DF72DE4"/>
    <w:rsid w:val="2DF96F9D"/>
    <w:rsid w:val="2E0220AF"/>
    <w:rsid w:val="2E2959A0"/>
    <w:rsid w:val="2E36630F"/>
    <w:rsid w:val="2E4B082A"/>
    <w:rsid w:val="2E5D4E86"/>
    <w:rsid w:val="2E5D790B"/>
    <w:rsid w:val="2E6B5FB9"/>
    <w:rsid w:val="2E9A3C18"/>
    <w:rsid w:val="2EBB0FEE"/>
    <w:rsid w:val="2EC11563"/>
    <w:rsid w:val="2EC63002"/>
    <w:rsid w:val="2F0A6B38"/>
    <w:rsid w:val="2F104DB2"/>
    <w:rsid w:val="2F896185"/>
    <w:rsid w:val="2F946CCB"/>
    <w:rsid w:val="2FA15A0A"/>
    <w:rsid w:val="2FD25781"/>
    <w:rsid w:val="2FFD7934"/>
    <w:rsid w:val="3029612C"/>
    <w:rsid w:val="30605775"/>
    <w:rsid w:val="306F3FED"/>
    <w:rsid w:val="30733ACD"/>
    <w:rsid w:val="308C3862"/>
    <w:rsid w:val="309379D8"/>
    <w:rsid w:val="30A05CC2"/>
    <w:rsid w:val="30A270F7"/>
    <w:rsid w:val="30DF1478"/>
    <w:rsid w:val="30EC586F"/>
    <w:rsid w:val="31156D58"/>
    <w:rsid w:val="31350B00"/>
    <w:rsid w:val="319C6071"/>
    <w:rsid w:val="31AC537E"/>
    <w:rsid w:val="31CF685F"/>
    <w:rsid w:val="31E3679B"/>
    <w:rsid w:val="31E732FD"/>
    <w:rsid w:val="32081D71"/>
    <w:rsid w:val="32517576"/>
    <w:rsid w:val="32755658"/>
    <w:rsid w:val="32A25D21"/>
    <w:rsid w:val="32BE5C2C"/>
    <w:rsid w:val="32C57C62"/>
    <w:rsid w:val="32FB6478"/>
    <w:rsid w:val="33016EEC"/>
    <w:rsid w:val="330864CC"/>
    <w:rsid w:val="33226E62"/>
    <w:rsid w:val="33244988"/>
    <w:rsid w:val="33263B3F"/>
    <w:rsid w:val="33424D5D"/>
    <w:rsid w:val="336963EB"/>
    <w:rsid w:val="33816EEB"/>
    <w:rsid w:val="33A930DF"/>
    <w:rsid w:val="33D740F0"/>
    <w:rsid w:val="33EB55CD"/>
    <w:rsid w:val="33EC4C02"/>
    <w:rsid w:val="33ED182B"/>
    <w:rsid w:val="33FB57FF"/>
    <w:rsid w:val="34075AD1"/>
    <w:rsid w:val="340D2360"/>
    <w:rsid w:val="3410665D"/>
    <w:rsid w:val="34116BCE"/>
    <w:rsid w:val="34211214"/>
    <w:rsid w:val="342E63AB"/>
    <w:rsid w:val="34950E68"/>
    <w:rsid w:val="34986E94"/>
    <w:rsid w:val="34A87C42"/>
    <w:rsid w:val="34AF62C9"/>
    <w:rsid w:val="34C4269D"/>
    <w:rsid w:val="34CB4388"/>
    <w:rsid w:val="34E268A9"/>
    <w:rsid w:val="34FA6E12"/>
    <w:rsid w:val="35076310"/>
    <w:rsid w:val="354E3242"/>
    <w:rsid w:val="35653005"/>
    <w:rsid w:val="358D5588"/>
    <w:rsid w:val="359C2EFC"/>
    <w:rsid w:val="35BD6074"/>
    <w:rsid w:val="360C132B"/>
    <w:rsid w:val="363A3B40"/>
    <w:rsid w:val="36524F56"/>
    <w:rsid w:val="365269A0"/>
    <w:rsid w:val="365302AE"/>
    <w:rsid w:val="36607A0A"/>
    <w:rsid w:val="366E227C"/>
    <w:rsid w:val="366F2E0D"/>
    <w:rsid w:val="367B6A5C"/>
    <w:rsid w:val="36910587"/>
    <w:rsid w:val="36A74ADA"/>
    <w:rsid w:val="36AD60D5"/>
    <w:rsid w:val="36B224F9"/>
    <w:rsid w:val="36DD1A1E"/>
    <w:rsid w:val="36E42DAC"/>
    <w:rsid w:val="36EC0CC9"/>
    <w:rsid w:val="36FF3742"/>
    <w:rsid w:val="370311F1"/>
    <w:rsid w:val="373F410B"/>
    <w:rsid w:val="374A4272"/>
    <w:rsid w:val="379364E3"/>
    <w:rsid w:val="37B1786B"/>
    <w:rsid w:val="37EE7094"/>
    <w:rsid w:val="38033706"/>
    <w:rsid w:val="38296C89"/>
    <w:rsid w:val="383002EB"/>
    <w:rsid w:val="3834566E"/>
    <w:rsid w:val="38586797"/>
    <w:rsid w:val="38606463"/>
    <w:rsid w:val="38702A73"/>
    <w:rsid w:val="38786A21"/>
    <w:rsid w:val="38981C91"/>
    <w:rsid w:val="38A22DFD"/>
    <w:rsid w:val="38BC0149"/>
    <w:rsid w:val="38BE777D"/>
    <w:rsid w:val="38D87D1C"/>
    <w:rsid w:val="396226AE"/>
    <w:rsid w:val="39636459"/>
    <w:rsid w:val="396B7F6C"/>
    <w:rsid w:val="39B35E27"/>
    <w:rsid w:val="39B417A9"/>
    <w:rsid w:val="39D42485"/>
    <w:rsid w:val="39FC5695"/>
    <w:rsid w:val="3A006D8E"/>
    <w:rsid w:val="3A126E31"/>
    <w:rsid w:val="3A3651E5"/>
    <w:rsid w:val="3A744481"/>
    <w:rsid w:val="3A8C7BEF"/>
    <w:rsid w:val="3A906246"/>
    <w:rsid w:val="3A9B5E78"/>
    <w:rsid w:val="3AD61BE5"/>
    <w:rsid w:val="3AF61300"/>
    <w:rsid w:val="3B183024"/>
    <w:rsid w:val="3B2349B7"/>
    <w:rsid w:val="3B616CFF"/>
    <w:rsid w:val="3B6259F6"/>
    <w:rsid w:val="3B715332"/>
    <w:rsid w:val="3B976654"/>
    <w:rsid w:val="3BC01EFC"/>
    <w:rsid w:val="3BCA786A"/>
    <w:rsid w:val="3BD31E2F"/>
    <w:rsid w:val="3BF15831"/>
    <w:rsid w:val="3C0E61D6"/>
    <w:rsid w:val="3C105946"/>
    <w:rsid w:val="3C471448"/>
    <w:rsid w:val="3C5F759A"/>
    <w:rsid w:val="3C6C525A"/>
    <w:rsid w:val="3C9F5622"/>
    <w:rsid w:val="3CCE23CB"/>
    <w:rsid w:val="3CD17D17"/>
    <w:rsid w:val="3D0870C9"/>
    <w:rsid w:val="3D3C7F39"/>
    <w:rsid w:val="3D3F7BB8"/>
    <w:rsid w:val="3D440F09"/>
    <w:rsid w:val="3D4504A0"/>
    <w:rsid w:val="3D491140"/>
    <w:rsid w:val="3D8734BB"/>
    <w:rsid w:val="3D8A670D"/>
    <w:rsid w:val="3D9A11D4"/>
    <w:rsid w:val="3DA16D89"/>
    <w:rsid w:val="3DA364BE"/>
    <w:rsid w:val="3DBB5757"/>
    <w:rsid w:val="3DC141B0"/>
    <w:rsid w:val="3DD010F8"/>
    <w:rsid w:val="3DE041CB"/>
    <w:rsid w:val="3DE10D61"/>
    <w:rsid w:val="3DE1436E"/>
    <w:rsid w:val="3E0D48F6"/>
    <w:rsid w:val="3E151E53"/>
    <w:rsid w:val="3E1868B4"/>
    <w:rsid w:val="3E1A7695"/>
    <w:rsid w:val="3E377251"/>
    <w:rsid w:val="3E42664B"/>
    <w:rsid w:val="3E5661DC"/>
    <w:rsid w:val="3E576880"/>
    <w:rsid w:val="3E5A7334"/>
    <w:rsid w:val="3E7B5D6B"/>
    <w:rsid w:val="3E843E66"/>
    <w:rsid w:val="3E8F51FE"/>
    <w:rsid w:val="3E926F87"/>
    <w:rsid w:val="3E9A59DE"/>
    <w:rsid w:val="3EAF4836"/>
    <w:rsid w:val="3EC33DFA"/>
    <w:rsid w:val="3F060E16"/>
    <w:rsid w:val="3F132347"/>
    <w:rsid w:val="3F1D1096"/>
    <w:rsid w:val="3F23468E"/>
    <w:rsid w:val="3F2F0234"/>
    <w:rsid w:val="3F6363FE"/>
    <w:rsid w:val="3F756B8F"/>
    <w:rsid w:val="3F95482B"/>
    <w:rsid w:val="3FC86127"/>
    <w:rsid w:val="4019356B"/>
    <w:rsid w:val="405532B0"/>
    <w:rsid w:val="40592157"/>
    <w:rsid w:val="406E1CAE"/>
    <w:rsid w:val="4078404B"/>
    <w:rsid w:val="40A0133A"/>
    <w:rsid w:val="40C31A53"/>
    <w:rsid w:val="40FF545D"/>
    <w:rsid w:val="410067C8"/>
    <w:rsid w:val="411C3143"/>
    <w:rsid w:val="41456B3D"/>
    <w:rsid w:val="41540B2E"/>
    <w:rsid w:val="418D13E5"/>
    <w:rsid w:val="418F0D2A"/>
    <w:rsid w:val="41A82C28"/>
    <w:rsid w:val="41D01505"/>
    <w:rsid w:val="420F2CA7"/>
    <w:rsid w:val="42474939"/>
    <w:rsid w:val="424C3C57"/>
    <w:rsid w:val="425D7EB7"/>
    <w:rsid w:val="42613FF3"/>
    <w:rsid w:val="42660D96"/>
    <w:rsid w:val="427A6373"/>
    <w:rsid w:val="428667D2"/>
    <w:rsid w:val="428F1D3F"/>
    <w:rsid w:val="42A774A0"/>
    <w:rsid w:val="42CD1CE0"/>
    <w:rsid w:val="42D27F5D"/>
    <w:rsid w:val="42E1381E"/>
    <w:rsid w:val="42E47C90"/>
    <w:rsid w:val="42E934F8"/>
    <w:rsid w:val="42ED6459"/>
    <w:rsid w:val="42FE58DD"/>
    <w:rsid w:val="43174B3D"/>
    <w:rsid w:val="43284021"/>
    <w:rsid w:val="434B790E"/>
    <w:rsid w:val="4360274F"/>
    <w:rsid w:val="43727FC4"/>
    <w:rsid w:val="43977AB6"/>
    <w:rsid w:val="43A3342B"/>
    <w:rsid w:val="43B22357"/>
    <w:rsid w:val="43C024AB"/>
    <w:rsid w:val="43C77C27"/>
    <w:rsid w:val="43DE09EE"/>
    <w:rsid w:val="44002FAD"/>
    <w:rsid w:val="44111B91"/>
    <w:rsid w:val="449101DD"/>
    <w:rsid w:val="44AD4049"/>
    <w:rsid w:val="44DE1391"/>
    <w:rsid w:val="45012D7B"/>
    <w:rsid w:val="4511089B"/>
    <w:rsid w:val="451B225C"/>
    <w:rsid w:val="452410C9"/>
    <w:rsid w:val="45317DFB"/>
    <w:rsid w:val="455E224D"/>
    <w:rsid w:val="456D3CE4"/>
    <w:rsid w:val="4579042C"/>
    <w:rsid w:val="457F0571"/>
    <w:rsid w:val="45851176"/>
    <w:rsid w:val="45992FB4"/>
    <w:rsid w:val="45C63B94"/>
    <w:rsid w:val="45E5444B"/>
    <w:rsid w:val="45F12DF0"/>
    <w:rsid w:val="460E7DA5"/>
    <w:rsid w:val="46422483"/>
    <w:rsid w:val="4659254A"/>
    <w:rsid w:val="465B0637"/>
    <w:rsid w:val="465E3F0D"/>
    <w:rsid w:val="466A16E6"/>
    <w:rsid w:val="46893F2B"/>
    <w:rsid w:val="469043B7"/>
    <w:rsid w:val="46C4686E"/>
    <w:rsid w:val="46D324F5"/>
    <w:rsid w:val="471274C2"/>
    <w:rsid w:val="47170C88"/>
    <w:rsid w:val="471A0124"/>
    <w:rsid w:val="47264328"/>
    <w:rsid w:val="477B778F"/>
    <w:rsid w:val="478203EC"/>
    <w:rsid w:val="47AE3D92"/>
    <w:rsid w:val="47B025FA"/>
    <w:rsid w:val="47D8783A"/>
    <w:rsid w:val="4809698F"/>
    <w:rsid w:val="4811697D"/>
    <w:rsid w:val="482A083B"/>
    <w:rsid w:val="484B748D"/>
    <w:rsid w:val="487A3E25"/>
    <w:rsid w:val="48873598"/>
    <w:rsid w:val="488B5503"/>
    <w:rsid w:val="48937E21"/>
    <w:rsid w:val="489A0361"/>
    <w:rsid w:val="48B94FF3"/>
    <w:rsid w:val="48BD432F"/>
    <w:rsid w:val="48E37AAB"/>
    <w:rsid w:val="48F87B35"/>
    <w:rsid w:val="48FD4B4C"/>
    <w:rsid w:val="490A68E0"/>
    <w:rsid w:val="491055FE"/>
    <w:rsid w:val="491E192A"/>
    <w:rsid w:val="495F5B3E"/>
    <w:rsid w:val="49603EAB"/>
    <w:rsid w:val="496F77D7"/>
    <w:rsid w:val="497654FD"/>
    <w:rsid w:val="49787384"/>
    <w:rsid w:val="49B605D8"/>
    <w:rsid w:val="49B64211"/>
    <w:rsid w:val="49F27137"/>
    <w:rsid w:val="49F6167F"/>
    <w:rsid w:val="4A064FA0"/>
    <w:rsid w:val="4A16615C"/>
    <w:rsid w:val="4A2A11C9"/>
    <w:rsid w:val="4A4424D7"/>
    <w:rsid w:val="4A6B6B8E"/>
    <w:rsid w:val="4A797DE0"/>
    <w:rsid w:val="4AB82D0F"/>
    <w:rsid w:val="4AEB7664"/>
    <w:rsid w:val="4AFD7C19"/>
    <w:rsid w:val="4B0567D1"/>
    <w:rsid w:val="4B0B04B0"/>
    <w:rsid w:val="4B236AAE"/>
    <w:rsid w:val="4B4C2876"/>
    <w:rsid w:val="4B4E65EF"/>
    <w:rsid w:val="4B707271"/>
    <w:rsid w:val="4B9739F7"/>
    <w:rsid w:val="4BBA26C9"/>
    <w:rsid w:val="4BBA3C84"/>
    <w:rsid w:val="4BC42F14"/>
    <w:rsid w:val="4BEE2503"/>
    <w:rsid w:val="4C245A30"/>
    <w:rsid w:val="4C343A36"/>
    <w:rsid w:val="4C482F76"/>
    <w:rsid w:val="4CB6685F"/>
    <w:rsid w:val="4CC367FE"/>
    <w:rsid w:val="4D077F3C"/>
    <w:rsid w:val="4D092627"/>
    <w:rsid w:val="4D123355"/>
    <w:rsid w:val="4D2A3B31"/>
    <w:rsid w:val="4D312C52"/>
    <w:rsid w:val="4D905305"/>
    <w:rsid w:val="4D964A72"/>
    <w:rsid w:val="4D9C1254"/>
    <w:rsid w:val="4DF0398D"/>
    <w:rsid w:val="4E1C6E78"/>
    <w:rsid w:val="4E265601"/>
    <w:rsid w:val="4E2B2C17"/>
    <w:rsid w:val="4E32115E"/>
    <w:rsid w:val="4E793892"/>
    <w:rsid w:val="4E800872"/>
    <w:rsid w:val="4EC05A55"/>
    <w:rsid w:val="4EC569ED"/>
    <w:rsid w:val="4ECA0682"/>
    <w:rsid w:val="4ECD6BBF"/>
    <w:rsid w:val="4ED50EA1"/>
    <w:rsid w:val="4ED52497"/>
    <w:rsid w:val="4EEC050C"/>
    <w:rsid w:val="4F0973FC"/>
    <w:rsid w:val="4F104EC3"/>
    <w:rsid w:val="4F1C3A1A"/>
    <w:rsid w:val="4F2A7373"/>
    <w:rsid w:val="4F47354A"/>
    <w:rsid w:val="4F8E6A29"/>
    <w:rsid w:val="4F911C54"/>
    <w:rsid w:val="4FE625E0"/>
    <w:rsid w:val="5021480F"/>
    <w:rsid w:val="50666188"/>
    <w:rsid w:val="50962ECB"/>
    <w:rsid w:val="50A42E38"/>
    <w:rsid w:val="50A4577F"/>
    <w:rsid w:val="50B73D1F"/>
    <w:rsid w:val="50BD5BC9"/>
    <w:rsid w:val="50C11EEE"/>
    <w:rsid w:val="50E97CFC"/>
    <w:rsid w:val="50FA4028"/>
    <w:rsid w:val="51055DAE"/>
    <w:rsid w:val="510D65B7"/>
    <w:rsid w:val="511157AB"/>
    <w:rsid w:val="512C2F2E"/>
    <w:rsid w:val="5142540C"/>
    <w:rsid w:val="51447A50"/>
    <w:rsid w:val="515B7CB7"/>
    <w:rsid w:val="518832C8"/>
    <w:rsid w:val="51976F41"/>
    <w:rsid w:val="51984A67"/>
    <w:rsid w:val="51A0432A"/>
    <w:rsid w:val="51A4340C"/>
    <w:rsid w:val="51A86090"/>
    <w:rsid w:val="51B7396D"/>
    <w:rsid w:val="51CC4711"/>
    <w:rsid w:val="521045FE"/>
    <w:rsid w:val="522462FB"/>
    <w:rsid w:val="522E4CC3"/>
    <w:rsid w:val="5244713B"/>
    <w:rsid w:val="52615633"/>
    <w:rsid w:val="526B5CD8"/>
    <w:rsid w:val="52946FDD"/>
    <w:rsid w:val="52977FD4"/>
    <w:rsid w:val="52A25790"/>
    <w:rsid w:val="52A96B6F"/>
    <w:rsid w:val="52B45975"/>
    <w:rsid w:val="52BE04FE"/>
    <w:rsid w:val="52C53EBF"/>
    <w:rsid w:val="52D94AA4"/>
    <w:rsid w:val="52EA3A62"/>
    <w:rsid w:val="52F50BB8"/>
    <w:rsid w:val="53097272"/>
    <w:rsid w:val="53544462"/>
    <w:rsid w:val="535B3A3C"/>
    <w:rsid w:val="5397158E"/>
    <w:rsid w:val="53B66805"/>
    <w:rsid w:val="54013861"/>
    <w:rsid w:val="541F6D7A"/>
    <w:rsid w:val="54487265"/>
    <w:rsid w:val="544D6070"/>
    <w:rsid w:val="545D78A2"/>
    <w:rsid w:val="54605E1E"/>
    <w:rsid w:val="547F5A6B"/>
    <w:rsid w:val="54B3506A"/>
    <w:rsid w:val="54CA0D16"/>
    <w:rsid w:val="54CF69F2"/>
    <w:rsid w:val="54DD4057"/>
    <w:rsid w:val="54E7490F"/>
    <w:rsid w:val="550764A4"/>
    <w:rsid w:val="550B0F24"/>
    <w:rsid w:val="550B2BF6"/>
    <w:rsid w:val="551D59AF"/>
    <w:rsid w:val="55214EB5"/>
    <w:rsid w:val="55364EFD"/>
    <w:rsid w:val="555D4828"/>
    <w:rsid w:val="557A4C8B"/>
    <w:rsid w:val="558419F7"/>
    <w:rsid w:val="558570B1"/>
    <w:rsid w:val="558931E1"/>
    <w:rsid w:val="55923347"/>
    <w:rsid w:val="55925180"/>
    <w:rsid w:val="55983B1B"/>
    <w:rsid w:val="559B6371"/>
    <w:rsid w:val="55A8376B"/>
    <w:rsid w:val="55C37BD9"/>
    <w:rsid w:val="55DC29B6"/>
    <w:rsid w:val="55DD4241"/>
    <w:rsid w:val="55F34962"/>
    <w:rsid w:val="560E70A6"/>
    <w:rsid w:val="565A03E8"/>
    <w:rsid w:val="566B6D1E"/>
    <w:rsid w:val="56B35182"/>
    <w:rsid w:val="56C63E25"/>
    <w:rsid w:val="56DA5E47"/>
    <w:rsid w:val="57032A2C"/>
    <w:rsid w:val="570F5219"/>
    <w:rsid w:val="574C257C"/>
    <w:rsid w:val="575D12B5"/>
    <w:rsid w:val="57610A87"/>
    <w:rsid w:val="57664D88"/>
    <w:rsid w:val="577B1140"/>
    <w:rsid w:val="577B7F21"/>
    <w:rsid w:val="577F181B"/>
    <w:rsid w:val="57921984"/>
    <w:rsid w:val="579737F0"/>
    <w:rsid w:val="57AB7B30"/>
    <w:rsid w:val="57AE6D93"/>
    <w:rsid w:val="57AF5251"/>
    <w:rsid w:val="57B26373"/>
    <w:rsid w:val="57B63F04"/>
    <w:rsid w:val="57C1311B"/>
    <w:rsid w:val="57CD20C2"/>
    <w:rsid w:val="57D675AB"/>
    <w:rsid w:val="57D95FDD"/>
    <w:rsid w:val="58007CE8"/>
    <w:rsid w:val="582B57B9"/>
    <w:rsid w:val="58917D2F"/>
    <w:rsid w:val="5894085C"/>
    <w:rsid w:val="58AC4CBD"/>
    <w:rsid w:val="58AE4F0C"/>
    <w:rsid w:val="58B85899"/>
    <w:rsid w:val="58C6010C"/>
    <w:rsid w:val="58DD0763"/>
    <w:rsid w:val="58E363A9"/>
    <w:rsid w:val="59091DA7"/>
    <w:rsid w:val="594C6863"/>
    <w:rsid w:val="595E1678"/>
    <w:rsid w:val="59605937"/>
    <w:rsid w:val="596D5BD4"/>
    <w:rsid w:val="597E3DD8"/>
    <w:rsid w:val="598F04FE"/>
    <w:rsid w:val="59F80043"/>
    <w:rsid w:val="5A09252F"/>
    <w:rsid w:val="5A0B2778"/>
    <w:rsid w:val="5A2A7C7B"/>
    <w:rsid w:val="5A3E2560"/>
    <w:rsid w:val="5A5D3B6E"/>
    <w:rsid w:val="5A637A76"/>
    <w:rsid w:val="5A6D33BA"/>
    <w:rsid w:val="5A792B1F"/>
    <w:rsid w:val="5A874767"/>
    <w:rsid w:val="5A9A1850"/>
    <w:rsid w:val="5AAD6F28"/>
    <w:rsid w:val="5AD63A24"/>
    <w:rsid w:val="5AEC372E"/>
    <w:rsid w:val="5B04316E"/>
    <w:rsid w:val="5B2E1A1D"/>
    <w:rsid w:val="5B455777"/>
    <w:rsid w:val="5B843A1C"/>
    <w:rsid w:val="5B873E3F"/>
    <w:rsid w:val="5B9E2C7A"/>
    <w:rsid w:val="5C02690E"/>
    <w:rsid w:val="5C196DA7"/>
    <w:rsid w:val="5C2A048C"/>
    <w:rsid w:val="5C5C4202"/>
    <w:rsid w:val="5C62639E"/>
    <w:rsid w:val="5C80234E"/>
    <w:rsid w:val="5C8A680C"/>
    <w:rsid w:val="5D0C4701"/>
    <w:rsid w:val="5D0F0395"/>
    <w:rsid w:val="5D221076"/>
    <w:rsid w:val="5D397964"/>
    <w:rsid w:val="5D5A391C"/>
    <w:rsid w:val="5D5F10C0"/>
    <w:rsid w:val="5D891B7B"/>
    <w:rsid w:val="5D96269B"/>
    <w:rsid w:val="5D9E3405"/>
    <w:rsid w:val="5DAD38EE"/>
    <w:rsid w:val="5E006862"/>
    <w:rsid w:val="5E0207B9"/>
    <w:rsid w:val="5E1834A1"/>
    <w:rsid w:val="5E261785"/>
    <w:rsid w:val="5E341674"/>
    <w:rsid w:val="5E4A7017"/>
    <w:rsid w:val="5E4D2736"/>
    <w:rsid w:val="5E552BBA"/>
    <w:rsid w:val="5E611C10"/>
    <w:rsid w:val="5E631F59"/>
    <w:rsid w:val="5E6D4B86"/>
    <w:rsid w:val="5EFC7377"/>
    <w:rsid w:val="5F06174D"/>
    <w:rsid w:val="5F3A3602"/>
    <w:rsid w:val="5F5D4BFA"/>
    <w:rsid w:val="5F6277C6"/>
    <w:rsid w:val="5F6D0B1D"/>
    <w:rsid w:val="5F6D308F"/>
    <w:rsid w:val="5F7C1A71"/>
    <w:rsid w:val="5F8D0B82"/>
    <w:rsid w:val="5FB23E90"/>
    <w:rsid w:val="5FB813D2"/>
    <w:rsid w:val="5FCC5339"/>
    <w:rsid w:val="5FE34A5B"/>
    <w:rsid w:val="5FFE1E36"/>
    <w:rsid w:val="60232584"/>
    <w:rsid w:val="605A37BF"/>
    <w:rsid w:val="607330CE"/>
    <w:rsid w:val="60825176"/>
    <w:rsid w:val="60895068"/>
    <w:rsid w:val="609F2AC4"/>
    <w:rsid w:val="60C34F31"/>
    <w:rsid w:val="60E750C3"/>
    <w:rsid w:val="60FA2EE8"/>
    <w:rsid w:val="61054A27"/>
    <w:rsid w:val="610A52BC"/>
    <w:rsid w:val="61170CB3"/>
    <w:rsid w:val="611D2366"/>
    <w:rsid w:val="61421856"/>
    <w:rsid w:val="615227C4"/>
    <w:rsid w:val="61532918"/>
    <w:rsid w:val="615F2684"/>
    <w:rsid w:val="61654E3F"/>
    <w:rsid w:val="616C481B"/>
    <w:rsid w:val="6182292A"/>
    <w:rsid w:val="619F7F92"/>
    <w:rsid w:val="61F94C26"/>
    <w:rsid w:val="62000E56"/>
    <w:rsid w:val="62312A9A"/>
    <w:rsid w:val="62353C0D"/>
    <w:rsid w:val="6247406C"/>
    <w:rsid w:val="624F3E49"/>
    <w:rsid w:val="625D388F"/>
    <w:rsid w:val="62632286"/>
    <w:rsid w:val="62682234"/>
    <w:rsid w:val="62885958"/>
    <w:rsid w:val="628A51BD"/>
    <w:rsid w:val="62C46C97"/>
    <w:rsid w:val="62D376AD"/>
    <w:rsid w:val="62F40B65"/>
    <w:rsid w:val="62FC2CFE"/>
    <w:rsid w:val="63024505"/>
    <w:rsid w:val="635B1DB5"/>
    <w:rsid w:val="636724EC"/>
    <w:rsid w:val="63711FED"/>
    <w:rsid w:val="63880DDC"/>
    <w:rsid w:val="638D750D"/>
    <w:rsid w:val="63AC6CC0"/>
    <w:rsid w:val="63EA73A4"/>
    <w:rsid w:val="64055776"/>
    <w:rsid w:val="64240056"/>
    <w:rsid w:val="643E143A"/>
    <w:rsid w:val="64515E73"/>
    <w:rsid w:val="64750492"/>
    <w:rsid w:val="6477283B"/>
    <w:rsid w:val="64872E45"/>
    <w:rsid w:val="648B6EEF"/>
    <w:rsid w:val="64C158BF"/>
    <w:rsid w:val="64CA4AE0"/>
    <w:rsid w:val="64CE2EAA"/>
    <w:rsid w:val="64E02555"/>
    <w:rsid w:val="64EC0EFA"/>
    <w:rsid w:val="653C3090"/>
    <w:rsid w:val="65854376"/>
    <w:rsid w:val="658767BE"/>
    <w:rsid w:val="65892531"/>
    <w:rsid w:val="65A25A5D"/>
    <w:rsid w:val="65B01829"/>
    <w:rsid w:val="65B62756"/>
    <w:rsid w:val="65B7603D"/>
    <w:rsid w:val="66195831"/>
    <w:rsid w:val="66195D1F"/>
    <w:rsid w:val="662E75B1"/>
    <w:rsid w:val="6632293D"/>
    <w:rsid w:val="66342C2E"/>
    <w:rsid w:val="66383289"/>
    <w:rsid w:val="663E784C"/>
    <w:rsid w:val="663F14FE"/>
    <w:rsid w:val="66465DF3"/>
    <w:rsid w:val="66623E0F"/>
    <w:rsid w:val="666D606B"/>
    <w:rsid w:val="668B6A45"/>
    <w:rsid w:val="66A23F66"/>
    <w:rsid w:val="66B6356E"/>
    <w:rsid w:val="67284880"/>
    <w:rsid w:val="672F3F24"/>
    <w:rsid w:val="673E055F"/>
    <w:rsid w:val="6740209B"/>
    <w:rsid w:val="67424E02"/>
    <w:rsid w:val="67551CE3"/>
    <w:rsid w:val="67A22552"/>
    <w:rsid w:val="67B22DCC"/>
    <w:rsid w:val="67BA52E0"/>
    <w:rsid w:val="67BE71AA"/>
    <w:rsid w:val="67D90273"/>
    <w:rsid w:val="67DE5875"/>
    <w:rsid w:val="67E55852"/>
    <w:rsid w:val="67EB1AB4"/>
    <w:rsid w:val="67F7228C"/>
    <w:rsid w:val="67FA1285"/>
    <w:rsid w:val="681D13CB"/>
    <w:rsid w:val="68551F4F"/>
    <w:rsid w:val="687C10C9"/>
    <w:rsid w:val="68840C16"/>
    <w:rsid w:val="68876EFB"/>
    <w:rsid w:val="68884654"/>
    <w:rsid w:val="689F444F"/>
    <w:rsid w:val="68B96DBB"/>
    <w:rsid w:val="68CA2805"/>
    <w:rsid w:val="68CF6D05"/>
    <w:rsid w:val="68E937A3"/>
    <w:rsid w:val="69252C2D"/>
    <w:rsid w:val="69261D01"/>
    <w:rsid w:val="693E15D3"/>
    <w:rsid w:val="693F19BC"/>
    <w:rsid w:val="695449AA"/>
    <w:rsid w:val="69627681"/>
    <w:rsid w:val="697274F4"/>
    <w:rsid w:val="6977531D"/>
    <w:rsid w:val="69BA3375"/>
    <w:rsid w:val="69CC2BFF"/>
    <w:rsid w:val="69FD55B8"/>
    <w:rsid w:val="6A0B1C62"/>
    <w:rsid w:val="6A2406C8"/>
    <w:rsid w:val="6A427C3D"/>
    <w:rsid w:val="6A4D269B"/>
    <w:rsid w:val="6A876E3D"/>
    <w:rsid w:val="6A9A1BC1"/>
    <w:rsid w:val="6AA47137"/>
    <w:rsid w:val="6AB565B2"/>
    <w:rsid w:val="6ABF12AD"/>
    <w:rsid w:val="6ADE0BD1"/>
    <w:rsid w:val="6AE96859"/>
    <w:rsid w:val="6B147746"/>
    <w:rsid w:val="6B24787C"/>
    <w:rsid w:val="6B3B04E6"/>
    <w:rsid w:val="6B536B10"/>
    <w:rsid w:val="6B573233"/>
    <w:rsid w:val="6B5B6274"/>
    <w:rsid w:val="6B7468D2"/>
    <w:rsid w:val="6B8A6D77"/>
    <w:rsid w:val="6B930322"/>
    <w:rsid w:val="6B935D53"/>
    <w:rsid w:val="6BA01D5F"/>
    <w:rsid w:val="6C042FCD"/>
    <w:rsid w:val="6C196F71"/>
    <w:rsid w:val="6C226FCB"/>
    <w:rsid w:val="6C30791F"/>
    <w:rsid w:val="6C31226F"/>
    <w:rsid w:val="6C552F0B"/>
    <w:rsid w:val="6C7517D5"/>
    <w:rsid w:val="6C8611EB"/>
    <w:rsid w:val="6C8C67B7"/>
    <w:rsid w:val="6C9D744C"/>
    <w:rsid w:val="6CB247D7"/>
    <w:rsid w:val="6CBA368C"/>
    <w:rsid w:val="6CD86F4F"/>
    <w:rsid w:val="6CEB322F"/>
    <w:rsid w:val="6D156B14"/>
    <w:rsid w:val="6D167928"/>
    <w:rsid w:val="6D26299B"/>
    <w:rsid w:val="6D4772EC"/>
    <w:rsid w:val="6D5910F7"/>
    <w:rsid w:val="6D9078AF"/>
    <w:rsid w:val="6DAA3FEF"/>
    <w:rsid w:val="6DAF2321"/>
    <w:rsid w:val="6DC0172B"/>
    <w:rsid w:val="6DCB690C"/>
    <w:rsid w:val="6DD41A5B"/>
    <w:rsid w:val="6DF43C2E"/>
    <w:rsid w:val="6DF51CA3"/>
    <w:rsid w:val="6E0252EB"/>
    <w:rsid w:val="6E423939"/>
    <w:rsid w:val="6E8335BD"/>
    <w:rsid w:val="6E843F52"/>
    <w:rsid w:val="6E8E12EF"/>
    <w:rsid w:val="6E972936"/>
    <w:rsid w:val="6ED446C5"/>
    <w:rsid w:val="6F2A7D94"/>
    <w:rsid w:val="6F377216"/>
    <w:rsid w:val="6F8331F1"/>
    <w:rsid w:val="6FAE1A09"/>
    <w:rsid w:val="6FBE3493"/>
    <w:rsid w:val="6FD75BF8"/>
    <w:rsid w:val="70141F36"/>
    <w:rsid w:val="70223A22"/>
    <w:rsid w:val="707723D0"/>
    <w:rsid w:val="70781362"/>
    <w:rsid w:val="708217E0"/>
    <w:rsid w:val="70967F6C"/>
    <w:rsid w:val="70F5661B"/>
    <w:rsid w:val="71360107"/>
    <w:rsid w:val="713B688E"/>
    <w:rsid w:val="714A1C1F"/>
    <w:rsid w:val="71724535"/>
    <w:rsid w:val="718A44DA"/>
    <w:rsid w:val="719A3A8C"/>
    <w:rsid w:val="719B7F30"/>
    <w:rsid w:val="71B501CD"/>
    <w:rsid w:val="71CF584A"/>
    <w:rsid w:val="71D43752"/>
    <w:rsid w:val="71F1796A"/>
    <w:rsid w:val="72023B0B"/>
    <w:rsid w:val="72154626"/>
    <w:rsid w:val="72262B5D"/>
    <w:rsid w:val="72283FF7"/>
    <w:rsid w:val="722E7212"/>
    <w:rsid w:val="723A0474"/>
    <w:rsid w:val="72457E9C"/>
    <w:rsid w:val="72544387"/>
    <w:rsid w:val="725923E4"/>
    <w:rsid w:val="72823172"/>
    <w:rsid w:val="72864BF7"/>
    <w:rsid w:val="729023FC"/>
    <w:rsid w:val="72AB5F51"/>
    <w:rsid w:val="72D96770"/>
    <w:rsid w:val="72E262CE"/>
    <w:rsid w:val="72FA172D"/>
    <w:rsid w:val="733F48EB"/>
    <w:rsid w:val="73555EBD"/>
    <w:rsid w:val="739F1175"/>
    <w:rsid w:val="73C0646E"/>
    <w:rsid w:val="742222F5"/>
    <w:rsid w:val="74404150"/>
    <w:rsid w:val="74476126"/>
    <w:rsid w:val="746A6B0A"/>
    <w:rsid w:val="746B1DAF"/>
    <w:rsid w:val="74706664"/>
    <w:rsid w:val="747F3682"/>
    <w:rsid w:val="7499671F"/>
    <w:rsid w:val="749C4185"/>
    <w:rsid w:val="74EB4D2A"/>
    <w:rsid w:val="75067759"/>
    <w:rsid w:val="752E6DCD"/>
    <w:rsid w:val="7551380D"/>
    <w:rsid w:val="75600BE5"/>
    <w:rsid w:val="7564475C"/>
    <w:rsid w:val="757A4300"/>
    <w:rsid w:val="7583797F"/>
    <w:rsid w:val="75A34043"/>
    <w:rsid w:val="75CD61DE"/>
    <w:rsid w:val="75D20F1D"/>
    <w:rsid w:val="75DA2C18"/>
    <w:rsid w:val="75F54412"/>
    <w:rsid w:val="760B6D06"/>
    <w:rsid w:val="761D08E0"/>
    <w:rsid w:val="763C3364"/>
    <w:rsid w:val="765D347C"/>
    <w:rsid w:val="76826699"/>
    <w:rsid w:val="76B33626"/>
    <w:rsid w:val="76C87133"/>
    <w:rsid w:val="76CD08D5"/>
    <w:rsid w:val="76DB4B92"/>
    <w:rsid w:val="77052AA4"/>
    <w:rsid w:val="77136511"/>
    <w:rsid w:val="7725204A"/>
    <w:rsid w:val="77340A39"/>
    <w:rsid w:val="77351FD0"/>
    <w:rsid w:val="77472422"/>
    <w:rsid w:val="777F31F2"/>
    <w:rsid w:val="778E4093"/>
    <w:rsid w:val="77A80CB1"/>
    <w:rsid w:val="77C655DB"/>
    <w:rsid w:val="77D1700D"/>
    <w:rsid w:val="77EC04CC"/>
    <w:rsid w:val="78106856"/>
    <w:rsid w:val="784D1858"/>
    <w:rsid w:val="78775729"/>
    <w:rsid w:val="78A27DF6"/>
    <w:rsid w:val="78A3680A"/>
    <w:rsid w:val="78A42DB0"/>
    <w:rsid w:val="78A656AB"/>
    <w:rsid w:val="78B2245C"/>
    <w:rsid w:val="78CC4E73"/>
    <w:rsid w:val="78D833CD"/>
    <w:rsid w:val="78E172CC"/>
    <w:rsid w:val="78E71CAD"/>
    <w:rsid w:val="78EA1D1F"/>
    <w:rsid w:val="79002D6F"/>
    <w:rsid w:val="7904172F"/>
    <w:rsid w:val="790F7E27"/>
    <w:rsid w:val="79256331"/>
    <w:rsid w:val="792A231A"/>
    <w:rsid w:val="79316829"/>
    <w:rsid w:val="79607369"/>
    <w:rsid w:val="797A48CF"/>
    <w:rsid w:val="797A5A3D"/>
    <w:rsid w:val="797E66A9"/>
    <w:rsid w:val="79A97383"/>
    <w:rsid w:val="79B80F53"/>
    <w:rsid w:val="79E27E8B"/>
    <w:rsid w:val="79F850CE"/>
    <w:rsid w:val="79FD443C"/>
    <w:rsid w:val="7A1D1975"/>
    <w:rsid w:val="7A3E5150"/>
    <w:rsid w:val="7A4670D6"/>
    <w:rsid w:val="7A534B63"/>
    <w:rsid w:val="7A615382"/>
    <w:rsid w:val="7A67303B"/>
    <w:rsid w:val="7A9C2623"/>
    <w:rsid w:val="7AAB1D04"/>
    <w:rsid w:val="7ABA4368"/>
    <w:rsid w:val="7ABB6F4D"/>
    <w:rsid w:val="7AD05746"/>
    <w:rsid w:val="7B1D3764"/>
    <w:rsid w:val="7B257FFD"/>
    <w:rsid w:val="7B2C0280"/>
    <w:rsid w:val="7B343476"/>
    <w:rsid w:val="7B5A2978"/>
    <w:rsid w:val="7B5A7E4C"/>
    <w:rsid w:val="7B667AF9"/>
    <w:rsid w:val="7B7468F8"/>
    <w:rsid w:val="7BD55DED"/>
    <w:rsid w:val="7BEE0103"/>
    <w:rsid w:val="7BF5023D"/>
    <w:rsid w:val="7C0A0FE4"/>
    <w:rsid w:val="7C254906"/>
    <w:rsid w:val="7C444D20"/>
    <w:rsid w:val="7C590818"/>
    <w:rsid w:val="7C783B28"/>
    <w:rsid w:val="7C7C10F6"/>
    <w:rsid w:val="7C853BEA"/>
    <w:rsid w:val="7C881368"/>
    <w:rsid w:val="7CE27788"/>
    <w:rsid w:val="7CE64029"/>
    <w:rsid w:val="7D0C32F1"/>
    <w:rsid w:val="7D0F408D"/>
    <w:rsid w:val="7D491C6C"/>
    <w:rsid w:val="7D534733"/>
    <w:rsid w:val="7D5429C0"/>
    <w:rsid w:val="7D6E6D43"/>
    <w:rsid w:val="7DA4250D"/>
    <w:rsid w:val="7DB57A34"/>
    <w:rsid w:val="7DE60973"/>
    <w:rsid w:val="7DEF0916"/>
    <w:rsid w:val="7DF74740"/>
    <w:rsid w:val="7E115483"/>
    <w:rsid w:val="7E1E5218"/>
    <w:rsid w:val="7E490D14"/>
    <w:rsid w:val="7E791CE8"/>
    <w:rsid w:val="7E794F7B"/>
    <w:rsid w:val="7E9A4E1F"/>
    <w:rsid w:val="7EA321D2"/>
    <w:rsid w:val="7EA63A70"/>
    <w:rsid w:val="7EA7723A"/>
    <w:rsid w:val="7EF56FBB"/>
    <w:rsid w:val="7EF944E8"/>
    <w:rsid w:val="7F0768EB"/>
    <w:rsid w:val="7F0F64CB"/>
    <w:rsid w:val="7F143BEC"/>
    <w:rsid w:val="7F3948E4"/>
    <w:rsid w:val="7F6556D9"/>
    <w:rsid w:val="7F715AF2"/>
    <w:rsid w:val="7F721BA4"/>
    <w:rsid w:val="7F886E69"/>
    <w:rsid w:val="7F8E4C30"/>
    <w:rsid w:val="7FF9258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5ECA80-CE09-4B5D-9A2C-6CFE601342ED}">
  <ds:schemaRefs/>
</ds:datastoreItem>
</file>

<file path=docProps/app.xml><?xml version="1.0" encoding="utf-8"?>
<Properties xmlns="http://schemas.openxmlformats.org/officeDocument/2006/extended-properties" xmlns:vt="http://schemas.openxmlformats.org/officeDocument/2006/docPropsVTypes">
  <Template>Normal</Template>
  <Pages>160</Pages>
  <Words>64301</Words>
  <Characters>71928</Characters>
  <Lines>849</Lines>
  <Paragraphs>239</Paragraphs>
  <TotalTime>30</TotalTime>
  <ScaleCrop>false</ScaleCrop>
  <LinksUpToDate>false</LinksUpToDate>
  <CharactersWithSpaces>83925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2021-12-27T03:06:00Z</cp:lastPrinted>
  <dcterms:created xsi:type="dcterms:W3CDTF">2022-06-20T03:01:00Z</dcterms:created>
  <dcterms:modified xsi:type="dcterms:W3CDTF">2022-11-21T09:16:17Z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