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p>
    <w:p>
      <w:pPr>
        <w:jc w:val="center"/>
        <w:rPr>
          <w:sz w:val="44"/>
          <w:szCs w:val="44"/>
        </w:rPr>
      </w:pPr>
      <w:r>
        <w:rPr>
          <w:rFonts w:hint="eastAsia"/>
          <w:sz w:val="44"/>
          <w:szCs w:val="44"/>
        </w:rPr>
        <w:t>2021-2023年滨江区市政雨水管网养护项目</w:t>
      </w:r>
    </w:p>
    <w:p>
      <w:pPr>
        <w:jc w:val="center"/>
        <w:rPr>
          <w:rFonts w:ascii="宋体" w:hAnsi="宋体"/>
          <w:b/>
          <w:szCs w:val="84"/>
        </w:rPr>
      </w:pPr>
      <w:r>
        <w:rPr>
          <w:rFonts w:hint="eastAsia" w:ascii="宋体" w:hAnsi="宋体"/>
          <w:b/>
          <w:szCs w:val="84"/>
        </w:rPr>
        <w:t>（电子招投标方式）</w:t>
      </w:r>
    </w:p>
    <w:p>
      <w:pPr>
        <w:jc w:val="center"/>
        <w:rPr>
          <w:rFonts w:ascii="宋体" w:hAnsi="宋体"/>
          <w:b/>
          <w:szCs w:val="84"/>
        </w:rPr>
      </w:pPr>
    </w:p>
    <w:p>
      <w:pPr>
        <w:jc w:val="center"/>
        <w:rPr>
          <w:rFonts w:ascii="宋体" w:hAnsi="宋体"/>
          <w:b/>
          <w:szCs w:val="84"/>
        </w:rPr>
      </w:pPr>
    </w:p>
    <w:p>
      <w:pPr>
        <w:jc w:val="center"/>
        <w:rPr>
          <w:rFonts w:ascii="宋体" w:hAnsi="宋体"/>
          <w:b/>
          <w:szCs w:val="84"/>
        </w:rPr>
      </w:pPr>
    </w:p>
    <w:p>
      <w:pPr>
        <w:spacing w:line="360" w:lineRule="auto"/>
        <w:jc w:val="center"/>
        <w:rPr>
          <w:rFonts w:ascii="宋体" w:hAnsi="宋体"/>
          <w:b/>
          <w:sz w:val="84"/>
          <w:szCs w:val="84"/>
        </w:rPr>
      </w:pPr>
      <w:r>
        <w:rPr>
          <w:rFonts w:hint="eastAsia" w:ascii="黑体" w:hAnsi="宋体" w:eastAsia="黑体" w:cs="Angsana New"/>
          <w:spacing w:val="40"/>
          <w:w w:val="80"/>
          <w:sz w:val="96"/>
          <w:szCs w:val="96"/>
          <w:lang w:bidi="th-TH"/>
        </w:rPr>
        <w:t>采 购 文 件</w:t>
      </w:r>
    </w:p>
    <w:p>
      <w:pPr>
        <w:jc w:val="center"/>
        <w:rPr>
          <w:rFonts w:ascii="宋体" w:hAnsi="宋体"/>
          <w:b/>
          <w:szCs w:val="84"/>
        </w:rPr>
      </w:pPr>
    </w:p>
    <w:p>
      <w:pPr>
        <w:jc w:val="center"/>
        <w:rPr>
          <w:rFonts w:ascii="宋体" w:hAnsi="宋体"/>
          <w:b/>
          <w:szCs w:val="84"/>
        </w:rPr>
      </w:pPr>
    </w:p>
    <w:p>
      <w:pPr>
        <w:spacing w:line="360" w:lineRule="auto"/>
        <w:jc w:val="center"/>
        <w:rPr>
          <w:rFonts w:ascii="宋体" w:hAnsi="宋体" w:cs="Angsana New"/>
          <w:b/>
          <w:bCs/>
          <w:w w:val="80"/>
          <w:sz w:val="36"/>
          <w:szCs w:val="36"/>
          <w:lang w:bidi="th-TH"/>
        </w:rPr>
      </w:pPr>
      <w:r>
        <w:rPr>
          <w:rFonts w:hint="eastAsia" w:ascii="宋体" w:hAnsi="宋体" w:cs="Angsana New"/>
          <w:b/>
          <w:bCs/>
          <w:w w:val="80"/>
          <w:sz w:val="36"/>
          <w:szCs w:val="36"/>
          <w:lang w:bidi="th-TH"/>
        </w:rPr>
        <w:t xml:space="preserve">采购编号：ZJXY-HZ2020-114  </w:t>
      </w:r>
    </w:p>
    <w:p>
      <w:pPr>
        <w:pStyle w:val="26"/>
        <w:ind w:left="5250"/>
        <w:rPr>
          <w:rFonts w:ascii="宋体" w:hAnsi="宋体"/>
          <w:szCs w:val="28"/>
        </w:rPr>
      </w:pPr>
    </w:p>
    <w:p>
      <w:pPr>
        <w:rPr>
          <w:rFonts w:ascii="宋体" w:hAnsi="宋体"/>
          <w:b/>
        </w:rPr>
      </w:pPr>
    </w:p>
    <w:p/>
    <w:p/>
    <w:p/>
    <w:p/>
    <w:p/>
    <w:p/>
    <w:p/>
    <w:p/>
    <w:p/>
    <w:p/>
    <w:p/>
    <w:p>
      <w:pPr>
        <w:rPr>
          <w:rFonts w:ascii="宋体" w:hAnsi="宋体"/>
          <w:b/>
        </w:rPr>
      </w:pPr>
    </w:p>
    <w:p>
      <w:pPr>
        <w:ind w:firstLine="1205" w:firstLineChars="400"/>
        <w:rPr>
          <w:rFonts w:ascii="宋体" w:hAnsi="宋体" w:cs="Courier New"/>
          <w:b/>
          <w:sz w:val="30"/>
          <w:szCs w:val="30"/>
        </w:rPr>
      </w:pPr>
      <w:r>
        <w:rPr>
          <w:rFonts w:hint="eastAsia" w:ascii="宋体" w:hAnsi="宋体"/>
          <w:b/>
          <w:sz w:val="30"/>
          <w:szCs w:val="30"/>
        </w:rPr>
        <w:t>采   购   人：</w:t>
      </w:r>
      <w:r>
        <w:rPr>
          <w:rFonts w:hint="eastAsia" w:ascii="宋体" w:hAnsi="宋体" w:cs="Courier New"/>
          <w:b/>
          <w:sz w:val="30"/>
          <w:szCs w:val="30"/>
        </w:rPr>
        <w:t>杭州市滨江区城市管理局</w:t>
      </w:r>
    </w:p>
    <w:p>
      <w:pPr>
        <w:ind w:firstLine="1205" w:firstLineChars="400"/>
        <w:rPr>
          <w:rFonts w:ascii="宋体" w:hAnsi="宋体"/>
          <w:b/>
          <w:sz w:val="30"/>
          <w:szCs w:val="30"/>
        </w:rPr>
      </w:pPr>
      <w:r>
        <w:rPr>
          <w:rFonts w:hint="eastAsia" w:ascii="宋体" w:hAnsi="宋体"/>
          <w:b/>
          <w:sz w:val="30"/>
          <w:szCs w:val="30"/>
        </w:rPr>
        <w:t>采购代理机构：浙江兴业建设项目管理有限公司</w:t>
      </w:r>
    </w:p>
    <w:p>
      <w:pPr>
        <w:jc w:val="center"/>
        <w:rPr>
          <w:rFonts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1</w:t>
      </w:r>
      <w:r>
        <w:rPr>
          <w:rFonts w:hint="eastAsia" w:ascii="宋体" w:hAnsi="宋体"/>
          <w:b/>
          <w:sz w:val="30"/>
          <w:szCs w:val="30"/>
        </w:rPr>
        <w:t>年</w:t>
      </w:r>
      <w:r>
        <w:rPr>
          <w:rFonts w:hint="eastAsia" w:ascii="宋体" w:hAnsi="宋体"/>
          <w:b/>
          <w:sz w:val="30"/>
          <w:szCs w:val="30"/>
          <w:lang w:val="en-US" w:eastAsia="zh-CN"/>
        </w:rPr>
        <w:t>1</w:t>
      </w:r>
      <w:r>
        <w:rPr>
          <w:rFonts w:hint="eastAsia" w:ascii="宋体" w:hAnsi="宋体"/>
          <w:b/>
          <w:sz w:val="30"/>
          <w:szCs w:val="30"/>
        </w:rPr>
        <w:t>月</w:t>
      </w:r>
    </w:p>
    <w:p>
      <w:pPr>
        <w:pStyle w:val="24"/>
        <w:spacing w:line="360" w:lineRule="auto"/>
        <w:jc w:val="center"/>
        <w:rPr>
          <w:rFonts w:ascii="宋体" w:hAnsi="宋体" w:eastAsia="宋体" w:cs="宋体"/>
          <w:b/>
          <w:sz w:val="28"/>
          <w:szCs w:val="28"/>
        </w:rPr>
      </w:pPr>
      <w:r>
        <w:rPr>
          <w:rFonts w:ascii="宋体" w:hAnsi="宋体"/>
          <w:b/>
          <w:sz w:val="48"/>
          <w:szCs w:val="48"/>
        </w:rPr>
        <w:br w:type="page"/>
      </w:r>
      <w:r>
        <w:rPr>
          <w:rFonts w:hint="eastAsia" w:ascii="宋体" w:hAnsi="宋体" w:eastAsia="宋体" w:cs="宋体"/>
          <w:b/>
          <w:sz w:val="28"/>
          <w:szCs w:val="28"/>
        </w:rPr>
        <w:t>目    录</w:t>
      </w:r>
    </w:p>
    <w:p>
      <w:pPr>
        <w:pStyle w:val="31"/>
        <w:tabs>
          <w:tab w:val="right" w:leader="dot" w:pos="8730"/>
          <w:tab w:val="clear" w:pos="8720"/>
        </w:tabs>
      </w:pPr>
      <w:r>
        <w:rPr>
          <w:rFonts w:hint="eastAsia" w:ascii="宋体" w:hAnsi="宋体" w:cs="宋体"/>
          <w:b/>
          <w:caps w:val="0"/>
          <w:sz w:val="21"/>
          <w:szCs w:val="21"/>
        </w:rPr>
        <w:fldChar w:fldCharType="begin"/>
      </w:r>
      <w:r>
        <w:rPr>
          <w:rFonts w:hint="eastAsia" w:ascii="宋体" w:hAnsi="宋体" w:cs="宋体"/>
          <w:b/>
          <w:caps w:val="0"/>
          <w:sz w:val="21"/>
          <w:szCs w:val="21"/>
        </w:rPr>
        <w:instrText xml:space="preserve"> TOC \o "1-2" \u </w:instrText>
      </w:r>
      <w:r>
        <w:rPr>
          <w:rFonts w:hint="eastAsia" w:ascii="宋体" w:hAnsi="宋体" w:cs="宋体"/>
          <w:b/>
          <w:caps w:val="0"/>
          <w:sz w:val="21"/>
          <w:szCs w:val="21"/>
        </w:rPr>
        <w:fldChar w:fldCharType="separate"/>
      </w:r>
      <w:r>
        <w:rPr>
          <w:rFonts w:hint="eastAsia" w:ascii="宋体" w:hAnsi="宋体" w:cs="宋体"/>
          <w:szCs w:val="30"/>
        </w:rPr>
        <w:t>第一部分  采购公告</w:t>
      </w:r>
      <w:r>
        <w:tab/>
      </w:r>
      <w:r>
        <w:fldChar w:fldCharType="begin"/>
      </w:r>
      <w:r>
        <w:instrText xml:space="preserve"> PAGEREF _Toc13403 </w:instrText>
      </w:r>
      <w:r>
        <w:fldChar w:fldCharType="separate"/>
      </w:r>
      <w:r>
        <w:t>2</w:t>
      </w:r>
      <w:r>
        <w:fldChar w:fldCharType="end"/>
      </w:r>
    </w:p>
    <w:p>
      <w:pPr>
        <w:pStyle w:val="31"/>
        <w:tabs>
          <w:tab w:val="right" w:leader="dot" w:pos="8730"/>
          <w:tab w:val="clear" w:pos="8720"/>
        </w:tabs>
      </w:pPr>
      <w:r>
        <w:rPr>
          <w:rFonts w:hint="eastAsia" w:ascii="宋体" w:hAnsi="宋体" w:cs="宋体"/>
          <w:szCs w:val="30"/>
        </w:rPr>
        <w:t>第二部分  投标须知</w:t>
      </w:r>
      <w:r>
        <w:tab/>
      </w:r>
      <w:r>
        <w:fldChar w:fldCharType="begin"/>
      </w:r>
      <w:r>
        <w:instrText xml:space="preserve"> PAGEREF _Toc19850 </w:instrText>
      </w:r>
      <w:r>
        <w:fldChar w:fldCharType="separate"/>
      </w:r>
      <w:r>
        <w:t>12</w:t>
      </w:r>
      <w:r>
        <w:fldChar w:fldCharType="end"/>
      </w:r>
    </w:p>
    <w:p>
      <w:pPr>
        <w:pStyle w:val="36"/>
        <w:tabs>
          <w:tab w:val="right" w:leader="dot" w:pos="8730"/>
          <w:tab w:val="clear" w:pos="8720"/>
        </w:tabs>
      </w:pPr>
      <w:r>
        <w:rPr>
          <w:rFonts w:hint="eastAsia" w:ascii="宋体" w:hAnsi="宋体" w:cs="宋体"/>
          <w:szCs w:val="21"/>
        </w:rPr>
        <w:t>一、总则</w:t>
      </w:r>
      <w:r>
        <w:tab/>
      </w:r>
      <w:r>
        <w:fldChar w:fldCharType="begin"/>
      </w:r>
      <w:r>
        <w:instrText xml:space="preserve"> PAGEREF _Toc85 </w:instrText>
      </w:r>
      <w:r>
        <w:fldChar w:fldCharType="separate"/>
      </w:r>
      <w:r>
        <w:t>12</w:t>
      </w:r>
      <w:r>
        <w:fldChar w:fldCharType="end"/>
      </w:r>
    </w:p>
    <w:p>
      <w:pPr>
        <w:pStyle w:val="36"/>
        <w:tabs>
          <w:tab w:val="right" w:leader="dot" w:pos="8730"/>
          <w:tab w:val="clear" w:pos="8720"/>
        </w:tabs>
      </w:pPr>
      <w:r>
        <w:rPr>
          <w:rFonts w:hint="eastAsia" w:ascii="宋体" w:hAnsi="宋体" w:cs="宋体"/>
          <w:szCs w:val="21"/>
        </w:rPr>
        <w:t>二、采购文件</w:t>
      </w:r>
      <w:r>
        <w:tab/>
      </w:r>
      <w:r>
        <w:fldChar w:fldCharType="begin"/>
      </w:r>
      <w:r>
        <w:instrText xml:space="preserve"> PAGEREF _Toc12319 </w:instrText>
      </w:r>
      <w:r>
        <w:fldChar w:fldCharType="separate"/>
      </w:r>
      <w:r>
        <w:t>13</w:t>
      </w:r>
      <w:r>
        <w:fldChar w:fldCharType="end"/>
      </w:r>
    </w:p>
    <w:p>
      <w:pPr>
        <w:pStyle w:val="36"/>
        <w:tabs>
          <w:tab w:val="right" w:leader="dot" w:pos="8730"/>
          <w:tab w:val="clear" w:pos="8720"/>
        </w:tabs>
      </w:pPr>
      <w:r>
        <w:rPr>
          <w:rFonts w:hint="eastAsia" w:ascii="宋体" w:hAnsi="宋体" w:cs="宋体"/>
          <w:szCs w:val="21"/>
        </w:rPr>
        <w:t>三、投标文件的编制</w:t>
      </w:r>
      <w:r>
        <w:tab/>
      </w:r>
      <w:r>
        <w:fldChar w:fldCharType="begin"/>
      </w:r>
      <w:r>
        <w:instrText xml:space="preserve"> PAGEREF _Toc16048 </w:instrText>
      </w:r>
      <w:r>
        <w:fldChar w:fldCharType="separate"/>
      </w:r>
      <w:r>
        <w:t>14</w:t>
      </w:r>
      <w:r>
        <w:fldChar w:fldCharType="end"/>
      </w:r>
    </w:p>
    <w:p>
      <w:pPr>
        <w:pStyle w:val="36"/>
        <w:tabs>
          <w:tab w:val="right" w:leader="dot" w:pos="8730"/>
          <w:tab w:val="clear" w:pos="8720"/>
        </w:tabs>
      </w:pPr>
      <w:r>
        <w:rPr>
          <w:rFonts w:hint="eastAsia" w:ascii="宋体" w:hAnsi="宋体" w:cs="宋体"/>
          <w:szCs w:val="21"/>
        </w:rPr>
        <w:t>四、投标文件的递交</w:t>
      </w:r>
      <w:r>
        <w:tab/>
      </w:r>
      <w:r>
        <w:fldChar w:fldCharType="begin"/>
      </w:r>
      <w:r>
        <w:instrText xml:space="preserve"> PAGEREF _Toc5598 </w:instrText>
      </w:r>
      <w:r>
        <w:fldChar w:fldCharType="separate"/>
      </w:r>
      <w:r>
        <w:t>20</w:t>
      </w:r>
      <w:r>
        <w:fldChar w:fldCharType="end"/>
      </w:r>
    </w:p>
    <w:p>
      <w:pPr>
        <w:pStyle w:val="36"/>
        <w:tabs>
          <w:tab w:val="right" w:leader="dot" w:pos="8730"/>
          <w:tab w:val="clear" w:pos="8720"/>
        </w:tabs>
      </w:pPr>
      <w:r>
        <w:rPr>
          <w:rFonts w:hint="eastAsia" w:ascii="宋体" w:hAnsi="宋体" w:cs="宋体"/>
          <w:szCs w:val="21"/>
        </w:rPr>
        <w:t>五、开标与评标</w:t>
      </w:r>
      <w:r>
        <w:tab/>
      </w:r>
      <w:r>
        <w:fldChar w:fldCharType="begin"/>
      </w:r>
      <w:r>
        <w:instrText xml:space="preserve"> PAGEREF _Toc12705 </w:instrText>
      </w:r>
      <w:r>
        <w:fldChar w:fldCharType="separate"/>
      </w:r>
      <w:r>
        <w:t>20</w:t>
      </w:r>
      <w:r>
        <w:fldChar w:fldCharType="end"/>
      </w:r>
    </w:p>
    <w:p>
      <w:pPr>
        <w:pStyle w:val="36"/>
        <w:tabs>
          <w:tab w:val="right" w:leader="dot" w:pos="8730"/>
          <w:tab w:val="clear" w:pos="8720"/>
        </w:tabs>
      </w:pPr>
      <w:r>
        <w:rPr>
          <w:rFonts w:hint="eastAsia" w:ascii="宋体" w:hAnsi="宋体" w:cs="宋体"/>
          <w:szCs w:val="21"/>
        </w:rPr>
        <w:t>六、确定中标人及授予合同</w:t>
      </w:r>
      <w:r>
        <w:tab/>
      </w:r>
      <w:r>
        <w:fldChar w:fldCharType="begin"/>
      </w:r>
      <w:r>
        <w:instrText xml:space="preserve"> PAGEREF _Toc15528 </w:instrText>
      </w:r>
      <w:r>
        <w:fldChar w:fldCharType="separate"/>
      </w:r>
      <w:r>
        <w:t>24</w:t>
      </w:r>
      <w:r>
        <w:fldChar w:fldCharType="end"/>
      </w:r>
    </w:p>
    <w:p>
      <w:pPr>
        <w:pStyle w:val="31"/>
        <w:tabs>
          <w:tab w:val="right" w:leader="dot" w:pos="8730"/>
          <w:tab w:val="clear" w:pos="8720"/>
        </w:tabs>
      </w:pPr>
      <w:r>
        <w:rPr>
          <w:rFonts w:hint="eastAsia" w:ascii="宋体" w:hAnsi="宋体" w:cs="宋体"/>
          <w:szCs w:val="30"/>
        </w:rPr>
        <w:t>第三部分 用户需求书</w:t>
      </w:r>
      <w:r>
        <w:tab/>
      </w:r>
      <w:r>
        <w:fldChar w:fldCharType="begin"/>
      </w:r>
      <w:r>
        <w:instrText xml:space="preserve"> PAGEREF _Toc31251 </w:instrText>
      </w:r>
      <w:r>
        <w:fldChar w:fldCharType="separate"/>
      </w:r>
      <w:r>
        <w:t>27</w:t>
      </w:r>
      <w:r>
        <w:fldChar w:fldCharType="end"/>
      </w:r>
    </w:p>
    <w:p>
      <w:pPr>
        <w:pStyle w:val="31"/>
        <w:tabs>
          <w:tab w:val="right" w:leader="dot" w:pos="8730"/>
          <w:tab w:val="clear" w:pos="8720"/>
        </w:tabs>
      </w:pPr>
      <w:r>
        <w:rPr>
          <w:rFonts w:hint="eastAsia" w:ascii="宋体" w:hAnsi="宋体" w:cs="宋体"/>
          <w:szCs w:val="30"/>
        </w:rPr>
        <w:t>第四部分  合同条款</w:t>
      </w:r>
      <w:r>
        <w:tab/>
      </w:r>
      <w:r>
        <w:fldChar w:fldCharType="begin"/>
      </w:r>
      <w:r>
        <w:instrText xml:space="preserve"> PAGEREF _Toc31231 </w:instrText>
      </w:r>
      <w:r>
        <w:fldChar w:fldCharType="separate"/>
      </w:r>
      <w:r>
        <w:t>27</w:t>
      </w:r>
      <w:r>
        <w:fldChar w:fldCharType="end"/>
      </w:r>
    </w:p>
    <w:p>
      <w:pPr>
        <w:pStyle w:val="31"/>
        <w:tabs>
          <w:tab w:val="right" w:leader="dot" w:pos="8730"/>
          <w:tab w:val="clear" w:pos="8720"/>
        </w:tabs>
      </w:pPr>
      <w:r>
        <w:rPr>
          <w:rFonts w:hint="eastAsia" w:ascii="宋体" w:hAnsi="宋体" w:cs="宋体"/>
          <w:szCs w:val="30"/>
        </w:rPr>
        <w:t>第五部分  评标办法（综合评分法）</w:t>
      </w:r>
      <w:r>
        <w:tab/>
      </w:r>
      <w:r>
        <w:fldChar w:fldCharType="begin"/>
      </w:r>
      <w:r>
        <w:instrText xml:space="preserve"> PAGEREF _Toc5797 </w:instrText>
      </w:r>
      <w:r>
        <w:fldChar w:fldCharType="separate"/>
      </w:r>
      <w:r>
        <w:t>68</w:t>
      </w:r>
      <w:r>
        <w:fldChar w:fldCharType="end"/>
      </w:r>
    </w:p>
    <w:p>
      <w:pPr>
        <w:pStyle w:val="36"/>
        <w:tabs>
          <w:tab w:val="right" w:leader="dot" w:pos="8730"/>
          <w:tab w:val="clear" w:pos="8720"/>
        </w:tabs>
      </w:pPr>
      <w:r>
        <w:rPr>
          <w:rFonts w:hint="eastAsia" w:ascii="宋体" w:hAnsi="宋体" w:cs="宋体"/>
          <w:szCs w:val="21"/>
        </w:rPr>
        <w:t>一、总则</w:t>
      </w:r>
      <w:r>
        <w:tab/>
      </w:r>
      <w:r>
        <w:fldChar w:fldCharType="begin"/>
      </w:r>
      <w:r>
        <w:instrText xml:space="preserve"> PAGEREF _Toc23715 </w:instrText>
      </w:r>
      <w:r>
        <w:fldChar w:fldCharType="separate"/>
      </w:r>
      <w:r>
        <w:t>68</w:t>
      </w:r>
      <w:r>
        <w:fldChar w:fldCharType="end"/>
      </w:r>
    </w:p>
    <w:p>
      <w:pPr>
        <w:pStyle w:val="36"/>
        <w:tabs>
          <w:tab w:val="right" w:leader="dot" w:pos="8730"/>
          <w:tab w:val="clear" w:pos="8720"/>
        </w:tabs>
      </w:pPr>
      <w:r>
        <w:rPr>
          <w:rFonts w:hint="eastAsia" w:ascii="宋体" w:hAnsi="宋体" w:cs="宋体"/>
          <w:szCs w:val="21"/>
        </w:rPr>
        <w:t>二、评标组织</w:t>
      </w:r>
      <w:r>
        <w:tab/>
      </w:r>
      <w:r>
        <w:fldChar w:fldCharType="begin"/>
      </w:r>
      <w:r>
        <w:instrText xml:space="preserve"> PAGEREF _Toc9032 </w:instrText>
      </w:r>
      <w:r>
        <w:fldChar w:fldCharType="separate"/>
      </w:r>
      <w:r>
        <w:t>68</w:t>
      </w:r>
      <w:r>
        <w:fldChar w:fldCharType="end"/>
      </w:r>
    </w:p>
    <w:p>
      <w:pPr>
        <w:pStyle w:val="36"/>
        <w:tabs>
          <w:tab w:val="right" w:leader="dot" w:pos="8730"/>
          <w:tab w:val="clear" w:pos="8720"/>
        </w:tabs>
      </w:pPr>
      <w:r>
        <w:rPr>
          <w:rFonts w:hint="eastAsia" w:ascii="宋体" w:hAnsi="宋体" w:cs="宋体"/>
          <w:szCs w:val="21"/>
        </w:rPr>
        <w:t>三、评标纪律</w:t>
      </w:r>
      <w:r>
        <w:tab/>
      </w:r>
      <w:r>
        <w:fldChar w:fldCharType="begin"/>
      </w:r>
      <w:r>
        <w:instrText xml:space="preserve"> PAGEREF _Toc44 </w:instrText>
      </w:r>
      <w:r>
        <w:fldChar w:fldCharType="separate"/>
      </w:r>
      <w:r>
        <w:t>68</w:t>
      </w:r>
      <w:r>
        <w:fldChar w:fldCharType="end"/>
      </w:r>
    </w:p>
    <w:p>
      <w:pPr>
        <w:pStyle w:val="36"/>
        <w:tabs>
          <w:tab w:val="right" w:leader="dot" w:pos="8730"/>
          <w:tab w:val="clear" w:pos="8720"/>
        </w:tabs>
      </w:pPr>
      <w:r>
        <w:rPr>
          <w:rFonts w:hint="eastAsia" w:ascii="宋体" w:hAnsi="宋体" w:cs="宋体"/>
          <w:szCs w:val="21"/>
        </w:rPr>
        <w:t>四、评标程序</w:t>
      </w:r>
      <w:r>
        <w:tab/>
      </w:r>
      <w:r>
        <w:fldChar w:fldCharType="begin"/>
      </w:r>
      <w:r>
        <w:instrText xml:space="preserve"> PAGEREF _Toc9976 </w:instrText>
      </w:r>
      <w:r>
        <w:fldChar w:fldCharType="separate"/>
      </w:r>
      <w:r>
        <w:t>69</w:t>
      </w:r>
      <w:r>
        <w:fldChar w:fldCharType="end"/>
      </w:r>
    </w:p>
    <w:p>
      <w:pPr>
        <w:pStyle w:val="36"/>
        <w:tabs>
          <w:tab w:val="right" w:leader="dot" w:pos="8730"/>
          <w:tab w:val="clear" w:pos="8720"/>
        </w:tabs>
      </w:pPr>
      <w:r>
        <w:rPr>
          <w:rFonts w:hint="eastAsia" w:ascii="宋体" w:hAnsi="宋体" w:cs="宋体"/>
          <w:szCs w:val="21"/>
        </w:rPr>
        <w:t>五、评标细则及标准</w:t>
      </w:r>
      <w:r>
        <w:tab/>
      </w:r>
      <w:r>
        <w:fldChar w:fldCharType="begin"/>
      </w:r>
      <w:r>
        <w:instrText xml:space="preserve"> PAGEREF _Toc19041 </w:instrText>
      </w:r>
      <w:r>
        <w:fldChar w:fldCharType="separate"/>
      </w:r>
      <w:r>
        <w:t>70</w:t>
      </w:r>
      <w:r>
        <w:fldChar w:fldCharType="end"/>
      </w:r>
    </w:p>
    <w:p>
      <w:pPr>
        <w:pStyle w:val="31"/>
        <w:tabs>
          <w:tab w:val="right" w:leader="dot" w:pos="8730"/>
          <w:tab w:val="clear" w:pos="8720"/>
        </w:tabs>
      </w:pPr>
      <w:r>
        <w:rPr>
          <w:rFonts w:hint="eastAsia" w:ascii="宋体" w:hAnsi="宋体" w:cs="宋体"/>
          <w:szCs w:val="30"/>
        </w:rPr>
        <w:t>第六部分  投标文件格式</w:t>
      </w:r>
      <w:r>
        <w:tab/>
      </w:r>
      <w:r>
        <w:fldChar w:fldCharType="begin"/>
      </w:r>
      <w:r>
        <w:instrText xml:space="preserve"> PAGEREF _Toc26670 </w:instrText>
      </w:r>
      <w:r>
        <w:fldChar w:fldCharType="separate"/>
      </w:r>
      <w:r>
        <w:t>74</w:t>
      </w:r>
      <w:r>
        <w:fldChar w:fldCharType="end"/>
      </w:r>
    </w:p>
    <w:p>
      <w:pPr>
        <w:pStyle w:val="36"/>
        <w:tabs>
          <w:tab w:val="right" w:leader="dot" w:pos="8730"/>
          <w:tab w:val="clear" w:pos="8720"/>
        </w:tabs>
      </w:pPr>
      <w:r>
        <w:rPr>
          <w:rFonts w:hint="eastAsia" w:ascii="宋体" w:hAnsi="宋体" w:cs="宋体"/>
          <w:bCs/>
          <w:snapToGrid w:val="0"/>
          <w:kern w:val="0"/>
          <w:szCs w:val="21"/>
        </w:rPr>
        <w:t>一、投标文件封面（格式供参考）</w:t>
      </w:r>
      <w:r>
        <w:tab/>
      </w:r>
      <w:r>
        <w:fldChar w:fldCharType="begin"/>
      </w:r>
      <w:r>
        <w:instrText xml:space="preserve"> PAGEREF _Toc18525 </w:instrText>
      </w:r>
      <w:r>
        <w:fldChar w:fldCharType="separate"/>
      </w:r>
      <w:r>
        <w:t>75</w:t>
      </w:r>
      <w:r>
        <w:fldChar w:fldCharType="end"/>
      </w:r>
    </w:p>
    <w:p>
      <w:pPr>
        <w:pStyle w:val="36"/>
        <w:tabs>
          <w:tab w:val="right" w:leader="dot" w:pos="8730"/>
          <w:tab w:val="clear" w:pos="8720"/>
        </w:tabs>
      </w:pPr>
      <w:r>
        <w:rPr>
          <w:rFonts w:hint="eastAsia" w:ascii="宋体" w:hAnsi="宋体" w:cs="宋体"/>
          <w:bCs/>
        </w:rPr>
        <w:t>二、资格响应文件</w:t>
      </w:r>
      <w:r>
        <w:tab/>
      </w:r>
      <w:r>
        <w:fldChar w:fldCharType="begin"/>
      </w:r>
      <w:r>
        <w:instrText xml:space="preserve"> PAGEREF _Toc17918 </w:instrText>
      </w:r>
      <w:r>
        <w:fldChar w:fldCharType="separate"/>
      </w:r>
      <w:r>
        <w:t>77</w:t>
      </w:r>
      <w:r>
        <w:fldChar w:fldCharType="end"/>
      </w:r>
    </w:p>
    <w:p>
      <w:pPr>
        <w:pStyle w:val="36"/>
        <w:tabs>
          <w:tab w:val="right" w:leader="dot" w:pos="8730"/>
          <w:tab w:val="clear" w:pos="8720"/>
        </w:tabs>
      </w:pPr>
      <w:r>
        <w:rPr>
          <w:rFonts w:hint="eastAsia" w:ascii="宋体" w:hAnsi="宋体" w:cs="宋体"/>
        </w:rPr>
        <w:t>三、资信技术响应文件部分格式</w:t>
      </w:r>
      <w:r>
        <w:tab/>
      </w:r>
      <w:r>
        <w:fldChar w:fldCharType="begin"/>
      </w:r>
      <w:r>
        <w:instrText xml:space="preserve"> PAGEREF _Toc20927 </w:instrText>
      </w:r>
      <w:r>
        <w:fldChar w:fldCharType="separate"/>
      </w:r>
      <w:r>
        <w:t>83</w:t>
      </w:r>
      <w:r>
        <w:fldChar w:fldCharType="end"/>
      </w:r>
    </w:p>
    <w:p>
      <w:pPr>
        <w:pStyle w:val="36"/>
        <w:tabs>
          <w:tab w:val="right" w:leader="dot" w:pos="8730"/>
          <w:tab w:val="clear" w:pos="8720"/>
        </w:tabs>
      </w:pPr>
      <w:r>
        <w:rPr>
          <w:rFonts w:hint="eastAsia" w:ascii="宋体" w:hAnsi="宋体" w:cs="宋体"/>
        </w:rPr>
        <w:t>四、报价响应文件部分格式</w:t>
      </w:r>
      <w:r>
        <w:tab/>
      </w:r>
      <w:r>
        <w:fldChar w:fldCharType="begin"/>
      </w:r>
      <w:r>
        <w:instrText xml:space="preserve"> PAGEREF _Toc17148 </w:instrText>
      </w:r>
      <w:r>
        <w:fldChar w:fldCharType="separate"/>
      </w:r>
      <w:r>
        <w:t>92</w:t>
      </w:r>
      <w:r>
        <w:fldChar w:fldCharType="end"/>
      </w:r>
    </w:p>
    <w:p>
      <w:pPr>
        <w:pStyle w:val="31"/>
        <w:tabs>
          <w:tab w:val="right" w:leader="dot" w:pos="8730"/>
          <w:tab w:val="clear" w:pos="8720"/>
        </w:tabs>
      </w:pPr>
      <w:r>
        <w:rPr>
          <w:rFonts w:hint="eastAsia" w:ascii="宋体" w:hAnsi="宋体" w:cs="宋体"/>
          <w:szCs w:val="30"/>
        </w:rPr>
        <w:t>第七部分   其它</w:t>
      </w:r>
      <w:r>
        <w:tab/>
      </w:r>
      <w:r>
        <w:fldChar w:fldCharType="begin"/>
      </w:r>
      <w:r>
        <w:instrText xml:space="preserve"> PAGEREF _Toc2681 </w:instrText>
      </w:r>
      <w:r>
        <w:fldChar w:fldCharType="separate"/>
      </w:r>
      <w:r>
        <w:t>99</w:t>
      </w:r>
      <w:r>
        <w:fldChar w:fldCharType="end"/>
      </w:r>
    </w:p>
    <w:p>
      <w:pPr>
        <w:jc w:val="center"/>
        <w:rPr>
          <w:rFonts w:ascii="宋体" w:hAnsi="宋体" w:cs="宋体"/>
          <w:szCs w:val="21"/>
        </w:rPr>
        <w:sectPr>
          <w:headerReference r:id="rId3" w:type="default"/>
          <w:footerReference r:id="rId4" w:type="default"/>
          <w:pgSz w:w="11906" w:h="16838"/>
          <w:pgMar w:top="1418" w:right="1588" w:bottom="1418" w:left="1588" w:header="851" w:footer="992" w:gutter="0"/>
          <w:pgNumType w:start="0"/>
          <w:cols w:space="720" w:num="1"/>
          <w:titlePg/>
          <w:docGrid w:type="lines" w:linePitch="312" w:charSpace="0"/>
        </w:sectPr>
      </w:pPr>
      <w:r>
        <w:rPr>
          <w:rFonts w:hint="eastAsia" w:ascii="宋体" w:hAnsi="宋体" w:cs="宋体"/>
          <w:szCs w:val="21"/>
        </w:rPr>
        <w:fldChar w:fldCharType="end"/>
      </w:r>
    </w:p>
    <w:p>
      <w:pPr>
        <w:adjustRightInd w:val="0"/>
        <w:snapToGrid w:val="0"/>
        <w:spacing w:beforeLines="50" w:afterLines="50" w:line="360" w:lineRule="auto"/>
        <w:jc w:val="center"/>
        <w:outlineLvl w:val="0"/>
        <w:rPr>
          <w:rFonts w:ascii="宋体" w:hAnsi="宋体" w:cs="宋体"/>
          <w:b/>
          <w:sz w:val="30"/>
          <w:szCs w:val="30"/>
        </w:rPr>
      </w:pPr>
      <w:bookmarkStart w:id="0" w:name="_Toc13403"/>
      <w:bookmarkStart w:id="1" w:name="_Toc21665"/>
      <w:r>
        <w:rPr>
          <w:rFonts w:hint="eastAsia" w:ascii="宋体" w:hAnsi="宋体" w:cs="宋体"/>
          <w:b/>
          <w:sz w:val="30"/>
          <w:szCs w:val="30"/>
        </w:rPr>
        <w:t>第一部分  采购公告</w:t>
      </w:r>
      <w:bookmarkEnd w:id="0"/>
      <w:bookmarkEnd w:id="1"/>
    </w:p>
    <w:p>
      <w:pPr>
        <w:pStyle w:val="39"/>
        <w:pBdr>
          <w:top w:val="single" w:color="auto" w:sz="4" w:space="0"/>
          <w:left w:val="single" w:color="auto" w:sz="4" w:space="0"/>
          <w:bottom w:val="single" w:color="auto" w:sz="4" w:space="0"/>
          <w:right w:val="single" w:color="auto" w:sz="4" w:space="0"/>
        </w:pBdr>
        <w:rPr>
          <w:rFonts w:ascii="微软雅黑" w:hAnsi="微软雅黑" w:eastAsia="微软雅黑" w:cs="微软雅黑"/>
          <w:sz w:val="24"/>
          <w:szCs w:val="24"/>
        </w:rPr>
      </w:pPr>
      <w:bookmarkStart w:id="2" w:name="_Toc185012671"/>
      <w:bookmarkStart w:id="3" w:name="_Toc251189093"/>
      <w:bookmarkStart w:id="4" w:name="_Toc251221438"/>
      <w:r>
        <w:rPr>
          <w:rFonts w:hint="eastAsia" w:ascii="微软雅黑" w:hAnsi="微软雅黑" w:eastAsia="微软雅黑" w:cs="微软雅黑"/>
          <w:sz w:val="24"/>
          <w:szCs w:val="24"/>
        </w:rPr>
        <w:t>项目概况</w:t>
      </w:r>
    </w:p>
    <w:p>
      <w:pPr>
        <w:pStyle w:val="39"/>
        <w:pBdr>
          <w:top w:val="single" w:color="auto" w:sz="4" w:space="0"/>
          <w:left w:val="single" w:color="auto" w:sz="4" w:space="0"/>
          <w:bottom w:val="single" w:color="auto" w:sz="4" w:space="0"/>
          <w:right w:val="single" w:color="auto" w:sz="4" w:space="0"/>
        </w:pBdr>
        <w:rPr>
          <w:rFonts w:ascii="微软雅黑" w:hAnsi="微软雅黑" w:eastAsia="微软雅黑" w:cs="微软雅黑"/>
          <w:sz w:val="24"/>
          <w:szCs w:val="24"/>
        </w:rPr>
      </w:pPr>
      <w:r>
        <w:rPr>
          <w:rFonts w:hint="eastAsia" w:ascii="微软雅黑" w:hAnsi="微软雅黑" w:eastAsia="微软雅黑" w:cs="微软雅黑"/>
          <w:sz w:val="24"/>
          <w:szCs w:val="24"/>
        </w:rPr>
        <w:t>     2021-2023年滨江区市政雨水管网养护项目招标项目的潜在投标人应在</w:t>
      </w:r>
      <w:r>
        <w:rPr>
          <w:rFonts w:hint="eastAsia" w:ascii="微软雅黑" w:hAnsi="微软雅黑" w:eastAsia="微软雅黑" w:cs="微软雅黑"/>
          <w:sz w:val="24"/>
          <w:szCs w:val="24"/>
          <w:u w:val="single"/>
        </w:rPr>
        <w:t>政采云平台（http://zfcg.czt.zj.gov.cn）</w:t>
      </w:r>
      <w:r>
        <w:rPr>
          <w:rFonts w:hint="eastAsia" w:ascii="微软雅黑" w:hAnsi="微软雅黑" w:eastAsia="微软雅黑" w:cs="微软雅黑"/>
          <w:sz w:val="24"/>
          <w:szCs w:val="24"/>
        </w:rPr>
        <w:t>获取（下载）招标文件，并于</w:t>
      </w:r>
      <w:r>
        <w:rPr>
          <w:rFonts w:hint="eastAsia" w:ascii="微软雅黑" w:hAnsi="微软雅黑" w:eastAsia="微软雅黑" w:cs="微软雅黑"/>
          <w:sz w:val="24"/>
          <w:szCs w:val="24"/>
          <w:u w:val="single"/>
        </w:rPr>
        <w:t>202</w:t>
      </w:r>
      <w:r>
        <w:rPr>
          <w:rFonts w:hint="eastAsia" w:ascii="微软雅黑" w:hAnsi="微软雅黑" w:eastAsia="微软雅黑" w:cs="微软雅黑"/>
          <w:sz w:val="24"/>
          <w:szCs w:val="24"/>
          <w:u w:val="single"/>
          <w:lang w:val="en-US" w:eastAsia="zh-CN"/>
        </w:rPr>
        <w:t>1</w:t>
      </w:r>
      <w:r>
        <w:rPr>
          <w:rFonts w:hint="eastAsia" w:ascii="微软雅黑" w:hAnsi="微软雅黑" w:eastAsia="微软雅黑" w:cs="微软雅黑"/>
          <w:sz w:val="24"/>
          <w:szCs w:val="24"/>
          <w:u w:val="single"/>
        </w:rPr>
        <w:t>年</w:t>
      </w:r>
      <w:r>
        <w:rPr>
          <w:rFonts w:hint="eastAsia" w:ascii="微软雅黑" w:hAnsi="微软雅黑" w:eastAsia="微软雅黑" w:cs="微软雅黑"/>
          <w:sz w:val="24"/>
          <w:szCs w:val="24"/>
          <w:u w:val="single"/>
          <w:lang w:val="en-US" w:eastAsia="zh-CN"/>
        </w:rPr>
        <w:t>2</w:t>
      </w:r>
      <w:r>
        <w:rPr>
          <w:rFonts w:hint="eastAsia" w:ascii="微软雅黑" w:hAnsi="微软雅黑" w:eastAsia="微软雅黑" w:cs="微软雅黑"/>
          <w:sz w:val="24"/>
          <w:szCs w:val="24"/>
          <w:u w:val="single"/>
        </w:rPr>
        <w:t xml:space="preserve"> 月 </w:t>
      </w:r>
      <w:r>
        <w:rPr>
          <w:rFonts w:hint="eastAsia" w:ascii="微软雅黑" w:hAnsi="微软雅黑" w:eastAsia="微软雅黑" w:cs="微软雅黑"/>
          <w:sz w:val="24"/>
          <w:szCs w:val="24"/>
          <w:u w:val="single"/>
          <w:lang w:val="en-US" w:eastAsia="zh-CN"/>
        </w:rPr>
        <w:t>1</w:t>
      </w:r>
      <w:r>
        <w:rPr>
          <w:rFonts w:hint="eastAsia" w:ascii="微软雅黑" w:hAnsi="微软雅黑" w:eastAsia="微软雅黑" w:cs="微软雅黑"/>
          <w:sz w:val="24"/>
          <w:szCs w:val="24"/>
          <w:u w:val="single"/>
        </w:rPr>
        <w:t xml:space="preserve"> 日09:00 </w:t>
      </w:r>
      <w:r>
        <w:rPr>
          <w:rFonts w:hint="eastAsia" w:ascii="微软雅黑" w:hAnsi="微软雅黑" w:eastAsia="微软雅黑" w:cs="微软雅黑"/>
          <w:sz w:val="24"/>
          <w:szCs w:val="24"/>
        </w:rPr>
        <w:t>（北京时间）前递交（上传）投标文件。</w:t>
      </w:r>
    </w:p>
    <w:p>
      <w:pPr>
        <w:widowControl/>
        <w:adjustRightInd w:val="0"/>
        <w:snapToGrid w:val="0"/>
        <w:spacing w:line="400" w:lineRule="exact"/>
        <w:ind w:firstLine="480"/>
        <w:jc w:val="left"/>
        <w:rPr>
          <w:rFonts w:ascii="宋体" w:hAnsi="宋体" w:cs="宋体"/>
          <w:kern w:val="0"/>
          <w:szCs w:val="21"/>
        </w:rPr>
      </w:pPr>
    </w:p>
    <w:p>
      <w:pPr>
        <w:widowControl/>
        <w:adjustRightInd w:val="0"/>
        <w:snapToGrid w:val="0"/>
        <w:spacing w:line="440" w:lineRule="exact"/>
        <w:jc w:val="left"/>
        <w:rPr>
          <w:rFonts w:ascii="宋体" w:hAnsi="宋体" w:cs="宋体"/>
          <w:b/>
          <w:bCs/>
          <w:kern w:val="0"/>
          <w:sz w:val="24"/>
        </w:rPr>
      </w:pPr>
      <w:r>
        <w:rPr>
          <w:rFonts w:hint="eastAsia" w:ascii="宋体" w:hAnsi="宋体" w:cs="宋体"/>
          <w:b/>
          <w:bCs/>
          <w:kern w:val="0"/>
          <w:sz w:val="24"/>
        </w:rPr>
        <w:t>一、项目基本情况</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 xml:space="preserve">项目编号：ZJXY-HZ2020-114 </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项目名称：2021-2023年滨江区市政雨水管网养护项目</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标项一：</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标项名称：2021-2023年滨江区市政雨水管网养护项目(标项一)</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adjustRightInd w:val="0"/>
        <w:snapToGrid w:val="0"/>
        <w:spacing w:line="440" w:lineRule="exact"/>
        <w:ind w:firstLine="480" w:firstLineChars="200"/>
        <w:jc w:val="left"/>
        <w:rPr>
          <w:rFonts w:ascii="宋体" w:hAnsi="宋体" w:cs="宋体"/>
          <w:color w:val="000000"/>
          <w:sz w:val="24"/>
        </w:rPr>
      </w:pPr>
      <w:r>
        <w:rPr>
          <w:rFonts w:hint="eastAsia" w:ascii="宋体" w:hAnsi="宋体" w:cs="宋体"/>
          <w:bCs/>
          <w:kern w:val="0"/>
          <w:sz w:val="24"/>
        </w:rPr>
        <w:t>预算金额（元）：8769385</w:t>
      </w:r>
    </w:p>
    <w:p>
      <w:pPr>
        <w:widowControl/>
        <w:adjustRightInd w:val="0"/>
        <w:snapToGrid w:val="0"/>
        <w:spacing w:line="440" w:lineRule="exact"/>
        <w:ind w:firstLine="480" w:firstLineChars="200"/>
        <w:jc w:val="left"/>
      </w:pPr>
      <w:r>
        <w:rPr>
          <w:rFonts w:hint="eastAsia" w:ascii="宋体" w:hAnsi="宋体" w:cs="宋体"/>
          <w:bCs/>
          <w:kern w:val="0"/>
          <w:sz w:val="24"/>
        </w:rPr>
        <w:t>最高限价（元）：8769385</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标项二：</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标项名称：2021-2023年滨江区市政雨水管网养护项目(标项二)</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预算金额（元）：7794298</w:t>
      </w:r>
    </w:p>
    <w:p>
      <w:pPr>
        <w:widowControl/>
        <w:adjustRightInd w:val="0"/>
        <w:snapToGrid w:val="0"/>
        <w:spacing w:line="440" w:lineRule="exact"/>
        <w:ind w:firstLine="480" w:firstLineChars="200"/>
        <w:jc w:val="left"/>
      </w:pPr>
      <w:r>
        <w:rPr>
          <w:rFonts w:hint="eastAsia" w:ascii="宋体" w:hAnsi="宋体" w:cs="宋体"/>
          <w:bCs/>
          <w:kern w:val="0"/>
          <w:sz w:val="24"/>
        </w:rPr>
        <w:t>最高限价（元）：7794298</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标项三：</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标项名称：2021-2023年滨江区市政雨水管网养护项目(标项三)</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adjustRightInd w:val="0"/>
        <w:snapToGrid w:val="0"/>
        <w:spacing w:line="440" w:lineRule="exact"/>
        <w:ind w:firstLine="480" w:firstLineChars="200"/>
        <w:jc w:val="left"/>
        <w:rPr>
          <w:rFonts w:ascii="宋体" w:hAnsi="宋体" w:cs="宋体"/>
          <w:color w:val="000000"/>
          <w:sz w:val="24"/>
        </w:rPr>
      </w:pPr>
      <w:r>
        <w:rPr>
          <w:rFonts w:hint="eastAsia" w:ascii="宋体" w:hAnsi="宋体" w:cs="宋体"/>
          <w:bCs/>
          <w:kern w:val="0"/>
          <w:sz w:val="24"/>
        </w:rPr>
        <w:t>预算金额（元）：7848929</w:t>
      </w:r>
    </w:p>
    <w:p>
      <w:pPr>
        <w:widowControl/>
        <w:adjustRightInd w:val="0"/>
        <w:snapToGrid w:val="0"/>
        <w:spacing w:line="440" w:lineRule="exact"/>
        <w:ind w:firstLine="480" w:firstLineChars="200"/>
        <w:jc w:val="left"/>
      </w:pPr>
      <w:r>
        <w:rPr>
          <w:rFonts w:hint="eastAsia" w:ascii="宋体" w:hAnsi="宋体" w:cs="宋体"/>
          <w:bCs/>
          <w:kern w:val="0"/>
          <w:sz w:val="24"/>
        </w:rPr>
        <w:t>最高限价（元）：7848929</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标项四：</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标项名称：2021-2023年滨江区市政雨水管网养护项目(标项四)</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adjustRightInd w:val="0"/>
        <w:snapToGrid w:val="0"/>
        <w:spacing w:line="440" w:lineRule="exact"/>
        <w:ind w:firstLine="480" w:firstLineChars="200"/>
        <w:jc w:val="left"/>
        <w:rPr>
          <w:rFonts w:ascii="宋体" w:hAnsi="宋体" w:cs="宋体"/>
          <w:color w:val="000000"/>
          <w:sz w:val="24"/>
        </w:rPr>
      </w:pPr>
      <w:r>
        <w:rPr>
          <w:rFonts w:hint="eastAsia" w:ascii="宋体" w:hAnsi="宋体" w:cs="宋体"/>
          <w:bCs/>
          <w:kern w:val="0"/>
          <w:sz w:val="24"/>
        </w:rPr>
        <w:t>预算金额（元）：7902453</w:t>
      </w:r>
    </w:p>
    <w:p>
      <w:pPr>
        <w:widowControl/>
        <w:adjustRightInd w:val="0"/>
        <w:snapToGrid w:val="0"/>
        <w:spacing w:line="440" w:lineRule="exact"/>
        <w:ind w:firstLine="480" w:firstLineChars="200"/>
        <w:jc w:val="left"/>
      </w:pPr>
      <w:r>
        <w:rPr>
          <w:rFonts w:hint="eastAsia" w:ascii="宋体" w:hAnsi="宋体" w:cs="宋体"/>
          <w:bCs/>
          <w:kern w:val="0"/>
          <w:sz w:val="24"/>
        </w:rPr>
        <w:t>最高限价（元）：7902453</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标项五：</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标项名称：2021-2023年滨江区市政雨水管网养护项目(标项五)</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预算金额（元）：7472560</w:t>
      </w:r>
    </w:p>
    <w:p>
      <w:pPr>
        <w:widowControl/>
        <w:adjustRightInd w:val="0"/>
        <w:snapToGrid w:val="0"/>
        <w:spacing w:line="440" w:lineRule="exact"/>
        <w:ind w:firstLine="480" w:firstLineChars="200"/>
        <w:jc w:val="left"/>
      </w:pPr>
      <w:r>
        <w:rPr>
          <w:rFonts w:hint="eastAsia" w:ascii="宋体" w:hAnsi="宋体" w:cs="宋体"/>
          <w:bCs/>
          <w:kern w:val="0"/>
          <w:sz w:val="24"/>
        </w:rPr>
        <w:t>最高限价（元）：7472560</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标项六：</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标项名称：2021-2023年滨江区市政雨水管网养护项目(标项六)</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adjustRightInd w:val="0"/>
        <w:snapToGrid w:val="0"/>
        <w:spacing w:line="440" w:lineRule="exact"/>
        <w:ind w:firstLine="480" w:firstLineChars="200"/>
        <w:jc w:val="left"/>
        <w:rPr>
          <w:rFonts w:ascii="宋体" w:hAnsi="宋体" w:cs="宋体"/>
          <w:color w:val="000000"/>
          <w:sz w:val="24"/>
        </w:rPr>
      </w:pPr>
      <w:r>
        <w:rPr>
          <w:rFonts w:hint="eastAsia" w:ascii="宋体" w:hAnsi="宋体" w:cs="宋体"/>
          <w:bCs/>
          <w:kern w:val="0"/>
          <w:sz w:val="24"/>
        </w:rPr>
        <w:t>预算金额（元）：8212375</w:t>
      </w:r>
    </w:p>
    <w:p>
      <w:pPr>
        <w:widowControl/>
        <w:adjustRightInd w:val="0"/>
        <w:snapToGrid w:val="0"/>
        <w:spacing w:line="440" w:lineRule="exact"/>
        <w:ind w:firstLine="480" w:firstLineChars="200"/>
        <w:jc w:val="left"/>
      </w:pPr>
      <w:r>
        <w:rPr>
          <w:rFonts w:hint="eastAsia" w:ascii="宋体" w:hAnsi="宋体" w:cs="宋体"/>
          <w:bCs/>
          <w:kern w:val="0"/>
          <w:sz w:val="24"/>
        </w:rPr>
        <w:t>最高限价（元）：8212375</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简要规格描述或项目基本概况介绍、用途：2021-2023年滨江区市政雨水管网养护项目，详见采购需求。</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备注：本项目共分六个标段，投标人可参加其中一个或多个标段的投标，但为了保证本项目的服务质量，每个投标人最多只允许中一个标段。</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合同履行期限：详见招标文件</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本项目（否）接受联合体投标。</w:t>
      </w:r>
    </w:p>
    <w:p>
      <w:pPr>
        <w:widowControl/>
        <w:adjustRightInd w:val="0"/>
        <w:snapToGrid w:val="0"/>
        <w:spacing w:line="440" w:lineRule="exact"/>
        <w:jc w:val="left"/>
        <w:rPr>
          <w:rFonts w:ascii="宋体" w:hAnsi="宋体" w:cs="宋体"/>
          <w:b/>
          <w:bCs/>
          <w:kern w:val="0"/>
          <w:sz w:val="24"/>
        </w:rPr>
      </w:pPr>
      <w:r>
        <w:rPr>
          <w:rFonts w:hint="eastAsia" w:ascii="宋体" w:hAnsi="宋体" w:cs="宋体"/>
          <w:b/>
          <w:bCs/>
          <w:kern w:val="0"/>
          <w:sz w:val="24"/>
        </w:rPr>
        <w:t>二、申请人的资格要求：</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2.落实政府采购政策需满足的资格要求：无</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 xml:space="preserve">3.本项目的特定资格要求：具备市政公用工程施工总承包企业三级（含）以上资质； </w:t>
      </w:r>
    </w:p>
    <w:p>
      <w:pPr>
        <w:widowControl/>
        <w:adjustRightInd w:val="0"/>
        <w:snapToGrid w:val="0"/>
        <w:spacing w:line="440" w:lineRule="exact"/>
        <w:jc w:val="left"/>
        <w:rPr>
          <w:rFonts w:ascii="宋体" w:hAnsi="宋体" w:cs="宋体"/>
          <w:b/>
          <w:bCs/>
          <w:kern w:val="0"/>
          <w:sz w:val="24"/>
        </w:rPr>
      </w:pPr>
      <w:r>
        <w:rPr>
          <w:rFonts w:hint="eastAsia" w:ascii="宋体" w:hAnsi="宋体" w:cs="宋体"/>
          <w:b/>
          <w:bCs/>
          <w:kern w:val="0"/>
          <w:sz w:val="24"/>
        </w:rPr>
        <w:t>三、获取招标文件</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时间：/至202</w:t>
      </w:r>
      <w:r>
        <w:rPr>
          <w:rFonts w:hint="eastAsia" w:ascii="宋体" w:hAnsi="宋体" w:cs="宋体"/>
          <w:bCs/>
          <w:kern w:val="0"/>
          <w:sz w:val="24"/>
          <w:lang w:val="en-US" w:eastAsia="zh-CN"/>
        </w:rPr>
        <w:t>1</w:t>
      </w:r>
      <w:r>
        <w:rPr>
          <w:rFonts w:hint="eastAsia" w:ascii="宋体" w:hAnsi="宋体" w:cs="宋体"/>
          <w:bCs/>
          <w:kern w:val="0"/>
          <w:sz w:val="24"/>
        </w:rPr>
        <w:t>年</w:t>
      </w:r>
      <w:r>
        <w:rPr>
          <w:rFonts w:hint="eastAsia" w:ascii="宋体" w:hAnsi="宋体" w:cs="宋体"/>
          <w:bCs/>
          <w:kern w:val="0"/>
          <w:sz w:val="24"/>
          <w:lang w:val="en-US" w:eastAsia="zh-CN"/>
        </w:rPr>
        <w:t>2</w:t>
      </w:r>
      <w:r>
        <w:rPr>
          <w:rFonts w:hint="eastAsia" w:ascii="宋体" w:hAnsi="宋体" w:cs="宋体"/>
          <w:bCs/>
          <w:kern w:val="0"/>
          <w:sz w:val="24"/>
        </w:rPr>
        <w:t>月</w:t>
      </w:r>
      <w:r>
        <w:rPr>
          <w:rFonts w:hint="eastAsia" w:ascii="宋体" w:hAnsi="宋体" w:cs="宋体"/>
          <w:bCs/>
          <w:kern w:val="0"/>
          <w:sz w:val="24"/>
          <w:lang w:val="en-US" w:eastAsia="zh-CN"/>
        </w:rPr>
        <w:t>1</w:t>
      </w:r>
      <w:r>
        <w:rPr>
          <w:rFonts w:hint="eastAsia" w:ascii="宋体" w:hAnsi="宋体" w:cs="宋体"/>
          <w:bCs/>
          <w:kern w:val="0"/>
          <w:sz w:val="24"/>
        </w:rPr>
        <w:t>日 ，每天上午00:00至12:00 ，下午12:00至23:59（北京时间，线上获取法定节假日均可，线下获取文件法定节假日除外）</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地点（网址）：政采云平台（http://zfcg.czt.zj.gov.cn）</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售价（元）：0</w:t>
      </w:r>
    </w:p>
    <w:p>
      <w:pPr>
        <w:widowControl/>
        <w:adjustRightInd w:val="0"/>
        <w:snapToGrid w:val="0"/>
        <w:spacing w:line="440" w:lineRule="exact"/>
        <w:jc w:val="left"/>
        <w:rPr>
          <w:rFonts w:ascii="宋体" w:hAnsi="宋体" w:cs="宋体"/>
          <w:b/>
          <w:bCs/>
          <w:kern w:val="0"/>
          <w:sz w:val="24"/>
        </w:rPr>
      </w:pPr>
      <w:r>
        <w:rPr>
          <w:rFonts w:hint="eastAsia" w:ascii="宋体" w:hAnsi="宋体" w:cs="宋体"/>
          <w:b/>
          <w:bCs/>
          <w:kern w:val="0"/>
          <w:sz w:val="24"/>
        </w:rPr>
        <w:t>四、提交投标文件截止时间、开标时间和地点</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提交投标文件截止时间：202</w:t>
      </w:r>
      <w:r>
        <w:rPr>
          <w:rFonts w:hint="eastAsia" w:ascii="宋体" w:hAnsi="宋体" w:cs="宋体"/>
          <w:bCs/>
          <w:kern w:val="0"/>
          <w:sz w:val="24"/>
          <w:lang w:val="en-US" w:eastAsia="zh-CN"/>
        </w:rPr>
        <w:t>1</w:t>
      </w:r>
      <w:r>
        <w:rPr>
          <w:rFonts w:hint="eastAsia" w:ascii="宋体" w:hAnsi="宋体" w:cs="宋体"/>
          <w:bCs/>
          <w:kern w:val="0"/>
          <w:sz w:val="24"/>
        </w:rPr>
        <w:t>年</w:t>
      </w:r>
      <w:r>
        <w:rPr>
          <w:rFonts w:hint="eastAsia" w:ascii="宋体" w:hAnsi="宋体" w:cs="宋体"/>
          <w:bCs/>
          <w:kern w:val="0"/>
          <w:sz w:val="24"/>
          <w:lang w:val="en-US" w:eastAsia="zh-CN"/>
        </w:rPr>
        <w:t>2</w:t>
      </w:r>
      <w:r>
        <w:rPr>
          <w:rFonts w:hint="eastAsia" w:ascii="宋体" w:hAnsi="宋体" w:cs="宋体"/>
          <w:bCs/>
          <w:kern w:val="0"/>
          <w:sz w:val="24"/>
        </w:rPr>
        <w:t>月</w:t>
      </w:r>
      <w:r>
        <w:rPr>
          <w:rFonts w:hint="eastAsia" w:ascii="宋体" w:hAnsi="宋体" w:cs="宋体"/>
          <w:bCs/>
          <w:kern w:val="0"/>
          <w:sz w:val="24"/>
          <w:lang w:val="en-US" w:eastAsia="zh-CN"/>
        </w:rPr>
        <w:t>1</w:t>
      </w:r>
      <w:r>
        <w:rPr>
          <w:rFonts w:hint="eastAsia" w:ascii="宋体" w:hAnsi="宋体" w:cs="宋体"/>
          <w:bCs/>
          <w:kern w:val="0"/>
          <w:sz w:val="24"/>
        </w:rPr>
        <w:t>日09:00（北京时间）</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投标地点（网址）：政采云平台（http://zfcg.czt.zj.gov.cn）</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开标时间：202</w:t>
      </w:r>
      <w:r>
        <w:rPr>
          <w:rFonts w:hint="eastAsia" w:ascii="宋体" w:hAnsi="宋体" w:cs="宋体"/>
          <w:bCs/>
          <w:kern w:val="0"/>
          <w:sz w:val="24"/>
          <w:lang w:val="en-US" w:eastAsia="zh-CN"/>
        </w:rPr>
        <w:t>1</w:t>
      </w:r>
      <w:r>
        <w:rPr>
          <w:rFonts w:hint="eastAsia" w:ascii="宋体" w:hAnsi="宋体" w:cs="宋体"/>
          <w:bCs/>
          <w:kern w:val="0"/>
          <w:sz w:val="24"/>
        </w:rPr>
        <w:t xml:space="preserve">年 </w:t>
      </w:r>
      <w:r>
        <w:rPr>
          <w:rFonts w:hint="eastAsia" w:ascii="宋体" w:hAnsi="宋体" w:cs="宋体"/>
          <w:bCs/>
          <w:kern w:val="0"/>
          <w:sz w:val="24"/>
          <w:lang w:val="en-US" w:eastAsia="zh-CN"/>
        </w:rPr>
        <w:t>2</w:t>
      </w:r>
      <w:r>
        <w:rPr>
          <w:rFonts w:hint="eastAsia" w:ascii="宋体" w:hAnsi="宋体" w:cs="宋体"/>
          <w:bCs/>
          <w:kern w:val="0"/>
          <w:sz w:val="24"/>
        </w:rPr>
        <w:t>月</w:t>
      </w:r>
      <w:r>
        <w:rPr>
          <w:rFonts w:hint="eastAsia" w:ascii="宋体" w:hAnsi="宋体" w:cs="宋体"/>
          <w:bCs/>
          <w:kern w:val="0"/>
          <w:sz w:val="24"/>
          <w:lang w:val="en-US" w:eastAsia="zh-CN"/>
        </w:rPr>
        <w:t>1</w:t>
      </w:r>
      <w:r>
        <w:rPr>
          <w:rFonts w:hint="eastAsia" w:ascii="宋体" w:hAnsi="宋体" w:cs="宋体"/>
          <w:bCs/>
          <w:kern w:val="0"/>
          <w:sz w:val="24"/>
        </w:rPr>
        <w:t>日09:00</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开标地点（网址）：政采云平台（http://zfcg.czt.zj.gov.cn）</w:t>
      </w:r>
    </w:p>
    <w:p>
      <w:pPr>
        <w:widowControl/>
        <w:adjustRightInd w:val="0"/>
        <w:snapToGrid w:val="0"/>
        <w:spacing w:line="440" w:lineRule="exact"/>
        <w:jc w:val="left"/>
        <w:rPr>
          <w:rFonts w:ascii="宋体" w:hAnsi="宋体" w:cs="宋体"/>
          <w:b/>
          <w:bCs/>
          <w:kern w:val="0"/>
          <w:sz w:val="24"/>
        </w:rPr>
      </w:pPr>
      <w:r>
        <w:rPr>
          <w:rFonts w:hint="eastAsia" w:ascii="宋体" w:hAnsi="宋体" w:cs="宋体"/>
          <w:b/>
          <w:bCs/>
          <w:kern w:val="0"/>
          <w:sz w:val="24"/>
        </w:rPr>
        <w:t>五、公告期限</w:t>
      </w:r>
    </w:p>
    <w:p>
      <w:pPr>
        <w:widowControl/>
        <w:adjustRightInd w:val="0"/>
        <w:snapToGrid w:val="0"/>
        <w:spacing w:line="440" w:lineRule="exact"/>
        <w:ind w:firstLine="480" w:firstLineChars="200"/>
        <w:jc w:val="left"/>
        <w:rPr>
          <w:rFonts w:ascii="宋体" w:hAnsi="宋体" w:cs="宋体"/>
          <w:b/>
          <w:bCs/>
          <w:kern w:val="0"/>
          <w:sz w:val="24"/>
        </w:rPr>
      </w:pPr>
      <w:r>
        <w:rPr>
          <w:rFonts w:hint="eastAsia" w:ascii="宋体" w:hAnsi="宋体" w:cs="宋体"/>
          <w:bCs/>
          <w:kern w:val="0"/>
          <w:sz w:val="24"/>
        </w:rPr>
        <w:t>自本公告发布之日起5个工作日。</w:t>
      </w:r>
    </w:p>
    <w:p>
      <w:pPr>
        <w:widowControl/>
        <w:adjustRightInd w:val="0"/>
        <w:snapToGrid w:val="0"/>
        <w:spacing w:line="440" w:lineRule="exact"/>
        <w:jc w:val="left"/>
        <w:rPr>
          <w:rFonts w:ascii="宋体" w:hAnsi="宋体" w:cs="宋体"/>
          <w:b/>
          <w:bCs/>
          <w:kern w:val="0"/>
          <w:sz w:val="24"/>
        </w:rPr>
      </w:pPr>
      <w:r>
        <w:rPr>
          <w:rFonts w:hint="eastAsia" w:ascii="宋体" w:hAnsi="宋体" w:cs="宋体"/>
          <w:b/>
          <w:bCs/>
          <w:kern w:val="0"/>
          <w:sz w:val="24"/>
        </w:rPr>
        <w:t>六、其他补充事宜</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2.其他事项：无</w:t>
      </w:r>
    </w:p>
    <w:p>
      <w:pPr>
        <w:widowControl/>
        <w:adjustRightInd w:val="0"/>
        <w:snapToGrid w:val="0"/>
        <w:spacing w:line="440" w:lineRule="exact"/>
        <w:jc w:val="left"/>
        <w:rPr>
          <w:rFonts w:ascii="宋体" w:hAnsi="宋体" w:cs="宋体"/>
          <w:b/>
          <w:bCs/>
          <w:kern w:val="0"/>
          <w:sz w:val="24"/>
        </w:rPr>
      </w:pPr>
      <w:r>
        <w:rPr>
          <w:rFonts w:hint="eastAsia" w:ascii="宋体" w:hAnsi="宋体" w:cs="宋体"/>
          <w:b/>
          <w:bCs/>
          <w:kern w:val="0"/>
          <w:sz w:val="24"/>
        </w:rPr>
        <w:t>七、对本次采购提出询问、质疑、投诉，请按以下方式联系。</w:t>
      </w:r>
    </w:p>
    <w:bookmarkEnd w:id="2"/>
    <w:bookmarkEnd w:id="3"/>
    <w:bookmarkEnd w:id="4"/>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1.采购人信息</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名  称：杭州市滨江区城市管理局</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地  址：杭州市滨江区滨文路358号彩宏大厦5楼</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传  真：/</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 xml:space="preserve">项目联系人（询问）：俞工 </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 xml:space="preserve">项目联系方式（询问）：0571-86685913 </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质疑联系人：钟科</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质疑联系方式：0571-86685913</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2.采购代理机构信息</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名  称：浙江兴业建设项目管理有限公司</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地  址：杭州市萧山区金城路165号金瑞大厦1幢6楼</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传  真：0571-82217656</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项目联系人（询问）：韩莹琼</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项目联系方式（询问）：18072797998</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质疑联系人：蒋炎亮​</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质疑联系方式：0571-</w:t>
      </w:r>
      <w:r>
        <w:rPr>
          <w:rFonts w:ascii="宋体" w:hAnsi="宋体" w:cs="宋体"/>
          <w:bCs/>
          <w:kern w:val="0"/>
          <w:sz w:val="24"/>
        </w:rPr>
        <w:t xml:space="preserve"> 82217356</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3.同级政府采购监督管理部门</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名  称：杭州市滨江区财政局政府采购监管科     </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地  址：杭州市江南大道328号701办公室</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传  真：/</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联系人：何先生</w:t>
      </w:r>
    </w:p>
    <w:p>
      <w:pPr>
        <w:widowControl/>
        <w:adjustRightInd w:val="0"/>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监督投诉电话：0571-87760023 </w:t>
      </w:r>
    </w:p>
    <w:p>
      <w:pPr>
        <w:widowControl/>
        <w:tabs>
          <w:tab w:val="left" w:pos="8647"/>
        </w:tabs>
        <w:adjustRightInd w:val="0"/>
        <w:snapToGrid w:val="0"/>
        <w:spacing w:line="360" w:lineRule="auto"/>
        <w:ind w:right="151"/>
        <w:jc w:val="left"/>
        <w:rPr>
          <w:rFonts w:ascii="宋体" w:hAnsi="宋体" w:cs="宋体"/>
          <w:kern w:val="0"/>
          <w:szCs w:val="21"/>
        </w:rPr>
      </w:pPr>
    </w:p>
    <w:p>
      <w:pPr>
        <w:widowControl/>
        <w:tabs>
          <w:tab w:val="left" w:pos="8647"/>
        </w:tabs>
        <w:adjustRightInd w:val="0"/>
        <w:snapToGrid w:val="0"/>
        <w:spacing w:line="360" w:lineRule="auto"/>
        <w:ind w:right="-59"/>
        <w:jc w:val="center"/>
        <w:rPr>
          <w:rFonts w:ascii="宋体" w:hAnsi="宋体" w:cs="宋体"/>
          <w:b/>
          <w:sz w:val="30"/>
          <w:szCs w:val="30"/>
        </w:rPr>
      </w:pPr>
      <w:r>
        <w:rPr>
          <w:rFonts w:hint="eastAsia" w:ascii="宋体" w:hAnsi="宋体" w:cs="宋体"/>
          <w:b/>
          <w:bCs/>
          <w:sz w:val="28"/>
          <w:szCs w:val="21"/>
        </w:rPr>
        <w:br w:type="page"/>
      </w:r>
      <w:r>
        <w:rPr>
          <w:rFonts w:hint="eastAsia" w:ascii="宋体" w:hAnsi="宋体" w:cs="宋体"/>
          <w:b/>
          <w:sz w:val="30"/>
          <w:szCs w:val="30"/>
        </w:rPr>
        <w:t>前 附 表</w:t>
      </w:r>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3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blHeader/>
          <w:jc w:val="center"/>
        </w:trPr>
        <w:tc>
          <w:tcPr>
            <w:tcW w:w="648" w:type="dxa"/>
            <w:vAlign w:val="center"/>
          </w:tcPr>
          <w:p>
            <w:pPr>
              <w:adjustRightInd w:val="0"/>
              <w:jc w:val="center"/>
              <w:rPr>
                <w:rFonts w:ascii="宋体" w:hAnsi="宋体" w:cs="宋体"/>
                <w:b/>
                <w:bCs/>
                <w:szCs w:val="21"/>
              </w:rPr>
            </w:pPr>
            <w:r>
              <w:rPr>
                <w:rFonts w:hint="eastAsia" w:ascii="宋体" w:hAnsi="宋体" w:cs="宋体"/>
                <w:b/>
                <w:bCs/>
                <w:szCs w:val="21"/>
              </w:rPr>
              <w:t>序号</w:t>
            </w:r>
          </w:p>
        </w:tc>
        <w:tc>
          <w:tcPr>
            <w:tcW w:w="1800" w:type="dxa"/>
            <w:vAlign w:val="center"/>
          </w:tcPr>
          <w:p>
            <w:pPr>
              <w:adjustRightInd w:val="0"/>
              <w:jc w:val="center"/>
              <w:rPr>
                <w:rFonts w:ascii="宋体" w:hAnsi="宋体" w:cs="宋体"/>
                <w:b/>
                <w:bCs/>
                <w:szCs w:val="21"/>
              </w:rPr>
            </w:pPr>
            <w:r>
              <w:rPr>
                <w:rFonts w:hint="eastAsia" w:ascii="宋体" w:hAnsi="宋体" w:cs="宋体"/>
                <w:b/>
                <w:bCs/>
                <w:szCs w:val="21"/>
              </w:rPr>
              <w:t>项   目</w:t>
            </w:r>
          </w:p>
        </w:tc>
        <w:tc>
          <w:tcPr>
            <w:tcW w:w="6383" w:type="dxa"/>
            <w:vAlign w:val="center"/>
          </w:tcPr>
          <w:p>
            <w:pPr>
              <w:adjustRightInd w:val="0"/>
              <w:jc w:val="center"/>
              <w:rPr>
                <w:rFonts w:ascii="宋体" w:hAnsi="宋体" w:cs="宋体"/>
                <w:b/>
                <w:bCs/>
                <w:szCs w:val="21"/>
              </w:rPr>
            </w:pPr>
            <w:r>
              <w:rPr>
                <w:rFonts w:hint="eastAsia" w:ascii="宋体" w:hAnsi="宋体" w:cs="宋体"/>
                <w:b/>
                <w:bCs/>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项目名称</w:t>
            </w:r>
          </w:p>
        </w:tc>
        <w:tc>
          <w:tcPr>
            <w:tcW w:w="6383" w:type="dxa"/>
            <w:vAlign w:val="center"/>
          </w:tcPr>
          <w:p>
            <w:pPr>
              <w:snapToGrid w:val="0"/>
              <w:spacing w:line="320" w:lineRule="exact"/>
              <w:rPr>
                <w:rFonts w:ascii="宋体" w:hAnsi="宋体" w:cs="宋体"/>
                <w:szCs w:val="21"/>
              </w:rPr>
            </w:pPr>
            <w:r>
              <w:rPr>
                <w:rFonts w:hint="eastAsia" w:ascii="宋体" w:hAnsi="宋体" w:cs="宋体"/>
                <w:szCs w:val="21"/>
              </w:rPr>
              <w:t>2021-2023年滨江区市政雨水管网养护项目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2</w:t>
            </w:r>
          </w:p>
        </w:tc>
        <w:tc>
          <w:tcPr>
            <w:tcW w:w="1800" w:type="dxa"/>
            <w:vAlign w:val="center"/>
          </w:tcPr>
          <w:p>
            <w:pPr>
              <w:adjustRightInd w:val="0"/>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实施地点</w:t>
            </w:r>
          </w:p>
        </w:tc>
        <w:tc>
          <w:tcPr>
            <w:tcW w:w="6383" w:type="dxa"/>
            <w:vAlign w:val="center"/>
          </w:tcPr>
          <w:p>
            <w:pPr>
              <w:adjustRightInd w:val="0"/>
              <w:snapToGrid w:val="0"/>
              <w:spacing w:line="320" w:lineRule="exact"/>
              <w:rPr>
                <w:rFonts w:ascii="宋体" w:hAnsi="宋体" w:cs="宋体"/>
                <w:strike/>
                <w:snapToGrid w:val="0"/>
                <w:kern w:val="0"/>
                <w:szCs w:val="21"/>
              </w:rPr>
            </w:pPr>
            <w:r>
              <w:rPr>
                <w:rFonts w:hint="eastAsia"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3</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采购编号</w:t>
            </w:r>
          </w:p>
        </w:tc>
        <w:tc>
          <w:tcPr>
            <w:tcW w:w="6383" w:type="dxa"/>
            <w:vAlign w:val="center"/>
          </w:tcPr>
          <w:p>
            <w:pPr>
              <w:adjustRightInd w:val="0"/>
              <w:snapToGrid w:val="0"/>
              <w:spacing w:line="320" w:lineRule="exact"/>
              <w:rPr>
                <w:rFonts w:ascii="宋体" w:hAnsi="宋体" w:cs="宋体"/>
                <w:bCs/>
                <w:szCs w:val="21"/>
              </w:rPr>
            </w:pPr>
            <w:r>
              <w:rPr>
                <w:rFonts w:hint="eastAsia" w:ascii="宋体" w:hAnsi="宋体" w:cs="宋体"/>
                <w:szCs w:val="21"/>
              </w:rPr>
              <w:t>ZJXY-HZ</w:t>
            </w:r>
            <w:bookmarkStart w:id="93" w:name="_GoBack"/>
            <w:bookmarkEnd w:id="93"/>
            <w:r>
              <w:rPr>
                <w:rFonts w:hint="eastAsia" w:ascii="宋体" w:hAnsi="宋体" w:cs="宋体"/>
                <w:szCs w:val="21"/>
              </w:rPr>
              <w:t xml:space="preserve">2020-114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4</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采购方式</w:t>
            </w:r>
          </w:p>
        </w:tc>
        <w:tc>
          <w:tcPr>
            <w:tcW w:w="6383" w:type="dxa"/>
            <w:vAlign w:val="center"/>
          </w:tcPr>
          <w:p>
            <w:pPr>
              <w:snapToGrid w:val="0"/>
              <w:spacing w:line="320" w:lineRule="exact"/>
              <w:rPr>
                <w:rFonts w:ascii="宋体" w:hAnsi="宋体" w:cs="宋体"/>
                <w:bCs/>
                <w:szCs w:val="21"/>
              </w:rPr>
            </w:pPr>
            <w:r>
              <w:rPr>
                <w:rFonts w:hint="eastAsia" w:ascii="宋体" w:hAnsi="宋体" w:cs="宋体"/>
                <w:bCs/>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5</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采购内容</w:t>
            </w:r>
          </w:p>
        </w:tc>
        <w:tc>
          <w:tcPr>
            <w:tcW w:w="6383" w:type="dxa"/>
            <w:vAlign w:val="center"/>
          </w:tcPr>
          <w:p>
            <w:r>
              <w:rPr>
                <w:rFonts w:hint="eastAsia" w:ascii="宋体" w:hAnsi="宋体" w:cs="宋体"/>
                <w:szCs w:val="21"/>
              </w:rPr>
              <w:t>2021-2023年滨江区市政雨水管网养护项目</w:t>
            </w:r>
            <w:r>
              <w:rPr>
                <w:rFonts w:hint="eastAsia" w:ascii="宋体" w:hAnsi="宋体" w:cs="宋体"/>
                <w:kern w:val="0"/>
                <w:szCs w:val="21"/>
              </w:rPr>
              <w:t>，详细内容见招标文件采购需求内容。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6</w:t>
            </w:r>
          </w:p>
        </w:tc>
        <w:tc>
          <w:tcPr>
            <w:tcW w:w="1800" w:type="dxa"/>
            <w:vAlign w:val="center"/>
          </w:tcPr>
          <w:p>
            <w:pPr>
              <w:adjustRightInd w:val="0"/>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服务期</w:t>
            </w:r>
          </w:p>
        </w:tc>
        <w:tc>
          <w:tcPr>
            <w:tcW w:w="6383" w:type="dxa"/>
            <w:vAlign w:val="center"/>
          </w:tcPr>
          <w:p>
            <w:r>
              <w:rPr>
                <w:rFonts w:hint="eastAsia"/>
              </w:rPr>
              <w:t>36 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7</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资金来源</w:t>
            </w:r>
          </w:p>
        </w:tc>
        <w:tc>
          <w:tcPr>
            <w:tcW w:w="6383" w:type="dxa"/>
            <w:vAlign w:val="center"/>
          </w:tcPr>
          <w:p>
            <w:pPr>
              <w:snapToGrid w:val="0"/>
              <w:spacing w:line="320" w:lineRule="exact"/>
              <w:ind w:leftChars="-45" w:hanging="94" w:hangingChars="45"/>
              <w:rPr>
                <w:rFonts w:ascii="宋体" w:hAnsi="宋体" w:cs="宋体"/>
                <w:szCs w:val="21"/>
              </w:rPr>
            </w:pPr>
            <w:r>
              <w:rPr>
                <w:rFonts w:hint="eastAsia" w:ascii="宋体" w:hAnsi="宋体" w:cs="宋体"/>
                <w:szCs w:val="21"/>
              </w:rPr>
              <w:t>财政资金。采购计划文号：</w:t>
            </w:r>
            <w:r>
              <w:fldChar w:fldCharType="begin"/>
            </w:r>
            <w:r>
              <w:instrText xml:space="preserve"> HYPERLINK "https://pay.zcygov.cn/purchaseplan_front/" \l "/purchaseFileMake/_blank" \t "https://www.zcygov.cn/bidding-entrust/" </w:instrText>
            </w:r>
            <w:r>
              <w:fldChar w:fldCharType="separate"/>
            </w:r>
            <w:r>
              <w:rPr>
                <w:rFonts w:hint="eastAsia" w:ascii="宋体" w:hAnsi="宋体" w:cs="宋体"/>
                <w:szCs w:val="21"/>
              </w:rPr>
              <w:t>临[2020]2291号</w:t>
            </w:r>
            <w:r>
              <w:rPr>
                <w:rFonts w:hint="eastAsia" w:ascii="宋体" w:hAnsi="宋体" w:cs="宋体"/>
                <w:szCs w:val="21"/>
              </w:rPr>
              <w:fldChar w:fldCharType="end"/>
            </w:r>
            <w:r>
              <w:rPr>
                <w:rFonts w:hint="eastAsia" w:ascii="宋体" w:hAnsi="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8</w:t>
            </w:r>
          </w:p>
        </w:tc>
        <w:tc>
          <w:tcPr>
            <w:tcW w:w="1800" w:type="dxa"/>
            <w:vAlign w:val="center"/>
          </w:tcPr>
          <w:p>
            <w:pPr>
              <w:snapToGrid w:val="0"/>
              <w:spacing w:line="360" w:lineRule="exact"/>
              <w:jc w:val="center"/>
              <w:rPr>
                <w:rFonts w:ascii="宋体" w:hAnsi="宋体" w:cs="宋体"/>
                <w:b/>
                <w:szCs w:val="21"/>
              </w:rPr>
            </w:pPr>
            <w:r>
              <w:rPr>
                <w:rFonts w:hint="eastAsia" w:ascii="宋体" w:hAnsi="宋体" w:cs="宋体"/>
                <w:b/>
                <w:szCs w:val="21"/>
              </w:rPr>
              <w:t>▲采购预算</w:t>
            </w:r>
          </w:p>
        </w:tc>
        <w:tc>
          <w:tcPr>
            <w:tcW w:w="6383" w:type="dxa"/>
            <w:vAlign w:val="center"/>
          </w:tcPr>
          <w:p>
            <w:pPr>
              <w:snapToGrid w:val="0"/>
              <w:spacing w:line="320" w:lineRule="exact"/>
              <w:ind w:leftChars="-45" w:hanging="94" w:hangingChars="45"/>
              <w:rPr>
                <w:rFonts w:ascii="宋体" w:hAnsi="宋体" w:cs="宋体"/>
                <w:b/>
                <w:szCs w:val="21"/>
              </w:rPr>
            </w:pPr>
            <w:r>
              <w:rPr>
                <w:rFonts w:hint="eastAsia" w:ascii="宋体" w:hAnsi="宋体" w:cs="宋体"/>
                <w:kern w:val="0"/>
                <w:szCs w:val="21"/>
              </w:rPr>
              <w:t>标项一：人民币 876.9385万元，标项二：人民币779.4298万元,标项三：人民币784.8929万元,标项四：人民币790.2453万元,标项五：人民币747.256万元,标项六：人民币821.2375万元,</w:t>
            </w:r>
            <w:r>
              <w:rPr>
                <w:rFonts w:hint="eastAsia" w:ascii="宋体" w:hAnsi="宋体" w:cs="宋体"/>
                <w:b/>
                <w:kern w:val="0"/>
                <w:szCs w:val="21"/>
              </w:rPr>
              <w:t>超过此预算的报价将作无效标处理。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5"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9</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资格审查方式</w:t>
            </w:r>
          </w:p>
        </w:tc>
        <w:tc>
          <w:tcPr>
            <w:tcW w:w="6383" w:type="dxa"/>
            <w:vAlign w:val="center"/>
          </w:tcPr>
          <w:p>
            <w:pPr>
              <w:snapToGrid w:val="0"/>
              <w:spacing w:line="320" w:lineRule="exact"/>
              <w:rPr>
                <w:rFonts w:ascii="宋体" w:hAnsi="宋体" w:cs="宋体"/>
                <w:szCs w:val="21"/>
              </w:rPr>
            </w:pPr>
            <w:r>
              <w:rPr>
                <w:rFonts w:hint="eastAsia" w:ascii="宋体" w:hAnsi="宋体" w:cs="宋体"/>
                <w:szCs w:val="21"/>
              </w:rPr>
              <w:t>资格后审。</w:t>
            </w:r>
          </w:p>
          <w:p>
            <w:pPr>
              <w:snapToGrid w:val="0"/>
              <w:spacing w:line="320" w:lineRule="exact"/>
              <w:rPr>
                <w:rFonts w:ascii="宋体" w:hAnsi="宋体" w:cs="宋体"/>
                <w:szCs w:val="21"/>
              </w:rPr>
            </w:pPr>
            <w:r>
              <w:rPr>
                <w:rFonts w:hint="eastAsia" w:ascii="宋体" w:hAnsi="宋体" w:cs="宋体"/>
                <w:szCs w:val="21"/>
              </w:rPr>
              <w:t>资格后审是指在开标后由采购人或采购代理机构代表根据采购文件的规定对投标人进行的资格审查，资格后审不合格的投标人，其投标作无效标处理。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4"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10</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投标保证金</w:t>
            </w:r>
          </w:p>
        </w:tc>
        <w:tc>
          <w:tcPr>
            <w:tcW w:w="6383" w:type="dxa"/>
            <w:vAlign w:val="center"/>
          </w:tcPr>
          <w:p>
            <w:pPr>
              <w:snapToGrid w:val="0"/>
              <w:spacing w:line="320" w:lineRule="exact"/>
              <w:rPr>
                <w:rFonts w:ascii="宋体" w:hAnsi="宋体" w:cs="宋体"/>
                <w:szCs w:val="21"/>
              </w:rPr>
            </w:pPr>
            <w:r>
              <w:rPr>
                <w:rFonts w:hint="eastAsia" w:ascii="宋体" w:hAnsi="宋体" w:cs="宋体"/>
                <w:szCs w:val="21"/>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11</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踏勘现场</w:t>
            </w:r>
          </w:p>
        </w:tc>
        <w:tc>
          <w:tcPr>
            <w:tcW w:w="6383" w:type="dxa"/>
            <w:vAlign w:val="center"/>
          </w:tcPr>
          <w:p>
            <w:pPr>
              <w:snapToGrid w:val="0"/>
              <w:spacing w:line="320" w:lineRule="exact"/>
              <w:rPr>
                <w:rFonts w:ascii="宋体" w:hAnsi="宋体" w:cs="宋体"/>
                <w:szCs w:val="21"/>
              </w:rPr>
            </w:pPr>
            <w:r>
              <w:rPr>
                <w:rFonts w:hint="eastAsia" w:ascii="宋体" w:hAnsi="宋体" w:cs="宋体"/>
                <w:szCs w:val="21"/>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2"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12</w:t>
            </w:r>
          </w:p>
        </w:tc>
        <w:tc>
          <w:tcPr>
            <w:tcW w:w="1800" w:type="dxa"/>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招标答疑</w:t>
            </w:r>
          </w:p>
        </w:tc>
        <w:tc>
          <w:tcPr>
            <w:tcW w:w="6383" w:type="dxa"/>
            <w:vAlign w:val="center"/>
          </w:tcPr>
          <w:p>
            <w:pPr>
              <w:snapToGrid w:val="0"/>
              <w:spacing w:line="320" w:lineRule="exact"/>
              <w:rPr>
                <w:rFonts w:ascii="宋体" w:hAnsi="宋体" w:cs="宋体"/>
                <w:snapToGrid w:val="0"/>
                <w:kern w:val="0"/>
                <w:szCs w:val="21"/>
              </w:rPr>
            </w:pPr>
            <w:r>
              <w:rPr>
                <w:rFonts w:hint="eastAsia" w:ascii="宋体" w:hAnsi="宋体" w:cs="宋体"/>
                <w:szCs w:val="21"/>
              </w:rPr>
              <w:t>投标人如认为采购文件表述不清晰、存在歧视性或者倾向性或者其他违法内容的，必</w:t>
            </w:r>
            <w:r>
              <w:rPr>
                <w:rFonts w:hint="eastAsia" w:ascii="宋体" w:hAnsi="宋体" w:cs="宋体"/>
                <w:szCs w:val="21"/>
                <w:highlight w:val="none"/>
              </w:rPr>
              <w:t>须在2021年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15</w:t>
            </w:r>
            <w:r>
              <w:rPr>
                <w:rFonts w:hint="eastAsia" w:ascii="宋体" w:hAnsi="宋体" w:cs="宋体"/>
                <w:szCs w:val="21"/>
                <w:highlight w:val="none"/>
              </w:rPr>
              <w:t>日</w:t>
            </w:r>
            <w:r>
              <w:rPr>
                <w:rFonts w:hint="eastAsia" w:ascii="宋体" w:hAnsi="宋体" w:cs="宋体"/>
                <w:snapToGrid w:val="0"/>
                <w:kern w:val="0"/>
                <w:szCs w:val="21"/>
                <w:highlight w:val="none"/>
              </w:rPr>
              <w:t>12:00时之前、将要</w:t>
            </w:r>
            <w:r>
              <w:rPr>
                <w:rFonts w:hint="eastAsia" w:ascii="宋体" w:hAnsi="宋体" w:cs="宋体"/>
                <w:snapToGrid w:val="0"/>
                <w:kern w:val="0"/>
                <w:szCs w:val="21"/>
              </w:rPr>
              <w:t>求答疑的问题传真</w:t>
            </w:r>
            <w:r>
              <w:rPr>
                <w:rFonts w:hint="eastAsia" w:ascii="宋体" w:hAnsi="宋体" w:cs="宋体"/>
                <w:bCs/>
                <w:snapToGrid w:val="0"/>
                <w:kern w:val="0"/>
                <w:szCs w:val="21"/>
              </w:rPr>
              <w:t>0571－82217656</w:t>
            </w:r>
            <w:r>
              <w:rPr>
                <w:rFonts w:hint="eastAsia" w:ascii="宋体" w:hAnsi="宋体" w:cs="宋体"/>
                <w:b/>
                <w:bCs/>
                <w:snapToGrid w:val="0"/>
                <w:kern w:val="0"/>
                <w:szCs w:val="21"/>
              </w:rPr>
              <w:t>,</w:t>
            </w:r>
            <w:r>
              <w:rPr>
                <w:rFonts w:hint="eastAsia" w:ascii="宋体" w:hAnsi="宋体" w:cs="宋体"/>
                <w:snapToGrid w:val="0"/>
                <w:kern w:val="0"/>
                <w:szCs w:val="21"/>
              </w:rPr>
              <w:t>并发电子邮件至</w:t>
            </w:r>
            <w:r>
              <w:rPr>
                <w:rFonts w:hint="eastAsia" w:ascii="宋体" w:hAnsi="宋体" w:cs="宋体"/>
                <w:snapToGrid w:val="0"/>
                <w:kern w:val="0"/>
                <w:szCs w:val="21"/>
                <w:u w:val="single"/>
              </w:rPr>
              <w:t>171275987@qq.com</w:t>
            </w:r>
            <w:r>
              <w:rPr>
                <w:rFonts w:hint="eastAsia" w:ascii="宋体" w:hAnsi="宋体" w:cs="宋体"/>
                <w:szCs w:val="21"/>
              </w:rPr>
              <w:t>（</w:t>
            </w:r>
            <w:r>
              <w:rPr>
                <w:rFonts w:hint="eastAsia" w:ascii="宋体" w:hAnsi="宋体" w:cs="宋体"/>
                <w:szCs w:val="21"/>
                <w:lang w:val="zh-CN"/>
              </w:rPr>
              <w:t>电子邮件与书面文件有不一致的</w:t>
            </w:r>
            <w:r>
              <w:rPr>
                <w:rFonts w:hint="eastAsia" w:ascii="宋体" w:hAnsi="宋体" w:cs="宋体"/>
                <w:szCs w:val="21"/>
              </w:rPr>
              <w:t>，</w:t>
            </w:r>
            <w:r>
              <w:rPr>
                <w:rFonts w:hint="eastAsia" w:ascii="宋体" w:hAnsi="宋体" w:cs="宋体"/>
                <w:szCs w:val="21"/>
                <w:lang w:val="zh-CN"/>
              </w:rPr>
              <w:t>一律以书面文件为准</w:t>
            </w:r>
            <w:r>
              <w:rPr>
                <w:rFonts w:hint="eastAsia" w:ascii="宋体" w:hAnsi="宋体" w:cs="宋体"/>
                <w:szCs w:val="21"/>
              </w:rPr>
              <w:t>）</w:t>
            </w:r>
            <w:r>
              <w:rPr>
                <w:rFonts w:hint="eastAsia" w:ascii="宋体" w:hAnsi="宋体" w:cs="宋体"/>
                <w:szCs w:val="21"/>
                <w:lang w:val="zh-CN"/>
              </w:rPr>
              <w:t>。截止期后的疑问将不予受理、答复。</w:t>
            </w:r>
            <w:r>
              <w:rPr>
                <w:rFonts w:hint="eastAsia" w:ascii="宋体" w:hAnsi="宋体" w:cs="宋体"/>
                <w:szCs w:val="21"/>
              </w:rPr>
              <w:t>答疑回复内容是采购文件的组成部份，并将以书面形式送达所有已购买采购文件的投标人。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0"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13</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采购文件的澄清与修改</w:t>
            </w:r>
          </w:p>
        </w:tc>
        <w:tc>
          <w:tcPr>
            <w:tcW w:w="6383" w:type="dxa"/>
            <w:vAlign w:val="center"/>
          </w:tcPr>
          <w:p>
            <w:pPr>
              <w:snapToGrid w:val="0"/>
              <w:spacing w:line="320" w:lineRule="exact"/>
              <w:ind w:right="105" w:rightChars="50"/>
              <w:rPr>
                <w:rFonts w:ascii="宋体" w:hAnsi="宋体" w:cs="宋体"/>
                <w:szCs w:val="21"/>
              </w:rPr>
            </w:pPr>
            <w:r>
              <w:rPr>
                <w:rFonts w:hint="eastAsia" w:ascii="宋体" w:hAnsi="宋体" w:cs="宋体"/>
                <w:snapToGrid w:val="0"/>
                <w:kern w:val="0"/>
                <w:szCs w:val="21"/>
              </w:rPr>
              <w:t>在投标截止时间15天前，采购人有权澄清和修改采购文件，并以更正（澄清）公告形式通知所有已购买采购文件的投标人。修改和澄清（答疑）答复的内容作为采购文件的补充和组成部分，对所有投标人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40"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14</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投标文件形式</w:t>
            </w:r>
          </w:p>
        </w:tc>
        <w:tc>
          <w:tcPr>
            <w:tcW w:w="6383" w:type="dxa"/>
            <w:vAlign w:val="center"/>
          </w:tcPr>
          <w:p>
            <w:pPr>
              <w:snapToGrid w:val="0"/>
              <w:spacing w:line="320" w:lineRule="exact"/>
              <w:ind w:right="105" w:rightChars="50"/>
              <w:rPr>
                <w:rFonts w:ascii="宋体" w:hAnsi="宋体"/>
                <w:szCs w:val="21"/>
              </w:rPr>
            </w:pPr>
            <w:r>
              <w:rPr>
                <w:rFonts w:ascii="宋体" w:hAnsi="宋体"/>
                <w:szCs w:val="21"/>
              </w:rPr>
              <w:t>电子投标文</w:t>
            </w:r>
            <w:r>
              <w:rPr>
                <w:rFonts w:hint="eastAsia" w:ascii="宋体" w:hAnsi="宋体"/>
                <w:szCs w:val="21"/>
              </w:rPr>
              <w:t>件</w:t>
            </w:r>
            <w:r>
              <w:rPr>
                <w:rFonts w:ascii="宋体" w:hAnsi="宋体"/>
                <w:szCs w:val="21"/>
              </w:rPr>
              <w:t>包括“电子加密投标文件”和“备份投标文件”，在投标文件编制完成后同时生成</w:t>
            </w:r>
            <w:r>
              <w:rPr>
                <w:rFonts w:hint="eastAsia" w:ascii="宋体" w:hAnsi="宋体"/>
                <w:szCs w:val="21"/>
              </w:rPr>
              <w:t>。</w:t>
            </w:r>
          </w:p>
          <w:p>
            <w:pPr>
              <w:numPr>
                <w:ilvl w:val="0"/>
                <w:numId w:val="1"/>
              </w:numPr>
              <w:snapToGrid w:val="0"/>
              <w:spacing w:line="320" w:lineRule="exact"/>
              <w:ind w:right="105" w:rightChars="50"/>
              <w:rPr>
                <w:rFonts w:ascii="宋体" w:hAnsi="宋体"/>
                <w:szCs w:val="21"/>
              </w:rPr>
            </w:pPr>
            <w:r>
              <w:rPr>
                <w:rFonts w:ascii="宋体" w:hAnsi="宋体"/>
                <w:szCs w:val="21"/>
              </w:rPr>
              <w:t>“电子加密投标文件”是指通过“政采云电子交易客户端”完成投标文件编制后生成并加密的数据电文形式的投标文件。</w:t>
            </w:r>
          </w:p>
          <w:p>
            <w:pPr>
              <w:numPr>
                <w:ilvl w:val="0"/>
                <w:numId w:val="1"/>
              </w:numPr>
              <w:snapToGrid w:val="0"/>
              <w:spacing w:line="320" w:lineRule="exact"/>
              <w:rPr>
                <w:rFonts w:ascii="宋体" w:hAnsi="宋体" w:cs="宋体"/>
                <w:szCs w:val="21"/>
              </w:rPr>
            </w:pPr>
            <w:r>
              <w:rPr>
                <w:rFonts w:ascii="宋体" w:hAnsi="宋体"/>
                <w:szCs w:val="21"/>
              </w:rPr>
              <w:t>“备份投标文件”是指与“电子加密投标文件”同时生成的数据电文形式的电子文件（备份标书</w:t>
            </w:r>
            <w:r>
              <w:rPr>
                <w:rFonts w:hint="eastAsia" w:ascii="宋体" w:hAnsi="宋体"/>
                <w:szCs w:val="21"/>
              </w:rPr>
              <w:t>，用于供应商标书解密异常时应急使用</w:t>
            </w:r>
            <w:r>
              <w:rPr>
                <w:rFonts w:ascii="宋体" w:hAnsi="宋体"/>
                <w:szCs w:val="21"/>
              </w:rPr>
              <w:t>），其他方式编制的备份投标文件视为无效备份投标文件</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15</w:t>
            </w:r>
          </w:p>
        </w:tc>
        <w:tc>
          <w:tcPr>
            <w:tcW w:w="1800" w:type="dxa"/>
            <w:vAlign w:val="center"/>
          </w:tcPr>
          <w:p>
            <w:pPr>
              <w:snapToGrid w:val="0"/>
              <w:spacing w:line="360" w:lineRule="exact"/>
              <w:jc w:val="center"/>
              <w:rPr>
                <w:rFonts w:ascii="宋体" w:hAnsi="宋体" w:cs="宋体"/>
                <w:szCs w:val="21"/>
              </w:rPr>
            </w:pPr>
            <w:r>
              <w:rPr>
                <w:rFonts w:hint="eastAsia" w:ascii="宋体" w:hAnsi="宋体"/>
                <w:szCs w:val="21"/>
              </w:rPr>
              <w:t>投标文件份数</w:t>
            </w:r>
          </w:p>
        </w:tc>
        <w:tc>
          <w:tcPr>
            <w:tcW w:w="6383" w:type="dxa"/>
            <w:vAlign w:val="center"/>
          </w:tcPr>
          <w:p>
            <w:pPr>
              <w:numPr>
                <w:ilvl w:val="0"/>
                <w:numId w:val="2"/>
              </w:numPr>
              <w:snapToGrid w:val="0"/>
              <w:spacing w:line="320" w:lineRule="exact"/>
            </w:pPr>
            <w:r>
              <w:rPr>
                <w:rFonts w:hint="eastAsia"/>
              </w:rPr>
              <w:t>一份电子加密标书（后缀格式为.jmbs），一份备份标书文件（后缀格式为.bfbs）。</w:t>
            </w:r>
          </w:p>
          <w:p>
            <w:pPr>
              <w:snapToGrid w:val="0"/>
              <w:spacing w:line="320" w:lineRule="exact"/>
            </w:pPr>
            <w:r>
              <w:rPr>
                <w:rFonts w:hint="eastAsia"/>
              </w:rPr>
              <w:t>每份电子投标文件应包括资格响应文件、资信技术响应文件及报价响应文件三部分内容。</w:t>
            </w:r>
          </w:p>
          <w:p>
            <w:pPr>
              <w:pStyle w:val="18"/>
              <w:numPr>
                <w:ilvl w:val="0"/>
                <w:numId w:val="2"/>
              </w:numPr>
              <w:rPr>
                <w:rFonts w:ascii="宋体" w:hAnsi="宋体"/>
                <w:szCs w:val="21"/>
              </w:rPr>
            </w:pPr>
            <w:r>
              <w:rPr>
                <w:rFonts w:hint="eastAsia" w:ascii="宋体" w:hAnsi="宋体"/>
                <w:szCs w:val="21"/>
              </w:rPr>
              <w:t>如中标，中标人需根据招标人要求提供纸质投标文件至少</w:t>
            </w:r>
            <w:r>
              <w:rPr>
                <w:rFonts w:hint="eastAsia" w:ascii="宋体" w:hAnsi="宋体"/>
                <w:szCs w:val="21"/>
                <w:u w:val="single"/>
              </w:rPr>
              <w:t xml:space="preserve"> 3 </w:t>
            </w:r>
            <w:r>
              <w:rPr>
                <w:rFonts w:hint="eastAsia" w:ascii="宋体" w:hAnsi="宋体"/>
                <w:szCs w:val="21"/>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648" w:type="dxa"/>
            <w:vMerge w:val="restart"/>
            <w:vAlign w:val="center"/>
          </w:tcPr>
          <w:p>
            <w:pPr>
              <w:adjustRightInd w:val="0"/>
              <w:jc w:val="center"/>
              <w:rPr>
                <w:rFonts w:ascii="宋体" w:hAnsi="宋体" w:cs="宋体"/>
                <w:szCs w:val="21"/>
              </w:rPr>
            </w:pPr>
            <w:r>
              <w:rPr>
                <w:rFonts w:hint="eastAsia" w:ascii="宋体" w:hAnsi="宋体" w:cs="宋体"/>
                <w:szCs w:val="21"/>
              </w:rPr>
              <w:t>16</w:t>
            </w:r>
          </w:p>
        </w:tc>
        <w:tc>
          <w:tcPr>
            <w:tcW w:w="1800" w:type="dxa"/>
            <w:vMerge w:val="restart"/>
            <w:vAlign w:val="center"/>
          </w:tcPr>
          <w:p>
            <w:pPr>
              <w:snapToGrid w:val="0"/>
              <w:spacing w:line="360" w:lineRule="exact"/>
              <w:jc w:val="center"/>
              <w:rPr>
                <w:rFonts w:ascii="宋体" w:hAnsi="宋体" w:cs="宋体"/>
                <w:szCs w:val="21"/>
              </w:rPr>
            </w:pPr>
            <w:r>
              <w:rPr>
                <w:rFonts w:hint="eastAsia" w:ascii="宋体" w:hAnsi="宋体"/>
                <w:szCs w:val="21"/>
              </w:rPr>
              <w:t>投标文件的上传和递交</w:t>
            </w:r>
          </w:p>
        </w:tc>
        <w:tc>
          <w:tcPr>
            <w:tcW w:w="6383" w:type="dxa"/>
            <w:vAlign w:val="center"/>
          </w:tcPr>
          <w:p>
            <w:pPr>
              <w:snapToGrid w:val="0"/>
              <w:spacing w:line="320" w:lineRule="exact"/>
              <w:rPr>
                <w:rFonts w:ascii="宋体" w:hAnsi="宋体" w:cs="Courier New"/>
                <w:szCs w:val="21"/>
              </w:rPr>
            </w:pPr>
            <w:r>
              <w:rPr>
                <w:rFonts w:hint="eastAsia" w:ascii="宋体" w:hAnsi="宋体" w:cs="Courier New"/>
                <w:szCs w:val="21"/>
              </w:rPr>
              <w:t>1.电子加密投标文件：投标文件制作完成并生成加密标书，在投标截止时间前，供应商需将加密的投标文件上传至政采云平台，在开标时间开始后</w:t>
            </w:r>
            <w:r>
              <w:rPr>
                <w:rFonts w:hint="eastAsia" w:ascii="宋体" w:hAnsi="宋体" w:cs="Courier New"/>
                <w:szCs w:val="21"/>
                <w:u w:val="single"/>
              </w:rPr>
              <w:t>30</w:t>
            </w:r>
            <w:r>
              <w:rPr>
                <w:rFonts w:hint="eastAsia" w:ascii="宋体" w:hAnsi="宋体" w:cs="Courier New"/>
                <w:szCs w:val="21"/>
              </w:rPr>
              <w:t>分钟内，解密投标文件。</w:t>
            </w:r>
          </w:p>
          <w:p>
            <w:pPr>
              <w:snapToGrid w:val="0"/>
              <w:spacing w:line="320" w:lineRule="exact"/>
              <w:rPr>
                <w:rFonts w:ascii="宋体" w:hAnsi="宋体" w:cs="Courier New"/>
                <w:b/>
                <w:bCs/>
                <w:szCs w:val="21"/>
              </w:rPr>
            </w:pPr>
            <w:r>
              <w:rPr>
                <w:rFonts w:hint="eastAsia" w:ascii="宋体" w:hAnsi="宋体" w:cs="Courier New"/>
                <w:b/>
                <w:bCs/>
                <w:szCs w:val="21"/>
              </w:rPr>
              <w:t>a.供应商未能在投标截止时间前成功上传电子加密投标文件的投标无效。</w:t>
            </w:r>
          </w:p>
          <w:p>
            <w:pPr>
              <w:snapToGrid w:val="0"/>
              <w:spacing w:line="320" w:lineRule="exact"/>
              <w:rPr>
                <w:rFonts w:ascii="宋体" w:hAnsi="宋体"/>
                <w:szCs w:val="21"/>
              </w:rPr>
            </w:pPr>
            <w:r>
              <w:rPr>
                <w:rFonts w:hint="eastAsia" w:ascii="宋体" w:hAnsi="宋体" w:cs="Courier New"/>
                <w:szCs w:val="21"/>
              </w:rPr>
              <w:t>b.供应商成功上传电子加密投标文件后，可自行打印投标文件接收回执。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0" w:hRule="atLeast"/>
          <w:jc w:val="center"/>
        </w:trPr>
        <w:tc>
          <w:tcPr>
            <w:tcW w:w="648" w:type="dxa"/>
            <w:vMerge w:val="continue"/>
            <w:vAlign w:val="center"/>
          </w:tcPr>
          <w:p>
            <w:pPr>
              <w:adjustRightInd w:val="0"/>
              <w:jc w:val="center"/>
              <w:rPr>
                <w:rFonts w:ascii="宋体" w:hAnsi="宋体" w:cs="宋体"/>
                <w:szCs w:val="21"/>
              </w:rPr>
            </w:pPr>
          </w:p>
        </w:tc>
        <w:tc>
          <w:tcPr>
            <w:tcW w:w="1800" w:type="dxa"/>
            <w:vMerge w:val="continue"/>
            <w:vAlign w:val="center"/>
          </w:tcPr>
          <w:p>
            <w:pPr>
              <w:snapToGrid w:val="0"/>
              <w:spacing w:line="360" w:lineRule="exact"/>
              <w:jc w:val="center"/>
              <w:rPr>
                <w:rFonts w:ascii="宋体" w:hAnsi="宋体" w:cs="宋体"/>
                <w:szCs w:val="21"/>
              </w:rPr>
            </w:pPr>
          </w:p>
        </w:tc>
        <w:tc>
          <w:tcPr>
            <w:tcW w:w="6383" w:type="dxa"/>
            <w:vAlign w:val="center"/>
          </w:tcPr>
          <w:p>
            <w:pPr>
              <w:snapToGrid w:val="0"/>
              <w:spacing w:line="320" w:lineRule="exact"/>
              <w:rPr>
                <w:rFonts w:ascii="宋体" w:hAnsi="宋体" w:cs="Courier New"/>
                <w:szCs w:val="21"/>
              </w:rPr>
            </w:pPr>
            <w:r>
              <w:rPr>
                <w:rFonts w:hint="eastAsia" w:ascii="宋体" w:hAnsi="宋体" w:cs="Courier New"/>
                <w:szCs w:val="21"/>
              </w:rPr>
              <w:t>2.备份投标文件：供应商确保在投标截止时间前，将备份投标文件通过快递形式寄达采购代理机构处，以便</w:t>
            </w:r>
            <w:r>
              <w:rPr>
                <w:rFonts w:hint="eastAsia" w:ascii="宋体" w:hAnsi="宋体"/>
                <w:szCs w:val="21"/>
              </w:rPr>
              <w:t>标书解密异常时应急使用</w:t>
            </w:r>
            <w:r>
              <w:rPr>
                <w:rFonts w:hint="eastAsia" w:ascii="宋体" w:hAnsi="宋体" w:cs="Courier New"/>
                <w:szCs w:val="21"/>
              </w:rPr>
              <w:t>（邮寄地址：杭州市萧山区金城路165号金瑞大厦1幢601室，接收人：韩莹琼，电话：18072797998、0571-82217529）。</w:t>
            </w:r>
          </w:p>
          <w:p>
            <w:pPr>
              <w:snapToGrid w:val="0"/>
              <w:spacing w:line="320" w:lineRule="exact"/>
              <w:rPr>
                <w:rFonts w:ascii="宋体" w:hAnsi="宋体" w:cs="Courier New"/>
                <w:szCs w:val="21"/>
              </w:rPr>
            </w:pPr>
            <w:r>
              <w:rPr>
                <w:rFonts w:hint="eastAsia" w:ascii="宋体" w:hAnsi="宋体" w:cs="Courier New"/>
                <w:szCs w:val="21"/>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pPr>
              <w:snapToGrid w:val="0"/>
              <w:spacing w:line="320" w:lineRule="exact"/>
              <w:rPr>
                <w:rFonts w:ascii="宋体" w:hAnsi="宋体"/>
                <w:szCs w:val="21"/>
              </w:rPr>
            </w:pPr>
            <w:r>
              <w:rPr>
                <w:rFonts w:hint="eastAsia" w:ascii="宋体" w:hAnsi="宋体" w:cs="Courier New"/>
                <w:szCs w:val="21"/>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7" w:hRule="atLeast"/>
          <w:jc w:val="center"/>
        </w:trPr>
        <w:tc>
          <w:tcPr>
            <w:tcW w:w="648" w:type="dxa"/>
            <w:vMerge w:val="continue"/>
            <w:vAlign w:val="center"/>
          </w:tcPr>
          <w:p>
            <w:pPr>
              <w:adjustRightInd w:val="0"/>
              <w:jc w:val="center"/>
              <w:rPr>
                <w:rFonts w:ascii="宋体" w:hAnsi="宋体" w:cs="宋体"/>
                <w:szCs w:val="21"/>
              </w:rPr>
            </w:pPr>
          </w:p>
        </w:tc>
        <w:tc>
          <w:tcPr>
            <w:tcW w:w="1800" w:type="dxa"/>
            <w:vMerge w:val="continue"/>
            <w:vAlign w:val="center"/>
          </w:tcPr>
          <w:p>
            <w:pPr>
              <w:snapToGrid w:val="0"/>
              <w:spacing w:line="360" w:lineRule="exact"/>
              <w:jc w:val="center"/>
              <w:rPr>
                <w:rFonts w:ascii="宋体" w:hAnsi="宋体" w:cs="宋体"/>
                <w:szCs w:val="21"/>
              </w:rPr>
            </w:pPr>
          </w:p>
        </w:tc>
        <w:tc>
          <w:tcPr>
            <w:tcW w:w="6383" w:type="dxa"/>
            <w:vAlign w:val="center"/>
          </w:tcPr>
          <w:p>
            <w:pPr>
              <w:snapToGrid w:val="0"/>
              <w:spacing w:line="320" w:lineRule="exact"/>
              <w:rPr>
                <w:rFonts w:ascii="宋体" w:hAnsi="宋体" w:cs="Courier New"/>
                <w:szCs w:val="21"/>
              </w:rPr>
            </w:pPr>
            <w:r>
              <w:rPr>
                <w:rFonts w:hint="eastAsia" w:ascii="宋体" w:hAnsi="宋体" w:cs="Courier New"/>
                <w:szCs w:val="21"/>
              </w:rPr>
              <w:t>3.电子加密投标文件的解密和异常情况处理：</w:t>
            </w:r>
          </w:p>
          <w:p>
            <w:pPr>
              <w:snapToGrid w:val="0"/>
              <w:spacing w:line="320" w:lineRule="exact"/>
              <w:rPr>
                <w:rFonts w:ascii="宋体" w:hAnsi="宋体" w:cs="Courier New"/>
                <w:szCs w:val="21"/>
              </w:rPr>
            </w:pPr>
            <w:r>
              <w:rPr>
                <w:rFonts w:hint="eastAsia" w:ascii="宋体" w:hAnsi="宋体" w:cs="Courier New"/>
                <w:szCs w:val="21"/>
              </w:rPr>
              <w:t>a.开标后，各投标供应商代表应当在限定时间内自行完成“电子加密投标文件”的在线解密。</w:t>
            </w:r>
          </w:p>
          <w:p>
            <w:pPr>
              <w:snapToGrid w:val="0"/>
              <w:spacing w:line="320" w:lineRule="exact"/>
              <w:rPr>
                <w:rFonts w:ascii="宋体" w:hAnsi="宋体" w:cs="Courier New"/>
                <w:szCs w:val="21"/>
              </w:rPr>
            </w:pPr>
            <w:r>
              <w:rPr>
                <w:rFonts w:hint="eastAsia" w:ascii="宋体" w:hAnsi="宋体" w:cs="Courier New"/>
                <w:szCs w:val="21"/>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20" w:lineRule="exact"/>
              <w:rPr>
                <w:rFonts w:ascii="宋体" w:hAnsi="宋体" w:cs="Courier New"/>
                <w:szCs w:val="21"/>
              </w:rPr>
            </w:pPr>
            <w:r>
              <w:rPr>
                <w:rFonts w:hint="eastAsia" w:ascii="宋体" w:hAnsi="宋体" w:cs="Courier New"/>
                <w:szCs w:val="21"/>
              </w:rPr>
              <w:t>c.投标截止时间前，投标供应商仅递交了“备份投标文件”而未将电子加密投标文件上传至“政府采购云平台”的，投标无效。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17</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投标文件、流程文件签章</w:t>
            </w:r>
          </w:p>
        </w:tc>
        <w:tc>
          <w:tcPr>
            <w:tcW w:w="6383" w:type="dxa"/>
            <w:vAlign w:val="center"/>
          </w:tcPr>
          <w:p>
            <w:pPr>
              <w:numPr>
                <w:ilvl w:val="0"/>
                <w:numId w:val="3"/>
              </w:numPr>
              <w:snapToGrid w:val="0"/>
              <w:spacing w:line="320" w:lineRule="exact"/>
            </w:pPr>
            <w:r>
              <w:t>电子投标文件</w:t>
            </w:r>
            <w:r>
              <w:rPr>
                <w:rFonts w:hint="eastAsia"/>
              </w:rPr>
              <w:t>必须有电子签章；</w:t>
            </w:r>
          </w:p>
          <w:p>
            <w:pPr>
              <w:numPr>
                <w:ilvl w:val="0"/>
                <w:numId w:val="3"/>
              </w:numPr>
              <w:snapToGrid w:val="0"/>
              <w:spacing w:line="320" w:lineRule="exact"/>
            </w:pPr>
            <w:r>
              <w:rPr>
                <w:rFonts w:hint="eastAsia"/>
              </w:rPr>
              <w:t>开标后，相关信息记录确认、澄清说明、回复等内容，电子签章、或者签章后上传相关文件，均认可；</w:t>
            </w:r>
          </w:p>
          <w:p>
            <w:pPr>
              <w:pStyle w:val="2"/>
              <w:numPr>
                <w:ilvl w:val="0"/>
                <w:numId w:val="3"/>
              </w:numPr>
              <w:ind w:firstLine="0"/>
            </w:pPr>
            <w:r>
              <w:rPr>
                <w:rFonts w:hint="eastAsia" w:ascii="Calibri" w:hAnsi="Calibri" w:eastAsia="宋体"/>
                <w:sz w:val="21"/>
                <w:szCs w:val="24"/>
              </w:rPr>
              <w:t>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18</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评标办法</w:t>
            </w:r>
          </w:p>
        </w:tc>
        <w:tc>
          <w:tcPr>
            <w:tcW w:w="6383" w:type="dxa"/>
            <w:vAlign w:val="center"/>
          </w:tcPr>
          <w:p>
            <w:pPr>
              <w:snapToGrid w:val="0"/>
              <w:spacing w:line="320" w:lineRule="exact"/>
              <w:rPr>
                <w:rFonts w:ascii="宋体" w:hAnsi="宋体" w:cs="宋体"/>
                <w:szCs w:val="21"/>
              </w:rPr>
            </w:pPr>
            <w:r>
              <w:rPr>
                <w:rFonts w:hint="eastAsia" w:ascii="宋体" w:hAnsi="宋体" w:cs="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19</w:t>
            </w:r>
          </w:p>
        </w:tc>
        <w:tc>
          <w:tcPr>
            <w:tcW w:w="1800" w:type="dxa"/>
            <w:vAlign w:val="center"/>
          </w:tcPr>
          <w:p>
            <w:pPr>
              <w:snapToGrid w:val="0"/>
              <w:spacing w:line="360" w:lineRule="exact"/>
              <w:jc w:val="center"/>
              <w:rPr>
                <w:rFonts w:ascii="宋体" w:hAnsi="宋体" w:cs="宋体"/>
                <w:szCs w:val="21"/>
                <w:highlight w:val="none"/>
              </w:rPr>
            </w:pPr>
            <w:r>
              <w:rPr>
                <w:rFonts w:hint="eastAsia" w:ascii="宋体" w:hAnsi="宋体" w:cs="宋体"/>
                <w:szCs w:val="21"/>
                <w:highlight w:val="none"/>
              </w:rPr>
              <w:t>开标时间</w:t>
            </w:r>
          </w:p>
        </w:tc>
        <w:tc>
          <w:tcPr>
            <w:tcW w:w="6383" w:type="dxa"/>
            <w:vAlign w:val="center"/>
          </w:tcPr>
          <w:p>
            <w:pPr>
              <w:adjustRightInd w:val="0"/>
              <w:snapToGrid w:val="0"/>
              <w:spacing w:line="320" w:lineRule="exact"/>
              <w:ind w:left="15" w:hanging="15" w:hangingChars="7"/>
              <w:rPr>
                <w:rFonts w:ascii="宋体" w:hAnsi="宋体" w:cs="宋体"/>
                <w:b/>
                <w:szCs w:val="21"/>
                <w:highlight w:val="none"/>
              </w:rPr>
            </w:pPr>
            <w:r>
              <w:rPr>
                <w:rFonts w:hint="eastAsia" w:ascii="宋体" w:hAnsi="宋体" w:cs="宋体"/>
                <w:b/>
                <w:kern w:val="0"/>
                <w:szCs w:val="21"/>
                <w:highlight w:val="none"/>
              </w:rPr>
              <w:t>2021年</w:t>
            </w:r>
            <w:r>
              <w:rPr>
                <w:rFonts w:hint="eastAsia" w:ascii="宋体" w:hAnsi="宋体" w:cs="宋体"/>
                <w:b/>
                <w:kern w:val="0"/>
                <w:szCs w:val="21"/>
                <w:highlight w:val="none"/>
                <w:lang w:val="en-US" w:eastAsia="zh-CN"/>
              </w:rPr>
              <w:t>2</w:t>
            </w:r>
            <w:r>
              <w:rPr>
                <w:rFonts w:hint="eastAsia" w:ascii="宋体" w:hAnsi="宋体" w:cs="宋体"/>
                <w:b/>
                <w:kern w:val="0"/>
                <w:szCs w:val="21"/>
                <w:highlight w:val="none"/>
              </w:rPr>
              <w:t>月</w:t>
            </w:r>
            <w:r>
              <w:rPr>
                <w:rFonts w:hint="eastAsia" w:ascii="宋体" w:hAnsi="宋体" w:cs="宋体"/>
                <w:b/>
                <w:kern w:val="0"/>
                <w:szCs w:val="21"/>
                <w:highlight w:val="none"/>
                <w:lang w:val="en-US" w:eastAsia="zh-CN"/>
              </w:rPr>
              <w:t>1</w:t>
            </w:r>
            <w:r>
              <w:rPr>
                <w:rFonts w:hint="eastAsia" w:ascii="宋体" w:hAnsi="宋体" w:cs="宋体"/>
                <w:b/>
                <w:kern w:val="0"/>
                <w:szCs w:val="21"/>
                <w:highlight w:val="none"/>
              </w:rPr>
              <w:t xml:space="preserve">日09时00分00秒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20</w:t>
            </w:r>
          </w:p>
        </w:tc>
        <w:tc>
          <w:tcPr>
            <w:tcW w:w="1800" w:type="dxa"/>
            <w:vAlign w:val="center"/>
          </w:tcPr>
          <w:p>
            <w:pPr>
              <w:snapToGrid w:val="0"/>
              <w:spacing w:line="360" w:lineRule="exact"/>
              <w:jc w:val="center"/>
              <w:rPr>
                <w:rFonts w:ascii="宋体" w:hAnsi="宋体" w:cs="宋体"/>
                <w:szCs w:val="21"/>
              </w:rPr>
            </w:pPr>
            <w:r>
              <w:rPr>
                <w:rFonts w:hint="eastAsia" w:ascii="宋体" w:hAnsi="宋体"/>
                <w:szCs w:val="21"/>
              </w:rPr>
              <w:t>开标程序</w:t>
            </w:r>
          </w:p>
        </w:tc>
        <w:tc>
          <w:tcPr>
            <w:tcW w:w="6383" w:type="dxa"/>
            <w:vAlign w:val="center"/>
          </w:tcPr>
          <w:p>
            <w:pPr>
              <w:adjustRightInd w:val="0"/>
              <w:snapToGrid w:val="0"/>
              <w:spacing w:line="320" w:lineRule="exact"/>
              <w:ind w:left="15" w:hanging="14" w:hangingChars="7"/>
            </w:pPr>
            <w:r>
              <w:rPr>
                <w:rFonts w:hint="eastAsia"/>
              </w:rPr>
              <w:t>1.开标后，采购代理机构点击【开始解密】，供应商应在30分钟内完成解密。供应商在规定的时间内都已完成解密，则系统自动结束解密；供应商超过解密时限，默认自动放弃；</w:t>
            </w:r>
          </w:p>
          <w:p>
            <w:pPr>
              <w:adjustRightInd w:val="0"/>
              <w:snapToGrid w:val="0"/>
              <w:spacing w:line="320" w:lineRule="exact"/>
              <w:ind w:left="15" w:hanging="14" w:hangingChars="7"/>
            </w:pPr>
            <w:r>
              <w:rPr>
                <w:rFonts w:hint="eastAsia"/>
              </w:rPr>
              <w:t>2.解密不成功时，如投标供应商已按规定递交了“备份投标文件”的，采购代理机构通过【异常处理】端口对备份投标文件上传、解密；</w:t>
            </w:r>
          </w:p>
          <w:p>
            <w:pPr>
              <w:adjustRightInd w:val="0"/>
              <w:snapToGrid w:val="0"/>
              <w:spacing w:line="320" w:lineRule="exact"/>
              <w:ind w:left="15" w:hanging="14" w:hangingChars="7"/>
            </w:pPr>
            <w:r>
              <w:rPr>
                <w:rFonts w:hint="eastAsia"/>
              </w:rPr>
              <w:t>3.结束解密后，供应商通过邮件形式将经授权代表签署的《政府采购活动现场确认声明书》（格式见采购文件第七部分，采购文件最后一页内容）扫描件发至代理机构经办人邮箱（邮箱地址：171275987@qq.com，电话：0571-82217529）；</w:t>
            </w:r>
          </w:p>
          <w:p>
            <w:pPr>
              <w:adjustRightInd w:val="0"/>
              <w:snapToGrid w:val="0"/>
              <w:spacing w:line="320" w:lineRule="exact"/>
              <w:ind w:left="15" w:hanging="14" w:hangingChars="7"/>
            </w:pPr>
            <w:r>
              <w:rPr>
                <w:rFonts w:hint="eastAsia"/>
              </w:rPr>
              <w:t>4.采购组织机构点击【开启标书信息】，开启标书成功后进入开标流程。</w:t>
            </w:r>
          </w:p>
          <w:p>
            <w:pPr>
              <w:pStyle w:val="2"/>
              <w:ind w:firstLine="0"/>
            </w:pPr>
            <w:r>
              <w:rPr>
                <w:rFonts w:hint="eastAsia" w:ascii="Calibri" w:hAnsi="Calibri" w:eastAsia="宋体"/>
                <w:sz w:val="21"/>
                <w:szCs w:val="24"/>
              </w:rPr>
              <w:t>5.政采云系统平台有新的操作流程的，按其规定。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21</w:t>
            </w:r>
          </w:p>
        </w:tc>
        <w:tc>
          <w:tcPr>
            <w:tcW w:w="1800" w:type="dxa"/>
            <w:vAlign w:val="center"/>
          </w:tcPr>
          <w:p>
            <w:pPr>
              <w:snapToGrid w:val="0"/>
              <w:spacing w:line="360" w:lineRule="exact"/>
              <w:jc w:val="center"/>
              <w:rPr>
                <w:rFonts w:ascii="宋体" w:hAnsi="宋体"/>
                <w:szCs w:val="21"/>
              </w:rPr>
            </w:pPr>
            <w:r>
              <w:rPr>
                <w:rFonts w:hint="eastAsia" w:ascii="宋体" w:hAnsi="宋体"/>
                <w:szCs w:val="21"/>
              </w:rPr>
              <w:t>评标程序</w:t>
            </w:r>
          </w:p>
        </w:tc>
        <w:tc>
          <w:tcPr>
            <w:tcW w:w="6383" w:type="dxa"/>
            <w:vAlign w:val="center"/>
          </w:tcPr>
          <w:p>
            <w:pPr>
              <w:pStyle w:val="24"/>
              <w:numPr>
                <w:ilvl w:val="0"/>
                <w:numId w:val="4"/>
              </w:numPr>
              <w:snapToGrid w:val="0"/>
              <w:spacing w:line="320" w:lineRule="exact"/>
              <w:rPr>
                <w:rFonts w:ascii="宋体" w:hAnsi="宋体" w:eastAsia="宋体"/>
              </w:rPr>
            </w:pPr>
            <w:r>
              <w:rPr>
                <w:rFonts w:hint="eastAsia" w:ascii="宋体" w:hAnsi="宋体" w:eastAsia="宋体"/>
              </w:rPr>
              <w:t>资格审查：由采购人或采购代理机构代表根据采购文件的规定对投标人进行资格审查，资格审查不合格的投标人，其投标作无效标处理。</w:t>
            </w:r>
          </w:p>
          <w:p>
            <w:pPr>
              <w:pStyle w:val="24"/>
              <w:numPr>
                <w:ilvl w:val="0"/>
                <w:numId w:val="4"/>
              </w:numPr>
              <w:snapToGrid w:val="0"/>
              <w:spacing w:line="320" w:lineRule="exact"/>
              <w:rPr>
                <w:rFonts w:ascii="宋体" w:hAnsi="宋体" w:eastAsia="宋体"/>
              </w:rPr>
            </w:pPr>
            <w:r>
              <w:rPr>
                <w:rFonts w:ascii="宋体" w:hAnsi="宋体" w:eastAsia="宋体"/>
              </w:rPr>
              <w:t>符合性评审</w:t>
            </w:r>
            <w:r>
              <w:rPr>
                <w:rFonts w:hint="eastAsia" w:ascii="宋体" w:hAnsi="宋体" w:eastAsia="宋体"/>
              </w:rPr>
              <w:t>：依据采购文件的规定，从投标文件的有效性、完整性和对采购文件的响应程度进行审查，以确定是否对采购文件的实质性要求作出响应。具体审查内容见投标须知第22.1条“无效投标的认定”。</w:t>
            </w:r>
          </w:p>
          <w:p>
            <w:pPr>
              <w:pStyle w:val="24"/>
              <w:numPr>
                <w:ilvl w:val="0"/>
                <w:numId w:val="4"/>
              </w:numPr>
              <w:snapToGrid w:val="0"/>
              <w:spacing w:line="320" w:lineRule="exact"/>
              <w:rPr>
                <w:rFonts w:ascii="宋体" w:hAnsi="宋体" w:eastAsia="宋体"/>
              </w:rPr>
            </w:pPr>
            <w:r>
              <w:rPr>
                <w:rFonts w:hint="eastAsia" w:ascii="宋体" w:hAnsi="宋体" w:eastAsia="宋体"/>
              </w:rPr>
              <w:t>资信</w:t>
            </w:r>
            <w:r>
              <w:rPr>
                <w:rFonts w:ascii="宋体" w:hAnsi="宋体" w:eastAsia="宋体"/>
              </w:rPr>
              <w:t>技术评分</w:t>
            </w:r>
            <w:r>
              <w:rPr>
                <w:rFonts w:hint="eastAsia" w:ascii="宋体" w:hAnsi="宋体" w:eastAsia="宋体"/>
              </w:rPr>
              <w:t>：由评标委员会对各投标人的资信技术充分审核、讨论及评议后，独立评分。</w:t>
            </w:r>
          </w:p>
          <w:p>
            <w:pPr>
              <w:pStyle w:val="24"/>
              <w:numPr>
                <w:ilvl w:val="0"/>
                <w:numId w:val="4"/>
              </w:numPr>
              <w:snapToGrid w:val="0"/>
              <w:spacing w:line="320" w:lineRule="exact"/>
              <w:rPr>
                <w:rFonts w:ascii="宋体" w:hAnsi="宋体" w:eastAsia="宋体"/>
              </w:rPr>
            </w:pPr>
            <w:r>
              <w:rPr>
                <w:rFonts w:hint="eastAsia" w:ascii="宋体" w:hAnsi="宋体" w:eastAsia="宋体"/>
              </w:rPr>
              <w:t>资信</w:t>
            </w:r>
            <w:r>
              <w:rPr>
                <w:rFonts w:ascii="宋体" w:hAnsi="宋体" w:eastAsia="宋体"/>
              </w:rPr>
              <w:t>技术评分汇总</w:t>
            </w:r>
          </w:p>
          <w:p>
            <w:pPr>
              <w:pStyle w:val="24"/>
              <w:numPr>
                <w:ilvl w:val="0"/>
                <w:numId w:val="4"/>
              </w:numPr>
              <w:snapToGrid w:val="0"/>
              <w:spacing w:line="320" w:lineRule="exact"/>
              <w:rPr>
                <w:rFonts w:ascii="宋体" w:hAnsi="宋体" w:eastAsia="宋体"/>
              </w:rPr>
            </w:pPr>
            <w:r>
              <w:rPr>
                <w:rFonts w:hint="eastAsia" w:ascii="宋体" w:hAnsi="宋体" w:eastAsia="宋体"/>
              </w:rPr>
              <w:t>资信</w:t>
            </w:r>
            <w:r>
              <w:rPr>
                <w:rFonts w:ascii="宋体" w:hAnsi="宋体" w:eastAsia="宋体"/>
              </w:rPr>
              <w:t>技术结果公布</w:t>
            </w:r>
            <w:r>
              <w:rPr>
                <w:rFonts w:hint="eastAsia" w:ascii="宋体" w:hAnsi="宋体" w:eastAsia="宋体"/>
              </w:rPr>
              <w:t>；代理机构在线公布符合性审查、资信技术评审无效供应商名称及理由；公布经资信技术评审后有效投标供应商的名单，及其资信技术部分得分情况。</w:t>
            </w:r>
          </w:p>
          <w:p>
            <w:pPr>
              <w:pStyle w:val="24"/>
              <w:numPr>
                <w:ilvl w:val="0"/>
                <w:numId w:val="4"/>
              </w:numPr>
              <w:snapToGrid w:val="0"/>
              <w:spacing w:line="320" w:lineRule="exact"/>
              <w:rPr>
                <w:rFonts w:ascii="宋体" w:hAnsi="宋体" w:eastAsia="宋体"/>
              </w:rPr>
            </w:pPr>
            <w:r>
              <w:rPr>
                <w:rFonts w:ascii="宋体" w:hAnsi="宋体" w:eastAsia="宋体"/>
              </w:rPr>
              <w:t>开启</w:t>
            </w:r>
            <w:r>
              <w:rPr>
                <w:rFonts w:hint="eastAsia" w:ascii="宋体" w:hAnsi="宋体" w:eastAsia="宋体"/>
              </w:rPr>
              <w:t>报价响应文件：采购代理机构成功开启报价响应文件后，方可查看各供应商报价情况。</w:t>
            </w:r>
          </w:p>
          <w:p>
            <w:pPr>
              <w:pStyle w:val="24"/>
              <w:snapToGrid w:val="0"/>
              <w:spacing w:line="320" w:lineRule="exact"/>
              <w:rPr>
                <w:rFonts w:ascii="宋体" w:hAnsi="宋体" w:eastAsia="宋体"/>
              </w:rPr>
            </w:pPr>
            <w:r>
              <w:rPr>
                <w:rFonts w:hint="eastAsia" w:ascii="宋体" w:hAnsi="宋体" w:eastAsia="宋体"/>
              </w:rPr>
              <w:t>代理机构点击“开启签字时段”，供应商对开标纪录进行在线签字确认（不予确认的应说明理由，否则视为无异议）。</w:t>
            </w:r>
          </w:p>
          <w:p>
            <w:pPr>
              <w:pStyle w:val="24"/>
              <w:numPr>
                <w:ilvl w:val="0"/>
                <w:numId w:val="4"/>
              </w:numPr>
              <w:snapToGrid w:val="0"/>
              <w:spacing w:line="320" w:lineRule="exact"/>
              <w:rPr>
                <w:rFonts w:ascii="宋体" w:hAnsi="宋体" w:eastAsia="宋体"/>
              </w:rPr>
            </w:pPr>
            <w:r>
              <w:rPr>
                <w:rFonts w:ascii="宋体" w:hAnsi="宋体" w:eastAsia="宋体"/>
              </w:rPr>
              <w:t>报价评审</w:t>
            </w:r>
            <w:r>
              <w:rPr>
                <w:rFonts w:hint="eastAsia" w:ascii="宋体" w:hAnsi="宋体" w:eastAsia="宋体"/>
              </w:rPr>
              <w:t>：由评标委员会对报价的合理性、准确性等进行审查核实。</w:t>
            </w:r>
          </w:p>
          <w:p>
            <w:pPr>
              <w:pStyle w:val="24"/>
              <w:numPr>
                <w:ilvl w:val="0"/>
                <w:numId w:val="4"/>
              </w:numPr>
              <w:snapToGrid w:val="0"/>
              <w:spacing w:line="320" w:lineRule="exact"/>
              <w:rPr>
                <w:rFonts w:ascii="宋体" w:hAnsi="宋体" w:eastAsia="宋体"/>
              </w:rPr>
            </w:pPr>
            <w:r>
              <w:rPr>
                <w:rFonts w:ascii="宋体" w:hAnsi="宋体" w:eastAsia="宋体"/>
              </w:rPr>
              <w:t>得分汇总</w:t>
            </w:r>
          </w:p>
          <w:p>
            <w:pPr>
              <w:pStyle w:val="24"/>
              <w:numPr>
                <w:ilvl w:val="0"/>
                <w:numId w:val="4"/>
              </w:numPr>
              <w:snapToGrid w:val="0"/>
              <w:spacing w:line="320" w:lineRule="exact"/>
              <w:rPr>
                <w:rFonts w:ascii="宋体" w:hAnsi="宋体" w:eastAsia="宋体" w:cs="宋体"/>
              </w:rPr>
            </w:pPr>
            <w:r>
              <w:rPr>
                <w:rFonts w:ascii="宋体" w:hAnsi="宋体" w:eastAsia="宋体"/>
              </w:rPr>
              <w:t>结果公布</w:t>
            </w:r>
            <w:r>
              <w:rPr>
                <w:rFonts w:hint="eastAsia" w:ascii="宋体" w:hAnsi="宋体" w:eastAsia="宋体"/>
              </w:rPr>
              <w:t>：供应商可通过在线平台查看评审结果。</w:t>
            </w:r>
          </w:p>
          <w:p>
            <w:pPr>
              <w:pStyle w:val="24"/>
              <w:snapToGrid w:val="0"/>
              <w:spacing w:line="320" w:lineRule="exact"/>
              <w:rPr>
                <w:rFonts w:ascii="宋体" w:hAnsi="宋体"/>
                <w:snapToGrid w:val="0"/>
                <w:kern w:val="0"/>
              </w:rPr>
            </w:pPr>
            <w:r>
              <w:rPr>
                <w:rFonts w:hint="eastAsia" w:ascii="宋体" w:hAnsi="宋体" w:eastAsia="宋体"/>
              </w:rPr>
              <w:t>注：除邮件交互外，如政采云平台提供信息发布、澄清说明、数据交换等操作方式的，或者</w:t>
            </w:r>
            <w:r>
              <w:rPr>
                <w:rFonts w:hint="eastAsia" w:ascii="Calibri" w:hAnsi="Calibri" w:eastAsia="Calibri"/>
                <w:szCs w:val="24"/>
              </w:rPr>
              <w:t>政采云系统平台有新的操作流程的，按其规定</w:t>
            </w:r>
            <w:r>
              <w:rPr>
                <w:rFonts w:hint="eastAsia" w:ascii="宋体" w:hAnsi="宋体" w:eastAsia="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22</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投标有效期</w:t>
            </w:r>
          </w:p>
        </w:tc>
        <w:tc>
          <w:tcPr>
            <w:tcW w:w="6383" w:type="dxa"/>
            <w:vAlign w:val="center"/>
          </w:tcPr>
          <w:p>
            <w:pPr>
              <w:snapToGrid w:val="0"/>
              <w:spacing w:line="320" w:lineRule="exact"/>
              <w:rPr>
                <w:rFonts w:ascii="宋体" w:hAnsi="宋体" w:cs="宋体"/>
                <w:szCs w:val="21"/>
              </w:rPr>
            </w:pPr>
            <w:r>
              <w:rPr>
                <w:rFonts w:hint="eastAsia" w:ascii="宋体" w:hAnsi="宋体" w:cs="宋体"/>
                <w:szCs w:val="21"/>
              </w:rPr>
              <w:t>投标截止日后</w:t>
            </w:r>
            <w:r>
              <w:rPr>
                <w:rFonts w:hint="eastAsia" w:ascii="宋体" w:hAnsi="宋体" w:cs="宋体"/>
                <w:b/>
                <w:bCs/>
                <w:szCs w:val="21"/>
              </w:rPr>
              <w:t>90天</w:t>
            </w:r>
            <w:r>
              <w:rPr>
                <w:rFonts w:hint="eastAsia" w:ascii="宋体" w:hAnsi="宋体" w:cs="宋体"/>
                <w:szCs w:val="21"/>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23</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履约保证金</w:t>
            </w:r>
          </w:p>
        </w:tc>
        <w:tc>
          <w:tcPr>
            <w:tcW w:w="6383" w:type="dxa"/>
            <w:vAlign w:val="center"/>
          </w:tcPr>
          <w:p>
            <w:pPr>
              <w:pStyle w:val="24"/>
              <w:snapToGrid w:val="0"/>
              <w:spacing w:line="320" w:lineRule="exact"/>
              <w:rPr>
                <w:rFonts w:ascii="宋体" w:hAnsi="宋体" w:eastAsia="宋体" w:cs="宋体"/>
              </w:rPr>
            </w:pPr>
            <w:r>
              <w:rPr>
                <w:rFonts w:ascii="宋体" w:hAnsi="宋体" w:eastAsia="宋体" w:cs="宋体"/>
              </w:rPr>
              <w:t>中标人应</w:t>
            </w:r>
            <w:r>
              <w:rPr>
                <w:rFonts w:hint="eastAsia" w:ascii="宋体" w:hAnsi="宋体" w:eastAsia="宋体" w:cs="宋体"/>
              </w:rPr>
              <w:t>合同签订后3</w:t>
            </w:r>
            <w:r>
              <w:rPr>
                <w:rFonts w:ascii="宋体" w:hAnsi="宋体" w:eastAsia="宋体" w:cs="宋体"/>
              </w:rPr>
              <w:t xml:space="preserve">日内按合同总金额的 </w:t>
            </w:r>
            <w:r>
              <w:rPr>
                <w:rFonts w:hint="eastAsia" w:ascii="宋体" w:hAnsi="宋体" w:eastAsia="宋体" w:cs="宋体"/>
              </w:rPr>
              <w:t>5</w:t>
            </w:r>
            <w:r>
              <w:rPr>
                <w:rFonts w:ascii="宋体" w:hAnsi="宋体" w:eastAsia="宋体" w:cs="宋体"/>
              </w:rPr>
              <w:t>%提交履约保证金给采购人，服务期满并经采购人确认服务质量后，采购人将全额退还履约保证金（不计息）。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24</w:t>
            </w:r>
          </w:p>
        </w:tc>
        <w:tc>
          <w:tcPr>
            <w:tcW w:w="1800" w:type="dxa"/>
            <w:vAlign w:val="center"/>
          </w:tcPr>
          <w:p>
            <w:pPr>
              <w:adjustRightInd w:val="0"/>
              <w:snapToGrid w:val="0"/>
              <w:spacing w:line="360" w:lineRule="exact"/>
              <w:jc w:val="center"/>
              <w:rPr>
                <w:rFonts w:ascii="宋体" w:hAnsi="宋体"/>
                <w:szCs w:val="21"/>
              </w:rPr>
            </w:pPr>
            <w:r>
              <w:rPr>
                <w:rFonts w:hint="eastAsia" w:ascii="宋体" w:hAnsi="宋体"/>
                <w:snapToGrid w:val="0"/>
                <w:kern w:val="0"/>
                <w:szCs w:val="21"/>
              </w:rPr>
              <w:t>询标澄清</w:t>
            </w:r>
          </w:p>
        </w:tc>
        <w:tc>
          <w:tcPr>
            <w:tcW w:w="6383" w:type="dxa"/>
            <w:vAlign w:val="center"/>
          </w:tcPr>
          <w:p>
            <w:pPr>
              <w:pStyle w:val="24"/>
              <w:adjustRightInd w:val="0"/>
              <w:snapToGrid w:val="0"/>
              <w:spacing w:line="320" w:lineRule="exact"/>
              <w:rPr>
                <w:rFonts w:ascii="宋体" w:hAnsi="宋体" w:eastAsia="宋体"/>
              </w:rPr>
            </w:pPr>
            <w:r>
              <w:rPr>
                <w:rFonts w:hint="eastAsia" w:ascii="宋体" w:hAnsi="宋体" w:eastAsia="宋体"/>
              </w:rPr>
              <w:t>在评标过程中，如评审小组对投标文件有疑问，由评审组长将问题汇总后发起询标澄清函，供应商应在规定截止时间前回复相关内容并经签章（签字）后提交。逾期答复的，投标人</w:t>
            </w:r>
            <w:r>
              <w:rPr>
                <w:rFonts w:hint="eastAsia" w:ascii="宋体" w:hAnsi="宋体" w:eastAsia="宋体" w:cs="宋体"/>
              </w:rPr>
              <w:t>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jc w:val="center"/>
              <w:rPr>
                <w:rFonts w:ascii="宋体" w:hAnsi="宋体" w:cs="宋体"/>
                <w:szCs w:val="21"/>
              </w:rPr>
            </w:pPr>
            <w:r>
              <w:rPr>
                <w:rFonts w:hint="eastAsia" w:ascii="宋体" w:hAnsi="宋体" w:cs="宋体"/>
                <w:szCs w:val="21"/>
              </w:rPr>
              <w:t>25</w:t>
            </w:r>
          </w:p>
        </w:tc>
        <w:tc>
          <w:tcPr>
            <w:tcW w:w="1800" w:type="dxa"/>
            <w:vAlign w:val="center"/>
          </w:tcPr>
          <w:p>
            <w:pPr>
              <w:adjustRightInd w:val="0"/>
              <w:snapToGrid w:val="0"/>
              <w:spacing w:line="360" w:lineRule="exact"/>
              <w:jc w:val="center"/>
              <w:rPr>
                <w:rFonts w:ascii="宋体" w:hAnsi="宋体" w:cs="宋体"/>
                <w:snapToGrid w:val="0"/>
                <w:kern w:val="0"/>
                <w:sz w:val="24"/>
              </w:rPr>
            </w:pPr>
            <w:r>
              <w:rPr>
                <w:rFonts w:hint="eastAsia" w:ascii="宋体" w:hAnsi="宋体" w:cs="宋体"/>
                <w:snapToGrid w:val="0"/>
                <w:kern w:val="0"/>
                <w:szCs w:val="21"/>
              </w:rPr>
              <w:t>公告发布媒体</w:t>
            </w:r>
          </w:p>
        </w:tc>
        <w:tc>
          <w:tcPr>
            <w:tcW w:w="6383" w:type="dxa"/>
            <w:vAlign w:val="center"/>
          </w:tcPr>
          <w:p>
            <w:pPr>
              <w:pStyle w:val="24"/>
              <w:adjustRightInd w:val="0"/>
              <w:snapToGrid w:val="0"/>
              <w:spacing w:line="320" w:lineRule="exact"/>
              <w:rPr>
                <w:rFonts w:ascii="宋体" w:hAnsi="宋体" w:eastAsia="宋体" w:cs="宋体"/>
                <w:sz w:val="24"/>
              </w:rPr>
            </w:pPr>
            <w:r>
              <w:rPr>
                <w:rFonts w:hint="eastAsia" w:ascii="宋体" w:hAnsi="宋体" w:eastAsia="宋体" w:cs="宋体"/>
                <w:kern w:val="0"/>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48" w:type="dxa"/>
            <w:vAlign w:val="center"/>
          </w:tcPr>
          <w:p>
            <w:pPr>
              <w:adjustRightInd w:val="0"/>
              <w:spacing w:line="340" w:lineRule="exact"/>
              <w:jc w:val="center"/>
              <w:rPr>
                <w:rFonts w:ascii="宋体" w:hAnsi="宋体" w:cs="宋体"/>
                <w:snapToGrid w:val="0"/>
                <w:kern w:val="0"/>
                <w:szCs w:val="21"/>
              </w:rPr>
            </w:pPr>
            <w:r>
              <w:rPr>
                <w:rFonts w:hint="eastAsia" w:ascii="宋体" w:hAnsi="宋体" w:cs="宋体"/>
                <w:snapToGrid w:val="0"/>
                <w:kern w:val="0"/>
                <w:szCs w:val="21"/>
              </w:rPr>
              <w:t>26</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质疑</w:t>
            </w:r>
          </w:p>
        </w:tc>
        <w:tc>
          <w:tcPr>
            <w:tcW w:w="6383" w:type="dxa"/>
            <w:vAlign w:val="center"/>
          </w:tcPr>
          <w:p>
            <w:pPr>
              <w:snapToGrid w:val="0"/>
              <w:spacing w:line="320" w:lineRule="exact"/>
              <w:rPr>
                <w:rFonts w:ascii="宋体" w:hAnsi="宋体" w:cs="宋体"/>
                <w:snapToGrid w:val="0"/>
                <w:kern w:val="0"/>
                <w:szCs w:val="21"/>
              </w:rPr>
            </w:pPr>
            <w:r>
              <w:rPr>
                <w:rFonts w:hint="eastAsia" w:ascii="宋体" w:hAnsi="宋体" w:cs="宋体"/>
                <w:snapToGrid w:val="0"/>
                <w:kern w:val="0"/>
                <w:szCs w:val="21"/>
              </w:rPr>
              <w:t>根据《中华人民共和国政府采购法》第五十二条、《中华人民共和国政府采购法实施条例》第五十三条、《政府采购质疑和投诉办法》的规定：</w:t>
            </w:r>
          </w:p>
          <w:p>
            <w:pPr>
              <w:snapToGrid w:val="0"/>
              <w:spacing w:line="320" w:lineRule="exact"/>
              <w:rPr>
                <w:rFonts w:ascii="宋体" w:hAnsi="宋体" w:cs="宋体"/>
                <w:snapToGrid w:val="0"/>
                <w:kern w:val="0"/>
                <w:szCs w:val="21"/>
              </w:rPr>
            </w:pPr>
            <w:r>
              <w:rPr>
                <w:rFonts w:hint="eastAsia" w:ascii="宋体" w:hAnsi="宋体" w:cs="宋体"/>
                <w:snapToGrid w:val="0"/>
                <w:kern w:val="0"/>
                <w:szCs w:val="21"/>
              </w:rPr>
              <w:t>投标人认为采购（招标）文件、采购过程、中标或者成交结果使自己的权益受到损害的，可以在知道或者应知其权益受到损害之日起7个工作日内，以书面形式向采购人、采购代理机构提出质疑。</w:t>
            </w:r>
          </w:p>
          <w:p>
            <w:pPr>
              <w:snapToGrid w:val="0"/>
              <w:spacing w:line="320" w:lineRule="exact"/>
              <w:rPr>
                <w:rFonts w:ascii="宋体" w:hAnsi="宋体" w:cs="宋体"/>
                <w:b/>
                <w:bCs/>
                <w:snapToGrid w:val="0"/>
                <w:kern w:val="0"/>
                <w:szCs w:val="21"/>
              </w:rPr>
            </w:pPr>
            <w:r>
              <w:rPr>
                <w:rFonts w:hint="eastAsia" w:ascii="宋体" w:hAnsi="宋体" w:cs="宋体"/>
                <w:snapToGrid w:val="0"/>
                <w:kern w:val="0"/>
                <w:szCs w:val="21"/>
              </w:rPr>
              <w:t>本项目要求投标人在法定质疑期内一次性提出针对同一采购程序环节的质疑。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jc w:val="center"/>
              <w:rPr>
                <w:rFonts w:ascii="宋体" w:hAnsi="宋体" w:cs="宋体"/>
                <w:szCs w:val="21"/>
              </w:rPr>
            </w:pPr>
            <w:r>
              <w:rPr>
                <w:rFonts w:hint="eastAsia" w:ascii="宋体" w:hAnsi="宋体" w:cs="宋体"/>
                <w:szCs w:val="21"/>
              </w:rPr>
              <w:t>27</w:t>
            </w:r>
          </w:p>
        </w:tc>
        <w:tc>
          <w:tcPr>
            <w:tcW w:w="1800" w:type="dxa"/>
            <w:vAlign w:val="center"/>
          </w:tcPr>
          <w:p>
            <w:pPr>
              <w:snapToGrid w:val="0"/>
              <w:spacing w:line="360" w:lineRule="exact"/>
              <w:jc w:val="center"/>
              <w:rPr>
                <w:rFonts w:ascii="宋体" w:hAnsi="宋体" w:cs="宋体"/>
                <w:szCs w:val="21"/>
              </w:rPr>
            </w:pPr>
            <w:r>
              <w:rPr>
                <w:rFonts w:hint="eastAsia" w:ascii="宋体" w:hAnsi="宋体" w:cs="宋体"/>
                <w:szCs w:val="21"/>
              </w:rPr>
              <w:t>投诉</w:t>
            </w:r>
          </w:p>
        </w:tc>
        <w:tc>
          <w:tcPr>
            <w:tcW w:w="6383" w:type="dxa"/>
            <w:vAlign w:val="center"/>
          </w:tcPr>
          <w:p>
            <w:pPr>
              <w:snapToGrid w:val="0"/>
              <w:spacing w:line="320" w:lineRule="exact"/>
              <w:rPr>
                <w:rFonts w:ascii="宋体" w:hAnsi="宋体" w:cs="宋体"/>
                <w:snapToGrid w:val="0"/>
                <w:kern w:val="0"/>
                <w:szCs w:val="21"/>
              </w:rPr>
            </w:pPr>
            <w:r>
              <w:rPr>
                <w:rFonts w:hint="eastAsia" w:ascii="宋体" w:hAnsi="宋体" w:cs="宋体"/>
                <w:snapToGrid w:val="0"/>
                <w:kern w:val="0"/>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snapToGrid w:val="0"/>
              <w:spacing w:line="320" w:lineRule="exact"/>
              <w:rPr>
                <w:rFonts w:ascii="宋体" w:hAnsi="宋体" w:cs="宋体"/>
                <w:snapToGrid w:val="0"/>
                <w:kern w:val="0"/>
                <w:szCs w:val="21"/>
              </w:rPr>
            </w:pPr>
            <w:r>
              <w:rPr>
                <w:rFonts w:hint="eastAsia" w:ascii="宋体" w:hAnsi="宋体" w:cs="宋体"/>
                <w:snapToGrid w:val="0"/>
                <w:kern w:val="0"/>
                <w:szCs w:val="21"/>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78" w:hRule="atLeast"/>
          <w:jc w:val="center"/>
        </w:trPr>
        <w:tc>
          <w:tcPr>
            <w:tcW w:w="648" w:type="dxa"/>
            <w:vAlign w:val="center"/>
          </w:tcPr>
          <w:p>
            <w:pPr>
              <w:jc w:val="center"/>
              <w:rPr>
                <w:rFonts w:ascii="宋体" w:hAnsi="宋体" w:cs="宋体"/>
                <w:szCs w:val="21"/>
              </w:rPr>
            </w:pPr>
            <w:r>
              <w:rPr>
                <w:rFonts w:hint="eastAsia" w:ascii="宋体" w:hAnsi="宋体" w:cs="宋体"/>
                <w:szCs w:val="21"/>
              </w:rPr>
              <w:t>28</w:t>
            </w:r>
          </w:p>
        </w:tc>
        <w:tc>
          <w:tcPr>
            <w:tcW w:w="1800" w:type="dxa"/>
            <w:vAlign w:val="center"/>
          </w:tcPr>
          <w:p>
            <w:pPr>
              <w:snapToGrid w:val="0"/>
              <w:spacing w:line="360" w:lineRule="exact"/>
              <w:jc w:val="center"/>
              <w:rPr>
                <w:rFonts w:ascii="宋体" w:hAnsi="宋体" w:cs="宋体"/>
                <w:b/>
                <w:szCs w:val="21"/>
              </w:rPr>
            </w:pPr>
            <w:r>
              <w:rPr>
                <w:rFonts w:hint="eastAsia" w:ascii="宋体" w:hAnsi="宋体" w:cs="宋体"/>
                <w:b/>
                <w:szCs w:val="21"/>
              </w:rPr>
              <w:t>特别说明</w:t>
            </w:r>
          </w:p>
        </w:tc>
        <w:tc>
          <w:tcPr>
            <w:tcW w:w="6383" w:type="dxa"/>
            <w:vAlign w:val="center"/>
          </w:tcPr>
          <w:p>
            <w:pPr>
              <w:pStyle w:val="24"/>
              <w:adjustRightInd w:val="0"/>
              <w:snapToGrid w:val="0"/>
              <w:spacing w:line="320" w:lineRule="exact"/>
              <w:rPr>
                <w:rFonts w:ascii="宋体" w:hAnsi="宋体" w:eastAsia="宋体" w:cs="宋体"/>
                <w:snapToGrid w:val="0"/>
                <w:kern w:val="0"/>
              </w:rPr>
            </w:pPr>
            <w:r>
              <w:rPr>
                <w:rFonts w:hint="eastAsia" w:ascii="宋体" w:hAnsi="宋体" w:eastAsia="宋体" w:cs="宋体"/>
                <w:snapToGrid w:val="0"/>
                <w:kern w:val="0"/>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24"/>
              <w:adjustRightInd w:val="0"/>
              <w:snapToGrid w:val="0"/>
              <w:spacing w:line="320" w:lineRule="exact"/>
              <w:rPr>
                <w:rFonts w:ascii="宋体" w:hAnsi="宋体" w:eastAsia="宋体" w:cs="宋体"/>
                <w:snapToGrid w:val="0"/>
                <w:kern w:val="0"/>
              </w:rPr>
            </w:pPr>
            <w:r>
              <w:rPr>
                <w:rFonts w:hint="eastAsia" w:ascii="宋体" w:hAnsi="宋体" w:eastAsia="宋体" w:cs="宋体"/>
                <w:snapToGrid w:val="0"/>
                <w:kern w:val="0"/>
              </w:rPr>
              <w:t>（2）本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24"/>
              <w:adjustRightInd w:val="0"/>
              <w:snapToGrid w:val="0"/>
              <w:spacing w:line="320" w:lineRule="exact"/>
              <w:rPr>
                <w:rFonts w:ascii="宋体" w:hAnsi="宋体" w:eastAsia="宋体" w:cs="宋体"/>
                <w:snapToGrid w:val="0"/>
                <w:kern w:val="0"/>
              </w:rPr>
            </w:pPr>
            <w:r>
              <w:rPr>
                <w:rFonts w:hint="eastAsia" w:ascii="宋体" w:hAnsi="宋体" w:eastAsia="宋体" w:cs="宋体"/>
                <w:snapToGrid w:val="0"/>
                <w:kern w:val="0"/>
              </w:rPr>
              <w:t>（3）质疑、投诉人未按前列序号第26、27条规定进行质疑、投诉（申诉）、举报等，均属于扰乱政府采购市场不良行为。</w:t>
            </w:r>
          </w:p>
          <w:p>
            <w:pPr>
              <w:pStyle w:val="24"/>
              <w:snapToGrid w:val="0"/>
              <w:spacing w:line="320" w:lineRule="exact"/>
              <w:rPr>
                <w:rFonts w:ascii="宋体" w:hAnsi="宋体" w:eastAsia="宋体" w:cs="宋体"/>
                <w:b/>
              </w:rPr>
            </w:pPr>
            <w:r>
              <w:rPr>
                <w:rFonts w:hint="eastAsia" w:ascii="宋体" w:hAnsi="宋体" w:eastAsia="宋体" w:cs="宋体"/>
                <w:b/>
                <w:bCs/>
                <w:snapToGrid w:val="0"/>
                <w:kern w:val="0"/>
              </w:rPr>
              <w:t>（4）采购文件中凡标注“▲”的条款均为实质性要求，不响应的投标文件将作无效标处理。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648" w:type="dxa"/>
            <w:vAlign w:val="center"/>
          </w:tcPr>
          <w:p>
            <w:pPr>
              <w:jc w:val="center"/>
              <w:rPr>
                <w:rFonts w:ascii="宋体" w:hAnsi="宋体" w:cs="宋体"/>
                <w:szCs w:val="21"/>
              </w:rPr>
            </w:pPr>
            <w:r>
              <w:rPr>
                <w:rFonts w:hint="eastAsia" w:ascii="宋体" w:hAnsi="宋体" w:cs="宋体"/>
                <w:szCs w:val="21"/>
              </w:rPr>
              <w:t>29</w:t>
            </w:r>
          </w:p>
        </w:tc>
        <w:tc>
          <w:tcPr>
            <w:tcW w:w="1800" w:type="dxa"/>
            <w:vAlign w:val="center"/>
          </w:tcPr>
          <w:p>
            <w:pPr>
              <w:adjustRightInd w:val="0"/>
              <w:snapToGrid w:val="0"/>
              <w:jc w:val="center"/>
              <w:rPr>
                <w:rFonts w:ascii="宋体" w:hAnsi="宋体" w:cs="宋体"/>
                <w:b/>
                <w:szCs w:val="21"/>
              </w:rPr>
            </w:pPr>
            <w:r>
              <w:rPr>
                <w:rFonts w:hint="eastAsia" w:ascii="宋体" w:hAnsi="宋体" w:cs="宋体"/>
                <w:szCs w:val="21"/>
              </w:rPr>
              <w:t>采购代理服务费</w:t>
            </w:r>
          </w:p>
        </w:tc>
        <w:tc>
          <w:tcPr>
            <w:tcW w:w="6383" w:type="dxa"/>
            <w:vAlign w:val="center"/>
          </w:tcPr>
          <w:p>
            <w:pPr>
              <w:adjustRightInd w:val="0"/>
              <w:snapToGrid w:val="0"/>
              <w:spacing w:line="320" w:lineRule="exact"/>
              <w:rPr>
                <w:rFonts w:ascii="宋体" w:hAnsi="宋体" w:cs="宋体"/>
                <w:snapToGrid w:val="0"/>
                <w:kern w:val="0"/>
                <w:lang w:val="zh-CN"/>
              </w:rPr>
            </w:pPr>
            <w:r>
              <w:rPr>
                <w:rFonts w:hint="eastAsia" w:ascii="宋体" w:hAnsi="宋体" w:cs="宋体"/>
                <w:snapToGrid w:val="0"/>
                <w:kern w:val="0"/>
                <w:lang w:val="zh-CN"/>
              </w:rPr>
              <w:t>本项目的招标代理服务费由中标人支付。本次招标代理费按招标代理服务收费标准（计价格[2002]1980号）80%计取，在发放中标（成交）确认书时由中标（成交）候选人支付,该费用考虑在总报价中，不必单列。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648" w:type="dxa"/>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30</w:t>
            </w:r>
          </w:p>
        </w:tc>
        <w:tc>
          <w:tcPr>
            <w:tcW w:w="1800" w:type="dxa"/>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节能环保要求</w:t>
            </w:r>
          </w:p>
        </w:tc>
        <w:tc>
          <w:tcPr>
            <w:tcW w:w="6383" w:type="dxa"/>
            <w:vAlign w:val="center"/>
          </w:tcPr>
          <w:p>
            <w:pPr>
              <w:adjustRightInd w:val="0"/>
              <w:snapToGrid w:val="0"/>
              <w:spacing w:line="320" w:lineRule="exact"/>
              <w:rPr>
                <w:rFonts w:ascii="宋体" w:hAnsi="宋体" w:cs="宋体"/>
                <w:snapToGrid w:val="0"/>
                <w:kern w:val="0"/>
              </w:rPr>
            </w:pPr>
            <w:r>
              <w:rPr>
                <w:rFonts w:hint="eastAsia" w:ascii="宋体" w:hAnsi="宋体" w:cs="宋体"/>
                <w:snapToGrid w:val="0"/>
                <w:kern w:val="0"/>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napToGrid w:val="0"/>
              <w:spacing w:line="320" w:lineRule="exact"/>
              <w:rPr>
                <w:rFonts w:ascii="宋体" w:hAnsi="宋体" w:cs="宋体"/>
                <w:snapToGrid w:val="0"/>
                <w:kern w:val="0"/>
              </w:rPr>
            </w:pPr>
            <w:r>
              <w:rPr>
                <w:rFonts w:hint="eastAsia" w:ascii="宋体" w:hAnsi="宋体" w:cs="宋体"/>
                <w:snapToGrid w:val="0"/>
                <w:kern w:val="0"/>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restart"/>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31</w:t>
            </w:r>
          </w:p>
        </w:tc>
        <w:tc>
          <w:tcPr>
            <w:tcW w:w="1800" w:type="dxa"/>
            <w:vMerge w:val="restart"/>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支持中小企业</w:t>
            </w:r>
          </w:p>
        </w:tc>
        <w:tc>
          <w:tcPr>
            <w:tcW w:w="6383" w:type="dxa"/>
            <w:vAlign w:val="center"/>
          </w:tcPr>
          <w:p>
            <w:pPr>
              <w:adjustRightInd w:val="0"/>
              <w:snapToGrid w:val="0"/>
              <w:spacing w:line="320" w:lineRule="exact"/>
              <w:rPr>
                <w:rFonts w:ascii="宋体" w:hAnsi="宋体" w:cs="宋体"/>
                <w:snapToGrid w:val="0"/>
                <w:kern w:val="0"/>
                <w:highlight w:val="none"/>
              </w:rPr>
            </w:pPr>
            <w:r>
              <w:rPr>
                <w:rFonts w:hint="eastAsia" w:ascii="宋体" w:hAnsi="宋体" w:cs="宋体"/>
                <w:snapToGrid w:val="0"/>
                <w:kern w:val="0"/>
                <w:highlight w:val="none"/>
              </w:rPr>
              <w:t>价格扣除：</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1、企业类型</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（1）中小企业</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符合中小企业划分标准的个体工商户，在政府采购活动中视同中小企业。</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在服务采购项目中，服务由中小企业承接，即提供服务的人员为中小企业依照《中华人民共和国劳动合同法》订立劳动合同的从业人员。可享受相关中小企业扶持政策。</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以联合体形式参加政府采购活动，联合体各方均为中小企业的，联合体视同中小企业。其中，联合体各方均为小微企业的，联合体视同小微企业。</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投标文件中须同时出具《政府采购促进中小企业发展管理办法》【财库（2020）46号】规定的《中小企业声明函》，否则不得享受价格扣除。</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（2）残疾人福利性单位</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符合《关于促进残疾人就业政府采购政策的通知》（财库〔2017〕141号）规定的条件并提供提供《残疾人福利性单位声明函》的残疾人福利性单位视同小型、微型企业；</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（3）监狱企业</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2.价格扣除有关政策</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6%—10%的扣除，用扣除后的价格参加评审。</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2%-3%的扣除，用扣除后的价格参加评审。</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组成联合体或者接受分包的小微企业与联合体内其他企业、分包企业之间存在直接控股、管理关系的，不享受价格扣除优惠政策。</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二、针对本项目的相关规定</w:t>
            </w:r>
          </w:p>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1.本项目对符合规定的小微企业（含小型企业）报价给予 6% 的扣除。对符合规定的联合体或者大中型企业的报价给予2%的扣除。（不接受联合体投标的，本条不适用）</w:t>
            </w:r>
          </w:p>
          <w:p>
            <w:pPr>
              <w:adjustRightInd w:val="0"/>
              <w:snapToGrid w:val="0"/>
              <w:spacing w:line="360" w:lineRule="auto"/>
              <w:rPr>
                <w:rFonts w:ascii="宋体" w:hAnsi="宋体" w:cs="宋体"/>
                <w:snapToGrid w:val="0"/>
                <w:kern w:val="0"/>
                <w:highlight w:val="none"/>
              </w:rPr>
            </w:pPr>
            <w:r>
              <w:rPr>
                <w:rFonts w:hint="eastAsia" w:ascii="宋体" w:hAnsi="宋体" w:cs="宋体"/>
                <w:snapToGrid w:val="0"/>
                <w:color w:val="auto"/>
                <w:kern w:val="0"/>
                <w:highlight w:val="none"/>
              </w:rPr>
              <w:t>2.本项目对应的中小企业计划分标准所属行业为：</w:t>
            </w:r>
            <w:r>
              <w:rPr>
                <w:rFonts w:hint="eastAsia" w:ascii="宋体" w:hAnsi="宋体" w:cs="宋体"/>
                <w:snapToGrid w:val="0"/>
                <w:color w:val="auto"/>
                <w:kern w:val="0"/>
                <w:highlight w:val="none"/>
                <w:u w:val="single"/>
              </w:rPr>
              <w:t>建筑业</w:t>
            </w:r>
            <w:r>
              <w:rPr>
                <w:rFonts w:ascii="宋体" w:hAnsi="宋体" w:cs="宋体"/>
                <w:snapToGrid w:val="0"/>
                <w:color w:val="auto"/>
                <w:kern w:val="0"/>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vAlign w:val="center"/>
          </w:tcPr>
          <w:p>
            <w:pPr>
              <w:adjustRightInd w:val="0"/>
              <w:snapToGrid w:val="0"/>
              <w:jc w:val="center"/>
              <w:rPr>
                <w:rFonts w:ascii="宋体" w:hAnsi="宋体" w:cs="宋体"/>
                <w:snapToGrid w:val="0"/>
                <w:kern w:val="0"/>
              </w:rPr>
            </w:pPr>
          </w:p>
        </w:tc>
        <w:tc>
          <w:tcPr>
            <w:tcW w:w="1800" w:type="dxa"/>
            <w:vMerge w:val="continue"/>
            <w:vAlign w:val="center"/>
          </w:tcPr>
          <w:p>
            <w:pPr>
              <w:adjustRightInd w:val="0"/>
              <w:snapToGrid w:val="0"/>
              <w:jc w:val="center"/>
              <w:rPr>
                <w:rFonts w:ascii="宋体" w:hAnsi="宋体" w:cs="宋体"/>
                <w:snapToGrid w:val="0"/>
                <w:kern w:val="0"/>
              </w:rPr>
            </w:pPr>
          </w:p>
        </w:tc>
        <w:tc>
          <w:tcPr>
            <w:tcW w:w="6383" w:type="dxa"/>
            <w:vAlign w:val="center"/>
          </w:tcPr>
          <w:p>
            <w:pPr>
              <w:adjustRightInd w:val="0"/>
              <w:snapToGrid w:val="0"/>
              <w:spacing w:line="320" w:lineRule="exact"/>
              <w:rPr>
                <w:rFonts w:ascii="宋体" w:hAnsi="宋体" w:cs="宋体"/>
                <w:b/>
                <w:snapToGrid w:val="0"/>
                <w:kern w:val="0"/>
              </w:rPr>
            </w:pPr>
            <w:r>
              <w:rPr>
                <w:rFonts w:hint="eastAsia" w:ascii="宋体" w:hAnsi="宋体" w:cs="宋体"/>
                <w:b/>
                <w:snapToGrid w:val="0"/>
                <w:kern w:val="0"/>
              </w:rPr>
              <w:t>企业信用融资：</w:t>
            </w:r>
          </w:p>
          <w:p>
            <w:pPr>
              <w:adjustRightInd w:val="0"/>
              <w:snapToGrid w:val="0"/>
              <w:spacing w:line="320" w:lineRule="exact"/>
              <w:rPr>
                <w:rFonts w:ascii="宋体" w:hAnsi="宋体" w:cs="宋体"/>
                <w:snapToGrid w:val="0"/>
                <w:kern w:val="0"/>
              </w:rPr>
            </w:pPr>
            <w:r>
              <w:rPr>
                <w:rFonts w:hint="eastAsia" w:ascii="宋体" w:hAnsi="宋体" w:cs="宋体"/>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宋体" w:hAnsi="宋体" w:cs="宋体"/>
                <w:bCs/>
                <w:snapToGrid w:val="0"/>
                <w:kern w:val="0"/>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restart"/>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32</w:t>
            </w:r>
          </w:p>
        </w:tc>
        <w:tc>
          <w:tcPr>
            <w:tcW w:w="1800" w:type="dxa"/>
            <w:vMerge w:val="restart"/>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投标人信用信息事项</w:t>
            </w:r>
          </w:p>
        </w:tc>
        <w:tc>
          <w:tcPr>
            <w:tcW w:w="6383" w:type="dxa"/>
            <w:vAlign w:val="center"/>
          </w:tcPr>
          <w:p>
            <w:pPr>
              <w:adjustRightInd w:val="0"/>
              <w:snapToGrid w:val="0"/>
              <w:spacing w:line="320" w:lineRule="exact"/>
              <w:rPr>
                <w:rFonts w:ascii="宋体" w:hAnsi="宋体" w:cs="宋体"/>
                <w:snapToGrid w:val="0"/>
                <w:kern w:val="0"/>
              </w:rPr>
            </w:pPr>
            <w:r>
              <w:rPr>
                <w:rFonts w:hint="eastAsia" w:ascii="宋体" w:hAnsi="宋体" w:cs="宋体"/>
                <w:snapToGrid w:val="0"/>
                <w:kern w:val="0"/>
              </w:rPr>
              <w:t>信用信息查询渠道及截止时间：项目评审组织人员将通过“信用中国”网站(www.creditchina.gov.cn)、中国政府采购网(www.ccgp.gov.cn)渠道查询投标人投标截止时间前的信用记录。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vAlign w:val="center"/>
          </w:tcPr>
          <w:p>
            <w:pPr>
              <w:jc w:val="center"/>
              <w:rPr>
                <w:rFonts w:ascii="宋体" w:hAnsi="宋体" w:cs="宋体"/>
                <w:szCs w:val="21"/>
              </w:rPr>
            </w:pPr>
          </w:p>
        </w:tc>
        <w:tc>
          <w:tcPr>
            <w:tcW w:w="1800" w:type="dxa"/>
            <w:vMerge w:val="continue"/>
            <w:vAlign w:val="center"/>
          </w:tcPr>
          <w:p>
            <w:pPr>
              <w:snapToGrid w:val="0"/>
              <w:spacing w:line="360" w:lineRule="auto"/>
              <w:rPr>
                <w:rFonts w:ascii="宋体" w:hAnsi="宋体" w:cs="宋体"/>
                <w:b/>
                <w:sz w:val="24"/>
              </w:rPr>
            </w:pPr>
          </w:p>
        </w:tc>
        <w:tc>
          <w:tcPr>
            <w:tcW w:w="6383" w:type="dxa"/>
            <w:vAlign w:val="center"/>
          </w:tcPr>
          <w:p>
            <w:pPr>
              <w:adjustRightInd w:val="0"/>
              <w:snapToGrid w:val="0"/>
              <w:spacing w:line="320" w:lineRule="exact"/>
              <w:rPr>
                <w:rFonts w:ascii="宋体" w:hAnsi="宋体" w:cs="宋体"/>
                <w:snapToGrid w:val="0"/>
                <w:kern w:val="0"/>
              </w:rPr>
            </w:pPr>
            <w:r>
              <w:rPr>
                <w:rFonts w:hint="eastAsia" w:ascii="宋体" w:hAnsi="宋体" w:cs="宋体"/>
                <w:snapToGrid w:val="0"/>
                <w:kern w:val="0"/>
              </w:rPr>
              <w:t>信用信息查询记录和证据留存的具体方式：采购代理机构开标当天查询投标人的信用记录，查询结果经确认后与采购文件一起存档。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4" w:hRule="atLeast"/>
          <w:jc w:val="center"/>
        </w:trPr>
        <w:tc>
          <w:tcPr>
            <w:tcW w:w="648" w:type="dxa"/>
            <w:vMerge w:val="continue"/>
            <w:vAlign w:val="center"/>
          </w:tcPr>
          <w:p>
            <w:pPr>
              <w:jc w:val="center"/>
              <w:rPr>
                <w:rFonts w:ascii="宋体" w:hAnsi="宋体" w:cs="宋体"/>
                <w:szCs w:val="21"/>
              </w:rPr>
            </w:pPr>
          </w:p>
        </w:tc>
        <w:tc>
          <w:tcPr>
            <w:tcW w:w="1800" w:type="dxa"/>
            <w:vMerge w:val="continue"/>
            <w:vAlign w:val="center"/>
          </w:tcPr>
          <w:p>
            <w:pPr>
              <w:snapToGrid w:val="0"/>
              <w:spacing w:line="360" w:lineRule="auto"/>
              <w:rPr>
                <w:rFonts w:ascii="宋体" w:hAnsi="宋体" w:cs="宋体"/>
                <w:b/>
                <w:sz w:val="24"/>
              </w:rPr>
            </w:pPr>
          </w:p>
        </w:tc>
        <w:tc>
          <w:tcPr>
            <w:tcW w:w="6383" w:type="dxa"/>
            <w:vAlign w:val="center"/>
          </w:tcPr>
          <w:p>
            <w:pPr>
              <w:adjustRightInd w:val="0"/>
              <w:snapToGrid w:val="0"/>
              <w:spacing w:line="320" w:lineRule="exact"/>
              <w:rPr>
                <w:rFonts w:ascii="宋体" w:hAnsi="宋体" w:cs="宋体"/>
                <w:snapToGrid w:val="0"/>
                <w:kern w:val="0"/>
              </w:rPr>
            </w:pPr>
            <w:r>
              <w:rPr>
                <w:rFonts w:hint="eastAsia" w:ascii="宋体" w:hAnsi="宋体" w:cs="宋体"/>
                <w:snapToGrid w:val="0"/>
                <w:kern w:val="0"/>
              </w:rPr>
              <w:t>信用信息的使用规则：经查询列入失信被执行人名单、重大税收违法案件当事人名单、政府采购严重违法失信行为记录名单的投标人的投标文件将被拒绝。</w:t>
            </w:r>
          </w:p>
        </w:tc>
      </w:tr>
    </w:tbl>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注：以上内容如有变化将另行书面通知。如通知其中某一内容发生变化，其余未提及的将不作变动。</w:t>
      </w:r>
      <w:bookmarkStart w:id="5" w:name="_Toc240450076"/>
      <w:bookmarkStart w:id="6" w:name="_Toc251566649"/>
    </w:p>
    <w:p>
      <w:pPr>
        <w:adjustRightInd w:val="0"/>
        <w:snapToGrid w:val="0"/>
        <w:spacing w:beforeLines="50" w:afterLines="50" w:line="360" w:lineRule="auto"/>
        <w:jc w:val="center"/>
        <w:outlineLvl w:val="0"/>
        <w:rPr>
          <w:rFonts w:ascii="宋体" w:hAnsi="宋体" w:cs="宋体"/>
          <w:szCs w:val="21"/>
        </w:rPr>
      </w:pPr>
      <w:r>
        <w:rPr>
          <w:rFonts w:hint="eastAsia" w:ascii="宋体" w:hAnsi="宋体" w:cs="宋体"/>
          <w:szCs w:val="21"/>
        </w:rPr>
        <w:br w:type="page"/>
      </w:r>
      <w:bookmarkStart w:id="7" w:name="_Toc19850"/>
      <w:bookmarkStart w:id="8" w:name="_Toc2187"/>
      <w:r>
        <w:rPr>
          <w:rFonts w:hint="eastAsia" w:ascii="宋体" w:hAnsi="宋体" w:cs="宋体"/>
          <w:b/>
          <w:sz w:val="30"/>
          <w:szCs w:val="30"/>
        </w:rPr>
        <w:t>第二部分  投标须知</w:t>
      </w:r>
      <w:bookmarkEnd w:id="5"/>
      <w:bookmarkEnd w:id="6"/>
      <w:bookmarkEnd w:id="7"/>
      <w:bookmarkEnd w:id="8"/>
    </w:p>
    <w:p>
      <w:pPr>
        <w:pStyle w:val="4"/>
        <w:snapToGrid w:val="0"/>
        <w:spacing w:beforeLines="50" w:afterLines="50" w:line="360" w:lineRule="auto"/>
        <w:rPr>
          <w:rFonts w:ascii="宋体" w:hAnsi="宋体" w:eastAsia="宋体" w:cs="宋体"/>
          <w:sz w:val="21"/>
          <w:szCs w:val="21"/>
        </w:rPr>
      </w:pPr>
      <w:bookmarkStart w:id="9" w:name="_Toc240450077"/>
      <w:bookmarkStart w:id="10" w:name="_Toc85"/>
      <w:bookmarkStart w:id="11" w:name="_Toc12000"/>
      <w:bookmarkStart w:id="12" w:name="_Toc251566650"/>
      <w:r>
        <w:rPr>
          <w:rFonts w:hint="eastAsia" w:ascii="宋体" w:hAnsi="宋体" w:eastAsia="宋体" w:cs="宋体"/>
          <w:sz w:val="21"/>
          <w:szCs w:val="21"/>
        </w:rPr>
        <w:t>一、总则</w:t>
      </w:r>
      <w:bookmarkEnd w:id="9"/>
      <w:bookmarkEnd w:id="10"/>
      <w:bookmarkEnd w:id="11"/>
      <w:bookmarkEnd w:id="12"/>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本次招标工作是按照《中华人民共和国政府采购法》、《中华人民共和国政府采购法实施条例》、《政府采购货物和服务招标投标管理办法》等相关法律法规组织和实施，并接受杭州市政府采购监管处监督。</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1．适用范围</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 本采购文件仅适用于本次招标项目。</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 本项目采购方式为公开招标。</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 投标须知为招标文件的通用条款，如通用条款与前附表、用户需求、合同条款等特定条款不一致的，请按特定条款执行。</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2．定义</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2.1“采购人”系指杭州市滨江区城市管理局（合同中的甲方）。</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2.2“采购代理机构”系指浙江兴业建设项目管理有限公司</w:t>
      </w:r>
      <w:r>
        <w:rPr>
          <w:rFonts w:hint="eastAsia" w:ascii="宋体" w:hAnsi="宋体" w:cs="宋体"/>
          <w:szCs w:val="21"/>
        </w:rPr>
        <w:t>（合同中的鉴证方）</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2.3“监督管理部门”系指杭州市滨江区财政局。</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2.4“投标人”系指响应本次招标，参加本次投标的独立法人</w:t>
      </w:r>
      <w:r>
        <w:rPr>
          <w:rFonts w:hint="eastAsia" w:ascii="宋体" w:hAnsi="宋体" w:cs="宋体"/>
          <w:szCs w:val="21"/>
        </w:rPr>
        <w:t>（合同中的乙方）</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2.5“服务”系指采购文件或合同规定投标人须承担的供货服务以及其他类似的义务。</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2.6“实质性条款”系指采购文件条款前标注“▲”标识的条款。</w:t>
      </w:r>
    </w:p>
    <w:p>
      <w:pPr>
        <w:adjustRightInd w:val="0"/>
        <w:snapToGrid w:val="0"/>
        <w:spacing w:line="360" w:lineRule="auto"/>
        <w:ind w:firstLine="420" w:firstLineChars="200"/>
      </w:pPr>
      <w:r>
        <w:rPr>
          <w:rFonts w:hint="eastAsia" w:ascii="宋体" w:hAnsi="宋体" w:cs="宋体"/>
          <w:snapToGrid w:val="0"/>
          <w:kern w:val="0"/>
          <w:szCs w:val="21"/>
        </w:rPr>
        <w:t>2.7</w:t>
      </w:r>
      <w:r>
        <w:rPr>
          <w:rFonts w:hint="eastAsia" w:ascii="宋体" w:hAnsi="宋体"/>
          <w:snapToGrid w:val="0"/>
          <w:kern w:val="0"/>
          <w:szCs w:val="21"/>
        </w:rPr>
        <w:t>官方指定网站公示的内容视为书面告知。</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3．合格的投标人及合格的投标货物和服务</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3.1合格的投标人，详见采购公告第五条规定的投标人必须具备的资格条件并经采购人或采购代理机构审查通过的。</w:t>
      </w:r>
    </w:p>
    <w:p>
      <w:pPr>
        <w:adjustRightInd w:val="0"/>
        <w:snapToGrid w:val="0"/>
        <w:spacing w:line="360" w:lineRule="auto"/>
        <w:ind w:firstLine="422" w:firstLineChars="200"/>
        <w:rPr>
          <w:rFonts w:ascii="宋体" w:hAnsi="宋体" w:cs="宋体"/>
          <w:b/>
          <w:bCs/>
          <w:snapToGrid w:val="0"/>
          <w:kern w:val="0"/>
        </w:rPr>
      </w:pPr>
      <w:r>
        <w:rPr>
          <w:rFonts w:hint="eastAsia" w:ascii="宋体" w:hAnsi="宋体" w:cs="宋体"/>
          <w:b/>
          <w:bCs/>
          <w:snapToGrid w:val="0"/>
          <w:kern w:val="0"/>
        </w:rPr>
        <w:t>3.2对投标人的限制</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3.2.2为本项目提供过整体设计、规范编制或者项目管理、监理、检测等服务的供应商，不得再参加该采购项目的其他采购活动（不包括为该项目提供整体设计、规范编制或者项目管理、监理、检测等服务）；</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3.2.3以联合体形式参加政府采购活动的，联合体各方不得再单独参加或者与其他投标人另外组成联合体参加同一合同项下的政府采购活动；（本项目不适用）</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3.2.4为证明投标人拥有的业绩、荣誉、知识产权、项目案例等而在投标文件中提供的证明材料必须为投标人自身所有。不同法人、其他组织的资料与投标人无关。</w:t>
      </w:r>
    </w:p>
    <w:p>
      <w:pPr>
        <w:adjustRightInd w:val="0"/>
        <w:snapToGrid w:val="0"/>
        <w:spacing w:line="360" w:lineRule="auto"/>
        <w:ind w:firstLine="420" w:firstLineChars="200"/>
        <w:rPr>
          <w:rFonts w:ascii="宋体" w:hAnsi="宋体" w:cs="宋体"/>
          <w:snapToGrid w:val="0"/>
          <w:kern w:val="0"/>
        </w:rPr>
      </w:pPr>
      <w:r>
        <w:rPr>
          <w:rFonts w:ascii="宋体" w:hAnsi="宋体" w:cs="宋体"/>
          <w:snapToGrid w:val="0"/>
          <w:kern w:val="0"/>
        </w:rPr>
        <w:t>3.2.5在政府采购活动中，采购人员及相关人员与供应商有下列利害关系之一的，应当回避：</w:t>
      </w:r>
    </w:p>
    <w:p>
      <w:pPr>
        <w:adjustRightInd w:val="0"/>
        <w:snapToGrid w:val="0"/>
        <w:spacing w:line="360" w:lineRule="auto"/>
        <w:ind w:firstLine="420" w:firstLineChars="200"/>
        <w:rPr>
          <w:rFonts w:ascii="宋体" w:hAnsi="宋体" w:cs="宋体"/>
          <w:snapToGrid w:val="0"/>
          <w:kern w:val="0"/>
        </w:rPr>
      </w:pPr>
      <w:r>
        <w:rPr>
          <w:rFonts w:ascii="宋体" w:hAnsi="宋体" w:cs="宋体"/>
          <w:snapToGrid w:val="0"/>
          <w:kern w:val="0"/>
        </w:rPr>
        <w:t>（一）参加采购活动前3年内与供应商存在劳动关系；</w:t>
      </w:r>
    </w:p>
    <w:p>
      <w:pPr>
        <w:adjustRightInd w:val="0"/>
        <w:snapToGrid w:val="0"/>
        <w:spacing w:line="360" w:lineRule="auto"/>
        <w:ind w:firstLine="420" w:firstLineChars="200"/>
        <w:rPr>
          <w:rFonts w:ascii="宋体" w:hAnsi="宋体" w:cs="宋体"/>
          <w:snapToGrid w:val="0"/>
          <w:kern w:val="0"/>
        </w:rPr>
      </w:pPr>
      <w:r>
        <w:rPr>
          <w:rFonts w:ascii="宋体" w:hAnsi="宋体" w:cs="宋体"/>
          <w:snapToGrid w:val="0"/>
          <w:kern w:val="0"/>
        </w:rPr>
        <w:t>（二）参加采购活动前3年内担任供应商的董事、监事；</w:t>
      </w:r>
    </w:p>
    <w:p>
      <w:pPr>
        <w:adjustRightInd w:val="0"/>
        <w:snapToGrid w:val="0"/>
        <w:spacing w:line="360" w:lineRule="auto"/>
        <w:ind w:firstLine="420" w:firstLineChars="200"/>
        <w:rPr>
          <w:rFonts w:ascii="宋体" w:hAnsi="宋体" w:cs="宋体"/>
          <w:snapToGrid w:val="0"/>
          <w:kern w:val="0"/>
        </w:rPr>
      </w:pPr>
      <w:r>
        <w:rPr>
          <w:rFonts w:ascii="宋体" w:hAnsi="宋体" w:cs="宋体"/>
          <w:snapToGrid w:val="0"/>
          <w:kern w:val="0"/>
        </w:rPr>
        <w:t>（三）参加采购活动前3年内是供应商的控股股东或者实际控制人；</w:t>
      </w:r>
    </w:p>
    <w:p>
      <w:pPr>
        <w:adjustRightInd w:val="0"/>
        <w:snapToGrid w:val="0"/>
        <w:spacing w:line="360" w:lineRule="auto"/>
        <w:ind w:firstLine="420" w:firstLineChars="200"/>
        <w:rPr>
          <w:rFonts w:ascii="宋体" w:hAnsi="宋体" w:cs="宋体"/>
          <w:snapToGrid w:val="0"/>
          <w:kern w:val="0"/>
        </w:rPr>
      </w:pPr>
      <w:r>
        <w:rPr>
          <w:rFonts w:ascii="宋体" w:hAnsi="宋体" w:cs="宋体"/>
          <w:snapToGrid w:val="0"/>
          <w:kern w:val="0"/>
        </w:rPr>
        <w:t>（四）与供应商的法定代表人或者负责人有夫妻、直系血亲、三代以内旁系血亲或者近姻亲关系；</w:t>
      </w:r>
    </w:p>
    <w:p>
      <w:pPr>
        <w:adjustRightInd w:val="0"/>
        <w:snapToGrid w:val="0"/>
        <w:spacing w:line="360" w:lineRule="auto"/>
        <w:ind w:firstLine="420" w:firstLineChars="200"/>
        <w:rPr>
          <w:rFonts w:ascii="宋体" w:hAnsi="宋体" w:cs="宋体"/>
          <w:snapToGrid w:val="0"/>
          <w:kern w:val="0"/>
        </w:rPr>
      </w:pPr>
      <w:r>
        <w:rPr>
          <w:rFonts w:ascii="宋体" w:hAnsi="宋体" w:cs="宋体"/>
          <w:snapToGrid w:val="0"/>
          <w:kern w:val="0"/>
        </w:rPr>
        <w:t>（五）与供应商有其他可能影响政府采购活动公平、公正进行的关系。</w:t>
      </w:r>
    </w:p>
    <w:p>
      <w:pPr>
        <w:adjustRightInd w:val="0"/>
        <w:snapToGrid w:val="0"/>
        <w:spacing w:line="360" w:lineRule="auto"/>
        <w:ind w:firstLine="420" w:firstLineChars="200"/>
        <w:rPr>
          <w:rFonts w:ascii="宋体" w:hAnsi="宋体" w:cs="宋体"/>
          <w:snapToGrid w:val="0"/>
          <w:kern w:val="0"/>
        </w:rPr>
      </w:pPr>
      <w:r>
        <w:rPr>
          <w:rFonts w:ascii="宋体" w:hAnsi="宋体" w:cs="宋体"/>
          <w:snapToGrid w:val="0"/>
          <w:kern w:val="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4．相关说明</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4.1 投标费用</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投标人应承担其参加投标所涉及的一切费用，不管投标结果如何，采购人对这些费用不负任何责任。</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4.3投标人投标所使用的资格、信誉、荣誉、业绩与企业认证必须为本法人所拥有。投标人投标拟派项目实施人员必须为本法人员工。</w:t>
      </w:r>
    </w:p>
    <w:p>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4.4投标人应仔细阅读采购文件的所有内容，按照采购文件的要求提交投标文件，并对所提供的全部资料的真实性承担法律责任。</w:t>
      </w:r>
    </w:p>
    <w:p>
      <w:pPr>
        <w:adjustRightInd w:val="0"/>
        <w:snapToGrid w:val="0"/>
        <w:spacing w:line="360" w:lineRule="auto"/>
        <w:ind w:firstLine="422" w:firstLineChars="200"/>
        <w:rPr>
          <w:rFonts w:ascii="宋体" w:hAnsi="宋体" w:cs="宋体"/>
          <w:snapToGrid w:val="0"/>
          <w:kern w:val="0"/>
          <w:szCs w:val="21"/>
        </w:rPr>
      </w:pPr>
      <w:r>
        <w:rPr>
          <w:rFonts w:hint="eastAsia" w:ascii="宋体" w:hAnsi="宋体" w:cs="宋体"/>
          <w:b/>
          <w:bCs/>
          <w:snapToGrid w:val="0"/>
          <w:kern w:val="0"/>
          <w:szCs w:val="21"/>
        </w:rPr>
        <w:t>4.5投标人在投标活动中提供任何虚假材料,其投标无效，并报监管部门查处；中标后发现的,按《政府采购货物和服务招标投标管理办法》（财政部令第87号）相关规定承担相应的法律责任。</w:t>
      </w:r>
    </w:p>
    <w:p>
      <w:pPr>
        <w:pStyle w:val="4"/>
        <w:snapToGrid w:val="0"/>
        <w:spacing w:beforeLines="50" w:afterLines="50" w:line="360" w:lineRule="auto"/>
        <w:rPr>
          <w:rFonts w:ascii="宋体" w:hAnsi="宋体" w:eastAsia="宋体" w:cs="宋体"/>
          <w:sz w:val="21"/>
          <w:szCs w:val="21"/>
        </w:rPr>
      </w:pPr>
      <w:bookmarkStart w:id="13" w:name="_Toc240450078"/>
      <w:bookmarkStart w:id="14" w:name="_Toc251566651"/>
      <w:bookmarkStart w:id="15" w:name="_Toc12319"/>
      <w:bookmarkStart w:id="16" w:name="_Toc27862"/>
      <w:r>
        <w:rPr>
          <w:rFonts w:hint="eastAsia" w:ascii="宋体" w:hAnsi="宋体" w:eastAsia="宋体" w:cs="宋体"/>
          <w:sz w:val="21"/>
          <w:szCs w:val="21"/>
        </w:rPr>
        <w:t>二、</w:t>
      </w:r>
      <w:bookmarkEnd w:id="13"/>
      <w:bookmarkEnd w:id="14"/>
      <w:r>
        <w:rPr>
          <w:rFonts w:hint="eastAsia" w:ascii="宋体" w:hAnsi="宋体" w:eastAsia="宋体" w:cs="宋体"/>
          <w:sz w:val="21"/>
          <w:szCs w:val="21"/>
        </w:rPr>
        <w:t>采购文件</w:t>
      </w:r>
      <w:bookmarkEnd w:id="15"/>
      <w:bookmarkEnd w:id="16"/>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5．采购文件构成</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5.1 本采购文件包括目录所示内容及所有按本须知第6、7条发出的补充资料。</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5.3 采购文件是招标过程进行的有效依据，也是成交后签订合同的依据，对双方均具有约束力，凡不遵守采购文件规定或对采购文件的实质性内容不响应的，将可能被拒绝或以无效标处理。</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5.4 本采购文件由采购人或采购代理机构依据相关法律、法规、规章、省市规定及采购文件进行解释。</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6．采购文件的澄清</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6.1 投标人在获取采购文件后，若有问题需要澄清或认为有必要与采购人进行技术交流，应于前附表规定的时间前，将问题传真至</w:t>
      </w:r>
      <w:r>
        <w:rPr>
          <w:rFonts w:hint="eastAsia" w:ascii="宋体" w:hAnsi="宋体" w:cs="宋体"/>
          <w:snapToGrid w:val="0"/>
          <w:kern w:val="0"/>
          <w:szCs w:val="21"/>
          <w:u w:val="single"/>
        </w:rPr>
        <w:t>0571-82217656</w:t>
      </w:r>
      <w:r>
        <w:rPr>
          <w:rFonts w:hint="eastAsia" w:ascii="宋体" w:hAnsi="宋体" w:cs="宋体"/>
          <w:snapToGrid w:val="0"/>
          <w:kern w:val="0"/>
          <w:szCs w:val="21"/>
        </w:rPr>
        <w:t>，同时将问题发电子邮件至171275987@qq.com（电子邮件与书面文件有不一致的，以书面文件为准）。截止期后的疑问将不予受理、答复。</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6.2 投标人要求解释或澄清的问题应以书面形式送达，并加盖公章、写明日期。</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6.3 所有要求解释或澄清的问题都予以解答，答疑内容与补充内容以更正（澄清）公告形式告知所有购买采购文件的投标人。</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7．采购文件的修改</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7.2 采购文件的修改将以更正（澄清）公告通知所有购买采购文件的投标人，并对其具有约束力。</w:t>
      </w:r>
      <w:r>
        <w:rPr>
          <w:rFonts w:hint="eastAsia" w:ascii="宋体" w:hAnsi="宋体" w:cs="宋体"/>
        </w:rPr>
        <w:t>投标人应及时关注浙江政府采购网上该项目的公告信息</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 在更正（澄清）公告发布后，如果投标人认为编制投标文件的时间不充分的，必须在公告发布之日的24小时内通知采购人和采购代理机构。否则，视同投标人有充足时间编制投标文件。</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7.4采购文件澄清、答复、修改、补充的内容为采购文件的组成部分。当采购文件与采购文件的答复、澄清、修改、补充通知就同一内容的表述不一致时，以最后发出的更正（澄清）公告为准。</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7.5 采购文件的澄清、答复、修改或补充都应该通过本代理机构以法定形式发布，除此以外的发布不属于采购文件的组成部分。</w:t>
      </w:r>
    </w:p>
    <w:p>
      <w:pPr>
        <w:pStyle w:val="4"/>
        <w:snapToGrid w:val="0"/>
        <w:spacing w:beforeLines="50" w:afterLines="50" w:line="360" w:lineRule="auto"/>
        <w:rPr>
          <w:rFonts w:ascii="宋体" w:hAnsi="宋体" w:eastAsia="宋体" w:cs="宋体"/>
          <w:sz w:val="21"/>
          <w:szCs w:val="21"/>
        </w:rPr>
      </w:pPr>
      <w:bookmarkStart w:id="17" w:name="_Toc251566652"/>
      <w:bookmarkStart w:id="18" w:name="_Toc31368"/>
      <w:bookmarkStart w:id="19" w:name="_Toc16048"/>
      <w:bookmarkStart w:id="20" w:name="_Toc240450079"/>
      <w:r>
        <w:rPr>
          <w:rFonts w:hint="eastAsia" w:ascii="宋体" w:hAnsi="宋体" w:eastAsia="宋体" w:cs="宋体"/>
          <w:sz w:val="21"/>
          <w:szCs w:val="21"/>
        </w:rPr>
        <w:t>三、投标文件的编制</w:t>
      </w:r>
      <w:bookmarkEnd w:id="17"/>
      <w:bookmarkEnd w:id="18"/>
      <w:bookmarkEnd w:id="19"/>
      <w:bookmarkEnd w:id="20"/>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8．投标文件的语言、计量单位、形式及效力</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8.1语言及计量单位</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8.1.2 除采购文件另有规定外，投标文件所使用的计量单位，均须采用中华人民共和国法定计量单位，否则视同未响应。</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8.2投标文件的形式和效力</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8.2.1投标文件为电子投标文件，电子投标文件按“政采云供应商项目采购-电子招投标操作指南”及本招标文件要求制作、加密传输。</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8.2.2投标文件未在投标截止时间前完成传输的，视为未按时递交投标文件；投标文件未按时解密，视为投标文件撤回。</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9．投标文件构成</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投标人向采购人递交的投标文件均由</w:t>
      </w:r>
      <w:r>
        <w:rPr>
          <w:rFonts w:hint="eastAsia" w:ascii="宋体" w:hAnsi="宋体" w:cs="宋体"/>
          <w:b/>
          <w:bCs/>
          <w:snapToGrid w:val="0"/>
          <w:kern w:val="0"/>
          <w:szCs w:val="21"/>
        </w:rPr>
        <w:t>资格响应文件、资信技术响应文件、报价响应文件</w:t>
      </w:r>
      <w:r>
        <w:rPr>
          <w:rFonts w:hint="eastAsia" w:ascii="宋体" w:hAnsi="宋体" w:cs="宋体"/>
          <w:snapToGrid w:val="0"/>
          <w:kern w:val="0"/>
          <w:szCs w:val="21"/>
        </w:rPr>
        <w:t>组成，具体内容如下：</w:t>
      </w:r>
    </w:p>
    <w:p>
      <w:pPr>
        <w:autoSpaceDE w:val="0"/>
        <w:autoSpaceDN w:val="0"/>
        <w:adjustRightInd w:val="0"/>
        <w:snapToGrid w:val="0"/>
        <w:spacing w:line="360" w:lineRule="auto"/>
        <w:ind w:firstLine="422" w:firstLineChars="200"/>
        <w:textAlignment w:val="bottom"/>
        <w:rPr>
          <w:rFonts w:ascii="宋体" w:hAnsi="宋体" w:cs="宋体"/>
          <w:b/>
          <w:bCs/>
          <w:szCs w:val="21"/>
        </w:rPr>
      </w:pPr>
      <w:r>
        <w:rPr>
          <w:rFonts w:hint="eastAsia" w:ascii="宋体" w:hAnsi="宋体" w:cs="宋体"/>
          <w:b/>
          <w:bCs/>
          <w:szCs w:val="21"/>
        </w:rPr>
        <w:t>9.1资格响应文件</w:t>
      </w:r>
    </w:p>
    <w:p>
      <w:pPr>
        <w:tabs>
          <w:tab w:val="left" w:pos="720"/>
        </w:tabs>
        <w:adjustRightInd w:val="0"/>
        <w:snapToGrid w:val="0"/>
        <w:spacing w:line="360" w:lineRule="auto"/>
        <w:ind w:left="420"/>
        <w:jc w:val="left"/>
        <w:rPr>
          <w:rFonts w:ascii="宋体" w:hAnsi="宋体" w:cs="宋体"/>
          <w:b/>
          <w:snapToGrid w:val="0"/>
          <w:kern w:val="0"/>
          <w:szCs w:val="21"/>
        </w:rPr>
      </w:pPr>
      <w:r>
        <w:rPr>
          <w:rFonts w:hint="eastAsia" w:ascii="宋体" w:hAnsi="宋体" w:cs="宋体"/>
          <w:b/>
          <w:snapToGrid w:val="0"/>
          <w:kern w:val="0"/>
          <w:szCs w:val="21"/>
        </w:rPr>
        <w:t>（1）基本资格条件：符合《中华人民共和国政府采购法》第二十二条的规定；</w:t>
      </w:r>
    </w:p>
    <w:p>
      <w:pPr>
        <w:tabs>
          <w:tab w:val="left" w:pos="720"/>
        </w:tabs>
        <w:adjustRightInd w:val="0"/>
        <w:snapToGrid w:val="0"/>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以下a~e项是第二十二条要求及对应证明材料的具体内容，各投标人须在投标文件中出具对应证明材料。</w:t>
      </w:r>
    </w:p>
    <w:p>
      <w:pPr>
        <w:pStyle w:val="39"/>
        <w:numPr>
          <w:ilvl w:val="0"/>
          <w:numId w:val="5"/>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具有独立承担民事责任的能力：</w:t>
      </w:r>
    </w:p>
    <w:p>
      <w:pPr>
        <w:pStyle w:val="39"/>
        <w:tabs>
          <w:tab w:val="left" w:pos="630"/>
          <w:tab w:val="left" w:pos="840"/>
          <w:tab w:val="left" w:pos="1050"/>
        </w:tabs>
        <w:adjustRightInd w:val="0"/>
        <w:snapToGrid w:val="0"/>
        <w:spacing w:before="0" w:beforeAutospacing="0" w:after="0" w:afterAutospacing="0" w:line="360" w:lineRule="auto"/>
        <w:ind w:left="420"/>
        <w:rPr>
          <w:rFonts w:ascii="宋体" w:hAnsi="宋体" w:cs="宋体"/>
          <w:b/>
          <w:bCs/>
          <w:sz w:val="21"/>
          <w:szCs w:val="21"/>
        </w:rPr>
      </w:pPr>
      <w:r>
        <w:rPr>
          <w:rFonts w:hint="eastAsia" w:ascii="宋体" w:hAnsi="宋体" w:cs="宋体"/>
          <w:b/>
          <w:bCs/>
          <w:sz w:val="21"/>
          <w:szCs w:val="21"/>
        </w:rPr>
        <w:t>投标人须在投标文件中出具符合以下情况的证明材料扫描件（五选一）：</w:t>
      </w:r>
    </w:p>
    <w:p>
      <w:pPr>
        <w:pStyle w:val="39"/>
        <w:numPr>
          <w:ilvl w:val="0"/>
          <w:numId w:val="6"/>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如投标人是企业（包括合伙企业），提供在工商部门注册的有效“企业法人营业执照”或“营业执照”；</w:t>
      </w:r>
    </w:p>
    <w:p>
      <w:pPr>
        <w:pStyle w:val="39"/>
        <w:numPr>
          <w:ilvl w:val="0"/>
          <w:numId w:val="6"/>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如投标人是事业单位，提供有效的“事业单位法人证书”；</w:t>
      </w:r>
    </w:p>
    <w:p>
      <w:pPr>
        <w:pStyle w:val="39"/>
        <w:numPr>
          <w:ilvl w:val="0"/>
          <w:numId w:val="6"/>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如投标人是非企业专业服务机构的，提供执业许可证等证明文件；</w:t>
      </w:r>
    </w:p>
    <w:p>
      <w:pPr>
        <w:pStyle w:val="39"/>
        <w:numPr>
          <w:ilvl w:val="0"/>
          <w:numId w:val="6"/>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如投标人是个体工商户，提供有效的“个体工商户营业执照”；</w:t>
      </w:r>
    </w:p>
    <w:p>
      <w:pPr>
        <w:pStyle w:val="39"/>
        <w:numPr>
          <w:ilvl w:val="0"/>
          <w:numId w:val="6"/>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如投标人是自然人，提供有效的自然人身份证明（居民身份证正反面或公安机关出具的临时居民身份证正反面或港澳台胞证或护照）。</w:t>
      </w:r>
    </w:p>
    <w:p>
      <w:pPr>
        <w:pStyle w:val="39"/>
        <w:numPr>
          <w:ilvl w:val="0"/>
          <w:numId w:val="5"/>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具有良好的商业信誉和健全的财务会计制度的证明材料：</w:t>
      </w:r>
    </w:p>
    <w:p>
      <w:pPr>
        <w:pStyle w:val="39"/>
        <w:numPr>
          <w:ilvl w:val="0"/>
          <w:numId w:val="7"/>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良好的商业信誉：</w:t>
      </w:r>
    </w:p>
    <w:p>
      <w:pPr>
        <w:pStyle w:val="39"/>
        <w:adjustRightInd w:val="0"/>
        <w:snapToGrid w:val="0"/>
        <w:spacing w:before="0" w:beforeAutospacing="0" w:after="0" w:afterAutospacing="0" w:line="360" w:lineRule="auto"/>
        <w:ind w:firstLine="416" w:firstLineChars="209"/>
        <w:rPr>
          <w:rFonts w:ascii="宋体" w:hAnsi="宋体" w:cs="宋体"/>
          <w:b/>
          <w:spacing w:val="-6"/>
          <w:sz w:val="21"/>
          <w:szCs w:val="21"/>
        </w:rPr>
      </w:pPr>
      <w:r>
        <w:rPr>
          <w:rFonts w:hint="eastAsia" w:ascii="宋体" w:hAnsi="宋体" w:cs="宋体"/>
          <w:b/>
          <w:spacing w:val="-6"/>
          <w:sz w:val="21"/>
          <w:szCs w:val="21"/>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9"/>
        <w:adjustRightInd w:val="0"/>
        <w:snapToGrid w:val="0"/>
        <w:spacing w:before="0" w:beforeAutospacing="0" w:after="0" w:afterAutospacing="0" w:line="360" w:lineRule="auto"/>
        <w:ind w:firstLine="416" w:firstLineChars="209"/>
        <w:rPr>
          <w:rFonts w:ascii="宋体" w:hAnsi="宋体" w:cs="宋体"/>
          <w:b/>
          <w:spacing w:val="-6"/>
          <w:sz w:val="21"/>
          <w:szCs w:val="21"/>
        </w:rPr>
      </w:pPr>
      <w:r>
        <w:rPr>
          <w:rFonts w:hint="eastAsia" w:ascii="宋体" w:hAnsi="宋体" w:cs="宋体"/>
          <w:b/>
          <w:spacing w:val="-6"/>
          <w:sz w:val="21"/>
          <w:szCs w:val="21"/>
        </w:rPr>
        <w:t>对列入失信被执行人、重大税收违法案件当事人名单、政府采购严重违法失信行为记录名单的投标人，其投标将作无效标处理。</w:t>
      </w:r>
    </w:p>
    <w:p>
      <w:pPr>
        <w:pStyle w:val="39"/>
        <w:numPr>
          <w:ilvl w:val="0"/>
          <w:numId w:val="7"/>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健全的财务会计制度：</w:t>
      </w:r>
    </w:p>
    <w:p>
      <w:pPr>
        <w:pStyle w:val="39"/>
        <w:adjustRightInd w:val="0"/>
        <w:snapToGrid w:val="0"/>
        <w:spacing w:before="0" w:beforeAutospacing="0" w:after="0" w:afterAutospacing="0" w:line="360" w:lineRule="auto"/>
        <w:ind w:left="420" w:leftChars="200"/>
        <w:rPr>
          <w:rFonts w:ascii="宋体" w:hAnsi="宋体" w:cs="宋体"/>
          <w:b/>
          <w:spacing w:val="-6"/>
          <w:sz w:val="21"/>
          <w:szCs w:val="21"/>
        </w:rPr>
      </w:pPr>
      <w:r>
        <w:rPr>
          <w:rFonts w:hint="eastAsia" w:ascii="宋体" w:hAnsi="宋体" w:cs="宋体"/>
          <w:b/>
          <w:spacing w:val="-6"/>
          <w:sz w:val="21"/>
          <w:szCs w:val="21"/>
        </w:rPr>
        <w:t>投标人须在投标文件中出具符合以下情况的证明材料扫描件（三选一）：</w:t>
      </w:r>
    </w:p>
    <w:p>
      <w:pPr>
        <w:pStyle w:val="39"/>
        <w:numPr>
          <w:ilvl w:val="0"/>
          <w:numId w:val="8"/>
        </w:numPr>
        <w:adjustRightInd w:val="0"/>
        <w:snapToGrid w:val="0"/>
        <w:spacing w:before="0" w:beforeAutospacing="0" w:after="0" w:afterAutospacing="0" w:line="360" w:lineRule="auto"/>
        <w:ind w:left="5" w:firstLine="415"/>
        <w:rPr>
          <w:rFonts w:ascii="宋体" w:hAnsi="宋体" w:cs="宋体"/>
          <w:b/>
          <w:bCs/>
          <w:sz w:val="21"/>
          <w:szCs w:val="21"/>
        </w:rPr>
      </w:pPr>
      <w:r>
        <w:rPr>
          <w:rFonts w:hint="eastAsia" w:ascii="宋体" w:hAnsi="宋体" w:cs="宋体"/>
          <w:b/>
          <w:bCs/>
          <w:sz w:val="21"/>
          <w:szCs w:val="21"/>
        </w:rPr>
        <w:t>投标人是法人的，应提供最近一个年度经审计的财务报告，包括资产负债表、利润表或损益表(执行《小企业会计准则》的提供资产负债表和利润表两张基本报表），未经审计的，提供资产负债表、利润表或损益表。</w:t>
      </w:r>
    </w:p>
    <w:p>
      <w:pPr>
        <w:pStyle w:val="39"/>
        <w:numPr>
          <w:ilvl w:val="0"/>
          <w:numId w:val="8"/>
        </w:numPr>
        <w:adjustRightInd w:val="0"/>
        <w:snapToGrid w:val="0"/>
        <w:spacing w:before="0" w:beforeAutospacing="0" w:after="0" w:afterAutospacing="0" w:line="360" w:lineRule="auto"/>
        <w:ind w:left="5" w:firstLine="415"/>
        <w:rPr>
          <w:rFonts w:ascii="宋体" w:hAnsi="宋体" w:cs="宋体"/>
          <w:b/>
          <w:bCs/>
          <w:sz w:val="21"/>
          <w:szCs w:val="21"/>
        </w:rPr>
      </w:pPr>
      <w:r>
        <w:rPr>
          <w:rFonts w:hint="eastAsia" w:ascii="宋体" w:hAnsi="宋体" w:cs="宋体"/>
          <w:b/>
          <w:bCs/>
          <w:sz w:val="21"/>
          <w:szCs w:val="21"/>
        </w:rPr>
        <w:t>其他组织和自然人如没有经审计的财务报告的，可以提供资产负债表、利润表或损益表。</w:t>
      </w:r>
    </w:p>
    <w:p>
      <w:pPr>
        <w:pStyle w:val="39"/>
        <w:numPr>
          <w:ilvl w:val="0"/>
          <w:numId w:val="8"/>
        </w:numPr>
        <w:adjustRightInd w:val="0"/>
        <w:snapToGrid w:val="0"/>
        <w:spacing w:before="0" w:beforeAutospacing="0" w:after="0" w:afterAutospacing="0" w:line="360" w:lineRule="auto"/>
        <w:ind w:left="5" w:firstLine="415"/>
        <w:rPr>
          <w:rFonts w:ascii="宋体" w:hAnsi="宋体" w:cs="宋体"/>
          <w:b/>
          <w:bCs/>
          <w:sz w:val="21"/>
          <w:szCs w:val="21"/>
        </w:rPr>
      </w:pPr>
      <w:r>
        <w:rPr>
          <w:rFonts w:hint="eastAsia" w:ascii="宋体" w:hAnsi="宋体" w:cs="宋体"/>
          <w:b/>
          <w:bCs/>
          <w:sz w:val="21"/>
          <w:szCs w:val="21"/>
        </w:rPr>
        <w:t>新成立不足一年的公司须出具情况说明。</w:t>
      </w:r>
    </w:p>
    <w:p>
      <w:pPr>
        <w:pStyle w:val="39"/>
        <w:numPr>
          <w:ilvl w:val="0"/>
          <w:numId w:val="5"/>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具有履行合同所必需的设备和专业技术能力：</w:t>
      </w:r>
    </w:p>
    <w:p>
      <w:pPr>
        <w:pStyle w:val="39"/>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投标人须在投标文件中出具具有履行合同所必需的设备和专业技术能力的《承诺函》；（由投标人根据本项目情况自行拟定承诺函）</w:t>
      </w:r>
    </w:p>
    <w:p>
      <w:pPr>
        <w:pStyle w:val="39"/>
        <w:numPr>
          <w:ilvl w:val="0"/>
          <w:numId w:val="5"/>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有依法缴纳税收和社会保障资金的良好记录：</w:t>
      </w:r>
    </w:p>
    <w:p>
      <w:pPr>
        <w:pStyle w:val="39"/>
        <w:adjustRightInd w:val="0"/>
        <w:snapToGrid w:val="0"/>
        <w:spacing w:before="0" w:beforeAutospacing="0" w:after="0" w:afterAutospacing="0" w:line="360" w:lineRule="auto"/>
        <w:ind w:left="420" w:leftChars="200"/>
        <w:rPr>
          <w:rFonts w:ascii="宋体" w:hAnsi="宋体" w:cs="宋体"/>
          <w:b/>
          <w:bCs/>
          <w:sz w:val="21"/>
          <w:szCs w:val="21"/>
        </w:rPr>
      </w:pPr>
      <w:r>
        <w:rPr>
          <w:rFonts w:hint="eastAsia" w:ascii="宋体" w:hAnsi="宋体" w:cs="宋体"/>
          <w:b/>
          <w:bCs/>
          <w:sz w:val="21"/>
          <w:szCs w:val="21"/>
        </w:rPr>
        <w:t>投标人须在投标文件中同时出具满足以下要求的证明材料扫描件：</w:t>
      </w:r>
    </w:p>
    <w:p>
      <w:pPr>
        <w:pStyle w:val="39"/>
        <w:numPr>
          <w:ilvl w:val="0"/>
          <w:numId w:val="9"/>
        </w:numPr>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投标人须提供最近三个月内任一时间的纳税证明。</w:t>
      </w:r>
    </w:p>
    <w:p>
      <w:pPr>
        <w:pStyle w:val="39"/>
        <w:numPr>
          <w:ilvl w:val="0"/>
          <w:numId w:val="9"/>
        </w:numPr>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投标人须提供最近三个月内任一时间缴纳社会保险的凭据（缴税付款凭证或社会保险缴纳证明）。依法免税或不需要缴纳社会保障资金的供应商，应提供相应文件证明其依法免税或不需要缴纳社会保障资金。</w:t>
      </w:r>
    </w:p>
    <w:p>
      <w:pPr>
        <w:pStyle w:val="39"/>
        <w:numPr>
          <w:ilvl w:val="0"/>
          <w:numId w:val="5"/>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参加政府采购活动前三年内，在经营活动中没有重大违法记录：</w:t>
      </w:r>
    </w:p>
    <w:p>
      <w:pPr>
        <w:pStyle w:val="39"/>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投标人须在投标文件中出具《声明函》。（参考格式见本文件第六部分）</w:t>
      </w:r>
    </w:p>
    <w:p>
      <w:pPr>
        <w:tabs>
          <w:tab w:val="left" w:pos="720"/>
        </w:tabs>
        <w:adjustRightInd w:val="0"/>
        <w:snapToGrid w:val="0"/>
        <w:spacing w:line="360" w:lineRule="auto"/>
        <w:ind w:firstLine="422" w:firstLineChars="200"/>
        <w:jc w:val="left"/>
        <w:rPr>
          <w:rFonts w:ascii="宋体" w:hAnsi="宋体" w:cs="宋体"/>
          <w:b/>
          <w:szCs w:val="21"/>
        </w:rPr>
      </w:pPr>
      <w:r>
        <w:rPr>
          <w:rFonts w:hint="eastAsia" w:ascii="宋体" w:hAnsi="宋体" w:cs="宋体"/>
          <w:b/>
          <w:snapToGrid w:val="0"/>
          <w:kern w:val="0"/>
          <w:szCs w:val="21"/>
        </w:rPr>
        <w:t>（2）特定资格条件：市政公用工程施工总承包企业三级（含）以上资质。</w:t>
      </w:r>
    </w:p>
    <w:p>
      <w:pPr>
        <w:autoSpaceDE w:val="0"/>
        <w:autoSpaceDN w:val="0"/>
        <w:adjustRightInd w:val="0"/>
        <w:snapToGrid w:val="0"/>
        <w:spacing w:line="360" w:lineRule="auto"/>
        <w:ind w:firstLine="422" w:firstLineChars="200"/>
        <w:textAlignment w:val="bottom"/>
        <w:rPr>
          <w:rFonts w:ascii="宋体" w:hAnsi="宋体" w:cs="宋体"/>
          <w:b/>
          <w:bCs/>
          <w:szCs w:val="21"/>
        </w:rPr>
      </w:pPr>
      <w:r>
        <w:rPr>
          <w:rFonts w:hint="eastAsia" w:ascii="宋体" w:hAnsi="宋体" w:cs="宋体"/>
          <w:b/>
          <w:bCs/>
          <w:szCs w:val="21"/>
        </w:rPr>
        <w:t>9.2 资信技术响应文件</w:t>
      </w:r>
    </w:p>
    <w:p>
      <w:pPr>
        <w:numPr>
          <w:ilvl w:val="0"/>
          <w:numId w:val="10"/>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评分索引表；</w:t>
      </w:r>
    </w:p>
    <w:p>
      <w:pPr>
        <w:numPr>
          <w:ilvl w:val="0"/>
          <w:numId w:val="10"/>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投标响应一览表；</w:t>
      </w:r>
    </w:p>
    <w:p>
      <w:pPr>
        <w:numPr>
          <w:ilvl w:val="0"/>
          <w:numId w:val="10"/>
        </w:numPr>
        <w:tabs>
          <w:tab w:val="left" w:pos="851"/>
          <w:tab w:val="left" w:pos="900"/>
          <w:tab w:val="left" w:pos="1080"/>
        </w:tabs>
        <w:adjustRightInd w:val="0"/>
        <w:snapToGrid w:val="0"/>
        <w:spacing w:line="360" w:lineRule="auto"/>
        <w:ind w:left="0" w:firstLine="340"/>
        <w:jc w:val="left"/>
        <w:rPr>
          <w:rFonts w:ascii="宋体" w:hAnsi="宋体" w:cs="宋体"/>
          <w:snapToGrid w:val="0"/>
          <w:kern w:val="0"/>
          <w:szCs w:val="21"/>
        </w:rPr>
      </w:pPr>
      <w:r>
        <w:rPr>
          <w:rFonts w:hint="eastAsia" w:ascii="宋体" w:hAnsi="宋体" w:cs="宋体"/>
          <w:snapToGrid w:val="0"/>
          <w:kern w:val="0"/>
          <w:szCs w:val="21"/>
        </w:rPr>
        <w:t>投标人基本情况表；</w:t>
      </w:r>
    </w:p>
    <w:p>
      <w:pPr>
        <w:numPr>
          <w:ilvl w:val="0"/>
          <w:numId w:val="10"/>
        </w:numPr>
        <w:tabs>
          <w:tab w:val="left" w:pos="851"/>
          <w:tab w:val="left" w:pos="900"/>
          <w:tab w:val="left" w:pos="1080"/>
        </w:tabs>
        <w:adjustRightInd w:val="0"/>
        <w:snapToGrid w:val="0"/>
        <w:spacing w:line="360" w:lineRule="auto"/>
        <w:ind w:left="0" w:firstLine="340"/>
        <w:jc w:val="left"/>
        <w:rPr>
          <w:rFonts w:ascii="宋体" w:hAnsi="宋体" w:cs="宋体"/>
          <w:snapToGrid w:val="0"/>
          <w:kern w:val="0"/>
          <w:szCs w:val="21"/>
        </w:rPr>
      </w:pPr>
      <w:r>
        <w:rPr>
          <w:rFonts w:hint="eastAsia" w:ascii="宋体" w:hAnsi="宋体" w:cs="宋体"/>
          <w:snapToGrid w:val="0"/>
          <w:kern w:val="0"/>
          <w:szCs w:val="21"/>
        </w:rPr>
        <w:t>法定代表人资格证明书及法定代表人授权书，同时须附法定代表人和授权委托代表的有效身份证扫描件（法定代表人直接参加投标并对相应文件签字的，只需提供前者）</w:t>
      </w:r>
    </w:p>
    <w:p>
      <w:pPr>
        <w:numPr>
          <w:ilvl w:val="0"/>
          <w:numId w:val="10"/>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snapToGrid w:val="0"/>
          <w:kern w:val="0"/>
          <w:szCs w:val="21"/>
        </w:rPr>
        <w:t>廉政承诺书；</w:t>
      </w:r>
    </w:p>
    <w:p>
      <w:pPr>
        <w:numPr>
          <w:ilvl w:val="0"/>
          <w:numId w:val="10"/>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bCs/>
          <w:szCs w:val="21"/>
        </w:rPr>
        <w:t>投标人同类项目业绩（以提供的完整合同</w:t>
      </w:r>
      <w:r>
        <w:rPr>
          <w:rFonts w:hint="eastAsia" w:ascii="宋体" w:hAnsi="宋体" w:cs="宋体"/>
          <w:bCs/>
          <w:szCs w:val="21"/>
        </w:rPr>
        <w:t>扫描件</w:t>
      </w:r>
      <w:r>
        <w:rPr>
          <w:rFonts w:ascii="宋体" w:hAnsi="宋体" w:cs="宋体"/>
          <w:bCs/>
          <w:szCs w:val="21"/>
        </w:rPr>
        <w:t>为准）。</w:t>
      </w:r>
    </w:p>
    <w:p>
      <w:pPr>
        <w:numPr>
          <w:ilvl w:val="0"/>
          <w:numId w:val="10"/>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bCs/>
          <w:szCs w:val="21"/>
        </w:rPr>
        <w:t>合同条款偏离表/商务条款偏离表；</w:t>
      </w:r>
    </w:p>
    <w:p>
      <w:pPr>
        <w:adjustRightInd w:val="0"/>
        <w:snapToGrid w:val="0"/>
        <w:spacing w:line="360" w:lineRule="auto"/>
        <w:ind w:right="-512" w:firstLine="420" w:firstLineChars="200"/>
        <w:rPr>
          <w:rFonts w:ascii="宋体" w:hAnsi="宋体" w:cs="仿宋_GB2312"/>
          <w:color w:val="000000"/>
          <w:szCs w:val="21"/>
          <w:lang w:val="zh-CN"/>
        </w:rPr>
      </w:pPr>
      <w:r>
        <w:rPr>
          <w:rFonts w:hint="eastAsia" w:ascii="宋体" w:hAnsi="宋体" w:cs="宋体"/>
          <w:bCs/>
          <w:szCs w:val="21"/>
        </w:rPr>
        <w:t>（8）投标人</w:t>
      </w:r>
      <w:r>
        <w:rPr>
          <w:rFonts w:hint="eastAsia" w:ascii="宋体" w:hAnsi="宋体" w:cs="仿宋_GB2312"/>
          <w:color w:val="000000"/>
          <w:szCs w:val="21"/>
          <w:lang w:val="zh-CN"/>
        </w:rPr>
        <w:t>投标人应提供针对项目的完整技术解决方案；</w:t>
      </w:r>
    </w:p>
    <w:p>
      <w:pPr>
        <w:adjustRightInd w:val="0"/>
        <w:snapToGrid w:val="0"/>
        <w:spacing w:line="360" w:lineRule="auto"/>
        <w:ind w:firstLine="420" w:firstLineChars="200"/>
        <w:rPr>
          <w:rFonts w:ascii="宋体" w:hAnsi="宋体" w:cs="仿宋_GB2312"/>
          <w:color w:val="000000"/>
          <w:kern w:val="0"/>
          <w:szCs w:val="21"/>
          <w:lang w:val="zh-CN"/>
        </w:rPr>
      </w:pPr>
      <w:r>
        <w:rPr>
          <w:rFonts w:hint="eastAsia" w:ascii="宋体" w:hAnsi="宋体" w:cs="仿宋_GB2312"/>
          <w:color w:val="000000"/>
          <w:szCs w:val="21"/>
          <w:lang w:val="zh-CN"/>
        </w:rPr>
        <w:t>针对本项目的完整技术解决方案和实施方案；详细阐述项目方案的实现思路及关键技术；符合本项目对当前和未来发展的要求；以及对功能设计和实施计划的建议；</w:t>
      </w:r>
    </w:p>
    <w:p>
      <w:pPr>
        <w:adjustRightInd w:val="0"/>
        <w:snapToGrid w:val="0"/>
        <w:spacing w:line="360" w:lineRule="auto"/>
        <w:ind w:firstLine="422" w:firstLineChars="200"/>
      </w:pPr>
      <w:r>
        <w:rPr>
          <w:rFonts w:hint="eastAsia" w:ascii="宋体" w:hAnsi="宋体" w:cs="仿宋_GB2312"/>
          <w:b/>
          <w:color w:val="000000"/>
          <w:szCs w:val="21"/>
          <w:lang w:val="zh-CN"/>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宋体" w:hAnsi="宋体" w:cs="仿宋_GB2312"/>
          <w:b/>
          <w:color w:val="000000"/>
          <w:szCs w:val="21"/>
          <w:lang w:val="zh-CN"/>
        </w:rPr>
        <w:t>）</w:t>
      </w:r>
      <w:r>
        <w:rPr>
          <w:rFonts w:hint="eastAsia" w:ascii="宋体" w:hAnsi="宋体" w:cs="仿宋_GB2312"/>
          <w:b/>
          <w:color w:val="000000"/>
          <w:szCs w:val="21"/>
          <w:lang w:val="zh-CN"/>
        </w:rPr>
        <w:t>。否则任何含糊不清的表述导致评标委员会技术扣分直至认定为投标无效都将是投标人的责任。</w:t>
      </w:r>
    </w:p>
    <w:p>
      <w:pPr>
        <w:tabs>
          <w:tab w:val="left" w:pos="851"/>
          <w:tab w:val="left" w:pos="900"/>
          <w:tab w:val="left" w:pos="1080"/>
        </w:tabs>
        <w:adjustRightInd w:val="0"/>
        <w:snapToGrid w:val="0"/>
        <w:spacing w:line="360" w:lineRule="auto"/>
        <w:ind w:left="340"/>
        <w:jc w:val="left"/>
        <w:rPr>
          <w:rFonts w:ascii="宋体" w:hAnsi="宋体" w:cs="宋体"/>
          <w:bCs/>
          <w:szCs w:val="21"/>
        </w:rPr>
      </w:pPr>
      <w:r>
        <w:rPr>
          <w:rFonts w:hint="eastAsia" w:ascii="宋体" w:hAnsi="宋体" w:cs="宋体"/>
          <w:bCs/>
          <w:szCs w:val="21"/>
        </w:rPr>
        <w:t>（9）</w:t>
      </w:r>
      <w:r>
        <w:rPr>
          <w:rFonts w:ascii="宋体" w:hAnsi="宋体" w:cs="宋体"/>
          <w:bCs/>
          <w:szCs w:val="21"/>
        </w:rPr>
        <w:t>技术响应表</w:t>
      </w:r>
      <w:r>
        <w:rPr>
          <w:rFonts w:hint="eastAsia" w:ascii="宋体" w:hAnsi="宋体" w:cs="宋体"/>
          <w:bCs/>
          <w:szCs w:val="21"/>
        </w:rPr>
        <w:t>、技术规格书</w:t>
      </w:r>
      <w:r>
        <w:rPr>
          <w:rFonts w:ascii="宋体" w:hAnsi="宋体" w:cs="宋体"/>
          <w:bCs/>
          <w:szCs w:val="21"/>
        </w:rPr>
        <w:t>。</w:t>
      </w:r>
    </w:p>
    <w:p>
      <w:pPr>
        <w:tabs>
          <w:tab w:val="left" w:pos="851"/>
          <w:tab w:val="left" w:pos="900"/>
          <w:tab w:val="left" w:pos="1080"/>
        </w:tabs>
        <w:adjustRightInd w:val="0"/>
        <w:snapToGrid w:val="0"/>
        <w:spacing w:line="360" w:lineRule="auto"/>
        <w:ind w:left="340" w:firstLine="420" w:firstLineChars="200"/>
        <w:jc w:val="left"/>
      </w:pPr>
      <w:r>
        <w:rPr>
          <w:rFonts w:hint="eastAsia" w:ascii="宋体" w:hAnsi="宋体" w:cs="宋体"/>
          <w:bCs/>
          <w:szCs w:val="21"/>
        </w:rPr>
        <w:t>投标人在投标文件技术偏离说明表中，</w:t>
      </w:r>
      <w:r>
        <w:rPr>
          <w:rFonts w:hint="eastAsia" w:ascii="宋体" w:hAnsi="宋体" w:cs="宋体"/>
          <w:bCs/>
          <w:szCs w:val="21"/>
          <w:lang w:val="zh-CN"/>
        </w:rPr>
        <w:t>应对</w:t>
      </w:r>
      <w:r>
        <w:rPr>
          <w:rFonts w:hint="eastAsia" w:ascii="宋体" w:hAnsi="宋体" w:cs="宋体"/>
          <w:bCs/>
          <w:szCs w:val="21"/>
        </w:rPr>
        <w:t>采购需求</w:t>
      </w:r>
      <w:r>
        <w:rPr>
          <w:rFonts w:hint="eastAsia" w:ascii="宋体" w:hAnsi="宋体" w:cs="宋体"/>
          <w:bCs/>
          <w:szCs w:val="21"/>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tabs>
          <w:tab w:val="left" w:pos="851"/>
          <w:tab w:val="left" w:pos="900"/>
          <w:tab w:val="left" w:pos="1080"/>
        </w:tabs>
        <w:adjustRightInd w:val="0"/>
        <w:snapToGrid w:val="0"/>
        <w:spacing w:line="360" w:lineRule="auto"/>
        <w:ind w:left="340"/>
        <w:jc w:val="left"/>
        <w:rPr>
          <w:rFonts w:ascii="宋体" w:hAnsi="宋体" w:cs="宋体"/>
          <w:bCs/>
          <w:szCs w:val="21"/>
        </w:rPr>
      </w:pPr>
      <w:r>
        <w:rPr>
          <w:rFonts w:hint="eastAsia" w:ascii="宋体" w:hAnsi="宋体" w:cs="宋体"/>
          <w:bCs/>
          <w:szCs w:val="21"/>
        </w:rPr>
        <w:t>（10）</w:t>
      </w:r>
      <w:r>
        <w:rPr>
          <w:rFonts w:hint="eastAsia" w:ascii="宋体" w:hAnsi="宋体" w:cs="宋体"/>
          <w:bCs/>
          <w:szCs w:val="21"/>
          <w:lang w:val="zh-CN"/>
        </w:rPr>
        <w:t>针对本项目建设的详细实施计划。本项目详细工作实施组织方案，包括(但不限于)以下内容：组织机构、工作时间进度表、工作程序和步骤、管理和协调方法、关键步骤的思路和要点；</w:t>
      </w:r>
    </w:p>
    <w:p>
      <w:pPr>
        <w:tabs>
          <w:tab w:val="left" w:pos="851"/>
          <w:tab w:val="left" w:pos="900"/>
          <w:tab w:val="left" w:pos="1080"/>
        </w:tabs>
        <w:adjustRightInd w:val="0"/>
        <w:snapToGrid w:val="0"/>
        <w:spacing w:line="360" w:lineRule="auto"/>
        <w:ind w:left="340"/>
        <w:jc w:val="left"/>
        <w:rPr>
          <w:rFonts w:ascii="宋体" w:hAnsi="宋体" w:cs="宋体"/>
          <w:bCs/>
          <w:szCs w:val="21"/>
        </w:rPr>
      </w:pPr>
      <w:r>
        <w:rPr>
          <w:rFonts w:hint="eastAsia" w:ascii="宋体" w:hAnsi="宋体" w:cs="宋体"/>
          <w:bCs/>
          <w:szCs w:val="21"/>
        </w:rPr>
        <w:t>（11）</w:t>
      </w:r>
      <w:r>
        <w:rPr>
          <w:rFonts w:hint="eastAsia" w:ascii="宋体" w:hAnsi="宋体" w:cs="宋体"/>
          <w:bCs/>
          <w:szCs w:val="21"/>
          <w:lang w:val="zh-CN"/>
        </w:rPr>
        <w:t>针对本项目的售后服务方案；</w:t>
      </w:r>
    </w:p>
    <w:p>
      <w:pPr>
        <w:tabs>
          <w:tab w:val="left" w:pos="851"/>
          <w:tab w:val="left" w:pos="900"/>
          <w:tab w:val="left" w:pos="1080"/>
        </w:tabs>
        <w:adjustRightInd w:val="0"/>
        <w:snapToGrid w:val="0"/>
        <w:spacing w:line="360" w:lineRule="auto"/>
        <w:ind w:left="340"/>
        <w:jc w:val="left"/>
        <w:rPr>
          <w:rFonts w:ascii="宋体" w:hAnsi="宋体" w:cs="宋体"/>
          <w:bCs/>
          <w:szCs w:val="21"/>
          <w:lang w:val="zh-CN"/>
        </w:rPr>
      </w:pPr>
      <w:r>
        <w:rPr>
          <w:rFonts w:hint="eastAsia" w:ascii="宋体" w:hAnsi="宋体" w:cs="宋体"/>
          <w:bCs/>
          <w:szCs w:val="21"/>
        </w:rPr>
        <w:t>（12）</w:t>
      </w:r>
      <w:r>
        <w:rPr>
          <w:rFonts w:hint="eastAsia" w:ascii="宋体" w:hAnsi="宋体" w:cs="宋体"/>
          <w:bCs/>
          <w:szCs w:val="21"/>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851"/>
          <w:tab w:val="left" w:pos="900"/>
          <w:tab w:val="left" w:pos="1080"/>
        </w:tabs>
        <w:adjustRightInd w:val="0"/>
        <w:snapToGrid w:val="0"/>
        <w:spacing w:line="360" w:lineRule="auto"/>
        <w:ind w:left="340"/>
        <w:jc w:val="left"/>
        <w:rPr>
          <w:rFonts w:ascii="宋体" w:hAnsi="宋体" w:cs="宋体"/>
          <w:bCs/>
          <w:szCs w:val="21"/>
        </w:rPr>
      </w:pPr>
      <w:r>
        <w:rPr>
          <w:rFonts w:hint="eastAsia" w:ascii="宋体" w:hAnsi="宋体" w:cs="宋体"/>
          <w:bCs/>
          <w:szCs w:val="21"/>
        </w:rPr>
        <w:t>（13）</w:t>
      </w:r>
      <w:r>
        <w:rPr>
          <w:rFonts w:hint="eastAsia" w:ascii="宋体" w:hAnsi="宋体" w:cs="宋体"/>
          <w:bCs/>
          <w:szCs w:val="21"/>
          <w:lang w:val="zh-CN"/>
        </w:rPr>
        <w:t>优惠条件及特殊承诺；</w:t>
      </w:r>
    </w:p>
    <w:p>
      <w:pPr>
        <w:tabs>
          <w:tab w:val="left" w:pos="851"/>
          <w:tab w:val="left" w:pos="900"/>
          <w:tab w:val="left" w:pos="1080"/>
        </w:tabs>
        <w:adjustRightInd w:val="0"/>
        <w:snapToGrid w:val="0"/>
        <w:spacing w:line="360" w:lineRule="auto"/>
        <w:ind w:left="340"/>
        <w:jc w:val="left"/>
        <w:rPr>
          <w:rFonts w:ascii="宋体" w:hAnsi="宋体" w:cs="宋体"/>
          <w:bCs/>
          <w:szCs w:val="21"/>
        </w:rPr>
      </w:pPr>
      <w:r>
        <w:rPr>
          <w:rFonts w:hint="eastAsia" w:ascii="宋体" w:hAnsi="宋体" w:cs="宋体"/>
          <w:bCs/>
          <w:szCs w:val="21"/>
        </w:rPr>
        <w:t>（14）</w:t>
      </w:r>
      <w:r>
        <w:rPr>
          <w:rFonts w:hint="eastAsia" w:ascii="宋体" w:hAnsi="宋体" w:cs="宋体"/>
          <w:bCs/>
          <w:szCs w:val="21"/>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tabs>
          <w:tab w:val="left" w:pos="851"/>
          <w:tab w:val="left" w:pos="900"/>
          <w:tab w:val="left" w:pos="1080"/>
        </w:tabs>
        <w:adjustRightInd w:val="0"/>
        <w:snapToGrid w:val="0"/>
        <w:spacing w:line="360" w:lineRule="auto"/>
        <w:ind w:left="340"/>
        <w:jc w:val="left"/>
        <w:rPr>
          <w:rFonts w:ascii="宋体" w:hAnsi="宋体" w:cs="宋体"/>
          <w:bCs/>
          <w:szCs w:val="21"/>
          <w:lang w:val="zh-CN"/>
        </w:rPr>
      </w:pPr>
      <w:r>
        <w:rPr>
          <w:rFonts w:hint="eastAsia" w:ascii="宋体" w:hAnsi="宋体" w:cs="宋体"/>
          <w:bCs/>
          <w:szCs w:val="21"/>
        </w:rPr>
        <w:t>（15）</w:t>
      </w:r>
      <w:r>
        <w:rPr>
          <w:rFonts w:hint="eastAsia" w:ascii="宋体" w:hAnsi="宋体" w:cs="宋体"/>
          <w:bCs/>
          <w:szCs w:val="21"/>
          <w:lang w:val="zh-CN"/>
        </w:rPr>
        <w:t>培训计划；（如果有）</w:t>
      </w:r>
    </w:p>
    <w:p>
      <w:pPr>
        <w:tabs>
          <w:tab w:val="left" w:pos="851"/>
          <w:tab w:val="left" w:pos="900"/>
          <w:tab w:val="left" w:pos="1080"/>
        </w:tabs>
        <w:adjustRightInd w:val="0"/>
        <w:snapToGrid w:val="0"/>
        <w:spacing w:line="360" w:lineRule="auto"/>
        <w:ind w:left="340"/>
        <w:jc w:val="left"/>
        <w:rPr>
          <w:rFonts w:ascii="宋体" w:hAnsi="宋体" w:cs="宋体"/>
          <w:bCs/>
          <w:szCs w:val="21"/>
        </w:rPr>
      </w:pPr>
      <w:r>
        <w:rPr>
          <w:rFonts w:hint="eastAsia" w:ascii="宋体" w:hAnsi="宋体" w:cs="宋体"/>
          <w:bCs/>
          <w:szCs w:val="21"/>
        </w:rPr>
        <w:t>（16）</w:t>
      </w:r>
      <w:r>
        <w:rPr>
          <w:rFonts w:ascii="宋体" w:hAnsi="宋体" w:cs="宋体"/>
          <w:bCs/>
          <w:szCs w:val="21"/>
        </w:rPr>
        <w:t>与技术资信标评分有关的</w:t>
      </w:r>
      <w:r>
        <w:rPr>
          <w:rFonts w:hint="eastAsia" w:ascii="宋体" w:hAnsi="宋体" w:cs="宋体"/>
          <w:bCs/>
          <w:szCs w:val="21"/>
        </w:rPr>
        <w:t>及</w:t>
      </w:r>
      <w:r>
        <w:rPr>
          <w:rFonts w:ascii="宋体" w:hAnsi="宋体" w:cs="宋体"/>
          <w:bCs/>
          <w:szCs w:val="21"/>
        </w:rPr>
        <w:t>投标人认为需要提供的其它文件及资料。</w:t>
      </w:r>
    </w:p>
    <w:p>
      <w:pPr>
        <w:spacing w:line="360" w:lineRule="auto"/>
        <w:ind w:firstLine="420" w:firstLineChars="200"/>
        <w:rPr>
          <w:rFonts w:ascii="宋体" w:hAnsi="宋体" w:cs="宋体"/>
          <w:bCs/>
          <w:szCs w:val="21"/>
          <w:lang w:val="zh-CN"/>
        </w:rPr>
      </w:pPr>
      <w:r>
        <w:rPr>
          <w:rFonts w:hint="eastAsia" w:ascii="宋体" w:hAnsi="宋体" w:cs="宋体"/>
          <w:bCs/>
          <w:szCs w:val="21"/>
        </w:rPr>
        <w:t>(17)</w:t>
      </w:r>
      <w:r>
        <w:rPr>
          <w:rFonts w:hint="eastAsia" w:ascii="宋体" w:hAnsi="宋体" w:cs="宋体"/>
          <w:bCs/>
          <w:szCs w:val="21"/>
          <w:lang w:val="zh-CN"/>
        </w:rPr>
        <w:t>关于对招标文件商务、合同中有关条款的拒绝声明。（如果有）</w:t>
      </w:r>
    </w:p>
    <w:p>
      <w:pPr>
        <w:adjustRightInd w:val="0"/>
        <w:snapToGrid w:val="0"/>
        <w:spacing w:line="360" w:lineRule="auto"/>
        <w:ind w:firstLine="422" w:firstLineChars="200"/>
        <w:jc w:val="left"/>
        <w:rPr>
          <w:rFonts w:ascii="宋体" w:hAnsi="宋体" w:cs="宋体"/>
          <w:snapToGrid w:val="0"/>
          <w:kern w:val="0"/>
          <w:szCs w:val="21"/>
        </w:rPr>
      </w:pPr>
      <w:r>
        <w:rPr>
          <w:rFonts w:hint="eastAsia" w:ascii="宋体" w:hAnsi="宋体" w:cs="宋体"/>
          <w:b/>
          <w:snapToGrid w:val="0"/>
          <w:kern w:val="0"/>
          <w:szCs w:val="21"/>
        </w:rPr>
        <w:t>9.3报价响应文件</w:t>
      </w:r>
    </w:p>
    <w:p>
      <w:pPr>
        <w:numPr>
          <w:ilvl w:val="0"/>
          <w:numId w:val="11"/>
        </w:numPr>
        <w:adjustRightInd w:val="0"/>
        <w:snapToGrid w:val="0"/>
        <w:spacing w:line="360" w:lineRule="auto"/>
        <w:ind w:left="993" w:hanging="571"/>
        <w:jc w:val="left"/>
        <w:rPr>
          <w:rFonts w:ascii="宋体" w:hAnsi="宋体" w:cs="宋体"/>
          <w:bCs/>
          <w:snapToGrid w:val="0"/>
          <w:kern w:val="0"/>
          <w:szCs w:val="21"/>
        </w:rPr>
      </w:pPr>
      <w:r>
        <w:rPr>
          <w:rFonts w:hint="eastAsia" w:ascii="宋体" w:hAnsi="宋体" w:cs="宋体"/>
          <w:bCs/>
          <w:snapToGrid w:val="0"/>
          <w:kern w:val="0"/>
          <w:szCs w:val="21"/>
        </w:rPr>
        <w:t>投标函；</w:t>
      </w:r>
    </w:p>
    <w:p>
      <w:pPr>
        <w:numPr>
          <w:ilvl w:val="0"/>
          <w:numId w:val="11"/>
        </w:numPr>
        <w:adjustRightInd w:val="0"/>
        <w:snapToGrid w:val="0"/>
        <w:spacing w:line="360" w:lineRule="auto"/>
        <w:ind w:left="993" w:hanging="571"/>
        <w:jc w:val="left"/>
        <w:rPr>
          <w:rFonts w:ascii="宋体" w:hAnsi="宋体" w:cs="宋体"/>
          <w:bCs/>
          <w:snapToGrid w:val="0"/>
          <w:kern w:val="0"/>
          <w:szCs w:val="21"/>
        </w:rPr>
      </w:pPr>
      <w:r>
        <w:rPr>
          <w:rFonts w:hint="eastAsia" w:ascii="宋体" w:hAnsi="宋体" w:cs="宋体"/>
          <w:bCs/>
          <w:snapToGrid w:val="0"/>
          <w:kern w:val="0"/>
          <w:szCs w:val="21"/>
        </w:rPr>
        <w:t>开标一览表；</w:t>
      </w:r>
    </w:p>
    <w:p>
      <w:pPr>
        <w:numPr>
          <w:ilvl w:val="0"/>
          <w:numId w:val="11"/>
        </w:numPr>
        <w:adjustRightInd w:val="0"/>
        <w:snapToGrid w:val="0"/>
        <w:spacing w:line="360" w:lineRule="auto"/>
        <w:ind w:left="993" w:hanging="571"/>
        <w:jc w:val="left"/>
        <w:rPr>
          <w:rFonts w:ascii="宋体" w:hAnsi="宋体" w:cs="宋体"/>
          <w:bCs/>
          <w:snapToGrid w:val="0"/>
          <w:kern w:val="0"/>
          <w:szCs w:val="21"/>
        </w:rPr>
      </w:pPr>
      <w:r>
        <w:rPr>
          <w:rFonts w:hint="eastAsia" w:ascii="宋体" w:hAnsi="宋体" w:cs="宋体"/>
          <w:bCs/>
          <w:snapToGrid w:val="0"/>
          <w:kern w:val="0"/>
          <w:szCs w:val="21"/>
        </w:rPr>
        <w:t>投标报价明细表；</w:t>
      </w:r>
    </w:p>
    <w:p>
      <w:pPr>
        <w:numPr>
          <w:ilvl w:val="0"/>
          <w:numId w:val="11"/>
        </w:numPr>
        <w:adjustRightInd w:val="0"/>
        <w:snapToGrid w:val="0"/>
        <w:spacing w:line="360" w:lineRule="auto"/>
        <w:ind w:left="993" w:hanging="571"/>
        <w:jc w:val="left"/>
        <w:rPr>
          <w:rFonts w:ascii="宋体" w:hAnsi="宋体" w:cs="宋体"/>
          <w:bCs/>
          <w:snapToGrid w:val="0"/>
          <w:kern w:val="0"/>
          <w:szCs w:val="21"/>
        </w:rPr>
      </w:pPr>
      <w:r>
        <w:rPr>
          <w:rFonts w:hint="eastAsia" w:ascii="宋体" w:hAnsi="宋体" w:cs="宋体"/>
          <w:bCs/>
          <w:snapToGrid w:val="0"/>
          <w:kern w:val="0"/>
          <w:szCs w:val="21"/>
        </w:rPr>
        <w:t xml:space="preserve">中小企业声明函； </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投标文件中须提供投标人、投标产品制造商（货物类项目）的小微企业声明函（投标人在填写该声明函前，须先自查本企业及投标产品制造商是否满足小微企业认定标准，可通过“国家企业信用信息公示系统——小微企业名录”页面查询），未按要求出具声明函的，投标报价不予扣减。</w:t>
      </w:r>
    </w:p>
    <w:p>
      <w:pPr>
        <w:numPr>
          <w:ilvl w:val="0"/>
          <w:numId w:val="11"/>
        </w:numPr>
        <w:tabs>
          <w:tab w:val="left" w:pos="840"/>
          <w:tab w:val="left" w:pos="1050"/>
        </w:tabs>
        <w:adjustRightInd w:val="0"/>
        <w:snapToGrid w:val="0"/>
        <w:spacing w:line="360" w:lineRule="auto"/>
        <w:ind w:left="13" w:firstLine="409"/>
        <w:jc w:val="left"/>
        <w:rPr>
          <w:rFonts w:ascii="宋体" w:hAnsi="宋体" w:cs="宋体"/>
          <w:bCs/>
          <w:snapToGrid w:val="0"/>
          <w:kern w:val="0"/>
          <w:szCs w:val="21"/>
        </w:rPr>
      </w:pPr>
      <w:r>
        <w:rPr>
          <w:rFonts w:hint="eastAsia" w:ascii="宋体" w:hAnsi="宋体" w:cs="宋体"/>
          <w:bCs/>
          <w:snapToGrid w:val="0"/>
          <w:kern w:val="0"/>
          <w:szCs w:val="21"/>
        </w:rPr>
        <w:t>投标人为监狱企业的证明文件：省级以上监狱管理局、戒毒管理局（含新疆生产建设兵团）出具（如有）</w:t>
      </w:r>
    </w:p>
    <w:p>
      <w:pPr>
        <w:numPr>
          <w:ilvl w:val="0"/>
          <w:numId w:val="11"/>
        </w:numPr>
        <w:tabs>
          <w:tab w:val="left" w:pos="840"/>
          <w:tab w:val="left" w:pos="1050"/>
        </w:tabs>
        <w:adjustRightInd w:val="0"/>
        <w:snapToGrid w:val="0"/>
        <w:spacing w:line="360" w:lineRule="auto"/>
        <w:ind w:left="13" w:firstLine="409"/>
        <w:jc w:val="left"/>
        <w:rPr>
          <w:rFonts w:ascii="宋体" w:hAnsi="宋体" w:cs="宋体"/>
          <w:bCs/>
          <w:snapToGrid w:val="0"/>
          <w:kern w:val="0"/>
          <w:szCs w:val="21"/>
        </w:rPr>
      </w:pPr>
      <w:r>
        <w:rPr>
          <w:rFonts w:hint="eastAsia" w:ascii="宋体" w:hAnsi="宋体" w:cs="宋体"/>
          <w:bCs/>
          <w:snapToGrid w:val="0"/>
          <w:kern w:val="0"/>
          <w:szCs w:val="21"/>
        </w:rPr>
        <w:t xml:space="preserve">投标人如符合《财政部、民政部、中国残疾人联合会关于促进残疾人就业政府采购政策的通知》（财库〔2017〕141号）政策规定的，须提供《残疾人福利性单位声明函》；（如有）  </w:t>
      </w:r>
    </w:p>
    <w:p>
      <w:pPr>
        <w:numPr>
          <w:ilvl w:val="0"/>
          <w:numId w:val="11"/>
        </w:numPr>
        <w:tabs>
          <w:tab w:val="left" w:pos="840"/>
          <w:tab w:val="left" w:pos="1050"/>
        </w:tabs>
        <w:adjustRightInd w:val="0"/>
        <w:snapToGrid w:val="0"/>
        <w:spacing w:line="360" w:lineRule="auto"/>
        <w:ind w:left="13" w:firstLine="409"/>
        <w:jc w:val="left"/>
        <w:rPr>
          <w:rFonts w:ascii="宋体" w:hAnsi="宋体" w:cs="宋体"/>
          <w:bCs/>
          <w:snapToGrid w:val="0"/>
          <w:kern w:val="0"/>
          <w:szCs w:val="21"/>
        </w:rPr>
      </w:pPr>
      <w:r>
        <w:rPr>
          <w:rFonts w:hint="eastAsia" w:ascii="宋体" w:hAnsi="宋体" w:cs="宋体"/>
          <w:bCs/>
          <w:snapToGrid w:val="0"/>
          <w:kern w:val="0"/>
          <w:szCs w:val="21"/>
        </w:rPr>
        <w:t>投标人认为针对报价需要说明的其他文件及资料。</w:t>
      </w:r>
    </w:p>
    <w:p>
      <w:pPr>
        <w:adjustRightInd w:val="0"/>
        <w:snapToGrid w:val="0"/>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9.4陈述和答辩</w:t>
      </w:r>
    </w:p>
    <w:p>
      <w:pPr>
        <w:tabs>
          <w:tab w:val="left" w:pos="840"/>
          <w:tab w:val="left" w:pos="1050"/>
        </w:tabs>
        <w:adjustRightInd w:val="0"/>
        <w:snapToGrid w:val="0"/>
        <w:spacing w:line="360" w:lineRule="auto"/>
        <w:ind w:left="422"/>
        <w:jc w:val="left"/>
        <w:rPr>
          <w:rFonts w:ascii="宋体" w:hAnsi="宋体" w:cs="宋体"/>
          <w:bCs/>
          <w:snapToGrid w:val="0"/>
          <w:kern w:val="0"/>
          <w:szCs w:val="21"/>
        </w:rPr>
      </w:pPr>
      <w:r>
        <w:rPr>
          <w:rFonts w:hint="eastAsia" w:ascii="宋体" w:hAnsi="宋体" w:cs="宋体"/>
          <w:bCs/>
          <w:snapToGrid w:val="0"/>
          <w:kern w:val="0"/>
          <w:szCs w:val="21"/>
        </w:rPr>
        <w:t>本项目无陈述和答辩环节。</w:t>
      </w:r>
    </w:p>
    <w:p>
      <w:pPr>
        <w:adjustRightInd w:val="0"/>
        <w:snapToGrid w:val="0"/>
        <w:spacing w:beforeLines="50"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10．投标函</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10.1 投标人应完整地填写采购文件中提供的投标函和投标相关附件。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10.2 投标文件应当对采购文件中有关投标有效期、采购需求等实质性内容作出响应。投标人在满足采购文件实质性要求的基础上，可以提出比采购文件要求更有利于采购人的承诺。</w:t>
      </w:r>
    </w:p>
    <w:p>
      <w:pPr>
        <w:pStyle w:val="2"/>
        <w:snapToGrid w:val="0"/>
        <w:spacing w:beforeLines="5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11．投标报价</w:t>
      </w:r>
    </w:p>
    <w:p>
      <w:pPr>
        <w:pStyle w:val="2"/>
        <w:snapToGrid w:val="0"/>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11.1投标人应按采购文件中规定填写报价相关表单。</w:t>
      </w:r>
    </w:p>
    <w:p>
      <w:pPr>
        <w:pStyle w:val="2"/>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11.2本次报价方式为含税综合单价包干，全部采用人民币报价。</w:t>
      </w:r>
    </w:p>
    <w:p>
      <w:pPr>
        <w:pStyle w:val="2"/>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此投标综合单价包含日常巡视检查、管道维护、疏通和清淤、管道必要的封堵及拆除、雨水井、检查井、雨水口的淤泥清捞，以及淤泥外运和处置，应急抢险、养护服务过程中应急突发事件、环保、交通、治安等可能发生的费用，还包括上述所需的技术服务费、人工费、一般材料费和机械费、措施费等，以及设施配套费、备品备件及物资费、办公场所使用费、专用车辆仪器工具使用费（含折旧费、油料费、保险费、人工费、租赁费等）、劳保和安全用品使用费、经营管理费、税费、利润等一切费用；政策性文件规定及合同包含的所有风险、责任等合同中明示或暗示的所有一般风险、责任和义务等一切由采购人支付的各项费用。报价凡未列入的，将被认为均已包含在报价中。采购人将不再支付任何费用。</w:t>
      </w:r>
    </w:p>
    <w:p>
      <w:pPr>
        <w:pStyle w:val="2"/>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非养护单位原因导致养护工作量减少的，按照实际减少的养护时间和养护工作量扣减养护费用；如有新增雨水管网养护工作量的，按照时间的养护时间和养护工作量增加养护费用。</w:t>
      </w:r>
    </w:p>
    <w:p>
      <w:pPr>
        <w:pStyle w:val="2"/>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完成本项目服务所涉及的一律费用由供应商承担。费用清单需详细列明，不详细的部分采购人有权按最好效果、最高标准执行。</w:t>
      </w:r>
    </w:p>
    <w:p>
      <w:pPr>
        <w:pStyle w:val="2"/>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投标人应认真计算可能发生的各相关费用并计入报价内，在项目实施过程中不得藉此要求增加任何费用，并不得出现选择性的报价。</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11.3本项目只允许一次报价，不允许以开标后调整的报价作为评标的依据（但按本采购文件投标须知投标文件错误的修正并经评标委员会认定或经投标人确认同意的除外）。</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11.4其它需在报价中考虑的因素：</w:t>
      </w:r>
    </w:p>
    <w:p>
      <w:pPr>
        <w:numPr>
          <w:ilvl w:val="0"/>
          <w:numId w:val="12"/>
        </w:numPr>
        <w:tabs>
          <w:tab w:val="left" w:pos="993"/>
        </w:tabs>
        <w:adjustRightInd w:val="0"/>
        <w:snapToGrid w:val="0"/>
        <w:spacing w:line="360" w:lineRule="auto"/>
        <w:ind w:left="0" w:firstLine="420"/>
        <w:jc w:val="left"/>
        <w:rPr>
          <w:rFonts w:ascii="宋体" w:hAnsi="宋体" w:cs="宋体"/>
          <w:b/>
          <w:snapToGrid w:val="0"/>
          <w:kern w:val="0"/>
          <w:szCs w:val="21"/>
        </w:rPr>
      </w:pPr>
      <w:r>
        <w:rPr>
          <w:rFonts w:hint="eastAsia" w:ascii="宋体" w:hAnsi="宋体" w:cs="宋体"/>
          <w:b/>
          <w:snapToGrid w:val="0"/>
          <w:kern w:val="0"/>
          <w:szCs w:val="21"/>
        </w:rPr>
        <w:t>用户需求中明确的需供应商承担的费用均应含在投标总价中；</w:t>
      </w:r>
    </w:p>
    <w:p>
      <w:pPr>
        <w:numPr>
          <w:ilvl w:val="0"/>
          <w:numId w:val="12"/>
        </w:numPr>
        <w:tabs>
          <w:tab w:val="left" w:pos="993"/>
        </w:tabs>
        <w:adjustRightInd w:val="0"/>
        <w:snapToGrid w:val="0"/>
        <w:spacing w:line="360" w:lineRule="auto"/>
        <w:ind w:left="0" w:firstLine="420"/>
        <w:jc w:val="left"/>
        <w:rPr>
          <w:rFonts w:ascii="宋体" w:hAnsi="宋体" w:cs="宋体"/>
          <w:b/>
          <w:snapToGrid w:val="0"/>
          <w:kern w:val="0"/>
          <w:szCs w:val="21"/>
        </w:rPr>
      </w:pPr>
      <w:r>
        <w:rPr>
          <w:rFonts w:hint="eastAsia" w:ascii="宋体" w:hAnsi="宋体" w:cs="宋体"/>
          <w:b/>
          <w:szCs w:val="21"/>
        </w:rPr>
        <w:t>采购文件未明示但投标人认为可能产生的潜在费用支出均需自行考虑并计入投标总价中；</w:t>
      </w:r>
    </w:p>
    <w:p>
      <w:pPr>
        <w:numPr>
          <w:ilvl w:val="0"/>
          <w:numId w:val="12"/>
        </w:numPr>
        <w:tabs>
          <w:tab w:val="left" w:pos="993"/>
        </w:tabs>
        <w:adjustRightInd w:val="0"/>
        <w:snapToGrid w:val="0"/>
        <w:spacing w:line="360" w:lineRule="auto"/>
        <w:jc w:val="left"/>
        <w:rPr>
          <w:rFonts w:ascii="宋体" w:hAnsi="宋体" w:cs="宋体"/>
          <w:b/>
          <w:snapToGrid w:val="0"/>
          <w:kern w:val="0"/>
          <w:szCs w:val="21"/>
        </w:rPr>
      </w:pPr>
      <w:r>
        <w:rPr>
          <w:rFonts w:hint="eastAsia" w:ascii="宋体" w:hAnsi="宋体" w:cs="宋体"/>
          <w:b/>
          <w:snapToGrid w:val="0"/>
          <w:kern w:val="0"/>
          <w:szCs w:val="21"/>
        </w:rPr>
        <w:t>对于没有填报的项目，采购人将不再支付，并均认为已包含在报价内。</w:t>
      </w:r>
    </w:p>
    <w:p>
      <w:pPr>
        <w:pStyle w:val="2"/>
        <w:snapToGrid w:val="0"/>
        <w:spacing w:beforeLines="5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12．投标货币</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投标人用人民币报价。</w:t>
      </w:r>
    </w:p>
    <w:p>
      <w:pPr>
        <w:pStyle w:val="2"/>
        <w:numPr>
          <w:ilvl w:val="0"/>
          <w:numId w:val="13"/>
        </w:numPr>
        <w:snapToGrid w:val="0"/>
        <w:spacing w:beforeLines="5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投标保证金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13.1 本项目不收取投标保证金。但违反政府采购相关规定给采购人造成损失的，投标人应当承担赔偿责任。</w:t>
      </w:r>
    </w:p>
    <w:p>
      <w:pPr>
        <w:pStyle w:val="2"/>
        <w:snapToGrid w:val="0"/>
        <w:spacing w:beforeLines="5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14．投标有效期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14.1 投标文件在开标之日起90个日历天内有效。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14.3 中标人的投标文件自开标之日起至合同履行完毕止均应保持有效。</w:t>
      </w:r>
    </w:p>
    <w:p>
      <w:pPr>
        <w:pStyle w:val="2"/>
        <w:snapToGrid w:val="0"/>
        <w:spacing w:beforeLines="5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15．投标文件的式样</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15.1 投标人通过“政采云”平台制作电子投标文件，投标文件制作详见“供应商-政府采购项目电子交易操作指南”。</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15.2 投标文件是电子投标文件，包括“电子加密投标文件”和“备份投标文件”，在投标文件编制完成后同时生成。</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（1）“电子加密投标文件”是指通过“政采云电子交易客户端”完成投标文件编制后生成并加密的数据电文形式的投标文件。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（2）“备份投标文件”是指与“电子加密投标文件”同时生成的数据电文形式的电子文件（备份标书，用于供应商标书解密异常时应急使用），其他方式编制的备份投标文件视为无效备份投标文件。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（3）一份电子加密标书（后缀格式为.jmbs），一份备份标书文件（后缀格式为.bfbs）</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（4）每份电子投标文件应包括资格响应文件、资信技术响应文件、报价响应文件三部分内容。</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15.3 投标文件中投标函、法定代表人资格证明书及授权委托函的格式、签字、盖章及内容均应符合采购文件格式要求，否则投标文件无效。</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15.4投标人应根据“政采云供应商项目采购-电子招投标操作指南”及本招标文件规定编制电子投标文件并进行关联定位，以便评标委员会在评标时，点击评分项，可直接定位到该评分项内容。</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如对招标文件的某项要求，投标人的投标响应文件未能提供相应的内容与其对应，则评标委员会在评审时会提示投标人未对此项招标要求提供相应内容。由此产生的评分影响由投标人自行承担。</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投标文件内容不完整、编排混乱导致投标文件被误读、漏读，或者在按采购文件规定的部分查找不到相关内容的，是投标人的责任。</w:t>
      </w:r>
    </w:p>
    <w:p>
      <w:pPr>
        <w:pStyle w:val="4"/>
        <w:snapToGrid w:val="0"/>
        <w:spacing w:beforeLines="50" w:afterLines="50" w:line="360" w:lineRule="auto"/>
        <w:rPr>
          <w:rFonts w:ascii="宋体" w:hAnsi="宋体" w:eastAsia="宋体" w:cs="宋体"/>
          <w:sz w:val="21"/>
          <w:szCs w:val="21"/>
        </w:rPr>
      </w:pPr>
      <w:bookmarkStart w:id="21" w:name="_Toc1575"/>
      <w:bookmarkStart w:id="22" w:name="_Toc5598"/>
      <w:bookmarkStart w:id="23" w:name="_Toc251566653"/>
      <w:bookmarkStart w:id="24" w:name="_Toc11108"/>
      <w:bookmarkStart w:id="25" w:name="_Toc240450080"/>
      <w:r>
        <w:rPr>
          <w:rFonts w:hint="eastAsia" w:ascii="宋体" w:hAnsi="宋体" w:eastAsia="宋体" w:cs="宋体"/>
          <w:sz w:val="21"/>
          <w:szCs w:val="21"/>
        </w:rPr>
        <w:t>四、投标文件的递交</w:t>
      </w:r>
      <w:bookmarkEnd w:id="21"/>
      <w:bookmarkEnd w:id="22"/>
      <w:bookmarkEnd w:id="23"/>
      <w:bookmarkEnd w:id="24"/>
      <w:bookmarkEnd w:id="25"/>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16．投标文件的递交</w:t>
      </w:r>
    </w:p>
    <w:p>
      <w:pPr>
        <w:pStyle w:val="24"/>
        <w:adjustRightInd w:val="0"/>
        <w:spacing w:line="360" w:lineRule="auto"/>
        <w:ind w:firstLine="420" w:firstLineChars="200"/>
        <w:rPr>
          <w:rFonts w:ascii="宋体" w:hAnsi="宋体" w:eastAsia="宋体" w:cs="宋体"/>
        </w:rPr>
      </w:pPr>
      <w:r>
        <w:rPr>
          <w:rFonts w:hint="eastAsia" w:ascii="宋体" w:hAnsi="宋体" w:eastAsia="宋体" w:cs="宋体"/>
        </w:rPr>
        <w:t>16.1 电子加密投标文件：投标文件制作完成并生成加密标书，在投标截止时间前，投标人需将加密的投标文件上传至政采云平台，到达开标时间后，解密投标文件。</w:t>
      </w:r>
    </w:p>
    <w:p>
      <w:pPr>
        <w:pStyle w:val="24"/>
        <w:adjustRightInd w:val="0"/>
        <w:spacing w:line="360" w:lineRule="auto"/>
        <w:ind w:firstLine="420" w:firstLineChars="200"/>
        <w:rPr>
          <w:rFonts w:ascii="宋体" w:hAnsi="宋体" w:eastAsia="宋体" w:cs="宋体"/>
        </w:rPr>
      </w:pPr>
      <w:r>
        <w:rPr>
          <w:rFonts w:hint="eastAsia" w:ascii="宋体" w:hAnsi="宋体" w:eastAsia="宋体" w:cs="宋体"/>
        </w:rPr>
        <w:t>a.投标人未能在投标截止时间前成功上传电子加密投标文件的投标无效。</w:t>
      </w:r>
    </w:p>
    <w:p>
      <w:pPr>
        <w:pStyle w:val="24"/>
        <w:adjustRightInd w:val="0"/>
        <w:spacing w:line="360" w:lineRule="auto"/>
        <w:ind w:firstLine="420" w:firstLineChars="200"/>
        <w:rPr>
          <w:rFonts w:ascii="宋体" w:hAnsi="宋体" w:eastAsia="宋体" w:cs="宋体"/>
        </w:rPr>
      </w:pPr>
      <w:r>
        <w:rPr>
          <w:rFonts w:hint="eastAsia" w:ascii="宋体" w:hAnsi="宋体" w:eastAsia="宋体" w:cs="宋体"/>
        </w:rPr>
        <w:t>b.投标人成功上传电子加密投标文件后，可自行打印投标文件接收回执。</w:t>
      </w:r>
    </w:p>
    <w:p>
      <w:pPr>
        <w:pStyle w:val="24"/>
        <w:adjustRightInd w:val="0"/>
        <w:spacing w:line="360" w:lineRule="auto"/>
        <w:ind w:firstLine="420" w:firstLineChars="200"/>
        <w:rPr>
          <w:rFonts w:ascii="宋体" w:hAnsi="宋体" w:eastAsia="宋体" w:cs="宋体"/>
        </w:rPr>
      </w:pPr>
      <w:r>
        <w:rPr>
          <w:rFonts w:hint="eastAsia" w:ascii="宋体" w:hAnsi="宋体" w:eastAsia="宋体" w:cs="宋体"/>
        </w:rPr>
        <w:t>16.2备份投标文件：供应商确保在投标截止时间前，将备份投标文件通过快递形式寄达采购代理机构处，以便标书解密异常时应急使用。</w:t>
      </w:r>
    </w:p>
    <w:p>
      <w:pPr>
        <w:pStyle w:val="24"/>
        <w:numPr>
          <w:ilvl w:val="0"/>
          <w:numId w:val="14"/>
        </w:numPr>
        <w:adjustRightInd w:val="0"/>
        <w:spacing w:line="360" w:lineRule="auto"/>
        <w:ind w:firstLine="420" w:firstLineChars="200"/>
        <w:rPr>
          <w:rFonts w:ascii="宋体" w:hAnsi="宋体" w:eastAsia="宋体" w:cs="宋体"/>
        </w:rPr>
      </w:pPr>
      <w:r>
        <w:rPr>
          <w:rFonts w:hint="eastAsia" w:ascii="宋体" w:hAnsi="宋体" w:eastAsia="宋体" w:cs="宋体"/>
        </w:rPr>
        <w:t>备份投标文件递交要求：投标人须将备份投标文件以光盘或U盘形式放在密封袋中，密封后并在密封袋上注明投标项目名称、投标单位名称并加盖公章。未密封包装或者逾期邮寄送达的“备份投标文件”将不予接收。</w:t>
      </w:r>
    </w:p>
    <w:p>
      <w:pPr>
        <w:pStyle w:val="24"/>
        <w:numPr>
          <w:ilvl w:val="0"/>
          <w:numId w:val="14"/>
        </w:numPr>
        <w:adjustRightInd w:val="0"/>
        <w:spacing w:line="360" w:lineRule="auto"/>
        <w:ind w:firstLine="420" w:firstLineChars="200"/>
        <w:rPr>
          <w:rFonts w:ascii="宋体" w:hAnsi="宋体" w:eastAsia="宋体" w:cs="宋体"/>
        </w:rPr>
      </w:pPr>
      <w:r>
        <w:rPr>
          <w:rFonts w:hint="eastAsia" w:ascii="宋体" w:hAnsi="宋体" w:eastAsia="宋体" w:cs="宋体"/>
        </w:rPr>
        <w:t>投标人仅提交备份投标文件的，投标无效。</w:t>
      </w:r>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17．投标截止期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17.1 投标人应按前附表规定的日期、时间和方式上传、递交投标文件。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17.2 采购人可以按本须知第7条规定，通过修改采购文件适当延长投标截止日期。在此情况下，采购人与投标人受投标截止期制约的所有权利和义务均应延长至新的截止期。</w:t>
      </w:r>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18．迟交的投标文件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在本须知第17条规定的截止期后收到的任何投标文件，采购人将不予接收。</w:t>
      </w:r>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19．投标文件的修改与撤回</w:t>
      </w:r>
    </w:p>
    <w:p>
      <w:pPr>
        <w:pStyle w:val="24"/>
        <w:adjustRightInd w:val="0"/>
        <w:spacing w:line="360" w:lineRule="auto"/>
        <w:ind w:firstLine="420" w:firstLineChars="200"/>
        <w:rPr>
          <w:rFonts w:ascii="宋体" w:hAnsi="宋体" w:eastAsia="宋体" w:cs="宋体"/>
        </w:rPr>
      </w:pPr>
      <w:r>
        <w:rPr>
          <w:rFonts w:hint="eastAsia" w:ascii="宋体" w:hAnsi="宋体" w:eastAsia="宋体" w:cs="宋体"/>
          <w:snapToGrid w:val="0"/>
          <w:kern w:val="0"/>
        </w:rPr>
        <w:t>19.1 投标人在递交投标文件后，在规定的投标截止时间前，</w:t>
      </w:r>
      <w:r>
        <w:rPr>
          <w:rFonts w:hint="eastAsia" w:ascii="宋体" w:hAnsi="宋体" w:eastAsia="宋体" w:cs="宋体"/>
        </w:rPr>
        <w:t>可以补充、修改或者撤回电子交易文件。补充或者修改电子交易文件的，应当先行撤回原文件，补充、修改后重新传输递交。投标截止时间前未完成传输的，视为投标文件撤回，投标无效。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19.2 在投标截止期之后，投标人不得对其投标作任何修改。</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19.3 从投标截止期至投标人在投标函格式中确定的投标有效期期满这段时间内，投标人不得撤回其投标。</w:t>
      </w:r>
    </w:p>
    <w:p>
      <w:pPr>
        <w:pStyle w:val="4"/>
        <w:snapToGrid w:val="0"/>
        <w:spacing w:beforeLines="50" w:afterLines="50" w:line="360" w:lineRule="auto"/>
        <w:rPr>
          <w:rFonts w:ascii="宋体" w:hAnsi="宋体" w:eastAsia="宋体" w:cs="宋体"/>
          <w:sz w:val="21"/>
          <w:szCs w:val="21"/>
        </w:rPr>
      </w:pPr>
      <w:bookmarkStart w:id="26" w:name="_Toc13578"/>
      <w:bookmarkStart w:id="27" w:name="_Toc240450081"/>
      <w:bookmarkStart w:id="28" w:name="_Toc14566"/>
      <w:bookmarkStart w:id="29" w:name="_Toc12705"/>
      <w:bookmarkStart w:id="30" w:name="_Toc251566654"/>
      <w:r>
        <w:rPr>
          <w:rFonts w:hint="eastAsia" w:ascii="宋体" w:hAnsi="宋体" w:eastAsia="宋体" w:cs="宋体"/>
          <w:sz w:val="21"/>
          <w:szCs w:val="21"/>
        </w:rPr>
        <w:t>五、开标与评标</w:t>
      </w:r>
      <w:bookmarkEnd w:id="26"/>
      <w:bookmarkEnd w:id="27"/>
      <w:bookmarkEnd w:id="28"/>
      <w:bookmarkEnd w:id="29"/>
      <w:bookmarkEnd w:id="30"/>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20．开标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20.1 采购人将于前附表规定的时间和地点公开开标。若采购人按本须知第7条规定，通过修改采购文件更改了开标时间和地点的，以后者为准。</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20.2开评标期间，投标人代表应在线操作，并关注政采云有关信息公布、澄清等情况。投标人代表不参加开标程序的，事后不得对采购相关人员、开标过程和开标结果提出异议。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20.3 开标程序</w:t>
      </w:r>
    </w:p>
    <w:p>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20.3.1开标第一阶段</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（2）投标文件解密结束，通过邮件形式发送各投标人组织签署《政府采购活动现场确认声明书》；</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（3）开启投标文件，进入资格审查；</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（4）开启资格审查通过的投标供应商的资信技术文件进入符合性审查、资信技术评审；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（5）第一阶段开标结束。</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备注：开标程序的第一阶段，采购人或采购代理机构将依法对投标供应商的资格进行审查，资格审查结束后进入符合性审查和资信技术的评审工作。</w:t>
      </w:r>
    </w:p>
    <w:p>
      <w:pPr>
        <w:adjustRightInd w:val="0"/>
        <w:snapToGrid w:val="0"/>
        <w:spacing w:line="360" w:lineRule="auto"/>
        <w:ind w:firstLine="422" w:firstLineChars="200"/>
        <w:jc w:val="left"/>
        <w:rPr>
          <w:rFonts w:ascii="宋体" w:hAnsi="宋体" w:cs="宋体"/>
          <w:szCs w:val="21"/>
        </w:rPr>
      </w:pPr>
      <w:r>
        <w:rPr>
          <w:rFonts w:hint="eastAsia" w:ascii="宋体" w:hAnsi="宋体" w:cs="宋体"/>
          <w:b/>
          <w:bCs/>
          <w:szCs w:val="21"/>
        </w:rPr>
        <w:t>20.3.2开标第二阶段</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（1）符合性审查、资信技术评审结束后，举行开标程序第二阶段会议。在线公布符合性审查、资信技术评审无效供应商名称及理由；经资信技术评审后有效投标人的名单，及其资信技术部分得分情况。</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开启符合性审查、资信技术评审有效投标人的《报价响应文件》，代理机构点击“开启签字时段”，供应商对开标纪录进行在线签字确认（不予确认的应说明理由，否则视为无异议）。报价响应文件开标结束后，由评标委员会对报价的合理性、准确性等进行审查核实。</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（3）评审结束后，在线公布中标（成交）候选供应商名单，及采购人最终确定中标或成交供应商名单的时间和公告方式等。</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20.4如遇“政府采购云平台”电子化开标或评审程序调整的，或者政采云系统提供数据电文交互功能的，按其规定执行。</w:t>
      </w:r>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21．评标</w:t>
      </w: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21.1 评标组织</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评标工作由招标采购单位负责组织，具体评标事务由招标采购单位依法组建的评标委员会负责。评标委员会由采购人代表和有关技术、经济等方面的专家组成，成员人数应当为五人及以上单数。</w:t>
      </w: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21.2评标纪律</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本次评标工作将在严格保密的情况下进行，评标委员会成员名单在定标前将保密。</w:t>
      </w: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21.3评标办法</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采用综合评分法，详见采购文件第五部分“评标办法”。</w:t>
      </w: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21.4 评标程序</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21.4.1投标文件初审。初审分为资格性检查和符合性检查。</w:t>
      </w:r>
    </w:p>
    <w:p>
      <w:pPr>
        <w:numPr>
          <w:ilvl w:val="0"/>
          <w:numId w:val="15"/>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资格性检查。</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开标后，采购人或采购代理机构将依据法律法规和本须知第9.1条规定对投标人的基本资格条件、特定资格条件进行审查。</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napToGrid w:val="0"/>
          <w:kern w:val="0"/>
          <w:szCs w:val="21"/>
        </w:rPr>
        <w:t>投标人未按照采购文件投标须知9.1条要求提供与基本资格条件、特定资格条件相应的有效资格证明材料的，视为投标人不具备采购文件中规定的资格要求，其资格审查不通过。</w:t>
      </w:r>
    </w:p>
    <w:p>
      <w:pPr>
        <w:numPr>
          <w:ilvl w:val="0"/>
          <w:numId w:val="15"/>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符合性检查。依据采购文件的规定，从投标文件的有效性、完整性和对采购文件的响应程度进行审查，以确定是否对采购文件的实质性要求作出响应。具体审查内容见投标须知22条“无效投标的认定”。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评标委员会决定投标文件的响应性只根据投标文件本身的内容，而不寻求外部证据。</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投标供应商的澄清、说明或者补正应当由法定代表人或其授权的代表签字（或加盖公章）后扫描上传提交。</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除邮件交互外，如政采云平台提供信息发布、澄清说明、数据交换等操作方式的，或者政采云系统平台有新的操作流程的，按其规定。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21.4.3修正原则</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投标文件报价出现前后不一致的，按照下列规定修正：</w:t>
      </w:r>
    </w:p>
    <w:p>
      <w:pPr>
        <w:numPr>
          <w:ilvl w:val="0"/>
          <w:numId w:val="16"/>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pPr>
        <w:numPr>
          <w:ilvl w:val="0"/>
          <w:numId w:val="16"/>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大写金额和小写金额不一致的，以大写金额为准；</w:t>
      </w:r>
    </w:p>
    <w:p>
      <w:pPr>
        <w:numPr>
          <w:ilvl w:val="0"/>
          <w:numId w:val="16"/>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pPr>
        <w:numPr>
          <w:ilvl w:val="0"/>
          <w:numId w:val="16"/>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总价金额与按单价汇总金额不一致的，以单价金额计算结果为准。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21.4.4比较与评价。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按采购文件中规定的评标方法和标准，对资格性检查和符合性检查合格的投标文件进行商务和技术评估，综合比较与评价。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21.4.5按采购文件中规定的评标方法和标准，对投标人进行排序，并推荐中标候选人。</w:t>
      </w:r>
    </w:p>
    <w:p>
      <w:pPr>
        <w:adjustRightInd w:val="0"/>
        <w:snapToGrid w:val="0"/>
        <w:spacing w:line="360" w:lineRule="auto"/>
        <w:ind w:firstLine="420" w:firstLineChars="200"/>
        <w:jc w:val="left"/>
        <w:rPr>
          <w:rFonts w:ascii="宋体" w:hAnsi="宋体" w:cs="宋体"/>
          <w:b/>
          <w:szCs w:val="21"/>
        </w:rPr>
      </w:pPr>
      <w:r>
        <w:rPr>
          <w:rFonts w:hint="eastAsia" w:ascii="宋体" w:hAnsi="宋体" w:cs="宋体"/>
          <w:szCs w:val="21"/>
        </w:rPr>
        <w:t>21.4.6编写评标报告</w:t>
      </w:r>
      <w:r>
        <w:rPr>
          <w:rFonts w:hint="eastAsia" w:ascii="宋体" w:hAnsi="宋体" w:cs="宋体"/>
          <w:b/>
          <w:szCs w:val="21"/>
        </w:rPr>
        <w:t>。</w:t>
      </w:r>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22．无效投标的认定</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评审时，对投标人的技术文件、商务资信、报价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22.1如发现下列情形之一的，投标文件将被视为无效投标：</w:t>
      </w:r>
    </w:p>
    <w:p>
      <w:pPr>
        <w:numPr>
          <w:ilvl w:val="0"/>
          <w:numId w:val="17"/>
        </w:numPr>
        <w:tabs>
          <w:tab w:val="left" w:pos="90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未按时上传或按时解密电子投标文件的；</w:t>
      </w:r>
    </w:p>
    <w:p>
      <w:pPr>
        <w:numPr>
          <w:ilvl w:val="0"/>
          <w:numId w:val="17"/>
        </w:numPr>
        <w:tabs>
          <w:tab w:val="left" w:pos="90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资格响应文件不全的或者不符合采购文件标明的资格要求的；</w:t>
      </w:r>
    </w:p>
    <w:p>
      <w:pPr>
        <w:numPr>
          <w:ilvl w:val="0"/>
          <w:numId w:val="17"/>
        </w:numPr>
        <w:tabs>
          <w:tab w:val="left" w:pos="90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投标文件中法定代表人授权书所载内容与本项目内容有异的或者法定代表人授权书未按照采购文件要求签署、盖章的；</w:t>
      </w:r>
    </w:p>
    <w:p>
      <w:pPr>
        <w:numPr>
          <w:ilvl w:val="0"/>
          <w:numId w:val="17"/>
        </w:numPr>
        <w:tabs>
          <w:tab w:val="left" w:pos="90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投标文件内容弄虚作假的；</w:t>
      </w:r>
    </w:p>
    <w:p>
      <w:pPr>
        <w:numPr>
          <w:ilvl w:val="0"/>
          <w:numId w:val="17"/>
        </w:numPr>
        <w:tabs>
          <w:tab w:val="left" w:pos="90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未按采购文件中明确的要求签署、盖章的；</w:t>
      </w:r>
    </w:p>
    <w:p>
      <w:pPr>
        <w:numPr>
          <w:ilvl w:val="0"/>
          <w:numId w:val="17"/>
        </w:numPr>
        <w:tabs>
          <w:tab w:val="left" w:pos="900"/>
          <w:tab w:val="left" w:pos="108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bCs/>
          <w:szCs w:val="21"/>
        </w:rPr>
        <w:t>不响应采购文件标注“▲”条款要求的；</w:t>
      </w:r>
    </w:p>
    <w:p>
      <w:pPr>
        <w:numPr>
          <w:ilvl w:val="0"/>
          <w:numId w:val="17"/>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投标有效期、交货期等条款不能满足采购文件要求的；</w:t>
      </w:r>
    </w:p>
    <w:p>
      <w:pPr>
        <w:numPr>
          <w:ilvl w:val="0"/>
          <w:numId w:val="17"/>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开标一览表投标报价为零的（包括投标文件中标明：免费或赠予）或其报价（大写）无法按正常书写方式进行报价唱标的或无投标报价的；</w:t>
      </w:r>
    </w:p>
    <w:p>
      <w:pPr>
        <w:numPr>
          <w:ilvl w:val="0"/>
          <w:numId w:val="17"/>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政采云平台填报的开标一览表中的价格与上传的报价响应文件中开标一览表的报价不一致的；</w:t>
      </w:r>
    </w:p>
    <w:p>
      <w:pPr>
        <w:numPr>
          <w:ilvl w:val="0"/>
          <w:numId w:val="17"/>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snapToGrid w:val="0"/>
          <w:kern w:val="0"/>
        </w:rPr>
        <w:t>投标人提交两份或多份内容不同的报价响应文件，或在一份报价响应文件中对同一内容报有两个或多个报价，且未声明哪一个为最终报价的；</w:t>
      </w:r>
    </w:p>
    <w:p>
      <w:pPr>
        <w:numPr>
          <w:ilvl w:val="0"/>
          <w:numId w:val="17"/>
        </w:numPr>
        <w:tabs>
          <w:tab w:val="left" w:pos="900"/>
          <w:tab w:val="left" w:pos="1080"/>
          <w:tab w:val="clear" w:pos="1273"/>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pPr>
        <w:numPr>
          <w:ilvl w:val="0"/>
          <w:numId w:val="17"/>
        </w:numPr>
        <w:tabs>
          <w:tab w:val="left" w:pos="900"/>
          <w:tab w:val="left" w:pos="1080"/>
          <w:tab w:val="clear" w:pos="1273"/>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投标报价超过采购文件中规定的预算金额的；</w:t>
      </w:r>
    </w:p>
    <w:p>
      <w:pPr>
        <w:numPr>
          <w:ilvl w:val="0"/>
          <w:numId w:val="17"/>
        </w:numPr>
        <w:tabs>
          <w:tab w:val="left" w:pos="900"/>
          <w:tab w:val="left" w:pos="1080"/>
          <w:tab w:val="clear" w:pos="1273"/>
        </w:tabs>
        <w:adjustRightInd w:val="0"/>
        <w:snapToGrid w:val="0"/>
        <w:spacing w:line="360" w:lineRule="auto"/>
        <w:ind w:left="0" w:firstLine="360"/>
        <w:jc w:val="left"/>
        <w:rPr>
          <w:rFonts w:ascii="宋体" w:hAnsi="宋体" w:cs="宋体"/>
          <w:snapToGrid w:val="0"/>
          <w:kern w:val="0"/>
          <w:szCs w:val="21"/>
        </w:rPr>
      </w:pPr>
      <w:r>
        <w:rPr>
          <w:rFonts w:hint="eastAsia" w:ascii="宋体" w:hAnsi="宋体" w:cs="宋体"/>
          <w:b/>
          <w:bCs/>
          <w:szCs w:val="21"/>
        </w:rPr>
        <w:t>存在法律、法规规定及采购文件规定的其它无效情形的。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22.2有下列情形之一的，视为投标人串通投标，其投标无效：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（1）不同投标人的投标文件由同一单位或者个人编制；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（2）不同投标人委托同一单位或者个人办理投标事宜；</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（3）不同投标人的投标文件载明的项目管理成员或者联系人员为同一人；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（4）不同投标人的投标文件异常一致或者投标报价呈规律性差异；</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（5）不同投标人的投标文件相互混装。</w:t>
      </w:r>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23．废标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23.1根据《中华人民共和国政府采购法》第三十六条，出现下列情形之一的，应予以废标：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（1）符合专业条件的供应商或者对采购文件作实质响应的供应商不足三家的；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（2）出现影响采购公正的违法、违规行为的；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（3）所有投标人的报价均超过了采购预算，采购人不能支付的；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（4）因重大变故，采购任务取消的。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23.2采购过程中出现以下情形，导致电子交易平台无法正常运行，或者无法保证电子交易的公平、公正和安全时，采购组织机构可中止电子交易活动：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（1）电子交易平台发生故障而无法登录访问的； </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（2）电子交易平台应用或数据库出现错误，不能进行正常操作的；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（3）电子交易平台发现严重安全漏洞，有潜在泄密危险的；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（4）病毒发作导致不能进行正常操作的； </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（5）其他无法保证电子交易的公平、公正和安全的情况。</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23.3 废标后，采购人应当将废标理由通知所有投标人并重新组织招标；或者经主管部门批准，采取其他方式组织采购。</w:t>
      </w:r>
    </w:p>
    <w:p>
      <w:pPr>
        <w:pStyle w:val="4"/>
        <w:snapToGrid w:val="0"/>
        <w:spacing w:beforeLines="50" w:afterLines="50" w:line="360" w:lineRule="auto"/>
        <w:rPr>
          <w:rFonts w:ascii="宋体" w:hAnsi="宋体" w:eastAsia="宋体" w:cs="宋体"/>
          <w:sz w:val="21"/>
          <w:szCs w:val="21"/>
        </w:rPr>
      </w:pPr>
      <w:bookmarkStart w:id="31" w:name="_Toc26186"/>
      <w:bookmarkStart w:id="32" w:name="_Toc240450082"/>
      <w:bookmarkStart w:id="33" w:name="_Toc15528"/>
      <w:bookmarkStart w:id="34" w:name="_Toc251566655"/>
      <w:r>
        <w:rPr>
          <w:rFonts w:hint="eastAsia" w:ascii="宋体" w:hAnsi="宋体" w:eastAsia="宋体" w:cs="宋体"/>
          <w:sz w:val="21"/>
          <w:szCs w:val="21"/>
        </w:rPr>
        <w:t>六、确定中标人及授予合同</w:t>
      </w:r>
      <w:bookmarkEnd w:id="31"/>
      <w:bookmarkEnd w:id="32"/>
      <w:bookmarkEnd w:id="33"/>
      <w:bookmarkEnd w:id="34"/>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24．中标人的确定</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24.1 采购代理机构应当自评审结束之日起2个工作日内将评审报告送交采购人。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采购人或者采购代理机构应当自中标人确定之日起2个工作日内，在省级以上财政部门指定的媒体上公告中标结果，采购文件应当随中标结果同时公告。</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公告期限为1个工作日。</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24.2 除国务院财政部门规定的情形外，采购人、采购代理机构不得以任何理由组织重新评审。采购人、采购代理机构按照国务院财政部门的规定组织重新评审的，应当书面报告本级人民政府财政部门。</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24.3中标通知书发出后，采购人不得违法改变中标结果，中标人无正当理由不得放弃中标。 </w:t>
      </w:r>
    </w:p>
    <w:p>
      <w:pPr>
        <w:adjustRightInd w:val="0"/>
        <w:snapToGrid w:val="0"/>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24.4中标人应为浙江政府采购注册供应商，如尚未注册，必须在投标截止前按照《浙江省政府采购供应商注册及诚信管理暂行办法》（浙财采监字［2009］28号）的相关规定，及时办理更新或供应商注册事项。</w:t>
      </w:r>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25．合同授予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25.1 本项目的合同将授予按本须知第24.1款所确定的中标人。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25.2 中标或者成交供应商拒绝与采购人签订合同的，采购人可以按照评审报告推荐的中标或者成交候选人名单排序，确定下一候选人为中标或者成交供应商，也可以重新开展政府采购活动。</w:t>
      </w:r>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26．签订合同</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26.1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26.3 采购文件、中标人的投标文件及投标修改文件、评标过程中有关澄清文件及经投标人法定代表人或授权代表签字确认的询标回复和承诺及中标通知书均作为合同组成部分。</w:t>
      </w:r>
    </w:p>
    <w:p>
      <w:pPr>
        <w:adjustRightInd w:val="0"/>
        <w:snapToGrid w:val="0"/>
        <w:spacing w:beforeLines="50" w:line="360" w:lineRule="auto"/>
        <w:ind w:firstLine="422" w:firstLineChars="200"/>
        <w:rPr>
          <w:rFonts w:ascii="宋体" w:hAnsi="宋体" w:cs="宋体"/>
          <w:b/>
          <w:szCs w:val="21"/>
        </w:rPr>
      </w:pPr>
      <w:r>
        <w:rPr>
          <w:rFonts w:hint="eastAsia" w:ascii="宋体" w:hAnsi="宋体" w:cs="宋体"/>
          <w:b/>
          <w:szCs w:val="21"/>
        </w:rPr>
        <w:t>27．履约保证金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27.1 </w:t>
      </w:r>
      <w:r>
        <w:rPr>
          <w:rFonts w:ascii="宋体" w:hAnsi="宋体" w:cs="宋体"/>
        </w:rPr>
        <w:t>中标人应在</w:t>
      </w:r>
      <w:r>
        <w:rPr>
          <w:rFonts w:hint="eastAsia" w:ascii="宋体" w:hAnsi="宋体" w:cs="宋体"/>
        </w:rPr>
        <w:t>合同签订后3</w:t>
      </w:r>
      <w:r>
        <w:rPr>
          <w:rFonts w:ascii="宋体" w:hAnsi="宋体" w:cs="宋体"/>
        </w:rPr>
        <w:t xml:space="preserve">日内按合同总金额的 </w:t>
      </w:r>
      <w:r>
        <w:rPr>
          <w:rFonts w:hint="eastAsia" w:ascii="宋体" w:hAnsi="宋体" w:cs="宋体"/>
        </w:rPr>
        <w:t>5</w:t>
      </w:r>
      <w:r>
        <w:rPr>
          <w:rFonts w:ascii="宋体" w:hAnsi="宋体" w:cs="宋体"/>
        </w:rPr>
        <w:t>%提交履约保证金给采购人，服务期满并经采购人确认服务质量后，采购人将全额退还履约保证金（不计息）</w:t>
      </w:r>
      <w:r>
        <w:rPr>
          <w:rFonts w:hint="eastAsia" w:ascii="宋体" w:hAnsi="宋体" w:cs="宋体"/>
          <w:snapToGrid w:val="0"/>
          <w:kern w:val="0"/>
          <w:szCs w:val="21"/>
        </w:rPr>
        <w:t>。</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27.2如投标人有下列情况，投标人将承担赔偿责任，赔偿金额为项目预算金额的2%，如实际损失超过前述金额的，投标人需赔偿超过前述金额部分的实际损失。</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（1）投标人在投标截止时间后撤销投标文件的；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（2）投标人未按规定签订合同或转让中标的；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（3）其他投标人违反《中华人民共和国政府采购法》等法律法规规定，给采购人造成损失的。</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28.质疑与投诉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质疑函范本、投诉书范本请到浙江政府采购网下载专区下载。</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28.1供应商询问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供应商对政府采购活动事项有疑问的，可以向采购机构提出询问，采购人或者采购代理机构应当在3个工作日内对供应商依法提出的询问作出答复，但答复的内容不得涉及商业秘密。</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28.2供应商质疑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28.2.1投标人认为采购文件、采购过程、中标或者成交结果使自己的权益受到损害的，可以在知道或者应知其权益受到损害之日起7个工作日内，以书面形式向采购人、采购代理机构提出质疑。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本项目要求投标人在法定质疑期内一次性提出针对同一采购程序环节的质疑。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28.2.2提出质疑的投标人（以下简称质疑人）应当是参与所质疑项目采购活动的投标人。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潜在投标人已依法获取其可质疑的采购文件的，可以对该文件提出质疑。对采购文件提出质疑的，应当在获取采购文件或者采购文件公告期限届满之日起7个工作日内提出。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28.2.3投标人提出质疑应当提交质疑函和必要的证明材料。质疑函应当包括下列内容：</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（一）投标人的姓名或者名称、地址、邮编、联系人及联系电话；</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（二）质疑项目的名称、编号；</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（三）具体、明确的质疑事项和与质疑事项相关的请求；</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（四）事实依据；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（五）必要的法律依据；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（六）提出质疑的日期。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28.2.4采购人、采购代理机构在收到法定质疑期内发出的质疑函后7个工作日内作出答复，并以书面形式通知质疑人和其他有关投标人。质疑答复的内容不得涉及商业秘密。</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28.3供应商投诉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质疑供应商对采购机构的答复不满意或者采购机构未在规定的时间内作出答复的，可以在答复期满后十五个工作日内向同级政府采购监督管理部门提出投诉。</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29．采购结束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29.1中标人与采购人签订合同生效后即为采购结束。</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29.2本项目的投标文件不予退回。</w:t>
      </w:r>
    </w:p>
    <w:p>
      <w:pPr>
        <w:adjustRightInd w:val="0"/>
        <w:snapToGrid w:val="0"/>
        <w:spacing w:line="360" w:lineRule="auto"/>
        <w:ind w:firstLine="420" w:firstLineChars="200"/>
        <w:jc w:val="left"/>
        <w:rPr>
          <w:rFonts w:ascii="宋体" w:hAnsi="宋体" w:cs="宋体"/>
          <w:snapToGrid w:val="0"/>
          <w:kern w:val="0"/>
          <w:szCs w:val="21"/>
        </w:rPr>
      </w:pPr>
    </w:p>
    <w:p>
      <w:pPr>
        <w:adjustRightInd w:val="0"/>
        <w:snapToGrid w:val="0"/>
        <w:spacing w:beforeLines="50" w:afterLines="50" w:line="360" w:lineRule="auto"/>
        <w:jc w:val="center"/>
        <w:outlineLvl w:val="0"/>
        <w:rPr>
          <w:rFonts w:ascii="宋体" w:hAnsi="宋体" w:cs="宋体"/>
          <w:sz w:val="36"/>
        </w:rPr>
      </w:pPr>
      <w:r>
        <w:rPr>
          <w:rFonts w:hint="eastAsia" w:ascii="宋体" w:hAnsi="宋体" w:cs="宋体"/>
          <w:b/>
          <w:bCs/>
          <w:sz w:val="28"/>
          <w:szCs w:val="21"/>
        </w:rPr>
        <w:br w:type="page"/>
      </w:r>
      <w:bookmarkStart w:id="35" w:name="_Toc83616202"/>
      <w:bookmarkStart w:id="36" w:name="_Toc31190"/>
      <w:bookmarkStart w:id="37" w:name="_Toc242012796"/>
      <w:bookmarkStart w:id="38" w:name="_Toc31251"/>
      <w:r>
        <w:rPr>
          <w:rFonts w:hint="eastAsia" w:ascii="宋体" w:hAnsi="宋体" w:cs="宋体"/>
          <w:b/>
          <w:sz w:val="30"/>
          <w:szCs w:val="30"/>
        </w:rPr>
        <w:t>第三部分</w:t>
      </w:r>
      <w:bookmarkEnd w:id="35"/>
      <w:r>
        <w:rPr>
          <w:rFonts w:hint="eastAsia" w:ascii="宋体" w:hAnsi="宋体" w:cs="宋体"/>
          <w:b/>
          <w:sz w:val="30"/>
          <w:szCs w:val="30"/>
        </w:rPr>
        <w:t xml:space="preserve"> 用户需求书</w:t>
      </w:r>
      <w:bookmarkEnd w:id="36"/>
      <w:bookmarkEnd w:id="37"/>
      <w:bookmarkEnd w:id="38"/>
    </w:p>
    <w:p>
      <w:pPr>
        <w:spacing w:line="360" w:lineRule="auto"/>
        <w:jc w:val="center"/>
        <w:outlineLvl w:val="0"/>
        <w:rPr>
          <w:rFonts w:ascii="宋体" w:hAnsi="宋体" w:cs="仿宋_GB2312"/>
          <w:b/>
          <w:color w:val="000000"/>
          <w:sz w:val="36"/>
          <w:szCs w:val="36"/>
        </w:rPr>
      </w:pPr>
      <w:bookmarkStart w:id="39" w:name="_Toc19650"/>
      <w:bookmarkStart w:id="40" w:name="_Toc242012824"/>
      <w:bookmarkStart w:id="41" w:name="_Toc31231"/>
      <w:r>
        <w:rPr>
          <w:rFonts w:hint="eastAsia" w:ascii="宋体" w:hAnsi="宋体"/>
          <w:b/>
          <w:color w:val="000000"/>
          <w:sz w:val="24"/>
        </w:rPr>
        <w:t>一、</w:t>
      </w:r>
      <w:r>
        <w:rPr>
          <w:rFonts w:hint="eastAsia" w:ascii="宋体" w:hAnsi="宋体"/>
          <w:b/>
          <w:sz w:val="24"/>
        </w:rPr>
        <w:t>招标一览表</w:t>
      </w:r>
    </w:p>
    <w:p>
      <w:pPr>
        <w:spacing w:line="360" w:lineRule="auto"/>
        <w:ind w:firstLine="3780" w:firstLineChars="1800"/>
        <w:rPr>
          <w:rFonts w:ascii="宋体" w:hAnsi="宋体"/>
          <w:szCs w:val="21"/>
        </w:rPr>
      </w:pPr>
      <w:r>
        <w:rPr>
          <w:rFonts w:hint="eastAsia" w:ascii="宋体" w:hAnsi="宋体"/>
          <w:szCs w:val="21"/>
        </w:rPr>
        <w:t xml:space="preserve">标项一     </w:t>
      </w:r>
    </w:p>
    <w:tbl>
      <w:tblPr>
        <w:tblStyle w:val="43"/>
        <w:tblW w:w="0" w:type="auto"/>
        <w:jc w:val="center"/>
        <w:tblLayout w:type="fixed"/>
        <w:tblCellMar>
          <w:top w:w="0" w:type="dxa"/>
          <w:left w:w="0" w:type="dxa"/>
          <w:bottom w:w="0" w:type="dxa"/>
          <w:right w:w="0" w:type="dxa"/>
        </w:tblCellMar>
      </w:tblPr>
      <w:tblGrid>
        <w:gridCol w:w="680"/>
        <w:gridCol w:w="2340"/>
        <w:gridCol w:w="2160"/>
        <w:gridCol w:w="1080"/>
        <w:gridCol w:w="1080"/>
        <w:gridCol w:w="1062"/>
      </w:tblGrid>
      <w:tr>
        <w:tblPrEx>
          <w:tblCellMar>
            <w:top w:w="0" w:type="dxa"/>
            <w:left w:w="0" w:type="dxa"/>
            <w:bottom w:w="0" w:type="dxa"/>
            <w:right w:w="0" w:type="dxa"/>
          </w:tblCellMar>
        </w:tblPrEx>
        <w:trPr>
          <w:cantSplit/>
          <w:trHeight w:val="557" w:hRule="atLeast"/>
          <w:jc w:val="center"/>
        </w:trPr>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序号</w:t>
            </w:r>
          </w:p>
        </w:tc>
        <w:tc>
          <w:tcPr>
            <w:tcW w:w="23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名称</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规格型号与参数</w:t>
            </w: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单位</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数量</w:t>
            </w:r>
          </w:p>
        </w:tc>
        <w:tc>
          <w:tcPr>
            <w:tcW w:w="10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position w:val="-6"/>
                <w:szCs w:val="21"/>
              </w:rPr>
            </w:pPr>
            <w:r>
              <w:rPr>
                <w:rFonts w:hint="eastAsia" w:ascii="宋体" w:hAnsi="宋体"/>
                <w:position w:val="-6"/>
                <w:szCs w:val="21"/>
              </w:rPr>
              <w:t>备注</w:t>
            </w:r>
          </w:p>
        </w:tc>
      </w:tr>
      <w:tr>
        <w:tblPrEx>
          <w:tblCellMar>
            <w:top w:w="0" w:type="dxa"/>
            <w:left w:w="0" w:type="dxa"/>
            <w:bottom w:w="0" w:type="dxa"/>
            <w:right w:w="0" w:type="dxa"/>
          </w:tblCellMar>
        </w:tblPrEx>
        <w:trPr>
          <w:cantSplit/>
          <w:trHeight w:val="548" w:hRule="atLeast"/>
          <w:jc w:val="center"/>
        </w:trPr>
        <w:tc>
          <w:tcPr>
            <w:tcW w:w="6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1</w:t>
            </w:r>
          </w:p>
        </w:tc>
        <w:tc>
          <w:tcPr>
            <w:tcW w:w="23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2021-2023年滨江区市政雨水管网养护项目</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详见采购需求</w:t>
            </w:r>
          </w:p>
        </w:tc>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1</w:t>
            </w:r>
          </w:p>
        </w:tc>
        <w:tc>
          <w:tcPr>
            <w:tcW w:w="1062" w:type="dxa"/>
            <w:tcBorders>
              <w:top w:val="nil"/>
              <w:left w:val="nil"/>
              <w:bottom w:val="single" w:color="auto" w:sz="4" w:space="0"/>
              <w:right w:val="single" w:color="auto" w:sz="4" w:space="0"/>
            </w:tcBorders>
            <w:vAlign w:val="center"/>
          </w:tcPr>
          <w:p>
            <w:pPr>
              <w:spacing w:line="360" w:lineRule="auto"/>
              <w:ind w:firstLine="420" w:firstLineChars="200"/>
              <w:jc w:val="center"/>
              <w:rPr>
                <w:rFonts w:ascii="宋体" w:hAnsi="宋体"/>
                <w:position w:val="-6"/>
                <w:szCs w:val="21"/>
              </w:rPr>
            </w:pPr>
          </w:p>
        </w:tc>
      </w:tr>
    </w:tbl>
    <w:p>
      <w:pPr>
        <w:spacing w:line="360" w:lineRule="auto"/>
        <w:rPr>
          <w:rFonts w:ascii="宋体" w:hAnsi="宋体"/>
          <w:b/>
          <w:szCs w:val="21"/>
        </w:rPr>
      </w:pPr>
    </w:p>
    <w:p>
      <w:pPr>
        <w:spacing w:line="360" w:lineRule="auto"/>
        <w:jc w:val="center"/>
        <w:rPr>
          <w:rFonts w:ascii="宋体" w:hAnsi="宋体"/>
          <w:b/>
          <w:color w:val="000000"/>
          <w:szCs w:val="21"/>
        </w:rPr>
      </w:pPr>
      <w:r>
        <w:rPr>
          <w:rFonts w:hint="eastAsia" w:ascii="宋体" w:hAnsi="宋体"/>
          <w:b/>
          <w:color w:val="000000"/>
          <w:szCs w:val="21"/>
        </w:rPr>
        <w:t>二、招标需求</w:t>
      </w:r>
    </w:p>
    <w:p>
      <w:pPr>
        <w:spacing w:line="360" w:lineRule="auto"/>
        <w:ind w:firstLine="420" w:firstLineChars="200"/>
        <w:jc w:val="left"/>
        <w:outlineLvl w:val="2"/>
        <w:rPr>
          <w:rFonts w:ascii="宋体" w:hAnsi="宋体" w:cs="宋体"/>
          <w:bCs/>
          <w:szCs w:val="21"/>
        </w:rPr>
      </w:pPr>
      <w:r>
        <w:rPr>
          <w:rFonts w:hint="eastAsia" w:ascii="宋体" w:hAnsi="宋体" w:cs="宋体"/>
          <w:bCs/>
          <w:szCs w:val="21"/>
        </w:rPr>
        <w:t>一、项目概括及要求</w:t>
      </w:r>
    </w:p>
    <w:p>
      <w:pPr>
        <w:spacing w:line="360" w:lineRule="auto"/>
        <w:ind w:firstLine="420" w:firstLineChars="200"/>
        <w:jc w:val="left"/>
        <w:outlineLvl w:val="2"/>
        <w:rPr>
          <w:rFonts w:ascii="宋体" w:hAnsi="宋体" w:cs="宋体"/>
          <w:bCs/>
          <w:szCs w:val="21"/>
        </w:rPr>
      </w:pPr>
      <w:r>
        <w:rPr>
          <w:rFonts w:hint="eastAsia" w:ascii="宋体" w:hAnsi="宋体" w:cs="宋体"/>
          <w:bCs/>
          <w:szCs w:val="21"/>
        </w:rPr>
        <w:t>本项目为2021-2023年滨江区市政雨水管网养护项目共计 6 个标段，包括市政管网雨水主、支管、预留管疏通养护；雨水检查井（含预留井）、雨水收集井清捞、吸淤；检查井防坠网维护；管线巡查；以及做好城区防汛排涝应急工作、清淤后的淤泥运输处置等。本次招标服务期为 三年。</w:t>
      </w:r>
    </w:p>
    <w:p>
      <w:pPr>
        <w:spacing w:line="360" w:lineRule="auto"/>
        <w:ind w:firstLine="420" w:firstLineChars="200"/>
        <w:jc w:val="left"/>
        <w:outlineLvl w:val="2"/>
        <w:rPr>
          <w:rFonts w:ascii="宋体" w:hAnsi="宋体" w:cs="宋体"/>
          <w:bCs/>
          <w:szCs w:val="21"/>
        </w:rPr>
      </w:pPr>
      <w:r>
        <w:rPr>
          <w:rFonts w:hint="eastAsia" w:ascii="宋体" w:hAnsi="宋体" w:cs="宋体"/>
          <w:bCs/>
          <w:szCs w:val="21"/>
        </w:rPr>
        <w:t>具体养护路段情况如下：</w:t>
      </w:r>
    </w:p>
    <w:p>
      <w:pPr>
        <w:spacing w:line="360" w:lineRule="auto"/>
        <w:ind w:firstLine="420" w:firstLineChars="200"/>
        <w:jc w:val="left"/>
        <w:outlineLvl w:val="2"/>
        <w:rPr>
          <w:rFonts w:ascii="宋体" w:hAnsi="宋体" w:cs="宋体"/>
          <w:bCs/>
          <w:szCs w:val="21"/>
        </w:rPr>
      </w:pPr>
      <w:r>
        <w:rPr>
          <w:rFonts w:hint="eastAsia" w:ascii="宋体" w:hAnsi="宋体" w:cs="宋体"/>
          <w:bCs/>
          <w:szCs w:val="21"/>
        </w:rPr>
        <w:t>1、标项一</w:t>
      </w:r>
    </w:p>
    <w:tbl>
      <w:tblPr>
        <w:tblStyle w:val="43"/>
        <w:tblpPr w:leftFromText="180" w:rightFromText="180" w:vertAnchor="text" w:horzAnchor="page" w:tblpXSpec="center" w:tblpY="419"/>
        <w:tblOverlap w:val="never"/>
        <w:tblW w:w="8595" w:type="dxa"/>
        <w:jc w:val="center"/>
        <w:tblLayout w:type="fixed"/>
        <w:tblCellMar>
          <w:top w:w="0" w:type="dxa"/>
          <w:left w:w="0" w:type="dxa"/>
          <w:bottom w:w="0" w:type="dxa"/>
          <w:right w:w="0" w:type="dxa"/>
        </w:tblCellMar>
      </w:tblPr>
      <w:tblGrid>
        <w:gridCol w:w="763"/>
        <w:gridCol w:w="944"/>
        <w:gridCol w:w="765"/>
        <w:gridCol w:w="863"/>
        <w:gridCol w:w="900"/>
        <w:gridCol w:w="750"/>
        <w:gridCol w:w="742"/>
        <w:gridCol w:w="544"/>
        <w:gridCol w:w="777"/>
        <w:gridCol w:w="764"/>
        <w:gridCol w:w="783"/>
      </w:tblGrid>
      <w:tr>
        <w:tblPrEx>
          <w:tblCellMar>
            <w:top w:w="0" w:type="dxa"/>
            <w:left w:w="0" w:type="dxa"/>
            <w:bottom w:w="0" w:type="dxa"/>
            <w:right w:w="0" w:type="dxa"/>
          </w:tblCellMar>
        </w:tblPrEx>
        <w:trPr>
          <w:trHeight w:val="130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道路名称</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Φ≤300雨水管养护（米）</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 Φ≤ 600雨水管养护（米）</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 Φ≤1000雨水管养护（米）</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1000＜Φ≤ 1500雨水管养护（米）</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Φ＞1500雨水管养护（米）</w:t>
            </w: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检查井清淤泥（座）</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雨水口清淤（座）</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雨水灌渠清淤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m³</w:t>
            </w:r>
            <w:r>
              <w:rPr>
                <w:rFonts w:hint="eastAsia" w:ascii="宋体" w:hAnsi="宋体" w:cs="宋体"/>
                <w:color w:val="000000"/>
                <w:kern w:val="0"/>
                <w:szCs w:val="21"/>
                <w:lang w:eastAsia="zh-CN"/>
              </w:rPr>
              <w:t>）</w:t>
            </w: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0" w:type="dxa"/>
            <w:bottom w:w="0" w:type="dxa"/>
            <w:right w:w="0" w:type="dxa"/>
          </w:tblCellMar>
        </w:tblPrEx>
        <w:trPr>
          <w:trHeight w:val="130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滨盛路：阡陌路-三桥高架</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730</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340.5</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353.5</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308</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102.5</w:t>
            </w: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西兴路：闻涛路-同乐园门口萧山界</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3952</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3473</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990</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627</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769</w:t>
            </w: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147</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453</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滨安路（风情大道-江陵路）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1254</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823</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650</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41</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132</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滨兴路：江陵路-风情大道</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1006</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575</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1496</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921</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119</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滨康路：江陵路-风情大道</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1054</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582</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634</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36</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126</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丹枫路：阡陌路-机场城市大道</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400</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317</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609.2</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江汉路：西兴路-江陵路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964</w:t>
            </w: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月明路：江陵路-风情大道</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2808</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628</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740</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345.5</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144</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滨和路：江陵路-风情大道</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1399.5</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351</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643</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274.3</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155</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阡陌路：江南大道-北塘河</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945.6</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839</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242</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943</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119</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共联路：物联网街-月明路、滨和路-江汉东路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307</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490.3</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新联路：物联网街-江汉东路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637</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916</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固陵路：滨安路-滨康路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366.5</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364</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启智街：江陵路-西兴路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1013.5</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76.5</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563.5</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354</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物联网街：江陵路-西兴路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673.5</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791.5</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1158</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354</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联惠街：阡陌路-西兴路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498</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500</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缤纷街：睿祥巷-阡陌路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440</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950</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缤纷小区西侧一号支路【五区块规划支路3】：缤纷街-丹枫路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263</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155</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江南大道（阡陌路—机场高速）</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1330</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991</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938</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睿祥巷（解放桥路）：丹枫路-江南大道</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132</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113.5</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267.3</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机场城市大道：闻涛路-七甲河桥萧山界</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6368</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2598</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2431</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888</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512</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协同路（物联网街-滨和路）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794</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536</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744.2</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110</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西陵路：滨安路-南环路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491.4</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220</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1100</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闻涛路：三桥高架-七甲河</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916</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1016.5</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101</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滨盛路：三桥高架-飞虹路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701</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300.8</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44</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科技馆街：扬帆路-飞虹路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00"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扬帆路：闻涛路-奔竞二路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710</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229</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292</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442</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813</w:t>
            </w: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飞虹路：闻涛路-七甲河桥</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870</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602</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598</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627</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261</w:t>
            </w: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64</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奥体街：扬帆路-飞虹路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244</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奔竞大道：三桥高架-七甲河</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170</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638</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丹枫路：三桥高架-飞虹路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370</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启智街：西兴路-协同路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207.5</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207</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物联网街：（西兴路-风情大道）</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841.4</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209.2</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488.8</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477.3</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联慧街：西兴路-风情大道</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538</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404</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410.5</w:t>
            </w: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东流路：江陵路-西陵路</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36</w:t>
            </w:r>
          </w:p>
        </w:tc>
        <w:tc>
          <w:tcPr>
            <w:tcW w:w="944"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宏智路：缤纷街-丹枫路及延伸段</w:t>
            </w:r>
          </w:p>
        </w:tc>
        <w:tc>
          <w:tcPr>
            <w:tcW w:w="765"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w:t>
            </w:r>
          </w:p>
        </w:tc>
        <w:tc>
          <w:tcPr>
            <w:tcW w:w="863"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165</w:t>
            </w:r>
          </w:p>
        </w:tc>
        <w:tc>
          <w:tcPr>
            <w:tcW w:w="90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292</w:t>
            </w:r>
          </w:p>
        </w:tc>
        <w:tc>
          <w:tcPr>
            <w:tcW w:w="75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42"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54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777"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764"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649" w:hRule="atLeast"/>
          <w:jc w:val="center"/>
        </w:trPr>
        <w:tc>
          <w:tcPr>
            <w:tcW w:w="763"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w:t>
            </w:r>
          </w:p>
        </w:tc>
        <w:tc>
          <w:tcPr>
            <w:tcW w:w="7832" w:type="dxa"/>
            <w:gridSpan w:val="10"/>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道路总长度约为48265米</w:t>
            </w:r>
          </w:p>
        </w:tc>
      </w:tr>
    </w:tbl>
    <w:p>
      <w:pPr>
        <w:spacing w:line="360" w:lineRule="auto"/>
        <w:ind w:firstLine="420" w:firstLineChars="200"/>
        <w:outlineLvl w:val="2"/>
      </w:pPr>
      <w:r>
        <w:rPr>
          <w:rFonts w:hint="eastAsia"/>
        </w:rPr>
        <w:t>注：本项目采用总价包干，包括截止合同签订日期之前滨江区雨水管网养护分布图范围内本标段的所有市政雨水管网养护项目，上述养护数量仅作参考，费用由投标单位根据实际情况，自行报价。</w:t>
      </w:r>
    </w:p>
    <w:p>
      <w:pPr>
        <w:spacing w:line="360" w:lineRule="auto"/>
        <w:ind w:firstLine="420" w:firstLineChars="200"/>
        <w:jc w:val="left"/>
        <w:outlineLvl w:val="2"/>
        <w:rPr>
          <w:rFonts w:ascii="宋体" w:hAnsi="宋体" w:cs="宋体"/>
          <w:bCs/>
          <w:szCs w:val="21"/>
        </w:rPr>
      </w:pPr>
      <w:r>
        <w:rPr>
          <w:rFonts w:hint="eastAsia" w:ascii="宋体" w:hAnsi="宋体" w:cs="宋体"/>
          <w:bCs/>
          <w:szCs w:val="21"/>
        </w:rPr>
        <w:t>2、标项二</w:t>
      </w:r>
    </w:p>
    <w:tbl>
      <w:tblPr>
        <w:tblStyle w:val="43"/>
        <w:tblW w:w="8596" w:type="dxa"/>
        <w:tblInd w:w="0" w:type="dxa"/>
        <w:tblLayout w:type="autofit"/>
        <w:tblCellMar>
          <w:top w:w="0" w:type="dxa"/>
          <w:left w:w="0" w:type="dxa"/>
          <w:bottom w:w="0" w:type="dxa"/>
          <w:right w:w="0" w:type="dxa"/>
        </w:tblCellMar>
      </w:tblPr>
      <w:tblGrid>
        <w:gridCol w:w="760"/>
        <w:gridCol w:w="762"/>
        <w:gridCol w:w="781"/>
        <w:gridCol w:w="776"/>
        <w:gridCol w:w="856"/>
        <w:gridCol w:w="776"/>
        <w:gridCol w:w="776"/>
        <w:gridCol w:w="776"/>
        <w:gridCol w:w="789"/>
        <w:gridCol w:w="761"/>
        <w:gridCol w:w="783"/>
      </w:tblGrid>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道路名称</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Φ≤300雨水管养护（米）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 Φ≤ 600雨水管养护（米）</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 Φ≤1000雨水管养护（米）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1000＜Φ≤ 1500雨水管养护（米）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Φ＞1500雨水管养护（米）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检查井清淤泥（座）</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雨水口清淤（座）</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雨水灌渠清淤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m³</w:t>
            </w:r>
            <w:r>
              <w:rPr>
                <w:rFonts w:hint="eastAsia" w:ascii="宋体" w:hAnsi="宋体" w:cs="宋体"/>
                <w:color w:val="000000"/>
                <w:kern w:val="0"/>
                <w:szCs w:val="21"/>
                <w:lang w:eastAsia="zh-CN"/>
              </w:rPr>
              <w:t>）</w:t>
            </w: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闻涛路：时代大道-三桥高架</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1776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1868.5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227</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康康路【八图园路】：江汉路-康康谷西侧出入口段</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116.6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szCs w:val="21"/>
              </w:rPr>
            </w:pPr>
          </w:p>
          <w:p>
            <w:pPr>
              <w:ind w:firstLine="458"/>
              <w:jc w:val="center"/>
              <w:rPr>
                <w:rFonts w:ascii="宋体" w:hAnsi="宋体" w:cs="宋体"/>
                <w:szCs w:val="21"/>
              </w:rPr>
            </w:pPr>
            <w:r>
              <w:rPr>
                <w:rFonts w:hint="eastAsia" w:ascii="宋体" w:hAnsi="宋体" w:cs="宋体"/>
                <w:szCs w:val="21"/>
              </w:rPr>
              <w:t>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星泽路：滨盛路-缤纷街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江陵路：闻涛路—北塘河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3052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102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滨盛路：北塘河-阡陌路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3037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909.5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104</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127</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江晖路：闻涛路—北塘河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1011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2872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212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江虹路：闻涛路-北塘河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92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时代大道（闻涛路-南环路）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3675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滨兴路：北塘河-江陵路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175.5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550.5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月明路：江汉路—江陵路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1471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72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江汉路：闻涛路—江陵路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1077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春晓路：江南大道—滨兴路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900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1603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67</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科技馆街：康顺路—西兴路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127</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安业路：闻涛路—新月路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丹枫路：江晖路-阡陌路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65</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滨和路：北塘河-江陵路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444.5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100</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106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长河路：闻涛路-北塘河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13</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阡陌路：闻涛路-江南大道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62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缤纷街：江陵路-阡陌路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启智街：春晓路-江陵路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15</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新月路：江虹路—通和路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569.2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72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同人街：时代大道—水印巷</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44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红门巷：康顺路—江虹路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金河弄：咏渡巷—长河路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咏渡巷：闻涛路—同人街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134.5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水印巷：闻涛路—滨盛路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康顺路：科技馆街—滨江医院</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泰安路：闻涛路—江南大道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191.5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484.3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通和路：闻涛路—江南大道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541.2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星飞路：闻涛路—新月路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582.5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82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光辉路：闻涛路—新月路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834.5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85</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腊梅路：科技馆街-滨盛路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9</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江氏支路：科技馆街-滨盛路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秋江路：闻涛路—科技馆街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支二路：科技馆街-闸站河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支一路：闻涛路-科技馆街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寰宇路：科技馆街-建设河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江南大道（北塘河-阡陌路）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1798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1135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39</w:t>
            </w:r>
          </w:p>
        </w:tc>
        <w:tc>
          <w:tcPr>
            <w:tcW w:w="7836" w:type="dxa"/>
            <w:gridSpan w:val="10"/>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道路总长度约为38660米</w:t>
            </w:r>
          </w:p>
        </w:tc>
      </w:tr>
    </w:tbl>
    <w:p>
      <w:pPr>
        <w:spacing w:line="360" w:lineRule="auto"/>
        <w:ind w:firstLine="420" w:firstLineChars="200"/>
        <w:outlineLvl w:val="2"/>
        <w:rPr>
          <w:rFonts w:ascii="宋体" w:hAnsi="宋体" w:cs="宋体"/>
          <w:bCs/>
          <w:szCs w:val="21"/>
        </w:rPr>
      </w:pPr>
      <w:r>
        <w:rPr>
          <w:rFonts w:hint="eastAsia"/>
        </w:rPr>
        <w:t>注：本项目采用总价包干，包括截止合同签订日期之前滨江区雨水管网养护分布图范围内本标段的所有市政雨水管网养护项目，上述养护数量仅作参考，费用由投标单位根据实际情况，自行报价。</w:t>
      </w:r>
    </w:p>
    <w:p>
      <w:pPr>
        <w:spacing w:line="360" w:lineRule="auto"/>
        <w:ind w:firstLine="420" w:firstLineChars="200"/>
        <w:outlineLvl w:val="2"/>
        <w:rPr>
          <w:rFonts w:ascii="宋体" w:hAnsi="宋体" w:cs="宋体"/>
          <w:bCs/>
          <w:szCs w:val="21"/>
        </w:rPr>
      </w:pPr>
      <w:r>
        <w:rPr>
          <w:rFonts w:hint="eastAsia" w:ascii="宋体" w:hAnsi="宋体" w:cs="宋体"/>
          <w:bCs/>
          <w:szCs w:val="21"/>
        </w:rPr>
        <w:t>3、标项三</w:t>
      </w:r>
    </w:p>
    <w:tbl>
      <w:tblPr>
        <w:tblStyle w:val="43"/>
        <w:tblW w:w="8596" w:type="dxa"/>
        <w:tblInd w:w="0" w:type="dxa"/>
        <w:tblLayout w:type="autofit"/>
        <w:tblCellMar>
          <w:top w:w="0" w:type="dxa"/>
          <w:left w:w="0" w:type="dxa"/>
          <w:bottom w:w="0" w:type="dxa"/>
          <w:right w:w="0" w:type="dxa"/>
        </w:tblCellMar>
      </w:tblPr>
      <w:tblGrid>
        <w:gridCol w:w="760"/>
        <w:gridCol w:w="762"/>
        <w:gridCol w:w="781"/>
        <w:gridCol w:w="776"/>
        <w:gridCol w:w="856"/>
        <w:gridCol w:w="776"/>
        <w:gridCol w:w="776"/>
        <w:gridCol w:w="776"/>
        <w:gridCol w:w="789"/>
        <w:gridCol w:w="761"/>
        <w:gridCol w:w="783"/>
      </w:tblGrid>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道路名称</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Φ≤300雨水管养护（米）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 Φ≤ 600雨水管养护（米）</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 Φ≤1000雨水管养护（米）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1000＜Φ≤ 1500雨水管养护（米）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Φ＞1500雨水管养护（米）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检查井清淤泥（座）</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雨水口清淤（座）</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雨水灌渠清淤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m³</w:t>
            </w:r>
            <w:r>
              <w:rPr>
                <w:rFonts w:hint="eastAsia" w:ascii="宋体" w:hAnsi="宋体" w:cs="宋体"/>
                <w:color w:val="000000"/>
                <w:kern w:val="0"/>
                <w:szCs w:val="21"/>
                <w:lang w:eastAsia="zh-CN"/>
              </w:rPr>
              <w:t>）</w:t>
            </w: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江南大道：时代大道-北塘河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2528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930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滨盛路（时代大道-北塘河）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滨和路：网商路-北塘河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1091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江晖路：北塘河—南环路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3194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208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江虹路：北塘河-南环路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1314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2004.5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滨兴路（时代大道-北塘河）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1019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1479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114</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134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滨康路：时代大道-江陵路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2188.3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802.7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2344.5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1446.6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192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南环路：时代大道-西陵路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1667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938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109</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172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江陵路（南环路-北塘河）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58</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秋溢路：时代大道-江晖路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春波路：江晖路-江陵路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江二路：时代大道-江虹路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绿香街：长河路-江虹路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36</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42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聚园路：江淑路-江陵路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550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网商路：江南大道-绿香街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69</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长河路：北塘河-南环路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1524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1038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72</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138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聚才路：秋溢路-南环路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48</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聚工路：滨安路-南环路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33</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聚业路：滨安路-南环路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419.5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66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东流路：江淑河-西陵路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86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共鸣巷：滨兴路-滨和路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齐飞路：滨兴陆-滨兴小区北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42</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68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兴才街：长河路-江虹路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475.5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48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江淑路：体育馆南路-南环路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98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众创路（原体育馆南路）：江虹路-滨兴路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655.2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214.8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53</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滨利路：体育馆东路-体育馆南路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111.4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七米路：体育馆南路-北塘河江晖桥</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15</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中南装饰城北区配套支路（03省道）：时代大道-江南大道（网商路北延段）</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19</w:t>
            </w:r>
          </w:p>
        </w:tc>
        <w:tc>
          <w:tcPr>
            <w:tcW w:w="78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7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w:t>
            </w:r>
          </w:p>
        </w:tc>
        <w:tc>
          <w:tcPr>
            <w:tcW w:w="7836" w:type="dxa"/>
            <w:gridSpan w:val="10"/>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道路总长度约为55838米</w:t>
            </w:r>
          </w:p>
        </w:tc>
      </w:tr>
    </w:tbl>
    <w:p>
      <w:pPr>
        <w:spacing w:line="360" w:lineRule="auto"/>
        <w:ind w:firstLine="420" w:firstLineChars="200"/>
        <w:outlineLvl w:val="2"/>
      </w:pPr>
      <w:r>
        <w:rPr>
          <w:rFonts w:hint="eastAsia"/>
        </w:rPr>
        <w:t>注：本项目采用总价包干，包括截止合同签订日期之前滨江区雨水管网养护分布图范围内本标段的所有市政雨水管网养护项目，上述养护数量仅作参考，费用由投标单位根据实际情况，自行报价。</w:t>
      </w:r>
    </w:p>
    <w:p>
      <w:pPr>
        <w:tabs>
          <w:tab w:val="left" w:pos="2101"/>
        </w:tabs>
        <w:spacing w:line="460" w:lineRule="exact"/>
        <w:rPr>
          <w:rFonts w:ascii="宋体" w:hAnsi="宋体" w:cs="宋体"/>
          <w:bCs/>
          <w:color w:val="000000"/>
          <w:szCs w:val="21"/>
        </w:rPr>
      </w:pPr>
    </w:p>
    <w:p>
      <w:pPr>
        <w:spacing w:line="360" w:lineRule="auto"/>
        <w:ind w:firstLine="420" w:firstLineChars="200"/>
        <w:outlineLvl w:val="2"/>
        <w:rPr>
          <w:rFonts w:ascii="宋体" w:hAnsi="宋体" w:cs="宋体"/>
          <w:bCs/>
          <w:szCs w:val="21"/>
        </w:rPr>
      </w:pPr>
      <w:r>
        <w:rPr>
          <w:rFonts w:hint="eastAsia" w:ascii="宋体" w:hAnsi="宋体" w:cs="宋体"/>
          <w:bCs/>
          <w:szCs w:val="21"/>
        </w:rPr>
        <w:t>4、标项四</w:t>
      </w:r>
    </w:p>
    <w:tbl>
      <w:tblPr>
        <w:tblStyle w:val="43"/>
        <w:tblW w:w="8596" w:type="dxa"/>
        <w:tblInd w:w="0" w:type="dxa"/>
        <w:tblLayout w:type="fixed"/>
        <w:tblCellMar>
          <w:top w:w="0" w:type="dxa"/>
          <w:left w:w="0" w:type="dxa"/>
          <w:bottom w:w="0" w:type="dxa"/>
          <w:right w:w="0" w:type="dxa"/>
        </w:tblCellMar>
      </w:tblPr>
      <w:tblGrid>
        <w:gridCol w:w="760"/>
        <w:gridCol w:w="762"/>
        <w:gridCol w:w="781"/>
        <w:gridCol w:w="776"/>
        <w:gridCol w:w="856"/>
        <w:gridCol w:w="776"/>
        <w:gridCol w:w="776"/>
        <w:gridCol w:w="849"/>
        <w:gridCol w:w="716"/>
        <w:gridCol w:w="761"/>
        <w:gridCol w:w="783"/>
      </w:tblGrid>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道路名称</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Φ≤300雨水管养护（米）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 Φ≤ 600雨水管养护（米）</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 Φ≤1000雨水管养护（米）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1000＜Φ≤ 1500雨水管养护（米）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Φ＞1500雨水管养护（米）</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检查井清淤泥（座）</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雨水口清淤（座）</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雨水灌渠清淤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m³</w:t>
            </w:r>
            <w:r>
              <w:rPr>
                <w:rFonts w:hint="eastAsia" w:ascii="宋体" w:hAnsi="宋体" w:cs="宋体"/>
                <w:color w:val="000000"/>
                <w:kern w:val="0"/>
                <w:szCs w:val="21"/>
                <w:lang w:eastAsia="zh-CN"/>
              </w:rPr>
              <w:t>）</w:t>
            </w: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江陵南路：庙后王路-临湖路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401.4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909.6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29</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江虹南路：南环路-白马湖路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104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时代大道：滨文路-萧闻路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449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时代大道：火炬大道-萧山界（冠山隧道以南段）</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1654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245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89</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滨文路：闻涛路-萧山界</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9472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2929.4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6047.46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3059.6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2393.7</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784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白马湖路：江晖南路-时代大道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1681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天马路：南川路-长江路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1941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1246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楚天路：庙后王路-圆形花坛</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245.9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307.4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45</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庙后王路：楚天路-越城巷</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越城巷：庙后王路-临湖路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腾龙路：映翠路-白马湖路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1643.5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434.5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长江路：滨文路-映翠路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2097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927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108</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321</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映翠路：长江南路-萧山界</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84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江晖南路：铁路-白马湖路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833.5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湖西路：映翠路-白马湖路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1293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1019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94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白马湖区块规划支路：映翠路-长江南路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269.5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井山坞路：映翠路-萧山界</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1515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1281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15</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湘滨路：湖西路-萧山界</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297.5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258.5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244.5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37</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向南路：时代大道-天马路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319.6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557.4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塘子堰路（原海福路）：天马路-刺陵河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251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18</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一号路：白马湖小区-江虹路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427.4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284.3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58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汤堰路：映翠路-萧山界</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826.3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二号路：孔雀苑-江虹路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临湖路：江陵南路-滨文路五号规划支路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滨文路五号规划支路：滨文路-临湖路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海福路西侧支路（腾龙路-海福路）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225.1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18</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19</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海福路东侧支路（海福路-长江南路）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映翠路以北规划支路（天马路-映翠路）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316.38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443.58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40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湘滨东路（湖西路-腾龙路）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777"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w:t>
            </w:r>
          </w:p>
        </w:tc>
        <w:tc>
          <w:tcPr>
            <w:tcW w:w="7836" w:type="dxa"/>
            <w:gridSpan w:val="10"/>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道路总长度约为36868米</w:t>
            </w:r>
          </w:p>
        </w:tc>
      </w:tr>
    </w:tbl>
    <w:p>
      <w:pPr>
        <w:spacing w:line="360" w:lineRule="auto"/>
        <w:ind w:firstLine="420" w:firstLineChars="200"/>
        <w:outlineLvl w:val="2"/>
      </w:pPr>
      <w:r>
        <w:rPr>
          <w:rFonts w:hint="eastAsia"/>
        </w:rPr>
        <w:t>注：本项目采用总价包干，包括截止合同签订日期之前滨江区雨水管网养护分布图范围内本标段的所有市政雨水管网养护项目，上述养护数量仅作参考，费用由投标单位根据实际情况，自行报价。</w:t>
      </w:r>
    </w:p>
    <w:p>
      <w:pPr>
        <w:spacing w:line="360" w:lineRule="auto"/>
        <w:ind w:firstLine="420" w:firstLineChars="200"/>
        <w:jc w:val="left"/>
        <w:outlineLvl w:val="2"/>
        <w:rPr>
          <w:rFonts w:ascii="宋体" w:hAnsi="宋体" w:cs="宋体"/>
          <w:bCs/>
          <w:szCs w:val="21"/>
        </w:rPr>
      </w:pPr>
    </w:p>
    <w:p>
      <w:pPr>
        <w:spacing w:line="360" w:lineRule="auto"/>
        <w:ind w:firstLine="420" w:firstLineChars="200"/>
        <w:outlineLvl w:val="2"/>
        <w:rPr>
          <w:rFonts w:ascii="宋体" w:hAnsi="宋体" w:cs="宋体"/>
          <w:bCs/>
          <w:szCs w:val="21"/>
        </w:rPr>
      </w:pPr>
      <w:r>
        <w:rPr>
          <w:rFonts w:hint="eastAsia" w:ascii="宋体" w:hAnsi="宋体" w:cs="宋体"/>
          <w:bCs/>
          <w:szCs w:val="21"/>
        </w:rPr>
        <w:t>5、标项五</w:t>
      </w:r>
    </w:p>
    <w:tbl>
      <w:tblPr>
        <w:tblStyle w:val="43"/>
        <w:tblW w:w="8596" w:type="dxa"/>
        <w:tblInd w:w="0" w:type="dxa"/>
        <w:tblLayout w:type="fixed"/>
        <w:tblCellMar>
          <w:top w:w="0" w:type="dxa"/>
          <w:left w:w="0" w:type="dxa"/>
          <w:bottom w:w="0" w:type="dxa"/>
          <w:right w:w="0" w:type="dxa"/>
        </w:tblCellMar>
      </w:tblPr>
      <w:tblGrid>
        <w:gridCol w:w="760"/>
        <w:gridCol w:w="762"/>
        <w:gridCol w:w="781"/>
        <w:gridCol w:w="776"/>
        <w:gridCol w:w="856"/>
        <w:gridCol w:w="776"/>
        <w:gridCol w:w="776"/>
        <w:gridCol w:w="849"/>
        <w:gridCol w:w="716"/>
        <w:gridCol w:w="761"/>
        <w:gridCol w:w="783"/>
      </w:tblGrid>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道路名称</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Φ≤300雨水管养护（米）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 Φ≤ 600雨水管养护（米）</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 Φ≤1000雨水管养护（米）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1000＜Φ≤ 1500雨水管养护（米）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Φ＞1500雨水管养护（米）</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检查井清淤泥（座）</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雨水口清淤（座）</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雨水灌渠清淤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m³</w:t>
            </w:r>
            <w:r>
              <w:rPr>
                <w:rFonts w:hint="eastAsia" w:ascii="宋体" w:hAnsi="宋体" w:cs="宋体"/>
                <w:color w:val="000000"/>
                <w:kern w:val="0"/>
                <w:szCs w:val="21"/>
                <w:lang w:eastAsia="zh-CN"/>
              </w:rPr>
              <w:t>）</w:t>
            </w: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南环路：闻涛路-时代大道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3384.6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1438.74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95.76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滨盛路：南环路-时代大道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2438.82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1043.34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1268.68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333</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250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江南大道（一桥-时代大道）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2290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373</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270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滨康路;伟业路-时代大道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1550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123</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怀德街：信诚路-立业路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亚克药业东侧支路：江南大道-闻涛路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同庆弄（东西支路、诚业支路、环兴支路）：诚业路-信诚路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立业路：滨兴路-南环路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181.5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99</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信诚路：闻涛路-南环路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1752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414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753</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115</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诚业路：江南大道-南环路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振业路：滨安路-南环路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232.5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169.5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城市广场东侧规划支路：滨盛路-江南大道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信志巷：惠商街-江南大道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流金巷：惠商街-江南大道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育华巷：滨盛路-江南大道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儿康路：滨盛路-江南大道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40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育德巷（省属单元地块二号支路）：滨盛路-平乐街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19</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美家弄：建业路以东</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115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诚品路：闻涛路-平乐街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109.5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国慷街（原滨城路）：建业路-诚品路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180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越达巷：时代大道-立业路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85.56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155.5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聚鸿巷：惠商街-滨盛路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惠商街：火炬大道-伟业路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48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建业路：闻涛路-南环路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南川路:永久河-南环路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伟业路：闻涛路-南环路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937.5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191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752.8</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66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东信大道 ：闻涛路北口-铁路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152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火炬大道（闻涛路-铁路）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1019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123</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滨兴路：信诚路-时代大道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48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滨安路（振业路-时代大道）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121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121</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平乐街：育华巷-时代大道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319.5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106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儿康路（滨盛路-闻涛路）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国慷街（原滨城路）：信诚路-建业路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391.7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闻涛路：亚克药业东侧支路—信诚路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2426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2323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闻涛路：信诚路—时代大道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1321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闻涛路：一桥-时代大道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1559.1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3443.7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304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724"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w:t>
            </w:r>
          </w:p>
        </w:tc>
        <w:tc>
          <w:tcPr>
            <w:tcW w:w="7836" w:type="dxa"/>
            <w:gridSpan w:val="10"/>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道路总长度约为39874米</w:t>
            </w:r>
          </w:p>
        </w:tc>
      </w:tr>
    </w:tbl>
    <w:p>
      <w:pPr>
        <w:spacing w:line="360" w:lineRule="auto"/>
        <w:ind w:firstLine="420" w:firstLineChars="200"/>
        <w:outlineLvl w:val="2"/>
      </w:pPr>
      <w:r>
        <w:rPr>
          <w:rFonts w:hint="eastAsia"/>
        </w:rPr>
        <w:t>注：本项目采用总价包干，包括截止合同签订日期之前滨江区雨水管网养护分布图范围内本标段的所有市政雨水管网养护项目，上述养护数量仅作参考，费用由投标单位根据实际情况，自行报价。</w:t>
      </w:r>
    </w:p>
    <w:p>
      <w:pPr>
        <w:spacing w:line="360" w:lineRule="auto"/>
        <w:ind w:firstLine="420" w:firstLineChars="200"/>
        <w:outlineLvl w:val="2"/>
        <w:rPr>
          <w:rFonts w:ascii="宋体" w:hAnsi="宋体" w:cs="宋体"/>
          <w:bCs/>
          <w:szCs w:val="21"/>
        </w:rPr>
      </w:pPr>
    </w:p>
    <w:p>
      <w:pPr>
        <w:spacing w:line="360" w:lineRule="auto"/>
        <w:ind w:firstLine="420" w:firstLineChars="200"/>
        <w:outlineLvl w:val="2"/>
        <w:rPr>
          <w:rFonts w:ascii="宋体" w:hAnsi="宋体" w:cs="宋体"/>
          <w:bCs/>
          <w:szCs w:val="21"/>
        </w:rPr>
      </w:pPr>
      <w:r>
        <w:rPr>
          <w:rFonts w:hint="eastAsia" w:ascii="宋体" w:hAnsi="宋体" w:cs="宋体"/>
          <w:bCs/>
          <w:szCs w:val="21"/>
        </w:rPr>
        <w:t>6、标项六</w:t>
      </w:r>
    </w:p>
    <w:tbl>
      <w:tblPr>
        <w:tblStyle w:val="43"/>
        <w:tblW w:w="8596" w:type="dxa"/>
        <w:tblInd w:w="0" w:type="dxa"/>
        <w:tblLayout w:type="fixed"/>
        <w:tblCellMar>
          <w:top w:w="0" w:type="dxa"/>
          <w:left w:w="0" w:type="dxa"/>
          <w:bottom w:w="0" w:type="dxa"/>
          <w:right w:w="0" w:type="dxa"/>
        </w:tblCellMar>
      </w:tblPr>
      <w:tblGrid>
        <w:gridCol w:w="760"/>
        <w:gridCol w:w="762"/>
        <w:gridCol w:w="781"/>
        <w:gridCol w:w="776"/>
        <w:gridCol w:w="856"/>
        <w:gridCol w:w="776"/>
        <w:gridCol w:w="776"/>
        <w:gridCol w:w="849"/>
        <w:gridCol w:w="716"/>
        <w:gridCol w:w="761"/>
        <w:gridCol w:w="783"/>
      </w:tblGrid>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道路名称</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Φ≤300雨水管养护（米）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 Φ≤ 600雨水管养护（米）</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 Φ≤1000雨水管养护（米）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1000＜Φ≤ 1500雨水管养护（米）</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Φ＞1500雨水管养护（米）</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检查井清淤泥（座）</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雨水口清淤（座）</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雨水灌渠清淤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m³</w:t>
            </w:r>
            <w:r>
              <w:rPr>
                <w:rFonts w:hint="eastAsia" w:ascii="宋体" w:hAnsi="宋体" w:cs="宋体"/>
                <w:color w:val="000000"/>
                <w:kern w:val="0"/>
                <w:szCs w:val="21"/>
                <w:lang w:eastAsia="zh-CN"/>
              </w:rPr>
              <w:t>）</w:t>
            </w: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0" w:type="dxa"/>
            <w:bottom w:w="0" w:type="dxa"/>
            <w:right w:w="0" w:type="dxa"/>
          </w:tblCellMar>
        </w:tblPrEx>
        <w:trPr>
          <w:trHeight w:val="130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南川路（彩宏大厦东侧支路）：滨文路-中谷路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110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东冠路：浦沿路-信诚南路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1032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2068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144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东冠路：闻涛路-西浦路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469.9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356.04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312.15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六和路：闻涛路-东信大道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746.5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新和路：闻涛路-新浦河</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1280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汤吴家路（原金盛工业园西侧支路）：西湘路-东冠路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177.4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236.9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紫云路：浦湖路-浦炬街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193.5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浦炬街：闻涛路-火炬大道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1782.9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1576.2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805.9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357.5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西浦路：新和路-滨文路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942.5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237.8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74</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西浦路：镇前路-龙山路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768</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明德路：艺洲街-冠山路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2258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848.7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340.7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信诚南路：滨文路-东冠路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135.5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285.9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南川路：火炬大道-来发农庄</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26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冠山路：火炬大道-浦沿路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1061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杨家墩街（浦沿路-明德路）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望水路（闻涛路-西浦路）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324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213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闻涛路（浦矩街-华家排灌站）</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251.5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222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鸡鸣山路（滨浦路-西浦路）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125.5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浦湖街（原回龙庵路）（浦炬街-紫红岭路）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101.7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浦联路（闻涛路-西浦路）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152.6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勤学路（滨文路-艺洲街）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350.5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冠山路（闻涛路-西浦路）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210</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浙新小区西侧支路：滨文路-浙新街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东信大道（闻涛路西口-铁路）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1243.8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326.5</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1576.7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569</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滨浦路（浦炬街-东冠路）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48</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艺洲街（明德路-滨文社区门口）</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402</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火炬大道：铁路-时代大道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5385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1187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145</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347</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明志路（至善路-滨文路）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681</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浦沿路（东信大道-萧山界)</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1328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1572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64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至仁街：明德路-火炬大道</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667</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56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至善路：滨文路冠山路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1271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705.4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539.3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38</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52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滨浦路：滨文路-芳华路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10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芳华路：滨浦路-西浦路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160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32</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滨浦路：东冠路以北-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35</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智源巷（原浦沿中学西侧规划支路）：新生路-东冠路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198.9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ind w:firstLine="458"/>
              <w:jc w:val="center"/>
              <w:rPr>
                <w:rFonts w:ascii="宋体" w:hAnsi="宋体" w:cs="宋体"/>
                <w:szCs w:val="21"/>
              </w:rPr>
            </w:pPr>
            <w:r>
              <w:rPr>
                <w:rFonts w:hint="eastAsia" w:ascii="宋体" w:hAnsi="宋体" w:cs="宋体"/>
                <w:szCs w:val="21"/>
              </w:rPr>
              <w:t>30</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36</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七甲路：闻涛路-西浦路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356.8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26</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14</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西浦路：林家里路-镇前路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858</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509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121</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33</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91</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38</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西浦路：滨文路-林家里路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827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370</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244</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322</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260</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78</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224.80</w:t>
            </w: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39</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闻涛路：滨文支路-林家里路以南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716.5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368.1</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119</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34</w:t>
            </w: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40</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闻涛路：东信大道西口钱江湾花园—亚克药业东侧规划支路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2380</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1857.8</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751.5</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41</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闻涛路：钱江湾花园-滨文路</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467</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489</w:t>
            </w: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303</w:t>
            </w: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r>
              <w:rPr>
                <w:rFonts w:hint="eastAsia" w:ascii="宋体" w:hAnsi="宋体" w:cs="宋体"/>
                <w:szCs w:val="21"/>
              </w:rPr>
              <w:t>46</w:t>
            </w: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1316"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42</w:t>
            </w:r>
          </w:p>
        </w:tc>
        <w:tc>
          <w:tcPr>
            <w:tcW w:w="762"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闻涛路：林家里路-浦炬街</w:t>
            </w:r>
          </w:p>
        </w:tc>
        <w:tc>
          <w:tcPr>
            <w:tcW w:w="78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85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7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849"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szCs w:val="21"/>
              </w:rPr>
            </w:pPr>
          </w:p>
        </w:tc>
        <w:tc>
          <w:tcPr>
            <w:tcW w:w="716"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jc w:val="center"/>
              <w:rPr>
                <w:rFonts w:ascii="宋体" w:hAnsi="宋体" w:cs="宋体"/>
                <w:szCs w:val="21"/>
              </w:rPr>
            </w:pPr>
          </w:p>
        </w:tc>
        <w:tc>
          <w:tcPr>
            <w:tcW w:w="761"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p>
        </w:tc>
        <w:tc>
          <w:tcPr>
            <w:tcW w:w="783" w:type="dxa"/>
            <w:tcBorders>
              <w:top w:val="single" w:color="auto" w:sz="4" w:space="0"/>
              <w:left w:val="nil"/>
              <w:bottom w:val="single" w:color="auto" w:sz="4" w:space="0"/>
              <w:right w:val="single" w:color="auto" w:sz="4" w:space="0"/>
            </w:tcBorders>
            <w:noWrap/>
            <w:tcMar>
              <w:top w:w="8" w:type="dxa"/>
              <w:left w:w="8" w:type="dxa"/>
              <w:right w:w="8" w:type="dxa"/>
            </w:tcMar>
            <w:vAlign w:val="center"/>
          </w:tcPr>
          <w:p>
            <w:pPr>
              <w:widowControl/>
              <w:jc w:val="center"/>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942" w:hRule="atLeast"/>
        </w:trPr>
        <w:tc>
          <w:tcPr>
            <w:tcW w:w="760" w:type="dxa"/>
            <w:tcBorders>
              <w:top w:val="single" w:color="auto" w:sz="4" w:space="0"/>
              <w:left w:val="single" w:color="auto"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43</w:t>
            </w:r>
          </w:p>
        </w:tc>
        <w:tc>
          <w:tcPr>
            <w:tcW w:w="7836" w:type="dxa"/>
            <w:gridSpan w:val="10"/>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道路总长度约为36997米</w:t>
            </w:r>
          </w:p>
        </w:tc>
      </w:tr>
    </w:tbl>
    <w:p>
      <w:pPr>
        <w:spacing w:line="360" w:lineRule="auto"/>
        <w:ind w:firstLine="420" w:firstLineChars="200"/>
        <w:outlineLvl w:val="2"/>
      </w:pPr>
      <w:r>
        <w:rPr>
          <w:rFonts w:hint="eastAsia"/>
        </w:rPr>
        <w:t>注：本项目采用总价包干，包括截止合同签订日期之前滨江区雨水管网养护分布图范围内本标段的所有市政雨水管网养护项目，上述养护数量仅作参考，费用由投标单位根据实际情况，自行报价。</w:t>
      </w:r>
    </w:p>
    <w:p>
      <w:pPr>
        <w:pStyle w:val="42"/>
        <w:ind w:firstLine="480"/>
        <w:jc w:val="center"/>
      </w:pPr>
    </w:p>
    <w:p>
      <w:pPr>
        <w:pStyle w:val="42"/>
        <w:ind w:firstLine="480"/>
        <w:jc w:val="center"/>
      </w:pPr>
      <w:r>
        <w:drawing>
          <wp:inline distT="0" distB="0" distL="114300" distR="114300">
            <wp:extent cx="5269865" cy="4456430"/>
            <wp:effectExtent l="0" t="0" r="6985" b="1270"/>
            <wp:docPr id="1" name="图片 1" descr="微信图片_2021010718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07185330"/>
                    <pic:cNvPicPr>
                      <a:picLocks noChangeAspect="1"/>
                    </pic:cNvPicPr>
                  </pic:nvPicPr>
                  <pic:blipFill>
                    <a:blip r:embed="rId8"/>
                    <a:stretch>
                      <a:fillRect/>
                    </a:stretch>
                  </pic:blipFill>
                  <pic:spPr>
                    <a:xfrm>
                      <a:off x="0" y="0"/>
                      <a:ext cx="5269865" cy="4456430"/>
                    </a:xfrm>
                    <a:prstGeom prst="rect">
                      <a:avLst/>
                    </a:prstGeom>
                  </pic:spPr>
                </pic:pic>
              </a:graphicData>
            </a:graphic>
          </wp:inline>
        </w:drawing>
      </w:r>
    </w:p>
    <w:p>
      <w:pPr>
        <w:tabs>
          <w:tab w:val="left" w:pos="2101"/>
        </w:tabs>
        <w:spacing w:line="460" w:lineRule="exact"/>
        <w:rPr>
          <w:rFonts w:ascii="宋体" w:hAnsi="宋体" w:cs="Arial"/>
          <w:bCs/>
          <w:color w:val="000000"/>
          <w:sz w:val="22"/>
          <w:szCs w:val="22"/>
        </w:rPr>
      </w:pPr>
      <w:r>
        <w:rPr>
          <w:rFonts w:hint="eastAsia" w:ascii="宋体" w:hAnsi="宋体" w:cs="Arial"/>
          <w:bCs/>
          <w:color w:val="000000"/>
          <w:sz w:val="22"/>
          <w:szCs w:val="22"/>
        </w:rPr>
        <w:t>二、本次采购养护项目技术规范</w:t>
      </w:r>
    </w:p>
    <w:p>
      <w:pPr>
        <w:spacing w:line="400" w:lineRule="exact"/>
        <w:ind w:firstLine="420" w:firstLineChars="200"/>
        <w:rPr>
          <w:rFonts w:ascii="宋体" w:hAnsi="宋体" w:cs="宋体"/>
          <w:szCs w:val="21"/>
        </w:rPr>
      </w:pPr>
      <w:bookmarkStart w:id="42" w:name="_bookmark30"/>
      <w:bookmarkEnd w:id="42"/>
      <w:r>
        <w:rPr>
          <w:rFonts w:hint="eastAsia" w:ascii="宋体" w:hAnsi="宋体" w:cs="宋体"/>
          <w:szCs w:val="21"/>
        </w:rPr>
        <w:t xml:space="preserve">本养护项目必须按如下技术规范文件来执行： </w:t>
      </w:r>
    </w:p>
    <w:p>
      <w:pPr>
        <w:spacing w:line="400" w:lineRule="exact"/>
        <w:ind w:firstLine="420" w:firstLineChars="200"/>
        <w:rPr>
          <w:rFonts w:ascii="宋体" w:hAnsi="宋体" w:cs="宋体"/>
          <w:szCs w:val="21"/>
        </w:rPr>
      </w:pPr>
      <w:r>
        <w:rPr>
          <w:rFonts w:hint="eastAsia" w:ascii="宋体" w:hAnsi="宋体" w:cs="宋体"/>
          <w:szCs w:val="21"/>
        </w:rPr>
        <w:t xml:space="preserve">1、《杭州市市政设施养护规程》 </w:t>
      </w:r>
    </w:p>
    <w:p>
      <w:pPr>
        <w:spacing w:line="400" w:lineRule="exact"/>
        <w:ind w:firstLine="420" w:firstLineChars="200"/>
        <w:rPr>
          <w:rFonts w:ascii="宋体" w:hAnsi="宋体" w:cs="宋体"/>
          <w:szCs w:val="21"/>
        </w:rPr>
      </w:pPr>
      <w:r>
        <w:rPr>
          <w:rFonts w:hint="eastAsia" w:ascii="宋体" w:hAnsi="宋体" w:cs="宋体"/>
          <w:szCs w:val="21"/>
        </w:rPr>
        <w:t xml:space="preserve">2、《杭州市市政设施管理条例》 </w:t>
      </w:r>
    </w:p>
    <w:p>
      <w:pPr>
        <w:spacing w:line="400" w:lineRule="exact"/>
        <w:ind w:firstLine="420" w:firstLineChars="200"/>
        <w:rPr>
          <w:rFonts w:ascii="宋体" w:hAnsi="宋体" w:cs="宋体"/>
          <w:szCs w:val="21"/>
        </w:rPr>
      </w:pPr>
      <w:r>
        <w:rPr>
          <w:rFonts w:hint="eastAsia" w:ascii="宋体" w:hAnsi="宋体" w:cs="宋体"/>
          <w:szCs w:val="21"/>
        </w:rPr>
        <w:t xml:space="preserve">3、《杭州市区管市政设施检查考核办法》 </w:t>
      </w:r>
    </w:p>
    <w:p>
      <w:pPr>
        <w:spacing w:line="400" w:lineRule="exact"/>
        <w:ind w:firstLine="420" w:firstLineChars="200"/>
        <w:rPr>
          <w:rFonts w:ascii="宋体" w:hAnsi="宋体" w:cs="宋体"/>
          <w:szCs w:val="21"/>
        </w:rPr>
      </w:pPr>
      <w:r>
        <w:rPr>
          <w:rFonts w:hint="eastAsia" w:ascii="宋体" w:hAnsi="宋体" w:cs="宋体"/>
          <w:szCs w:val="21"/>
        </w:rPr>
        <w:t xml:space="preserve">4、《滨江区市政管网清淤考核办法》 </w:t>
      </w:r>
    </w:p>
    <w:p>
      <w:pPr>
        <w:spacing w:line="400" w:lineRule="exact"/>
        <w:ind w:firstLine="420" w:firstLineChars="200"/>
        <w:rPr>
          <w:rFonts w:ascii="宋体" w:hAnsi="宋体" w:cs="宋体"/>
          <w:szCs w:val="21"/>
        </w:rPr>
      </w:pPr>
      <w:r>
        <w:rPr>
          <w:rFonts w:hint="eastAsia" w:ascii="宋体" w:hAnsi="宋体" w:cs="宋体"/>
          <w:szCs w:val="21"/>
        </w:rPr>
        <w:t>5、其他相关行业、地方单位的法规、规程、规定及要求。</w:t>
      </w:r>
    </w:p>
    <w:p>
      <w:pPr>
        <w:spacing w:line="400" w:lineRule="exact"/>
        <w:ind w:firstLine="420" w:firstLineChars="200"/>
        <w:rPr>
          <w:rFonts w:ascii="宋体" w:hAnsi="宋体" w:cs="宋体"/>
          <w:szCs w:val="21"/>
        </w:rPr>
      </w:pPr>
      <w:r>
        <w:rPr>
          <w:rFonts w:hint="eastAsia" w:ascii="宋体" w:hAnsi="宋体" w:cs="宋体"/>
          <w:szCs w:val="21"/>
        </w:rPr>
        <w:t>注：若同一标准已版发新的标准（办法），则按最新文件执行。若同一服务有几个标准（国际标准、国家标准、行业标准、企业标准等），则按高要求的标准（办法）执行。</w:t>
      </w:r>
    </w:p>
    <w:p>
      <w:pPr>
        <w:tabs>
          <w:tab w:val="left" w:pos="2101"/>
        </w:tabs>
        <w:spacing w:line="460" w:lineRule="exact"/>
        <w:rPr>
          <w:rFonts w:ascii="宋体" w:hAnsi="宋体" w:cs="Arial"/>
          <w:bCs/>
          <w:color w:val="000000"/>
          <w:sz w:val="22"/>
          <w:szCs w:val="22"/>
        </w:rPr>
      </w:pPr>
      <w:r>
        <w:rPr>
          <w:rFonts w:hint="eastAsia" w:ascii="宋体" w:hAnsi="宋体" w:cs="Arial"/>
          <w:bCs/>
          <w:color w:val="000000"/>
          <w:sz w:val="22"/>
          <w:szCs w:val="22"/>
        </w:rPr>
        <w:t>三、本次采购养护项目要求：</w:t>
      </w:r>
    </w:p>
    <w:p>
      <w:pPr>
        <w:tabs>
          <w:tab w:val="left" w:pos="2101"/>
        </w:tabs>
        <w:spacing w:line="460" w:lineRule="exact"/>
        <w:rPr>
          <w:rFonts w:ascii="宋体" w:hAnsi="宋体" w:cs="Arial"/>
          <w:bCs/>
          <w:color w:val="000000"/>
          <w:sz w:val="22"/>
          <w:szCs w:val="22"/>
        </w:rPr>
      </w:pPr>
      <w:r>
        <w:rPr>
          <w:rFonts w:hint="eastAsia" w:ascii="宋体" w:hAnsi="宋体" w:cs="Arial"/>
          <w:bCs/>
          <w:color w:val="000000"/>
          <w:sz w:val="22"/>
          <w:szCs w:val="22"/>
        </w:rPr>
        <w:t>（一）一般</w:t>
      </w:r>
      <w:r>
        <w:rPr>
          <w:rFonts w:hint="eastAsia" w:ascii="宋体" w:hAnsi="宋体" w:cs="宋体"/>
          <w:bCs/>
          <w:szCs w:val="21"/>
        </w:rPr>
        <w:t>市政雨水管网养护项目</w:t>
      </w:r>
      <w:r>
        <w:rPr>
          <w:rFonts w:hint="eastAsia" w:ascii="宋体" w:hAnsi="宋体" w:cs="Arial"/>
          <w:bCs/>
          <w:color w:val="000000"/>
          <w:sz w:val="22"/>
          <w:szCs w:val="22"/>
        </w:rPr>
        <w:t>作业标准</w:t>
      </w:r>
    </w:p>
    <w:p>
      <w:pPr>
        <w:spacing w:line="400" w:lineRule="exact"/>
        <w:ind w:firstLine="420" w:firstLineChars="200"/>
        <w:rPr>
          <w:rFonts w:ascii="宋体" w:hAnsi="宋体" w:cs="宋体"/>
          <w:szCs w:val="21"/>
        </w:rPr>
      </w:pPr>
      <w:r>
        <w:rPr>
          <w:rFonts w:hint="eastAsia" w:ascii="宋体" w:hAnsi="宋体" w:cs="宋体"/>
          <w:szCs w:val="21"/>
        </w:rPr>
        <w:t>1、根据《杭州市市政设施管理条例》和《杭州市区属市政设施考核办法》外，另外要求：清淤养护范围内所有检查井及雨水口井清淤要求服务期内每年全面清淤不少于4次；雨水管管道清淤疏通管径＜300要求服务期内每年全面清淤不少于4次，管径300-600要求服务期内每年全面清淤不少于2次，管径600-1000要求服务期内每年全面清淤不少于1次，管径1000-1500要求服务期内每年全面清淤不少于0.5次，管径大于1500要求服务期内每年全面清淤不少于0.5次。</w:t>
      </w:r>
    </w:p>
    <w:p>
      <w:pPr>
        <w:spacing w:line="400" w:lineRule="exact"/>
        <w:ind w:firstLine="420" w:firstLineChars="200"/>
        <w:rPr>
          <w:rFonts w:ascii="宋体" w:hAnsi="宋体" w:cs="宋体"/>
          <w:szCs w:val="21"/>
        </w:rPr>
      </w:pPr>
      <w:r>
        <w:rPr>
          <w:rFonts w:hint="eastAsia" w:ascii="宋体" w:hAnsi="宋体" w:cs="宋体"/>
          <w:szCs w:val="21"/>
        </w:rPr>
        <w:t>2、雨水支管、预留管、排水沟渠：清淤、疏通；经全面清淤后的管渠淤泥沉积深度不超过管底 6cm，支管畅通，做到雨污水分流。</w:t>
      </w:r>
    </w:p>
    <w:p>
      <w:pPr>
        <w:spacing w:line="400" w:lineRule="exact"/>
        <w:ind w:firstLine="420" w:firstLineChars="200"/>
        <w:rPr>
          <w:rFonts w:ascii="宋体" w:hAnsi="宋体" w:cs="宋体"/>
          <w:szCs w:val="21"/>
        </w:rPr>
      </w:pPr>
      <w:r>
        <w:rPr>
          <w:rFonts w:hint="eastAsia" w:ascii="宋体" w:hAnsi="宋体" w:cs="宋体"/>
          <w:szCs w:val="21"/>
        </w:rPr>
        <w:t>3、雨水检查井（含交汇井、预留井、排河口管理井）：清捞、疏挖，雨水收集井清捞；井内清洁，无浮渣，无破损、裂缝；检查井有沉泥槽的淤泥沉积深度不超过管底 5cm，无沉泥槽的淤泥沉积深度不超过管底 6cm；雨水收集井（边井）淤泥沉积深度不超过管底 2cm；安全防护网设置到位。</w:t>
      </w:r>
    </w:p>
    <w:p>
      <w:pPr>
        <w:spacing w:line="400" w:lineRule="exact"/>
        <w:ind w:firstLine="420" w:firstLineChars="200"/>
        <w:rPr>
          <w:rFonts w:ascii="宋体" w:hAnsi="宋体" w:cs="宋体"/>
          <w:szCs w:val="21"/>
        </w:rPr>
      </w:pPr>
      <w:r>
        <w:rPr>
          <w:rFonts w:hint="eastAsia" w:ascii="宋体" w:hAnsi="宋体" w:cs="宋体"/>
          <w:szCs w:val="21"/>
        </w:rPr>
        <w:t>4、养护单位须派专人进行日常管网巡查、养护每年不少于20次（包含检查井盖是否有破损丢失，是否有管线周边施工偷排泥浆水进入管线内，是否有企业或个人私自接管；是否有未按要求排放水源情况，是否有其他异常情况等，出现情况均须24小时内向采购人汇报），及时发现并处置管网漏水、堵塞、脱节、井盖破损等情况。</w:t>
      </w:r>
    </w:p>
    <w:p>
      <w:pPr>
        <w:spacing w:line="400" w:lineRule="exact"/>
        <w:ind w:firstLine="420" w:firstLineChars="200"/>
        <w:rPr>
          <w:rFonts w:ascii="宋体" w:hAnsi="宋体" w:cs="宋体"/>
          <w:szCs w:val="21"/>
        </w:rPr>
      </w:pPr>
      <w:r>
        <w:rPr>
          <w:rFonts w:hint="eastAsia" w:ascii="宋体" w:hAnsi="宋体" w:cs="宋体"/>
          <w:szCs w:val="21"/>
        </w:rPr>
        <w:t>5、养护单位需在作业前报采购人书面同意后进行管线疏通清淤工作的实施，对于易堵塞淤积的管段或采购人指定的一些特定管段需确保畅通；发现违法侵害管网设施的行为立即上报，发现路面沉降，管网设施受损等状况 24 小时内上报。</w:t>
      </w:r>
    </w:p>
    <w:p>
      <w:pPr>
        <w:spacing w:line="400" w:lineRule="exact"/>
        <w:ind w:firstLine="420" w:firstLineChars="200"/>
        <w:rPr>
          <w:rFonts w:ascii="宋体" w:hAnsi="宋体" w:cs="宋体"/>
          <w:szCs w:val="21"/>
        </w:rPr>
      </w:pPr>
      <w:r>
        <w:rPr>
          <w:rFonts w:hint="eastAsia" w:ascii="宋体" w:hAnsi="宋体" w:cs="宋体"/>
          <w:szCs w:val="21"/>
        </w:rPr>
        <w:t>6、清疏作业要根据管网走向由远到近（从最上游的雨水收集井、检查井清疏至排河口）， 先边井，再支管，后主管、主井，逐步清挖清疏，依次作业，确保路段管网排水通畅、有效，不出现积水、积涝。</w:t>
      </w:r>
    </w:p>
    <w:p>
      <w:pPr>
        <w:spacing w:line="400" w:lineRule="exact"/>
        <w:ind w:firstLine="420" w:firstLineChars="200"/>
        <w:rPr>
          <w:rFonts w:ascii="宋体" w:hAnsi="宋体" w:cs="宋体"/>
          <w:szCs w:val="21"/>
        </w:rPr>
      </w:pPr>
      <w:r>
        <w:rPr>
          <w:rFonts w:hint="eastAsia" w:ascii="宋体" w:hAnsi="宋体" w:cs="宋体"/>
          <w:szCs w:val="21"/>
        </w:rPr>
        <w:t>7、▲养护单位要具备完成清疏养护服务必须的设备和作业人员：至少配备 1 辆重型专项作业车（多功能疏通车）、2辆工具车、1 辆巡逻车，至少配备15 名以上专职作业人员（管理人员、安全监管人员、作业员），以及充足的交通警示标志和施工作业围栏，一定数量的抽风机、气体检测仪器、通讯设备等必须的设备工具。所有投入本项目的设备，只能在本项目中使用，且车辆按采购人要求装置GPS。</w:t>
      </w:r>
    </w:p>
    <w:p>
      <w:pPr>
        <w:spacing w:line="400" w:lineRule="exact"/>
        <w:ind w:firstLine="420" w:firstLineChars="200"/>
        <w:rPr>
          <w:rFonts w:ascii="宋体" w:hAnsi="宋体" w:cs="宋体"/>
          <w:szCs w:val="21"/>
        </w:rPr>
      </w:pPr>
      <w:r>
        <w:rPr>
          <w:rFonts w:hint="eastAsia" w:ascii="宋体" w:hAnsi="宋体" w:cs="宋体"/>
          <w:szCs w:val="21"/>
        </w:rPr>
        <w:t>8、在进行雨水井、检查井等清淤作业时，必须按规定实行安全维护，维护设施至少在来车方向需要警示牌1块、道路指向牌1块、警示桶2只，设立醒目标志，作业人员必须服装整齐，标志明显，操作流程规范，做好交通疏导，保证车辆行人安全，避免安全事故的发生，自觉接受管理部门、各级领导和社会群众监督。</w:t>
      </w:r>
    </w:p>
    <w:p>
      <w:pPr>
        <w:spacing w:line="400" w:lineRule="exact"/>
        <w:ind w:firstLine="420" w:firstLineChars="200"/>
        <w:rPr>
          <w:rFonts w:ascii="宋体" w:hAnsi="宋体" w:cs="宋体"/>
          <w:szCs w:val="21"/>
        </w:rPr>
      </w:pPr>
      <w:r>
        <w:rPr>
          <w:rFonts w:hint="eastAsia" w:ascii="宋体" w:hAnsi="宋体" w:cs="宋体"/>
          <w:szCs w:val="21"/>
        </w:rPr>
        <w:t>9、清疏作业中产生的淤泥和垃圾及时清理，倾倒到固定合法消纳场所，不能影响现场周边环境，避免二次污染，由此引发的市民投诉或处罚由养护单位承担责任和相关费用。</w:t>
      </w:r>
    </w:p>
    <w:p>
      <w:pPr>
        <w:spacing w:line="400" w:lineRule="exact"/>
        <w:ind w:firstLine="420" w:firstLineChars="200"/>
        <w:rPr>
          <w:rFonts w:ascii="宋体" w:hAnsi="宋体" w:cs="宋体"/>
          <w:szCs w:val="21"/>
        </w:rPr>
      </w:pPr>
      <w:r>
        <w:rPr>
          <w:rFonts w:hint="eastAsia" w:ascii="宋体" w:hAnsi="宋体" w:cs="宋体"/>
          <w:szCs w:val="21"/>
        </w:rPr>
        <w:t>10、清淤作业完成以后完成的视频影像资料需交给采购人一份存档。</w:t>
      </w:r>
    </w:p>
    <w:p>
      <w:pPr>
        <w:spacing w:line="400" w:lineRule="exact"/>
        <w:rPr>
          <w:rFonts w:ascii="宋体" w:hAnsi="宋体" w:cs="宋体"/>
          <w:szCs w:val="21"/>
        </w:rPr>
      </w:pPr>
      <w:r>
        <w:rPr>
          <w:rFonts w:hint="eastAsia" w:ascii="宋体" w:hAnsi="宋体" w:cs="宋体"/>
          <w:szCs w:val="21"/>
        </w:rPr>
        <w:t>（二）养护范围内重点工地作业标准</w:t>
      </w:r>
    </w:p>
    <w:p>
      <w:pPr>
        <w:spacing w:line="400" w:lineRule="exact"/>
        <w:ind w:firstLine="420" w:firstLineChars="200"/>
        <w:rPr>
          <w:rFonts w:ascii="宋体" w:hAnsi="宋体" w:cs="宋体"/>
          <w:szCs w:val="21"/>
        </w:rPr>
      </w:pPr>
      <w:r>
        <w:rPr>
          <w:rFonts w:hint="eastAsia" w:ascii="宋体" w:hAnsi="宋体" w:cs="宋体"/>
          <w:szCs w:val="21"/>
        </w:rPr>
        <w:t>1、养护范围内的重点工地，养护单位需协助采购单位检查是否办理排水许可证，如未办理排水许可证的需及时向主管部门反应，并协助主管部门对排水行为进行制止，且保留相关的影像资料作为相关的证据。</w:t>
      </w:r>
    </w:p>
    <w:p>
      <w:pPr>
        <w:spacing w:line="400" w:lineRule="exact"/>
        <w:ind w:firstLine="420" w:firstLineChars="200"/>
      </w:pPr>
      <w:r>
        <w:rPr>
          <w:rFonts w:hint="eastAsia" w:ascii="宋体" w:hAnsi="宋体" w:cs="宋体"/>
          <w:szCs w:val="21"/>
        </w:rPr>
        <w:t>3、养护单位需协助采购单位检重点工地是否按排水许可要求排水，如未按排水许可证要求排水的需及时向主管部门反应，并协助主管部门对排水行为进行制止，且保留相关的影像资料作为相关的证据。</w:t>
      </w:r>
    </w:p>
    <w:p>
      <w:pPr>
        <w:spacing w:line="400" w:lineRule="exact"/>
        <w:ind w:firstLine="420" w:firstLineChars="200"/>
        <w:rPr>
          <w:rFonts w:ascii="宋体" w:hAnsi="宋体" w:cs="宋体"/>
          <w:szCs w:val="21"/>
        </w:rPr>
      </w:pPr>
      <w:r>
        <w:rPr>
          <w:rFonts w:hint="eastAsia" w:ascii="宋体" w:hAnsi="宋体" w:cs="宋体"/>
          <w:szCs w:val="21"/>
        </w:rPr>
        <w:t>4、养护单位需严格监管养护范围周边新建与在建工地泥浆、污水偷排乱排现象，发现后及时上报主管单位且保留相关的影像资料作为相关的证据；如未发现，造成雨水管网堵塞，由养护单位负责清淤。</w:t>
      </w:r>
    </w:p>
    <w:p>
      <w:pPr>
        <w:spacing w:line="400" w:lineRule="exact"/>
        <w:rPr>
          <w:rFonts w:ascii="宋体" w:hAnsi="宋体" w:cs="宋体"/>
          <w:szCs w:val="21"/>
        </w:rPr>
      </w:pPr>
      <w:r>
        <w:rPr>
          <w:rFonts w:hint="eastAsia" w:ascii="宋体" w:hAnsi="宋体" w:cs="宋体"/>
          <w:szCs w:val="21"/>
        </w:rPr>
        <w:t>（三）异常排河口排查作业标准</w:t>
      </w:r>
    </w:p>
    <w:p>
      <w:pPr>
        <w:spacing w:line="400" w:lineRule="exact"/>
        <w:ind w:firstLine="420" w:firstLineChars="200"/>
        <w:rPr>
          <w:rFonts w:ascii="宋体" w:hAnsi="宋体" w:cs="宋体"/>
          <w:szCs w:val="21"/>
        </w:rPr>
      </w:pPr>
      <w:r>
        <w:rPr>
          <w:rFonts w:hint="eastAsia" w:ascii="宋体" w:hAnsi="宋体" w:cs="宋体"/>
          <w:szCs w:val="21"/>
        </w:rPr>
        <w:t>1、养护范围的所有河道的河道口的人工排查作业由归养护单位负责；</w:t>
      </w:r>
    </w:p>
    <w:p>
      <w:pPr>
        <w:tabs>
          <w:tab w:val="left" w:pos="2101"/>
        </w:tabs>
        <w:spacing w:line="460" w:lineRule="exact"/>
        <w:rPr>
          <w:rFonts w:ascii="宋体" w:hAnsi="宋体" w:cs="Arial"/>
          <w:bCs/>
          <w:color w:val="000000"/>
          <w:sz w:val="22"/>
          <w:szCs w:val="22"/>
        </w:rPr>
      </w:pPr>
      <w:r>
        <w:rPr>
          <w:rFonts w:hint="eastAsia" w:ascii="宋体" w:hAnsi="宋体" w:cs="Arial"/>
          <w:bCs/>
          <w:color w:val="000000"/>
          <w:sz w:val="22"/>
          <w:szCs w:val="22"/>
        </w:rPr>
        <w:t>（四）养护作业和防汛应急要求</w:t>
      </w:r>
    </w:p>
    <w:p>
      <w:pPr>
        <w:spacing w:line="400" w:lineRule="exact"/>
        <w:ind w:firstLine="420" w:firstLineChars="200"/>
        <w:rPr>
          <w:rFonts w:ascii="宋体" w:hAnsi="宋体" w:cs="宋体"/>
          <w:szCs w:val="21"/>
        </w:rPr>
      </w:pPr>
      <w:r>
        <w:rPr>
          <w:rFonts w:hint="eastAsia" w:ascii="宋体" w:hAnsi="宋体" w:cs="宋体"/>
          <w:szCs w:val="21"/>
        </w:rPr>
        <w:t>1、要确保养护范围内管网畅通，不出现道路积水和内涝，确保市民生命及财产安全。一旦出现积涝，第一时间做好应急抢险工作，做好交通疏导，采取有效措施清除积水，尽快恢复道路交通。事后查明原因，提出整改建议。</w:t>
      </w:r>
    </w:p>
    <w:p>
      <w:pPr>
        <w:spacing w:line="400" w:lineRule="exact"/>
        <w:ind w:firstLine="420" w:firstLineChars="200"/>
        <w:rPr>
          <w:rFonts w:ascii="宋体" w:hAnsi="宋体" w:cs="宋体"/>
          <w:szCs w:val="21"/>
        </w:rPr>
      </w:pPr>
      <w:r>
        <w:rPr>
          <w:rFonts w:hint="eastAsia" w:ascii="宋体" w:hAnsi="宋体" w:cs="宋体"/>
          <w:szCs w:val="21"/>
        </w:rPr>
        <w:t>2、防汛抗台期间须积极配合采购单位及相关部门确保管网正常运行，启动四级（含）以下应急响应的，出动工具车 3 辆，人员 9 人，11kw以上水泵 3 台，若干交通警示标志；启动三级应急响应的，出动人员 12 人，工具车4辆，11kw以上水泵 4 台，若干交通警示标志。启动二级（含）以上应急响应的，出动人员 15 人，工具车5辆，11kw以上水泵 5 台。应急响应启动后，出动车辆人员服从甲方统一调配安排，落实人员巡查值守并及时上报处置情况。</w:t>
      </w:r>
    </w:p>
    <w:p>
      <w:pPr>
        <w:spacing w:line="400" w:lineRule="exact"/>
        <w:ind w:firstLine="420" w:firstLineChars="200"/>
        <w:rPr>
          <w:rFonts w:ascii="宋体" w:hAnsi="宋体" w:cs="宋体"/>
          <w:szCs w:val="21"/>
        </w:rPr>
      </w:pPr>
      <w:r>
        <w:rPr>
          <w:rFonts w:hint="eastAsia" w:ascii="宋体" w:hAnsi="宋体" w:cs="宋体"/>
          <w:szCs w:val="21"/>
        </w:rPr>
        <w:t>3、养护单位合同签订后一个月内需对所有管网及检查井进行排查，并出具排查情况报告。如管网及检查井附属设施等存在质量问题的及时提出，由采购人负责协调维修至满足设计要求及能够正常运维或以双方约定的方式运维；如养护单位未排查出管网及检查井附属设施存在的问题而影响日后的运维工作，造成的损失由养护单位承担，所需维修的费用包含在投标价内；如养护单位发现有开挖道路等施工破坏管网及检查井附属设施时，应通知采购单位，由采购单位或相关主管部门负责修复，养护单位没有及时发现破坏管网及检查井附属设施行为或发现未通知采购人，由此造成的修复等费用均由养护单位承担，所需费用包含在投标总价内。</w:t>
      </w:r>
    </w:p>
    <w:p>
      <w:pPr>
        <w:spacing w:line="400" w:lineRule="exact"/>
        <w:ind w:firstLine="420" w:firstLineChars="200"/>
        <w:rPr>
          <w:rFonts w:ascii="宋体" w:hAnsi="宋体" w:cs="宋体"/>
          <w:szCs w:val="21"/>
        </w:rPr>
      </w:pPr>
      <w:r>
        <w:rPr>
          <w:rFonts w:hint="eastAsia" w:ascii="宋体" w:hAnsi="宋体" w:cs="宋体"/>
          <w:szCs w:val="21"/>
        </w:rPr>
        <w:t>4、养护作业中，如发生安全生产事故、交通安全事故，由养护单位承担全部责任，所产生的费用由养护单位全部承担；因养护单位管理不善或使用不当造成的损失由养护单位负责赔偿。</w:t>
      </w:r>
    </w:p>
    <w:p>
      <w:pPr>
        <w:spacing w:line="400" w:lineRule="exact"/>
        <w:ind w:firstLine="420" w:firstLineChars="200"/>
        <w:rPr>
          <w:rFonts w:ascii="宋体" w:hAnsi="宋体" w:cs="宋体"/>
          <w:szCs w:val="21"/>
        </w:rPr>
      </w:pPr>
      <w:r>
        <w:rPr>
          <w:rFonts w:hint="eastAsia" w:ascii="宋体" w:hAnsi="宋体" w:cs="宋体"/>
          <w:szCs w:val="21"/>
        </w:rPr>
        <w:t>5、养护范围内的投诉和新闻舆论批评，应在 24 小时内处理完毕并反馈信息。</w:t>
      </w:r>
    </w:p>
    <w:p>
      <w:pPr>
        <w:spacing w:line="400" w:lineRule="exact"/>
        <w:ind w:firstLine="420" w:firstLineChars="200"/>
        <w:rPr>
          <w:rFonts w:ascii="宋体" w:hAnsi="宋体" w:cs="宋体"/>
          <w:szCs w:val="21"/>
        </w:rPr>
      </w:pPr>
      <w:r>
        <w:rPr>
          <w:rFonts w:hint="eastAsia" w:ascii="宋体" w:hAnsi="宋体" w:cs="宋体"/>
          <w:szCs w:val="21"/>
        </w:rPr>
        <w:t>6、养护作业专职人员要求配齐作业人员、管理人员及安全监管人员及潜水人员等，保障日常清淤疏通工作和应急抢险工作顺利完成。</w:t>
      </w:r>
    </w:p>
    <w:p>
      <w:pPr>
        <w:spacing w:line="400" w:lineRule="exact"/>
        <w:ind w:firstLine="420" w:firstLineChars="200"/>
        <w:rPr>
          <w:rFonts w:ascii="宋体" w:hAnsi="宋体" w:cs="宋体"/>
          <w:szCs w:val="21"/>
        </w:rPr>
      </w:pPr>
      <w:r>
        <w:rPr>
          <w:rFonts w:hint="eastAsia" w:ascii="宋体" w:hAnsi="宋体" w:cs="宋体"/>
          <w:szCs w:val="21"/>
        </w:rPr>
        <w:t>7、日常巡查中发现井盖破损或缺失的，应在2小时内上报采购单位，以便采购单位及时更换。</w:t>
      </w:r>
    </w:p>
    <w:p>
      <w:pPr>
        <w:spacing w:line="400" w:lineRule="exact"/>
        <w:ind w:firstLine="420" w:firstLineChars="200"/>
        <w:rPr>
          <w:rFonts w:ascii="宋体" w:hAnsi="宋体" w:cs="宋体"/>
          <w:szCs w:val="21"/>
        </w:rPr>
      </w:pPr>
      <w:r>
        <w:rPr>
          <w:rFonts w:hint="eastAsia" w:ascii="宋体" w:hAnsi="宋体" w:cs="宋体"/>
          <w:szCs w:val="21"/>
        </w:rPr>
        <w:t>8、做好养护工作量日、周、月报表及度汇总台帐。按养护作业工作计划及时上报周报表、月报表及年度总台帐。</w:t>
      </w:r>
    </w:p>
    <w:p>
      <w:pPr>
        <w:spacing w:line="400" w:lineRule="exact"/>
        <w:ind w:firstLine="420" w:firstLineChars="200"/>
        <w:rPr>
          <w:rFonts w:ascii="宋体" w:hAnsi="宋体" w:cs="宋体"/>
          <w:szCs w:val="21"/>
        </w:rPr>
      </w:pPr>
      <w:r>
        <w:rPr>
          <w:rFonts w:hint="eastAsia" w:ascii="宋体" w:hAnsi="宋体" w:cs="宋体"/>
          <w:szCs w:val="21"/>
        </w:rPr>
        <w:t>9、养护作业的考核按照“市政管网清淤月度考核办法”执行。其它参照国家、省、市有关规范标准执行。具体处罚标准按照“市政管网清淤月度考核办法”执行。</w:t>
      </w:r>
    </w:p>
    <w:p>
      <w:pPr>
        <w:spacing w:line="400" w:lineRule="exact"/>
        <w:ind w:firstLine="420" w:firstLineChars="200"/>
        <w:rPr>
          <w:rFonts w:ascii="宋体" w:hAnsi="宋体" w:cs="宋体"/>
          <w:szCs w:val="21"/>
        </w:rPr>
      </w:pPr>
      <w:r>
        <w:rPr>
          <w:rFonts w:hint="eastAsia" w:ascii="宋体" w:hAnsi="宋体" w:cs="宋体"/>
          <w:szCs w:val="21"/>
        </w:rPr>
        <w:t>（三）养护单位职责：</w:t>
      </w:r>
    </w:p>
    <w:p>
      <w:pPr>
        <w:spacing w:line="400" w:lineRule="exact"/>
        <w:ind w:firstLine="420" w:firstLineChars="200"/>
        <w:rPr>
          <w:rFonts w:ascii="宋体" w:hAnsi="宋体" w:cs="宋体"/>
          <w:szCs w:val="21"/>
        </w:rPr>
      </w:pPr>
      <w:r>
        <w:rPr>
          <w:rFonts w:hint="eastAsia" w:ascii="宋体" w:hAnsi="宋体" w:cs="宋体"/>
          <w:szCs w:val="21"/>
        </w:rPr>
        <w:t>1、必须严格按招投标要求、养护质量标准及相关规定，精心组织养护，确保养护质量，承担设施、作业人员安全和公共安全责任。</w:t>
      </w:r>
    </w:p>
    <w:p>
      <w:pPr>
        <w:spacing w:line="400" w:lineRule="exact"/>
        <w:ind w:firstLine="420" w:firstLineChars="200"/>
        <w:rPr>
          <w:rFonts w:ascii="宋体" w:hAnsi="宋体" w:cs="宋体"/>
          <w:szCs w:val="21"/>
        </w:rPr>
      </w:pPr>
      <w:r>
        <w:rPr>
          <w:rFonts w:hint="eastAsia" w:ascii="宋体" w:hAnsi="宋体" w:cs="宋体"/>
          <w:szCs w:val="21"/>
        </w:rPr>
        <w:t>2、养护作业人员及数量的投入、机械设备的投入必须与投标时作出的承诺相一致。</w:t>
      </w:r>
    </w:p>
    <w:p>
      <w:pPr>
        <w:spacing w:line="400" w:lineRule="exact"/>
        <w:ind w:firstLine="420" w:firstLineChars="200"/>
        <w:rPr>
          <w:rFonts w:ascii="宋体" w:hAnsi="宋体" w:cs="宋体"/>
          <w:szCs w:val="21"/>
        </w:rPr>
      </w:pPr>
      <w:r>
        <w:rPr>
          <w:rFonts w:hint="eastAsia" w:ascii="宋体" w:hAnsi="宋体" w:cs="宋体"/>
          <w:szCs w:val="21"/>
        </w:rPr>
        <w:t>3、制定全年及每月道路雨水管网清淤工作计划（含管线巡查），包括各类清淤措施、质量及安全生产保证、应急管理、重点技术措施等，并及时上报采购人。</w:t>
      </w:r>
    </w:p>
    <w:p>
      <w:pPr>
        <w:spacing w:line="400" w:lineRule="exact"/>
        <w:ind w:firstLine="420" w:firstLineChars="200"/>
        <w:rPr>
          <w:rFonts w:ascii="宋体" w:hAnsi="宋体" w:cs="宋体"/>
          <w:szCs w:val="21"/>
        </w:rPr>
      </w:pPr>
      <w:r>
        <w:rPr>
          <w:rFonts w:hint="eastAsia" w:ascii="宋体" w:hAnsi="宋体" w:cs="宋体"/>
          <w:szCs w:val="21"/>
        </w:rPr>
        <w:t>4、合理安排清淤力量，制定劳动力计划表，做好突击性工作的应急安排等，落实专职养护人员名单，养护管理责任人名单。防汛抗台期间，必须做到人员、物资、设备“三到位”，并落实 24 小时人员值班制度，具体人员、物资、设备等的数量应和采购人协商确定。</w:t>
      </w:r>
    </w:p>
    <w:p>
      <w:pPr>
        <w:spacing w:line="400" w:lineRule="exact"/>
        <w:ind w:firstLine="420" w:firstLineChars="200"/>
        <w:rPr>
          <w:rFonts w:ascii="宋体" w:hAnsi="宋体" w:cs="宋体"/>
          <w:szCs w:val="21"/>
        </w:rPr>
      </w:pPr>
      <w:r>
        <w:rPr>
          <w:rFonts w:hint="eastAsia" w:ascii="宋体" w:hAnsi="宋体" w:cs="宋体"/>
          <w:szCs w:val="21"/>
        </w:rPr>
        <w:t>5、养护作业人员必须穿统一工作服，在道路清淤中为保证安全，作业人员必须穿反光背心装，设置交通警示牌，并加强安全管理。</w:t>
      </w:r>
    </w:p>
    <w:p>
      <w:pPr>
        <w:spacing w:line="400" w:lineRule="exact"/>
        <w:ind w:firstLine="420" w:firstLineChars="200"/>
        <w:rPr>
          <w:rFonts w:ascii="宋体" w:hAnsi="宋体" w:cs="宋体"/>
          <w:szCs w:val="21"/>
        </w:rPr>
      </w:pPr>
      <w:r>
        <w:rPr>
          <w:rFonts w:hint="eastAsia" w:ascii="宋体" w:hAnsi="宋体" w:cs="宋体"/>
          <w:szCs w:val="21"/>
        </w:rPr>
        <w:t>6、养护作业中，如发生安全生产和交通安全事故，由养护单位承担全部责任，所产生费用由养护单位全部承担；因养护单位管理不善或使用不当造成的损失由养护单位负责赔偿；在承包范围内雨水管道、窨井破损、下降而引发的各类伤亡事故由养护单位承担全部责任。</w:t>
      </w:r>
    </w:p>
    <w:p>
      <w:pPr>
        <w:spacing w:line="400" w:lineRule="exact"/>
        <w:ind w:firstLine="420" w:firstLineChars="200"/>
        <w:rPr>
          <w:rFonts w:ascii="宋体" w:hAnsi="宋体" w:cs="宋体"/>
          <w:szCs w:val="21"/>
        </w:rPr>
      </w:pPr>
      <w:r>
        <w:rPr>
          <w:rFonts w:hint="eastAsia" w:ascii="宋体" w:hAnsi="宋体" w:cs="宋体"/>
          <w:szCs w:val="21"/>
        </w:rPr>
        <w:t>7、养护单位需在下井作业前做好毒气检测，防止人员中毒。如在下井作业中出现人员中毒伤亡事故，其一切责任和后果由养护单位承担。</w:t>
      </w:r>
    </w:p>
    <w:p>
      <w:pPr>
        <w:spacing w:line="400" w:lineRule="exact"/>
        <w:ind w:firstLine="420" w:firstLineChars="200"/>
        <w:rPr>
          <w:rFonts w:ascii="宋体" w:hAnsi="宋体" w:cs="宋体"/>
          <w:szCs w:val="21"/>
        </w:rPr>
      </w:pPr>
      <w:r>
        <w:rPr>
          <w:rFonts w:hint="eastAsia" w:ascii="宋体" w:hAnsi="宋体" w:cs="宋体"/>
          <w:szCs w:val="21"/>
        </w:rPr>
        <w:t>8、在养护过程中，养护单位不准以设备在维修为由不落实养护责任。如养护单位多次发生此类情形，招标人有权直接认定养护单位考核不达标，直至终止养护合同。</w:t>
      </w:r>
    </w:p>
    <w:p>
      <w:pPr>
        <w:spacing w:line="400" w:lineRule="exact"/>
        <w:ind w:firstLine="420" w:firstLineChars="200"/>
        <w:rPr>
          <w:rFonts w:ascii="宋体" w:hAnsi="宋体" w:cs="宋体"/>
          <w:szCs w:val="21"/>
        </w:rPr>
      </w:pPr>
      <w:r>
        <w:rPr>
          <w:rFonts w:hint="eastAsia" w:ascii="宋体" w:hAnsi="宋体" w:cs="宋体"/>
          <w:szCs w:val="21"/>
        </w:rPr>
        <w:t>9、养护单位需协助采购单位做好新管验收移交工作，协助采购单位调查企业等生产生活排水是否接入市政管网。</w:t>
      </w:r>
    </w:p>
    <w:p>
      <w:pPr>
        <w:spacing w:line="400" w:lineRule="exact"/>
        <w:ind w:firstLine="420" w:firstLineChars="200"/>
        <w:rPr>
          <w:rFonts w:ascii="宋体" w:hAnsi="宋体" w:cs="宋体"/>
          <w:szCs w:val="21"/>
        </w:rPr>
      </w:pPr>
      <w:r>
        <w:rPr>
          <w:rFonts w:hint="eastAsia" w:ascii="宋体" w:hAnsi="宋体" w:cs="宋体"/>
          <w:szCs w:val="21"/>
        </w:rPr>
        <w:t>10、合同到期或终止时，在交接前运维单位必须确保管道正常疏通，并出具排查情况报告。</w:t>
      </w:r>
    </w:p>
    <w:p>
      <w:pPr>
        <w:tabs>
          <w:tab w:val="left" w:pos="2101"/>
        </w:tabs>
        <w:spacing w:line="460" w:lineRule="exact"/>
        <w:rPr>
          <w:rFonts w:ascii="宋体" w:hAnsi="宋体" w:cs="Arial"/>
          <w:bCs/>
          <w:color w:val="000000"/>
          <w:sz w:val="22"/>
          <w:szCs w:val="22"/>
        </w:rPr>
      </w:pPr>
      <w:r>
        <w:rPr>
          <w:rFonts w:hint="eastAsia" w:ascii="宋体" w:hAnsi="宋体" w:cs="Arial"/>
          <w:bCs/>
          <w:color w:val="000000"/>
          <w:sz w:val="22"/>
          <w:szCs w:val="22"/>
        </w:rPr>
        <w:t>二、 项目要求</w:t>
      </w:r>
    </w:p>
    <w:p>
      <w:pPr>
        <w:spacing w:line="400" w:lineRule="exact"/>
        <w:ind w:firstLine="420" w:firstLineChars="200"/>
        <w:rPr>
          <w:rFonts w:ascii="宋体" w:hAnsi="宋体" w:cs="宋体"/>
          <w:szCs w:val="21"/>
        </w:rPr>
      </w:pPr>
      <w:r>
        <w:rPr>
          <w:rFonts w:hint="eastAsia" w:ascii="宋体" w:hAnsi="宋体" w:cs="宋体"/>
          <w:szCs w:val="21"/>
        </w:rPr>
        <w:t>1、拟投入本项目的所有设备供应商自备。</w:t>
      </w:r>
    </w:p>
    <w:p>
      <w:pPr>
        <w:spacing w:line="400" w:lineRule="exact"/>
        <w:ind w:firstLine="420" w:firstLineChars="200"/>
        <w:rPr>
          <w:rFonts w:ascii="宋体" w:hAnsi="宋体" w:cs="宋体"/>
          <w:szCs w:val="21"/>
        </w:rPr>
      </w:pPr>
      <w:r>
        <w:rPr>
          <w:rFonts w:hint="eastAsia" w:ascii="宋体" w:hAnsi="宋体" w:cs="宋体"/>
          <w:szCs w:val="21"/>
        </w:rPr>
        <w:t>2、服务响应时间：考虑到实际情况有时紧急，养护单位在接到采购人要求施工电话后须在1小时内响应，并在24小时内派人及安排设备到达现场开始处理问题，因天气原因可适当延迟，提供不间断的服务直到结束。若未在1小时内响应或未在2小时内赶到现场解决问题的将扣除2000元/次。若连续发生三次采购人有权终止取消承包合同，同时履约保证金将不予退还。</w:t>
      </w:r>
    </w:p>
    <w:p>
      <w:pPr>
        <w:spacing w:line="400" w:lineRule="exact"/>
        <w:ind w:firstLine="420" w:firstLineChars="200"/>
        <w:rPr>
          <w:rFonts w:ascii="宋体" w:hAnsi="宋体" w:cs="宋体"/>
          <w:szCs w:val="21"/>
        </w:rPr>
      </w:pPr>
      <w:r>
        <w:rPr>
          <w:rFonts w:hint="eastAsia" w:ascii="宋体" w:hAnsi="宋体" w:cs="宋体"/>
          <w:szCs w:val="21"/>
        </w:rPr>
        <w:t>3、在履行合同中，如中标供应商未按采购人要求的时间保质保量完工，不服从采购人的指导检查，采购人有权终止合同，同时履约保证金将不予退还。</w:t>
      </w:r>
    </w:p>
    <w:p>
      <w:pPr>
        <w:spacing w:line="400" w:lineRule="exact"/>
        <w:ind w:firstLine="420" w:firstLineChars="200"/>
        <w:rPr>
          <w:rFonts w:ascii="宋体" w:hAnsi="宋体" w:cs="宋体"/>
          <w:szCs w:val="21"/>
        </w:rPr>
      </w:pPr>
      <w:r>
        <w:rPr>
          <w:rFonts w:hint="eastAsia" w:ascii="宋体" w:hAnsi="宋体" w:cs="宋体"/>
          <w:szCs w:val="21"/>
        </w:rPr>
        <w:t>4、投标供应商在投标文件中说明提供的服务计划。</w:t>
      </w:r>
    </w:p>
    <w:p>
      <w:pPr>
        <w:spacing w:line="400" w:lineRule="exact"/>
        <w:ind w:firstLine="420" w:firstLineChars="200"/>
        <w:rPr>
          <w:rFonts w:ascii="宋体" w:hAnsi="宋体" w:cs="宋体"/>
          <w:szCs w:val="21"/>
        </w:rPr>
      </w:pPr>
      <w:r>
        <w:rPr>
          <w:rFonts w:hint="eastAsia" w:ascii="宋体" w:hAnsi="宋体" w:cs="宋体"/>
          <w:szCs w:val="21"/>
        </w:rPr>
        <w:t>5、本项目采用总价包干，含税综合单价报价。综合单价包含日常巡视检查、管道维护、疏通和清淤、管道必要的封堵及拆除、雨水井、检查井、雨水口的淤泥清捞，以及淤泥外运和处置，应急抢险、养护服务过程中应急突发事件、环保、交通、治安等可能发生的费用，还包括上述所需的技术服务费、人工费、一般材料费和机械费、措施费等，以及设施配套费、备品备件及物资费、办公场所使用费、专用车辆仪器工具使用费（含折旧费、油料费、保险费、人工费、租赁费等）、劳保和安全用品使用费、经营管理费、税费、利润等一切费用；政策性文件规定及合同包含的所有风险、责任等合同中明示或暗示的所有一般风险、责任和义务等一切由采购人支付的各项费用。报价凡未列入的，将被认为均已包含在报价中。采购人将不再支付任何费用。</w:t>
      </w:r>
    </w:p>
    <w:p>
      <w:pPr>
        <w:spacing w:line="400" w:lineRule="exact"/>
        <w:ind w:firstLine="420" w:firstLineChars="200"/>
        <w:rPr>
          <w:rFonts w:ascii="宋体" w:hAnsi="宋体" w:cs="宋体"/>
          <w:szCs w:val="21"/>
        </w:rPr>
      </w:pPr>
      <w:r>
        <w:rPr>
          <w:rFonts w:hint="eastAsia" w:ascii="宋体" w:hAnsi="宋体" w:cs="宋体"/>
          <w:szCs w:val="21"/>
        </w:rPr>
        <w:t>6、非养护单位原因导致养护工作量减少的，按照实际减少的养护时间和养护工作量扣减养护费用。</w:t>
      </w:r>
    </w:p>
    <w:p>
      <w:pPr>
        <w:spacing w:line="400" w:lineRule="exact"/>
        <w:ind w:firstLine="420" w:firstLineChars="200"/>
        <w:rPr>
          <w:rFonts w:ascii="宋体" w:hAnsi="宋体" w:cs="宋体"/>
          <w:szCs w:val="21"/>
        </w:rPr>
      </w:pPr>
      <w:r>
        <w:rPr>
          <w:rFonts w:hint="eastAsia" w:ascii="宋体" w:hAnsi="宋体" w:cs="宋体"/>
          <w:szCs w:val="21"/>
        </w:rPr>
        <w:t>7、各标段的中标人应按照甲方要求承担本标段内的应急抢险类任务, 按照抢险工程实施,抢险任务的费用另计, 优惠率暂参照《杭州高新区（滨江）国有投资小型建设工程项目承发包指导意见（试行）》（区住建【2019】46号）有关规定执行，费用按照工程定额另行列支结算，如有新的文件要求按照最新政策执行。</w:t>
      </w:r>
    </w:p>
    <w:p>
      <w:pPr>
        <w:spacing w:line="400" w:lineRule="exact"/>
        <w:ind w:firstLine="420" w:firstLineChars="200"/>
        <w:rPr>
          <w:rFonts w:ascii="宋体" w:hAnsi="宋体" w:cs="宋体"/>
          <w:szCs w:val="21"/>
        </w:rPr>
      </w:pPr>
      <w:r>
        <w:rPr>
          <w:rFonts w:hint="eastAsia" w:ascii="宋体" w:hAnsi="宋体" w:cs="宋体"/>
          <w:szCs w:val="21"/>
        </w:rPr>
        <w:t>8、各标段内，涉及异常排河口人工排查，费用包干计取，各投标人自行报价，报价凡未列入的，将被认为均已包含在报价中。采购人将不再支付任何费用。</w:t>
      </w:r>
    </w:p>
    <w:p>
      <w:pPr>
        <w:spacing w:line="400" w:lineRule="exact"/>
        <w:ind w:firstLine="420" w:firstLineChars="200"/>
        <w:rPr>
          <w:rFonts w:ascii="宋体" w:hAnsi="宋体" w:cs="宋体"/>
          <w:szCs w:val="21"/>
        </w:rPr>
      </w:pPr>
      <w:r>
        <w:rPr>
          <w:rFonts w:hint="eastAsia" w:ascii="宋体" w:hAnsi="宋体" w:cs="宋体"/>
          <w:szCs w:val="21"/>
        </w:rPr>
        <w:t>9、各标段内，</w:t>
      </w:r>
      <w:r>
        <w:rPr>
          <w:rFonts w:hint="eastAsia" w:ascii="宋体" w:hAnsi="宋体"/>
          <w:bCs/>
          <w:szCs w:val="21"/>
        </w:rPr>
        <w:t>防汛排涝费用</w:t>
      </w:r>
      <w:r>
        <w:rPr>
          <w:rFonts w:hint="eastAsia" w:ascii="宋体" w:hAnsi="宋体" w:cs="宋体"/>
          <w:szCs w:val="21"/>
        </w:rPr>
        <w:t>费用实行包干制，各投标人自行报价，报价凡未列入的，将被认为均已包含在报价中。采购人将不再支付任何费用。</w:t>
      </w:r>
    </w:p>
    <w:p>
      <w:pPr>
        <w:spacing w:line="400" w:lineRule="exact"/>
        <w:ind w:firstLine="420" w:firstLineChars="200"/>
        <w:rPr>
          <w:rFonts w:ascii="宋体" w:hAnsi="宋体" w:cs="宋体"/>
          <w:szCs w:val="21"/>
        </w:rPr>
      </w:pPr>
      <w:r>
        <w:rPr>
          <w:rFonts w:hint="eastAsia" w:ascii="宋体" w:hAnsi="宋体" w:cs="宋体"/>
          <w:szCs w:val="21"/>
        </w:rPr>
        <w:t>10、凡涉及各标段内，临时新增疏通任务，相关费用按各投标人所投标费用计取，不另行报价，费用按实际结算。</w:t>
      </w:r>
    </w:p>
    <w:p>
      <w:pPr>
        <w:spacing w:line="400" w:lineRule="exact"/>
        <w:ind w:firstLine="420" w:firstLineChars="200"/>
        <w:rPr>
          <w:rFonts w:ascii="宋体" w:hAnsi="宋体" w:cs="宋体"/>
          <w:szCs w:val="21"/>
        </w:rPr>
      </w:pPr>
      <w:r>
        <w:rPr>
          <w:rFonts w:hint="eastAsia" w:ascii="宋体" w:hAnsi="宋体" w:cs="宋体"/>
          <w:szCs w:val="21"/>
        </w:rPr>
        <w:t>11、养护单位需协助采购人进行排水许可现场踏勘及排水户排水行为监督，发现异常情况的需及时向采购人汇报，相关费用自行考虑在投标报价内，今后不作调整。</w:t>
      </w:r>
    </w:p>
    <w:p>
      <w:pPr>
        <w:spacing w:line="460" w:lineRule="exact"/>
        <w:ind w:firstLine="420" w:firstLineChars="200"/>
        <w:rPr>
          <w:rFonts w:ascii="宋体" w:hAnsi="宋体" w:cs="宋体"/>
          <w:szCs w:val="21"/>
        </w:rPr>
      </w:pPr>
      <w:r>
        <w:rPr>
          <w:rFonts w:hint="eastAsia" w:ascii="宋体" w:hAnsi="宋体" w:cs="宋体"/>
          <w:szCs w:val="21"/>
        </w:rPr>
        <w:t>12、中标人在采购人组织的考核中连续三个月最后一名的，或者考核结果连续三个月未达到90分的，将终止合同。由近三个月考核平均成绩排名第一的单位，按被淘汰中标人报价暂时养护该标段，若第一名不接受的，由第二名接替，以此类推，直至重新招标后新的中标单位接受该养护项目。</w:t>
      </w:r>
    </w:p>
    <w:p>
      <w:pPr>
        <w:spacing w:line="460" w:lineRule="exact"/>
        <w:ind w:firstLine="442" w:firstLineChars="200"/>
        <w:rPr>
          <w:rFonts w:ascii="宋体" w:hAnsi="宋体" w:cs="宋体"/>
          <w:b/>
          <w:szCs w:val="21"/>
        </w:rPr>
      </w:pPr>
      <w:r>
        <w:rPr>
          <w:rFonts w:hint="eastAsia" w:ascii="宋体" w:hAnsi="宋体"/>
          <w:b/>
          <w:color w:val="000000"/>
          <w:sz w:val="22"/>
        </w:rPr>
        <w:t>四、</w:t>
      </w:r>
      <w:r>
        <w:rPr>
          <w:rFonts w:hint="eastAsia" w:ascii="宋体" w:hAnsi="宋体" w:cs="宋体"/>
          <w:b/>
          <w:szCs w:val="21"/>
        </w:rPr>
        <w:t>滨江区市政管网清淤考核办法（暂行）</w:t>
      </w:r>
    </w:p>
    <w:p>
      <w:pPr>
        <w:spacing w:line="460" w:lineRule="exact"/>
        <w:ind w:firstLine="422" w:firstLineChars="200"/>
        <w:rPr>
          <w:rFonts w:ascii="宋体" w:hAnsi="宋体"/>
          <w:b/>
          <w:color w:val="000000"/>
          <w:sz w:val="22"/>
        </w:rPr>
      </w:pPr>
      <w:r>
        <w:rPr>
          <w:rFonts w:hint="eastAsia" w:ascii="宋体" w:hAnsi="宋体" w:cs="宋体"/>
          <w:b/>
          <w:szCs w:val="21"/>
        </w:rPr>
        <w:br w:type="page"/>
      </w:r>
    </w:p>
    <w:p>
      <w:pPr>
        <w:spacing w:line="660" w:lineRule="exact"/>
        <w:jc w:val="center"/>
        <w:rPr>
          <w:rFonts w:ascii="方正小标宋_GBK" w:eastAsia="方正小标宋_GBK" w:cs="方正小标宋_GBK"/>
          <w:b/>
          <w:bCs/>
          <w:spacing w:val="30"/>
          <w:w w:val="85"/>
          <w:sz w:val="44"/>
          <w:szCs w:val="44"/>
        </w:rPr>
      </w:pPr>
      <w:r>
        <w:rPr>
          <w:rFonts w:hint="eastAsia" w:ascii="方正小标宋_GBK" w:eastAsia="方正小标宋_GBK" w:cs="方正小标宋_GBK"/>
          <w:b/>
          <w:bCs/>
          <w:spacing w:val="30"/>
          <w:w w:val="85"/>
          <w:sz w:val="44"/>
          <w:szCs w:val="44"/>
        </w:rPr>
        <w:t>杭州市滨江区</w:t>
      </w:r>
    </w:p>
    <w:p>
      <w:pPr>
        <w:spacing w:afterLines="100" w:line="660" w:lineRule="exact"/>
        <w:jc w:val="center"/>
        <w:rPr>
          <w:rFonts w:ascii="方正小标宋_GBK" w:eastAsia="方正小标宋_GBK"/>
          <w:b/>
          <w:bCs/>
          <w:spacing w:val="30"/>
          <w:w w:val="85"/>
          <w:sz w:val="44"/>
          <w:szCs w:val="44"/>
        </w:rPr>
      </w:pPr>
      <w:r>
        <w:rPr>
          <w:rFonts w:hint="eastAsia" w:ascii="方正小标宋_GBK" w:eastAsia="方正小标宋_GBK" w:cs="方正小标宋_GBK"/>
          <w:b/>
          <w:bCs/>
          <w:spacing w:val="30"/>
          <w:w w:val="85"/>
          <w:sz w:val="44"/>
          <w:szCs w:val="44"/>
        </w:rPr>
        <w:t>市政管网清淤考核办法（暂行）</w:t>
      </w:r>
    </w:p>
    <w:p>
      <w:pPr>
        <w:spacing w:line="500" w:lineRule="exact"/>
        <w:ind w:firstLine="422" w:firstLineChars="200"/>
        <w:rPr>
          <w:rFonts w:ascii="宋体" w:hAnsi="宋体" w:cs="宋体"/>
          <w:szCs w:val="21"/>
        </w:rPr>
      </w:pPr>
      <w:r>
        <w:rPr>
          <w:rFonts w:hint="eastAsia" w:ascii="宋体" w:hAnsi="宋体" w:cs="宋体"/>
          <w:b/>
          <w:bCs/>
          <w:szCs w:val="21"/>
        </w:rPr>
        <w:t>第一条</w:t>
      </w:r>
      <w:r>
        <w:rPr>
          <w:rFonts w:hint="eastAsia" w:ascii="宋体" w:hAnsi="宋体" w:cs="宋体"/>
          <w:szCs w:val="21"/>
        </w:rPr>
        <w:t xml:space="preserve">  为切实加强我区市政管网清淤工作，提升市政管网的行排能力，维护人民群众生产生活秩序，保证市政管网清淤作业质量，提高作业效率，为防汛排涝工作目标打下坚实的基础，根据《杭州市市政设施养护规程》、《杭州市市政设施管理条例》、《杭州市区管市政设施检查考核办法》，特制定本考核办法。</w:t>
      </w:r>
    </w:p>
    <w:p>
      <w:pPr>
        <w:spacing w:line="500" w:lineRule="exact"/>
        <w:ind w:firstLine="422" w:firstLineChars="200"/>
        <w:rPr>
          <w:rFonts w:ascii="宋体" w:hAnsi="宋体" w:cs="宋体"/>
          <w:szCs w:val="21"/>
        </w:rPr>
      </w:pPr>
      <w:r>
        <w:rPr>
          <w:rFonts w:hint="eastAsia" w:ascii="宋体" w:hAnsi="宋体" w:cs="宋体"/>
          <w:b/>
          <w:bCs/>
          <w:szCs w:val="21"/>
        </w:rPr>
        <w:t>第二条</w:t>
      </w:r>
      <w:r>
        <w:rPr>
          <w:rFonts w:hint="eastAsia" w:ascii="宋体" w:hAnsi="宋体" w:cs="宋体"/>
          <w:szCs w:val="21"/>
        </w:rPr>
        <w:t xml:space="preserve">  本办法适用于杭州市滨江区市政管网作业管理考核工作。</w:t>
      </w:r>
    </w:p>
    <w:p>
      <w:pPr>
        <w:spacing w:line="500" w:lineRule="exact"/>
        <w:ind w:firstLine="420" w:firstLineChars="199"/>
        <w:rPr>
          <w:rFonts w:ascii="宋体" w:hAnsi="宋体" w:cs="宋体"/>
          <w:color w:val="FF0000"/>
          <w:szCs w:val="21"/>
        </w:rPr>
      </w:pPr>
      <w:r>
        <w:rPr>
          <w:rFonts w:hint="eastAsia" w:ascii="宋体" w:hAnsi="宋体" w:cs="宋体"/>
          <w:b/>
          <w:bCs/>
          <w:szCs w:val="21"/>
        </w:rPr>
        <w:t xml:space="preserve">第三条 </w:t>
      </w:r>
      <w:r>
        <w:rPr>
          <w:rFonts w:hint="eastAsia" w:ascii="宋体" w:hAnsi="宋体" w:cs="宋体"/>
          <w:szCs w:val="21"/>
        </w:rPr>
        <w:t xml:space="preserve"> 本办法所称市政管网指我区全部城市道路雨水主管、雨水支管、预留管、排水沟渠、排河管道、检查井、雨水收集井（边井）、交汇井、预留井、排河口管理井、启闭机等所有市政雨水管网设备设施。</w:t>
      </w:r>
    </w:p>
    <w:p>
      <w:pPr>
        <w:spacing w:line="500" w:lineRule="exact"/>
        <w:ind w:firstLine="422" w:firstLineChars="200"/>
        <w:rPr>
          <w:rFonts w:ascii="宋体" w:hAnsi="宋体" w:cs="宋体"/>
          <w:szCs w:val="21"/>
        </w:rPr>
      </w:pPr>
      <w:r>
        <w:rPr>
          <w:rFonts w:hint="eastAsia" w:ascii="宋体" w:hAnsi="宋体" w:cs="宋体"/>
          <w:b/>
          <w:bCs/>
          <w:szCs w:val="21"/>
        </w:rPr>
        <w:t>第四条</w:t>
      </w:r>
      <w:r>
        <w:rPr>
          <w:rFonts w:hint="eastAsia" w:ascii="宋体" w:hAnsi="宋体" w:cs="宋体"/>
          <w:szCs w:val="21"/>
        </w:rPr>
        <w:t xml:space="preserve">  市政管网清淤考核分为每周、每月和年终考核，考核结果直接与养护费用挂钩。</w:t>
      </w:r>
    </w:p>
    <w:p>
      <w:pPr>
        <w:spacing w:line="500" w:lineRule="exact"/>
        <w:ind w:firstLine="422" w:firstLineChars="200"/>
        <w:rPr>
          <w:rFonts w:ascii="宋体" w:hAnsi="宋体" w:cs="宋体"/>
          <w:szCs w:val="21"/>
        </w:rPr>
      </w:pPr>
      <w:r>
        <w:rPr>
          <w:rFonts w:hint="eastAsia" w:ascii="宋体" w:hAnsi="宋体" w:cs="宋体"/>
          <w:b/>
          <w:bCs/>
          <w:szCs w:val="21"/>
        </w:rPr>
        <w:t>第五条</w:t>
      </w:r>
      <w:r>
        <w:rPr>
          <w:rFonts w:hint="eastAsia" w:ascii="宋体" w:hAnsi="宋体" w:cs="宋体"/>
          <w:szCs w:val="21"/>
        </w:rPr>
        <w:t xml:space="preserve">  考核内容：</w:t>
      </w:r>
    </w:p>
    <w:p>
      <w:pPr>
        <w:spacing w:line="500" w:lineRule="exact"/>
        <w:ind w:firstLine="420" w:firstLineChars="200"/>
        <w:rPr>
          <w:rFonts w:ascii="宋体" w:hAnsi="宋体" w:cs="宋体"/>
          <w:szCs w:val="21"/>
        </w:rPr>
      </w:pPr>
      <w:r>
        <w:rPr>
          <w:rFonts w:hint="eastAsia" w:ascii="宋体" w:hAnsi="宋体" w:cs="宋体"/>
          <w:szCs w:val="21"/>
        </w:rPr>
        <w:t>1、制度建设；</w:t>
      </w:r>
    </w:p>
    <w:p>
      <w:pPr>
        <w:spacing w:line="500" w:lineRule="exact"/>
        <w:ind w:firstLine="420" w:firstLineChars="200"/>
        <w:rPr>
          <w:rFonts w:ascii="宋体" w:hAnsi="宋体" w:cs="宋体"/>
          <w:szCs w:val="21"/>
        </w:rPr>
      </w:pPr>
      <w:r>
        <w:rPr>
          <w:rFonts w:hint="eastAsia" w:ascii="宋体" w:hAnsi="宋体" w:cs="宋体"/>
          <w:szCs w:val="21"/>
        </w:rPr>
        <w:t>2、规范作业；</w:t>
      </w:r>
    </w:p>
    <w:p>
      <w:pPr>
        <w:spacing w:line="500" w:lineRule="exact"/>
        <w:ind w:firstLine="420" w:firstLineChars="200"/>
        <w:rPr>
          <w:rFonts w:ascii="宋体" w:hAnsi="宋体" w:cs="宋体"/>
          <w:szCs w:val="21"/>
        </w:rPr>
      </w:pPr>
      <w:r>
        <w:rPr>
          <w:rFonts w:hint="eastAsia" w:ascii="宋体" w:hAnsi="宋体" w:cs="宋体"/>
          <w:szCs w:val="21"/>
        </w:rPr>
        <w:t>3、雨水管网清淤质量；</w:t>
      </w:r>
    </w:p>
    <w:p>
      <w:pPr>
        <w:spacing w:line="500" w:lineRule="exact"/>
        <w:ind w:firstLine="420" w:firstLineChars="200"/>
        <w:rPr>
          <w:rFonts w:ascii="宋体" w:hAnsi="宋体" w:cs="宋体"/>
          <w:szCs w:val="21"/>
        </w:rPr>
      </w:pPr>
      <w:r>
        <w:rPr>
          <w:rFonts w:hint="eastAsia" w:ascii="宋体" w:hAnsi="宋体" w:cs="宋体"/>
          <w:szCs w:val="21"/>
        </w:rPr>
        <w:t>4、数字城管抄告整改；</w:t>
      </w:r>
    </w:p>
    <w:p>
      <w:pPr>
        <w:spacing w:line="500" w:lineRule="exact"/>
        <w:ind w:firstLine="420" w:firstLineChars="200"/>
        <w:rPr>
          <w:rFonts w:ascii="宋体" w:hAnsi="宋体" w:cs="宋体"/>
          <w:szCs w:val="21"/>
        </w:rPr>
      </w:pPr>
      <w:r>
        <w:rPr>
          <w:rFonts w:hint="eastAsia" w:ascii="宋体" w:hAnsi="宋体" w:cs="宋体"/>
          <w:szCs w:val="21"/>
        </w:rPr>
        <w:t>5、部门抄告及三来件处理；</w:t>
      </w:r>
    </w:p>
    <w:p>
      <w:pPr>
        <w:spacing w:line="500" w:lineRule="exact"/>
        <w:ind w:firstLine="420" w:firstLineChars="200"/>
        <w:rPr>
          <w:rFonts w:ascii="宋体" w:hAnsi="宋体" w:cs="宋体"/>
          <w:szCs w:val="21"/>
        </w:rPr>
      </w:pPr>
      <w:r>
        <w:rPr>
          <w:rFonts w:hint="eastAsia" w:ascii="宋体" w:hAnsi="宋体" w:cs="宋体"/>
          <w:szCs w:val="21"/>
        </w:rPr>
        <w:t>6、突发事件处理；</w:t>
      </w:r>
    </w:p>
    <w:p>
      <w:pPr>
        <w:spacing w:line="500" w:lineRule="exact"/>
        <w:ind w:firstLine="420" w:firstLineChars="200"/>
        <w:rPr>
          <w:rFonts w:ascii="宋体" w:hAnsi="宋体" w:cs="宋体"/>
          <w:szCs w:val="21"/>
        </w:rPr>
      </w:pPr>
      <w:r>
        <w:rPr>
          <w:rFonts w:hint="eastAsia" w:ascii="宋体" w:hAnsi="宋体" w:cs="宋体"/>
          <w:szCs w:val="21"/>
        </w:rPr>
        <w:t>7、各类活动配合。</w:t>
      </w:r>
    </w:p>
    <w:p>
      <w:pPr>
        <w:spacing w:line="500" w:lineRule="exact"/>
        <w:ind w:firstLine="422" w:firstLineChars="200"/>
        <w:rPr>
          <w:rFonts w:ascii="宋体" w:hAnsi="宋体" w:cs="宋体"/>
          <w:szCs w:val="21"/>
        </w:rPr>
      </w:pPr>
      <w:r>
        <w:rPr>
          <w:rFonts w:hint="eastAsia" w:ascii="宋体" w:hAnsi="宋体" w:cs="宋体"/>
          <w:b/>
          <w:bCs/>
          <w:szCs w:val="21"/>
        </w:rPr>
        <w:t xml:space="preserve">第六条 </w:t>
      </w:r>
      <w:r>
        <w:rPr>
          <w:rFonts w:hint="eastAsia" w:ascii="宋体" w:hAnsi="宋体" w:cs="宋体"/>
          <w:szCs w:val="21"/>
        </w:rPr>
        <w:t xml:space="preserve"> 考核方法。按照《市政管网清淤考核实施细则》的规定，检查市政管网清淤情况，检查养护单位工作台帐及各类事件处理情况。年终考核基本上在年末最后一月进行。</w:t>
      </w:r>
    </w:p>
    <w:p>
      <w:pPr>
        <w:spacing w:line="500" w:lineRule="exact"/>
        <w:ind w:firstLine="422" w:firstLineChars="200"/>
        <w:rPr>
          <w:rFonts w:ascii="宋体" w:hAnsi="宋体" w:cs="宋体"/>
          <w:szCs w:val="21"/>
        </w:rPr>
      </w:pPr>
      <w:r>
        <w:rPr>
          <w:rFonts w:hint="eastAsia" w:ascii="宋体" w:hAnsi="宋体" w:cs="宋体"/>
          <w:b/>
          <w:bCs/>
          <w:szCs w:val="21"/>
        </w:rPr>
        <w:t xml:space="preserve">第七条  </w:t>
      </w:r>
      <w:r>
        <w:rPr>
          <w:rFonts w:hint="eastAsia" w:ascii="宋体" w:hAnsi="宋体" w:cs="宋体"/>
          <w:szCs w:val="21"/>
        </w:rPr>
        <w:t>考核成绩的确定。考核成绩分为优秀95分（含）以上，良好95分</w:t>
      </w:r>
      <w:r>
        <w:rPr>
          <w:rFonts w:hint="eastAsia" w:ascii="宋体" w:hAnsi="宋体" w:cs="宋体"/>
          <w:b/>
          <w:bCs/>
          <w:szCs w:val="21"/>
        </w:rPr>
        <w:t>—</w:t>
      </w:r>
      <w:r>
        <w:rPr>
          <w:rFonts w:hint="eastAsia" w:ascii="宋体" w:hAnsi="宋体" w:cs="宋体"/>
          <w:szCs w:val="21"/>
        </w:rPr>
        <w:t>90分（含），达标90分</w:t>
      </w:r>
      <w:r>
        <w:rPr>
          <w:rFonts w:hint="eastAsia" w:ascii="宋体" w:hAnsi="宋体" w:cs="宋体"/>
          <w:b/>
          <w:bCs/>
          <w:szCs w:val="21"/>
        </w:rPr>
        <w:t>—</w:t>
      </w:r>
      <w:r>
        <w:rPr>
          <w:rFonts w:hint="eastAsia" w:ascii="宋体" w:hAnsi="宋体" w:cs="宋体"/>
          <w:szCs w:val="21"/>
        </w:rPr>
        <w:t>80（含）分，80分以下为不达标。</w:t>
      </w:r>
    </w:p>
    <w:p>
      <w:pPr>
        <w:spacing w:line="500" w:lineRule="exact"/>
        <w:ind w:firstLine="422" w:firstLineChars="200"/>
        <w:rPr>
          <w:rFonts w:ascii="宋体" w:hAnsi="宋体" w:cs="宋体"/>
          <w:szCs w:val="21"/>
        </w:rPr>
      </w:pPr>
      <w:r>
        <w:rPr>
          <w:rFonts w:hint="eastAsia" w:ascii="宋体" w:hAnsi="宋体" w:cs="宋体"/>
          <w:b/>
          <w:bCs/>
          <w:szCs w:val="21"/>
        </w:rPr>
        <w:t xml:space="preserve">第八条  </w:t>
      </w:r>
      <w:r>
        <w:rPr>
          <w:rFonts w:hint="eastAsia" w:ascii="宋体" w:hAnsi="宋体" w:cs="宋体"/>
          <w:szCs w:val="21"/>
        </w:rPr>
        <w:t>市政管网清淤费核拨。以月度考核季度核拨的方式结算，季度</w:t>
      </w:r>
      <w:r>
        <w:rPr>
          <w:rFonts w:hint="eastAsia" w:ascii="宋体" w:hAnsi="宋体" w:cs="宋体"/>
          <w:b/>
          <w:bCs/>
          <w:szCs w:val="21"/>
        </w:rPr>
        <w:t>核拨经费</w:t>
      </w:r>
      <w:r>
        <w:rPr>
          <w:rFonts w:hint="eastAsia" w:ascii="宋体" w:hAnsi="宋体" w:cs="宋体"/>
          <w:szCs w:val="21"/>
        </w:rPr>
        <w:t>〔核拨经费=应拨经费-累加应扣款〕，由清淤单位填写经费申拨单,经区城管局城市管理服务中心审核后，逐级报批审领。</w:t>
      </w:r>
    </w:p>
    <w:p>
      <w:pPr>
        <w:spacing w:line="500" w:lineRule="exact"/>
        <w:ind w:firstLine="422" w:firstLineChars="200"/>
        <w:rPr>
          <w:rFonts w:ascii="宋体" w:hAnsi="宋体" w:cs="宋体"/>
          <w:b/>
          <w:bCs/>
          <w:szCs w:val="21"/>
        </w:rPr>
      </w:pPr>
      <w:r>
        <w:rPr>
          <w:rFonts w:hint="eastAsia" w:ascii="宋体" w:hAnsi="宋体" w:cs="宋体"/>
          <w:b/>
          <w:bCs/>
          <w:szCs w:val="21"/>
        </w:rPr>
        <w:t>第九条</w:t>
      </w:r>
      <w:r>
        <w:rPr>
          <w:rFonts w:hint="eastAsia" w:ascii="宋体" w:hAnsi="宋体" w:cs="宋体"/>
          <w:szCs w:val="21"/>
        </w:rPr>
        <w:t>扣款经费使用。扣款经费严格执行专款专用，用于奖励养护考核优秀和处置防汛等应急任务及时、到位的企业。</w:t>
      </w:r>
    </w:p>
    <w:p>
      <w:pPr>
        <w:spacing w:line="500" w:lineRule="exact"/>
        <w:ind w:firstLine="422" w:firstLineChars="200"/>
        <w:rPr>
          <w:rFonts w:ascii="宋体" w:hAnsi="宋体" w:cs="宋体"/>
          <w:szCs w:val="21"/>
        </w:rPr>
      </w:pPr>
      <w:r>
        <w:rPr>
          <w:rFonts w:hint="eastAsia" w:ascii="宋体" w:hAnsi="宋体" w:cs="宋体"/>
          <w:b/>
          <w:bCs/>
          <w:szCs w:val="21"/>
        </w:rPr>
        <w:t xml:space="preserve">第十条 </w:t>
      </w:r>
      <w:r>
        <w:rPr>
          <w:rFonts w:hint="eastAsia" w:ascii="宋体" w:hAnsi="宋体" w:cs="宋体"/>
          <w:szCs w:val="21"/>
        </w:rPr>
        <w:t xml:space="preserve"> 年度考核成绩计算及结果应用。</w:t>
      </w:r>
    </w:p>
    <w:p>
      <w:pPr>
        <w:spacing w:line="500" w:lineRule="exact"/>
        <w:ind w:firstLine="420" w:firstLineChars="200"/>
        <w:rPr>
          <w:rFonts w:ascii="宋体" w:hAnsi="宋体" w:cs="宋体"/>
          <w:szCs w:val="21"/>
        </w:rPr>
      </w:pPr>
      <w:r>
        <w:rPr>
          <w:rFonts w:hint="eastAsia" w:ascii="宋体" w:hAnsi="宋体" w:cs="宋体"/>
          <w:szCs w:val="21"/>
        </w:rPr>
        <w:t>（一）市政管网清淤单位全年考核结果即为该单位年度考核成绩。</w:t>
      </w:r>
    </w:p>
    <w:p>
      <w:pPr>
        <w:spacing w:line="500" w:lineRule="exact"/>
        <w:ind w:firstLine="420" w:firstLineChars="200"/>
        <w:rPr>
          <w:rFonts w:ascii="宋体" w:hAnsi="宋体" w:cs="宋体"/>
          <w:szCs w:val="21"/>
        </w:rPr>
      </w:pPr>
      <w:r>
        <w:rPr>
          <w:rFonts w:hint="eastAsia" w:ascii="宋体" w:hAnsi="宋体" w:cs="宋体"/>
          <w:szCs w:val="21"/>
        </w:rPr>
        <w:t>（二）年度考核成绩以全年月度考核得分平均值计算，年度考核得分95分（含）以上为优秀，95分</w:t>
      </w:r>
      <w:r>
        <w:rPr>
          <w:rFonts w:hint="eastAsia" w:ascii="宋体" w:hAnsi="宋体" w:cs="宋体"/>
          <w:b/>
          <w:bCs/>
          <w:szCs w:val="21"/>
        </w:rPr>
        <w:t>—</w:t>
      </w:r>
      <w:r>
        <w:rPr>
          <w:rFonts w:hint="eastAsia" w:ascii="宋体" w:hAnsi="宋体" w:cs="宋体"/>
          <w:szCs w:val="21"/>
        </w:rPr>
        <w:t>90分（含）为良好，90分</w:t>
      </w:r>
      <w:r>
        <w:rPr>
          <w:rFonts w:hint="eastAsia" w:ascii="宋体" w:hAnsi="宋体" w:cs="宋体"/>
          <w:b/>
          <w:bCs/>
          <w:szCs w:val="21"/>
        </w:rPr>
        <w:t>—</w:t>
      </w:r>
      <w:r>
        <w:rPr>
          <w:rFonts w:hint="eastAsia" w:ascii="宋体" w:hAnsi="宋体" w:cs="宋体"/>
          <w:szCs w:val="21"/>
        </w:rPr>
        <w:t>80（含）分为达标， 80分以下为不达标。</w:t>
      </w:r>
    </w:p>
    <w:p>
      <w:pPr>
        <w:spacing w:line="500" w:lineRule="exact"/>
        <w:ind w:firstLine="420" w:firstLineChars="200"/>
        <w:rPr>
          <w:rFonts w:ascii="宋体" w:hAnsi="宋体" w:cs="宋体"/>
          <w:szCs w:val="21"/>
        </w:rPr>
      </w:pPr>
      <w:r>
        <w:rPr>
          <w:rFonts w:hint="eastAsia" w:ascii="宋体" w:hAnsi="宋体" w:cs="宋体"/>
          <w:szCs w:val="21"/>
        </w:rPr>
        <w:t>（三）年度考核成绩不达标的市政管网清淤单位，区城管局中止其养护合同，并取消其下一轮市政管网清淤工程投标资格。</w:t>
      </w:r>
    </w:p>
    <w:p>
      <w:pPr>
        <w:spacing w:line="500" w:lineRule="exact"/>
        <w:ind w:firstLine="422" w:firstLineChars="200"/>
        <w:rPr>
          <w:rFonts w:ascii="宋体" w:hAnsi="宋体" w:cs="宋体"/>
          <w:szCs w:val="21"/>
        </w:rPr>
      </w:pPr>
      <w:r>
        <w:rPr>
          <w:rFonts w:hint="eastAsia" w:ascii="宋体" w:hAnsi="宋体" w:cs="宋体"/>
          <w:b/>
          <w:bCs/>
          <w:szCs w:val="21"/>
        </w:rPr>
        <w:t>第十一条</w:t>
      </w:r>
      <w:r>
        <w:rPr>
          <w:rFonts w:hint="eastAsia" w:ascii="宋体" w:hAnsi="宋体" w:cs="宋体"/>
          <w:szCs w:val="21"/>
        </w:rPr>
        <w:t xml:space="preserve">  若遇不可抗拒因素等特殊原因，导致无法正常清淤，须暂缓清淤的，经城管局认可后，可暂不列入抄告范围。</w:t>
      </w:r>
    </w:p>
    <w:p>
      <w:pPr>
        <w:spacing w:line="500" w:lineRule="exact"/>
        <w:ind w:firstLine="422" w:firstLineChars="200"/>
        <w:rPr>
          <w:rFonts w:ascii="宋体" w:hAnsi="宋体" w:cs="宋体"/>
          <w:szCs w:val="21"/>
        </w:rPr>
      </w:pPr>
      <w:r>
        <w:rPr>
          <w:rFonts w:hint="eastAsia" w:ascii="宋体" w:hAnsi="宋体" w:cs="宋体"/>
          <w:b/>
          <w:bCs/>
          <w:szCs w:val="21"/>
        </w:rPr>
        <w:t>第十三条</w:t>
      </w:r>
      <w:r>
        <w:rPr>
          <w:rFonts w:hint="eastAsia" w:ascii="宋体" w:hAnsi="宋体" w:cs="宋体"/>
          <w:szCs w:val="21"/>
        </w:rPr>
        <w:t xml:space="preserve">  在重要保障任务中成绩突出者，或在各类省、市行业检查评比中获奖的，于年度考核结束前，经本单位审报城管局认可后，可酌情给予1-5分的年加分奖励。各单位年终考核成绩在我局备案存档。</w:t>
      </w:r>
    </w:p>
    <w:p>
      <w:pPr>
        <w:spacing w:line="500" w:lineRule="exact"/>
        <w:ind w:firstLine="422" w:firstLineChars="200"/>
        <w:rPr>
          <w:rFonts w:ascii="宋体" w:hAnsi="宋体" w:cs="宋体"/>
          <w:szCs w:val="21"/>
        </w:rPr>
      </w:pPr>
      <w:r>
        <w:rPr>
          <w:rFonts w:hint="eastAsia" w:ascii="宋体" w:hAnsi="宋体" w:cs="宋体"/>
          <w:b/>
          <w:bCs/>
          <w:szCs w:val="21"/>
        </w:rPr>
        <w:t>第十四条</w:t>
      </w:r>
      <w:r>
        <w:rPr>
          <w:rFonts w:hint="eastAsia" w:ascii="宋体" w:hAnsi="宋体" w:cs="宋体"/>
          <w:szCs w:val="21"/>
        </w:rPr>
        <w:t xml:space="preserve">  本考核办法解释权归杭州市滨江区城市管理局。</w:t>
      </w:r>
    </w:p>
    <w:p>
      <w:pPr>
        <w:spacing w:line="500" w:lineRule="exact"/>
        <w:ind w:firstLine="422" w:firstLineChars="200"/>
        <w:rPr>
          <w:rFonts w:ascii="宋体" w:hAnsi="宋体" w:cs="宋体"/>
          <w:szCs w:val="21"/>
        </w:rPr>
      </w:pPr>
      <w:r>
        <w:rPr>
          <w:rFonts w:hint="eastAsia" w:ascii="宋体" w:hAnsi="宋体" w:cs="宋体"/>
          <w:b/>
          <w:bCs/>
          <w:szCs w:val="21"/>
        </w:rPr>
        <w:t>第十五条</w:t>
      </w:r>
      <w:r>
        <w:rPr>
          <w:rFonts w:hint="eastAsia" w:ascii="宋体" w:hAnsi="宋体" w:cs="宋体"/>
          <w:szCs w:val="21"/>
        </w:rPr>
        <w:t xml:space="preserve">  本考核办法从2017年1月1日起正式实施。</w:t>
      </w:r>
    </w:p>
    <w:p>
      <w:pPr>
        <w:spacing w:line="240" w:lineRule="exact"/>
        <w:rPr>
          <w:rFonts w:ascii="宋体" w:hAnsi="宋体" w:cs="宋体"/>
          <w:szCs w:val="21"/>
        </w:rPr>
      </w:pPr>
    </w:p>
    <w:p>
      <w:pPr>
        <w:spacing w:line="500" w:lineRule="exact"/>
        <w:ind w:firstLine="422" w:firstLineChars="200"/>
        <w:rPr>
          <w:rFonts w:ascii="宋体" w:hAnsi="宋体" w:cs="宋体"/>
          <w:szCs w:val="21"/>
        </w:rPr>
      </w:pPr>
      <w:r>
        <w:rPr>
          <w:rFonts w:hint="eastAsia" w:ascii="宋体" w:hAnsi="宋体" w:cs="宋体"/>
          <w:b/>
          <w:bCs/>
          <w:szCs w:val="21"/>
        </w:rPr>
        <w:t>附件一：</w:t>
      </w:r>
      <w:r>
        <w:rPr>
          <w:rFonts w:hint="eastAsia" w:ascii="宋体" w:hAnsi="宋体" w:cs="宋体"/>
          <w:szCs w:val="21"/>
        </w:rPr>
        <w:t>市政管网清淤考核实施细则</w:t>
      </w:r>
    </w:p>
    <w:p>
      <w:pPr>
        <w:spacing w:line="500" w:lineRule="exact"/>
        <w:ind w:firstLine="422" w:firstLineChars="200"/>
        <w:rPr>
          <w:rFonts w:ascii="宋体" w:hAnsi="宋体" w:cs="宋体"/>
          <w:szCs w:val="21"/>
        </w:rPr>
      </w:pPr>
      <w:r>
        <w:rPr>
          <w:rFonts w:hint="eastAsia" w:ascii="宋体" w:hAnsi="宋体" w:cs="宋体"/>
          <w:b/>
          <w:bCs/>
          <w:szCs w:val="21"/>
        </w:rPr>
        <w:t>附件二：</w:t>
      </w:r>
      <w:r>
        <w:rPr>
          <w:rFonts w:hint="eastAsia" w:ascii="宋体" w:hAnsi="宋体" w:cs="宋体"/>
          <w:szCs w:val="21"/>
        </w:rPr>
        <w:t>市政管网清淤考核成绩应扣款标准</w:t>
      </w:r>
    </w:p>
    <w:p>
      <w:pPr>
        <w:spacing w:line="500" w:lineRule="exact"/>
        <w:ind w:firstLine="422" w:firstLineChars="200"/>
        <w:rPr>
          <w:rFonts w:ascii="宋体" w:hAnsi="宋体" w:cs="宋体"/>
          <w:szCs w:val="21"/>
        </w:rPr>
      </w:pPr>
      <w:r>
        <w:rPr>
          <w:rFonts w:hint="eastAsia" w:ascii="宋体" w:hAnsi="宋体" w:cs="宋体"/>
          <w:b/>
          <w:bCs/>
          <w:szCs w:val="21"/>
        </w:rPr>
        <w:t>附件二：</w:t>
      </w:r>
      <w:r>
        <w:rPr>
          <w:rFonts w:hint="eastAsia" w:ascii="宋体" w:hAnsi="宋体" w:cs="宋体"/>
          <w:szCs w:val="21"/>
        </w:rPr>
        <w:t>月份市政管网清淤考核通报</w:t>
      </w:r>
    </w:p>
    <w:p>
      <w:pPr>
        <w:spacing w:line="500" w:lineRule="exact"/>
        <w:ind w:firstLine="420" w:firstLineChars="200"/>
        <w:rPr>
          <w:rFonts w:ascii="宋体" w:hAnsi="宋体" w:cs="宋体"/>
          <w:szCs w:val="21"/>
        </w:rPr>
      </w:pPr>
    </w:p>
    <w:p>
      <w:pPr>
        <w:spacing w:line="500" w:lineRule="exact"/>
        <w:ind w:firstLine="420" w:firstLineChars="200"/>
        <w:rPr>
          <w:rFonts w:ascii="宋体" w:hAnsi="宋体" w:cs="宋体"/>
          <w:szCs w:val="21"/>
        </w:rPr>
      </w:pPr>
    </w:p>
    <w:p>
      <w:pPr>
        <w:spacing w:line="500" w:lineRule="exact"/>
        <w:ind w:firstLine="560" w:firstLineChars="200"/>
        <w:rPr>
          <w:rFonts w:ascii="宋体" w:hAnsi="宋体" w:cs="宋体"/>
          <w:sz w:val="28"/>
          <w:szCs w:val="28"/>
        </w:rPr>
      </w:pPr>
    </w:p>
    <w:p>
      <w:pPr>
        <w:spacing w:line="500" w:lineRule="exact"/>
        <w:ind w:firstLine="4060" w:firstLineChars="1450"/>
        <w:rPr>
          <w:rFonts w:ascii="宋体" w:hAnsi="宋体" w:cs="宋体"/>
          <w:sz w:val="28"/>
          <w:szCs w:val="28"/>
        </w:rPr>
      </w:pPr>
      <w:r>
        <w:rPr>
          <w:rFonts w:hint="eastAsia" w:ascii="宋体" w:hAnsi="宋体" w:cs="宋体"/>
          <w:sz w:val="28"/>
          <w:szCs w:val="28"/>
        </w:rPr>
        <w:t>滨江区城市管理局监管中心</w:t>
      </w:r>
    </w:p>
    <w:p>
      <w:pPr>
        <w:spacing w:line="500" w:lineRule="exact"/>
        <w:ind w:firstLine="4200" w:firstLineChars="1500"/>
        <w:rPr>
          <w:rFonts w:ascii="宋体" w:hAnsi="宋体" w:cs="宋体"/>
          <w:sz w:val="28"/>
          <w:szCs w:val="28"/>
        </w:rPr>
      </w:pPr>
      <w:r>
        <w:rPr>
          <w:rFonts w:hint="eastAsia" w:ascii="宋体" w:hAnsi="宋体" w:cs="宋体"/>
          <w:sz w:val="28"/>
          <w:szCs w:val="28"/>
        </w:rPr>
        <w:t>二O一六年九月二十日</w:t>
      </w:r>
    </w:p>
    <w:p>
      <w:pPr>
        <w:spacing w:line="500" w:lineRule="exact"/>
        <w:ind w:firstLine="560" w:firstLineChars="200"/>
        <w:rPr>
          <w:rFonts w:ascii="仿宋_GB2312" w:eastAsia="仿宋_GB2312"/>
          <w:sz w:val="28"/>
          <w:szCs w:val="28"/>
        </w:rPr>
      </w:pPr>
    </w:p>
    <w:p>
      <w:pPr>
        <w:spacing w:line="500" w:lineRule="exact"/>
        <w:ind w:firstLine="600" w:firstLineChars="200"/>
        <w:rPr>
          <w:rFonts w:ascii="仿宋_GB2312" w:eastAsia="仿宋_GB2312"/>
          <w:sz w:val="30"/>
          <w:szCs w:val="30"/>
        </w:rPr>
      </w:pPr>
      <w:r>
        <w:rPr>
          <w:rFonts w:ascii="仿宋_GB2312" w:eastAsia="仿宋_GB2312"/>
          <w:sz w:val="30"/>
          <w:szCs w:val="30"/>
        </w:rPr>
        <w:br w:type="page"/>
      </w:r>
    </w:p>
    <w:p>
      <w:pPr>
        <w:spacing w:line="500" w:lineRule="exact"/>
        <w:ind w:firstLine="600" w:firstLineChars="200"/>
        <w:rPr>
          <w:rFonts w:ascii="宋体" w:hAnsi="宋体" w:cs="宋体"/>
          <w:sz w:val="30"/>
          <w:szCs w:val="30"/>
        </w:rPr>
      </w:pPr>
    </w:p>
    <w:p>
      <w:pPr>
        <w:spacing w:line="500" w:lineRule="exact"/>
        <w:rPr>
          <w:rFonts w:ascii="宋体" w:hAnsi="宋体" w:cs="宋体"/>
          <w:b/>
          <w:bCs/>
          <w:sz w:val="32"/>
          <w:szCs w:val="32"/>
        </w:rPr>
      </w:pPr>
      <w:r>
        <w:rPr>
          <w:rFonts w:hint="eastAsia" w:ascii="宋体" w:hAnsi="宋体" w:cs="宋体"/>
          <w:b/>
          <w:bCs/>
          <w:sz w:val="32"/>
          <w:szCs w:val="32"/>
        </w:rPr>
        <w:t>附件一：</w:t>
      </w:r>
    </w:p>
    <w:p>
      <w:pPr>
        <w:spacing w:line="500" w:lineRule="exact"/>
        <w:jc w:val="center"/>
        <w:rPr>
          <w:rFonts w:ascii="宋体" w:hAnsi="宋体" w:cs="宋体"/>
          <w:b/>
          <w:bCs/>
          <w:spacing w:val="20"/>
          <w:w w:val="90"/>
          <w:sz w:val="32"/>
          <w:szCs w:val="32"/>
        </w:rPr>
      </w:pPr>
      <w:r>
        <w:rPr>
          <w:rFonts w:hint="eastAsia" w:ascii="宋体" w:hAnsi="宋体" w:cs="宋体"/>
          <w:b/>
          <w:bCs/>
          <w:spacing w:val="20"/>
          <w:w w:val="90"/>
          <w:sz w:val="32"/>
          <w:szCs w:val="32"/>
        </w:rPr>
        <w:t>杭州市滨江区</w:t>
      </w:r>
    </w:p>
    <w:p>
      <w:pPr>
        <w:ind w:firstLine="602" w:firstLineChars="200"/>
        <w:jc w:val="center"/>
        <w:rPr>
          <w:rFonts w:ascii="宋体" w:hAnsi="宋体" w:cs="宋体"/>
          <w:b/>
          <w:bCs/>
          <w:sz w:val="24"/>
        </w:rPr>
      </w:pPr>
      <w:r>
        <w:rPr>
          <w:rFonts w:hint="eastAsia" w:ascii="宋体" w:hAnsi="宋体" w:cs="宋体"/>
          <w:b/>
          <w:bCs/>
          <w:sz w:val="30"/>
          <w:szCs w:val="30"/>
        </w:rPr>
        <w:t>市政管网清淤考核实施细则</w:t>
      </w:r>
    </w:p>
    <w:tbl>
      <w:tblPr>
        <w:tblStyle w:val="43"/>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0"/>
        <w:gridCol w:w="3260"/>
        <w:gridCol w:w="70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2" w:type="dxa"/>
            <w:vAlign w:val="center"/>
          </w:tcPr>
          <w:p>
            <w:pPr>
              <w:widowControl/>
              <w:spacing w:line="440" w:lineRule="exact"/>
              <w:jc w:val="center"/>
              <w:textAlignment w:val="baseline"/>
              <w:rPr>
                <w:rFonts w:ascii="宋体" w:hAnsi="宋体" w:cs="宋体"/>
                <w:b/>
                <w:bCs/>
                <w:kern w:val="0"/>
                <w:szCs w:val="21"/>
              </w:rPr>
            </w:pPr>
            <w:r>
              <w:rPr>
                <w:rFonts w:hint="eastAsia" w:ascii="宋体" w:hAnsi="宋体" w:cs="宋体"/>
                <w:b/>
                <w:bCs/>
                <w:kern w:val="0"/>
                <w:szCs w:val="21"/>
              </w:rPr>
              <w:t>项目</w:t>
            </w:r>
          </w:p>
        </w:tc>
        <w:tc>
          <w:tcPr>
            <w:tcW w:w="850" w:type="dxa"/>
            <w:vAlign w:val="center"/>
          </w:tcPr>
          <w:p>
            <w:pPr>
              <w:widowControl/>
              <w:spacing w:line="440" w:lineRule="exact"/>
              <w:jc w:val="center"/>
              <w:textAlignment w:val="baseline"/>
              <w:rPr>
                <w:rFonts w:ascii="宋体" w:hAnsi="宋体" w:cs="宋体"/>
                <w:b/>
                <w:bCs/>
                <w:kern w:val="0"/>
                <w:szCs w:val="21"/>
              </w:rPr>
            </w:pPr>
            <w:r>
              <w:rPr>
                <w:rFonts w:hint="eastAsia" w:ascii="宋体" w:hAnsi="宋体" w:cs="宋体"/>
                <w:b/>
                <w:bCs/>
                <w:kern w:val="0"/>
                <w:szCs w:val="21"/>
              </w:rPr>
              <w:t>考核</w:t>
            </w:r>
          </w:p>
          <w:p>
            <w:pPr>
              <w:widowControl/>
              <w:spacing w:line="440" w:lineRule="exact"/>
              <w:jc w:val="center"/>
              <w:textAlignment w:val="baseline"/>
              <w:rPr>
                <w:rFonts w:ascii="宋体" w:hAnsi="宋体" w:cs="宋体"/>
                <w:b/>
                <w:bCs/>
                <w:kern w:val="0"/>
                <w:szCs w:val="21"/>
              </w:rPr>
            </w:pPr>
            <w:r>
              <w:rPr>
                <w:rFonts w:hint="eastAsia" w:ascii="宋体" w:hAnsi="宋体" w:cs="宋体"/>
                <w:b/>
                <w:bCs/>
                <w:kern w:val="0"/>
                <w:szCs w:val="21"/>
              </w:rPr>
              <w:t>方式</w:t>
            </w:r>
          </w:p>
        </w:tc>
        <w:tc>
          <w:tcPr>
            <w:tcW w:w="3260" w:type="dxa"/>
            <w:vAlign w:val="center"/>
          </w:tcPr>
          <w:p>
            <w:pPr>
              <w:widowControl/>
              <w:spacing w:line="440" w:lineRule="exact"/>
              <w:jc w:val="center"/>
              <w:textAlignment w:val="baseline"/>
              <w:rPr>
                <w:rFonts w:ascii="宋体" w:hAnsi="宋体" w:cs="宋体"/>
                <w:b/>
                <w:bCs/>
                <w:kern w:val="0"/>
                <w:szCs w:val="21"/>
              </w:rPr>
            </w:pPr>
            <w:r>
              <w:rPr>
                <w:rFonts w:hint="eastAsia" w:ascii="宋体" w:hAnsi="宋体" w:cs="宋体"/>
                <w:b/>
                <w:bCs/>
                <w:kern w:val="0"/>
                <w:szCs w:val="21"/>
              </w:rPr>
              <w:t>考核内容</w:t>
            </w:r>
          </w:p>
        </w:tc>
        <w:tc>
          <w:tcPr>
            <w:tcW w:w="709" w:type="dxa"/>
            <w:vAlign w:val="center"/>
          </w:tcPr>
          <w:p>
            <w:pPr>
              <w:widowControl/>
              <w:spacing w:line="440" w:lineRule="exact"/>
              <w:jc w:val="center"/>
              <w:textAlignment w:val="baseline"/>
              <w:rPr>
                <w:rFonts w:ascii="宋体" w:hAnsi="宋体" w:cs="宋体"/>
                <w:b/>
                <w:bCs/>
                <w:kern w:val="0"/>
                <w:szCs w:val="21"/>
              </w:rPr>
            </w:pPr>
            <w:r>
              <w:rPr>
                <w:rFonts w:hint="eastAsia" w:ascii="宋体" w:hAnsi="宋体" w:cs="宋体"/>
                <w:b/>
                <w:bCs/>
                <w:kern w:val="0"/>
                <w:szCs w:val="21"/>
              </w:rPr>
              <w:t>分值</w:t>
            </w:r>
          </w:p>
        </w:tc>
        <w:tc>
          <w:tcPr>
            <w:tcW w:w="3969" w:type="dxa"/>
            <w:vAlign w:val="center"/>
          </w:tcPr>
          <w:p>
            <w:pPr>
              <w:widowControl/>
              <w:spacing w:line="440" w:lineRule="exact"/>
              <w:jc w:val="center"/>
              <w:textAlignment w:val="baseline"/>
              <w:rPr>
                <w:rFonts w:ascii="宋体" w:hAnsi="宋体" w:cs="宋体"/>
                <w:b/>
                <w:bCs/>
                <w:kern w:val="0"/>
                <w:szCs w:val="21"/>
              </w:rPr>
            </w:pPr>
            <w:r>
              <w:rPr>
                <w:rFonts w:hint="eastAsia" w:ascii="宋体" w:hAnsi="宋体" w:cs="宋体"/>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52" w:type="dxa"/>
            <w:vMerge w:val="restart"/>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制度</w:t>
            </w:r>
          </w:p>
          <w:p>
            <w:pPr>
              <w:widowControl/>
              <w:spacing w:line="300" w:lineRule="exact"/>
              <w:jc w:val="center"/>
              <w:textAlignment w:val="baseline"/>
              <w:rPr>
                <w:rFonts w:ascii="宋体" w:hAnsi="宋体" w:cs="宋体"/>
                <w:kern w:val="0"/>
                <w:szCs w:val="21"/>
              </w:rPr>
            </w:pPr>
          </w:p>
          <w:p>
            <w:pPr>
              <w:widowControl/>
              <w:spacing w:line="300" w:lineRule="exact"/>
              <w:jc w:val="center"/>
              <w:textAlignment w:val="baseline"/>
              <w:rPr>
                <w:rFonts w:ascii="宋体" w:hAnsi="宋体" w:cs="宋体"/>
                <w:kern w:val="0"/>
                <w:szCs w:val="21"/>
              </w:rPr>
            </w:pPr>
          </w:p>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建设</w:t>
            </w:r>
          </w:p>
        </w:tc>
        <w:tc>
          <w:tcPr>
            <w:tcW w:w="850" w:type="dxa"/>
            <w:vMerge w:val="restart"/>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检查</w:t>
            </w:r>
          </w:p>
          <w:p>
            <w:pPr>
              <w:widowControl/>
              <w:spacing w:line="300" w:lineRule="exact"/>
              <w:jc w:val="center"/>
              <w:textAlignment w:val="baseline"/>
              <w:rPr>
                <w:rFonts w:ascii="宋体" w:hAnsi="宋体" w:cs="宋体"/>
                <w:kern w:val="0"/>
                <w:szCs w:val="21"/>
              </w:rPr>
            </w:pPr>
          </w:p>
          <w:p>
            <w:pPr>
              <w:widowControl/>
              <w:spacing w:line="300" w:lineRule="exact"/>
              <w:jc w:val="center"/>
              <w:textAlignment w:val="baseline"/>
              <w:rPr>
                <w:rFonts w:ascii="宋体" w:hAnsi="宋体" w:cs="宋体"/>
                <w:kern w:val="0"/>
                <w:szCs w:val="21"/>
              </w:rPr>
            </w:pPr>
          </w:p>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台帐</w:t>
            </w: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建立应急抢险预案；成立应急抢险队伍；物资、设备保障到位</w:t>
            </w:r>
          </w:p>
        </w:tc>
        <w:tc>
          <w:tcPr>
            <w:tcW w:w="709" w:type="dxa"/>
            <w:vMerge w:val="restart"/>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10</w:t>
            </w:r>
          </w:p>
        </w:tc>
        <w:tc>
          <w:tcPr>
            <w:tcW w:w="3969" w:type="dxa"/>
            <w:vAlign w:val="center"/>
          </w:tcPr>
          <w:p>
            <w:pPr>
              <w:widowControl/>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未建立排涝应急预案的扣2分；未成立抢险队伍的扣2分，物资设备不到位的扣2分。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2" w:type="dxa"/>
            <w:vMerge w:val="continue"/>
            <w:vAlign w:val="center"/>
          </w:tcPr>
          <w:p>
            <w:pPr>
              <w:widowControl/>
              <w:jc w:val="center"/>
              <w:rPr>
                <w:rFonts w:ascii="宋体" w:hAnsi="宋体" w:cs="宋体"/>
                <w:kern w:val="0"/>
                <w:szCs w:val="21"/>
              </w:rPr>
            </w:pPr>
          </w:p>
        </w:tc>
        <w:tc>
          <w:tcPr>
            <w:tcW w:w="850" w:type="dxa"/>
            <w:vMerge w:val="continue"/>
            <w:vAlign w:val="center"/>
          </w:tcPr>
          <w:p>
            <w:pPr>
              <w:widowControl/>
              <w:jc w:val="center"/>
              <w:rPr>
                <w:rFonts w:ascii="宋体" w:hAnsi="宋体" w:cs="宋体"/>
                <w:kern w:val="0"/>
                <w:szCs w:val="21"/>
              </w:rPr>
            </w:pP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做好市政管网清淤日常台帐，记录真实、准确、齐全</w:t>
            </w:r>
          </w:p>
        </w:tc>
        <w:tc>
          <w:tcPr>
            <w:tcW w:w="709" w:type="dxa"/>
            <w:vMerge w:val="continue"/>
            <w:vAlign w:val="center"/>
          </w:tcPr>
          <w:p>
            <w:pPr>
              <w:widowControl/>
              <w:jc w:val="center"/>
              <w:rPr>
                <w:rFonts w:ascii="宋体" w:hAnsi="宋体" w:cs="宋体"/>
                <w:kern w:val="0"/>
                <w:szCs w:val="21"/>
              </w:rPr>
            </w:pPr>
          </w:p>
        </w:tc>
        <w:tc>
          <w:tcPr>
            <w:tcW w:w="3969" w:type="dxa"/>
            <w:vAlign w:val="center"/>
          </w:tcPr>
          <w:p>
            <w:pPr>
              <w:widowControl/>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未建立日常清淤台帐的，扣2分；记录不真实、不准确、不齐全的，每个扣0.5分。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52" w:type="dxa"/>
            <w:vMerge w:val="continue"/>
            <w:vAlign w:val="center"/>
          </w:tcPr>
          <w:p>
            <w:pPr>
              <w:widowControl/>
              <w:jc w:val="center"/>
              <w:rPr>
                <w:rFonts w:ascii="宋体" w:hAnsi="宋体" w:cs="宋体"/>
                <w:kern w:val="0"/>
                <w:szCs w:val="21"/>
              </w:rPr>
            </w:pPr>
          </w:p>
        </w:tc>
        <w:tc>
          <w:tcPr>
            <w:tcW w:w="850" w:type="dxa"/>
            <w:vMerge w:val="continue"/>
            <w:vAlign w:val="center"/>
          </w:tcPr>
          <w:p>
            <w:pPr>
              <w:widowControl/>
              <w:jc w:val="center"/>
              <w:rPr>
                <w:rFonts w:ascii="宋体" w:hAnsi="宋体" w:cs="宋体"/>
                <w:kern w:val="0"/>
                <w:szCs w:val="21"/>
              </w:rPr>
            </w:pP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按要求及时上报相关台帐、报表、下月计划、周计划</w:t>
            </w:r>
          </w:p>
        </w:tc>
        <w:tc>
          <w:tcPr>
            <w:tcW w:w="709" w:type="dxa"/>
            <w:vMerge w:val="continue"/>
            <w:vAlign w:val="center"/>
          </w:tcPr>
          <w:p>
            <w:pPr>
              <w:widowControl/>
              <w:jc w:val="center"/>
              <w:rPr>
                <w:rFonts w:ascii="宋体" w:hAnsi="宋体" w:cs="宋体"/>
                <w:kern w:val="0"/>
                <w:szCs w:val="21"/>
              </w:rPr>
            </w:pPr>
          </w:p>
        </w:tc>
        <w:tc>
          <w:tcPr>
            <w:tcW w:w="3969" w:type="dxa"/>
            <w:vAlign w:val="center"/>
          </w:tcPr>
          <w:p>
            <w:pPr>
              <w:widowControl/>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未按要求及时上报台帐、报表、下月计划、周计划的，每件扣1分。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52" w:type="dxa"/>
            <w:vMerge w:val="restart"/>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规范</w:t>
            </w:r>
          </w:p>
          <w:p>
            <w:pPr>
              <w:widowControl/>
              <w:spacing w:line="300" w:lineRule="exact"/>
              <w:jc w:val="center"/>
              <w:textAlignment w:val="baseline"/>
              <w:rPr>
                <w:rFonts w:ascii="宋体" w:hAnsi="宋体" w:cs="宋体"/>
                <w:kern w:val="0"/>
                <w:szCs w:val="21"/>
              </w:rPr>
            </w:pPr>
          </w:p>
          <w:p>
            <w:pPr>
              <w:widowControl/>
              <w:spacing w:line="300" w:lineRule="exact"/>
              <w:jc w:val="center"/>
              <w:textAlignment w:val="baseline"/>
              <w:rPr>
                <w:rFonts w:ascii="宋体" w:hAnsi="宋体" w:cs="宋体"/>
                <w:kern w:val="0"/>
                <w:szCs w:val="21"/>
              </w:rPr>
            </w:pPr>
          </w:p>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作业</w:t>
            </w:r>
          </w:p>
        </w:tc>
        <w:tc>
          <w:tcPr>
            <w:tcW w:w="850" w:type="dxa"/>
            <w:vMerge w:val="restart"/>
            <w:vAlign w:val="center"/>
          </w:tcPr>
          <w:p>
            <w:pPr>
              <w:tabs>
                <w:tab w:val="left" w:pos="407"/>
              </w:tabs>
              <w:jc w:val="center"/>
              <w:rPr>
                <w:rFonts w:ascii="宋体" w:hAnsi="宋体" w:cs="宋体"/>
                <w:szCs w:val="21"/>
              </w:rPr>
            </w:pPr>
            <w:r>
              <w:rPr>
                <w:rFonts w:hint="eastAsia" w:ascii="宋体" w:hAnsi="宋体" w:cs="宋体"/>
                <w:szCs w:val="21"/>
              </w:rPr>
              <w:t>实地</w:t>
            </w:r>
          </w:p>
          <w:p>
            <w:pPr>
              <w:tabs>
                <w:tab w:val="left" w:pos="407"/>
              </w:tabs>
              <w:jc w:val="center"/>
              <w:rPr>
                <w:rFonts w:ascii="宋体" w:hAnsi="宋体" w:cs="宋体"/>
                <w:szCs w:val="21"/>
              </w:rPr>
            </w:pPr>
          </w:p>
          <w:p>
            <w:pPr>
              <w:tabs>
                <w:tab w:val="left" w:pos="407"/>
              </w:tabs>
              <w:jc w:val="center"/>
              <w:rPr>
                <w:rFonts w:ascii="宋体" w:hAnsi="宋体" w:cs="宋体"/>
                <w:szCs w:val="21"/>
              </w:rPr>
            </w:pPr>
          </w:p>
          <w:p>
            <w:pPr>
              <w:tabs>
                <w:tab w:val="left" w:pos="407"/>
              </w:tabs>
              <w:jc w:val="center"/>
              <w:rPr>
                <w:rFonts w:ascii="宋体" w:hAnsi="宋体" w:cs="宋体"/>
                <w:szCs w:val="21"/>
              </w:rPr>
            </w:pPr>
            <w:r>
              <w:rPr>
                <w:rFonts w:hint="eastAsia" w:ascii="宋体" w:hAnsi="宋体" w:cs="宋体"/>
                <w:szCs w:val="21"/>
              </w:rPr>
              <w:t>检查</w:t>
            </w:r>
          </w:p>
        </w:tc>
        <w:tc>
          <w:tcPr>
            <w:tcW w:w="3260" w:type="dxa"/>
            <w:vAlign w:val="center"/>
          </w:tcPr>
          <w:p>
            <w:pPr>
              <w:tabs>
                <w:tab w:val="left" w:pos="407"/>
              </w:tabs>
              <w:jc w:val="center"/>
              <w:rPr>
                <w:rFonts w:ascii="宋体" w:hAnsi="宋体" w:cs="宋体"/>
                <w:kern w:val="0"/>
                <w:szCs w:val="21"/>
              </w:rPr>
            </w:pPr>
            <w:r>
              <w:rPr>
                <w:rFonts w:hint="eastAsia" w:ascii="宋体" w:hAnsi="宋体" w:cs="宋体"/>
                <w:szCs w:val="21"/>
              </w:rPr>
              <w:t>按照周、月度工作计划，开展市政管网清淤作业；并按计划完成清淤任务</w:t>
            </w:r>
          </w:p>
        </w:tc>
        <w:tc>
          <w:tcPr>
            <w:tcW w:w="709" w:type="dxa"/>
            <w:vMerge w:val="restart"/>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15</w:t>
            </w:r>
          </w:p>
        </w:tc>
        <w:tc>
          <w:tcPr>
            <w:tcW w:w="3969" w:type="dxa"/>
            <w:vAlign w:val="center"/>
          </w:tcPr>
          <w:p>
            <w:pPr>
              <w:widowControl/>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未按计划进行清淤作业的（雨天除外）每次扣1分；设备维护不到位未清淤的扣2分（每月可安排1天进行设备维护）；未完成月度清淤量的，扣3分；半年内未完成道路管网清淤的，扣5分，淤泥倾倒无固定场所的扣5分；发现有随意倾倒淤泥的扣1分</w:t>
            </w:r>
            <w:r>
              <w:rPr>
                <w:rFonts w:hint="eastAsia" w:ascii="宋体" w:hAnsi="宋体" w:cs="宋体"/>
                <w:szCs w:val="21"/>
              </w:rPr>
              <w:t>；清淤过程中存在消极怠工的扣1分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52" w:type="dxa"/>
            <w:vMerge w:val="continue"/>
            <w:vAlign w:val="center"/>
          </w:tcPr>
          <w:p>
            <w:pPr>
              <w:widowControl/>
              <w:jc w:val="center"/>
              <w:rPr>
                <w:rFonts w:ascii="宋体" w:hAnsi="宋体" w:cs="宋体"/>
                <w:kern w:val="0"/>
                <w:szCs w:val="21"/>
              </w:rPr>
            </w:pPr>
          </w:p>
        </w:tc>
        <w:tc>
          <w:tcPr>
            <w:tcW w:w="850" w:type="dxa"/>
            <w:vMerge w:val="continue"/>
            <w:vAlign w:val="center"/>
          </w:tcPr>
          <w:p>
            <w:pPr>
              <w:widowControl/>
              <w:jc w:val="center"/>
              <w:rPr>
                <w:rFonts w:ascii="宋体" w:hAnsi="宋体" w:cs="宋体"/>
                <w:szCs w:val="21"/>
              </w:rPr>
            </w:pP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按规定着装，在清淤过程中设置交通警示牌</w:t>
            </w:r>
          </w:p>
        </w:tc>
        <w:tc>
          <w:tcPr>
            <w:tcW w:w="709" w:type="dxa"/>
            <w:vMerge w:val="continue"/>
            <w:vAlign w:val="center"/>
          </w:tcPr>
          <w:p>
            <w:pPr>
              <w:widowControl/>
              <w:jc w:val="center"/>
              <w:rPr>
                <w:rFonts w:ascii="宋体" w:hAnsi="宋体" w:cs="宋体"/>
                <w:kern w:val="0"/>
                <w:szCs w:val="21"/>
              </w:rPr>
            </w:pPr>
          </w:p>
        </w:tc>
        <w:tc>
          <w:tcPr>
            <w:tcW w:w="3969" w:type="dxa"/>
            <w:vAlign w:val="center"/>
          </w:tcPr>
          <w:p>
            <w:pPr>
              <w:widowControl/>
              <w:spacing w:line="300" w:lineRule="exact"/>
              <w:ind w:firstLine="210" w:firstLineChars="100"/>
              <w:jc w:val="center"/>
              <w:textAlignment w:val="baseline"/>
              <w:rPr>
                <w:rFonts w:ascii="宋体" w:hAnsi="宋体" w:cs="宋体"/>
                <w:kern w:val="0"/>
                <w:szCs w:val="21"/>
              </w:rPr>
            </w:pPr>
            <w:r>
              <w:rPr>
                <w:rFonts w:hint="eastAsia" w:ascii="宋体" w:hAnsi="宋体" w:cs="宋体"/>
                <w:szCs w:val="21"/>
              </w:rPr>
              <w:t>人员不按规定着装的，每人次扣0.5分，年内二次以上扣分加倍；清淤时未设置警示牌的每次扣1分；作业现场安全员不到位，每次扣1分。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52" w:type="dxa"/>
            <w:vMerge w:val="continue"/>
            <w:vAlign w:val="center"/>
          </w:tcPr>
          <w:p>
            <w:pPr>
              <w:widowControl/>
              <w:jc w:val="center"/>
              <w:rPr>
                <w:rFonts w:ascii="宋体" w:hAnsi="宋体" w:cs="宋体"/>
                <w:kern w:val="0"/>
                <w:szCs w:val="21"/>
              </w:rPr>
            </w:pPr>
          </w:p>
        </w:tc>
        <w:tc>
          <w:tcPr>
            <w:tcW w:w="850" w:type="dxa"/>
            <w:vMerge w:val="continue"/>
            <w:vAlign w:val="center"/>
          </w:tcPr>
          <w:p>
            <w:pPr>
              <w:widowControl/>
              <w:jc w:val="center"/>
              <w:rPr>
                <w:rFonts w:ascii="宋体" w:hAnsi="宋体" w:cs="宋体"/>
                <w:szCs w:val="21"/>
              </w:rPr>
            </w:pP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szCs w:val="21"/>
              </w:rPr>
              <w:t>保证雨水管道畅通，道路检查井内清洁，无结淤泥，无偷排泥浆现象</w:t>
            </w:r>
          </w:p>
        </w:tc>
        <w:tc>
          <w:tcPr>
            <w:tcW w:w="709" w:type="dxa"/>
            <w:vMerge w:val="continue"/>
            <w:vAlign w:val="center"/>
          </w:tcPr>
          <w:p>
            <w:pPr>
              <w:widowControl/>
              <w:jc w:val="center"/>
              <w:rPr>
                <w:rFonts w:ascii="宋体" w:hAnsi="宋体" w:cs="宋体"/>
                <w:kern w:val="0"/>
                <w:szCs w:val="21"/>
              </w:rPr>
            </w:pPr>
          </w:p>
        </w:tc>
        <w:tc>
          <w:tcPr>
            <w:tcW w:w="3969" w:type="dxa"/>
            <w:vAlign w:val="center"/>
          </w:tcPr>
          <w:p>
            <w:pPr>
              <w:widowControl/>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工地周边监管不力，造成雨水管道堵塞流水不畅的，扣5分；雨水管道有封堵的，每处扣2分；偷排泥浆未发现的、未上报的、未阻止的，每次各扣2分。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 w:type="dxa"/>
            <w:vMerge w:val="restart"/>
            <w:vAlign w:val="center"/>
          </w:tcPr>
          <w:p>
            <w:pPr>
              <w:spacing w:line="300" w:lineRule="exact"/>
              <w:jc w:val="center"/>
              <w:textAlignment w:val="baseline"/>
              <w:rPr>
                <w:rFonts w:ascii="宋体" w:hAnsi="宋体" w:cs="宋体"/>
                <w:kern w:val="0"/>
                <w:szCs w:val="21"/>
              </w:rPr>
            </w:pPr>
            <w:r>
              <w:rPr>
                <w:rFonts w:hint="eastAsia" w:ascii="宋体" w:hAnsi="宋体" w:cs="宋体"/>
                <w:kern w:val="0"/>
                <w:szCs w:val="21"/>
              </w:rPr>
              <w:t>雨水管网清淤质量</w:t>
            </w:r>
          </w:p>
        </w:tc>
        <w:tc>
          <w:tcPr>
            <w:tcW w:w="850" w:type="dxa"/>
            <w:vAlign w:val="center"/>
          </w:tcPr>
          <w:p>
            <w:pPr>
              <w:jc w:val="center"/>
              <w:rPr>
                <w:rFonts w:ascii="宋体" w:hAnsi="宋体" w:cs="宋体"/>
                <w:szCs w:val="21"/>
              </w:rPr>
            </w:pPr>
            <w:r>
              <w:rPr>
                <w:rFonts w:hint="eastAsia" w:ascii="宋体" w:hAnsi="宋体" w:cs="宋体"/>
                <w:szCs w:val="21"/>
              </w:rPr>
              <w:t>管渠</w:t>
            </w:r>
          </w:p>
        </w:tc>
        <w:tc>
          <w:tcPr>
            <w:tcW w:w="3260" w:type="dxa"/>
            <w:vAlign w:val="center"/>
          </w:tcPr>
          <w:p>
            <w:pPr>
              <w:jc w:val="center"/>
              <w:rPr>
                <w:rFonts w:ascii="宋体" w:hAnsi="宋体" w:cs="宋体"/>
                <w:kern w:val="0"/>
                <w:szCs w:val="21"/>
              </w:rPr>
            </w:pPr>
            <w:r>
              <w:rPr>
                <w:rFonts w:hint="eastAsia" w:ascii="宋体" w:hAnsi="宋体" w:cs="宋体"/>
                <w:kern w:val="0"/>
                <w:szCs w:val="21"/>
              </w:rPr>
              <w:t>管渠内淤泥沉积深度不超过6cm，做到雨污水分流</w:t>
            </w:r>
          </w:p>
        </w:tc>
        <w:tc>
          <w:tcPr>
            <w:tcW w:w="709" w:type="dxa"/>
            <w:vMerge w:val="restart"/>
            <w:vAlign w:val="center"/>
          </w:tcPr>
          <w:p>
            <w:pPr>
              <w:spacing w:line="300" w:lineRule="exact"/>
              <w:jc w:val="center"/>
              <w:textAlignment w:val="baseline"/>
              <w:rPr>
                <w:rFonts w:ascii="宋体" w:hAnsi="宋体" w:cs="宋体"/>
                <w:kern w:val="0"/>
                <w:szCs w:val="21"/>
              </w:rPr>
            </w:pPr>
            <w:r>
              <w:rPr>
                <w:rFonts w:hint="eastAsia" w:ascii="宋体" w:hAnsi="宋体" w:cs="宋体"/>
                <w:kern w:val="0"/>
                <w:szCs w:val="21"/>
              </w:rPr>
              <w:t>40</w:t>
            </w:r>
          </w:p>
        </w:tc>
        <w:tc>
          <w:tcPr>
            <w:tcW w:w="3969" w:type="dxa"/>
            <w:vAlign w:val="center"/>
          </w:tcPr>
          <w:p>
            <w:pPr>
              <w:ind w:firstLine="315" w:firstLineChars="150"/>
              <w:jc w:val="center"/>
              <w:rPr>
                <w:rFonts w:ascii="宋体" w:hAnsi="宋体" w:cs="宋体"/>
                <w:kern w:val="0"/>
                <w:szCs w:val="21"/>
              </w:rPr>
            </w:pPr>
            <w:r>
              <w:rPr>
                <w:rFonts w:hint="eastAsia" w:ascii="宋体" w:hAnsi="宋体" w:cs="宋体"/>
                <w:kern w:val="0"/>
                <w:szCs w:val="21"/>
              </w:rPr>
              <w:t>经全面清淤后的管渠淤泥沉积深度超过6cm，每处扣0.5分，未及时发现、上报、处理雨污水管错接、混接现象的，每处扣2分。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 w:type="dxa"/>
            <w:vMerge w:val="continue"/>
            <w:vAlign w:val="center"/>
          </w:tcPr>
          <w:p>
            <w:pPr>
              <w:spacing w:line="300" w:lineRule="exact"/>
              <w:jc w:val="center"/>
              <w:textAlignment w:val="baseline"/>
              <w:rPr>
                <w:rFonts w:ascii="宋体" w:hAnsi="宋体" w:cs="宋体"/>
                <w:kern w:val="0"/>
                <w:szCs w:val="21"/>
              </w:rPr>
            </w:pPr>
          </w:p>
        </w:tc>
        <w:tc>
          <w:tcPr>
            <w:tcW w:w="850" w:type="dxa"/>
            <w:vAlign w:val="center"/>
          </w:tcPr>
          <w:p>
            <w:pPr>
              <w:jc w:val="center"/>
              <w:rPr>
                <w:rFonts w:ascii="宋体" w:hAnsi="宋体" w:cs="宋体"/>
                <w:szCs w:val="21"/>
              </w:rPr>
            </w:pPr>
            <w:r>
              <w:rPr>
                <w:rFonts w:hint="eastAsia" w:ascii="宋体" w:hAnsi="宋体" w:cs="宋体"/>
                <w:kern w:val="0"/>
                <w:szCs w:val="21"/>
              </w:rPr>
              <w:t>检查井</w:t>
            </w: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szCs w:val="21"/>
              </w:rPr>
              <w:t>井内清洁，无浮渣，无破损、裂缝，并设置安全防护网</w:t>
            </w:r>
          </w:p>
        </w:tc>
        <w:tc>
          <w:tcPr>
            <w:tcW w:w="709" w:type="dxa"/>
            <w:vMerge w:val="continue"/>
            <w:vAlign w:val="center"/>
          </w:tcPr>
          <w:p>
            <w:pPr>
              <w:spacing w:line="300" w:lineRule="exact"/>
              <w:jc w:val="center"/>
              <w:textAlignment w:val="baseline"/>
              <w:rPr>
                <w:rFonts w:ascii="宋体" w:hAnsi="宋体" w:cs="宋体"/>
                <w:kern w:val="0"/>
                <w:szCs w:val="21"/>
              </w:rPr>
            </w:pPr>
          </w:p>
        </w:tc>
        <w:tc>
          <w:tcPr>
            <w:tcW w:w="3969" w:type="dxa"/>
            <w:vAlign w:val="center"/>
          </w:tcPr>
          <w:p>
            <w:pPr>
              <w:widowControl/>
              <w:spacing w:line="300" w:lineRule="exact"/>
              <w:ind w:firstLine="420" w:firstLineChars="200"/>
              <w:jc w:val="center"/>
              <w:textAlignment w:val="baseline"/>
              <w:rPr>
                <w:rFonts w:ascii="宋体" w:hAnsi="宋体" w:cs="宋体"/>
                <w:kern w:val="0"/>
                <w:szCs w:val="21"/>
              </w:rPr>
            </w:pPr>
            <w:r>
              <w:rPr>
                <w:rFonts w:hint="eastAsia" w:ascii="宋体" w:hAnsi="宋体" w:cs="宋体"/>
                <w:kern w:val="0"/>
                <w:szCs w:val="21"/>
              </w:rPr>
              <w:t>井内有沉泥槽的淤泥沉积深度超过管底5cm，每处扣0.5分；无沉泥槽的淤泥沉积深度超过管径6cm的，每处扣0.5分；未设置安全防护网（脱落）的，扣0.5分；流槽内有破损、裂缝未及时上报的，每处扣0.5分。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852" w:type="dxa"/>
            <w:vMerge w:val="continue"/>
            <w:vAlign w:val="center"/>
          </w:tcPr>
          <w:p>
            <w:pPr>
              <w:widowControl/>
              <w:spacing w:line="300" w:lineRule="exact"/>
              <w:jc w:val="center"/>
              <w:textAlignment w:val="baseline"/>
              <w:rPr>
                <w:rFonts w:ascii="宋体" w:hAnsi="宋体" w:cs="宋体"/>
                <w:kern w:val="0"/>
                <w:szCs w:val="21"/>
              </w:rPr>
            </w:pPr>
          </w:p>
        </w:tc>
        <w:tc>
          <w:tcPr>
            <w:tcW w:w="85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雨水收集井</w:t>
            </w:r>
          </w:p>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（边井）</w:t>
            </w:r>
          </w:p>
        </w:tc>
        <w:tc>
          <w:tcPr>
            <w:tcW w:w="3260" w:type="dxa"/>
            <w:vAlign w:val="center"/>
          </w:tcPr>
          <w:p>
            <w:pPr>
              <w:spacing w:line="300" w:lineRule="exact"/>
              <w:jc w:val="center"/>
              <w:textAlignment w:val="baseline"/>
              <w:rPr>
                <w:rFonts w:ascii="宋体" w:hAnsi="宋体" w:cs="宋体"/>
                <w:kern w:val="0"/>
                <w:szCs w:val="21"/>
              </w:rPr>
            </w:pPr>
            <w:r>
              <w:rPr>
                <w:rFonts w:hint="eastAsia" w:ascii="宋体" w:hAnsi="宋体" w:cs="宋体"/>
                <w:szCs w:val="21"/>
              </w:rPr>
              <w:t>井内清洁，无浮渣，无破损、裂缝，支管畅通</w:t>
            </w:r>
          </w:p>
        </w:tc>
        <w:tc>
          <w:tcPr>
            <w:tcW w:w="709" w:type="dxa"/>
            <w:vMerge w:val="continue"/>
            <w:vAlign w:val="center"/>
          </w:tcPr>
          <w:p>
            <w:pPr>
              <w:widowControl/>
              <w:spacing w:line="300" w:lineRule="exact"/>
              <w:jc w:val="center"/>
              <w:textAlignment w:val="baseline"/>
              <w:rPr>
                <w:rFonts w:ascii="宋体" w:hAnsi="宋体" w:cs="宋体"/>
                <w:kern w:val="0"/>
                <w:szCs w:val="21"/>
              </w:rPr>
            </w:pPr>
          </w:p>
        </w:tc>
        <w:tc>
          <w:tcPr>
            <w:tcW w:w="3969" w:type="dxa"/>
            <w:vAlign w:val="center"/>
          </w:tcPr>
          <w:p>
            <w:pPr>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井内有沉泥槽的淤泥沉积深度超过管底5cm，每处扣0.5分；无沉泥槽的淤泥沉积深度超过管径2cm的，每处扣0.5分；井壁有破损、裂缝的，每处扣0.5分，支管不畅通的，每处扣2分；雨水箅盖板孔洞堵塞，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数字城管抄告整改</w:t>
            </w:r>
          </w:p>
        </w:tc>
        <w:tc>
          <w:tcPr>
            <w:tcW w:w="85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检查</w:t>
            </w:r>
          </w:p>
          <w:p>
            <w:pPr>
              <w:widowControl/>
              <w:spacing w:line="300" w:lineRule="exact"/>
              <w:jc w:val="center"/>
              <w:textAlignment w:val="baseline"/>
              <w:rPr>
                <w:rFonts w:ascii="宋体" w:hAnsi="宋体" w:cs="宋体"/>
                <w:kern w:val="0"/>
                <w:szCs w:val="21"/>
              </w:rPr>
            </w:pPr>
          </w:p>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台帐</w:t>
            </w: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及时完成数字城管抄告问题整改、反馈，并做好台帐</w:t>
            </w:r>
          </w:p>
        </w:tc>
        <w:tc>
          <w:tcPr>
            <w:tcW w:w="709"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5</w:t>
            </w:r>
          </w:p>
        </w:tc>
        <w:tc>
          <w:tcPr>
            <w:tcW w:w="3969" w:type="dxa"/>
            <w:vAlign w:val="center"/>
          </w:tcPr>
          <w:p>
            <w:pPr>
              <w:widowControl/>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未及时完成数字城管抄告问题整改、反馈的，每个扣0.5分；同样问题年内被重复抄告的扣分</w:t>
            </w:r>
            <w:r>
              <w:rPr>
                <w:rFonts w:hint="eastAsia" w:ascii="宋体" w:hAnsi="宋体" w:cs="宋体"/>
                <w:szCs w:val="21"/>
              </w:rPr>
              <w:t>加倍</w:t>
            </w:r>
            <w:r>
              <w:rPr>
                <w:rFonts w:hint="eastAsia" w:ascii="宋体" w:hAnsi="宋体" w:cs="宋体"/>
                <w:kern w:val="0"/>
                <w:szCs w:val="21"/>
              </w:rPr>
              <w:t>；未做好台帐的，每处扣0.5分。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部门抄告及三来件处理</w:t>
            </w:r>
          </w:p>
        </w:tc>
        <w:tc>
          <w:tcPr>
            <w:tcW w:w="85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检查</w:t>
            </w:r>
          </w:p>
          <w:p>
            <w:pPr>
              <w:widowControl/>
              <w:spacing w:line="300" w:lineRule="exact"/>
              <w:jc w:val="center"/>
              <w:textAlignment w:val="baseline"/>
              <w:rPr>
                <w:rFonts w:ascii="宋体" w:hAnsi="宋体" w:cs="宋体"/>
                <w:kern w:val="0"/>
                <w:szCs w:val="21"/>
              </w:rPr>
            </w:pPr>
          </w:p>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台帐</w:t>
            </w: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对上级部门的抄告问题及时进行整改、反馈，并做好台帐</w:t>
            </w:r>
          </w:p>
        </w:tc>
        <w:tc>
          <w:tcPr>
            <w:tcW w:w="709"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10</w:t>
            </w:r>
          </w:p>
        </w:tc>
        <w:tc>
          <w:tcPr>
            <w:tcW w:w="3969" w:type="dxa"/>
            <w:vAlign w:val="center"/>
          </w:tcPr>
          <w:p>
            <w:pPr>
              <w:widowControl/>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被市、区二级抄告的，每个扣1分；问题处理、反馈不按时完成的，每个扣2分；重复抄告的，每个扣5分；被群众投诉的问题未及时处理、反馈的，每次扣0.5分；未做好台帐的，每处扣1分。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52"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突发事件处理</w:t>
            </w:r>
          </w:p>
        </w:tc>
        <w:tc>
          <w:tcPr>
            <w:tcW w:w="85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实地</w:t>
            </w:r>
          </w:p>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检查</w:t>
            </w: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及时妥善处理道路积水排涝工作，并做好台帐</w:t>
            </w:r>
          </w:p>
        </w:tc>
        <w:tc>
          <w:tcPr>
            <w:tcW w:w="709"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15</w:t>
            </w:r>
          </w:p>
        </w:tc>
        <w:tc>
          <w:tcPr>
            <w:tcW w:w="3969" w:type="dxa"/>
            <w:vAlign w:val="center"/>
          </w:tcPr>
          <w:p>
            <w:pPr>
              <w:widowControl/>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未按要求巡查或应急响应未及时到位的，每次扣2分；未及时处理道路积水的，每件扣2分；未做好防汛台帐的，每件扣1分；养护范围内出现大面积积水的扣2分，被上级领导批评问责或新闻媒体曝光的扣2分。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 w:type="dxa"/>
            <w:vMerge w:val="restart"/>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各类活动配合</w:t>
            </w:r>
          </w:p>
        </w:tc>
        <w:tc>
          <w:tcPr>
            <w:tcW w:w="850" w:type="dxa"/>
            <w:vMerge w:val="restart"/>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实地</w:t>
            </w:r>
          </w:p>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检查</w:t>
            </w: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积极配合各类大型活动，及时完成交办的任务，并做好台帐</w:t>
            </w:r>
          </w:p>
        </w:tc>
        <w:tc>
          <w:tcPr>
            <w:tcW w:w="709" w:type="dxa"/>
            <w:vMerge w:val="restart"/>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5</w:t>
            </w:r>
          </w:p>
        </w:tc>
        <w:tc>
          <w:tcPr>
            <w:tcW w:w="3969" w:type="dxa"/>
            <w:vAlign w:val="center"/>
          </w:tcPr>
          <w:p>
            <w:pPr>
              <w:widowControl/>
              <w:spacing w:line="300" w:lineRule="exact"/>
              <w:ind w:firstLine="315" w:firstLineChars="150"/>
              <w:jc w:val="center"/>
              <w:textAlignment w:val="baseline"/>
              <w:rPr>
                <w:rFonts w:ascii="宋体" w:hAnsi="宋体" w:cs="宋体"/>
                <w:kern w:val="0"/>
                <w:szCs w:val="21"/>
              </w:rPr>
            </w:pPr>
            <w:r>
              <w:rPr>
                <w:rFonts w:hint="eastAsia" w:ascii="宋体" w:hAnsi="宋体" w:cs="宋体"/>
                <w:kern w:val="0"/>
                <w:szCs w:val="21"/>
              </w:rPr>
              <w:t>交办任务未及时完成的每次扣2分，未做好台帐的，每次扣1分。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2" w:type="dxa"/>
            <w:vMerge w:val="continue"/>
            <w:vAlign w:val="center"/>
          </w:tcPr>
          <w:p>
            <w:pPr>
              <w:widowControl/>
              <w:jc w:val="center"/>
              <w:rPr>
                <w:rFonts w:ascii="宋体" w:hAnsi="宋体" w:cs="宋体"/>
                <w:kern w:val="0"/>
                <w:szCs w:val="21"/>
              </w:rPr>
            </w:pPr>
          </w:p>
        </w:tc>
        <w:tc>
          <w:tcPr>
            <w:tcW w:w="850" w:type="dxa"/>
            <w:vMerge w:val="continue"/>
            <w:vAlign w:val="center"/>
          </w:tcPr>
          <w:p>
            <w:pPr>
              <w:widowControl/>
              <w:jc w:val="center"/>
              <w:rPr>
                <w:rFonts w:ascii="宋体" w:hAnsi="宋体" w:cs="宋体"/>
                <w:kern w:val="0"/>
                <w:szCs w:val="21"/>
              </w:rPr>
            </w:pP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每次会议、考核，单位负责人必须参加</w:t>
            </w:r>
          </w:p>
        </w:tc>
        <w:tc>
          <w:tcPr>
            <w:tcW w:w="709" w:type="dxa"/>
            <w:vMerge w:val="continue"/>
            <w:vAlign w:val="center"/>
          </w:tcPr>
          <w:p>
            <w:pPr>
              <w:widowControl/>
              <w:jc w:val="center"/>
              <w:rPr>
                <w:rFonts w:ascii="宋体" w:hAnsi="宋体" w:cs="宋体"/>
                <w:kern w:val="0"/>
                <w:szCs w:val="21"/>
              </w:rPr>
            </w:pPr>
          </w:p>
        </w:tc>
        <w:tc>
          <w:tcPr>
            <w:tcW w:w="3969" w:type="dxa"/>
            <w:vAlign w:val="center"/>
          </w:tcPr>
          <w:p>
            <w:pPr>
              <w:widowControl/>
              <w:spacing w:line="300" w:lineRule="exact"/>
              <w:ind w:firstLine="210" w:firstLineChars="100"/>
              <w:jc w:val="center"/>
              <w:textAlignment w:val="baseline"/>
              <w:rPr>
                <w:rFonts w:ascii="宋体" w:hAnsi="宋体" w:cs="宋体"/>
                <w:kern w:val="0"/>
                <w:szCs w:val="21"/>
              </w:rPr>
            </w:pPr>
            <w:r>
              <w:rPr>
                <w:rFonts w:hint="eastAsia" w:ascii="宋体" w:hAnsi="宋体" w:cs="宋体"/>
                <w:kern w:val="0"/>
                <w:szCs w:val="21"/>
              </w:rPr>
              <w:t>无正当理由缺席的，每次扣2分。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02" w:type="dxa"/>
            <w:gridSpan w:val="2"/>
            <w:vAlign w:val="center"/>
          </w:tcPr>
          <w:p>
            <w:pPr>
              <w:widowControl/>
              <w:spacing w:line="300" w:lineRule="exact"/>
              <w:jc w:val="center"/>
              <w:textAlignment w:val="baseline"/>
              <w:rPr>
                <w:rFonts w:ascii="宋体" w:hAnsi="宋体" w:cs="宋体"/>
                <w:b/>
                <w:bCs/>
                <w:kern w:val="0"/>
                <w:szCs w:val="21"/>
              </w:rPr>
            </w:pPr>
            <w:r>
              <w:rPr>
                <w:rFonts w:hint="eastAsia" w:ascii="宋体" w:hAnsi="宋体" w:cs="宋体"/>
                <w:kern w:val="0"/>
                <w:szCs w:val="21"/>
              </w:rPr>
              <w:t>宣传工作</w:t>
            </w:r>
          </w:p>
        </w:tc>
        <w:tc>
          <w:tcPr>
            <w:tcW w:w="3260"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上报微信、微博、抖音</w:t>
            </w:r>
          </w:p>
        </w:tc>
        <w:tc>
          <w:tcPr>
            <w:tcW w:w="709"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附加分</w:t>
            </w:r>
          </w:p>
        </w:tc>
        <w:tc>
          <w:tcPr>
            <w:tcW w:w="3969" w:type="dxa"/>
            <w:vAlign w:val="center"/>
          </w:tcPr>
          <w:p>
            <w:pPr>
              <w:widowControl/>
              <w:spacing w:line="300" w:lineRule="exact"/>
              <w:ind w:firstLine="210" w:firstLineChars="100"/>
              <w:jc w:val="center"/>
              <w:textAlignment w:val="baseline"/>
              <w:rPr>
                <w:rFonts w:ascii="宋体" w:hAnsi="宋体" w:cs="宋体"/>
                <w:kern w:val="0"/>
                <w:szCs w:val="21"/>
              </w:rPr>
            </w:pPr>
            <w:r>
              <w:rPr>
                <w:rFonts w:hint="eastAsia" w:ascii="宋体" w:hAnsi="宋体" w:cs="宋体"/>
                <w:kern w:val="0"/>
                <w:szCs w:val="21"/>
              </w:rPr>
              <w:t>报送加0.1分/条，被我局录用一条加0.5分/条，被市局录用加1分/条，每月满分3分。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02" w:type="dxa"/>
            <w:gridSpan w:val="2"/>
            <w:vAlign w:val="center"/>
          </w:tcPr>
          <w:p>
            <w:pPr>
              <w:widowControl/>
              <w:spacing w:line="300" w:lineRule="exact"/>
              <w:jc w:val="center"/>
              <w:textAlignment w:val="baseline"/>
              <w:rPr>
                <w:rFonts w:ascii="宋体" w:hAnsi="宋体" w:cs="宋体"/>
                <w:kern w:val="0"/>
                <w:szCs w:val="21"/>
              </w:rPr>
            </w:pPr>
            <w:r>
              <w:rPr>
                <w:rFonts w:hint="eastAsia" w:ascii="宋体" w:hAnsi="宋体" w:cs="宋体"/>
                <w:b/>
                <w:bCs/>
                <w:kern w:val="0"/>
                <w:szCs w:val="21"/>
              </w:rPr>
              <w:t>合计</w:t>
            </w:r>
          </w:p>
        </w:tc>
        <w:tc>
          <w:tcPr>
            <w:tcW w:w="3260" w:type="dxa"/>
            <w:vAlign w:val="center"/>
          </w:tcPr>
          <w:p>
            <w:pPr>
              <w:widowControl/>
              <w:spacing w:line="300" w:lineRule="exact"/>
              <w:jc w:val="center"/>
              <w:textAlignment w:val="baseline"/>
              <w:rPr>
                <w:rFonts w:ascii="宋体" w:hAnsi="宋体" w:cs="宋体"/>
                <w:kern w:val="0"/>
                <w:szCs w:val="21"/>
              </w:rPr>
            </w:pPr>
          </w:p>
        </w:tc>
        <w:tc>
          <w:tcPr>
            <w:tcW w:w="709" w:type="dxa"/>
            <w:vAlign w:val="center"/>
          </w:tcPr>
          <w:p>
            <w:pPr>
              <w:widowControl/>
              <w:spacing w:line="300" w:lineRule="exact"/>
              <w:jc w:val="center"/>
              <w:textAlignment w:val="baseline"/>
              <w:rPr>
                <w:rFonts w:ascii="宋体" w:hAnsi="宋体" w:cs="宋体"/>
                <w:kern w:val="0"/>
                <w:szCs w:val="21"/>
              </w:rPr>
            </w:pPr>
            <w:r>
              <w:rPr>
                <w:rFonts w:hint="eastAsia" w:ascii="宋体" w:hAnsi="宋体" w:cs="宋体"/>
                <w:kern w:val="0"/>
                <w:szCs w:val="21"/>
              </w:rPr>
              <w:t>100</w:t>
            </w:r>
          </w:p>
        </w:tc>
        <w:tc>
          <w:tcPr>
            <w:tcW w:w="3969" w:type="dxa"/>
            <w:vAlign w:val="center"/>
          </w:tcPr>
          <w:p>
            <w:pPr>
              <w:widowControl/>
              <w:spacing w:line="300" w:lineRule="exact"/>
              <w:jc w:val="center"/>
              <w:textAlignment w:val="baseline"/>
              <w:rPr>
                <w:rFonts w:ascii="宋体" w:hAnsi="宋体" w:cs="宋体"/>
                <w:kern w:val="0"/>
                <w:szCs w:val="21"/>
              </w:rPr>
            </w:pPr>
          </w:p>
          <w:p>
            <w:pPr>
              <w:widowControl/>
              <w:spacing w:line="300" w:lineRule="exact"/>
              <w:jc w:val="center"/>
              <w:textAlignment w:val="baseline"/>
              <w:rPr>
                <w:rFonts w:ascii="宋体" w:hAnsi="宋体" w:cs="宋体"/>
                <w:kern w:val="0"/>
                <w:szCs w:val="21"/>
              </w:rPr>
            </w:pPr>
          </w:p>
        </w:tc>
      </w:tr>
    </w:tbl>
    <w:p>
      <w:pPr>
        <w:spacing w:afterLines="50"/>
        <w:rPr>
          <w:rFonts w:ascii="仿宋_GB2312" w:eastAsia="仿宋_GB2312"/>
          <w:sz w:val="24"/>
        </w:rPr>
      </w:pPr>
    </w:p>
    <w:p>
      <w:pPr>
        <w:widowControl/>
        <w:spacing w:line="400" w:lineRule="exact"/>
        <w:jc w:val="center"/>
        <w:textAlignment w:val="baseline"/>
        <w:rPr>
          <w:rFonts w:ascii="楷体_GB2312" w:eastAsia="楷体_GB2312"/>
          <w:b/>
          <w:bCs/>
          <w:sz w:val="24"/>
        </w:rPr>
      </w:pPr>
    </w:p>
    <w:p>
      <w:pPr>
        <w:rPr>
          <w:rFonts w:ascii="楷体_GB2312" w:eastAsia="楷体_GB2312"/>
          <w:b/>
          <w:bCs/>
          <w:sz w:val="32"/>
          <w:szCs w:val="32"/>
        </w:rPr>
      </w:pPr>
    </w:p>
    <w:p>
      <w:pPr>
        <w:rPr>
          <w:rFonts w:ascii="楷体_GB2312" w:eastAsia="楷体_GB2312"/>
          <w:b/>
          <w:bCs/>
          <w:sz w:val="32"/>
          <w:szCs w:val="32"/>
        </w:rPr>
      </w:pPr>
    </w:p>
    <w:p>
      <w:pPr>
        <w:rPr>
          <w:rFonts w:ascii="楷体_GB2312" w:eastAsia="楷体_GB2312"/>
          <w:b/>
          <w:bCs/>
          <w:sz w:val="32"/>
          <w:szCs w:val="32"/>
        </w:rPr>
      </w:pPr>
    </w:p>
    <w:p>
      <w:pPr>
        <w:rPr>
          <w:rFonts w:ascii="楷体_GB2312" w:eastAsia="楷体_GB2312"/>
          <w:b/>
          <w:bCs/>
          <w:sz w:val="32"/>
          <w:szCs w:val="32"/>
        </w:rPr>
      </w:pPr>
    </w:p>
    <w:p>
      <w:pPr>
        <w:rPr>
          <w:rFonts w:ascii="楷体_GB2312" w:eastAsia="楷体_GB2312"/>
          <w:b/>
          <w:bCs/>
          <w:sz w:val="32"/>
          <w:szCs w:val="32"/>
        </w:rPr>
      </w:pPr>
    </w:p>
    <w:p>
      <w:pPr>
        <w:rPr>
          <w:rFonts w:ascii="楷体_GB2312" w:eastAsia="楷体_GB2312"/>
          <w:b/>
          <w:bCs/>
          <w:sz w:val="32"/>
          <w:szCs w:val="32"/>
        </w:rPr>
      </w:pP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t>附件二：</w:t>
      </w:r>
    </w:p>
    <w:p>
      <w:pPr>
        <w:rPr>
          <w:rFonts w:ascii="宋体" w:hAnsi="宋体" w:cs="宋体"/>
          <w:b/>
          <w:bCs/>
          <w:sz w:val="32"/>
          <w:szCs w:val="32"/>
        </w:rPr>
      </w:pPr>
    </w:p>
    <w:p>
      <w:pPr>
        <w:spacing w:line="500" w:lineRule="exact"/>
        <w:jc w:val="center"/>
        <w:rPr>
          <w:rFonts w:ascii="宋体" w:hAnsi="宋体" w:cs="宋体"/>
          <w:b/>
          <w:bCs/>
          <w:spacing w:val="20"/>
          <w:w w:val="90"/>
          <w:sz w:val="32"/>
          <w:szCs w:val="32"/>
        </w:rPr>
      </w:pPr>
      <w:r>
        <w:rPr>
          <w:rFonts w:hint="eastAsia" w:ascii="宋体" w:hAnsi="宋体" w:cs="宋体"/>
          <w:b/>
          <w:bCs/>
          <w:spacing w:val="20"/>
          <w:w w:val="90"/>
          <w:sz w:val="32"/>
          <w:szCs w:val="32"/>
        </w:rPr>
        <w:t>杭州市滨江区</w:t>
      </w:r>
    </w:p>
    <w:p>
      <w:pPr>
        <w:spacing w:line="500" w:lineRule="exact"/>
        <w:jc w:val="center"/>
        <w:rPr>
          <w:rFonts w:ascii="宋体" w:hAnsi="宋体" w:cs="宋体"/>
          <w:b/>
          <w:bCs/>
          <w:spacing w:val="20"/>
          <w:w w:val="90"/>
          <w:sz w:val="32"/>
          <w:szCs w:val="32"/>
        </w:rPr>
      </w:pPr>
      <w:r>
        <w:rPr>
          <w:rFonts w:hint="eastAsia" w:ascii="宋体" w:hAnsi="宋体" w:cs="宋体"/>
          <w:b/>
          <w:bCs/>
          <w:spacing w:val="20"/>
          <w:w w:val="90"/>
          <w:sz w:val="32"/>
          <w:szCs w:val="32"/>
        </w:rPr>
        <w:t>市政管网清淤考核成绩应扣款标准</w:t>
      </w:r>
    </w:p>
    <w:p>
      <w:pPr>
        <w:spacing w:line="500" w:lineRule="exact"/>
        <w:jc w:val="center"/>
        <w:rPr>
          <w:rFonts w:ascii="方正小标宋_GBK" w:hAnsi="宋体" w:eastAsia="方正小标宋_GBK"/>
          <w:b/>
          <w:bCs/>
          <w:spacing w:val="20"/>
          <w:w w:val="90"/>
          <w:sz w:val="32"/>
          <w:szCs w:val="32"/>
        </w:rPr>
      </w:pPr>
    </w:p>
    <w:tbl>
      <w:tblPr>
        <w:tblStyle w:val="43"/>
        <w:tblW w:w="8928" w:type="dxa"/>
        <w:tblInd w:w="-10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648"/>
        <w:gridCol w:w="1620"/>
        <w:gridCol w:w="1620"/>
        <w:gridCol w:w="1620"/>
        <w:gridCol w:w="1620"/>
        <w:gridCol w:w="180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648" w:type="dxa"/>
            <w:tcBorders>
              <w:top w:val="single" w:color="auto" w:sz="18" w:space="0"/>
              <w:tl2br w:val="single" w:color="auto" w:sz="8" w:space="0"/>
            </w:tcBorders>
            <w:vAlign w:val="center"/>
          </w:tcPr>
          <w:p>
            <w:pPr>
              <w:jc w:val="center"/>
              <w:rPr>
                <w:rFonts w:ascii="黑体" w:eastAsia="黑体"/>
                <w:b/>
                <w:bCs/>
                <w:kern w:val="0"/>
                <w:sz w:val="24"/>
              </w:rPr>
            </w:pPr>
          </w:p>
        </w:tc>
        <w:tc>
          <w:tcPr>
            <w:tcW w:w="1620" w:type="dxa"/>
            <w:tcBorders>
              <w:top w:val="single" w:color="auto" w:sz="18" w:space="0"/>
            </w:tcBorders>
            <w:vAlign w:val="center"/>
          </w:tcPr>
          <w:p>
            <w:pPr>
              <w:jc w:val="center"/>
              <w:rPr>
                <w:rFonts w:ascii="黑体" w:eastAsia="黑体"/>
                <w:b/>
                <w:bCs/>
                <w:kern w:val="0"/>
                <w:sz w:val="24"/>
              </w:rPr>
            </w:pPr>
            <w:r>
              <w:rPr>
                <w:rFonts w:hint="eastAsia" w:ascii="黑体" w:eastAsia="黑体" w:cs="黑体"/>
                <w:b/>
                <w:bCs/>
                <w:kern w:val="0"/>
                <w:sz w:val="24"/>
              </w:rPr>
              <w:t>优秀</w:t>
            </w:r>
          </w:p>
          <w:p>
            <w:pPr>
              <w:jc w:val="center"/>
              <w:rPr>
                <w:rFonts w:ascii="黑体" w:eastAsia="黑体"/>
                <w:b/>
                <w:bCs/>
                <w:kern w:val="0"/>
                <w:sz w:val="24"/>
              </w:rPr>
            </w:pPr>
            <w:r>
              <w:rPr>
                <w:rFonts w:hint="eastAsia" w:ascii="仿宋_GB2312" w:eastAsia="仿宋_GB2312" w:cs="仿宋_GB2312"/>
                <w:kern w:val="0"/>
                <w:sz w:val="23"/>
                <w:szCs w:val="23"/>
              </w:rPr>
              <w:t>〔</w:t>
            </w:r>
            <w:r>
              <w:rPr>
                <w:rFonts w:ascii="仿宋_GB2312" w:eastAsia="仿宋_GB2312" w:cs="仿宋_GB2312"/>
                <w:b/>
                <w:bCs/>
                <w:kern w:val="0"/>
                <w:sz w:val="20"/>
                <w:szCs w:val="20"/>
              </w:rPr>
              <w:t>9</w:t>
            </w:r>
            <w:r>
              <w:rPr>
                <w:rFonts w:hint="eastAsia" w:ascii="仿宋_GB2312" w:eastAsia="仿宋_GB2312" w:cs="仿宋_GB2312"/>
                <w:b/>
                <w:bCs/>
                <w:kern w:val="0"/>
                <w:sz w:val="20"/>
                <w:szCs w:val="20"/>
              </w:rPr>
              <w:t>5分（含）以上</w:t>
            </w:r>
            <w:r>
              <w:rPr>
                <w:rFonts w:hint="eastAsia" w:ascii="仿宋_GB2312" w:eastAsia="仿宋_GB2312" w:cs="仿宋_GB2312"/>
                <w:kern w:val="0"/>
                <w:sz w:val="23"/>
                <w:szCs w:val="23"/>
              </w:rPr>
              <w:t>〕</w:t>
            </w:r>
          </w:p>
        </w:tc>
        <w:tc>
          <w:tcPr>
            <w:tcW w:w="1620" w:type="dxa"/>
            <w:tcBorders>
              <w:top w:val="single" w:color="auto" w:sz="18" w:space="0"/>
            </w:tcBorders>
            <w:vAlign w:val="center"/>
          </w:tcPr>
          <w:p>
            <w:pPr>
              <w:jc w:val="center"/>
              <w:rPr>
                <w:rFonts w:ascii="黑体" w:eastAsia="黑体"/>
                <w:b/>
                <w:bCs/>
                <w:kern w:val="0"/>
                <w:sz w:val="24"/>
              </w:rPr>
            </w:pPr>
            <w:r>
              <w:rPr>
                <w:rFonts w:hint="eastAsia" w:ascii="黑体" w:eastAsia="黑体" w:cs="黑体"/>
                <w:b/>
                <w:bCs/>
                <w:kern w:val="0"/>
                <w:sz w:val="24"/>
              </w:rPr>
              <w:t>良好</w:t>
            </w:r>
          </w:p>
          <w:p>
            <w:pPr>
              <w:jc w:val="center"/>
              <w:rPr>
                <w:rFonts w:ascii="黑体" w:eastAsia="黑体"/>
                <w:b/>
                <w:bCs/>
                <w:kern w:val="0"/>
                <w:sz w:val="24"/>
              </w:rPr>
            </w:pPr>
            <w:r>
              <w:rPr>
                <w:rFonts w:hint="eastAsia" w:ascii="仿宋_GB2312" w:eastAsia="仿宋_GB2312" w:cs="仿宋_GB2312"/>
                <w:kern w:val="0"/>
                <w:sz w:val="23"/>
                <w:szCs w:val="23"/>
              </w:rPr>
              <w:t>〔</w:t>
            </w:r>
            <w:r>
              <w:rPr>
                <w:rFonts w:ascii="仿宋_GB2312" w:eastAsia="仿宋_GB2312" w:cs="仿宋_GB2312"/>
                <w:b/>
                <w:bCs/>
                <w:kern w:val="0"/>
                <w:sz w:val="20"/>
                <w:szCs w:val="20"/>
              </w:rPr>
              <w:t>9</w:t>
            </w:r>
            <w:r>
              <w:rPr>
                <w:rFonts w:hint="eastAsia" w:ascii="仿宋_GB2312" w:eastAsia="仿宋_GB2312" w:cs="仿宋_GB2312"/>
                <w:b/>
                <w:bCs/>
                <w:kern w:val="0"/>
                <w:sz w:val="20"/>
                <w:szCs w:val="20"/>
              </w:rPr>
              <w:t>5分</w:t>
            </w:r>
            <w:r>
              <w:rPr>
                <w:rFonts w:ascii="仿宋_GB2312" w:eastAsia="仿宋_GB2312"/>
                <w:b/>
                <w:bCs/>
                <w:kern w:val="0"/>
                <w:sz w:val="20"/>
                <w:szCs w:val="20"/>
              </w:rPr>
              <w:t>—</w:t>
            </w:r>
            <w:r>
              <w:rPr>
                <w:rFonts w:hint="eastAsia" w:ascii="仿宋_GB2312" w:eastAsia="仿宋_GB2312" w:cs="仿宋_GB2312"/>
                <w:b/>
                <w:bCs/>
                <w:kern w:val="0"/>
                <w:sz w:val="20"/>
                <w:szCs w:val="20"/>
              </w:rPr>
              <w:t>90分（含）</w:t>
            </w:r>
            <w:r>
              <w:rPr>
                <w:rFonts w:hint="eastAsia" w:ascii="仿宋_GB2312" w:eastAsia="仿宋_GB2312" w:cs="仿宋_GB2312"/>
                <w:kern w:val="0"/>
                <w:sz w:val="23"/>
                <w:szCs w:val="23"/>
              </w:rPr>
              <w:t>〕</w:t>
            </w:r>
          </w:p>
        </w:tc>
        <w:tc>
          <w:tcPr>
            <w:tcW w:w="1620" w:type="dxa"/>
            <w:tcBorders>
              <w:top w:val="single" w:color="auto" w:sz="18" w:space="0"/>
            </w:tcBorders>
            <w:vAlign w:val="center"/>
          </w:tcPr>
          <w:p>
            <w:pPr>
              <w:jc w:val="center"/>
              <w:rPr>
                <w:rFonts w:ascii="黑体" w:eastAsia="黑体"/>
                <w:b/>
                <w:bCs/>
                <w:kern w:val="0"/>
                <w:sz w:val="24"/>
              </w:rPr>
            </w:pPr>
            <w:r>
              <w:rPr>
                <w:rFonts w:hint="eastAsia" w:ascii="黑体" w:eastAsia="黑体" w:cs="黑体"/>
                <w:b/>
                <w:bCs/>
                <w:kern w:val="0"/>
                <w:sz w:val="24"/>
              </w:rPr>
              <w:t>达标</w:t>
            </w:r>
          </w:p>
          <w:p>
            <w:pPr>
              <w:jc w:val="center"/>
              <w:rPr>
                <w:rFonts w:ascii="仿宋_GB2312" w:eastAsia="仿宋_GB2312"/>
                <w:b/>
                <w:bCs/>
                <w:kern w:val="0"/>
                <w:sz w:val="20"/>
                <w:szCs w:val="20"/>
              </w:rPr>
            </w:pPr>
            <w:r>
              <w:rPr>
                <w:rFonts w:hint="eastAsia" w:ascii="仿宋_GB2312" w:eastAsia="仿宋_GB2312" w:cs="仿宋_GB2312"/>
                <w:kern w:val="0"/>
                <w:sz w:val="23"/>
                <w:szCs w:val="23"/>
              </w:rPr>
              <w:t>〔</w:t>
            </w:r>
            <w:r>
              <w:rPr>
                <w:rFonts w:hint="eastAsia" w:ascii="仿宋_GB2312" w:eastAsia="仿宋_GB2312" w:cs="仿宋_GB2312"/>
                <w:b/>
                <w:bCs/>
                <w:kern w:val="0"/>
                <w:sz w:val="20"/>
                <w:szCs w:val="20"/>
              </w:rPr>
              <w:t>90分</w:t>
            </w:r>
            <w:r>
              <w:rPr>
                <w:rFonts w:ascii="仿宋_GB2312" w:eastAsia="仿宋_GB2312"/>
                <w:b/>
                <w:bCs/>
                <w:kern w:val="0"/>
                <w:sz w:val="20"/>
                <w:szCs w:val="20"/>
              </w:rPr>
              <w:t>—</w:t>
            </w:r>
            <w:r>
              <w:rPr>
                <w:rFonts w:ascii="仿宋_GB2312" w:eastAsia="仿宋_GB2312" w:cs="仿宋_GB2312"/>
                <w:b/>
                <w:bCs/>
                <w:kern w:val="0"/>
                <w:sz w:val="20"/>
                <w:szCs w:val="20"/>
              </w:rPr>
              <w:t>80</w:t>
            </w:r>
            <w:r>
              <w:rPr>
                <w:rFonts w:hint="eastAsia" w:ascii="仿宋_GB2312" w:eastAsia="仿宋_GB2312" w:cs="仿宋_GB2312"/>
                <w:b/>
                <w:bCs/>
                <w:kern w:val="0"/>
                <w:sz w:val="20"/>
                <w:szCs w:val="20"/>
              </w:rPr>
              <w:t>（含）分</w:t>
            </w:r>
            <w:r>
              <w:rPr>
                <w:rFonts w:hint="eastAsia" w:ascii="仿宋_GB2312" w:eastAsia="仿宋_GB2312" w:cs="仿宋_GB2312"/>
                <w:kern w:val="0"/>
                <w:sz w:val="23"/>
                <w:szCs w:val="23"/>
              </w:rPr>
              <w:t>〕</w:t>
            </w:r>
          </w:p>
        </w:tc>
        <w:tc>
          <w:tcPr>
            <w:tcW w:w="1620" w:type="dxa"/>
            <w:tcBorders>
              <w:top w:val="single" w:color="auto" w:sz="18" w:space="0"/>
            </w:tcBorders>
            <w:vAlign w:val="center"/>
          </w:tcPr>
          <w:p>
            <w:pPr>
              <w:jc w:val="center"/>
              <w:rPr>
                <w:rFonts w:ascii="黑体" w:eastAsia="黑体"/>
                <w:b/>
                <w:bCs/>
                <w:kern w:val="0"/>
                <w:sz w:val="24"/>
              </w:rPr>
            </w:pPr>
            <w:r>
              <w:rPr>
                <w:rFonts w:hint="eastAsia" w:ascii="黑体" w:eastAsia="黑体" w:cs="黑体"/>
                <w:b/>
                <w:bCs/>
                <w:kern w:val="0"/>
                <w:sz w:val="24"/>
              </w:rPr>
              <w:t>不达标</w:t>
            </w:r>
          </w:p>
          <w:p>
            <w:pPr>
              <w:jc w:val="center"/>
              <w:rPr>
                <w:rFonts w:ascii="黑体" w:eastAsia="黑体"/>
                <w:b/>
                <w:bCs/>
                <w:kern w:val="0"/>
                <w:sz w:val="24"/>
              </w:rPr>
            </w:pPr>
            <w:r>
              <w:rPr>
                <w:rFonts w:hint="eastAsia" w:ascii="仿宋_GB2312" w:eastAsia="仿宋_GB2312" w:cs="仿宋_GB2312"/>
                <w:b/>
                <w:bCs/>
                <w:kern w:val="0"/>
                <w:sz w:val="20"/>
                <w:szCs w:val="20"/>
              </w:rPr>
              <w:t>（</w:t>
            </w:r>
            <w:r>
              <w:rPr>
                <w:rFonts w:ascii="仿宋_GB2312" w:eastAsia="仿宋_GB2312" w:cs="仿宋_GB2312"/>
                <w:b/>
                <w:bCs/>
                <w:kern w:val="0"/>
                <w:sz w:val="20"/>
                <w:szCs w:val="20"/>
              </w:rPr>
              <w:t>80</w:t>
            </w:r>
            <w:r>
              <w:rPr>
                <w:rFonts w:hint="eastAsia" w:ascii="仿宋_GB2312" w:eastAsia="仿宋_GB2312" w:cs="仿宋_GB2312"/>
                <w:b/>
                <w:bCs/>
                <w:kern w:val="0"/>
                <w:sz w:val="20"/>
                <w:szCs w:val="20"/>
              </w:rPr>
              <w:t>分以下）</w:t>
            </w:r>
          </w:p>
        </w:tc>
        <w:tc>
          <w:tcPr>
            <w:tcW w:w="1800" w:type="dxa"/>
            <w:tcBorders>
              <w:top w:val="single" w:color="auto" w:sz="18" w:space="0"/>
            </w:tcBorders>
            <w:vAlign w:val="center"/>
          </w:tcPr>
          <w:p>
            <w:pPr>
              <w:jc w:val="center"/>
              <w:rPr>
                <w:rFonts w:ascii="黑体" w:eastAsia="黑体"/>
                <w:b/>
                <w:bCs/>
                <w:kern w:val="0"/>
                <w:sz w:val="24"/>
              </w:rPr>
            </w:pPr>
            <w:r>
              <w:rPr>
                <w:rFonts w:hint="eastAsia" w:ascii="黑体" w:eastAsia="黑体" w:cs="黑体"/>
                <w:b/>
                <w:bCs/>
                <w:kern w:val="0"/>
                <w:sz w:val="24"/>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55" w:hRule="atLeast"/>
        </w:trPr>
        <w:tc>
          <w:tcPr>
            <w:tcW w:w="648" w:type="dxa"/>
            <w:tcBorders>
              <w:bottom w:val="single" w:color="auto" w:sz="18" w:space="0"/>
            </w:tcBorders>
            <w:vAlign w:val="center"/>
          </w:tcPr>
          <w:p>
            <w:pPr>
              <w:jc w:val="center"/>
              <w:rPr>
                <w:rFonts w:ascii="黑体" w:eastAsia="黑体"/>
                <w:b/>
                <w:bCs/>
                <w:kern w:val="0"/>
                <w:sz w:val="24"/>
              </w:rPr>
            </w:pPr>
            <w:r>
              <w:rPr>
                <w:rFonts w:hint="eastAsia" w:ascii="黑体" w:eastAsia="黑体" w:cs="黑体"/>
                <w:b/>
                <w:bCs/>
                <w:kern w:val="0"/>
                <w:sz w:val="24"/>
              </w:rPr>
              <w:t>扣款数</w:t>
            </w:r>
          </w:p>
        </w:tc>
        <w:tc>
          <w:tcPr>
            <w:tcW w:w="1620" w:type="dxa"/>
            <w:tcBorders>
              <w:bottom w:val="single" w:color="auto" w:sz="18" w:space="0"/>
            </w:tcBorders>
            <w:vAlign w:val="center"/>
          </w:tcPr>
          <w:p>
            <w:pPr>
              <w:jc w:val="center"/>
              <w:rPr>
                <w:rFonts w:ascii="仿宋_GB2312" w:eastAsia="仿宋_GB2312" w:cs="仿宋_GB2312"/>
                <w:kern w:val="0"/>
                <w:sz w:val="24"/>
              </w:rPr>
            </w:pPr>
            <w:r>
              <w:rPr>
                <w:rFonts w:ascii="仿宋_GB2312" w:eastAsia="仿宋_GB2312" w:cs="仿宋_GB2312"/>
                <w:kern w:val="0"/>
                <w:sz w:val="24"/>
              </w:rPr>
              <w:t>0</w:t>
            </w:r>
          </w:p>
        </w:tc>
        <w:tc>
          <w:tcPr>
            <w:tcW w:w="1620" w:type="dxa"/>
            <w:tcBorders>
              <w:bottom w:val="single" w:color="auto" w:sz="18" w:space="0"/>
            </w:tcBorders>
            <w:vAlign w:val="center"/>
          </w:tcPr>
          <w:p>
            <w:pPr>
              <w:jc w:val="center"/>
              <w:rPr>
                <w:rFonts w:ascii="宋体"/>
                <w:kern w:val="0"/>
                <w:sz w:val="24"/>
              </w:rPr>
            </w:pPr>
            <w:r>
              <w:rPr>
                <w:rFonts w:ascii="仿宋_GB2312" w:eastAsia="仿宋_GB2312" w:cs="仿宋_GB2312"/>
                <w:kern w:val="0"/>
                <w:sz w:val="24"/>
              </w:rPr>
              <w:t>0.</w:t>
            </w:r>
            <w:r>
              <w:rPr>
                <w:rFonts w:hint="eastAsia" w:ascii="仿宋_GB2312" w:eastAsia="仿宋_GB2312" w:cs="仿宋_GB2312"/>
                <w:kern w:val="0"/>
                <w:sz w:val="24"/>
              </w:rPr>
              <w:t>1万元</w:t>
            </w:r>
            <w:r>
              <w:rPr>
                <w:rFonts w:hint="eastAsia" w:ascii="宋体" w:hAnsi="宋体" w:cs="宋体"/>
                <w:kern w:val="0"/>
                <w:sz w:val="24"/>
              </w:rPr>
              <w:t>∕分</w:t>
            </w:r>
          </w:p>
        </w:tc>
        <w:tc>
          <w:tcPr>
            <w:tcW w:w="1620" w:type="dxa"/>
            <w:tcBorders>
              <w:bottom w:val="single" w:color="auto" w:sz="18" w:space="0"/>
            </w:tcBorders>
            <w:vAlign w:val="center"/>
          </w:tcPr>
          <w:p>
            <w:pPr>
              <w:jc w:val="center"/>
              <w:rPr>
                <w:rFonts w:ascii="仿宋_GB2312" w:eastAsia="仿宋_GB2312"/>
                <w:kern w:val="0"/>
                <w:sz w:val="24"/>
              </w:rPr>
            </w:pPr>
            <w:r>
              <w:rPr>
                <w:rFonts w:ascii="仿宋_GB2312" w:eastAsia="仿宋_GB2312" w:cs="仿宋_GB2312"/>
                <w:kern w:val="0"/>
                <w:sz w:val="24"/>
              </w:rPr>
              <w:t>0.</w:t>
            </w:r>
            <w:r>
              <w:rPr>
                <w:rFonts w:hint="eastAsia" w:ascii="仿宋_GB2312" w:eastAsia="仿宋_GB2312" w:cs="仿宋_GB2312"/>
                <w:kern w:val="0"/>
                <w:sz w:val="24"/>
              </w:rPr>
              <w:t>3万元</w:t>
            </w:r>
            <w:r>
              <w:rPr>
                <w:rFonts w:hint="eastAsia" w:ascii="宋体" w:hAnsi="宋体" w:cs="宋体"/>
                <w:kern w:val="0"/>
                <w:sz w:val="24"/>
              </w:rPr>
              <w:t>∕分</w:t>
            </w:r>
          </w:p>
        </w:tc>
        <w:tc>
          <w:tcPr>
            <w:tcW w:w="1620" w:type="dxa"/>
            <w:tcBorders>
              <w:bottom w:val="single" w:color="auto" w:sz="18" w:space="0"/>
            </w:tcBorders>
            <w:vAlign w:val="center"/>
          </w:tcPr>
          <w:p>
            <w:pPr>
              <w:jc w:val="center"/>
              <w:rPr>
                <w:rFonts w:ascii="仿宋_GB2312" w:eastAsia="仿宋_GB2312"/>
                <w:kern w:val="0"/>
                <w:sz w:val="30"/>
                <w:szCs w:val="30"/>
              </w:rPr>
            </w:pPr>
            <w:r>
              <w:rPr>
                <w:rFonts w:ascii="仿宋_GB2312" w:eastAsia="仿宋_GB2312" w:cs="仿宋_GB2312"/>
                <w:kern w:val="0"/>
                <w:sz w:val="24"/>
              </w:rPr>
              <w:t>1</w:t>
            </w:r>
            <w:r>
              <w:rPr>
                <w:rFonts w:hint="eastAsia" w:ascii="仿宋_GB2312" w:eastAsia="仿宋_GB2312" w:cs="仿宋_GB2312"/>
                <w:kern w:val="0"/>
                <w:sz w:val="24"/>
              </w:rPr>
              <w:t>万元</w:t>
            </w:r>
            <w:r>
              <w:rPr>
                <w:rFonts w:hint="eastAsia" w:ascii="宋体" w:hAnsi="宋体" w:cs="宋体"/>
                <w:kern w:val="0"/>
                <w:sz w:val="24"/>
              </w:rPr>
              <w:t>∕分</w:t>
            </w:r>
          </w:p>
        </w:tc>
        <w:tc>
          <w:tcPr>
            <w:tcW w:w="1800" w:type="dxa"/>
            <w:tcBorders>
              <w:bottom w:val="single" w:color="auto" w:sz="18" w:space="0"/>
            </w:tcBorders>
            <w:vAlign w:val="center"/>
          </w:tcPr>
          <w:p>
            <w:pPr>
              <w:jc w:val="center"/>
              <w:rPr>
                <w:rFonts w:ascii="仿宋_GB2312" w:eastAsia="仿宋_GB2312"/>
                <w:kern w:val="0"/>
                <w:sz w:val="24"/>
              </w:rPr>
            </w:pPr>
            <w:r>
              <w:rPr>
                <w:rFonts w:hint="eastAsia" w:ascii="仿宋_GB2312" w:eastAsia="仿宋_GB2312" w:cs="仿宋_GB2312"/>
                <w:kern w:val="0"/>
                <w:sz w:val="24"/>
              </w:rPr>
              <w:t>例：得</w:t>
            </w:r>
            <w:r>
              <w:rPr>
                <w:rFonts w:ascii="仿宋_GB2312" w:eastAsia="仿宋_GB2312" w:cs="仿宋_GB2312"/>
                <w:kern w:val="0"/>
                <w:sz w:val="24"/>
              </w:rPr>
              <w:t>83</w:t>
            </w:r>
            <w:r>
              <w:rPr>
                <w:rFonts w:hint="eastAsia" w:ascii="仿宋_GB2312" w:eastAsia="仿宋_GB2312" w:cs="仿宋_GB2312"/>
                <w:kern w:val="0"/>
                <w:sz w:val="24"/>
              </w:rPr>
              <w:t>分应扣款为</w:t>
            </w:r>
            <w:r>
              <w:rPr>
                <w:rFonts w:ascii="仿宋_GB2312" w:eastAsia="仿宋_GB2312" w:cs="仿宋_GB2312"/>
                <w:kern w:val="0"/>
                <w:sz w:val="24"/>
              </w:rPr>
              <w:t>5</w:t>
            </w:r>
            <w:r>
              <w:rPr>
                <w:rFonts w:hint="eastAsia" w:ascii="仿宋_GB2312" w:eastAsia="仿宋_GB2312" w:cs="仿宋_GB2312"/>
                <w:kern w:val="0"/>
                <w:sz w:val="24"/>
              </w:rPr>
              <w:t>×</w:t>
            </w:r>
            <w:r>
              <w:rPr>
                <w:rFonts w:ascii="仿宋_GB2312" w:eastAsia="仿宋_GB2312" w:cs="仿宋_GB2312"/>
                <w:kern w:val="0"/>
                <w:sz w:val="24"/>
              </w:rPr>
              <w:t>0.</w:t>
            </w:r>
            <w:r>
              <w:rPr>
                <w:rFonts w:hint="eastAsia" w:ascii="仿宋_GB2312" w:eastAsia="仿宋_GB2312" w:cs="仿宋_GB2312"/>
                <w:kern w:val="0"/>
                <w:sz w:val="24"/>
              </w:rPr>
              <w:t>1十6×</w:t>
            </w:r>
            <w:r>
              <w:rPr>
                <w:rFonts w:ascii="仿宋_GB2312" w:eastAsia="仿宋_GB2312" w:cs="仿宋_GB2312"/>
                <w:kern w:val="0"/>
                <w:sz w:val="24"/>
              </w:rPr>
              <w:t>0.</w:t>
            </w:r>
            <w:r>
              <w:rPr>
                <w:rFonts w:hint="eastAsia" w:ascii="仿宋_GB2312" w:eastAsia="仿宋_GB2312" w:cs="仿宋_GB2312"/>
                <w:kern w:val="0"/>
                <w:sz w:val="24"/>
              </w:rPr>
              <w:t>3，合计扣款为2</w:t>
            </w:r>
            <w:r>
              <w:rPr>
                <w:rFonts w:ascii="仿宋_GB2312" w:eastAsia="仿宋_GB2312" w:cs="仿宋_GB2312"/>
                <w:kern w:val="0"/>
                <w:sz w:val="24"/>
              </w:rPr>
              <w:t>.</w:t>
            </w:r>
            <w:r>
              <w:rPr>
                <w:rFonts w:hint="eastAsia" w:ascii="仿宋_GB2312" w:eastAsia="仿宋_GB2312" w:cs="仿宋_GB2312"/>
                <w:kern w:val="0"/>
                <w:sz w:val="24"/>
              </w:rPr>
              <w:t>1万元。</w:t>
            </w:r>
          </w:p>
        </w:tc>
      </w:tr>
    </w:tbl>
    <w:p>
      <w:pPr>
        <w:jc w:val="cente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afterLines="50"/>
        <w:rPr>
          <w:rFonts w:ascii="仿宋_GB2312" w:eastAsia="仿宋_GB2312"/>
          <w:sz w:val="30"/>
          <w:szCs w:val="30"/>
        </w:rPr>
      </w:pPr>
    </w:p>
    <w:p/>
    <w:p/>
    <w:p>
      <w:pPr>
        <w:widowControl/>
        <w:jc w:val="left"/>
        <w:sectPr>
          <w:pgSz w:w="11906" w:h="16838"/>
          <w:pgMar w:top="1246" w:right="1800" w:bottom="1188" w:left="1800" w:header="851" w:footer="992" w:gutter="0"/>
          <w:cols w:space="720" w:num="1"/>
          <w:docGrid w:type="lines" w:linePitch="312" w:charSpace="0"/>
        </w:sectPr>
      </w:pPr>
    </w:p>
    <w:p>
      <w:pPr>
        <w:rPr>
          <w:rFonts w:ascii="楷体_GB2312" w:eastAsia="楷体_GB2312" w:cs="楷体_GB2312"/>
          <w:b/>
          <w:bCs/>
          <w:sz w:val="32"/>
          <w:szCs w:val="32"/>
        </w:rPr>
      </w:pPr>
      <w:r>
        <w:rPr>
          <w:rFonts w:hint="eastAsia" w:ascii="楷体_GB2312" w:eastAsia="楷体_GB2312" w:cs="楷体_GB2312"/>
          <w:b/>
          <w:bCs/>
          <w:sz w:val="32"/>
          <w:szCs w:val="32"/>
        </w:rPr>
        <w:t>附件三：</w:t>
      </w:r>
    </w:p>
    <w:p>
      <w:pPr>
        <w:rPr>
          <w:rFonts w:ascii="楷体_GB2312" w:eastAsia="楷体_GB2312" w:cs="楷体_GB2312"/>
          <w:b/>
          <w:bCs/>
          <w:sz w:val="32"/>
          <w:szCs w:val="32"/>
        </w:rPr>
      </w:pPr>
    </w:p>
    <w:p>
      <w:pPr>
        <w:rPr>
          <w:rFonts w:ascii="楷体_GB2312" w:eastAsia="楷体_GB2312"/>
          <w:b/>
          <w:bCs/>
          <w:sz w:val="32"/>
          <w:szCs w:val="32"/>
        </w:rPr>
      </w:pPr>
    </w:p>
    <w:p>
      <w:pPr>
        <w:spacing w:line="560" w:lineRule="exact"/>
        <w:jc w:val="center"/>
        <w:rPr>
          <w:rFonts w:ascii="方正姚体" w:hAnsi="华文宋体" w:eastAsia="方正姚体"/>
          <w:b/>
          <w:bCs/>
          <w:color w:val="CC0000"/>
          <w:kern w:val="0"/>
          <w:sz w:val="52"/>
          <w:szCs w:val="52"/>
        </w:rPr>
      </w:pPr>
      <w:r>
        <w:rPr>
          <w:rFonts w:hint="eastAsia" w:ascii="方正姚体" w:hAnsi="华文宋体" w:eastAsia="方正姚体" w:cs="方正姚体"/>
          <w:b/>
          <w:bCs/>
          <w:color w:val="CC0000"/>
          <w:spacing w:val="20"/>
          <w:kern w:val="0"/>
          <w:sz w:val="52"/>
          <w:szCs w:val="52"/>
        </w:rPr>
        <w:t>杭州市滨江区城市管理监管中</w:t>
      </w:r>
      <w:r>
        <w:rPr>
          <w:rFonts w:hint="eastAsia" w:ascii="方正姚体" w:hAnsi="华文宋体" w:eastAsia="方正姚体" w:cs="方正姚体"/>
          <w:b/>
          <w:bCs/>
          <w:color w:val="CC0000"/>
          <w:spacing w:val="9"/>
          <w:kern w:val="0"/>
          <w:sz w:val="52"/>
          <w:szCs w:val="52"/>
        </w:rPr>
        <w:t>心</w:t>
      </w:r>
    </w:p>
    <w:p>
      <w:pPr>
        <w:spacing w:line="560" w:lineRule="exact"/>
        <w:jc w:val="center"/>
        <w:rPr>
          <w:rFonts w:ascii="方正小标宋简体" w:eastAsia="方正小标宋简体"/>
          <w:b/>
          <w:bCs/>
          <w:sz w:val="36"/>
          <w:szCs w:val="36"/>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81280</wp:posOffset>
                </wp:positionV>
                <wp:extent cx="5640705" cy="3810"/>
                <wp:effectExtent l="0" t="0" r="0" b="0"/>
                <wp:wrapNone/>
                <wp:docPr id="2" name="直线 2"/>
                <wp:cNvGraphicFramePr/>
                <a:graphic xmlns:a="http://schemas.openxmlformats.org/drawingml/2006/main">
                  <a:graphicData uri="http://schemas.microsoft.com/office/word/2010/wordprocessingShape">
                    <wps:wsp>
                      <wps:cNvCnPr/>
                      <wps:spPr>
                        <a:xfrm flipV="1">
                          <a:off x="0" y="0"/>
                          <a:ext cx="5640705" cy="3810"/>
                        </a:xfrm>
                        <a:prstGeom prst="line">
                          <a:avLst/>
                        </a:prstGeom>
                        <a:ln w="28575" cap="flat" cmpd="sng">
                          <a:solidFill>
                            <a:srgbClr val="CC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6.4pt;height:0.3pt;width:444.15pt;z-index:251658240;mso-width-relative:page;mso-height-relative:page;" filled="f" stroked="t" coordsize="21600,21600" o:gfxdata="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ueRq1gAAAAYBAAAPAAAAAAAAAAEAIAAAACIAAABkcnMvZG93bnJldi54bWxQSwEC&#10;FAAUAAAACACHTuJAuEeha/YBAADpAwAADgAAAAAAAAABACAAAAAlAQAAZHJzL2Uyb0RvYy54bWxQ&#10;SwUGAAAAAAYABgBZAQAAjQUAAAAA&#10;">
                <v:fill on="f" focussize="0,0"/>
                <v:stroke weight="2.25pt" color="#CC0000" joinstyle="round"/>
                <v:imagedata o:title=""/>
                <o:lock v:ext="edit" aspectratio="f"/>
              </v:line>
            </w:pict>
          </mc:Fallback>
        </mc:AlternateContent>
      </w:r>
    </w:p>
    <w:p>
      <w:pPr>
        <w:jc w:val="center"/>
        <w:rPr>
          <w:sz w:val="36"/>
          <w:szCs w:val="36"/>
        </w:rPr>
      </w:pPr>
      <w:r>
        <w:rPr>
          <w:rFonts w:hint="eastAsia" w:cs="宋体"/>
          <w:sz w:val="36"/>
          <w:szCs w:val="36"/>
        </w:rPr>
        <w:t>月份市政管网清淤考核通报</w:t>
      </w:r>
    </w:p>
    <w:p>
      <w:pPr>
        <w:jc w:val="center"/>
        <w:rPr>
          <w:sz w:val="36"/>
          <w:szCs w:val="36"/>
        </w:rPr>
      </w:pPr>
    </w:p>
    <w:p>
      <w:pPr>
        <w:rPr>
          <w:rFonts w:ascii="仿宋_GB2312" w:eastAsia="仿宋_GB2312"/>
          <w:sz w:val="30"/>
          <w:szCs w:val="30"/>
        </w:rPr>
      </w:pPr>
      <w:r>
        <w:rPr>
          <w:rFonts w:hint="eastAsia" w:ascii="仿宋_GB2312" w:eastAsia="仿宋_GB2312" w:cs="仿宋_GB2312"/>
          <w:sz w:val="30"/>
          <w:szCs w:val="30"/>
        </w:rPr>
        <w:t>各管网清淤单位：</w:t>
      </w:r>
    </w:p>
    <w:p>
      <w:pPr>
        <w:ind w:firstLine="600"/>
        <w:rPr>
          <w:rFonts w:ascii="仿宋_GB2312" w:eastAsia="仿宋_GB2312"/>
          <w:sz w:val="30"/>
          <w:szCs w:val="30"/>
        </w:rPr>
      </w:pPr>
      <w:r>
        <w:rPr>
          <w:rFonts w:hint="eastAsia" w:ascii="仿宋_GB2312" w:eastAsia="仿宋_GB2312" w:cs="仿宋_GB2312"/>
          <w:sz w:val="30"/>
          <w:szCs w:val="30"/>
        </w:rPr>
        <w:t>月份市政管网清淤按照《滨江区市政管网清淤考核办法》的考核内容，各单位得分情况如下：第一名得分为分，第二名得分为分，第三名得分为分，第四名得分为分，按照《滨江区市政管网清淤考核办法》的要求，分别扣除市政管网清淤费元。</w:t>
      </w:r>
    </w:p>
    <w:p>
      <w:pPr>
        <w:ind w:firstLine="600"/>
        <w:rPr>
          <w:rFonts w:ascii="仿宋_GB2312" w:eastAsia="仿宋_GB2312"/>
          <w:sz w:val="30"/>
          <w:szCs w:val="30"/>
        </w:rPr>
      </w:pPr>
      <w:r>
        <w:rPr>
          <w:rFonts w:hint="eastAsia" w:ascii="仿宋_GB2312" w:eastAsia="仿宋_GB2312" w:cs="仿宋_GB2312"/>
          <w:sz w:val="30"/>
          <w:szCs w:val="30"/>
        </w:rPr>
        <w:t>附：月份市政管网清淤考核扣分明细表</w:t>
      </w:r>
    </w:p>
    <w:p>
      <w:pPr>
        <w:ind w:firstLine="600"/>
        <w:rPr>
          <w:rFonts w:ascii="仿宋_GB2312" w:eastAsia="仿宋_GB2312"/>
          <w:sz w:val="30"/>
          <w:szCs w:val="30"/>
        </w:rPr>
      </w:pPr>
    </w:p>
    <w:p>
      <w:pPr>
        <w:ind w:firstLine="600"/>
        <w:rPr>
          <w:rFonts w:ascii="仿宋_GB2312" w:eastAsia="仿宋_GB2312"/>
          <w:sz w:val="30"/>
          <w:szCs w:val="30"/>
        </w:rPr>
      </w:pPr>
    </w:p>
    <w:p>
      <w:pPr>
        <w:ind w:firstLine="600"/>
        <w:rPr>
          <w:rFonts w:ascii="仿宋_GB2312" w:eastAsia="仿宋_GB2312"/>
          <w:sz w:val="30"/>
          <w:szCs w:val="30"/>
        </w:rPr>
      </w:pPr>
    </w:p>
    <w:p>
      <w:pPr>
        <w:ind w:firstLine="600"/>
        <w:rPr>
          <w:rFonts w:ascii="仿宋_GB2312" w:eastAsia="仿宋_GB2312"/>
          <w:sz w:val="30"/>
          <w:szCs w:val="30"/>
        </w:rPr>
      </w:pPr>
      <w:r>
        <w:rPr>
          <w:rFonts w:hint="eastAsia" w:ascii="仿宋_GB2312" w:eastAsia="仿宋_GB2312" w:cs="仿宋_GB2312"/>
          <w:sz w:val="30"/>
          <w:szCs w:val="30"/>
        </w:rPr>
        <w:t>滨江区城市管理监管中心</w:t>
      </w:r>
    </w:p>
    <w:p>
      <w:pPr>
        <w:ind w:firstLine="600"/>
        <w:rPr>
          <w:rFonts w:ascii="仿宋_GB2312" w:eastAsia="仿宋_GB2312"/>
          <w:sz w:val="30"/>
          <w:szCs w:val="30"/>
        </w:rPr>
      </w:pPr>
      <w:r>
        <w:rPr>
          <w:rFonts w:hint="eastAsia" w:ascii="仿宋_GB2312" w:eastAsia="仿宋_GB2312" w:cs="仿宋_GB2312"/>
          <w:sz w:val="30"/>
          <w:szCs w:val="30"/>
        </w:rPr>
        <w:t>年月日</w:t>
      </w:r>
    </w:p>
    <w:p>
      <w:pPr>
        <w:spacing w:line="360" w:lineRule="exact"/>
        <w:rPr>
          <w:rFonts w:ascii="小标宋" w:eastAsia="小标宋"/>
          <w:b/>
          <w:bCs/>
          <w:color w:val="CC0000"/>
          <w:sz w:val="84"/>
          <w:szCs w:val="84"/>
          <w:u w:val="single"/>
        </w:rPr>
      </w:pPr>
    </w:p>
    <w:p>
      <w:pPr>
        <w:adjustRightInd w:val="0"/>
        <w:snapToGrid w:val="0"/>
        <w:spacing w:beforeLines="50" w:afterLines="50" w:line="360" w:lineRule="auto"/>
        <w:jc w:val="center"/>
        <w:outlineLvl w:val="0"/>
        <w:rPr>
          <w:rFonts w:ascii="宋体" w:hAnsi="宋体" w:cs="宋体"/>
          <w:sz w:val="24"/>
        </w:rPr>
      </w:pPr>
    </w:p>
    <w:p>
      <w:pPr>
        <w:adjustRightInd w:val="0"/>
        <w:snapToGrid w:val="0"/>
        <w:spacing w:beforeLines="50" w:afterLines="50" w:line="360" w:lineRule="auto"/>
        <w:jc w:val="center"/>
        <w:outlineLvl w:val="0"/>
        <w:rPr>
          <w:rFonts w:ascii="宋体" w:hAnsi="宋体" w:cs="宋体"/>
          <w:sz w:val="36"/>
        </w:rPr>
      </w:pPr>
      <w:r>
        <w:rPr>
          <w:rFonts w:hint="eastAsia" w:ascii="宋体" w:hAnsi="宋体" w:cs="宋体"/>
          <w:sz w:val="24"/>
        </w:rPr>
        <w:br w:type="page"/>
      </w:r>
      <w:r>
        <w:rPr>
          <w:rFonts w:hint="eastAsia" w:ascii="宋体" w:hAnsi="宋体" w:cs="宋体"/>
          <w:b/>
          <w:sz w:val="30"/>
          <w:szCs w:val="30"/>
        </w:rPr>
        <w:t>第四部分  合同条款</w:t>
      </w:r>
      <w:bookmarkEnd w:id="39"/>
      <w:bookmarkEnd w:id="40"/>
      <w:bookmarkEnd w:id="41"/>
    </w:p>
    <w:p>
      <w:pPr>
        <w:spacing w:line="480" w:lineRule="auto"/>
        <w:jc w:val="center"/>
        <w:rPr>
          <w:rFonts w:ascii="宋体" w:hAnsi="宋体"/>
          <w:sz w:val="30"/>
          <w:szCs w:val="30"/>
        </w:rPr>
      </w:pPr>
      <w:bookmarkStart w:id="43" w:name="_Toc328381300"/>
      <w:bookmarkStart w:id="44" w:name="_Toc350327365"/>
      <w:bookmarkStart w:id="45" w:name="_Toc326765771"/>
      <w:bookmarkStart w:id="46" w:name="_Toc349721554"/>
      <w:bookmarkStart w:id="47" w:name="_Toc339872468"/>
      <w:bookmarkStart w:id="48" w:name="_Toc251566661"/>
      <w:bookmarkStart w:id="49" w:name="_Toc249760790"/>
      <w:r>
        <w:rPr>
          <w:rFonts w:hint="eastAsia" w:ascii="宋体" w:hAnsi="宋体"/>
          <w:b/>
          <w:sz w:val="30"/>
          <w:szCs w:val="30"/>
        </w:rPr>
        <w:t>市政管网养护项目合同(样本)</w:t>
      </w:r>
    </w:p>
    <w:p>
      <w:pPr>
        <w:pStyle w:val="24"/>
        <w:snapToGrid w:val="0"/>
        <w:rPr>
          <w:rFonts w:ascii="宋体" w:hAnsi="宋体" w:eastAsia="宋体" w:cs="宋体"/>
        </w:rPr>
      </w:pPr>
      <w:r>
        <w:rPr>
          <w:rFonts w:hint="eastAsia" w:ascii="宋体" w:hAnsi="宋体" w:eastAsia="宋体" w:cs="宋体"/>
        </w:rPr>
        <w:t>甲方：杭州市滨江区城市管理局</w:t>
      </w:r>
    </w:p>
    <w:p>
      <w:pPr>
        <w:pStyle w:val="24"/>
        <w:snapToGrid w:val="0"/>
        <w:rPr>
          <w:rFonts w:ascii="宋体" w:hAnsi="宋体" w:eastAsia="宋体" w:cs="宋体"/>
        </w:rPr>
      </w:pPr>
      <w:r>
        <w:rPr>
          <w:rFonts w:hint="eastAsia" w:ascii="宋体" w:hAnsi="宋体" w:eastAsia="宋体" w:cs="宋体"/>
        </w:rPr>
        <w:t xml:space="preserve">乙方： </w:t>
      </w:r>
    </w:p>
    <w:p>
      <w:pPr>
        <w:pStyle w:val="35"/>
        <w:spacing w:line="400" w:lineRule="exact"/>
        <w:ind w:firstLine="480"/>
        <w:rPr>
          <w:rFonts w:ascii="宋体" w:hAnsi="宋体" w:cs="宋体"/>
          <w:sz w:val="21"/>
          <w:szCs w:val="21"/>
        </w:rPr>
      </w:pPr>
    </w:p>
    <w:p>
      <w:pPr>
        <w:spacing w:line="360"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(项目名称)中所需</w:t>
      </w:r>
      <w:r>
        <w:rPr>
          <w:rFonts w:hint="eastAsia" w:ascii="宋体" w:hAnsi="宋体" w:cs="宋体"/>
          <w:szCs w:val="21"/>
          <w:u w:val="single"/>
        </w:rPr>
        <w:t xml:space="preserve"> 　　  　</w:t>
      </w:r>
      <w:r>
        <w:rPr>
          <w:rFonts w:hint="eastAsia" w:ascii="宋体" w:hAnsi="宋体" w:cs="宋体"/>
          <w:szCs w:val="21"/>
        </w:rPr>
        <w:t>(标项内容)经(采购人)以招标文件（招标项目编号：）进行公开招标。经评标委员会评定</w:t>
      </w:r>
      <w:r>
        <w:rPr>
          <w:rFonts w:hint="eastAsia" w:ascii="宋体" w:hAnsi="宋体" w:cs="宋体"/>
          <w:szCs w:val="21"/>
          <w:u w:val="single"/>
        </w:rPr>
        <w:t xml:space="preserve"> 　　　　　  </w:t>
      </w:r>
      <w:r>
        <w:rPr>
          <w:rFonts w:hint="eastAsia" w:ascii="宋体" w:hAnsi="宋体" w:cs="宋体"/>
          <w:szCs w:val="21"/>
        </w:rPr>
        <w:t>(乙方)为中标人。甲、乙双方依据《中华人民共和国政府采购法》、《中华人民共和国合同法》，在平等自愿的基础上，同意按照下面的条款和条件，签署本合同。</w:t>
      </w:r>
    </w:p>
    <w:p>
      <w:pPr>
        <w:spacing w:line="360" w:lineRule="auto"/>
        <w:ind w:firstLine="420" w:firstLineChars="200"/>
        <w:rPr>
          <w:rFonts w:ascii="宋体" w:hAnsi="宋体" w:cs="宋体"/>
          <w:szCs w:val="21"/>
        </w:rPr>
      </w:pPr>
      <w:r>
        <w:rPr>
          <w:rFonts w:hint="eastAsia" w:ascii="宋体" w:hAnsi="宋体" w:cs="宋体"/>
          <w:szCs w:val="21"/>
        </w:rPr>
        <w:t>下列文件构成本合同的组成部分，应该认为是一个整体，彼此相互解释，相互补充。组成合同的多个文件的优先支配地位的次序如下：</w:t>
      </w:r>
    </w:p>
    <w:p>
      <w:pPr>
        <w:spacing w:line="360" w:lineRule="auto"/>
        <w:ind w:firstLine="420" w:firstLineChars="200"/>
        <w:rPr>
          <w:rFonts w:ascii="宋体" w:hAnsi="宋体" w:cs="宋体"/>
          <w:szCs w:val="21"/>
        </w:rPr>
      </w:pPr>
      <w:r>
        <w:rPr>
          <w:rFonts w:hint="eastAsia" w:ascii="宋体" w:hAnsi="宋体" w:cs="宋体"/>
          <w:szCs w:val="21"/>
        </w:rPr>
        <w:t>a.</w:t>
      </w:r>
      <w:r>
        <w:rPr>
          <w:rFonts w:hint="eastAsia" w:ascii="宋体" w:hAnsi="宋体" w:cs="宋体"/>
          <w:szCs w:val="21"/>
        </w:rPr>
        <w:tab/>
      </w:r>
      <w:r>
        <w:rPr>
          <w:rFonts w:hint="eastAsia" w:ascii="宋体" w:hAnsi="宋体" w:cs="宋体"/>
          <w:szCs w:val="21"/>
        </w:rPr>
        <w:t xml:space="preserve"> 本合同书　</w:t>
      </w:r>
    </w:p>
    <w:p>
      <w:pPr>
        <w:spacing w:line="360" w:lineRule="auto"/>
        <w:ind w:firstLine="420" w:firstLineChars="200"/>
        <w:rPr>
          <w:rFonts w:ascii="宋体" w:hAnsi="宋体" w:cs="宋体"/>
          <w:szCs w:val="21"/>
        </w:rPr>
      </w:pPr>
      <w:r>
        <w:rPr>
          <w:rFonts w:hint="eastAsia" w:ascii="宋体" w:hAnsi="宋体" w:cs="宋体"/>
          <w:szCs w:val="21"/>
        </w:rPr>
        <w:t>b.</w:t>
      </w:r>
      <w:r>
        <w:rPr>
          <w:rFonts w:hint="eastAsia" w:ascii="宋体" w:hAnsi="宋体" w:cs="宋体"/>
          <w:szCs w:val="21"/>
        </w:rPr>
        <w:tab/>
      </w:r>
      <w:r>
        <w:rPr>
          <w:rFonts w:hint="eastAsia" w:ascii="宋体" w:hAnsi="宋体" w:cs="宋体"/>
          <w:szCs w:val="21"/>
        </w:rPr>
        <w:t xml:space="preserve"> 中标通知书</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c.</w:t>
      </w:r>
      <w:r>
        <w:rPr>
          <w:rFonts w:hint="eastAsia" w:ascii="宋体" w:hAnsi="宋体" w:cs="宋体"/>
          <w:szCs w:val="21"/>
        </w:rPr>
        <w:tab/>
      </w:r>
      <w:r>
        <w:rPr>
          <w:rFonts w:hint="eastAsia" w:ascii="宋体" w:hAnsi="宋体" w:cs="宋体"/>
          <w:szCs w:val="21"/>
        </w:rPr>
        <w:t xml:space="preserve"> 投标文件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(含询标澄清文件)</w:t>
      </w:r>
    </w:p>
    <w:p>
      <w:pPr>
        <w:spacing w:line="360" w:lineRule="auto"/>
        <w:ind w:firstLine="420" w:firstLineChars="200"/>
        <w:rPr>
          <w:rFonts w:ascii="宋体" w:hAnsi="宋体" w:cs="宋体"/>
          <w:szCs w:val="21"/>
        </w:rPr>
      </w:pPr>
      <w:r>
        <w:rPr>
          <w:rFonts w:hint="eastAsia" w:ascii="宋体" w:hAnsi="宋体" w:cs="宋体"/>
          <w:szCs w:val="21"/>
        </w:rPr>
        <w:t>d.</w:t>
      </w:r>
      <w:r>
        <w:rPr>
          <w:rFonts w:hint="eastAsia" w:ascii="宋体" w:hAnsi="宋体" w:cs="宋体"/>
          <w:szCs w:val="21"/>
        </w:rPr>
        <w:tab/>
      </w:r>
      <w:r>
        <w:rPr>
          <w:rFonts w:hint="eastAsia" w:ascii="宋体" w:hAnsi="宋体" w:cs="宋体"/>
          <w:szCs w:val="21"/>
        </w:rPr>
        <w:t xml:space="preserve"> 招标文件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(含招标文件补充)</w:t>
      </w:r>
    </w:p>
    <w:p>
      <w:pPr>
        <w:spacing w:line="400" w:lineRule="exact"/>
        <w:ind w:firstLine="420" w:firstLineChars="200"/>
        <w:rPr>
          <w:rFonts w:ascii="宋体" w:hAnsi="宋体" w:cs="宋体"/>
          <w:szCs w:val="21"/>
        </w:rPr>
      </w:pPr>
      <w:r>
        <w:rPr>
          <w:rFonts w:hint="eastAsia" w:ascii="宋体" w:hAnsi="宋体" w:cs="宋体"/>
          <w:szCs w:val="21"/>
        </w:rPr>
        <w:t>一、养护范围：</w:t>
      </w:r>
    </w:p>
    <w:p>
      <w:pPr>
        <w:spacing w:line="400" w:lineRule="exact"/>
        <w:ind w:firstLine="420" w:firstLineChars="200"/>
        <w:rPr>
          <w:rFonts w:ascii="宋体" w:hAnsi="宋体" w:cs="宋体"/>
          <w:bCs/>
          <w:szCs w:val="21"/>
        </w:rPr>
      </w:pPr>
      <w:r>
        <w:rPr>
          <w:rFonts w:hint="eastAsia" w:ascii="宋体" w:hAnsi="宋体" w:cs="宋体"/>
          <w:szCs w:val="21"/>
        </w:rPr>
        <w:t>1、项目名称：</w:t>
      </w:r>
      <w:r>
        <w:rPr>
          <w:rFonts w:hint="eastAsia" w:ascii="宋体" w:hAnsi="宋体" w:cs="宋体"/>
          <w:szCs w:val="21"/>
          <w:u w:val="single"/>
        </w:rPr>
        <w:t>2021-2023年滨江区市政雨水管网养护项目</w:t>
      </w:r>
    </w:p>
    <w:p>
      <w:pPr>
        <w:spacing w:line="400" w:lineRule="exact"/>
        <w:ind w:firstLine="420" w:firstLineChars="200"/>
        <w:rPr>
          <w:rFonts w:ascii="宋体" w:hAnsi="宋体" w:cs="宋体"/>
          <w:bCs/>
          <w:szCs w:val="21"/>
          <w:u w:val="single"/>
        </w:rPr>
      </w:pPr>
      <w:r>
        <w:rPr>
          <w:rFonts w:hint="eastAsia" w:ascii="宋体" w:hAnsi="宋体" w:cs="宋体"/>
          <w:bCs/>
          <w:szCs w:val="21"/>
        </w:rPr>
        <w:t>2、业主单位：</w:t>
      </w:r>
      <w:r>
        <w:rPr>
          <w:rFonts w:hint="eastAsia" w:ascii="宋体" w:hAnsi="宋体" w:cs="宋体"/>
          <w:bCs/>
          <w:szCs w:val="21"/>
          <w:u w:val="single"/>
        </w:rPr>
        <w:t>杭州市滨江区城市管理局</w:t>
      </w:r>
    </w:p>
    <w:p>
      <w:pPr>
        <w:spacing w:line="400" w:lineRule="exact"/>
        <w:rPr>
          <w:rFonts w:ascii="宋体" w:hAnsi="宋体" w:cs="宋体"/>
          <w:bCs/>
          <w:szCs w:val="21"/>
          <w:u w:val="single"/>
        </w:rPr>
      </w:pPr>
      <w:r>
        <w:rPr>
          <w:rFonts w:hint="eastAsia" w:ascii="宋体" w:hAnsi="宋体" w:cs="宋体"/>
          <w:bCs/>
          <w:szCs w:val="21"/>
        </w:rPr>
        <w:t xml:space="preserve">    3、养护地点：</w:t>
      </w:r>
      <w:r>
        <w:rPr>
          <w:rFonts w:hint="eastAsia" w:ascii="宋体" w:hAnsi="宋体" w:cs="宋体"/>
          <w:bCs/>
          <w:szCs w:val="21"/>
          <w:u w:val="single"/>
        </w:rPr>
        <w:t>杭州市滨江区</w:t>
      </w:r>
    </w:p>
    <w:p>
      <w:pPr>
        <w:spacing w:line="400" w:lineRule="exact"/>
        <w:ind w:firstLine="420" w:firstLineChars="200"/>
        <w:rPr>
          <w:rFonts w:ascii="宋体" w:hAnsi="宋体" w:cs="宋体"/>
          <w:szCs w:val="21"/>
        </w:rPr>
      </w:pPr>
      <w:r>
        <w:rPr>
          <w:rFonts w:hint="eastAsia" w:ascii="宋体" w:hAnsi="宋体" w:cs="宋体"/>
          <w:bCs/>
          <w:szCs w:val="21"/>
        </w:rPr>
        <w:t>4、养护范围：</w:t>
      </w:r>
      <w:r>
        <w:rPr>
          <w:rFonts w:hint="eastAsia" w:ascii="宋体" w:hAnsi="宋体" w:cs="宋体"/>
          <w:szCs w:val="21"/>
        </w:rPr>
        <w:t>包括</w:t>
      </w:r>
      <w:r>
        <w:rPr>
          <w:rFonts w:hint="eastAsia" w:ascii="宋体" w:hAnsi="宋体"/>
          <w:bCs/>
          <w:szCs w:val="21"/>
        </w:rPr>
        <w:t>市政管网雨水主、支管、预留管疏通养护；雨水检查井（含预留井）、雨水收集井清捞、吸淤；检查井防坠网维护；管线巡查；以及做好城区防汛排涝应急工作、清淤后的淤泥运输处置等。</w:t>
      </w:r>
      <w:r>
        <w:rPr>
          <w:rFonts w:hint="eastAsia" w:ascii="宋体" w:hAnsi="宋体" w:cs="宋体"/>
          <w:szCs w:val="21"/>
        </w:rPr>
        <w:t>（详见附件）</w:t>
      </w:r>
    </w:p>
    <w:p>
      <w:pPr>
        <w:spacing w:line="400" w:lineRule="exact"/>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szCs w:val="21"/>
        </w:rPr>
        <w:t>养护期内如因工程建设需要，造成实际养护范围变化，以实际为准，合同价格不变。</w:t>
      </w:r>
    </w:p>
    <w:p>
      <w:pPr>
        <w:spacing w:line="400" w:lineRule="exact"/>
        <w:ind w:firstLine="420" w:firstLineChars="200"/>
        <w:rPr>
          <w:rFonts w:ascii="宋体" w:hAnsi="宋体" w:cs="宋体"/>
          <w:bCs/>
          <w:szCs w:val="21"/>
        </w:rPr>
      </w:pPr>
      <w:r>
        <w:rPr>
          <w:rFonts w:hint="eastAsia" w:ascii="宋体" w:hAnsi="宋体" w:cs="宋体"/>
          <w:bCs/>
          <w:szCs w:val="21"/>
        </w:rPr>
        <w:t>5、验收标准：《杭州市政府采购履约验收暂行办法》、《杭州市市政设施养护规程》、《杭州市市政设施管理条例》、《杭州市区管市政设施检查考核办法》、《滨江区市政管网清淤考核办法》，并确保在国家、省、市各类创建检查中不失责任分。</w:t>
      </w:r>
    </w:p>
    <w:p>
      <w:pPr>
        <w:spacing w:line="400" w:lineRule="exact"/>
        <w:ind w:firstLine="420" w:firstLineChars="200"/>
        <w:rPr>
          <w:rFonts w:ascii="宋体" w:hAnsi="宋体" w:cs="宋体"/>
          <w:bCs/>
          <w:szCs w:val="21"/>
        </w:rPr>
      </w:pPr>
      <w:r>
        <w:rPr>
          <w:rFonts w:hint="eastAsia" w:ascii="宋体" w:hAnsi="宋体" w:cs="宋体"/>
          <w:bCs/>
          <w:szCs w:val="21"/>
        </w:rPr>
        <w:t>二、养护管理要点及作业质量要求：</w:t>
      </w:r>
    </w:p>
    <w:p>
      <w:pPr>
        <w:tabs>
          <w:tab w:val="left" w:pos="2101"/>
        </w:tabs>
        <w:spacing w:line="460" w:lineRule="exact"/>
        <w:rPr>
          <w:rFonts w:ascii="宋体" w:hAnsi="宋体" w:cs="Arial"/>
          <w:b/>
          <w:color w:val="000000"/>
          <w:sz w:val="22"/>
          <w:szCs w:val="22"/>
        </w:rPr>
      </w:pPr>
      <w:r>
        <w:rPr>
          <w:rFonts w:hint="eastAsia" w:ascii="宋体" w:hAnsi="宋体" w:cs="Arial"/>
          <w:b/>
          <w:color w:val="000000"/>
          <w:sz w:val="22"/>
          <w:szCs w:val="22"/>
        </w:rPr>
        <w:t>（一）养护作业标准</w:t>
      </w:r>
    </w:p>
    <w:p>
      <w:pPr>
        <w:spacing w:line="400" w:lineRule="exact"/>
        <w:ind w:firstLine="420" w:firstLineChars="200"/>
        <w:rPr>
          <w:rFonts w:ascii="宋体" w:hAnsi="宋体" w:cs="宋体"/>
          <w:szCs w:val="21"/>
        </w:rPr>
      </w:pPr>
      <w:r>
        <w:rPr>
          <w:rFonts w:hint="eastAsia" w:ascii="宋体" w:hAnsi="宋体" w:cs="宋体"/>
          <w:szCs w:val="21"/>
        </w:rPr>
        <w:t>1、根据《杭州市市政设施管理条例》和《杭州市区属市政设施考核办法》外，另外要求：清淤养护范围内所有检查井及雨水口井清淤要求服务期内每年全面清淤不少于4次；雨水管管道清淤疏通管径＜300要求服务期内每年全面清淤不少于4次，管径300-600要求服务期内每年全面清淤不少于2次，管径600-1000要求服务期内每年全面清淤不少于1次，管径大于1500要求服务期内每年全面清淤不少于0.5次。</w:t>
      </w:r>
    </w:p>
    <w:p>
      <w:pPr>
        <w:spacing w:line="400" w:lineRule="exact"/>
        <w:ind w:firstLine="420" w:firstLineChars="200"/>
        <w:rPr>
          <w:rFonts w:ascii="宋体" w:hAnsi="宋体" w:cs="宋体"/>
          <w:szCs w:val="21"/>
        </w:rPr>
      </w:pPr>
      <w:r>
        <w:rPr>
          <w:rFonts w:hint="eastAsia" w:ascii="宋体" w:hAnsi="宋体" w:cs="宋体"/>
          <w:szCs w:val="21"/>
        </w:rPr>
        <w:t>2、雨水支管、预留管、排水沟渠：清淤、疏通；经全面清淤后的管渠淤泥沉积深度不超过管底 6cm，支管畅通，做到雨污水分流。</w:t>
      </w:r>
    </w:p>
    <w:p>
      <w:pPr>
        <w:spacing w:line="400" w:lineRule="exact"/>
        <w:ind w:firstLine="420" w:firstLineChars="200"/>
        <w:rPr>
          <w:rFonts w:ascii="宋体" w:hAnsi="宋体" w:cs="宋体"/>
          <w:szCs w:val="21"/>
        </w:rPr>
      </w:pPr>
      <w:r>
        <w:rPr>
          <w:rFonts w:hint="eastAsia" w:ascii="宋体" w:hAnsi="宋体" w:cs="宋体"/>
          <w:szCs w:val="21"/>
        </w:rPr>
        <w:t>3、雨水检查井（含交汇井、预留井、排河口管理井）：清捞、疏挖，雨水收集井清捞；井内清洁，无浮渣，无破损、裂缝；检查井有沉泥槽的淤泥沉积深度不超过管底 5cm，无沉泥槽的淤泥沉积深度不超过管底 6cm；雨水收集井（边井）淤泥沉积深度不超过管底 2cm；安全防护网设置到位。</w:t>
      </w:r>
    </w:p>
    <w:p>
      <w:pPr>
        <w:spacing w:line="400" w:lineRule="exact"/>
        <w:ind w:firstLine="420" w:firstLineChars="200"/>
        <w:rPr>
          <w:rFonts w:ascii="宋体" w:hAnsi="宋体" w:cs="宋体"/>
          <w:szCs w:val="21"/>
        </w:rPr>
      </w:pPr>
      <w:r>
        <w:rPr>
          <w:rFonts w:hint="eastAsia" w:ascii="宋体" w:hAnsi="宋体" w:cs="宋体"/>
          <w:szCs w:val="21"/>
        </w:rPr>
        <w:t>4、养护单位须派专人进行日常管网巡查、养护每年不少于20次（包含检查井盖是否有破损丢失，是否有管线周边施工偷排泥浆水进入管线内，是否有企业或个人私自接管；是否有未按要求排放水源情况，是否有其他异常情况等，出现情况均须24小时内向采购人汇报），及时发现并处置管网漏水、堵塞、脱节、井盖破损等情况；养护范围内重点工地（根据采购人提供名单）养护单位需配备专人监督工地排水行为，发现异常情况的需及时向采购人汇报。</w:t>
      </w:r>
    </w:p>
    <w:p>
      <w:pPr>
        <w:spacing w:line="400" w:lineRule="exact"/>
        <w:ind w:firstLine="420" w:firstLineChars="200"/>
        <w:rPr>
          <w:rFonts w:ascii="宋体" w:hAnsi="宋体" w:cs="宋体"/>
          <w:szCs w:val="21"/>
        </w:rPr>
      </w:pPr>
      <w:r>
        <w:rPr>
          <w:rFonts w:hint="eastAsia" w:ascii="宋体" w:hAnsi="宋体" w:cs="宋体"/>
          <w:szCs w:val="21"/>
        </w:rPr>
        <w:t>5、养护单位需在作业前报采购人书面同意后进行管线疏通清淤工作的实施，对于易堵塞淤积的管段或采购人指定的一些特定管段需确保畅通；发现违法侵害管网设施的行为立即上报，发现路面沉降，管网设施受损等状况 24 小时内上报。</w:t>
      </w:r>
    </w:p>
    <w:p>
      <w:pPr>
        <w:spacing w:line="400" w:lineRule="exact"/>
        <w:ind w:firstLine="420" w:firstLineChars="200"/>
        <w:rPr>
          <w:rFonts w:ascii="宋体" w:hAnsi="宋体" w:cs="宋体"/>
          <w:szCs w:val="21"/>
        </w:rPr>
      </w:pPr>
      <w:r>
        <w:rPr>
          <w:rFonts w:hint="eastAsia" w:ascii="宋体" w:hAnsi="宋体" w:cs="宋体"/>
          <w:szCs w:val="21"/>
        </w:rPr>
        <w:t>6、清疏作业要根据管网走向由远到近（从最上游的雨水收集井、检查井清疏至排河口）， 先边井，再支管，后主管、主井，逐步清挖清疏，依次作业，确保路段管网排水通畅、有效，不出现积水、积涝。</w:t>
      </w:r>
    </w:p>
    <w:p>
      <w:pPr>
        <w:spacing w:line="400" w:lineRule="exact"/>
        <w:ind w:firstLine="420" w:firstLineChars="200"/>
        <w:rPr>
          <w:rFonts w:ascii="宋体" w:hAnsi="宋体" w:cs="宋体"/>
          <w:szCs w:val="21"/>
        </w:rPr>
      </w:pPr>
      <w:r>
        <w:rPr>
          <w:rFonts w:hint="eastAsia" w:ascii="宋体" w:hAnsi="宋体" w:cs="宋体"/>
          <w:szCs w:val="21"/>
        </w:rPr>
        <w:t>7、养护单位要具备完成清疏养护服务必须的设备和作业人员：至少配备 1 辆重型专项作业车（多功能疏通车）、2辆工具车、1 辆巡逻车，至少配备15 名以上专职作业人员（管理人员、安全监管人员、作业员），以及充足的交通警示标志和施工作业围栏，一定数量的抽风机、气体检测仪器、通讯设备等必须的设备工具。所有投入本项目的设备，只能在本项目中使用，且车辆按采购人要求装置GPS。</w:t>
      </w:r>
    </w:p>
    <w:p>
      <w:pPr>
        <w:spacing w:line="400" w:lineRule="exact"/>
        <w:ind w:firstLine="420" w:firstLineChars="200"/>
        <w:rPr>
          <w:rFonts w:ascii="宋体" w:hAnsi="宋体" w:cs="宋体"/>
          <w:szCs w:val="21"/>
        </w:rPr>
      </w:pPr>
      <w:r>
        <w:rPr>
          <w:rFonts w:hint="eastAsia" w:ascii="宋体" w:hAnsi="宋体" w:cs="宋体"/>
          <w:szCs w:val="21"/>
        </w:rPr>
        <w:t>8、在进行雨水井、检查井等清淤作业时，必须按规定实行安全维护，维护设施至少在来车方向需要警示牌1块、道路指向牌1块、警示桶2只，设立醒目标志，作业人员必须服装整齐，标志明显，操作流程规范，做好交通疏导，保证车辆行人安全，避免安全事故的发生，自觉接受管理部门、各级领导和社会群众监督。</w:t>
      </w:r>
    </w:p>
    <w:p>
      <w:pPr>
        <w:spacing w:line="400" w:lineRule="exact"/>
        <w:ind w:firstLine="420" w:firstLineChars="200"/>
        <w:rPr>
          <w:rFonts w:ascii="宋体" w:hAnsi="宋体" w:cs="宋体"/>
          <w:szCs w:val="21"/>
        </w:rPr>
      </w:pPr>
      <w:r>
        <w:rPr>
          <w:rFonts w:hint="eastAsia" w:ascii="宋体" w:hAnsi="宋体" w:cs="宋体"/>
          <w:szCs w:val="21"/>
        </w:rPr>
        <w:t>9、清疏作业中产生的淤泥和垃圾及时清理，倾倒到固定合法消纳场所，不能影响现场周边环境，避免二次污染，由此引发的市民投诉或处罚由养护单位承担责任和相关费用。</w:t>
      </w:r>
    </w:p>
    <w:p>
      <w:pPr>
        <w:spacing w:line="400" w:lineRule="exact"/>
        <w:ind w:firstLine="420" w:firstLineChars="200"/>
        <w:rPr>
          <w:rFonts w:ascii="宋体" w:hAnsi="宋体" w:cs="宋体"/>
          <w:szCs w:val="21"/>
        </w:rPr>
      </w:pPr>
      <w:r>
        <w:rPr>
          <w:rFonts w:hint="eastAsia" w:ascii="宋体" w:hAnsi="宋体" w:cs="宋体"/>
          <w:szCs w:val="21"/>
        </w:rPr>
        <w:t>10、清淤作业完成以后完成的视频影像资料需交给采购人一份存档。</w:t>
      </w:r>
    </w:p>
    <w:p>
      <w:pPr>
        <w:spacing w:line="400" w:lineRule="exact"/>
        <w:ind w:firstLine="422" w:firstLineChars="200"/>
        <w:rPr>
          <w:rFonts w:ascii="宋体" w:hAnsi="宋体" w:cs="宋体"/>
          <w:b/>
          <w:bCs/>
          <w:szCs w:val="21"/>
        </w:rPr>
      </w:pPr>
      <w:r>
        <w:rPr>
          <w:rFonts w:hint="eastAsia" w:ascii="宋体" w:hAnsi="宋体" w:cs="宋体"/>
          <w:b/>
          <w:bCs/>
          <w:szCs w:val="21"/>
        </w:rPr>
        <w:t>（二）养护作业和防汛应急要求</w:t>
      </w:r>
    </w:p>
    <w:p>
      <w:pPr>
        <w:spacing w:line="400" w:lineRule="exact"/>
        <w:ind w:firstLine="420" w:firstLineChars="200"/>
        <w:rPr>
          <w:rFonts w:ascii="宋体" w:hAnsi="宋体" w:cs="宋体"/>
          <w:szCs w:val="21"/>
        </w:rPr>
      </w:pPr>
      <w:r>
        <w:rPr>
          <w:rFonts w:hint="eastAsia" w:ascii="宋体" w:hAnsi="宋体" w:cs="宋体"/>
          <w:szCs w:val="21"/>
        </w:rPr>
        <w:t>1、严格监管养护范围周边新建与在建工地泥浆、污水偷排乱排现象，发现后及时上报主管单位；如未发现，造成雨水管网堵塞，由养护单位负责清淤。</w:t>
      </w:r>
    </w:p>
    <w:p>
      <w:pPr>
        <w:spacing w:line="400" w:lineRule="exact"/>
        <w:ind w:firstLine="420" w:firstLineChars="200"/>
        <w:rPr>
          <w:rFonts w:ascii="宋体" w:hAnsi="宋体" w:cs="宋体"/>
          <w:szCs w:val="21"/>
        </w:rPr>
      </w:pPr>
      <w:r>
        <w:rPr>
          <w:rFonts w:hint="eastAsia" w:ascii="宋体" w:hAnsi="宋体" w:cs="宋体"/>
          <w:szCs w:val="21"/>
        </w:rPr>
        <w:t>2、要确保养护范围内管网畅通，不出现道路积水和内涝，确保市民生命及财产安全。一旦出现积涝，第一时间做好应急抢险工作，做好交通疏导，采取有效措施清除积水，尽快恢复道路交通。事后查明原因，提出整改建议。</w:t>
      </w:r>
    </w:p>
    <w:p>
      <w:pPr>
        <w:spacing w:line="400" w:lineRule="exact"/>
        <w:ind w:firstLine="420" w:firstLineChars="200"/>
        <w:rPr>
          <w:rFonts w:ascii="宋体" w:hAnsi="宋体" w:cs="宋体"/>
          <w:szCs w:val="21"/>
        </w:rPr>
      </w:pPr>
      <w:r>
        <w:rPr>
          <w:rFonts w:hint="eastAsia" w:ascii="宋体" w:hAnsi="宋体" w:cs="宋体"/>
          <w:szCs w:val="21"/>
        </w:rPr>
        <w:t>3、防汛抗台期间须积极配合采购单位及相关部门确保管网正常运行，启动四级（含）以下应急响应的，出动工具车 3 辆，人员 9 人，11kw以上水泵 3 台，若干交通警示标志；启动三级应急响应的，出动人员 12 人，工具车4辆，11kw以上水泵 4 台，若干交通警示标志。启动二级（含）以上应急响应的，出动人员 15 人，工具车5辆，11kw以上水泵 5 台。应急响应启动后，出动车辆人员服从甲方统一调配安排，落实人员巡查值守并及时上报处置情况。</w:t>
      </w:r>
    </w:p>
    <w:p>
      <w:pPr>
        <w:spacing w:line="400" w:lineRule="exact"/>
        <w:ind w:firstLine="420" w:firstLineChars="200"/>
        <w:rPr>
          <w:rFonts w:ascii="宋体" w:hAnsi="宋体" w:cs="宋体"/>
          <w:szCs w:val="21"/>
        </w:rPr>
      </w:pPr>
      <w:r>
        <w:rPr>
          <w:rFonts w:hint="eastAsia" w:ascii="宋体" w:hAnsi="宋体" w:cs="宋体"/>
          <w:szCs w:val="21"/>
        </w:rPr>
        <w:t>4、养护单位合同签订后一个月内需对所有管网及检查井进行排查，并出具排查情况报告。如管网及检查井附属设施等存在质量问题的及时提出，由采购人负责协调维修至满足设计要求及能够正常运维或以双方约定的方式运维；如养护单位未排查出管网及检查井附属设施存在的问题而影响日后的运维工作，造成的损失由养护单位承担，所需维修的费用包含在投标价内；如养护单位发现有开挖道路等施工破坏管网及检查井附属设施时，应通知采购单位，由采购单位或相关主管部门负责修复，养护单位没有及时发现破坏管网及检查井附属设施行为或发现未通知采购人，由此造成的修复等费用均由养护单位承担，所需费用包含在投标总价内。</w:t>
      </w:r>
    </w:p>
    <w:p>
      <w:pPr>
        <w:spacing w:line="400" w:lineRule="exact"/>
        <w:ind w:firstLine="420" w:firstLineChars="200"/>
        <w:rPr>
          <w:rFonts w:ascii="宋体" w:hAnsi="宋体" w:cs="宋体"/>
          <w:szCs w:val="21"/>
        </w:rPr>
      </w:pPr>
      <w:r>
        <w:rPr>
          <w:rFonts w:hint="eastAsia" w:ascii="宋体" w:hAnsi="宋体" w:cs="宋体"/>
          <w:szCs w:val="21"/>
        </w:rPr>
        <w:t>5、养护作业中，如发生安全生产事故、交通安全事故，由养护单位承担全部责任，所产生的费用由养护单位全部承担；因养护单位管理不善或使用不当造成的损失由养护单位负责赔偿。</w:t>
      </w:r>
    </w:p>
    <w:p>
      <w:pPr>
        <w:spacing w:line="400" w:lineRule="exact"/>
        <w:ind w:firstLine="420" w:firstLineChars="200"/>
        <w:rPr>
          <w:rFonts w:ascii="宋体" w:hAnsi="宋体" w:cs="宋体"/>
          <w:szCs w:val="21"/>
        </w:rPr>
      </w:pPr>
      <w:r>
        <w:rPr>
          <w:rFonts w:hint="eastAsia" w:ascii="宋体" w:hAnsi="宋体" w:cs="宋体"/>
          <w:szCs w:val="21"/>
        </w:rPr>
        <w:t>6、养护范围内的投诉和新闻舆论批评，应在 24 小时内处理完毕并反馈信息。</w:t>
      </w:r>
    </w:p>
    <w:p>
      <w:pPr>
        <w:spacing w:line="400" w:lineRule="exact"/>
        <w:ind w:firstLine="420" w:firstLineChars="200"/>
        <w:rPr>
          <w:rFonts w:ascii="宋体" w:hAnsi="宋体" w:cs="宋体"/>
          <w:szCs w:val="21"/>
        </w:rPr>
      </w:pPr>
      <w:r>
        <w:rPr>
          <w:rFonts w:hint="eastAsia" w:ascii="宋体" w:hAnsi="宋体" w:cs="宋体"/>
          <w:szCs w:val="21"/>
        </w:rPr>
        <w:t>7、养护作业专职人员要求配齐作业人员、管理人员及安全监管人员，保障日常清淤疏通工作和应急抢险工作顺利完成。</w:t>
      </w:r>
    </w:p>
    <w:p>
      <w:pPr>
        <w:spacing w:line="400" w:lineRule="exact"/>
        <w:ind w:firstLine="420" w:firstLineChars="200"/>
        <w:rPr>
          <w:rFonts w:ascii="宋体" w:hAnsi="宋体" w:cs="宋体"/>
          <w:szCs w:val="21"/>
        </w:rPr>
      </w:pPr>
      <w:r>
        <w:rPr>
          <w:rFonts w:hint="eastAsia" w:ascii="宋体" w:hAnsi="宋体" w:cs="宋体"/>
          <w:szCs w:val="21"/>
        </w:rPr>
        <w:t>8、日常巡查中发现井盖破损或缺失的，应在2小时内上报采购单位，以便采购单位及时更换。</w:t>
      </w:r>
    </w:p>
    <w:p>
      <w:pPr>
        <w:spacing w:line="400" w:lineRule="exact"/>
        <w:ind w:firstLine="420" w:firstLineChars="200"/>
        <w:rPr>
          <w:rFonts w:ascii="宋体" w:hAnsi="宋体" w:cs="宋体"/>
          <w:szCs w:val="21"/>
        </w:rPr>
      </w:pPr>
      <w:r>
        <w:rPr>
          <w:rFonts w:hint="eastAsia" w:ascii="宋体" w:hAnsi="宋体" w:cs="宋体"/>
          <w:szCs w:val="21"/>
        </w:rPr>
        <w:t>9、做好养护工作量日、周、月报表及度汇总台帐。按养护作业工作计划及时上报周报表、月报表及年度总台帐。</w:t>
      </w:r>
    </w:p>
    <w:p>
      <w:pPr>
        <w:spacing w:line="400" w:lineRule="exact"/>
        <w:ind w:firstLine="420" w:firstLineChars="200"/>
        <w:rPr>
          <w:rFonts w:ascii="宋体" w:hAnsi="宋体" w:cs="宋体"/>
          <w:szCs w:val="21"/>
        </w:rPr>
      </w:pPr>
      <w:r>
        <w:rPr>
          <w:rFonts w:hint="eastAsia" w:ascii="宋体" w:hAnsi="宋体" w:cs="宋体"/>
          <w:szCs w:val="21"/>
        </w:rPr>
        <w:t>10、养护作业的考核按照“市政管网清淤月度考核办法”执行。其它参照国家、省、市有关规范标准执行。具体处罚标准按照“市政管网清淤月度考核办法”执行。</w:t>
      </w:r>
    </w:p>
    <w:p>
      <w:pPr>
        <w:spacing w:line="400" w:lineRule="exact"/>
        <w:ind w:firstLine="422" w:firstLineChars="200"/>
        <w:rPr>
          <w:rFonts w:ascii="宋体" w:hAnsi="宋体" w:cs="宋体"/>
          <w:b/>
          <w:bCs/>
          <w:szCs w:val="21"/>
        </w:rPr>
      </w:pPr>
      <w:r>
        <w:rPr>
          <w:rFonts w:hint="eastAsia" w:ascii="宋体" w:hAnsi="宋体" w:cs="宋体"/>
          <w:b/>
          <w:bCs/>
          <w:szCs w:val="21"/>
        </w:rPr>
        <w:t>（三）养护单位职责：</w:t>
      </w:r>
    </w:p>
    <w:p>
      <w:pPr>
        <w:spacing w:line="400" w:lineRule="exact"/>
        <w:ind w:firstLine="420" w:firstLineChars="200"/>
        <w:rPr>
          <w:rFonts w:ascii="宋体" w:hAnsi="宋体" w:cs="宋体"/>
          <w:szCs w:val="21"/>
        </w:rPr>
      </w:pPr>
      <w:r>
        <w:rPr>
          <w:rFonts w:hint="eastAsia" w:ascii="宋体" w:hAnsi="宋体" w:cs="宋体"/>
          <w:szCs w:val="21"/>
        </w:rPr>
        <w:t>1、必须严格按招投标要求、养护质量标准及相关规定，精心组织养护，确保养护质量，承担设施、作业人员安全和公共安全责任。</w:t>
      </w:r>
    </w:p>
    <w:p>
      <w:pPr>
        <w:spacing w:line="400" w:lineRule="exact"/>
        <w:ind w:firstLine="420" w:firstLineChars="200"/>
        <w:rPr>
          <w:rFonts w:ascii="宋体" w:hAnsi="宋体" w:cs="宋体"/>
          <w:szCs w:val="21"/>
        </w:rPr>
      </w:pPr>
      <w:r>
        <w:rPr>
          <w:rFonts w:hint="eastAsia" w:ascii="宋体" w:hAnsi="宋体" w:cs="宋体"/>
          <w:szCs w:val="21"/>
        </w:rPr>
        <w:t>2、养护作业人员及数量的投入、机械设备的投入必须与投标时作出的承诺相一致。</w:t>
      </w:r>
    </w:p>
    <w:p>
      <w:pPr>
        <w:spacing w:line="400" w:lineRule="exact"/>
        <w:ind w:firstLine="420" w:firstLineChars="200"/>
        <w:rPr>
          <w:rFonts w:ascii="宋体" w:hAnsi="宋体" w:cs="宋体"/>
          <w:szCs w:val="21"/>
        </w:rPr>
      </w:pPr>
      <w:r>
        <w:rPr>
          <w:rFonts w:hint="eastAsia" w:ascii="宋体" w:hAnsi="宋体" w:cs="宋体"/>
          <w:szCs w:val="21"/>
        </w:rPr>
        <w:t>3、制定全年及每月道路雨水管网清淤工作计划（含管线巡查），包括各类清淤措施、质量及安全生产保证、应急管理、重点技术措施等，并及时上报采购人。</w:t>
      </w:r>
    </w:p>
    <w:p>
      <w:pPr>
        <w:spacing w:line="400" w:lineRule="exact"/>
        <w:ind w:firstLine="420" w:firstLineChars="200"/>
        <w:rPr>
          <w:rFonts w:ascii="宋体" w:hAnsi="宋体" w:cs="宋体"/>
          <w:szCs w:val="21"/>
        </w:rPr>
      </w:pPr>
      <w:r>
        <w:rPr>
          <w:rFonts w:hint="eastAsia" w:ascii="宋体" w:hAnsi="宋体" w:cs="宋体"/>
          <w:szCs w:val="21"/>
        </w:rPr>
        <w:t>4、合理安排清淤力量，制定劳动力计划表，做好突击性工作的应急安排等，落实专职养护人员名单，养护管理责任人名单。防汛抗台期间，必须做到人员、物资、设备“三到位”，并落实 24 小时人员值班制度，具体人员、物资、设备等的数量应和采购人协商确定。</w:t>
      </w:r>
    </w:p>
    <w:p>
      <w:pPr>
        <w:spacing w:line="400" w:lineRule="exact"/>
        <w:ind w:firstLine="420" w:firstLineChars="200"/>
        <w:rPr>
          <w:rFonts w:ascii="宋体" w:hAnsi="宋体" w:cs="宋体"/>
          <w:szCs w:val="21"/>
        </w:rPr>
      </w:pPr>
      <w:r>
        <w:rPr>
          <w:rFonts w:hint="eastAsia" w:ascii="宋体" w:hAnsi="宋体" w:cs="宋体"/>
          <w:szCs w:val="21"/>
        </w:rPr>
        <w:t>5、养护作业人员必须穿统一工作服，在道路清淤中为保证安全，作业人员必须穿反光背心装，设置交通警示牌，并加强安全管理。</w:t>
      </w:r>
    </w:p>
    <w:p>
      <w:pPr>
        <w:spacing w:line="400" w:lineRule="exact"/>
        <w:ind w:firstLine="420" w:firstLineChars="200"/>
        <w:rPr>
          <w:rFonts w:ascii="宋体" w:hAnsi="宋体" w:cs="宋体"/>
          <w:szCs w:val="21"/>
        </w:rPr>
      </w:pPr>
      <w:r>
        <w:rPr>
          <w:rFonts w:hint="eastAsia" w:ascii="宋体" w:hAnsi="宋体" w:cs="宋体"/>
          <w:szCs w:val="21"/>
        </w:rPr>
        <w:t>6、养护作业中，如发生安全生产和交通安全事故，由养护单位承担全部责任，所产生费用由养护单位全部承担；因养护单位管理不善或使用不当造成的损失由养护单位负责赔偿；在承包范围内雨水管道、窨井破损、下降而引发的各类伤亡事故由养护单位承担全部责任。</w:t>
      </w:r>
    </w:p>
    <w:p>
      <w:pPr>
        <w:spacing w:line="400" w:lineRule="exact"/>
        <w:ind w:firstLine="420" w:firstLineChars="200"/>
        <w:rPr>
          <w:rFonts w:ascii="宋体" w:hAnsi="宋体" w:cs="宋体"/>
          <w:szCs w:val="21"/>
        </w:rPr>
      </w:pPr>
      <w:r>
        <w:rPr>
          <w:rFonts w:hint="eastAsia" w:ascii="宋体" w:hAnsi="宋体" w:cs="宋体"/>
          <w:szCs w:val="21"/>
        </w:rPr>
        <w:t>7、养护单位需在下井作业前做好毒气检测，防止人员中毒。如在下井作业中出现人员中毒伤亡事故，其一切责任和后果由养护单位承担。</w:t>
      </w:r>
    </w:p>
    <w:p>
      <w:pPr>
        <w:spacing w:line="400" w:lineRule="exact"/>
        <w:ind w:firstLine="420" w:firstLineChars="200"/>
        <w:rPr>
          <w:rFonts w:ascii="宋体" w:hAnsi="宋体" w:cs="宋体"/>
          <w:szCs w:val="21"/>
        </w:rPr>
      </w:pPr>
      <w:r>
        <w:rPr>
          <w:rFonts w:hint="eastAsia" w:ascii="宋体" w:hAnsi="宋体" w:cs="宋体"/>
          <w:szCs w:val="21"/>
        </w:rPr>
        <w:t>7、在养护过程中，养护单位不准以设备在维修为由不落实养护责任。如养护单位多次发生此类情形，招标人有权直接认定养护单位考核不达标，直至终止养护合同。</w:t>
      </w:r>
    </w:p>
    <w:p>
      <w:pPr>
        <w:spacing w:line="400" w:lineRule="exact"/>
        <w:ind w:firstLine="420" w:firstLineChars="200"/>
        <w:rPr>
          <w:rFonts w:ascii="宋体" w:hAnsi="宋体" w:cs="宋体"/>
          <w:szCs w:val="21"/>
        </w:rPr>
      </w:pPr>
      <w:r>
        <w:rPr>
          <w:rFonts w:hint="eastAsia" w:ascii="宋体" w:hAnsi="宋体" w:cs="宋体"/>
          <w:szCs w:val="21"/>
        </w:rPr>
        <w:t>8、养护单位需协助采购单位做好新管验收移交工作，协助采购单位调查企业等生产生活排水是否接入市政管网。</w:t>
      </w:r>
    </w:p>
    <w:p>
      <w:pPr>
        <w:spacing w:line="400" w:lineRule="exact"/>
        <w:ind w:firstLine="420" w:firstLineChars="200"/>
        <w:rPr>
          <w:rFonts w:ascii="宋体" w:hAnsi="宋体" w:cs="宋体"/>
          <w:szCs w:val="21"/>
        </w:rPr>
      </w:pPr>
      <w:r>
        <w:rPr>
          <w:rFonts w:hint="eastAsia" w:ascii="宋体" w:hAnsi="宋体" w:cs="宋体"/>
          <w:szCs w:val="21"/>
        </w:rPr>
        <w:t>9、合同到期或终止时，在交接前运维单位必须确保管道正常疏通。</w:t>
      </w:r>
    </w:p>
    <w:p>
      <w:pPr>
        <w:spacing w:line="400" w:lineRule="exact"/>
        <w:ind w:firstLine="420" w:firstLineChars="200"/>
        <w:rPr>
          <w:rFonts w:ascii="宋体" w:hAnsi="宋体" w:cs="宋体"/>
          <w:szCs w:val="21"/>
        </w:rPr>
      </w:pPr>
      <w:r>
        <w:rPr>
          <w:rFonts w:hint="eastAsia" w:ascii="宋体" w:hAnsi="宋体" w:cs="宋体"/>
          <w:szCs w:val="21"/>
        </w:rPr>
        <w:t>10、具体处罚标准（具体内容详见附件）：</w:t>
      </w:r>
    </w:p>
    <w:p>
      <w:pPr>
        <w:spacing w:line="400" w:lineRule="exact"/>
        <w:ind w:firstLine="420" w:firstLineChars="200"/>
        <w:rPr>
          <w:rFonts w:ascii="宋体" w:hAnsi="宋体" w:cs="宋体"/>
          <w:szCs w:val="21"/>
        </w:rPr>
      </w:pPr>
      <w:r>
        <w:rPr>
          <w:rFonts w:hint="eastAsia" w:ascii="宋体" w:hAnsi="宋体" w:cs="宋体"/>
          <w:szCs w:val="21"/>
        </w:rPr>
        <w:t>（1）对养护检查中发现的问题要在3日内进行整改。逾期不改的对养护管理单位给予通报批评，并扣除当月市政设施养护经费；发生2次及以上逾期不改的情形的，中止养护合同、同时没收履约保证金，并取消参加滨江区市政设施养护管理投标资格壹年。</w:t>
      </w:r>
    </w:p>
    <w:p>
      <w:pPr>
        <w:spacing w:line="400" w:lineRule="exact"/>
        <w:ind w:firstLine="420" w:firstLineChars="200"/>
        <w:rPr>
          <w:rFonts w:ascii="宋体" w:hAnsi="宋体" w:cs="宋体"/>
          <w:szCs w:val="21"/>
        </w:rPr>
      </w:pPr>
      <w:r>
        <w:rPr>
          <w:rFonts w:hint="eastAsia" w:ascii="宋体" w:hAnsi="宋体" w:cs="宋体"/>
          <w:szCs w:val="21"/>
        </w:rPr>
        <w:t>（2）养护管理在季度考核中一次不合格的，对养护管理单位给予通报批评，并扣除该季度市政设施养护经费，同时没收履约保证金，并取消参加滨江区市政设施养护管理投标资格壹年。</w:t>
      </w:r>
    </w:p>
    <w:p>
      <w:pPr>
        <w:spacing w:line="400" w:lineRule="exact"/>
        <w:ind w:firstLine="420" w:firstLineChars="200"/>
        <w:rPr>
          <w:rFonts w:ascii="宋体" w:hAnsi="宋体" w:cs="宋体"/>
          <w:szCs w:val="21"/>
        </w:rPr>
      </w:pPr>
      <w:r>
        <w:rPr>
          <w:rFonts w:hint="eastAsia" w:ascii="宋体" w:hAnsi="宋体" w:cs="宋体"/>
          <w:szCs w:val="21"/>
        </w:rPr>
        <w:t>（3）养护管理在季度考核中出现两次不合格的，终止养护合同、同时没收履约保证金，并取消参加滨江区市政设施养护管理投标资格壹年。</w:t>
      </w:r>
    </w:p>
    <w:p>
      <w:pPr>
        <w:spacing w:line="400" w:lineRule="exact"/>
        <w:ind w:firstLine="420" w:firstLineChars="200"/>
        <w:rPr>
          <w:rFonts w:ascii="宋体" w:hAnsi="宋体" w:cs="宋体"/>
          <w:szCs w:val="21"/>
        </w:rPr>
      </w:pPr>
      <w:r>
        <w:rPr>
          <w:rFonts w:hint="eastAsia" w:ascii="宋体" w:hAnsi="宋体" w:cs="宋体"/>
          <w:szCs w:val="21"/>
        </w:rPr>
        <w:t>（4）养护管理中，养护管理单位三次及以上以设备在维修为由不落实养护责任的，将直接认定为考核不达标；出现五次及以上的情节严重的，终止养护合同。</w:t>
      </w:r>
    </w:p>
    <w:p>
      <w:pPr>
        <w:spacing w:line="400" w:lineRule="exact"/>
        <w:ind w:firstLine="420" w:firstLineChars="200"/>
        <w:rPr>
          <w:rFonts w:ascii="宋体" w:hAnsi="宋体" w:cs="宋体"/>
          <w:szCs w:val="21"/>
        </w:rPr>
      </w:pPr>
      <w:r>
        <w:rPr>
          <w:rFonts w:hint="eastAsia" w:ascii="宋体" w:hAnsi="宋体" w:cs="宋体"/>
          <w:szCs w:val="21"/>
        </w:rPr>
        <w:t>（5）养护单位在甲方组织的考核中连续三个月最后一名的，或者考核结果连续三个月未达到90分的，将终止合同。由近三个月考核平均成绩排名第一的单位，按被淘汰中标人报价暂时养护该标段，若第一名不接受的，由第二名接替，以此类推，直至重新招标后新的中标单位接受该养护项目。</w:t>
      </w:r>
    </w:p>
    <w:p>
      <w:pPr>
        <w:spacing w:line="400" w:lineRule="exact"/>
        <w:ind w:firstLine="420" w:firstLineChars="200"/>
        <w:rPr>
          <w:rFonts w:ascii="宋体" w:hAnsi="宋体" w:cs="宋体"/>
          <w:bCs/>
          <w:szCs w:val="21"/>
        </w:rPr>
      </w:pPr>
      <w:r>
        <w:rPr>
          <w:rFonts w:hint="eastAsia" w:ascii="宋体" w:hAnsi="宋体" w:cs="宋体"/>
          <w:bCs/>
          <w:szCs w:val="21"/>
        </w:rPr>
        <w:t>三、合同总价（养护经费）：</w:t>
      </w:r>
    </w:p>
    <w:p>
      <w:pPr>
        <w:spacing w:line="400" w:lineRule="exact"/>
        <w:ind w:firstLine="420" w:firstLineChars="200"/>
        <w:rPr>
          <w:rFonts w:ascii="宋体" w:hAnsi="宋体" w:cs="宋体"/>
          <w:b/>
          <w:bCs/>
          <w:szCs w:val="21"/>
        </w:rPr>
      </w:pPr>
      <w:r>
        <w:rPr>
          <w:rFonts w:hint="eastAsia" w:ascii="宋体" w:hAnsi="宋体" w:cs="宋体"/>
          <w:bCs/>
          <w:szCs w:val="21"/>
        </w:rPr>
        <w:t>合同总价（养护经费）：</w:t>
      </w:r>
      <w:r>
        <w:rPr>
          <w:rFonts w:hint="eastAsia" w:ascii="宋体" w:hAnsi="宋体" w:cs="宋体"/>
          <w:b/>
          <w:szCs w:val="21"/>
          <w:u w:val="single"/>
        </w:rPr>
        <w:t xml:space="preserve">          万元</w:t>
      </w:r>
      <w:r>
        <w:rPr>
          <w:rFonts w:hint="eastAsia" w:ascii="宋体" w:hAnsi="宋体" w:cs="宋体"/>
          <w:b/>
          <w:bCs/>
          <w:szCs w:val="21"/>
        </w:rPr>
        <w:t>（</w:t>
      </w:r>
      <w:r>
        <w:rPr>
          <w:rFonts w:hint="eastAsia" w:ascii="宋体" w:hAnsi="宋体" w:cs="宋体"/>
          <w:b/>
          <w:bCs/>
          <w:szCs w:val="21"/>
          <w:u w:val="single"/>
        </w:rPr>
        <w:t>大写                      ）</w:t>
      </w:r>
      <w:r>
        <w:rPr>
          <w:rFonts w:hint="eastAsia" w:ascii="宋体" w:hAnsi="宋体" w:cs="宋体"/>
          <w:b/>
          <w:bCs/>
          <w:szCs w:val="21"/>
        </w:rPr>
        <w:t>。</w:t>
      </w:r>
    </w:p>
    <w:p>
      <w:pPr>
        <w:spacing w:line="400" w:lineRule="exact"/>
        <w:ind w:firstLine="422" w:firstLineChars="200"/>
        <w:rPr>
          <w:rFonts w:ascii="宋体" w:hAnsi="宋体" w:cs="宋体"/>
          <w:b/>
          <w:bCs/>
          <w:szCs w:val="21"/>
        </w:rPr>
      </w:pPr>
      <w:r>
        <w:rPr>
          <w:rFonts w:hint="eastAsia" w:ascii="宋体" w:hAnsi="宋体" w:cs="宋体"/>
          <w:b/>
          <w:bCs/>
          <w:szCs w:val="21"/>
        </w:rPr>
        <w:t>其中每年综合养护费：</w:t>
      </w:r>
      <w:r>
        <w:rPr>
          <w:rFonts w:hint="eastAsia" w:ascii="宋体" w:hAnsi="宋体" w:cs="宋体"/>
          <w:b/>
          <w:szCs w:val="21"/>
          <w:u w:val="single"/>
        </w:rPr>
        <w:t xml:space="preserve">          万元</w:t>
      </w:r>
      <w:r>
        <w:rPr>
          <w:rFonts w:hint="eastAsia" w:ascii="宋体" w:hAnsi="宋体" w:cs="宋体"/>
          <w:b/>
          <w:bCs/>
          <w:szCs w:val="21"/>
        </w:rPr>
        <w:t>（</w:t>
      </w:r>
      <w:r>
        <w:rPr>
          <w:rFonts w:hint="eastAsia" w:ascii="宋体" w:hAnsi="宋体" w:cs="宋体"/>
          <w:b/>
          <w:bCs/>
          <w:szCs w:val="21"/>
          <w:u w:val="single"/>
        </w:rPr>
        <w:t>大写                      ）</w:t>
      </w:r>
      <w:r>
        <w:rPr>
          <w:rFonts w:hint="eastAsia" w:ascii="宋体" w:hAnsi="宋体" w:cs="宋体"/>
          <w:b/>
          <w:bCs/>
          <w:szCs w:val="21"/>
        </w:rPr>
        <w:t>。</w:t>
      </w:r>
    </w:p>
    <w:p>
      <w:pPr>
        <w:spacing w:line="400" w:lineRule="exact"/>
        <w:ind w:firstLine="422" w:firstLineChars="200"/>
        <w:rPr>
          <w:rFonts w:ascii="宋体" w:hAnsi="宋体" w:cs="宋体"/>
          <w:b/>
          <w:bCs/>
          <w:szCs w:val="21"/>
        </w:rPr>
      </w:pPr>
      <w:r>
        <w:rPr>
          <w:rFonts w:hint="eastAsia" w:ascii="宋体" w:hAnsi="宋体" w:cs="宋体"/>
          <w:b/>
          <w:bCs/>
          <w:szCs w:val="21"/>
        </w:rPr>
        <w:t>其中每个月综合养护费：</w:t>
      </w:r>
      <w:r>
        <w:rPr>
          <w:rFonts w:hint="eastAsia" w:ascii="宋体" w:hAnsi="宋体" w:cs="宋体"/>
          <w:b/>
          <w:szCs w:val="21"/>
          <w:u w:val="single"/>
        </w:rPr>
        <w:t xml:space="preserve">          万元</w:t>
      </w:r>
      <w:r>
        <w:rPr>
          <w:rFonts w:hint="eastAsia" w:ascii="宋体" w:hAnsi="宋体" w:cs="宋体"/>
          <w:b/>
          <w:bCs/>
          <w:szCs w:val="21"/>
        </w:rPr>
        <w:t>（</w:t>
      </w:r>
      <w:r>
        <w:rPr>
          <w:rFonts w:hint="eastAsia" w:ascii="宋体" w:hAnsi="宋体" w:cs="宋体"/>
          <w:b/>
          <w:bCs/>
          <w:szCs w:val="21"/>
          <w:u w:val="single"/>
        </w:rPr>
        <w:t>大写                      ）</w:t>
      </w:r>
      <w:r>
        <w:rPr>
          <w:rFonts w:hint="eastAsia" w:ascii="宋体" w:hAnsi="宋体" w:cs="宋体"/>
          <w:b/>
          <w:bCs/>
          <w:szCs w:val="21"/>
        </w:rPr>
        <w:t>。</w:t>
      </w:r>
    </w:p>
    <w:tbl>
      <w:tblPr>
        <w:tblStyle w:val="43"/>
        <w:tblW w:w="8858" w:type="dxa"/>
        <w:jc w:val="center"/>
        <w:tblLayout w:type="fixed"/>
        <w:tblCellMar>
          <w:top w:w="0" w:type="dxa"/>
          <w:left w:w="0" w:type="dxa"/>
          <w:bottom w:w="0" w:type="dxa"/>
          <w:right w:w="0" w:type="dxa"/>
        </w:tblCellMar>
      </w:tblPr>
      <w:tblGrid>
        <w:gridCol w:w="443"/>
        <w:gridCol w:w="1205"/>
        <w:gridCol w:w="1378"/>
        <w:gridCol w:w="1809"/>
        <w:gridCol w:w="1341"/>
        <w:gridCol w:w="1341"/>
        <w:gridCol w:w="1341"/>
      </w:tblGrid>
      <w:tr>
        <w:tblPrEx>
          <w:tblCellMar>
            <w:top w:w="0" w:type="dxa"/>
            <w:left w:w="0" w:type="dxa"/>
            <w:bottom w:w="0" w:type="dxa"/>
            <w:right w:w="0" w:type="dxa"/>
          </w:tblCellMar>
        </w:tblPrEx>
        <w:trPr>
          <w:trHeight w:val="972" w:hRule="atLeast"/>
          <w:tblHeader/>
          <w:jc w:val="center"/>
        </w:trPr>
        <w:tc>
          <w:tcPr>
            <w:tcW w:w="443"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 号</w:t>
            </w:r>
          </w:p>
        </w:tc>
        <w:tc>
          <w:tcPr>
            <w:tcW w:w="120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378"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809"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工程量</w:t>
            </w:r>
          </w:p>
        </w:tc>
        <w:tc>
          <w:tcPr>
            <w:tcW w:w="134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综合单价</w:t>
            </w:r>
          </w:p>
          <w:p>
            <w:pPr>
              <w:widowControl/>
              <w:jc w:val="center"/>
              <w:rPr>
                <w:rFonts w:ascii="宋体" w:hAnsi="宋体" w:cs="宋体"/>
                <w:color w:val="000000"/>
                <w:kern w:val="0"/>
                <w:sz w:val="24"/>
              </w:rPr>
            </w:pPr>
            <w:r>
              <w:rPr>
                <w:rFonts w:hint="eastAsia" w:ascii="宋体" w:hAnsi="宋体" w:cs="宋体"/>
                <w:color w:val="000000"/>
                <w:kern w:val="0"/>
                <w:sz w:val="24"/>
              </w:rPr>
              <w:t>（元）</w:t>
            </w:r>
          </w:p>
        </w:tc>
        <w:tc>
          <w:tcPr>
            <w:tcW w:w="134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p>
            <w:pPr>
              <w:widowControl/>
              <w:jc w:val="center"/>
              <w:rPr>
                <w:rFonts w:ascii="宋体" w:hAnsi="宋体" w:cs="宋体"/>
                <w:color w:val="000000"/>
                <w:kern w:val="0"/>
                <w:sz w:val="24"/>
              </w:rPr>
            </w:pPr>
            <w:r>
              <w:rPr>
                <w:rFonts w:hint="eastAsia" w:ascii="宋体" w:hAnsi="宋体" w:cs="宋体"/>
                <w:color w:val="000000"/>
                <w:kern w:val="0"/>
                <w:sz w:val="24"/>
              </w:rPr>
              <w:t>（元）</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1173" w:hRule="atLeast"/>
          <w:tblHeader/>
          <w:jc w:val="center"/>
        </w:trPr>
        <w:tc>
          <w:tcPr>
            <w:tcW w:w="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Arial"/>
                <w:bCs/>
                <w:color w:val="000000"/>
                <w:sz w:val="22"/>
                <w:szCs w:val="22"/>
              </w:rPr>
              <w:t>1</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宋体"/>
                <w:color w:val="000000"/>
                <w:kern w:val="0"/>
                <w:szCs w:val="21"/>
              </w:rPr>
              <w:t>Φ≤300雨水管养护</w:t>
            </w:r>
          </w:p>
        </w:tc>
        <w:tc>
          <w:tcPr>
            <w:tcW w:w="1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宋体"/>
                <w:color w:val="000000"/>
                <w:kern w:val="0"/>
                <w:szCs w:val="21"/>
              </w:rPr>
              <w:t>米</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r>
      <w:tr>
        <w:tblPrEx>
          <w:tblCellMar>
            <w:top w:w="0" w:type="dxa"/>
            <w:left w:w="0" w:type="dxa"/>
            <w:bottom w:w="0" w:type="dxa"/>
            <w:right w:w="0" w:type="dxa"/>
          </w:tblCellMar>
        </w:tblPrEx>
        <w:trPr>
          <w:trHeight w:val="1173" w:hRule="atLeast"/>
          <w:tblHeader/>
          <w:jc w:val="center"/>
        </w:trPr>
        <w:tc>
          <w:tcPr>
            <w:tcW w:w="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Arial"/>
                <w:bCs/>
                <w:color w:val="000000"/>
                <w:sz w:val="22"/>
                <w:szCs w:val="22"/>
              </w:rPr>
              <w:t>2</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宋体"/>
                <w:color w:val="000000"/>
                <w:kern w:val="0"/>
                <w:szCs w:val="21"/>
              </w:rPr>
              <w:t>300＜ Φ≤ 600雨水管养护</w:t>
            </w:r>
          </w:p>
        </w:tc>
        <w:tc>
          <w:tcPr>
            <w:tcW w:w="1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宋体"/>
                <w:color w:val="000000"/>
                <w:kern w:val="0"/>
                <w:szCs w:val="21"/>
              </w:rPr>
              <w:t>米</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r>
      <w:tr>
        <w:tblPrEx>
          <w:tblCellMar>
            <w:top w:w="0" w:type="dxa"/>
            <w:left w:w="0" w:type="dxa"/>
            <w:bottom w:w="0" w:type="dxa"/>
            <w:right w:w="0" w:type="dxa"/>
          </w:tblCellMar>
        </w:tblPrEx>
        <w:trPr>
          <w:trHeight w:val="1173" w:hRule="atLeast"/>
          <w:tblHeader/>
          <w:jc w:val="center"/>
        </w:trPr>
        <w:tc>
          <w:tcPr>
            <w:tcW w:w="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Arial"/>
                <w:bCs/>
                <w:color w:val="000000"/>
                <w:sz w:val="22"/>
                <w:szCs w:val="22"/>
              </w:rPr>
              <w:t>3</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600＜ Φ≤1000雨水管养护</w:t>
            </w:r>
          </w:p>
        </w:tc>
        <w:tc>
          <w:tcPr>
            <w:tcW w:w="1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米</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r>
      <w:tr>
        <w:tblPrEx>
          <w:tblCellMar>
            <w:top w:w="0" w:type="dxa"/>
            <w:left w:w="0" w:type="dxa"/>
            <w:bottom w:w="0" w:type="dxa"/>
            <w:right w:w="0" w:type="dxa"/>
          </w:tblCellMar>
        </w:tblPrEx>
        <w:trPr>
          <w:trHeight w:val="1173" w:hRule="atLeast"/>
          <w:tblHeader/>
          <w:jc w:val="center"/>
        </w:trPr>
        <w:tc>
          <w:tcPr>
            <w:tcW w:w="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Arial"/>
                <w:bCs/>
                <w:color w:val="000000"/>
                <w:sz w:val="22"/>
                <w:szCs w:val="22"/>
              </w:rPr>
              <w:t>4</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1000＜Φ≤ 1500雨水管养护</w:t>
            </w:r>
          </w:p>
        </w:tc>
        <w:tc>
          <w:tcPr>
            <w:tcW w:w="1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米</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r>
      <w:tr>
        <w:tblPrEx>
          <w:tblCellMar>
            <w:top w:w="0" w:type="dxa"/>
            <w:left w:w="0" w:type="dxa"/>
            <w:bottom w:w="0" w:type="dxa"/>
            <w:right w:w="0" w:type="dxa"/>
          </w:tblCellMar>
        </w:tblPrEx>
        <w:trPr>
          <w:trHeight w:val="1173" w:hRule="atLeast"/>
          <w:tblHeader/>
          <w:jc w:val="center"/>
        </w:trPr>
        <w:tc>
          <w:tcPr>
            <w:tcW w:w="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Arial"/>
                <w:bCs/>
                <w:color w:val="000000"/>
                <w:sz w:val="22"/>
                <w:szCs w:val="22"/>
              </w:rPr>
              <w:t>5</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Φ＞1500雨水管养护</w:t>
            </w:r>
          </w:p>
        </w:tc>
        <w:tc>
          <w:tcPr>
            <w:tcW w:w="1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米</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r>
      <w:tr>
        <w:tblPrEx>
          <w:tblCellMar>
            <w:top w:w="0" w:type="dxa"/>
            <w:left w:w="0" w:type="dxa"/>
            <w:bottom w:w="0" w:type="dxa"/>
            <w:right w:w="0" w:type="dxa"/>
          </w:tblCellMar>
        </w:tblPrEx>
        <w:trPr>
          <w:trHeight w:val="1173" w:hRule="atLeast"/>
          <w:tblHeader/>
          <w:jc w:val="center"/>
        </w:trPr>
        <w:tc>
          <w:tcPr>
            <w:tcW w:w="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Arial"/>
                <w:bCs/>
                <w:color w:val="000000"/>
                <w:sz w:val="22"/>
                <w:szCs w:val="22"/>
              </w:rPr>
              <w:t>6</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检查井清淤泥</w:t>
            </w:r>
          </w:p>
        </w:tc>
        <w:tc>
          <w:tcPr>
            <w:tcW w:w="1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座</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r>
      <w:tr>
        <w:tblPrEx>
          <w:tblCellMar>
            <w:top w:w="0" w:type="dxa"/>
            <w:left w:w="0" w:type="dxa"/>
            <w:bottom w:w="0" w:type="dxa"/>
            <w:right w:w="0" w:type="dxa"/>
          </w:tblCellMar>
        </w:tblPrEx>
        <w:trPr>
          <w:trHeight w:val="1173" w:hRule="atLeast"/>
          <w:tblHeader/>
          <w:jc w:val="center"/>
        </w:trPr>
        <w:tc>
          <w:tcPr>
            <w:tcW w:w="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Arial"/>
                <w:bCs/>
                <w:color w:val="000000"/>
                <w:sz w:val="22"/>
                <w:szCs w:val="22"/>
              </w:rPr>
              <w:t>7</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雨水口清淤</w:t>
            </w:r>
          </w:p>
        </w:tc>
        <w:tc>
          <w:tcPr>
            <w:tcW w:w="1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座</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r>
      <w:tr>
        <w:tblPrEx>
          <w:tblCellMar>
            <w:top w:w="0" w:type="dxa"/>
            <w:left w:w="0" w:type="dxa"/>
            <w:bottom w:w="0" w:type="dxa"/>
            <w:right w:w="0" w:type="dxa"/>
          </w:tblCellMar>
        </w:tblPrEx>
        <w:trPr>
          <w:trHeight w:val="1173" w:hRule="atLeast"/>
          <w:tblHeader/>
          <w:jc w:val="center"/>
        </w:trPr>
        <w:tc>
          <w:tcPr>
            <w:tcW w:w="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Arial"/>
                <w:bCs/>
                <w:color w:val="000000"/>
                <w:sz w:val="22"/>
                <w:szCs w:val="22"/>
              </w:rPr>
              <w:t>8</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雨水灌渠清淤</w:t>
            </w:r>
          </w:p>
        </w:tc>
        <w:tc>
          <w:tcPr>
            <w:tcW w:w="1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r>
              <w:rPr>
                <w:rFonts w:hint="eastAsia" w:ascii="宋体" w:hAnsi="宋体" w:cs="宋体"/>
                <w:color w:val="000000"/>
                <w:kern w:val="0"/>
                <w:szCs w:val="21"/>
              </w:rPr>
              <w:t>m3</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r>
      <w:tr>
        <w:tblPrEx>
          <w:tblCellMar>
            <w:top w:w="0" w:type="dxa"/>
            <w:left w:w="0" w:type="dxa"/>
            <w:bottom w:w="0" w:type="dxa"/>
            <w:right w:w="0" w:type="dxa"/>
          </w:tblCellMar>
        </w:tblPrEx>
        <w:trPr>
          <w:trHeight w:val="1173" w:hRule="atLeast"/>
          <w:tblHeader/>
          <w:jc w:val="center"/>
        </w:trPr>
        <w:tc>
          <w:tcPr>
            <w:tcW w:w="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Arial"/>
                <w:bCs/>
                <w:color w:val="000000"/>
                <w:sz w:val="22"/>
                <w:szCs w:val="22"/>
              </w:rPr>
              <w:t>……</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p>
        </w:tc>
        <w:tc>
          <w:tcPr>
            <w:tcW w:w="1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宋体"/>
                <w:color w:val="000000"/>
                <w:kern w:val="0"/>
                <w:szCs w:val="21"/>
              </w:rPr>
            </w:pP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Arial"/>
                <w:bCs/>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Arial"/>
                <w:bCs/>
                <w:color w:val="000000"/>
                <w:sz w:val="22"/>
                <w:szCs w:val="22"/>
              </w:rPr>
            </w:pPr>
          </w:p>
        </w:tc>
      </w:tr>
      <w:tr>
        <w:tblPrEx>
          <w:tblCellMar>
            <w:top w:w="0" w:type="dxa"/>
            <w:left w:w="0" w:type="dxa"/>
            <w:bottom w:w="0" w:type="dxa"/>
            <w:right w:w="0" w:type="dxa"/>
          </w:tblCellMar>
        </w:tblPrEx>
        <w:trPr>
          <w:trHeight w:val="1173" w:hRule="atLeast"/>
          <w:tblHeader/>
          <w:jc w:val="center"/>
        </w:trPr>
        <w:tc>
          <w:tcPr>
            <w:tcW w:w="8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101"/>
              </w:tabs>
              <w:spacing w:line="460" w:lineRule="exact"/>
              <w:jc w:val="center"/>
              <w:rPr>
                <w:rFonts w:ascii="宋体" w:hAnsi="宋体" w:cs="Arial"/>
                <w:bCs/>
                <w:color w:val="000000"/>
                <w:sz w:val="22"/>
                <w:szCs w:val="22"/>
              </w:rPr>
            </w:pPr>
            <w:r>
              <w:rPr>
                <w:rFonts w:hint="eastAsia" w:ascii="宋体" w:hAnsi="宋体" w:cs="宋体"/>
                <w:szCs w:val="21"/>
              </w:rPr>
              <w:t>投标报价合计（投标总价）：</w:t>
            </w:r>
          </w:p>
        </w:tc>
      </w:tr>
    </w:tbl>
    <w:p>
      <w:pPr>
        <w:pStyle w:val="42"/>
        <w:ind w:firstLine="482"/>
        <w:rPr>
          <w:rFonts w:ascii="宋体" w:hAnsi="宋体" w:cs="宋体"/>
          <w:b/>
          <w:bCs/>
          <w:szCs w:val="21"/>
        </w:rPr>
      </w:pPr>
    </w:p>
    <w:p>
      <w:pPr>
        <w:spacing w:line="400" w:lineRule="exact"/>
        <w:rPr>
          <w:rFonts w:ascii="宋体" w:hAnsi="宋体" w:cs="宋体"/>
          <w:b/>
          <w:bCs/>
          <w:szCs w:val="21"/>
          <w:u w:val="single"/>
        </w:rPr>
      </w:pPr>
      <w:r>
        <w:rPr>
          <w:rFonts w:hint="eastAsia" w:ascii="宋体" w:hAnsi="宋体" w:cs="宋体"/>
          <w:b/>
          <w:bCs/>
          <w:szCs w:val="21"/>
        </w:rPr>
        <w:t>注：新增道路养护费按以上单价结算。</w:t>
      </w:r>
    </w:p>
    <w:p>
      <w:pPr>
        <w:spacing w:line="400" w:lineRule="exact"/>
        <w:ind w:firstLine="420" w:firstLineChars="200"/>
        <w:rPr>
          <w:rFonts w:ascii="宋体" w:hAnsi="宋体" w:cs="宋体"/>
          <w:bCs/>
          <w:szCs w:val="21"/>
        </w:rPr>
      </w:pPr>
      <w:r>
        <w:rPr>
          <w:rFonts w:hint="eastAsia" w:ascii="宋体" w:hAnsi="宋体" w:cs="宋体"/>
          <w:bCs/>
          <w:szCs w:val="21"/>
        </w:rPr>
        <w:t>四、养护期限：</w:t>
      </w:r>
    </w:p>
    <w:p>
      <w:pPr>
        <w:spacing w:line="400" w:lineRule="exact"/>
        <w:rPr>
          <w:rFonts w:ascii="宋体" w:hAnsi="宋体" w:cs="宋体"/>
          <w:bCs/>
          <w:szCs w:val="21"/>
        </w:rPr>
      </w:pPr>
      <w:r>
        <w:rPr>
          <w:rFonts w:hint="eastAsia" w:ascii="宋体" w:hAnsi="宋体" w:cs="宋体"/>
          <w:bCs/>
          <w:szCs w:val="21"/>
        </w:rPr>
        <w:t xml:space="preserve">    养护期为，即：年月日至年月日止。</w:t>
      </w:r>
    </w:p>
    <w:p>
      <w:pPr>
        <w:spacing w:line="400" w:lineRule="exact"/>
        <w:ind w:firstLine="420" w:firstLineChars="200"/>
        <w:rPr>
          <w:rFonts w:ascii="宋体" w:hAnsi="宋体" w:cs="宋体"/>
          <w:bCs/>
          <w:szCs w:val="21"/>
        </w:rPr>
      </w:pPr>
      <w:r>
        <w:rPr>
          <w:rFonts w:hint="eastAsia" w:ascii="宋体" w:hAnsi="宋体" w:cs="宋体"/>
          <w:bCs/>
          <w:szCs w:val="21"/>
        </w:rPr>
        <w:t>五、付款方式：</w:t>
      </w:r>
    </w:p>
    <w:p>
      <w:pPr>
        <w:spacing w:line="400" w:lineRule="exact"/>
        <w:ind w:firstLine="420" w:firstLineChars="200"/>
        <w:rPr>
          <w:rFonts w:ascii="宋体" w:hAnsi="宋体" w:cs="宋体"/>
          <w:szCs w:val="21"/>
        </w:rPr>
      </w:pPr>
      <w:r>
        <w:rPr>
          <w:rFonts w:hint="eastAsia" w:ascii="宋体" w:hAnsi="宋体" w:cs="宋体"/>
          <w:szCs w:val="21"/>
        </w:rPr>
        <w:t>养护经费采用当月考核当月核拨的方式结算，乙方每月底按被告知的应得养护经费向甲方结算，并出具有效发票。</w:t>
      </w:r>
    </w:p>
    <w:p>
      <w:pPr>
        <w:spacing w:line="400" w:lineRule="exact"/>
        <w:ind w:firstLine="420" w:firstLineChars="200"/>
        <w:rPr>
          <w:rFonts w:ascii="宋体" w:hAnsi="宋体" w:cs="宋体"/>
          <w:szCs w:val="21"/>
        </w:rPr>
      </w:pPr>
      <w:r>
        <w:rPr>
          <w:rFonts w:hint="eastAsia" w:ascii="宋体" w:hAnsi="宋体" w:cs="宋体"/>
          <w:szCs w:val="21"/>
        </w:rPr>
        <w:t>付款根据签订的合同费用，每月20日考核（如遇双休日延后），按每月考核结果，支付每月合同期履行完毕后所有款项，具体时间以财政核拨时间为准。年底遇财政关帐的情况下，在关帐前支付，但养护单位须继续履行完合同的所有款项。如考核未达标涉及扣款，在下月支付时一并扣除或在履约保证金中扣除。</w:t>
      </w:r>
    </w:p>
    <w:p>
      <w:pPr>
        <w:spacing w:line="400" w:lineRule="exact"/>
        <w:ind w:firstLine="420" w:firstLineChars="200"/>
        <w:rPr>
          <w:rFonts w:ascii="宋体" w:hAnsi="宋体" w:cs="宋体"/>
          <w:szCs w:val="21"/>
        </w:rPr>
      </w:pPr>
      <w:r>
        <w:rPr>
          <w:rFonts w:hint="eastAsia" w:ascii="宋体" w:hAnsi="宋体" w:cs="宋体"/>
          <w:szCs w:val="21"/>
        </w:rPr>
        <w:t>乙方需在本协议签订后三日内向甲方缴纳履约保证金   元；履约保证金被扣除或没收后，乙方须在三日内予以不足，乙方逾期未补足的，视为乙方严重违约责任，甲方有权单方解除本合同并要求乙方按履约保证金数额承担违约责任。本合同到期后且乙方不存在任何违约责任，甲方无锡退还乙方履约保证金。</w:t>
      </w:r>
    </w:p>
    <w:p>
      <w:pPr>
        <w:spacing w:line="400" w:lineRule="exact"/>
        <w:ind w:firstLine="420" w:firstLineChars="200"/>
        <w:rPr>
          <w:rFonts w:ascii="宋体" w:hAnsi="宋体" w:cs="宋体"/>
          <w:bCs/>
          <w:szCs w:val="21"/>
        </w:rPr>
      </w:pPr>
      <w:r>
        <w:rPr>
          <w:rFonts w:hint="eastAsia" w:ascii="宋体" w:hAnsi="宋体" w:cs="宋体"/>
          <w:bCs/>
          <w:szCs w:val="21"/>
        </w:rPr>
        <w:t>六、其它：</w:t>
      </w:r>
    </w:p>
    <w:p>
      <w:pPr>
        <w:pStyle w:val="2"/>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双方在执行合同中所发生的一切争议，应通过协商解决。如协商不成，可向甲方所在地法院起诉。</w:t>
      </w:r>
    </w:p>
    <w:p>
      <w:pPr>
        <w:pStyle w:val="2"/>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七、合同生效</w:t>
      </w:r>
    </w:p>
    <w:p>
      <w:pPr>
        <w:snapToGrid w:val="0"/>
        <w:spacing w:line="400" w:lineRule="exact"/>
        <w:ind w:firstLine="420" w:firstLineChars="200"/>
        <w:rPr>
          <w:rFonts w:ascii="宋体" w:hAnsi="宋体" w:cs="宋体"/>
          <w:szCs w:val="21"/>
        </w:rPr>
      </w:pPr>
      <w:r>
        <w:rPr>
          <w:rFonts w:hint="eastAsia" w:ascii="宋体" w:hAnsi="宋体" w:cs="宋体"/>
          <w:szCs w:val="21"/>
        </w:rPr>
        <w:t>1、合同经双方法定代表人或授权代表签字并加盖单位公章，经采购代理公司及政府采购监管部门鉴证备案后生效。</w:t>
      </w:r>
    </w:p>
    <w:p>
      <w:pPr>
        <w:snapToGrid w:val="0"/>
        <w:spacing w:line="400" w:lineRule="exact"/>
        <w:ind w:firstLine="420" w:firstLineChars="200"/>
        <w:rPr>
          <w:rFonts w:ascii="宋体" w:hAnsi="宋体" w:cs="宋体"/>
          <w:szCs w:val="21"/>
        </w:rPr>
      </w:pPr>
      <w:r>
        <w:rPr>
          <w:rFonts w:hint="eastAsia" w:ascii="宋体" w:hAnsi="宋体" w:cs="宋体"/>
          <w:szCs w:val="21"/>
        </w:rPr>
        <w:t>2、合同执行中涉及采购资金和采购内容修改或补充的，须经政府采购监管部门审批，并签书面补充协议报政府采购监督管理部门备案，方可作为主合同不可分割的一部分。</w:t>
      </w:r>
    </w:p>
    <w:p>
      <w:pPr>
        <w:pStyle w:val="24"/>
        <w:snapToGrid w:val="0"/>
        <w:ind w:left="479" w:leftChars="228"/>
        <w:rPr>
          <w:rFonts w:ascii="宋体" w:hAnsi="宋体" w:eastAsia="宋体" w:cs="宋体"/>
        </w:rPr>
      </w:pPr>
      <w:r>
        <w:rPr>
          <w:rFonts w:hint="eastAsia" w:ascii="宋体" w:hAnsi="宋体" w:eastAsia="宋体" w:cs="宋体"/>
        </w:rPr>
        <w:t>3、本合同未尽事宜，遵照《合同法》有关条文执行。</w:t>
      </w:r>
    </w:p>
    <w:p>
      <w:pPr>
        <w:snapToGrid w:val="0"/>
        <w:spacing w:line="400" w:lineRule="exact"/>
        <w:ind w:firstLine="417" w:firstLineChars="199"/>
        <w:rPr>
          <w:rFonts w:ascii="宋体" w:hAnsi="宋体" w:cs="宋体"/>
          <w:szCs w:val="21"/>
        </w:rPr>
      </w:pPr>
      <w:r>
        <w:rPr>
          <w:rFonts w:hint="eastAsia" w:ascii="宋体" w:hAnsi="宋体" w:cs="宋体"/>
          <w:szCs w:val="21"/>
        </w:rPr>
        <w:t>4、本合同一式六份，具有同等法律效力，甲乙双方各执  份，采购代理公司执一份。</w:t>
      </w:r>
    </w:p>
    <w:p>
      <w:pPr>
        <w:spacing w:line="400" w:lineRule="exact"/>
        <w:ind w:firstLine="420" w:firstLineChars="200"/>
        <w:rPr>
          <w:rFonts w:ascii="宋体" w:hAnsi="宋体" w:cs="宋体"/>
          <w:szCs w:val="21"/>
        </w:rPr>
      </w:pP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7"/>
        <w:gridCol w:w="3018"/>
        <w:gridCol w:w="3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3017" w:type="dxa"/>
          </w:tcPr>
          <w:p>
            <w:pPr>
              <w:snapToGrid w:val="0"/>
              <w:spacing w:line="360" w:lineRule="exact"/>
              <w:rPr>
                <w:rFonts w:ascii="宋体" w:hAnsi="宋体" w:cs="宋体"/>
                <w:szCs w:val="21"/>
              </w:rPr>
            </w:pPr>
            <w:r>
              <w:rPr>
                <w:rFonts w:hint="eastAsia" w:ascii="宋体" w:hAnsi="宋体" w:cs="宋体"/>
                <w:szCs w:val="21"/>
              </w:rPr>
              <w:t>甲方：</w:t>
            </w:r>
          </w:p>
          <w:p>
            <w:pPr>
              <w:snapToGrid w:val="0"/>
              <w:spacing w:line="360" w:lineRule="exact"/>
              <w:rPr>
                <w:rFonts w:ascii="宋体" w:hAnsi="宋体" w:cs="宋体"/>
                <w:szCs w:val="21"/>
              </w:rPr>
            </w:pPr>
            <w:r>
              <w:rPr>
                <w:rFonts w:hint="eastAsia" w:ascii="宋体" w:hAnsi="宋体" w:cs="宋体"/>
                <w:szCs w:val="21"/>
              </w:rPr>
              <w:t>地址：</w:t>
            </w:r>
          </w:p>
          <w:p>
            <w:pPr>
              <w:snapToGrid w:val="0"/>
              <w:spacing w:line="360" w:lineRule="exact"/>
              <w:rPr>
                <w:rFonts w:ascii="宋体" w:hAnsi="宋体" w:cs="宋体"/>
                <w:szCs w:val="21"/>
              </w:rPr>
            </w:pPr>
            <w:r>
              <w:rPr>
                <w:rFonts w:hint="eastAsia" w:ascii="宋体" w:hAnsi="宋体" w:cs="宋体"/>
                <w:szCs w:val="21"/>
              </w:rPr>
              <w:t xml:space="preserve">法定（授权）代表人：  </w:t>
            </w:r>
          </w:p>
          <w:p>
            <w:pPr>
              <w:snapToGrid w:val="0"/>
              <w:spacing w:line="360" w:lineRule="exact"/>
              <w:rPr>
                <w:rFonts w:ascii="宋体" w:hAnsi="宋体" w:cs="宋体"/>
                <w:szCs w:val="21"/>
              </w:rPr>
            </w:pPr>
            <w:r>
              <w:rPr>
                <w:rFonts w:hint="eastAsia" w:ascii="宋体" w:hAnsi="宋体" w:cs="宋体"/>
                <w:szCs w:val="21"/>
              </w:rPr>
              <w:t xml:space="preserve">签字日期： 年  月  日   </w:t>
            </w:r>
          </w:p>
        </w:tc>
        <w:tc>
          <w:tcPr>
            <w:tcW w:w="3018" w:type="dxa"/>
            <w:tcBorders>
              <w:right w:val="single" w:color="auto" w:sz="4" w:space="0"/>
            </w:tcBorders>
          </w:tcPr>
          <w:p>
            <w:pPr>
              <w:snapToGrid w:val="0"/>
              <w:spacing w:line="360" w:lineRule="exact"/>
              <w:ind w:left="420" w:hanging="420" w:hangingChars="200"/>
              <w:rPr>
                <w:rFonts w:ascii="宋体" w:hAnsi="宋体" w:cs="宋体"/>
                <w:szCs w:val="21"/>
              </w:rPr>
            </w:pPr>
            <w:r>
              <w:rPr>
                <w:rFonts w:hint="eastAsia" w:ascii="宋体" w:hAnsi="宋体" w:cs="宋体"/>
                <w:szCs w:val="21"/>
              </w:rPr>
              <w:t xml:space="preserve">乙方： </w:t>
            </w:r>
          </w:p>
          <w:p>
            <w:pPr>
              <w:snapToGrid w:val="0"/>
              <w:spacing w:line="360" w:lineRule="exact"/>
              <w:rPr>
                <w:rFonts w:ascii="宋体" w:hAnsi="宋体" w:cs="宋体"/>
                <w:szCs w:val="21"/>
              </w:rPr>
            </w:pPr>
            <w:r>
              <w:rPr>
                <w:rFonts w:hint="eastAsia" w:ascii="宋体" w:hAnsi="宋体" w:cs="宋体"/>
                <w:szCs w:val="21"/>
              </w:rPr>
              <w:t xml:space="preserve">地址： </w:t>
            </w:r>
          </w:p>
          <w:p>
            <w:pPr>
              <w:snapToGrid w:val="0"/>
              <w:spacing w:line="360" w:lineRule="exact"/>
              <w:rPr>
                <w:rFonts w:ascii="宋体" w:hAnsi="宋体" w:cs="宋体"/>
                <w:szCs w:val="21"/>
              </w:rPr>
            </w:pPr>
            <w:r>
              <w:rPr>
                <w:rFonts w:hint="eastAsia" w:ascii="宋体" w:hAnsi="宋体" w:cs="宋体"/>
                <w:szCs w:val="21"/>
              </w:rPr>
              <w:t>法定（授权）代表人：</w:t>
            </w:r>
          </w:p>
          <w:p>
            <w:pPr>
              <w:snapToGrid w:val="0"/>
              <w:spacing w:line="360" w:lineRule="exact"/>
              <w:rPr>
                <w:rFonts w:ascii="宋体" w:hAnsi="宋体" w:cs="宋体"/>
                <w:szCs w:val="21"/>
              </w:rPr>
            </w:pPr>
            <w:r>
              <w:rPr>
                <w:rFonts w:hint="eastAsia" w:ascii="宋体" w:hAnsi="宋体" w:cs="宋体"/>
                <w:szCs w:val="21"/>
              </w:rPr>
              <w:t>签字日期：   年  月  日</w:t>
            </w:r>
          </w:p>
        </w:tc>
        <w:tc>
          <w:tcPr>
            <w:tcW w:w="3433" w:type="dxa"/>
          </w:tcPr>
          <w:p>
            <w:pPr>
              <w:snapToGrid w:val="0"/>
              <w:spacing w:line="360" w:lineRule="exact"/>
              <w:rPr>
                <w:rFonts w:ascii="宋体" w:hAnsi="宋体" w:cs="宋体"/>
                <w:szCs w:val="21"/>
              </w:rPr>
            </w:pPr>
            <w:r>
              <w:rPr>
                <w:rFonts w:hint="eastAsia" w:ascii="宋体" w:hAnsi="宋体" w:cs="宋体"/>
                <w:szCs w:val="21"/>
              </w:rPr>
              <w:t>代理机构鉴证：</w:t>
            </w:r>
          </w:p>
          <w:p>
            <w:pPr>
              <w:snapToGrid w:val="0"/>
              <w:spacing w:line="360" w:lineRule="exact"/>
              <w:rPr>
                <w:rFonts w:ascii="宋体" w:hAnsi="宋体" w:cs="宋体"/>
                <w:szCs w:val="21"/>
              </w:rPr>
            </w:pPr>
          </w:p>
          <w:p>
            <w:pPr>
              <w:snapToGrid w:val="0"/>
              <w:spacing w:line="360" w:lineRule="exact"/>
              <w:rPr>
                <w:rFonts w:ascii="宋体" w:hAnsi="宋体" w:cs="宋体"/>
                <w:szCs w:val="21"/>
              </w:rPr>
            </w:pPr>
          </w:p>
          <w:p>
            <w:pPr>
              <w:snapToGrid w:val="0"/>
              <w:spacing w:line="360" w:lineRule="exact"/>
              <w:rPr>
                <w:rFonts w:ascii="宋体" w:hAnsi="宋体" w:cs="宋体"/>
                <w:szCs w:val="21"/>
              </w:rPr>
            </w:pPr>
            <w:r>
              <w:rPr>
                <w:rFonts w:hint="eastAsia" w:ascii="宋体" w:hAnsi="宋体" w:cs="宋体"/>
                <w:szCs w:val="21"/>
              </w:rPr>
              <w:t>签字日期：    年  月  日</w:t>
            </w:r>
          </w:p>
        </w:tc>
      </w:tr>
    </w:tbl>
    <w:p>
      <w:pPr>
        <w:spacing w:beforeLines="10" w:line="400" w:lineRule="atLeast"/>
        <w:jc w:val="left"/>
        <w:rPr>
          <w:rFonts w:ascii="宋体" w:hAnsi="宋体" w:cs="宋体"/>
          <w:b/>
          <w:szCs w:val="21"/>
        </w:rPr>
      </w:pPr>
      <w:r>
        <w:rPr>
          <w:rFonts w:hint="eastAsia" w:ascii="宋体" w:hAnsi="宋体" w:cs="宋体"/>
          <w:b/>
          <w:szCs w:val="21"/>
        </w:rPr>
        <w:t>附件：1、养护清单</w:t>
      </w:r>
    </w:p>
    <w:p>
      <w:pPr>
        <w:spacing w:beforeLines="10" w:line="400" w:lineRule="atLeast"/>
        <w:jc w:val="left"/>
        <w:rPr>
          <w:rFonts w:ascii="宋体" w:hAnsi="宋体" w:cs="宋体"/>
          <w:b/>
          <w:szCs w:val="21"/>
        </w:rPr>
      </w:pPr>
      <w:r>
        <w:rPr>
          <w:rFonts w:hint="eastAsia" w:ascii="宋体" w:hAnsi="宋体" w:cs="宋体"/>
          <w:b/>
          <w:szCs w:val="21"/>
        </w:rPr>
        <w:t xml:space="preserve">       2、滨江区市政管网清淤考核办法</w:t>
      </w:r>
    </w:p>
    <w:p>
      <w:pPr>
        <w:rPr>
          <w:rFonts w:ascii="宋体" w:hAnsi="宋体" w:cs="宋体"/>
          <w:szCs w:val="21"/>
        </w:rPr>
      </w:pPr>
    </w:p>
    <w:p>
      <w:pPr>
        <w:shd w:val="clear" w:color="auto" w:fill="FFFFFF"/>
        <w:snapToGrid w:val="0"/>
        <w:spacing w:line="360" w:lineRule="auto"/>
        <w:rPr>
          <w:rFonts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 xml:space="preserve"> 此仅为合同书样本，中标单位需根据实际情况和采购人签订相应的合同！</w:t>
      </w:r>
      <w:bookmarkEnd w:id="43"/>
      <w:bookmarkEnd w:id="44"/>
      <w:bookmarkEnd w:id="45"/>
      <w:bookmarkEnd w:id="46"/>
      <w:bookmarkEnd w:id="47"/>
    </w:p>
    <w:p>
      <w:pPr>
        <w:pStyle w:val="2"/>
        <w:snapToGrid w:val="0"/>
        <w:rPr>
          <w:rFonts w:ascii="宋体" w:hAnsi="宋体" w:eastAsia="宋体" w:cs="宋体"/>
          <w:sz w:val="21"/>
          <w:szCs w:val="21"/>
        </w:rPr>
      </w:pPr>
    </w:p>
    <w:p>
      <w:pPr>
        <w:adjustRightInd w:val="0"/>
        <w:snapToGrid w:val="0"/>
        <w:spacing w:beforeLines="50" w:afterLines="50" w:line="360" w:lineRule="auto"/>
        <w:jc w:val="center"/>
        <w:outlineLvl w:val="0"/>
        <w:rPr>
          <w:rFonts w:ascii="宋体" w:hAnsi="宋体" w:cs="宋体"/>
          <w:b/>
          <w:sz w:val="30"/>
          <w:szCs w:val="30"/>
        </w:rPr>
      </w:pPr>
      <w:r>
        <w:rPr>
          <w:rFonts w:hint="eastAsia" w:ascii="宋体" w:hAnsi="宋体" w:cs="宋体"/>
          <w:b/>
          <w:szCs w:val="21"/>
        </w:rPr>
        <w:br w:type="page"/>
      </w:r>
      <w:bookmarkStart w:id="50" w:name="_Toc14349"/>
      <w:bookmarkStart w:id="51" w:name="_Toc5797"/>
      <w:r>
        <w:rPr>
          <w:rFonts w:hint="eastAsia" w:ascii="宋体" w:hAnsi="宋体" w:cs="宋体"/>
          <w:b/>
          <w:sz w:val="30"/>
          <w:szCs w:val="30"/>
        </w:rPr>
        <w:t>第五部分  评标办法（综合评分法）</w:t>
      </w:r>
      <w:bookmarkEnd w:id="48"/>
      <w:bookmarkEnd w:id="49"/>
      <w:bookmarkEnd w:id="50"/>
      <w:bookmarkEnd w:id="51"/>
    </w:p>
    <w:p>
      <w:pPr>
        <w:tabs>
          <w:tab w:val="left" w:pos="735"/>
        </w:tabs>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hint="eastAsia" w:ascii="宋体" w:hAnsi="宋体" w:cs="宋体"/>
          <w:szCs w:val="21"/>
        </w:rPr>
        <w:t>。</w:t>
      </w:r>
    </w:p>
    <w:p>
      <w:pPr>
        <w:pStyle w:val="4"/>
        <w:snapToGrid w:val="0"/>
        <w:spacing w:beforeLines="50" w:afterLines="50" w:line="360" w:lineRule="auto"/>
        <w:rPr>
          <w:rFonts w:ascii="宋体" w:hAnsi="宋体" w:eastAsia="宋体" w:cs="宋体"/>
          <w:sz w:val="21"/>
          <w:szCs w:val="21"/>
        </w:rPr>
      </w:pPr>
      <w:bookmarkStart w:id="52" w:name="_Toc23715"/>
      <w:bookmarkStart w:id="53" w:name="_Toc9435"/>
      <w:bookmarkStart w:id="54" w:name="_Toc249760791"/>
      <w:bookmarkStart w:id="55" w:name="_Toc251566662"/>
      <w:r>
        <w:rPr>
          <w:rFonts w:hint="eastAsia" w:ascii="宋体" w:hAnsi="宋体" w:eastAsia="宋体" w:cs="宋体"/>
          <w:sz w:val="21"/>
          <w:szCs w:val="21"/>
        </w:rPr>
        <w:t>一、总则</w:t>
      </w:r>
      <w:bookmarkEnd w:id="52"/>
      <w:bookmarkEnd w:id="53"/>
      <w:bookmarkEnd w:id="54"/>
      <w:bookmarkEnd w:id="55"/>
    </w:p>
    <w:p>
      <w:pPr>
        <w:adjustRightInd w:val="0"/>
        <w:snapToGrid w:val="0"/>
        <w:spacing w:line="360" w:lineRule="auto"/>
        <w:ind w:firstLine="420" w:firstLineChars="200"/>
        <w:rPr>
          <w:rFonts w:ascii="宋体" w:hAnsi="宋体" w:cs="宋体"/>
          <w:snapToGrid w:val="0"/>
          <w:kern w:val="0"/>
          <w:szCs w:val="21"/>
        </w:rPr>
      </w:pPr>
      <w:bookmarkStart w:id="56" w:name="_Toc251566663"/>
      <w:bookmarkStart w:id="57" w:name="_Toc249760792"/>
      <w:r>
        <w:rPr>
          <w:rFonts w:hint="eastAsia" w:ascii="宋体" w:hAnsi="宋体" w:cs="宋体"/>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
        <w:snapToGrid w:val="0"/>
        <w:spacing w:beforeLines="50" w:afterLines="50" w:line="360" w:lineRule="auto"/>
        <w:rPr>
          <w:rFonts w:ascii="宋体" w:hAnsi="宋体" w:eastAsia="宋体" w:cs="宋体"/>
          <w:sz w:val="21"/>
          <w:szCs w:val="21"/>
        </w:rPr>
      </w:pPr>
      <w:bookmarkStart w:id="58" w:name="_Toc22739"/>
      <w:bookmarkStart w:id="59" w:name="_Toc9032"/>
      <w:r>
        <w:rPr>
          <w:rFonts w:hint="eastAsia" w:ascii="宋体" w:hAnsi="宋体" w:eastAsia="宋体" w:cs="宋体"/>
          <w:sz w:val="21"/>
          <w:szCs w:val="21"/>
        </w:rPr>
        <w:t>二、评标组织</w:t>
      </w:r>
      <w:bookmarkEnd w:id="56"/>
      <w:bookmarkEnd w:id="57"/>
      <w:bookmarkEnd w:id="58"/>
      <w:bookmarkEnd w:id="59"/>
    </w:p>
    <w:p>
      <w:pPr>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评标工作由招标采购单位负责组织，依法组建由奇数的人员组成的评标委员会，负责对投标文件进行审查、质询、评审等。评标委员会由政府采购相关专家等组成，其中政府采购专家不得少于成员总数的三分之二</w:t>
      </w:r>
      <w:r>
        <w:rPr>
          <w:rFonts w:hint="eastAsia" w:ascii="宋体" w:hAnsi="宋体" w:cs="宋体"/>
          <w:szCs w:val="21"/>
        </w:rPr>
        <w:t>。</w:t>
      </w:r>
    </w:p>
    <w:p>
      <w:pPr>
        <w:pStyle w:val="4"/>
        <w:snapToGrid w:val="0"/>
        <w:spacing w:beforeLines="50" w:afterLines="50" w:line="360" w:lineRule="auto"/>
        <w:rPr>
          <w:rFonts w:ascii="宋体" w:hAnsi="宋体" w:eastAsia="宋体" w:cs="宋体"/>
          <w:sz w:val="21"/>
          <w:szCs w:val="21"/>
        </w:rPr>
      </w:pPr>
      <w:bookmarkStart w:id="60" w:name="_Toc31345"/>
      <w:bookmarkStart w:id="61" w:name="_Toc249760793"/>
      <w:bookmarkStart w:id="62" w:name="_Toc44"/>
      <w:bookmarkStart w:id="63" w:name="_Toc251566664"/>
      <w:r>
        <w:rPr>
          <w:rFonts w:hint="eastAsia" w:ascii="宋体" w:hAnsi="宋体" w:eastAsia="宋体" w:cs="宋体"/>
          <w:sz w:val="21"/>
          <w:szCs w:val="21"/>
        </w:rPr>
        <w:t>三、评标纪律</w:t>
      </w:r>
      <w:bookmarkEnd w:id="60"/>
      <w:bookmarkEnd w:id="61"/>
      <w:bookmarkEnd w:id="62"/>
      <w:bookmarkEnd w:id="63"/>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1．评标是招标工作的重要环节，评标工作在评标委员会内独立进行。评标委员会将按照评标原则的要求，公正、平等地对待所有投标人。</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2．所有评标人员应忠于职守、廉洁自律、秉公办事、不徇私情。</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3．评标人员不得接受或参加投标人或与投标有关的单位、组织或个人的有碍公务的宴请、娱乐活动等，不得以任何形式弄虚作假。</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4．评标期间，评标人员不得随意出入评标地点、与外界通讯、会客等。</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8．评标结束后，各评标人员应将全部资料整理上交采购人，严禁将评标过程中的任何资料带出评标现场向投标人或其他单位提供。</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9．在中标结果公布前应对评标委员会成员名单予以保密。</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10．评标委员会对各投标人的商业秘密予以保密。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11．评标委员会成员应当客观、公正地履行职责，遵守职业道德，对所提出的评审意见承担个人责任。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12．在整个评标过程中，投标人企图影响招标结果的任何活动，可能导致其投标失败。如有违法行为，将依法追究其法律责任。</w:t>
      </w:r>
    </w:p>
    <w:p>
      <w:pPr>
        <w:pStyle w:val="4"/>
        <w:snapToGrid w:val="0"/>
        <w:spacing w:beforeLines="50" w:afterLines="50" w:line="360" w:lineRule="auto"/>
        <w:rPr>
          <w:rFonts w:ascii="宋体" w:hAnsi="宋体" w:eastAsia="宋体" w:cs="宋体"/>
          <w:b w:val="0"/>
          <w:sz w:val="21"/>
          <w:szCs w:val="21"/>
        </w:rPr>
      </w:pPr>
      <w:bookmarkStart w:id="64" w:name="_Toc249760794"/>
      <w:bookmarkStart w:id="65" w:name="_Toc5877"/>
      <w:bookmarkStart w:id="66" w:name="_Toc251566665"/>
      <w:bookmarkStart w:id="67" w:name="_Toc9976"/>
      <w:r>
        <w:rPr>
          <w:rFonts w:hint="eastAsia" w:ascii="宋体" w:hAnsi="宋体" w:eastAsia="宋体" w:cs="宋体"/>
          <w:sz w:val="21"/>
          <w:szCs w:val="21"/>
        </w:rPr>
        <w:t>四、评标程序</w:t>
      </w:r>
      <w:bookmarkEnd w:id="64"/>
      <w:bookmarkEnd w:id="65"/>
      <w:bookmarkEnd w:id="66"/>
      <w:bookmarkEnd w:id="67"/>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1．本项目采用不公开方式评标，评标的依据为采购文件和投标文件。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2．熟悉采购文件和评标办法。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3．采购代理机构按照采购文件规定的时间、地点及程序组织评审。流程如下：</w:t>
      </w:r>
    </w:p>
    <w:p>
      <w:pPr>
        <w:numPr>
          <w:ilvl w:val="1"/>
          <w:numId w:val="18"/>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开启评审场地的录音录像采集设备，并确保其正常运行。</w:t>
      </w:r>
    </w:p>
    <w:p>
      <w:pPr>
        <w:numPr>
          <w:ilvl w:val="1"/>
          <w:numId w:val="18"/>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核验出席评审活动现场的评审小组各成员和相关监督人员身份，并要求其分别登记、签到，按规定统一收缴、保存其通讯工具，无关人员一律拒绝其进入评审现场。</w:t>
      </w:r>
    </w:p>
    <w:p>
      <w:pPr>
        <w:numPr>
          <w:ilvl w:val="1"/>
          <w:numId w:val="18"/>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介绍评审现场的人员情况，宣布评审工作纪律，告知评审人员应当回避情形；组织推选评审小组组长。</w:t>
      </w:r>
    </w:p>
    <w:p>
      <w:pPr>
        <w:numPr>
          <w:ilvl w:val="1"/>
          <w:numId w:val="18"/>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通报报名参加本项目采购的投标人名单及资格预审情况（如有），宣读最终提交采购响应文件的投标人名单，组织评审小组各位成员签订《政府采购评审人员廉洁自律承诺书》。</w:t>
      </w:r>
    </w:p>
    <w:p>
      <w:pPr>
        <w:numPr>
          <w:ilvl w:val="1"/>
          <w:numId w:val="18"/>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根据需要简要介绍采购文件（含补充文件）制定及质疑答复情况、按书面陈述项目基本情况及评审工作需注意事项等。</w:t>
      </w:r>
    </w:p>
    <w:p>
      <w:pPr>
        <w:numPr>
          <w:ilvl w:val="1"/>
          <w:numId w:val="18"/>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评审小组组长组织评审人员独立评审。评标程序见本文件投标须知第21.4条。</w:t>
      </w:r>
    </w:p>
    <w:p>
      <w:pPr>
        <w:tabs>
          <w:tab w:val="left" w:pos="851"/>
          <w:tab w:val="left" w:pos="993"/>
        </w:tabs>
        <w:adjustRightInd w:val="0"/>
        <w:snapToGrid w:val="0"/>
        <w:spacing w:line="360" w:lineRule="auto"/>
        <w:ind w:firstLine="420" w:firstLineChars="200"/>
        <w:rPr>
          <w:rFonts w:ascii="宋体" w:hAnsi="宋体" w:cs="宋体"/>
          <w:szCs w:val="21"/>
        </w:rPr>
      </w:pPr>
      <w:r>
        <w:rPr>
          <w:rFonts w:hint="eastAsia" w:ascii="宋体" w:hAnsi="宋体" w:cs="宋体"/>
          <w:szCs w:val="21"/>
        </w:rPr>
        <w:t>评审小组对拟认定为采购响应文件无效、投标人资格不符合的，应组织相关投标人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numPr>
          <w:ilvl w:val="1"/>
          <w:numId w:val="18"/>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评审小组根据评审汇总情况和采购文件规定确定中标（成交）候选供应商排序名单。</w:t>
      </w:r>
    </w:p>
    <w:p>
      <w:pPr>
        <w:numPr>
          <w:ilvl w:val="1"/>
          <w:numId w:val="18"/>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起草评审报告，所有评审人员须在评审报告上签字确认。</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评标报告是评标委员会根据全体评标成员签字的原始评标记录和评标结果编写的报告，其主要内容包括：</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（1）采购公告刊登的媒体名称、开标日期和地点；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（2）购买采购文件的投标人名单和评标委员会成员名单；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（3）评标方法和标准；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（4）开标记录和评标情况及说明，包括投标无效投标人名单及原因；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（5）评标结果和中标候选人排序；</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（6）评标委员会的授标建议。</w:t>
      </w:r>
    </w:p>
    <w:p>
      <w:pPr>
        <w:pStyle w:val="4"/>
        <w:snapToGrid w:val="0"/>
        <w:spacing w:beforeLines="50" w:afterLines="50" w:line="360" w:lineRule="auto"/>
        <w:rPr>
          <w:rFonts w:ascii="宋体" w:hAnsi="宋体" w:eastAsia="宋体" w:cs="宋体"/>
          <w:sz w:val="21"/>
          <w:szCs w:val="21"/>
        </w:rPr>
      </w:pPr>
      <w:bookmarkStart w:id="68" w:name="_Toc251566666"/>
      <w:bookmarkStart w:id="69" w:name="_Toc249760795"/>
      <w:bookmarkStart w:id="70" w:name="_Toc19041"/>
      <w:bookmarkStart w:id="71" w:name="_Toc20349"/>
      <w:r>
        <w:rPr>
          <w:rFonts w:hint="eastAsia" w:ascii="宋体" w:hAnsi="宋体" w:eastAsia="宋体" w:cs="宋体"/>
          <w:sz w:val="21"/>
          <w:szCs w:val="21"/>
        </w:rPr>
        <w:t>五、评标</w:t>
      </w:r>
      <w:bookmarkEnd w:id="68"/>
      <w:bookmarkEnd w:id="69"/>
      <w:r>
        <w:rPr>
          <w:rFonts w:hint="eastAsia" w:ascii="宋体" w:hAnsi="宋体" w:eastAsia="宋体" w:cs="宋体"/>
          <w:sz w:val="21"/>
          <w:szCs w:val="21"/>
        </w:rPr>
        <w:t>细则及标准</w:t>
      </w:r>
      <w:bookmarkEnd w:id="70"/>
      <w:bookmarkEnd w:id="71"/>
    </w:p>
    <w:p>
      <w:pPr>
        <w:autoSpaceDE w:val="0"/>
        <w:autoSpaceDN w:val="0"/>
        <w:adjustRightInd w:val="0"/>
        <w:spacing w:line="360" w:lineRule="auto"/>
        <w:ind w:firstLine="480"/>
        <w:rPr>
          <w:rFonts w:ascii="宋体" w:hAnsi="宋体" w:cs="宋体"/>
          <w:b/>
          <w:szCs w:val="21"/>
          <w:lang w:val="zh-CN"/>
        </w:rPr>
      </w:pPr>
      <w:r>
        <w:rPr>
          <w:rFonts w:hint="eastAsia" w:ascii="宋体" w:hAnsi="宋体" w:cs="宋体"/>
          <w:b/>
          <w:szCs w:val="21"/>
          <w:lang w:val="zh-CN"/>
        </w:rPr>
        <w:t>（一）</w:t>
      </w:r>
      <w:r>
        <w:rPr>
          <w:rFonts w:hint="eastAsia" w:ascii="宋体" w:hAnsi="宋体" w:cs="宋体"/>
          <w:b/>
          <w:szCs w:val="21"/>
        </w:rPr>
        <w:t>资信</w:t>
      </w:r>
      <w:r>
        <w:rPr>
          <w:rFonts w:hint="eastAsia" w:ascii="宋体" w:hAnsi="宋体" w:cs="宋体"/>
          <w:b/>
          <w:szCs w:val="21"/>
          <w:lang w:val="zh-CN"/>
        </w:rPr>
        <w:t>技术分（满分</w:t>
      </w:r>
      <w:r>
        <w:rPr>
          <w:rFonts w:hint="eastAsia" w:ascii="宋体" w:hAnsi="宋体" w:cs="宋体"/>
          <w:b/>
          <w:szCs w:val="21"/>
          <w:u w:val="single"/>
        </w:rPr>
        <w:t>85</w:t>
      </w:r>
      <w:r>
        <w:rPr>
          <w:rFonts w:hint="eastAsia" w:ascii="宋体" w:hAnsi="宋体" w:cs="宋体"/>
          <w:b/>
          <w:szCs w:val="21"/>
          <w:lang w:val="zh-CN"/>
        </w:rPr>
        <w:t>分）</w:t>
      </w:r>
    </w:p>
    <w:p>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lang w:val="zh-CN"/>
        </w:rPr>
        <w:t>评标委员会对各投标人的</w:t>
      </w:r>
      <w:r>
        <w:rPr>
          <w:rFonts w:hint="eastAsia" w:ascii="宋体" w:hAnsi="宋体" w:cs="宋体"/>
          <w:szCs w:val="21"/>
        </w:rPr>
        <w:t>资信</w:t>
      </w:r>
      <w:r>
        <w:rPr>
          <w:rFonts w:hint="eastAsia" w:ascii="宋体" w:hAnsi="宋体" w:cs="宋体"/>
          <w:szCs w:val="21"/>
          <w:lang w:val="zh-CN"/>
        </w:rPr>
        <w:t>技术充分审核、讨论及评议后，每人一份评分表，进行独自打分并签名。在统计得分时，如发现某一单项评分超过评分细则规定的分值范围，则该张评分表无效。投标人技术部分的得分为评标委员会各成员的有效评分的算术平均值。</w:t>
      </w:r>
    </w:p>
    <w:tbl>
      <w:tblPr>
        <w:tblStyle w:val="43"/>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87"/>
        <w:gridCol w:w="612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trPr>
        <w:tc>
          <w:tcPr>
            <w:tcW w:w="658" w:type="dxa"/>
            <w:vAlign w:val="center"/>
          </w:tcPr>
          <w:p>
            <w:pPr>
              <w:spacing w:line="360" w:lineRule="auto"/>
              <w:rPr>
                <w:rFonts w:ascii="宋体" w:hAnsi="宋体" w:cs="宋体"/>
                <w:color w:val="000000"/>
                <w:sz w:val="22"/>
                <w:szCs w:val="22"/>
              </w:rPr>
            </w:pPr>
            <w:r>
              <w:rPr>
                <w:rFonts w:hint="eastAsia" w:ascii="宋体" w:hAnsi="宋体" w:cs="宋体"/>
                <w:color w:val="000000"/>
                <w:sz w:val="22"/>
                <w:szCs w:val="22"/>
              </w:rPr>
              <w:t>序号</w:t>
            </w:r>
          </w:p>
        </w:tc>
        <w:tc>
          <w:tcPr>
            <w:tcW w:w="1587" w:type="dxa"/>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内容</w:t>
            </w:r>
          </w:p>
        </w:tc>
        <w:tc>
          <w:tcPr>
            <w:tcW w:w="6121" w:type="dxa"/>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评分标准</w:t>
            </w:r>
          </w:p>
        </w:tc>
        <w:tc>
          <w:tcPr>
            <w:tcW w:w="1014" w:type="dxa"/>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58" w:type="dxa"/>
            <w:vAlign w:val="center"/>
          </w:tcPr>
          <w:p>
            <w:pPr>
              <w:numPr>
                <w:ilvl w:val="0"/>
                <w:numId w:val="19"/>
              </w:numPr>
              <w:rPr>
                <w:rFonts w:ascii="宋体" w:hAnsi="宋体" w:cs="宋体"/>
                <w:color w:val="000000"/>
                <w:kern w:val="0"/>
                <w:szCs w:val="21"/>
              </w:rPr>
            </w:pPr>
          </w:p>
        </w:tc>
        <w:tc>
          <w:tcPr>
            <w:tcW w:w="1587" w:type="dxa"/>
            <w:vAlign w:val="center"/>
          </w:tcPr>
          <w:p>
            <w:pPr>
              <w:jc w:val="center"/>
              <w:rPr>
                <w:rFonts w:ascii="宋体" w:hAnsi="宋体" w:cs="宋体"/>
                <w:color w:val="000000"/>
                <w:szCs w:val="21"/>
              </w:rPr>
            </w:pPr>
            <w:r>
              <w:rPr>
                <w:rFonts w:hint="eastAsia" w:ascii="宋体" w:hAnsi="宋体" w:cs="宋体"/>
                <w:color w:val="000000"/>
                <w:szCs w:val="21"/>
              </w:rPr>
              <w:t>投标人管理体系认证证书</w:t>
            </w:r>
          </w:p>
        </w:tc>
        <w:tc>
          <w:tcPr>
            <w:tcW w:w="6121" w:type="dxa"/>
            <w:vAlign w:val="center"/>
          </w:tcPr>
          <w:p>
            <w:pPr>
              <w:pStyle w:val="84"/>
              <w:spacing w:before="11" w:line="320" w:lineRule="exact"/>
              <w:ind w:left="28" w:right="-15"/>
              <w:jc w:val="left"/>
              <w:rPr>
                <w:rFonts w:ascii="宋体" w:hAnsi="宋体" w:cs="宋体"/>
                <w:color w:val="000000"/>
                <w:sz w:val="21"/>
                <w:szCs w:val="21"/>
              </w:rPr>
            </w:pPr>
            <w:r>
              <w:rPr>
                <w:rFonts w:hint="eastAsia" w:ascii="宋体" w:hAnsi="宋体" w:cs="宋体"/>
                <w:color w:val="000000"/>
                <w:sz w:val="21"/>
                <w:szCs w:val="21"/>
              </w:rPr>
              <w:t>投标人具备职业健康安全管理体系认证，质量管理体系认证，环境管理体系，认证体系认证证书的认证范围须包含市政工程或管道养护或管道疏通或市政工程潜水作业内容且在有效期内每提供一个得1分，最高得3分。</w:t>
            </w:r>
          </w:p>
          <w:p>
            <w:pPr>
              <w:pStyle w:val="84"/>
              <w:spacing w:before="2" w:line="320" w:lineRule="exact"/>
              <w:ind w:left="28" w:right="-15"/>
              <w:jc w:val="left"/>
              <w:rPr>
                <w:rFonts w:ascii="宋体" w:hAnsi="宋体" w:cs="宋体"/>
                <w:b/>
                <w:bCs/>
                <w:color w:val="000000"/>
                <w:kern w:val="0"/>
                <w:sz w:val="21"/>
                <w:szCs w:val="21"/>
              </w:rPr>
            </w:pPr>
            <w:r>
              <w:rPr>
                <w:rFonts w:hint="eastAsia" w:ascii="宋体" w:hAnsi="宋体" w:cs="宋体"/>
                <w:color w:val="000000"/>
                <w:sz w:val="21"/>
                <w:szCs w:val="21"/>
              </w:rPr>
              <w:t>（提供认证证书复印件及中国国家认证认可监督管理委员会网站认证信息查询页面的打印件加盖公章，否则不予得分）</w:t>
            </w:r>
          </w:p>
        </w:tc>
        <w:tc>
          <w:tcPr>
            <w:tcW w:w="1014" w:type="dxa"/>
            <w:vAlign w:val="center"/>
          </w:tcPr>
          <w:p>
            <w:pPr>
              <w:jc w:val="center"/>
              <w:rPr>
                <w:rFonts w:ascii="宋体" w:hAnsi="宋体" w:cs="宋体"/>
                <w:b/>
                <w:bCs/>
                <w:color w:val="000000"/>
                <w:kern w:val="0"/>
                <w:szCs w:val="21"/>
              </w:rPr>
            </w:pPr>
            <w:r>
              <w:rPr>
                <w:rFonts w:hint="eastAsia" w:ascii="宋体" w:hAnsi="宋体" w:cs="宋体"/>
                <w:color w:val="000000"/>
                <w:kern w:val="0"/>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58" w:type="dxa"/>
            <w:vAlign w:val="center"/>
          </w:tcPr>
          <w:p>
            <w:pPr>
              <w:numPr>
                <w:ilvl w:val="0"/>
                <w:numId w:val="19"/>
              </w:numPr>
              <w:rPr>
                <w:rFonts w:ascii="宋体" w:hAnsi="宋体" w:cs="宋体"/>
                <w:color w:val="000000"/>
                <w:kern w:val="0"/>
                <w:szCs w:val="21"/>
              </w:rPr>
            </w:pPr>
          </w:p>
        </w:tc>
        <w:tc>
          <w:tcPr>
            <w:tcW w:w="1587" w:type="dxa"/>
            <w:vAlign w:val="center"/>
          </w:tcPr>
          <w:p>
            <w:pPr>
              <w:jc w:val="center"/>
              <w:rPr>
                <w:rFonts w:ascii="宋体" w:hAnsi="宋体" w:cs="宋体"/>
                <w:color w:val="000000"/>
                <w:szCs w:val="21"/>
              </w:rPr>
            </w:pPr>
            <w:r>
              <w:rPr>
                <w:rFonts w:hint="eastAsia" w:ascii="宋体" w:hAnsi="宋体" w:cs="宋体"/>
                <w:color w:val="000000"/>
                <w:szCs w:val="21"/>
              </w:rPr>
              <w:t>企业业绩</w:t>
            </w:r>
          </w:p>
        </w:tc>
        <w:tc>
          <w:tcPr>
            <w:tcW w:w="6121" w:type="dxa"/>
            <w:vAlign w:val="center"/>
          </w:tcPr>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2017 年以来（以合同签订日期为准），每提供一个市政排水管网养护项目业绩得 1 分；最高得5分（提供合同复印件加盖公章，未提供不得分）</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8" w:type="dxa"/>
            <w:vAlign w:val="center"/>
          </w:tcPr>
          <w:p>
            <w:pPr>
              <w:pStyle w:val="84"/>
              <w:numPr>
                <w:ilvl w:val="0"/>
                <w:numId w:val="19"/>
              </w:numPr>
              <w:ind w:right="75"/>
              <w:rPr>
                <w:rFonts w:ascii="宋体" w:hAnsi="宋体" w:cs="宋体"/>
                <w:color w:val="000000"/>
                <w:kern w:val="0"/>
                <w:sz w:val="21"/>
                <w:szCs w:val="21"/>
              </w:rPr>
            </w:pPr>
          </w:p>
        </w:tc>
        <w:tc>
          <w:tcPr>
            <w:tcW w:w="1587" w:type="dxa"/>
            <w:vAlign w:val="center"/>
          </w:tcPr>
          <w:p>
            <w:pPr>
              <w:jc w:val="center"/>
              <w:rPr>
                <w:rFonts w:ascii="宋体" w:hAnsi="宋体" w:cs="宋体"/>
                <w:color w:val="000000"/>
                <w:kern w:val="0"/>
                <w:szCs w:val="21"/>
              </w:rPr>
            </w:pPr>
            <w:r>
              <w:rPr>
                <w:rFonts w:hint="eastAsia" w:ascii="宋体" w:hAnsi="宋体" w:cs="宋体"/>
                <w:color w:val="000000"/>
                <w:szCs w:val="21"/>
              </w:rPr>
              <w:t>项目负责人</w:t>
            </w:r>
          </w:p>
        </w:tc>
        <w:tc>
          <w:tcPr>
            <w:tcW w:w="6121" w:type="dxa"/>
            <w:vAlign w:val="center"/>
          </w:tcPr>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本项目负责人具备给排水或市政专业工程师及以上职称或市政公用工程二级建造师及以上，得2分（提供证书复印件加盖公章，未提供不得分）。</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8" w:type="dxa"/>
            <w:vMerge w:val="restart"/>
            <w:vAlign w:val="center"/>
          </w:tcPr>
          <w:p>
            <w:pPr>
              <w:pStyle w:val="84"/>
              <w:numPr>
                <w:ilvl w:val="0"/>
                <w:numId w:val="19"/>
              </w:numPr>
              <w:spacing w:before="116"/>
              <w:ind w:right="75"/>
              <w:rPr>
                <w:rFonts w:ascii="宋体" w:hAnsi="宋体" w:cs="宋体"/>
                <w:color w:val="000000"/>
                <w:kern w:val="0"/>
                <w:sz w:val="21"/>
                <w:szCs w:val="21"/>
              </w:rPr>
            </w:pPr>
          </w:p>
        </w:tc>
        <w:tc>
          <w:tcPr>
            <w:tcW w:w="1587" w:type="dxa"/>
            <w:vMerge w:val="restart"/>
            <w:vAlign w:val="center"/>
          </w:tcPr>
          <w:p>
            <w:pPr>
              <w:jc w:val="center"/>
              <w:rPr>
                <w:rFonts w:ascii="宋体" w:hAnsi="宋体" w:cs="宋体"/>
                <w:color w:val="000000"/>
                <w:kern w:val="0"/>
                <w:szCs w:val="21"/>
              </w:rPr>
            </w:pPr>
            <w:r>
              <w:rPr>
                <w:rFonts w:hint="eastAsia" w:ascii="宋体" w:hAnsi="宋体" w:cs="宋体"/>
                <w:color w:val="000000"/>
                <w:szCs w:val="21"/>
              </w:rPr>
              <w:t>拟投项目作业人员</w:t>
            </w:r>
          </w:p>
        </w:tc>
        <w:tc>
          <w:tcPr>
            <w:tcW w:w="6121" w:type="dxa"/>
            <w:vAlign w:val="center"/>
          </w:tcPr>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投标人承诺最低投入本项目服务人员满足15人的基础上，每增加一人得0.5分，最高得3分。（提供上述人员近三个月的社保证明复印件加盖公章）</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8" w:type="dxa"/>
            <w:vMerge w:val="continue"/>
            <w:vAlign w:val="center"/>
          </w:tcPr>
          <w:p>
            <w:pPr>
              <w:pStyle w:val="84"/>
              <w:spacing w:before="116"/>
              <w:ind w:right="75"/>
              <w:rPr>
                <w:rFonts w:ascii="宋体" w:hAnsi="宋体" w:cs="宋体"/>
                <w:color w:val="000000"/>
                <w:kern w:val="0"/>
                <w:sz w:val="21"/>
                <w:szCs w:val="21"/>
              </w:rPr>
            </w:pPr>
          </w:p>
        </w:tc>
        <w:tc>
          <w:tcPr>
            <w:tcW w:w="1587" w:type="dxa"/>
            <w:vMerge w:val="continue"/>
            <w:vAlign w:val="center"/>
          </w:tcPr>
          <w:p>
            <w:pPr>
              <w:jc w:val="center"/>
              <w:rPr>
                <w:rFonts w:ascii="宋体" w:hAnsi="宋体" w:cs="宋体"/>
                <w:color w:val="000000"/>
                <w:szCs w:val="21"/>
              </w:rPr>
            </w:pPr>
          </w:p>
        </w:tc>
        <w:tc>
          <w:tcPr>
            <w:tcW w:w="6121" w:type="dxa"/>
            <w:vAlign w:val="center"/>
          </w:tcPr>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（1）拟投入人员具有有限空间相关作业证书，三人及以上得3分，两人得2分，一人得1分。</w:t>
            </w:r>
          </w:p>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（2）拟投入人员具有下水道养护工作业证书，三人及以上得3分，两人得2分，一人得1分。</w:t>
            </w:r>
          </w:p>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（提供相关证书复印件及上述人员投标人近三个月的社保证明复印件加盖公章）</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8" w:type="dxa"/>
            <w:vMerge w:val="restart"/>
            <w:vAlign w:val="center"/>
          </w:tcPr>
          <w:p>
            <w:pPr>
              <w:pStyle w:val="84"/>
              <w:numPr>
                <w:ilvl w:val="0"/>
                <w:numId w:val="19"/>
              </w:numPr>
              <w:ind w:right="75"/>
              <w:rPr>
                <w:rFonts w:ascii="宋体" w:hAnsi="宋体" w:cs="宋体"/>
                <w:color w:val="000000"/>
                <w:kern w:val="0"/>
                <w:sz w:val="21"/>
                <w:szCs w:val="21"/>
              </w:rPr>
            </w:pPr>
          </w:p>
        </w:tc>
        <w:tc>
          <w:tcPr>
            <w:tcW w:w="1587" w:type="dxa"/>
            <w:vMerge w:val="restart"/>
            <w:vAlign w:val="center"/>
          </w:tcPr>
          <w:p>
            <w:pPr>
              <w:jc w:val="center"/>
              <w:rPr>
                <w:rFonts w:ascii="宋体" w:hAnsi="宋体" w:cs="宋体"/>
                <w:color w:val="000000"/>
                <w:kern w:val="0"/>
                <w:szCs w:val="21"/>
              </w:rPr>
            </w:pPr>
            <w:r>
              <w:rPr>
                <w:rFonts w:hint="eastAsia" w:ascii="宋体" w:hAnsi="宋体" w:cs="宋体"/>
                <w:color w:val="000000"/>
                <w:szCs w:val="21"/>
              </w:rPr>
              <w:t>拟投项目设备</w:t>
            </w:r>
          </w:p>
        </w:tc>
        <w:tc>
          <w:tcPr>
            <w:tcW w:w="6121" w:type="dxa"/>
            <w:vAlign w:val="center"/>
          </w:tcPr>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投标人具有专业的管道冲洗疏通设备符合相关技术要求：（证明材料：提供设备发票复印件、技术参数说明书复印件及设备的照片复印件，设备租赁的除提供前述证明材料外还须提供租赁合同或租赁协议复印件，未提供不得分）（4 分）</w:t>
            </w:r>
          </w:p>
        </w:tc>
        <w:tc>
          <w:tcPr>
            <w:tcW w:w="1014" w:type="dxa"/>
            <w:vMerge w:val="restart"/>
            <w:vAlign w:val="center"/>
          </w:tcPr>
          <w:p>
            <w:pPr>
              <w:jc w:val="center"/>
              <w:rPr>
                <w:rFonts w:ascii="宋体" w:hAnsi="宋体" w:cs="宋体"/>
                <w:color w:val="000000"/>
                <w:kern w:val="0"/>
                <w:szCs w:val="21"/>
              </w:rPr>
            </w:pPr>
            <w:r>
              <w:rPr>
                <w:rFonts w:hint="eastAsia" w:ascii="宋体" w:hAnsi="宋体" w:cs="宋体"/>
                <w:color w:val="000000"/>
                <w:kern w:val="0"/>
                <w:szCs w:val="21"/>
              </w:rPr>
              <w:t>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8" w:type="dxa"/>
            <w:vMerge w:val="continue"/>
            <w:vAlign w:val="center"/>
          </w:tcPr>
          <w:p>
            <w:pPr>
              <w:pStyle w:val="84"/>
              <w:ind w:left="425" w:right="75" w:hanging="425"/>
              <w:rPr>
                <w:rFonts w:ascii="宋体" w:hAnsi="宋体" w:cs="宋体"/>
                <w:color w:val="000000"/>
                <w:kern w:val="0"/>
                <w:sz w:val="21"/>
                <w:szCs w:val="21"/>
              </w:rPr>
            </w:pPr>
          </w:p>
        </w:tc>
        <w:tc>
          <w:tcPr>
            <w:tcW w:w="1587" w:type="dxa"/>
            <w:vMerge w:val="continue"/>
            <w:vAlign w:val="center"/>
          </w:tcPr>
          <w:p>
            <w:pPr>
              <w:jc w:val="center"/>
              <w:rPr>
                <w:rFonts w:ascii="宋体" w:hAnsi="宋体" w:cs="宋体"/>
                <w:color w:val="000000"/>
                <w:szCs w:val="21"/>
              </w:rPr>
            </w:pPr>
          </w:p>
        </w:tc>
        <w:tc>
          <w:tcPr>
            <w:tcW w:w="6121" w:type="dxa"/>
            <w:vAlign w:val="center"/>
          </w:tcPr>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投标人具有专业管道清洗车（证明材料：同时提供车辆的照片复印件、行驶证复印件、车辆登记证明复印件及车辆发票复印件，车辆租赁的除提供前述证明材料外还须提供租赁合同或租赁协议复印件，未提供不得分）（4 分）</w:t>
            </w:r>
          </w:p>
        </w:tc>
        <w:tc>
          <w:tcPr>
            <w:tcW w:w="1014" w:type="dxa"/>
            <w:vMerge w:val="continue"/>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8" w:type="dxa"/>
            <w:vMerge w:val="continue"/>
            <w:vAlign w:val="center"/>
          </w:tcPr>
          <w:p>
            <w:pPr>
              <w:pStyle w:val="84"/>
              <w:ind w:left="425" w:right="75" w:hanging="425"/>
              <w:rPr>
                <w:rFonts w:ascii="宋体" w:hAnsi="宋体" w:cs="宋体"/>
                <w:color w:val="000000"/>
                <w:kern w:val="0"/>
                <w:sz w:val="21"/>
                <w:szCs w:val="21"/>
              </w:rPr>
            </w:pPr>
          </w:p>
        </w:tc>
        <w:tc>
          <w:tcPr>
            <w:tcW w:w="1587" w:type="dxa"/>
            <w:vMerge w:val="continue"/>
            <w:vAlign w:val="center"/>
          </w:tcPr>
          <w:p>
            <w:pPr>
              <w:jc w:val="center"/>
              <w:rPr>
                <w:rFonts w:ascii="宋体" w:hAnsi="宋体" w:cs="宋体"/>
                <w:color w:val="000000"/>
                <w:szCs w:val="21"/>
              </w:rPr>
            </w:pPr>
          </w:p>
        </w:tc>
        <w:tc>
          <w:tcPr>
            <w:tcW w:w="6121" w:type="dxa"/>
            <w:vAlign w:val="center"/>
          </w:tcPr>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投标人自有运输工具车（证明材料：同时提供车辆的照片复印件、行驶证复印件、车辆登记证明复印件及车辆发票复印件，车辆租赁的除提供前述证明材料外还须提供租赁合同或租赁协议复印件，未提供不得分）（4 分）</w:t>
            </w:r>
          </w:p>
        </w:tc>
        <w:tc>
          <w:tcPr>
            <w:tcW w:w="1014" w:type="dxa"/>
            <w:vMerge w:val="continue"/>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8" w:type="dxa"/>
            <w:vMerge w:val="continue"/>
            <w:vAlign w:val="center"/>
          </w:tcPr>
          <w:p>
            <w:pPr>
              <w:pStyle w:val="84"/>
              <w:ind w:left="425" w:right="75" w:hanging="425"/>
              <w:rPr>
                <w:rFonts w:ascii="宋体" w:hAnsi="宋体" w:cs="宋体"/>
                <w:color w:val="000000"/>
                <w:kern w:val="0"/>
                <w:sz w:val="21"/>
                <w:szCs w:val="21"/>
              </w:rPr>
            </w:pPr>
          </w:p>
        </w:tc>
        <w:tc>
          <w:tcPr>
            <w:tcW w:w="1587" w:type="dxa"/>
            <w:vMerge w:val="continue"/>
            <w:vAlign w:val="center"/>
          </w:tcPr>
          <w:p>
            <w:pPr>
              <w:pStyle w:val="84"/>
              <w:ind w:left="425" w:right="75" w:hanging="425"/>
              <w:jc w:val="center"/>
              <w:rPr>
                <w:rFonts w:ascii="宋体" w:hAnsi="宋体" w:cs="宋体"/>
                <w:color w:val="000000"/>
                <w:sz w:val="21"/>
                <w:szCs w:val="21"/>
              </w:rPr>
            </w:pPr>
          </w:p>
        </w:tc>
        <w:tc>
          <w:tcPr>
            <w:tcW w:w="6121" w:type="dxa"/>
            <w:vAlign w:val="center"/>
          </w:tcPr>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投标人自有有毒气体设备检测仪（需提供设备的照片复印件、发票清晰扫描件，设备租赁的除提供前述证明材料外还须提供租赁合同或租赁协议复印件，未提供不得分）（4分）</w:t>
            </w:r>
          </w:p>
        </w:tc>
        <w:tc>
          <w:tcPr>
            <w:tcW w:w="1014" w:type="dxa"/>
            <w:vMerge w:val="continue"/>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8" w:type="dxa"/>
            <w:vMerge w:val="continue"/>
            <w:vAlign w:val="center"/>
          </w:tcPr>
          <w:p>
            <w:pPr>
              <w:pStyle w:val="84"/>
              <w:ind w:left="425" w:right="75" w:hanging="425"/>
              <w:rPr>
                <w:rFonts w:ascii="宋体" w:hAnsi="宋体" w:cs="宋体"/>
                <w:color w:val="000000"/>
                <w:kern w:val="0"/>
                <w:sz w:val="21"/>
                <w:szCs w:val="21"/>
              </w:rPr>
            </w:pPr>
          </w:p>
        </w:tc>
        <w:tc>
          <w:tcPr>
            <w:tcW w:w="1587" w:type="dxa"/>
            <w:vMerge w:val="continue"/>
            <w:vAlign w:val="center"/>
          </w:tcPr>
          <w:p>
            <w:pPr>
              <w:pStyle w:val="84"/>
              <w:ind w:left="425" w:right="75" w:hanging="425"/>
              <w:jc w:val="center"/>
              <w:rPr>
                <w:rFonts w:ascii="宋体" w:hAnsi="宋体" w:cs="宋体"/>
                <w:color w:val="000000"/>
                <w:sz w:val="21"/>
                <w:szCs w:val="21"/>
              </w:rPr>
            </w:pPr>
          </w:p>
        </w:tc>
        <w:tc>
          <w:tcPr>
            <w:tcW w:w="6121" w:type="dxa"/>
            <w:vAlign w:val="center"/>
          </w:tcPr>
          <w:p>
            <w:pPr>
              <w:pStyle w:val="84"/>
              <w:spacing w:before="3" w:line="320" w:lineRule="exact"/>
              <w:ind w:left="28" w:right="-15"/>
              <w:jc w:val="left"/>
              <w:rPr>
                <w:rFonts w:ascii="宋体" w:hAnsi="宋体" w:cs="宋体"/>
                <w:color w:val="000000"/>
                <w:sz w:val="21"/>
                <w:szCs w:val="21"/>
              </w:rPr>
            </w:pPr>
            <w:r>
              <w:rPr>
                <w:rFonts w:hint="eastAsia" w:ascii="宋体" w:hAnsi="宋体" w:cs="宋体"/>
                <w:color w:val="000000"/>
                <w:sz w:val="21"/>
                <w:szCs w:val="21"/>
              </w:rPr>
              <w:t>投标人自有管网检测设备（需提供设备的照片复印件、发票清晰扫描件，设备租赁的除提供前述证明材料外还须提供租赁合同或租赁协议复印件，未提供不得分）（2分）</w:t>
            </w:r>
          </w:p>
        </w:tc>
        <w:tc>
          <w:tcPr>
            <w:tcW w:w="1014" w:type="dxa"/>
            <w:vMerge w:val="continue"/>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8" w:type="dxa"/>
            <w:vMerge w:val="continue"/>
            <w:vAlign w:val="center"/>
          </w:tcPr>
          <w:p>
            <w:pPr>
              <w:ind w:left="425" w:hanging="425"/>
              <w:rPr>
                <w:rFonts w:ascii="宋体" w:hAnsi="宋体" w:cs="宋体"/>
                <w:color w:val="000000"/>
                <w:kern w:val="0"/>
                <w:szCs w:val="21"/>
              </w:rPr>
            </w:pPr>
          </w:p>
        </w:tc>
        <w:tc>
          <w:tcPr>
            <w:tcW w:w="1587" w:type="dxa"/>
            <w:vMerge w:val="continue"/>
            <w:vAlign w:val="center"/>
          </w:tcPr>
          <w:p>
            <w:pPr>
              <w:jc w:val="center"/>
              <w:rPr>
                <w:rFonts w:ascii="宋体" w:hAnsi="宋体" w:cs="宋体"/>
                <w:color w:val="000000"/>
                <w:szCs w:val="21"/>
              </w:rPr>
            </w:pPr>
          </w:p>
        </w:tc>
        <w:tc>
          <w:tcPr>
            <w:tcW w:w="6121" w:type="dxa"/>
            <w:vAlign w:val="center"/>
          </w:tcPr>
          <w:p>
            <w:pPr>
              <w:jc w:val="left"/>
              <w:rPr>
                <w:rFonts w:ascii="宋体" w:hAnsi="宋体" w:cs="宋体"/>
                <w:color w:val="000000"/>
                <w:szCs w:val="21"/>
              </w:rPr>
            </w:pPr>
            <w:r>
              <w:rPr>
                <w:rFonts w:hint="eastAsia"/>
              </w:rPr>
              <w:t>投标人自有车载式静音发电机（30KW以上），大功率排水设备（流量500M3/H或以上）等防汛设备）（需提供设备的照片复印件、发票清晰扫描件，设备租赁的除提供前述证明材料外还须提供租赁合同或租赁协议复印件,未提供不得分）（4分）</w:t>
            </w:r>
          </w:p>
        </w:tc>
        <w:tc>
          <w:tcPr>
            <w:tcW w:w="1014" w:type="dxa"/>
            <w:vMerge w:val="continue"/>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58" w:type="dxa"/>
            <w:vAlign w:val="center"/>
          </w:tcPr>
          <w:p>
            <w:pPr>
              <w:numPr>
                <w:ilvl w:val="0"/>
                <w:numId w:val="19"/>
              </w:numPr>
              <w:rPr>
                <w:rFonts w:ascii="宋体" w:hAnsi="宋体" w:cs="宋体"/>
                <w:color w:val="000000"/>
                <w:kern w:val="0"/>
                <w:szCs w:val="21"/>
              </w:rPr>
            </w:pPr>
          </w:p>
        </w:tc>
        <w:tc>
          <w:tcPr>
            <w:tcW w:w="1587" w:type="dxa"/>
            <w:vAlign w:val="center"/>
          </w:tcPr>
          <w:p>
            <w:pPr>
              <w:jc w:val="center"/>
              <w:rPr>
                <w:rFonts w:ascii="宋体" w:hAnsi="宋体" w:cs="宋体"/>
                <w:color w:val="000000"/>
                <w:szCs w:val="21"/>
              </w:rPr>
            </w:pPr>
            <w:r>
              <w:rPr>
                <w:rFonts w:hint="eastAsia" w:ascii="宋体" w:hAnsi="宋体" w:cs="宋体"/>
                <w:color w:val="000000"/>
                <w:szCs w:val="21"/>
              </w:rPr>
              <w:t>淤泥倾倒销纳场所</w:t>
            </w:r>
          </w:p>
        </w:tc>
        <w:tc>
          <w:tcPr>
            <w:tcW w:w="6121" w:type="dxa"/>
            <w:vAlign w:val="center"/>
          </w:tcPr>
          <w:p>
            <w:pPr>
              <w:jc w:val="left"/>
              <w:rPr>
                <w:rFonts w:ascii="宋体" w:hAnsi="宋体" w:cs="宋体"/>
                <w:color w:val="000000"/>
                <w:szCs w:val="21"/>
              </w:rPr>
            </w:pPr>
            <w:r>
              <w:rPr>
                <w:rFonts w:hint="eastAsia" w:ascii="宋体" w:hAnsi="宋体" w:cs="宋体"/>
                <w:color w:val="000000"/>
                <w:szCs w:val="21"/>
              </w:rPr>
              <w:t>有固定、合法的淤泥倾倒销纳场所，且能提供相关证明（说明）材料的，得2分，否则该项不得分。</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58" w:type="dxa"/>
            <w:vAlign w:val="center"/>
          </w:tcPr>
          <w:p>
            <w:pPr>
              <w:numPr>
                <w:ilvl w:val="0"/>
                <w:numId w:val="19"/>
              </w:numPr>
              <w:rPr>
                <w:rFonts w:ascii="宋体" w:hAnsi="宋体" w:cs="宋体"/>
                <w:color w:val="000000"/>
                <w:kern w:val="0"/>
                <w:szCs w:val="21"/>
              </w:rPr>
            </w:pPr>
          </w:p>
        </w:tc>
        <w:tc>
          <w:tcPr>
            <w:tcW w:w="1587" w:type="dxa"/>
            <w:vAlign w:val="center"/>
          </w:tcPr>
          <w:p>
            <w:pPr>
              <w:jc w:val="center"/>
              <w:rPr>
                <w:rFonts w:ascii="宋体" w:hAnsi="宋体" w:cs="宋体"/>
                <w:color w:val="000000"/>
                <w:szCs w:val="21"/>
              </w:rPr>
            </w:pPr>
            <w:r>
              <w:rPr>
                <w:rFonts w:hint="eastAsia" w:ascii="宋体" w:hAnsi="宋体" w:cs="宋体"/>
                <w:color w:val="000000"/>
                <w:szCs w:val="21"/>
              </w:rPr>
              <w:t>养护方案的实施情况</w:t>
            </w:r>
          </w:p>
        </w:tc>
        <w:tc>
          <w:tcPr>
            <w:tcW w:w="6121" w:type="dxa"/>
            <w:vAlign w:val="center"/>
          </w:tcPr>
          <w:p>
            <w:pPr>
              <w:jc w:val="left"/>
              <w:rPr>
                <w:rFonts w:ascii="宋体" w:hAnsi="宋体" w:cs="宋体"/>
                <w:color w:val="000000"/>
                <w:szCs w:val="21"/>
              </w:rPr>
            </w:pPr>
            <w:r>
              <w:rPr>
                <w:rFonts w:hint="eastAsia" w:ascii="宋体" w:hAnsi="宋体" w:cs="宋体"/>
                <w:color w:val="000000"/>
                <w:szCs w:val="21"/>
              </w:rPr>
              <w:t xml:space="preserve">对本次采购管网养护项目的了解程度：包括对本项目所涉及到的所有管道现场实际情况的了解和调研，评委会根据各投标人对本项目的理解程度进行评审。 </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58" w:type="dxa"/>
            <w:vAlign w:val="center"/>
          </w:tcPr>
          <w:p>
            <w:pPr>
              <w:numPr>
                <w:ilvl w:val="0"/>
                <w:numId w:val="19"/>
              </w:numPr>
              <w:jc w:val="center"/>
              <w:rPr>
                <w:rFonts w:ascii="宋体" w:hAnsi="宋体" w:cs="宋体"/>
                <w:color w:val="000000"/>
                <w:kern w:val="0"/>
                <w:szCs w:val="21"/>
              </w:rPr>
            </w:pPr>
          </w:p>
        </w:tc>
        <w:tc>
          <w:tcPr>
            <w:tcW w:w="1587" w:type="dxa"/>
            <w:vAlign w:val="center"/>
          </w:tcPr>
          <w:p>
            <w:pPr>
              <w:jc w:val="center"/>
              <w:rPr>
                <w:rFonts w:ascii="宋体" w:hAnsi="宋体" w:cs="宋体"/>
                <w:color w:val="000000"/>
                <w:szCs w:val="21"/>
              </w:rPr>
            </w:pPr>
            <w:r>
              <w:rPr>
                <w:rFonts w:hint="eastAsia" w:ascii="宋体" w:hAnsi="宋体" w:cs="宋体"/>
                <w:color w:val="000000"/>
                <w:szCs w:val="21"/>
              </w:rPr>
              <w:t>养护方案的实施进度安排</w:t>
            </w:r>
          </w:p>
        </w:tc>
        <w:tc>
          <w:tcPr>
            <w:tcW w:w="6121" w:type="dxa"/>
            <w:vAlign w:val="center"/>
          </w:tcPr>
          <w:p>
            <w:pPr>
              <w:jc w:val="left"/>
              <w:rPr>
                <w:rFonts w:ascii="宋体" w:hAnsi="宋体" w:cs="宋体"/>
                <w:color w:val="000000"/>
                <w:szCs w:val="21"/>
              </w:rPr>
            </w:pPr>
            <w:r>
              <w:rPr>
                <w:rFonts w:hint="eastAsia" w:ascii="宋体" w:hAnsi="宋体" w:cs="宋体"/>
                <w:color w:val="000000"/>
                <w:szCs w:val="21"/>
              </w:rPr>
              <w:t>根据投标人项目实施进度安排的科学性、合理性、完整性与可行性等综合评分。</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58" w:type="dxa"/>
            <w:vAlign w:val="center"/>
          </w:tcPr>
          <w:p>
            <w:pPr>
              <w:numPr>
                <w:ilvl w:val="0"/>
                <w:numId w:val="19"/>
              </w:numPr>
              <w:jc w:val="center"/>
              <w:rPr>
                <w:rFonts w:ascii="宋体" w:hAnsi="宋体" w:cs="宋体"/>
                <w:color w:val="000000"/>
                <w:kern w:val="0"/>
                <w:szCs w:val="21"/>
              </w:rPr>
            </w:pPr>
          </w:p>
        </w:tc>
        <w:tc>
          <w:tcPr>
            <w:tcW w:w="1587" w:type="dxa"/>
            <w:vAlign w:val="center"/>
          </w:tcPr>
          <w:p>
            <w:pPr>
              <w:jc w:val="center"/>
              <w:rPr>
                <w:rFonts w:ascii="宋体" w:hAnsi="宋体" w:cs="宋体"/>
                <w:color w:val="000000"/>
                <w:szCs w:val="21"/>
              </w:rPr>
            </w:pPr>
            <w:r>
              <w:rPr>
                <w:rFonts w:hint="eastAsia" w:ascii="宋体" w:hAnsi="宋体" w:cs="宋体"/>
                <w:color w:val="000000"/>
                <w:szCs w:val="21"/>
              </w:rPr>
              <w:t>管网及排水口巡查方案</w:t>
            </w:r>
          </w:p>
        </w:tc>
        <w:tc>
          <w:tcPr>
            <w:tcW w:w="6121" w:type="dxa"/>
            <w:vAlign w:val="center"/>
          </w:tcPr>
          <w:p>
            <w:pPr>
              <w:jc w:val="left"/>
              <w:rPr>
                <w:rFonts w:ascii="宋体" w:hAnsi="宋体" w:cs="宋体"/>
                <w:color w:val="000000"/>
                <w:szCs w:val="21"/>
              </w:rPr>
            </w:pPr>
            <w:r>
              <w:rPr>
                <w:rFonts w:hint="eastAsia" w:ascii="宋体" w:hAnsi="宋体" w:cs="宋体"/>
                <w:color w:val="000000"/>
                <w:szCs w:val="21"/>
              </w:rPr>
              <w:t>根据投标人对管网及排水口巡查方案安排的科学性、合理性、完整性与可行性等综合评分。</w:t>
            </w:r>
          </w:p>
        </w:tc>
        <w:tc>
          <w:tcPr>
            <w:tcW w:w="1014" w:type="dxa"/>
            <w:vAlign w:val="center"/>
          </w:tcPr>
          <w:p>
            <w:pPr>
              <w:jc w:val="center"/>
              <w:rPr>
                <w:color w:val="000000"/>
              </w:rPr>
            </w:pPr>
            <w:r>
              <w:rPr>
                <w:rFonts w:hint="eastAsia" w:ascii="宋体" w:hAnsi="宋体" w:cs="宋体"/>
                <w:color w:val="000000"/>
                <w:kern w:val="0"/>
                <w:szCs w:val="21"/>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58" w:type="dxa"/>
            <w:vAlign w:val="center"/>
          </w:tcPr>
          <w:p>
            <w:pPr>
              <w:numPr>
                <w:ilvl w:val="0"/>
                <w:numId w:val="19"/>
              </w:numPr>
              <w:rPr>
                <w:rFonts w:ascii="宋体" w:hAnsi="宋体" w:cs="宋体"/>
                <w:color w:val="000000"/>
                <w:kern w:val="0"/>
                <w:szCs w:val="21"/>
              </w:rPr>
            </w:pPr>
          </w:p>
        </w:tc>
        <w:tc>
          <w:tcPr>
            <w:tcW w:w="1587" w:type="dxa"/>
            <w:vAlign w:val="center"/>
          </w:tcPr>
          <w:p>
            <w:pPr>
              <w:jc w:val="center"/>
              <w:rPr>
                <w:rFonts w:ascii="宋体" w:hAnsi="宋体" w:cs="宋体"/>
                <w:color w:val="000000"/>
                <w:szCs w:val="21"/>
              </w:rPr>
            </w:pPr>
            <w:r>
              <w:rPr>
                <w:rFonts w:hint="eastAsia" w:ascii="宋体" w:hAnsi="宋体" w:cs="宋体"/>
                <w:color w:val="000000"/>
                <w:szCs w:val="21"/>
              </w:rPr>
              <w:t>汛期养护方案</w:t>
            </w:r>
          </w:p>
        </w:tc>
        <w:tc>
          <w:tcPr>
            <w:tcW w:w="6121" w:type="dxa"/>
            <w:vAlign w:val="center"/>
          </w:tcPr>
          <w:p>
            <w:pPr>
              <w:jc w:val="left"/>
              <w:rPr>
                <w:rFonts w:ascii="宋体" w:hAnsi="宋体" w:cs="宋体"/>
                <w:color w:val="000000"/>
                <w:szCs w:val="21"/>
              </w:rPr>
            </w:pPr>
            <w:r>
              <w:rPr>
                <w:rFonts w:hint="eastAsia" w:ascii="宋体" w:hAnsi="宋体" w:cs="宋体"/>
                <w:color w:val="000000"/>
                <w:szCs w:val="21"/>
              </w:rPr>
              <w:t>主要包括汛期养护作业方案和突发情况时的安全防护措施进行综合评分。</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58" w:type="dxa"/>
            <w:vAlign w:val="center"/>
          </w:tcPr>
          <w:p>
            <w:pPr>
              <w:numPr>
                <w:ilvl w:val="0"/>
                <w:numId w:val="19"/>
              </w:numPr>
              <w:rPr>
                <w:rFonts w:ascii="宋体" w:hAnsi="宋体" w:cs="宋体"/>
                <w:color w:val="000000"/>
                <w:kern w:val="0"/>
                <w:szCs w:val="21"/>
              </w:rPr>
            </w:pPr>
          </w:p>
        </w:tc>
        <w:tc>
          <w:tcPr>
            <w:tcW w:w="1587" w:type="dxa"/>
            <w:vAlign w:val="center"/>
          </w:tcPr>
          <w:p>
            <w:pPr>
              <w:jc w:val="center"/>
              <w:rPr>
                <w:rFonts w:ascii="宋体" w:hAnsi="宋体" w:cs="宋体"/>
                <w:color w:val="000000"/>
                <w:szCs w:val="21"/>
                <w:lang w:val="zh-CN"/>
              </w:rPr>
            </w:pPr>
            <w:r>
              <w:rPr>
                <w:rFonts w:hint="eastAsia" w:ascii="宋体" w:hAnsi="宋体" w:cs="宋体"/>
                <w:color w:val="000000"/>
                <w:szCs w:val="21"/>
              </w:rPr>
              <w:t>质量及组织措施</w:t>
            </w:r>
          </w:p>
        </w:tc>
        <w:tc>
          <w:tcPr>
            <w:tcW w:w="6121" w:type="dxa"/>
            <w:vAlign w:val="center"/>
          </w:tcPr>
          <w:p>
            <w:pPr>
              <w:jc w:val="left"/>
              <w:rPr>
                <w:rFonts w:ascii="宋体" w:hAnsi="宋体" w:cs="宋体"/>
                <w:color w:val="000000"/>
                <w:szCs w:val="21"/>
              </w:rPr>
            </w:pPr>
            <w:r>
              <w:rPr>
                <w:rFonts w:hint="eastAsia" w:ascii="宋体" w:hAnsi="宋体" w:cs="宋体"/>
                <w:color w:val="000000"/>
                <w:szCs w:val="21"/>
              </w:rPr>
              <w:t>施工质量、安全、文明施工措施进行综合评分。</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58" w:type="dxa"/>
            <w:vAlign w:val="center"/>
          </w:tcPr>
          <w:p>
            <w:pPr>
              <w:numPr>
                <w:ilvl w:val="0"/>
                <w:numId w:val="19"/>
              </w:numPr>
              <w:rPr>
                <w:rFonts w:ascii="宋体" w:hAnsi="宋体" w:cs="宋体"/>
                <w:color w:val="000000"/>
                <w:kern w:val="0"/>
                <w:szCs w:val="21"/>
              </w:rPr>
            </w:pPr>
          </w:p>
        </w:tc>
        <w:tc>
          <w:tcPr>
            <w:tcW w:w="1587" w:type="dxa"/>
            <w:vAlign w:val="center"/>
          </w:tcPr>
          <w:p>
            <w:pPr>
              <w:jc w:val="center"/>
              <w:rPr>
                <w:rFonts w:ascii="宋体" w:hAnsi="宋体" w:cs="宋体"/>
                <w:color w:val="000000"/>
                <w:szCs w:val="21"/>
              </w:rPr>
            </w:pPr>
            <w:r>
              <w:rPr>
                <w:rFonts w:hint="eastAsia" w:ascii="宋体" w:hAnsi="宋体" w:cs="宋体"/>
                <w:color w:val="000000"/>
                <w:szCs w:val="21"/>
              </w:rPr>
              <w:t>安全教育制度</w:t>
            </w:r>
          </w:p>
        </w:tc>
        <w:tc>
          <w:tcPr>
            <w:tcW w:w="6121" w:type="dxa"/>
            <w:vAlign w:val="center"/>
          </w:tcPr>
          <w:p>
            <w:pPr>
              <w:jc w:val="left"/>
              <w:rPr>
                <w:rFonts w:ascii="宋体" w:hAnsi="宋体" w:cs="宋体"/>
                <w:color w:val="000000"/>
                <w:szCs w:val="21"/>
              </w:rPr>
            </w:pPr>
            <w:r>
              <w:rPr>
                <w:rFonts w:hint="eastAsia" w:ascii="宋体" w:hAnsi="宋体" w:cs="宋体"/>
                <w:color w:val="000000"/>
                <w:szCs w:val="21"/>
              </w:rPr>
              <w:t>针对日常操作人员有文明、安全教育制度的等综合评分。</w:t>
            </w:r>
          </w:p>
        </w:tc>
        <w:tc>
          <w:tcPr>
            <w:tcW w:w="1014" w:type="dxa"/>
            <w:vAlign w:val="center"/>
          </w:tcPr>
          <w:p>
            <w:pPr>
              <w:jc w:val="center"/>
              <w:rPr>
                <w:rFonts w:ascii="宋体" w:hAnsi="宋体" w:cs="宋体"/>
                <w:color w:val="000000"/>
                <w:kern w:val="0"/>
                <w:szCs w:val="21"/>
              </w:rPr>
            </w:pPr>
            <w:r>
              <w:rPr>
                <w:rFonts w:hint="eastAsia" w:ascii="宋体" w:hAnsi="宋体" w:cs="宋体"/>
                <w:color w:val="000000"/>
                <w:kern w:val="0"/>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58" w:type="dxa"/>
            <w:vAlign w:val="center"/>
          </w:tcPr>
          <w:p>
            <w:pPr>
              <w:numPr>
                <w:ilvl w:val="0"/>
                <w:numId w:val="19"/>
              </w:numPr>
              <w:rPr>
                <w:rFonts w:ascii="宋体" w:hAnsi="宋体" w:cs="宋体"/>
                <w:color w:val="000000"/>
                <w:kern w:val="0"/>
                <w:szCs w:val="21"/>
              </w:rPr>
            </w:pPr>
          </w:p>
        </w:tc>
        <w:tc>
          <w:tcPr>
            <w:tcW w:w="1587" w:type="dxa"/>
            <w:vAlign w:val="center"/>
          </w:tcPr>
          <w:p>
            <w:pPr>
              <w:jc w:val="center"/>
              <w:rPr>
                <w:rFonts w:ascii="宋体" w:hAnsi="宋体" w:cs="宋体"/>
                <w:color w:val="000000"/>
                <w:szCs w:val="21"/>
              </w:rPr>
            </w:pPr>
            <w:r>
              <w:rPr>
                <w:rFonts w:hint="eastAsia" w:ascii="宋体" w:hAnsi="宋体" w:cs="宋体"/>
                <w:color w:val="000000"/>
                <w:szCs w:val="21"/>
              </w:rPr>
              <w:t>应急响应服务</w:t>
            </w:r>
          </w:p>
        </w:tc>
        <w:tc>
          <w:tcPr>
            <w:tcW w:w="6121" w:type="dxa"/>
            <w:vAlign w:val="center"/>
          </w:tcPr>
          <w:p>
            <w:pPr>
              <w:jc w:val="left"/>
              <w:rPr>
                <w:rFonts w:ascii="宋体" w:hAnsi="宋体" w:cs="宋体"/>
                <w:color w:val="000000"/>
                <w:szCs w:val="21"/>
              </w:rPr>
            </w:pPr>
            <w:r>
              <w:rPr>
                <w:rFonts w:ascii="宋体" w:hAnsi="宋体" w:cs="宋体"/>
                <w:color w:val="000000"/>
                <w:szCs w:val="21"/>
              </w:rPr>
              <w:t>本项目要求投标人有较好的应急响应服务能力，对设备车辆停放场地、人员办公住宿场地进行综合评</w:t>
            </w:r>
            <w:r>
              <w:rPr>
                <w:rFonts w:hint="eastAsia" w:ascii="宋体" w:hAnsi="宋体" w:cs="宋体"/>
                <w:color w:val="000000"/>
                <w:szCs w:val="21"/>
              </w:rPr>
              <w:t>分</w:t>
            </w:r>
            <w:r>
              <w:rPr>
                <w:rFonts w:ascii="宋体" w:hAnsi="宋体" w:cs="宋体"/>
                <w:color w:val="000000"/>
                <w:szCs w:val="21"/>
              </w:rPr>
              <w:t>。</w:t>
            </w:r>
            <w:r>
              <w:rPr>
                <w:rFonts w:hint="eastAsia" w:ascii="宋体" w:hAnsi="宋体" w:cs="宋体"/>
                <w:color w:val="000000"/>
                <w:szCs w:val="21"/>
              </w:rPr>
              <w:t>（</w:t>
            </w:r>
            <w:r>
              <w:rPr>
                <w:rFonts w:ascii="宋体" w:hAnsi="宋体" w:cs="宋体"/>
                <w:color w:val="000000"/>
                <w:szCs w:val="21"/>
              </w:rPr>
              <w:t>要求提供住宿办公场地和车辆停放现场照片（照片要求有清晰的门牌号和APP地图定位的截图）、公司自有不动产证或租赁协议。</w:t>
            </w:r>
            <w:r>
              <w:rPr>
                <w:rFonts w:hint="eastAsia" w:ascii="宋体" w:hAnsi="宋体" w:cs="宋体"/>
                <w:color w:val="000000"/>
                <w:szCs w:val="21"/>
              </w:rPr>
              <w:t>）</w:t>
            </w:r>
          </w:p>
        </w:tc>
        <w:tc>
          <w:tcPr>
            <w:tcW w:w="1014" w:type="dxa"/>
            <w:vAlign w:val="center"/>
          </w:tcPr>
          <w:p>
            <w:pPr>
              <w:jc w:val="center"/>
              <w:rPr>
                <w:rFonts w:ascii="宋体" w:hAnsi="宋体" w:cs="宋体"/>
                <w:color w:val="000000"/>
                <w:szCs w:val="21"/>
              </w:rPr>
            </w:pPr>
            <w:r>
              <w:rPr>
                <w:rFonts w:hint="eastAsia" w:ascii="宋体" w:hAnsi="宋体" w:cs="宋体"/>
                <w:color w:val="000000"/>
                <w:szCs w:val="21"/>
              </w:rPr>
              <w:t>0-5分</w:t>
            </w:r>
          </w:p>
        </w:tc>
      </w:tr>
    </w:tbl>
    <w:p>
      <w:pPr>
        <w:pStyle w:val="40"/>
        <w:spacing w:after="480"/>
        <w:rPr>
          <w:lang w:val="zh-CN"/>
        </w:rPr>
      </w:pPr>
    </w:p>
    <w:p>
      <w:pPr>
        <w:autoSpaceDE w:val="0"/>
        <w:autoSpaceDN w:val="0"/>
        <w:adjustRightInd w:val="0"/>
        <w:spacing w:line="360" w:lineRule="auto"/>
        <w:ind w:firstLine="480"/>
        <w:rPr>
          <w:rFonts w:ascii="宋体" w:hAnsi="宋体" w:cs="宋体"/>
          <w:b/>
          <w:szCs w:val="21"/>
          <w:lang w:val="zh-CN"/>
        </w:rPr>
      </w:pPr>
      <w:r>
        <w:rPr>
          <w:rFonts w:hint="eastAsia" w:ascii="宋体" w:hAnsi="宋体" w:cs="宋体"/>
          <w:b/>
          <w:szCs w:val="21"/>
          <w:lang w:val="zh-CN"/>
        </w:rPr>
        <w:t>（二）商务报价（满分</w:t>
      </w:r>
      <w:r>
        <w:rPr>
          <w:rFonts w:hint="eastAsia" w:ascii="宋体" w:hAnsi="宋体" w:cs="宋体"/>
          <w:b/>
          <w:szCs w:val="21"/>
          <w:u w:val="single"/>
        </w:rPr>
        <w:t xml:space="preserve"> 15</w:t>
      </w:r>
      <w:r>
        <w:rPr>
          <w:rFonts w:hint="eastAsia" w:ascii="宋体" w:hAnsi="宋体" w:cs="宋体"/>
          <w:b/>
          <w:szCs w:val="21"/>
          <w:lang w:val="zh-CN"/>
        </w:rPr>
        <w:t>分）</w:t>
      </w:r>
    </w:p>
    <w:p>
      <w:pPr>
        <w:adjustRightInd w:val="0"/>
        <w:snapToGrid w:val="0"/>
        <w:spacing w:line="360" w:lineRule="auto"/>
        <w:ind w:firstLine="422" w:firstLineChars="200"/>
        <w:rPr>
          <w:rFonts w:ascii="宋体" w:hAnsi="宋体" w:cs="宋体"/>
          <w:b/>
          <w:bCs/>
          <w:szCs w:val="21"/>
          <w:lang w:val="zh-CN"/>
        </w:rPr>
      </w:pPr>
      <w:r>
        <w:rPr>
          <w:rFonts w:hint="eastAsia" w:ascii="宋体" w:hAnsi="宋体" w:cs="宋体"/>
          <w:b/>
          <w:bCs/>
          <w:szCs w:val="21"/>
        </w:rPr>
        <w:t>1.</w:t>
      </w:r>
      <w:r>
        <w:rPr>
          <w:rFonts w:hint="eastAsia" w:ascii="宋体" w:hAnsi="宋体" w:cs="宋体"/>
          <w:b/>
          <w:bCs/>
          <w:szCs w:val="21"/>
          <w:lang w:val="zh-CN"/>
        </w:rPr>
        <w:t>投标价格的合理性：</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2.商务报价计算</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lang w:val="zh-CN"/>
        </w:rPr>
        <w:t>各投标人的商务报价得分统一采用低价优先法计算，即满足采购文件要求且投标价格最低的投标报价为评标基准价，其价格分为满分</w:t>
      </w:r>
      <w:r>
        <w:rPr>
          <w:rFonts w:hint="eastAsia" w:ascii="宋体" w:hAnsi="宋体" w:cs="宋体"/>
          <w:szCs w:val="21"/>
          <w:u w:val="single"/>
        </w:rPr>
        <w:t>15</w:t>
      </w:r>
      <w:r>
        <w:rPr>
          <w:rFonts w:hint="eastAsia" w:ascii="宋体" w:hAnsi="宋体" w:cs="宋体"/>
          <w:szCs w:val="21"/>
        </w:rPr>
        <w:t>分</w:t>
      </w:r>
      <w:r>
        <w:rPr>
          <w:rFonts w:hint="eastAsia" w:ascii="宋体" w:hAnsi="宋体" w:cs="宋体"/>
          <w:szCs w:val="21"/>
          <w:lang w:val="zh-CN"/>
        </w:rPr>
        <w:t>。其他投标人的商务报价得分统一按照下列公式计算：</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lang w:val="zh-CN"/>
        </w:rPr>
        <w:t>投标报价得分=（评标基准价/投标报价）×价格权值（即</w:t>
      </w:r>
      <w:r>
        <w:rPr>
          <w:rFonts w:hint="eastAsia" w:ascii="宋体" w:hAnsi="宋体" w:cs="宋体"/>
          <w:szCs w:val="21"/>
        </w:rPr>
        <w:t>15</w:t>
      </w:r>
      <w:r>
        <w:rPr>
          <w:rFonts w:hint="eastAsia" w:ascii="宋体" w:hAnsi="宋体" w:cs="宋体"/>
          <w:szCs w:val="21"/>
          <w:lang w:val="zh-CN"/>
        </w:rPr>
        <w:t>%）×100</w:t>
      </w:r>
    </w:p>
    <w:p>
      <w:pPr>
        <w:adjustRightInd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关于价格分计算的说明：</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①</w:t>
      </w:r>
      <w:r>
        <w:rPr>
          <w:rFonts w:hint="eastAsia" w:ascii="宋体" w:hAnsi="宋体" w:cs="宋体"/>
          <w:color w:val="auto"/>
          <w:szCs w:val="21"/>
          <w:highlight w:val="none"/>
          <w:lang w:val="zh-CN"/>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2%-3%（工程项目为1%—2%）的扣除，用扣除后的价格参加评审。</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投标文件中须同时出具《政府采购促进中小企业发展管理办法》【财库（2020）46号】规定的《中小企业声明函》，否则不得享受价格扣除。</w:t>
      </w:r>
    </w:p>
    <w:p>
      <w:pPr>
        <w:adjustRightInd w:val="0"/>
        <w:snapToGrid w:val="0"/>
        <w:spacing w:line="360"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本项目对符合规定的小微企业（含小型企业）报价给予6% 的扣除。</w:t>
      </w:r>
    </w:p>
    <w:p>
      <w:pPr>
        <w:adjustRightInd w:val="0"/>
        <w:snapToGrid w:val="0"/>
        <w:spacing w:line="360" w:lineRule="auto"/>
        <w:ind w:firstLine="420" w:firstLineChars="200"/>
        <w:rPr>
          <w:rFonts w:ascii="宋体" w:hAnsi="宋体" w:cs="宋体"/>
          <w:b/>
          <w:bCs/>
          <w:color w:val="auto"/>
          <w:szCs w:val="21"/>
          <w:highlight w:val="none"/>
          <w:lang w:val="zh-CN"/>
        </w:rPr>
      </w:pPr>
      <w:r>
        <w:rPr>
          <w:rFonts w:hint="eastAsia" w:eastAsia="宋体"/>
          <w:color w:val="auto"/>
          <w:highlight w:val="none"/>
          <w:lang w:eastAsia="zh-CN"/>
        </w:rPr>
        <w:t>对符合规定的</w:t>
      </w:r>
      <w:r>
        <w:rPr>
          <w:rFonts w:hint="eastAsia" w:ascii="宋体" w:hAnsi="宋体" w:cs="宋体"/>
          <w:color w:val="auto"/>
          <w:szCs w:val="21"/>
          <w:highlight w:val="none"/>
          <w:lang w:val="zh-CN"/>
        </w:rPr>
        <w:t>联合体或者大中型企业的报价给予2%的扣除。（不接受联合体投标的，本条不适用）</w:t>
      </w:r>
      <w:r>
        <w:rPr>
          <w:rFonts w:ascii="宋体" w:hAnsi="宋体" w:cs="宋体"/>
          <w:b/>
          <w:bCs/>
          <w:color w:val="auto"/>
          <w:szCs w:val="21"/>
          <w:highlight w:val="none"/>
          <w:lang w:val="zh-CN"/>
        </w:rPr>
        <w:t>。</w:t>
      </w:r>
    </w:p>
    <w:p>
      <w:pPr>
        <w:adjustRightInd w:val="0"/>
        <w:snapToGrid w:val="0"/>
        <w:spacing w:line="360" w:lineRule="auto"/>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②根据《关于政府采购支持监狱企业发展有关问题的通知》（财库[2014]68号）的规定，供应商如为监狱企业且所投产品为小型或微型企业生产的，其投标报价扣除6%后参与评审。</w:t>
      </w:r>
    </w:p>
    <w:p>
      <w:pPr>
        <w:adjustRightInd w:val="0"/>
        <w:snapToGrid w:val="0"/>
        <w:spacing w:line="360" w:lineRule="auto"/>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投标文件中须同时提供：供应商的省级以上监狱管理局、戒毒管理局(含新疆生产建设兵团)出具的属于监狱企业的证明文件，未提供完整证明材料的，投标报价不予扣减。</w:t>
      </w:r>
    </w:p>
    <w:p>
      <w:pPr>
        <w:adjustRightInd w:val="0"/>
        <w:snapToGrid w:val="0"/>
        <w:spacing w:line="360" w:lineRule="auto"/>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djustRightInd w:val="0"/>
        <w:snapToGrid w:val="0"/>
        <w:spacing w:line="360" w:lineRule="auto"/>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享受政府采购支持政策的残疾人福利性单位应当同时满足以下条件：</w:t>
      </w:r>
    </w:p>
    <w:p>
      <w:pPr>
        <w:adjustRightInd w:val="0"/>
        <w:snapToGrid w:val="0"/>
        <w:spacing w:line="360" w:lineRule="auto"/>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ascii="宋体" w:hAnsi="宋体" w:cs="宋体"/>
          <w:color w:val="auto"/>
          <w:szCs w:val="21"/>
          <w:highlight w:val="none"/>
          <w:lang w:val="zh-CN"/>
        </w:rPr>
        <w:t>）安置的残疾人占本单位在职职工人数的比例不低于25%（含25%），并且安置的残疾人人数不少于10人（含10人）；</w:t>
      </w:r>
    </w:p>
    <w:p>
      <w:pPr>
        <w:adjustRightInd w:val="0"/>
        <w:snapToGrid w:val="0"/>
        <w:spacing w:line="360" w:lineRule="auto"/>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）依法与安置的每位残疾人签订了一年以上（含一年）的劳动合同或服务协议；</w:t>
      </w:r>
    </w:p>
    <w:p>
      <w:pPr>
        <w:adjustRightInd w:val="0"/>
        <w:snapToGrid w:val="0"/>
        <w:spacing w:line="360" w:lineRule="auto"/>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）为安置的每位残疾人按月足额缴纳了基本养老保险、基本医疗保险、失业保险、工伤保险和生育保险等社会保险费；</w:t>
      </w:r>
    </w:p>
    <w:p>
      <w:pPr>
        <w:adjustRightInd w:val="0"/>
        <w:snapToGrid w:val="0"/>
        <w:spacing w:line="360" w:lineRule="auto"/>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）通过银行等金融机构向安置的每位残疾人，按月支付了不低于单位所在区县适用的经省级人民政府批准的月最低工资标准的工资；</w:t>
      </w:r>
    </w:p>
    <w:p>
      <w:pPr>
        <w:adjustRightInd w:val="0"/>
        <w:snapToGrid w:val="0"/>
        <w:spacing w:line="360" w:lineRule="auto"/>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0" w:firstLineChars="200"/>
        <w:rPr>
          <w:highlight w:val="none"/>
        </w:rPr>
      </w:pPr>
      <w:r>
        <w:rPr>
          <w:rFonts w:ascii="宋体" w:hAnsi="宋体" w:cs="宋体"/>
          <w:color w:val="auto"/>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（三）其他</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评分时保留小数点后1位小数，计算评分值时保留小数点后2位小数，由评标委员会当场统一计算。</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投标人的最终总得分为资信技术及报价部分二部分得分的总和。</w:t>
      </w:r>
    </w:p>
    <w:p>
      <w:pPr>
        <w:adjustRightInd w:val="0"/>
        <w:snapToGrid w:val="0"/>
        <w:spacing w:line="360" w:lineRule="auto"/>
        <w:ind w:firstLine="422" w:firstLineChars="200"/>
        <w:jc w:val="left"/>
        <w:rPr>
          <w:rFonts w:ascii="宋体" w:hAnsi="宋体" w:cs="宋体"/>
          <w:szCs w:val="21"/>
        </w:rPr>
      </w:pPr>
      <w:r>
        <w:rPr>
          <w:rFonts w:hint="eastAsia" w:ascii="宋体" w:hAnsi="宋体" w:cs="宋体"/>
          <w:b/>
          <w:snapToGrid w:val="0"/>
          <w:kern w:val="0"/>
          <w:szCs w:val="21"/>
        </w:rPr>
        <w:t>报价是中标的一个重要因素，但最低报价不是中标的唯一依据。</w:t>
      </w:r>
    </w:p>
    <w:p>
      <w:pPr>
        <w:adjustRightInd w:val="0"/>
        <w:snapToGrid w:val="0"/>
        <w:spacing w:beforeLines="50" w:afterLines="50" w:line="360" w:lineRule="auto"/>
        <w:jc w:val="center"/>
        <w:outlineLvl w:val="0"/>
        <w:rPr>
          <w:rFonts w:ascii="宋体" w:hAnsi="宋体" w:cs="宋体"/>
          <w:b/>
          <w:bCs/>
          <w:sz w:val="32"/>
          <w:szCs w:val="32"/>
        </w:rPr>
      </w:pPr>
      <w:r>
        <w:rPr>
          <w:rFonts w:hint="eastAsia" w:ascii="宋体" w:hAnsi="宋体" w:cs="宋体"/>
          <w:szCs w:val="21"/>
        </w:rPr>
        <w:br w:type="page"/>
      </w:r>
      <w:bookmarkStart w:id="72" w:name="_Toc249760797"/>
      <w:bookmarkStart w:id="73" w:name="_Toc234764855"/>
      <w:bookmarkStart w:id="74" w:name="_Toc26670"/>
      <w:bookmarkStart w:id="75" w:name="_Toc1306"/>
      <w:bookmarkStart w:id="76" w:name="_Toc251566668"/>
      <w:r>
        <w:rPr>
          <w:rFonts w:hint="eastAsia" w:ascii="宋体" w:hAnsi="宋体" w:cs="宋体"/>
          <w:b/>
          <w:sz w:val="30"/>
          <w:szCs w:val="30"/>
        </w:rPr>
        <w:t>第六部分  投标文件格式</w:t>
      </w:r>
      <w:bookmarkEnd w:id="72"/>
      <w:bookmarkEnd w:id="73"/>
      <w:bookmarkEnd w:id="74"/>
      <w:bookmarkEnd w:id="75"/>
      <w:bookmarkEnd w:id="76"/>
    </w:p>
    <w:p>
      <w:pPr>
        <w:autoSpaceDE w:val="0"/>
        <w:autoSpaceDN w:val="0"/>
        <w:adjustRightInd w:val="0"/>
        <w:spacing w:line="360" w:lineRule="auto"/>
        <w:ind w:firstLine="480"/>
        <w:rPr>
          <w:rFonts w:ascii="宋体" w:hAnsi="宋体" w:cs="宋体"/>
          <w:sz w:val="24"/>
        </w:rPr>
      </w:pPr>
    </w:p>
    <w:p>
      <w:pPr>
        <w:pStyle w:val="24"/>
        <w:spacing w:line="360" w:lineRule="auto"/>
        <w:ind w:firstLine="420" w:firstLineChars="200"/>
        <w:rPr>
          <w:rFonts w:ascii="宋体" w:hAnsi="宋体" w:eastAsia="宋体" w:cs="宋体"/>
        </w:rPr>
      </w:pPr>
      <w:r>
        <w:rPr>
          <w:rFonts w:hint="eastAsia" w:ascii="宋体" w:hAnsi="宋体" w:eastAsia="宋体" w:cs="宋体"/>
        </w:rPr>
        <w:t>说明：</w:t>
      </w:r>
    </w:p>
    <w:p>
      <w:pPr>
        <w:pStyle w:val="24"/>
        <w:spacing w:line="360" w:lineRule="auto"/>
        <w:ind w:firstLine="420" w:firstLineChars="200"/>
        <w:rPr>
          <w:rFonts w:ascii="宋体" w:hAnsi="宋体" w:eastAsia="宋体" w:cs="宋体"/>
        </w:rPr>
      </w:pPr>
      <w:r>
        <w:rPr>
          <w:rFonts w:hint="eastAsia" w:ascii="宋体" w:hAnsi="宋体" w:eastAsia="宋体" w:cs="宋体"/>
        </w:rPr>
        <w:t>1．投标文件由投标人根据采购文件要求参照附件格式编制。</w:t>
      </w:r>
    </w:p>
    <w:p>
      <w:pPr>
        <w:pStyle w:val="24"/>
        <w:spacing w:line="360" w:lineRule="auto"/>
        <w:ind w:firstLine="420" w:firstLineChars="200"/>
        <w:rPr>
          <w:rFonts w:ascii="宋体" w:hAnsi="宋体" w:eastAsia="宋体" w:cs="宋体"/>
        </w:rPr>
      </w:pPr>
      <w:r>
        <w:rPr>
          <w:rFonts w:hint="eastAsia" w:ascii="宋体" w:hAnsi="宋体" w:eastAsia="宋体" w:cs="宋体"/>
        </w:rPr>
        <w:t>2．投标人根据实际情况填写。</w:t>
      </w:r>
    </w:p>
    <w:p>
      <w:pPr>
        <w:pStyle w:val="24"/>
        <w:spacing w:line="360" w:lineRule="auto"/>
        <w:ind w:firstLine="420" w:firstLineChars="200"/>
        <w:rPr>
          <w:rFonts w:ascii="宋体" w:hAnsi="宋体" w:eastAsia="宋体" w:cs="宋体"/>
        </w:rPr>
      </w:pPr>
      <w:r>
        <w:rPr>
          <w:rFonts w:hint="eastAsia" w:ascii="宋体" w:hAnsi="宋体" w:eastAsia="宋体" w:cs="宋体"/>
        </w:rPr>
        <w:t>3．采购文件中没有参考格式的，投标人自行编制。</w:t>
      </w:r>
    </w:p>
    <w:p>
      <w:pPr>
        <w:autoSpaceDE w:val="0"/>
        <w:autoSpaceDN w:val="0"/>
        <w:adjustRightInd w:val="0"/>
        <w:snapToGrid w:val="0"/>
        <w:spacing w:line="360" w:lineRule="auto"/>
        <w:outlineLvl w:val="1"/>
        <w:rPr>
          <w:rFonts w:ascii="宋体" w:hAnsi="宋体" w:cs="宋体"/>
          <w:bCs/>
          <w:snapToGrid w:val="0"/>
          <w:kern w:val="0"/>
          <w:szCs w:val="21"/>
        </w:rPr>
      </w:pPr>
      <w:r>
        <w:rPr>
          <w:rFonts w:hint="eastAsia" w:ascii="宋体" w:hAnsi="宋体" w:cs="宋体"/>
          <w:b/>
          <w:bCs/>
          <w:sz w:val="32"/>
          <w:szCs w:val="32"/>
        </w:rPr>
        <w:br w:type="page"/>
      </w:r>
      <w:bookmarkStart w:id="77" w:name="_Toc27220"/>
      <w:bookmarkStart w:id="78" w:name="_Toc1647"/>
      <w:bookmarkStart w:id="79" w:name="_Toc18525"/>
      <w:r>
        <w:rPr>
          <w:rFonts w:hint="eastAsia" w:ascii="宋体" w:hAnsi="宋体" w:cs="宋体"/>
          <w:bCs/>
          <w:snapToGrid w:val="0"/>
          <w:kern w:val="0"/>
          <w:szCs w:val="21"/>
        </w:rPr>
        <w:t>一、</w:t>
      </w:r>
      <w:bookmarkEnd w:id="77"/>
      <w:bookmarkEnd w:id="78"/>
      <w:bookmarkStart w:id="80" w:name="_Toc27346"/>
      <w:bookmarkStart w:id="81" w:name="_Toc32101"/>
      <w:r>
        <w:rPr>
          <w:rFonts w:hint="eastAsia" w:ascii="宋体" w:hAnsi="宋体" w:cs="宋体"/>
          <w:bCs/>
          <w:snapToGrid w:val="0"/>
          <w:kern w:val="0"/>
          <w:szCs w:val="21"/>
        </w:rPr>
        <w:t>投标文件封面（格式供参考）</w:t>
      </w:r>
      <w:bookmarkEnd w:id="79"/>
      <w:bookmarkEnd w:id="80"/>
      <w:bookmarkEnd w:id="81"/>
    </w:p>
    <w:p>
      <w:pPr>
        <w:autoSpaceDE w:val="0"/>
        <w:autoSpaceDN w:val="0"/>
        <w:adjustRightInd w:val="0"/>
        <w:rPr>
          <w:rFonts w:ascii="宋体" w:hAnsi="宋体" w:cs="宋体"/>
          <w:bCs/>
        </w:rPr>
      </w:pPr>
    </w:p>
    <w:p>
      <w:pPr>
        <w:autoSpaceDE w:val="0"/>
        <w:autoSpaceDN w:val="0"/>
        <w:adjustRightInd w:val="0"/>
        <w:rPr>
          <w:rFonts w:ascii="宋体" w:hAnsi="宋体" w:cs="宋体"/>
          <w:bCs/>
        </w:rPr>
      </w:pPr>
      <w:r>
        <w:rPr>
          <w:rFonts w:hint="eastAsia" w:ascii="宋体" w:hAnsi="宋体" w:cs="宋体"/>
          <w:bCs/>
        </w:rPr>
        <w:t>1.1报价响应文件封面格式</w:t>
      </w:r>
    </w:p>
    <w:p>
      <w:pPr>
        <w:autoSpaceDE w:val="0"/>
        <w:autoSpaceDN w:val="0"/>
        <w:adjustRightInd w:val="0"/>
        <w:spacing w:line="360" w:lineRule="auto"/>
        <w:jc w:val="right"/>
        <w:rPr>
          <w:rFonts w:ascii="宋体" w:hAnsi="宋体" w:cs="宋体"/>
          <w:b/>
          <w:sz w:val="28"/>
          <w:szCs w:val="28"/>
        </w:rPr>
      </w:pPr>
    </w:p>
    <w:p>
      <w:pPr>
        <w:autoSpaceDE w:val="0"/>
        <w:autoSpaceDN w:val="0"/>
        <w:adjustRightInd w:val="0"/>
        <w:spacing w:line="360" w:lineRule="auto"/>
        <w:jc w:val="center"/>
        <w:rPr>
          <w:rFonts w:ascii="宋体" w:hAnsi="宋体" w:cs="宋体"/>
          <w:b/>
          <w:sz w:val="32"/>
          <w:szCs w:val="32"/>
        </w:r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u w:val="single"/>
        </w:rPr>
        <w:t xml:space="preserve">       项目名称       </w:t>
      </w:r>
    </w:p>
    <w:p>
      <w:pPr>
        <w:autoSpaceDE w:val="0"/>
        <w:autoSpaceDN w:val="0"/>
        <w:adjustRightInd w:val="0"/>
        <w:spacing w:line="360" w:lineRule="auto"/>
        <w:jc w:val="center"/>
        <w:rPr>
          <w:rFonts w:ascii="宋体" w:hAnsi="宋体" w:cs="宋体"/>
          <w:sz w:val="32"/>
          <w:szCs w:val="32"/>
          <w:u w:val="single"/>
        </w:rPr>
      </w:pP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spacing w:val="40"/>
          <w:w w:val="90"/>
          <w:sz w:val="96"/>
          <w:szCs w:val="96"/>
          <w:lang w:bidi="th-TH"/>
        </w:rPr>
      </w:pPr>
      <w:r>
        <w:rPr>
          <w:rFonts w:hint="eastAsia" w:ascii="宋体" w:hAnsi="宋体" w:cs="宋体"/>
          <w:spacing w:val="40"/>
          <w:w w:val="90"/>
          <w:sz w:val="96"/>
          <w:szCs w:val="96"/>
          <w:lang w:bidi="th-TH"/>
        </w:rPr>
        <w:t>投 标 文 件</w:t>
      </w:r>
    </w:p>
    <w:p>
      <w:pPr>
        <w:autoSpaceDE w:val="0"/>
        <w:autoSpaceDN w:val="0"/>
        <w:adjustRightInd w:val="0"/>
        <w:spacing w:line="360" w:lineRule="auto"/>
        <w:jc w:val="center"/>
        <w:rPr>
          <w:rFonts w:ascii="宋体" w:hAnsi="宋体" w:cs="宋体"/>
          <w:b/>
          <w:sz w:val="44"/>
          <w:szCs w:val="44"/>
        </w:rPr>
      </w:pPr>
      <w:r>
        <w:rPr>
          <w:rFonts w:hint="eastAsia" w:ascii="宋体" w:hAnsi="宋体" w:cs="宋体"/>
          <w:b/>
          <w:sz w:val="44"/>
          <w:szCs w:val="44"/>
        </w:rPr>
        <w:t>（报价响应文件）</w:t>
      </w: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 xml:space="preserve">采购编号：ZJXY-HZ2020-114  </w:t>
      </w: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投标人名称（电子签章）：</w:t>
      </w: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时间：    年   月   日</w:t>
      </w:r>
    </w:p>
    <w:p>
      <w:pPr>
        <w:autoSpaceDE w:val="0"/>
        <w:autoSpaceDN w:val="0"/>
        <w:adjustRightInd w:val="0"/>
        <w:rPr>
          <w:rFonts w:ascii="宋体" w:hAnsi="宋体" w:cs="宋体"/>
          <w:bCs/>
        </w:rPr>
      </w:pPr>
      <w:r>
        <w:rPr>
          <w:rFonts w:hint="eastAsia" w:ascii="宋体" w:hAnsi="宋体" w:cs="宋体"/>
        </w:rPr>
        <w:br w:type="page"/>
      </w:r>
      <w:r>
        <w:rPr>
          <w:rFonts w:hint="eastAsia" w:ascii="宋体" w:hAnsi="宋体" w:cs="宋体"/>
          <w:bCs/>
        </w:rPr>
        <w:t>1.2资格响应文件/资信技术响应文件封面格式</w:t>
      </w:r>
    </w:p>
    <w:p>
      <w:pPr>
        <w:autoSpaceDE w:val="0"/>
        <w:autoSpaceDN w:val="0"/>
        <w:adjustRightInd w:val="0"/>
        <w:rPr>
          <w:rFonts w:ascii="宋体" w:hAnsi="宋体" w:cs="宋体"/>
          <w:b/>
          <w:bCs/>
        </w:rPr>
      </w:pPr>
    </w:p>
    <w:p>
      <w:pPr>
        <w:autoSpaceDE w:val="0"/>
        <w:autoSpaceDN w:val="0"/>
        <w:adjustRightInd w:val="0"/>
        <w:spacing w:line="360" w:lineRule="auto"/>
        <w:jc w:val="right"/>
        <w:rPr>
          <w:rFonts w:ascii="宋体" w:hAnsi="宋体" w:cs="宋体"/>
          <w:b/>
          <w:sz w:val="28"/>
          <w:szCs w:val="28"/>
        </w:rPr>
      </w:pPr>
    </w:p>
    <w:p>
      <w:pPr>
        <w:autoSpaceDE w:val="0"/>
        <w:autoSpaceDN w:val="0"/>
        <w:adjustRightInd w:val="0"/>
        <w:spacing w:line="360" w:lineRule="auto"/>
        <w:jc w:val="center"/>
        <w:rPr>
          <w:rFonts w:ascii="宋体" w:hAnsi="宋体" w:cs="宋体"/>
          <w:b/>
          <w:sz w:val="32"/>
          <w:szCs w:val="32"/>
        </w:r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u w:val="single"/>
        </w:rPr>
        <w:t xml:space="preserve">       项目名称       </w:t>
      </w:r>
    </w:p>
    <w:p>
      <w:pPr>
        <w:autoSpaceDE w:val="0"/>
        <w:autoSpaceDN w:val="0"/>
        <w:adjustRightInd w:val="0"/>
        <w:spacing w:line="360" w:lineRule="auto"/>
        <w:jc w:val="center"/>
        <w:rPr>
          <w:rFonts w:ascii="宋体" w:hAnsi="宋体" w:cs="宋体"/>
          <w:sz w:val="32"/>
          <w:szCs w:val="32"/>
          <w:u w:val="single"/>
        </w:rPr>
      </w:pP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spacing w:val="40"/>
          <w:w w:val="90"/>
          <w:sz w:val="96"/>
          <w:szCs w:val="96"/>
          <w:lang w:bidi="th-TH"/>
        </w:rPr>
      </w:pPr>
      <w:r>
        <w:rPr>
          <w:rFonts w:hint="eastAsia" w:ascii="宋体" w:hAnsi="宋体" w:cs="宋体"/>
          <w:spacing w:val="40"/>
          <w:w w:val="90"/>
          <w:sz w:val="96"/>
          <w:szCs w:val="96"/>
          <w:lang w:bidi="th-TH"/>
        </w:rPr>
        <w:t>投 标 文 件</w:t>
      </w:r>
    </w:p>
    <w:p>
      <w:pPr>
        <w:autoSpaceDE w:val="0"/>
        <w:autoSpaceDN w:val="0"/>
        <w:adjustRightInd w:val="0"/>
        <w:spacing w:line="360" w:lineRule="auto"/>
        <w:jc w:val="center"/>
        <w:rPr>
          <w:rFonts w:ascii="宋体" w:hAnsi="宋体" w:cs="宋体"/>
          <w:b/>
          <w:sz w:val="44"/>
          <w:szCs w:val="44"/>
        </w:rPr>
      </w:pPr>
      <w:r>
        <w:rPr>
          <w:rFonts w:hint="eastAsia" w:ascii="宋体" w:hAnsi="宋体" w:cs="宋体"/>
          <w:b/>
          <w:sz w:val="44"/>
          <w:szCs w:val="44"/>
        </w:rPr>
        <w:t>（资格响应文件/资信技术响应文件）</w:t>
      </w: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 xml:space="preserve">采购编号：ZJXY-HZ2020-114     </w:t>
      </w: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投标人名称（电子签章）：</w:t>
      </w: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时间：    年   月   日</w:t>
      </w:r>
    </w:p>
    <w:p>
      <w:pPr>
        <w:autoSpaceDE w:val="0"/>
        <w:autoSpaceDN w:val="0"/>
        <w:adjustRightInd w:val="0"/>
        <w:spacing w:line="360" w:lineRule="auto"/>
        <w:rPr>
          <w:rFonts w:ascii="宋体" w:hAnsi="宋体" w:cs="宋体"/>
        </w:rPr>
      </w:pPr>
    </w:p>
    <w:p>
      <w:pPr>
        <w:rPr>
          <w:rFonts w:ascii="宋体" w:hAnsi="宋体" w:cs="宋体"/>
        </w:rPr>
      </w:pPr>
      <w:r>
        <w:rPr>
          <w:rFonts w:hint="eastAsia" w:ascii="宋体" w:hAnsi="宋体" w:cs="宋体"/>
          <w:snapToGrid w:val="0"/>
          <w:kern w:val="0"/>
        </w:rPr>
        <w:br w:type="page"/>
      </w:r>
    </w:p>
    <w:p>
      <w:pPr>
        <w:autoSpaceDE w:val="0"/>
        <w:autoSpaceDN w:val="0"/>
        <w:adjustRightInd w:val="0"/>
        <w:spacing w:line="360" w:lineRule="auto"/>
        <w:outlineLvl w:val="1"/>
        <w:rPr>
          <w:rFonts w:ascii="宋体" w:hAnsi="宋体" w:cs="宋体"/>
          <w:b/>
          <w:bCs/>
          <w:sz w:val="24"/>
        </w:rPr>
      </w:pPr>
      <w:bookmarkStart w:id="82" w:name="_Toc15653"/>
      <w:bookmarkStart w:id="83" w:name="_Toc31523"/>
      <w:bookmarkStart w:id="84" w:name="_Toc17918"/>
      <w:r>
        <w:rPr>
          <w:rFonts w:hint="eastAsia" w:ascii="宋体" w:hAnsi="宋体" w:cs="宋体"/>
          <w:b/>
          <w:bCs/>
          <w:sz w:val="24"/>
        </w:rPr>
        <w:t>二、</w:t>
      </w:r>
      <w:bookmarkEnd w:id="82"/>
      <w:bookmarkEnd w:id="83"/>
      <w:r>
        <w:rPr>
          <w:rFonts w:hint="eastAsia" w:ascii="宋体" w:hAnsi="宋体" w:cs="宋体"/>
          <w:b/>
          <w:bCs/>
          <w:sz w:val="24"/>
        </w:rPr>
        <w:t>资格响应文件</w:t>
      </w:r>
      <w:bookmarkEnd w:id="84"/>
    </w:p>
    <w:p>
      <w:pPr>
        <w:autoSpaceDE w:val="0"/>
        <w:autoSpaceDN w:val="0"/>
        <w:adjustRightInd w:val="0"/>
        <w:snapToGrid w:val="0"/>
        <w:spacing w:line="360" w:lineRule="auto"/>
        <w:ind w:right="420"/>
        <w:rPr>
          <w:rFonts w:ascii="宋体" w:hAnsi="宋体" w:cs="宋体"/>
          <w:b/>
          <w:snapToGrid w:val="0"/>
          <w:kern w:val="0"/>
        </w:rPr>
      </w:pPr>
      <w:r>
        <w:rPr>
          <w:rFonts w:hint="eastAsia" w:ascii="宋体" w:hAnsi="宋体" w:cs="宋体"/>
          <w:b/>
          <w:snapToGrid w:val="0"/>
          <w:kern w:val="0"/>
        </w:rPr>
        <w:t>2.1资格审查需要的资料</w:t>
      </w:r>
    </w:p>
    <w:tbl>
      <w:tblPr>
        <w:tblStyle w:val="4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35"/>
        <w:gridCol w:w="433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jc w:val="center"/>
              <w:rPr>
                <w:rFonts w:ascii="宋体" w:hAnsi="宋体" w:cs="宋体"/>
                <w:szCs w:val="21"/>
              </w:rPr>
            </w:pPr>
            <w:r>
              <w:rPr>
                <w:rFonts w:hint="eastAsia" w:ascii="宋体" w:hAnsi="宋体" w:cs="宋体"/>
                <w:szCs w:val="21"/>
              </w:rPr>
              <w:t>序号</w:t>
            </w:r>
          </w:p>
        </w:tc>
        <w:tc>
          <w:tcPr>
            <w:tcW w:w="2335" w:type="dxa"/>
            <w:vAlign w:val="center"/>
          </w:tcPr>
          <w:p>
            <w:pPr>
              <w:ind w:left="344" w:leftChars="114" w:hanging="105" w:hangingChars="50"/>
              <w:jc w:val="center"/>
              <w:rPr>
                <w:rFonts w:ascii="宋体" w:hAnsi="宋体" w:cs="宋体"/>
                <w:szCs w:val="21"/>
              </w:rPr>
            </w:pPr>
            <w:r>
              <w:rPr>
                <w:rFonts w:hint="eastAsia" w:ascii="宋体" w:hAnsi="宋体" w:cs="宋体"/>
                <w:szCs w:val="21"/>
              </w:rPr>
              <w:t>评审因素</w:t>
            </w:r>
          </w:p>
        </w:tc>
        <w:tc>
          <w:tcPr>
            <w:tcW w:w="4338" w:type="dxa"/>
            <w:vAlign w:val="center"/>
          </w:tcPr>
          <w:p>
            <w:pPr>
              <w:ind w:left="2"/>
              <w:jc w:val="center"/>
              <w:rPr>
                <w:rFonts w:ascii="宋体" w:hAnsi="宋体" w:cs="宋体"/>
                <w:szCs w:val="21"/>
              </w:rPr>
            </w:pPr>
            <w:r>
              <w:rPr>
                <w:rFonts w:hint="eastAsia" w:ascii="宋体" w:hAnsi="宋体" w:cs="宋体"/>
                <w:szCs w:val="21"/>
              </w:rPr>
              <w:t>相关证明文件</w:t>
            </w:r>
          </w:p>
        </w:tc>
        <w:tc>
          <w:tcPr>
            <w:tcW w:w="1474" w:type="dxa"/>
            <w:vAlign w:val="center"/>
          </w:tcPr>
          <w:p>
            <w:pPr>
              <w:ind w:left="2"/>
              <w:jc w:val="center"/>
              <w:rPr>
                <w:rFonts w:ascii="宋体" w:hAnsi="宋体" w:cs="宋体"/>
                <w:szCs w:val="21"/>
              </w:rPr>
            </w:pPr>
            <w:r>
              <w:rPr>
                <w:rFonts w:hint="eastAsia" w:ascii="宋体" w:hAnsi="宋体" w:cs="宋体"/>
                <w:szCs w:val="21"/>
              </w:rPr>
              <w:t>申请人达到程度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8" w:type="dxa"/>
            <w:vAlign w:val="center"/>
          </w:tcPr>
          <w:p>
            <w:pPr>
              <w:jc w:val="center"/>
              <w:rPr>
                <w:rFonts w:ascii="宋体" w:hAnsi="宋体" w:cs="宋体"/>
                <w:szCs w:val="21"/>
              </w:rPr>
            </w:pPr>
            <w:r>
              <w:rPr>
                <w:rFonts w:hint="eastAsia" w:ascii="宋体" w:hAnsi="宋体" w:cs="宋体"/>
                <w:szCs w:val="21"/>
              </w:rPr>
              <w:t>1</w:t>
            </w:r>
          </w:p>
        </w:tc>
        <w:tc>
          <w:tcPr>
            <w:tcW w:w="2335" w:type="dxa"/>
            <w:vAlign w:val="center"/>
          </w:tcPr>
          <w:p>
            <w:pPr>
              <w:widowControl/>
              <w:adjustRightInd w:val="0"/>
              <w:snapToGrid w:val="0"/>
              <w:jc w:val="left"/>
              <w:rPr>
                <w:rFonts w:ascii="宋体" w:hAnsi="宋体" w:cs="宋体"/>
                <w:b/>
                <w:snapToGrid w:val="0"/>
                <w:kern w:val="0"/>
                <w:szCs w:val="21"/>
              </w:rPr>
            </w:pPr>
            <w:r>
              <w:rPr>
                <w:rFonts w:hint="eastAsia" w:ascii="宋体" w:hAnsi="宋体" w:cs="宋体"/>
                <w:b/>
                <w:snapToGrid w:val="0"/>
                <w:kern w:val="0"/>
                <w:szCs w:val="21"/>
              </w:rPr>
              <w:t>采购公告第五条要求</w:t>
            </w:r>
          </w:p>
        </w:tc>
        <w:tc>
          <w:tcPr>
            <w:tcW w:w="4338" w:type="dxa"/>
            <w:vAlign w:val="center"/>
          </w:tcPr>
          <w:p>
            <w:pPr>
              <w:tabs>
                <w:tab w:val="left" w:pos="720"/>
              </w:tabs>
              <w:adjustRightInd w:val="0"/>
              <w:snapToGrid w:val="0"/>
              <w:jc w:val="left"/>
              <w:rPr>
                <w:rFonts w:ascii="宋体" w:hAnsi="宋体" w:cs="宋体"/>
                <w:b/>
                <w:snapToGrid w:val="0"/>
                <w:kern w:val="0"/>
                <w:szCs w:val="21"/>
              </w:rPr>
            </w:pPr>
            <w:r>
              <w:rPr>
                <w:rFonts w:hint="eastAsia" w:ascii="宋体" w:hAnsi="宋体" w:cs="宋体"/>
                <w:b/>
                <w:snapToGrid w:val="0"/>
                <w:kern w:val="0"/>
                <w:szCs w:val="21"/>
              </w:rPr>
              <w:t>采购文件投标须知9.1条规定的相关资料</w:t>
            </w:r>
          </w:p>
        </w:tc>
        <w:tc>
          <w:tcPr>
            <w:tcW w:w="1474" w:type="dxa"/>
            <w:vAlign w:val="center"/>
          </w:tcPr>
          <w:p>
            <w:pPr>
              <w:adjustRightInd w:val="0"/>
              <w:snapToGrid w:val="0"/>
              <w:jc w:val="left"/>
              <w:rPr>
                <w:rFonts w:ascii="宋体" w:hAnsi="宋体" w:cs="宋体"/>
                <w:szCs w:val="21"/>
              </w:rPr>
            </w:pPr>
          </w:p>
        </w:tc>
      </w:tr>
    </w:tbl>
    <w:p>
      <w:pPr>
        <w:tabs>
          <w:tab w:val="left" w:pos="735"/>
        </w:tabs>
        <w:adjustRightInd w:val="0"/>
        <w:snapToGrid w:val="0"/>
        <w:spacing w:line="360" w:lineRule="auto"/>
        <w:rPr>
          <w:rFonts w:ascii="宋体" w:hAnsi="宋体" w:cs="宋体"/>
          <w:b/>
          <w:szCs w:val="21"/>
        </w:rPr>
      </w:pPr>
      <w:r>
        <w:rPr>
          <w:rFonts w:hint="eastAsia" w:ascii="宋体" w:hAnsi="宋体" w:cs="宋体"/>
          <w:b/>
          <w:snapToGrid w:val="0"/>
          <w:kern w:val="0"/>
          <w:szCs w:val="21"/>
        </w:rPr>
        <w:t>注：证明材料附后。</w:t>
      </w:r>
    </w:p>
    <w:p>
      <w:pPr>
        <w:pStyle w:val="39"/>
        <w:tabs>
          <w:tab w:val="left" w:pos="630"/>
          <w:tab w:val="left" w:pos="840"/>
          <w:tab w:val="left" w:pos="1050"/>
        </w:tabs>
        <w:adjustRightInd w:val="0"/>
        <w:snapToGrid w:val="0"/>
        <w:spacing w:before="0" w:beforeAutospacing="0" w:after="0" w:afterAutospacing="0" w:line="360" w:lineRule="auto"/>
        <w:rPr>
          <w:rFonts w:ascii="宋体" w:hAnsi="宋体" w:cs="宋体"/>
          <w:b/>
          <w:bCs/>
          <w:sz w:val="21"/>
          <w:szCs w:val="21"/>
        </w:rPr>
      </w:pPr>
      <w:r>
        <w:rPr>
          <w:rFonts w:hint="eastAsia" w:ascii="宋体" w:hAnsi="宋体" w:cs="宋体"/>
        </w:rPr>
        <w:br w:type="page"/>
      </w:r>
      <w:r>
        <w:rPr>
          <w:rFonts w:hint="eastAsia" w:ascii="宋体" w:hAnsi="宋体" w:cs="宋体"/>
          <w:b/>
          <w:sz w:val="21"/>
          <w:szCs w:val="21"/>
        </w:rPr>
        <w:t>2.2基本资格条件相关证明材料</w:t>
      </w:r>
    </w:p>
    <w:p>
      <w:pPr>
        <w:pStyle w:val="39"/>
        <w:numPr>
          <w:ilvl w:val="0"/>
          <w:numId w:val="20"/>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具有独立承担民事责任的能力：</w:t>
      </w:r>
    </w:p>
    <w:p>
      <w:pPr>
        <w:pStyle w:val="39"/>
        <w:tabs>
          <w:tab w:val="left" w:pos="630"/>
          <w:tab w:val="left" w:pos="840"/>
          <w:tab w:val="left" w:pos="1050"/>
        </w:tabs>
        <w:adjustRightInd w:val="0"/>
        <w:snapToGrid w:val="0"/>
        <w:spacing w:before="0" w:beforeAutospacing="0" w:after="0" w:afterAutospacing="0" w:line="360" w:lineRule="auto"/>
        <w:ind w:left="420"/>
        <w:rPr>
          <w:rFonts w:ascii="宋体" w:hAnsi="宋体" w:cs="宋体"/>
          <w:b/>
          <w:bCs/>
          <w:sz w:val="21"/>
          <w:szCs w:val="21"/>
        </w:rPr>
      </w:pPr>
      <w:r>
        <w:rPr>
          <w:rFonts w:hint="eastAsia" w:ascii="宋体" w:hAnsi="宋体" w:cs="宋体"/>
          <w:b/>
          <w:bCs/>
          <w:sz w:val="21"/>
          <w:szCs w:val="21"/>
        </w:rPr>
        <w:t>投标人须在投标文件中出具符合以下情况的证明材料扫描件（五选一）：</w:t>
      </w:r>
    </w:p>
    <w:p>
      <w:pPr>
        <w:pStyle w:val="39"/>
        <w:numPr>
          <w:ilvl w:val="0"/>
          <w:numId w:val="21"/>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如投标人是企业（包括合伙企业），提供在工商部门注册的有效“企业法人营业执照”或“营业执照”；</w:t>
      </w:r>
    </w:p>
    <w:p>
      <w:pPr>
        <w:pStyle w:val="39"/>
        <w:numPr>
          <w:ilvl w:val="0"/>
          <w:numId w:val="21"/>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如投标人是事业单位，提供有效的“事业单位法人证书”；</w:t>
      </w:r>
    </w:p>
    <w:p>
      <w:pPr>
        <w:pStyle w:val="39"/>
        <w:numPr>
          <w:ilvl w:val="0"/>
          <w:numId w:val="21"/>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如投标人是非企业专业服务机构的，提供执业许可证等证明文件；</w:t>
      </w:r>
    </w:p>
    <w:p>
      <w:pPr>
        <w:pStyle w:val="39"/>
        <w:numPr>
          <w:ilvl w:val="0"/>
          <w:numId w:val="21"/>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如投标人是个体工商户，提供有效的“个体工商户营业执照”；</w:t>
      </w:r>
    </w:p>
    <w:p>
      <w:pPr>
        <w:pStyle w:val="39"/>
        <w:numPr>
          <w:ilvl w:val="0"/>
          <w:numId w:val="21"/>
        </w:numPr>
        <w:tabs>
          <w:tab w:val="left" w:pos="312"/>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如投标人是自然人，提供有效的自然人身份证明（居民身份证正反面或公安机关出具的临时居民身份证正反面或港澳台胞证或护照）。</w:t>
      </w:r>
    </w:p>
    <w:p>
      <w:pPr>
        <w:pStyle w:val="39"/>
        <w:tabs>
          <w:tab w:val="left" w:pos="312"/>
        </w:tabs>
        <w:adjustRightInd w:val="0"/>
        <w:snapToGrid w:val="0"/>
        <w:spacing w:before="0" w:beforeAutospacing="0" w:after="0" w:afterAutospacing="0" w:line="360" w:lineRule="auto"/>
        <w:ind w:left="420" w:leftChars="200"/>
        <w:rPr>
          <w:rFonts w:ascii="宋体" w:hAnsi="宋体" w:cs="宋体"/>
          <w:b/>
          <w:bCs/>
          <w:sz w:val="21"/>
          <w:szCs w:val="21"/>
        </w:rPr>
      </w:pPr>
      <w:r>
        <w:rPr>
          <w:rFonts w:hint="eastAsia" w:ascii="宋体" w:hAnsi="宋体" w:cs="宋体"/>
          <w:b/>
          <w:bCs/>
          <w:sz w:val="21"/>
          <w:szCs w:val="21"/>
        </w:rPr>
        <w:br w:type="page"/>
      </w:r>
    </w:p>
    <w:p>
      <w:pPr>
        <w:pStyle w:val="39"/>
        <w:numPr>
          <w:ilvl w:val="0"/>
          <w:numId w:val="20"/>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具有良好的商业信誉和健全的财务会计制度的证明材料：</w:t>
      </w:r>
    </w:p>
    <w:p>
      <w:pPr>
        <w:pStyle w:val="39"/>
        <w:adjustRightInd w:val="0"/>
        <w:snapToGrid w:val="0"/>
        <w:spacing w:before="0" w:beforeAutospacing="0" w:after="0" w:afterAutospacing="0" w:line="360" w:lineRule="auto"/>
        <w:ind w:left="420" w:leftChars="200"/>
        <w:rPr>
          <w:rFonts w:ascii="宋体" w:hAnsi="宋体" w:cs="宋体"/>
          <w:b/>
          <w:spacing w:val="-6"/>
          <w:sz w:val="21"/>
          <w:szCs w:val="21"/>
        </w:rPr>
      </w:pPr>
      <w:r>
        <w:rPr>
          <w:rFonts w:hint="eastAsia" w:ascii="宋体" w:hAnsi="宋体" w:cs="宋体"/>
          <w:b/>
          <w:spacing w:val="-6"/>
          <w:sz w:val="21"/>
          <w:szCs w:val="21"/>
        </w:rPr>
        <w:t>投标人须在投标文件中出具符合以下情况的证明材料扫描件（三选一）：</w:t>
      </w:r>
    </w:p>
    <w:p>
      <w:pPr>
        <w:pStyle w:val="39"/>
        <w:numPr>
          <w:ilvl w:val="0"/>
          <w:numId w:val="22"/>
        </w:numPr>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投标人是法人的，应提供最近一个年度经审计的财务报告，包括资产负债表、利润表或损益表(执行《小企业会计准则》的提供资产负债表和利润表两张基本报表），未经审计的，提供资产负债表、利润表或损益表。</w:t>
      </w:r>
    </w:p>
    <w:p>
      <w:pPr>
        <w:pStyle w:val="39"/>
        <w:numPr>
          <w:ilvl w:val="0"/>
          <w:numId w:val="22"/>
        </w:numPr>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其他组织和自然人如没有经审计的财务报告的，可以提供资产负债表、利润表或损益表。</w:t>
      </w:r>
    </w:p>
    <w:p>
      <w:pPr>
        <w:pStyle w:val="39"/>
        <w:numPr>
          <w:ilvl w:val="0"/>
          <w:numId w:val="22"/>
        </w:numPr>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新成立不足一年的公司须出具情况说明。</w:t>
      </w:r>
    </w:p>
    <w:p>
      <w:pPr>
        <w:pStyle w:val="39"/>
        <w:adjustRightInd w:val="0"/>
        <w:snapToGrid w:val="0"/>
        <w:spacing w:before="0" w:beforeAutospacing="0" w:after="0" w:afterAutospacing="0" w:line="360" w:lineRule="auto"/>
        <w:ind w:left="420"/>
        <w:rPr>
          <w:rFonts w:ascii="宋体" w:hAnsi="宋体" w:cs="宋体"/>
          <w:b/>
          <w:bCs/>
          <w:sz w:val="21"/>
          <w:szCs w:val="21"/>
        </w:rPr>
      </w:pPr>
      <w:r>
        <w:rPr>
          <w:rFonts w:hint="eastAsia" w:ascii="宋体" w:hAnsi="宋体" w:cs="宋体"/>
          <w:b/>
          <w:bCs/>
          <w:sz w:val="21"/>
          <w:szCs w:val="21"/>
        </w:rPr>
        <w:br w:type="page"/>
      </w:r>
    </w:p>
    <w:p>
      <w:pPr>
        <w:pStyle w:val="39"/>
        <w:numPr>
          <w:ilvl w:val="0"/>
          <w:numId w:val="20"/>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具有履行合同所必需的设备和专业技术能力：</w:t>
      </w:r>
    </w:p>
    <w:p>
      <w:pPr>
        <w:pStyle w:val="39"/>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投标人须在投标文件中出具具有履行合同所必需的设备和专业技术能力的《承诺函》；（由投标人根据本项目情况自定）</w:t>
      </w:r>
    </w:p>
    <w:p>
      <w:pPr>
        <w:pStyle w:val="39"/>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br w:type="page"/>
      </w:r>
    </w:p>
    <w:p>
      <w:pPr>
        <w:pStyle w:val="39"/>
        <w:numPr>
          <w:ilvl w:val="0"/>
          <w:numId w:val="20"/>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有依法缴纳税收和社会保障资金的良好记录：</w:t>
      </w:r>
    </w:p>
    <w:p>
      <w:pPr>
        <w:pStyle w:val="39"/>
        <w:adjustRightInd w:val="0"/>
        <w:snapToGrid w:val="0"/>
        <w:spacing w:before="0" w:beforeAutospacing="0" w:after="0" w:afterAutospacing="0" w:line="360" w:lineRule="auto"/>
        <w:ind w:left="420" w:leftChars="200"/>
        <w:rPr>
          <w:rFonts w:ascii="宋体" w:hAnsi="宋体" w:cs="宋体"/>
          <w:b/>
          <w:bCs/>
          <w:sz w:val="21"/>
          <w:szCs w:val="21"/>
        </w:rPr>
      </w:pPr>
      <w:r>
        <w:rPr>
          <w:rFonts w:hint="eastAsia" w:ascii="宋体" w:hAnsi="宋体" w:cs="宋体"/>
          <w:b/>
          <w:bCs/>
          <w:sz w:val="21"/>
          <w:szCs w:val="21"/>
        </w:rPr>
        <w:t>投标人须在投标文件中同时出具满足以下要求的证明材料扫描件：</w:t>
      </w:r>
    </w:p>
    <w:p>
      <w:pPr>
        <w:pStyle w:val="39"/>
        <w:numPr>
          <w:ilvl w:val="0"/>
          <w:numId w:val="23"/>
        </w:numPr>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投标人须提供最近三个月内任一时间点的纳税证明。</w:t>
      </w:r>
    </w:p>
    <w:p>
      <w:pPr>
        <w:pStyle w:val="39"/>
        <w:adjustRightInd w:val="0"/>
        <w:snapToGrid w:val="0"/>
        <w:spacing w:before="0" w:beforeAutospacing="0" w:after="0" w:afterAutospacing="0" w:line="360" w:lineRule="auto"/>
        <w:ind w:left="420" w:leftChars="200"/>
        <w:rPr>
          <w:rFonts w:ascii="宋体" w:hAnsi="宋体" w:cs="宋体"/>
          <w:b/>
          <w:bCs/>
          <w:sz w:val="21"/>
          <w:szCs w:val="21"/>
        </w:rPr>
      </w:pPr>
    </w:p>
    <w:p>
      <w:pPr>
        <w:pStyle w:val="39"/>
        <w:adjustRightInd w:val="0"/>
        <w:snapToGrid w:val="0"/>
        <w:spacing w:before="0" w:beforeAutospacing="0" w:after="0" w:afterAutospacing="0" w:line="360" w:lineRule="auto"/>
        <w:ind w:left="420" w:leftChars="200"/>
        <w:rPr>
          <w:rFonts w:ascii="宋体" w:hAnsi="宋体" w:cs="宋体"/>
          <w:b/>
          <w:bCs/>
          <w:sz w:val="21"/>
          <w:szCs w:val="21"/>
        </w:rPr>
      </w:pPr>
    </w:p>
    <w:p>
      <w:pPr>
        <w:pStyle w:val="39"/>
        <w:adjustRightInd w:val="0"/>
        <w:snapToGrid w:val="0"/>
        <w:spacing w:before="0" w:beforeAutospacing="0" w:after="0" w:afterAutospacing="0" w:line="360" w:lineRule="auto"/>
        <w:ind w:left="420" w:leftChars="200"/>
        <w:rPr>
          <w:rFonts w:ascii="宋体" w:hAnsi="宋体" w:cs="宋体"/>
          <w:b/>
          <w:bCs/>
          <w:sz w:val="21"/>
          <w:szCs w:val="21"/>
        </w:rPr>
      </w:pPr>
    </w:p>
    <w:p>
      <w:pPr>
        <w:pStyle w:val="39"/>
        <w:numPr>
          <w:ilvl w:val="0"/>
          <w:numId w:val="23"/>
        </w:numPr>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投标人须提供最近三个月内任一时间点缴纳社会保险的凭据（缴税付款凭证或社会保险缴纳证明）</w:t>
      </w:r>
    </w:p>
    <w:p>
      <w:pPr>
        <w:pStyle w:val="39"/>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依法免税或不需要缴纳社会保障资金的投标人，应提供相应文件证明其依法免税或不需要缴纳社会保障资金。</w:t>
      </w:r>
    </w:p>
    <w:p>
      <w:pPr>
        <w:pStyle w:val="39"/>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br w:type="page"/>
      </w:r>
    </w:p>
    <w:p>
      <w:pPr>
        <w:pStyle w:val="39"/>
        <w:numPr>
          <w:ilvl w:val="0"/>
          <w:numId w:val="20"/>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参加政府采购活动前三年内，在经营活动中没有重大违法记录：</w:t>
      </w:r>
    </w:p>
    <w:p>
      <w:pPr>
        <w:pStyle w:val="39"/>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投标人须在投标文件中出具《声明函》。（参考格式如下）</w:t>
      </w:r>
    </w:p>
    <w:p>
      <w:pPr>
        <w:pStyle w:val="39"/>
        <w:adjustRightInd w:val="0"/>
        <w:snapToGrid w:val="0"/>
        <w:spacing w:before="0" w:beforeAutospacing="0" w:after="0" w:afterAutospacing="0" w:line="360" w:lineRule="auto"/>
        <w:rPr>
          <w:rFonts w:ascii="宋体" w:hAnsi="宋体" w:cs="宋体"/>
          <w:b/>
          <w:bCs/>
          <w:sz w:val="21"/>
          <w:szCs w:val="21"/>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声明函</w:t>
      </w:r>
    </w:p>
    <w:p>
      <w:pPr>
        <w:snapToGrid w:val="0"/>
        <w:spacing w:line="360" w:lineRule="auto"/>
        <w:rPr>
          <w:rFonts w:ascii="宋体" w:hAnsi="宋体" w:cs="宋体"/>
          <w:szCs w:val="21"/>
          <w:u w:val="single"/>
        </w:rPr>
      </w:pPr>
      <w:r>
        <w:rPr>
          <w:rFonts w:hint="eastAsia" w:ascii="宋体" w:hAnsi="宋体" w:cs="宋体"/>
          <w:szCs w:val="21"/>
          <w:u w:val="single"/>
        </w:rPr>
        <w:t>（采购人）：</w:t>
      </w:r>
    </w:p>
    <w:p>
      <w:pPr>
        <w:snapToGrid w:val="0"/>
        <w:spacing w:line="360" w:lineRule="auto"/>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（投标人）</w:t>
      </w:r>
      <w:r>
        <w:rPr>
          <w:rFonts w:hint="eastAsia" w:ascii="宋体" w:hAnsi="宋体" w:cs="宋体"/>
          <w:szCs w:val="21"/>
        </w:rPr>
        <w:t>在参加政府采购活动前三年内，具有良好的商业信誉，依法缴纳税收和社会保障资金，</w:t>
      </w:r>
      <w:r>
        <w:rPr>
          <w:rFonts w:hint="eastAsia" w:ascii="宋体" w:hAnsi="宋体" w:cs="宋体"/>
          <w:kern w:val="0"/>
          <w:szCs w:val="21"/>
        </w:rPr>
        <w:t>未被列入失信被执行人名单、重大税收违法案件当事人名单、政府采购严重违法失信行为记录名单，</w:t>
      </w:r>
      <w:r>
        <w:rPr>
          <w:rFonts w:hint="eastAsia" w:ascii="宋体" w:hAnsi="宋体" w:cs="宋体"/>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Cs w:val="21"/>
        </w:rPr>
        <w:t>。如有虚假，采购人可取消我方任何资格（投标/中标/签订合同），我方对此无任何异议。</w:t>
      </w:r>
    </w:p>
    <w:p>
      <w:pPr>
        <w:snapToGrid w:val="0"/>
        <w:spacing w:line="360" w:lineRule="auto"/>
        <w:ind w:firstLine="420" w:firstLineChars="200"/>
        <w:rPr>
          <w:rFonts w:ascii="宋体" w:hAnsi="宋体" w:cs="宋体"/>
          <w:szCs w:val="21"/>
        </w:rPr>
      </w:pPr>
      <w:r>
        <w:rPr>
          <w:rFonts w:hint="eastAsia" w:ascii="宋体" w:hAnsi="宋体" w:cs="宋体"/>
          <w:szCs w:val="21"/>
        </w:rPr>
        <w:t>特此声明！</w:t>
      </w:r>
    </w:p>
    <w:p>
      <w:pPr>
        <w:snapToGrid w:val="0"/>
        <w:spacing w:line="360" w:lineRule="auto"/>
        <w:rPr>
          <w:rFonts w:ascii="宋体" w:hAnsi="宋体" w:cs="宋体"/>
        </w:rPr>
      </w:pPr>
    </w:p>
    <w:p>
      <w:pPr>
        <w:snapToGrid w:val="0"/>
        <w:spacing w:line="360" w:lineRule="auto"/>
        <w:rPr>
          <w:rFonts w:ascii="宋体" w:hAnsi="宋体" w:cs="宋体"/>
          <w:spacing w:val="20"/>
          <w:u w:val="single"/>
        </w:rPr>
      </w:pPr>
      <w:r>
        <w:rPr>
          <w:rFonts w:hint="eastAsia" w:ascii="宋体" w:hAnsi="宋体" w:cs="宋体"/>
        </w:rPr>
        <w:t>投标人名称（电子签章）：</w:t>
      </w:r>
    </w:p>
    <w:p>
      <w:pPr>
        <w:snapToGrid w:val="0"/>
        <w:spacing w:line="360" w:lineRule="auto"/>
        <w:rPr>
          <w:rFonts w:ascii="宋体" w:hAnsi="宋体" w:cs="宋体"/>
          <w:spacing w:val="20"/>
        </w:rPr>
      </w:pPr>
      <w:r>
        <w:rPr>
          <w:rFonts w:hint="eastAsia" w:ascii="宋体" w:hAnsi="宋体" w:cs="宋体"/>
          <w:spacing w:val="20"/>
        </w:rPr>
        <w:t xml:space="preserve">日期：  </w:t>
      </w:r>
      <w:r>
        <w:rPr>
          <w:rFonts w:hint="eastAsia" w:ascii="宋体" w:hAnsi="宋体" w:cs="宋体"/>
        </w:rPr>
        <w:t>年  月  日</w:t>
      </w:r>
    </w:p>
    <w:p>
      <w:pPr>
        <w:autoSpaceDE w:val="0"/>
        <w:autoSpaceDN w:val="0"/>
        <w:adjustRightInd w:val="0"/>
        <w:spacing w:line="360" w:lineRule="auto"/>
        <w:outlineLvl w:val="1"/>
        <w:rPr>
          <w:rFonts w:ascii="宋体" w:hAnsi="宋体" w:cs="宋体"/>
          <w:sz w:val="24"/>
        </w:rPr>
      </w:pPr>
      <w:r>
        <w:rPr>
          <w:rFonts w:hint="eastAsia" w:ascii="宋体" w:hAnsi="宋体" w:cs="宋体"/>
        </w:rPr>
        <w:br w:type="page"/>
      </w:r>
      <w:bookmarkStart w:id="85" w:name="_Toc3961"/>
      <w:bookmarkStart w:id="86" w:name="_Toc20927"/>
      <w:r>
        <w:rPr>
          <w:rFonts w:hint="eastAsia" w:ascii="宋体" w:hAnsi="宋体" w:cs="宋体"/>
        </w:rPr>
        <w:t>三</w:t>
      </w:r>
      <w:r>
        <w:rPr>
          <w:rFonts w:hint="eastAsia" w:ascii="宋体" w:hAnsi="宋体" w:cs="宋体"/>
          <w:sz w:val="24"/>
        </w:rPr>
        <w:t>、资信技术响应文件部分格式</w:t>
      </w:r>
      <w:bookmarkEnd w:id="85"/>
      <w:bookmarkEnd w:id="86"/>
    </w:p>
    <w:p>
      <w:pPr>
        <w:autoSpaceDE w:val="0"/>
        <w:autoSpaceDN w:val="0"/>
        <w:adjustRightInd w:val="0"/>
        <w:spacing w:line="360" w:lineRule="auto"/>
        <w:rPr>
          <w:rFonts w:ascii="宋体" w:hAnsi="宋体" w:cs="宋体"/>
          <w:b/>
          <w:szCs w:val="21"/>
        </w:rPr>
      </w:pPr>
      <w:r>
        <w:rPr>
          <w:rFonts w:hint="eastAsia" w:ascii="宋体" w:hAnsi="宋体" w:cs="宋体"/>
          <w:b/>
          <w:szCs w:val="21"/>
        </w:rPr>
        <w:t>（顺序不做强制；未提供格式的，可自行提供）</w:t>
      </w:r>
    </w:p>
    <w:p>
      <w:pPr>
        <w:autoSpaceDE w:val="0"/>
        <w:autoSpaceDN w:val="0"/>
        <w:adjustRightInd w:val="0"/>
        <w:spacing w:line="360" w:lineRule="auto"/>
        <w:rPr>
          <w:rFonts w:ascii="宋体" w:hAnsi="宋体" w:cs="宋体"/>
          <w:b/>
          <w:szCs w:val="21"/>
        </w:rPr>
      </w:pPr>
      <w:r>
        <w:rPr>
          <w:rFonts w:hint="eastAsia" w:ascii="宋体" w:hAnsi="宋体" w:cs="宋体"/>
          <w:b/>
          <w:szCs w:val="21"/>
        </w:rPr>
        <w:t>3.1评分索引表；</w:t>
      </w:r>
    </w:p>
    <w:p>
      <w:pPr>
        <w:pStyle w:val="24"/>
        <w:snapToGrid w:val="0"/>
        <w:spacing w:line="360" w:lineRule="auto"/>
        <w:jc w:val="center"/>
        <w:rPr>
          <w:rFonts w:ascii="宋体" w:hAnsi="宋体" w:eastAsia="宋体" w:cs="宋体"/>
          <w:b/>
          <w:snapToGrid w:val="0"/>
          <w:kern w:val="0"/>
          <w:sz w:val="28"/>
          <w:szCs w:val="28"/>
        </w:rPr>
      </w:pPr>
      <w:r>
        <w:rPr>
          <w:rFonts w:hint="eastAsia" w:ascii="宋体" w:hAnsi="宋体" w:eastAsia="宋体" w:cs="宋体"/>
          <w:b/>
          <w:snapToGrid w:val="0"/>
          <w:kern w:val="0"/>
          <w:sz w:val="28"/>
          <w:szCs w:val="28"/>
        </w:rPr>
        <w:t>评分索引表</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序号</w:t>
            </w:r>
          </w:p>
        </w:tc>
        <w:tc>
          <w:tcPr>
            <w:tcW w:w="5033"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评分细则内容</w:t>
            </w:r>
          </w:p>
        </w:tc>
        <w:tc>
          <w:tcPr>
            <w:tcW w:w="1134"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投标响应情况</w:t>
            </w:r>
          </w:p>
        </w:tc>
        <w:tc>
          <w:tcPr>
            <w:tcW w:w="1082"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证明材料所在页码</w:t>
            </w:r>
          </w:p>
        </w:tc>
        <w:tc>
          <w:tcPr>
            <w:tcW w:w="1044"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napToGrid w:val="0"/>
                <w:kern w:val="0"/>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bl>
    <w:p>
      <w:pPr>
        <w:autoSpaceDE w:val="0"/>
        <w:autoSpaceDN w:val="0"/>
        <w:adjustRightInd w:val="0"/>
        <w:spacing w:line="360" w:lineRule="auto"/>
        <w:rPr>
          <w:rFonts w:ascii="宋体" w:hAnsi="宋体" w:cs="宋体"/>
          <w:b/>
          <w:szCs w:val="21"/>
        </w:rPr>
        <w:sectPr>
          <w:footerReference r:id="rId5" w:type="default"/>
          <w:footerReference r:id="rId6" w:type="even"/>
          <w:pgSz w:w="11906" w:h="16838"/>
          <w:pgMar w:top="1247" w:right="1588" w:bottom="1089" w:left="1588" w:header="851" w:footer="992" w:gutter="0"/>
          <w:cols w:space="720" w:num="1"/>
          <w:docGrid w:linePitch="312" w:charSpace="0"/>
        </w:sectPr>
      </w:pPr>
    </w:p>
    <w:p>
      <w:pPr>
        <w:autoSpaceDE w:val="0"/>
        <w:autoSpaceDN w:val="0"/>
        <w:adjustRightInd w:val="0"/>
        <w:spacing w:line="360" w:lineRule="auto"/>
        <w:rPr>
          <w:rFonts w:ascii="宋体" w:hAnsi="宋体" w:cs="宋体"/>
          <w:b/>
          <w:szCs w:val="21"/>
        </w:rPr>
      </w:pPr>
      <w:r>
        <w:rPr>
          <w:rFonts w:hint="eastAsia" w:ascii="宋体" w:hAnsi="宋体" w:cs="宋体"/>
          <w:b/>
          <w:szCs w:val="21"/>
        </w:rPr>
        <w:t>3.2投标响应一览表</w:t>
      </w:r>
    </w:p>
    <w:p>
      <w:pPr>
        <w:pStyle w:val="24"/>
        <w:snapToGrid w:val="0"/>
        <w:spacing w:line="360" w:lineRule="auto"/>
        <w:jc w:val="center"/>
        <w:rPr>
          <w:rFonts w:ascii="宋体" w:hAnsi="宋体" w:eastAsia="宋体" w:cs="宋体"/>
          <w:b/>
          <w:snapToGrid w:val="0"/>
          <w:kern w:val="0"/>
          <w:sz w:val="28"/>
          <w:szCs w:val="28"/>
        </w:rPr>
      </w:pPr>
      <w:r>
        <w:rPr>
          <w:rFonts w:hint="eastAsia" w:ascii="宋体" w:hAnsi="宋体" w:eastAsia="宋体" w:cs="宋体"/>
          <w:b/>
          <w:snapToGrid w:val="0"/>
          <w:kern w:val="0"/>
          <w:sz w:val="28"/>
          <w:szCs w:val="28"/>
        </w:rPr>
        <w:t>投标响应一览表</w:t>
      </w:r>
    </w:p>
    <w:p>
      <w:pPr>
        <w:adjustRightInd w:val="0"/>
        <w:snapToGrid w:val="0"/>
        <w:spacing w:line="360" w:lineRule="auto"/>
        <w:rPr>
          <w:rFonts w:ascii="宋体" w:hAnsi="宋体" w:cs="宋体"/>
          <w:snapToGrid w:val="0"/>
          <w:kern w:val="0"/>
          <w:szCs w:val="21"/>
          <w:u w:val="single"/>
        </w:rPr>
      </w:pPr>
      <w:r>
        <w:rPr>
          <w:rFonts w:hint="eastAsia" w:ascii="宋体" w:hAnsi="宋体" w:cs="宋体"/>
          <w:snapToGrid w:val="0"/>
          <w:kern w:val="0"/>
          <w:szCs w:val="21"/>
        </w:rPr>
        <w:t xml:space="preserve">项目名称：                                                  </w:t>
      </w:r>
    </w:p>
    <w:p>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 xml:space="preserve">采购编号：ZJXY-HZ2020-114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vAlign w:val="center"/>
          </w:tcPr>
          <w:p>
            <w:pPr>
              <w:adjustRightInd w:val="0"/>
              <w:snapToGrid w:val="0"/>
              <w:jc w:val="center"/>
              <w:rPr>
                <w:rFonts w:ascii="宋体" w:hAnsi="宋体" w:cs="宋体"/>
                <w:snapToGrid w:val="0"/>
                <w:kern w:val="0"/>
                <w:szCs w:val="21"/>
              </w:rPr>
            </w:pPr>
            <w:r>
              <w:rPr>
                <w:rFonts w:hint="eastAsia" w:ascii="宋体" w:hAnsi="宋体" w:cs="宋体"/>
                <w:snapToGrid w:val="0"/>
                <w:kern w:val="0"/>
                <w:szCs w:val="21"/>
              </w:rPr>
              <w:t>服务期</w:t>
            </w:r>
          </w:p>
        </w:tc>
        <w:tc>
          <w:tcPr>
            <w:tcW w:w="5271" w:type="dxa"/>
            <w:vAlign w:val="center"/>
          </w:tcPr>
          <w:p>
            <w:pPr>
              <w:adjustRightInd w:val="0"/>
              <w:snapToGrid w:val="0"/>
              <w:spacing w:line="360" w:lineRule="auto"/>
              <w:jc w:val="center"/>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vAlign w:val="center"/>
          </w:tcPr>
          <w:p>
            <w:pPr>
              <w:adjustRightInd w:val="0"/>
              <w:snapToGrid w:val="0"/>
              <w:jc w:val="center"/>
              <w:rPr>
                <w:rFonts w:ascii="宋体" w:hAnsi="宋体" w:cs="宋体"/>
                <w:snapToGrid w:val="0"/>
                <w:kern w:val="0"/>
                <w:szCs w:val="21"/>
              </w:rPr>
            </w:pPr>
            <w:r>
              <w:rPr>
                <w:rFonts w:hint="eastAsia" w:ascii="宋体" w:hAnsi="宋体" w:cs="宋体"/>
                <w:snapToGrid w:val="0"/>
                <w:kern w:val="0"/>
                <w:szCs w:val="21"/>
              </w:rPr>
              <w:t>拟派项目负责人</w:t>
            </w:r>
          </w:p>
        </w:tc>
        <w:tc>
          <w:tcPr>
            <w:tcW w:w="5271" w:type="dxa"/>
            <w:vAlign w:val="center"/>
          </w:tcPr>
          <w:p>
            <w:pPr>
              <w:adjustRightInd w:val="0"/>
              <w:snapToGrid w:val="0"/>
              <w:spacing w:line="360" w:lineRule="auto"/>
              <w:jc w:val="center"/>
              <w:rPr>
                <w:rFonts w:ascii="宋体" w:hAnsi="宋体" w:cs="宋体"/>
                <w:snapToGrid w:val="0"/>
                <w:kern w:val="0"/>
                <w:szCs w:val="21"/>
              </w:rPr>
            </w:pPr>
          </w:p>
        </w:tc>
      </w:tr>
    </w:tbl>
    <w:p>
      <w:pPr>
        <w:adjustRightInd w:val="0"/>
        <w:snapToGrid w:val="0"/>
        <w:spacing w:line="360" w:lineRule="auto"/>
        <w:jc w:val="left"/>
        <w:rPr>
          <w:rFonts w:ascii="宋体" w:hAnsi="宋体" w:cs="宋体"/>
          <w:snapToGrid w:val="0"/>
          <w:kern w:val="0"/>
          <w:szCs w:val="21"/>
        </w:rPr>
      </w:pPr>
    </w:p>
    <w:p>
      <w:pPr>
        <w:widowControl/>
        <w:adjustRightInd w:val="0"/>
        <w:snapToGrid w:val="0"/>
        <w:spacing w:line="360" w:lineRule="auto"/>
        <w:ind w:firstLine="420" w:firstLineChars="200"/>
        <w:jc w:val="left"/>
        <w:rPr>
          <w:rFonts w:ascii="宋体" w:hAnsi="宋体" w:cs="宋体"/>
          <w:snapToGrid w:val="0"/>
          <w:kern w:val="0"/>
          <w:szCs w:val="21"/>
        </w:rPr>
      </w:pPr>
    </w:p>
    <w:p>
      <w:pPr>
        <w:adjustRightInd w:val="0"/>
        <w:snapToGrid w:val="0"/>
        <w:spacing w:line="360" w:lineRule="auto"/>
        <w:ind w:firstLine="4515" w:firstLineChars="2150"/>
        <w:rPr>
          <w:rFonts w:ascii="宋体" w:hAnsi="宋体" w:cs="宋体"/>
          <w:snapToGrid w:val="0"/>
          <w:kern w:val="0"/>
          <w:szCs w:val="21"/>
        </w:rPr>
      </w:pPr>
    </w:p>
    <w:p>
      <w:pPr>
        <w:adjustRightInd w:val="0"/>
        <w:snapToGrid w:val="0"/>
        <w:spacing w:line="360" w:lineRule="auto"/>
        <w:ind w:firstLine="4515" w:firstLineChars="2150"/>
        <w:rPr>
          <w:rFonts w:ascii="宋体" w:hAnsi="宋体" w:cs="宋体"/>
          <w:snapToGrid w:val="0"/>
          <w:kern w:val="0"/>
          <w:szCs w:val="21"/>
        </w:rPr>
      </w:pPr>
      <w:r>
        <w:rPr>
          <w:rFonts w:hint="eastAsia" w:ascii="宋体" w:hAnsi="宋体" w:cs="宋体"/>
          <w:snapToGrid w:val="0"/>
          <w:kern w:val="0"/>
          <w:szCs w:val="21"/>
        </w:rPr>
        <w:t>投标人(电子签章)：</w:t>
      </w:r>
    </w:p>
    <w:p>
      <w:pPr>
        <w:adjustRightInd w:val="0"/>
        <w:snapToGrid w:val="0"/>
        <w:spacing w:line="360" w:lineRule="auto"/>
        <w:ind w:firstLine="5375" w:firstLineChars="2150"/>
        <w:rPr>
          <w:rFonts w:ascii="宋体" w:hAnsi="宋体" w:cs="宋体"/>
          <w:snapToGrid w:val="0"/>
          <w:kern w:val="0"/>
          <w:szCs w:val="21"/>
        </w:rPr>
      </w:pPr>
      <w:r>
        <w:rPr>
          <w:rFonts w:hint="eastAsia" w:ascii="宋体" w:hAnsi="宋体" w:cs="宋体"/>
          <w:spacing w:val="20"/>
        </w:rPr>
        <w:t xml:space="preserve">日期：  </w:t>
      </w:r>
      <w:r>
        <w:rPr>
          <w:rFonts w:hint="eastAsia" w:ascii="宋体" w:hAnsi="宋体" w:cs="宋体"/>
        </w:rPr>
        <w:t>年  月  日</w:t>
      </w:r>
    </w:p>
    <w:p>
      <w:pPr>
        <w:pStyle w:val="18"/>
      </w:pPr>
    </w:p>
    <w:p>
      <w:pPr>
        <w:pStyle w:val="18"/>
      </w:pPr>
    </w:p>
    <w:p>
      <w:pPr>
        <w:autoSpaceDE w:val="0"/>
        <w:autoSpaceDN w:val="0"/>
        <w:adjustRightInd w:val="0"/>
        <w:spacing w:line="360" w:lineRule="auto"/>
        <w:rPr>
          <w:rFonts w:ascii="宋体" w:hAnsi="宋体" w:cs="宋体"/>
          <w:b/>
          <w:szCs w:val="21"/>
        </w:rPr>
        <w:sectPr>
          <w:pgSz w:w="11906" w:h="16838"/>
          <w:pgMar w:top="1247" w:right="1588" w:bottom="1089" w:left="1588" w:header="851" w:footer="992" w:gutter="0"/>
          <w:cols w:space="720" w:num="1"/>
          <w:docGrid w:linePitch="312" w:charSpace="0"/>
        </w:sectPr>
      </w:pPr>
    </w:p>
    <w:p>
      <w:pPr>
        <w:autoSpaceDE w:val="0"/>
        <w:autoSpaceDN w:val="0"/>
        <w:adjustRightInd w:val="0"/>
        <w:spacing w:line="360" w:lineRule="auto"/>
        <w:rPr>
          <w:rFonts w:ascii="宋体" w:hAnsi="宋体" w:cs="宋体"/>
          <w:b/>
          <w:szCs w:val="21"/>
        </w:rPr>
      </w:pPr>
      <w:r>
        <w:rPr>
          <w:rFonts w:hint="eastAsia" w:ascii="宋体" w:hAnsi="宋体" w:cs="宋体"/>
          <w:b/>
          <w:szCs w:val="21"/>
        </w:rPr>
        <w:t>3.3投标人基本情况</w:t>
      </w:r>
    </w:p>
    <w:p>
      <w:pPr>
        <w:spacing w:line="240" w:lineRule="atLeast"/>
        <w:jc w:val="center"/>
        <w:rPr>
          <w:rFonts w:ascii="宋体" w:hAnsi="宋体" w:cs="宋体"/>
          <w:b/>
          <w:sz w:val="32"/>
          <w:szCs w:val="32"/>
        </w:rPr>
      </w:pPr>
      <w:r>
        <w:rPr>
          <w:rFonts w:hint="eastAsia" w:ascii="宋体" w:hAnsi="宋体" w:cs="宋体"/>
          <w:b/>
          <w:sz w:val="32"/>
          <w:szCs w:val="32"/>
        </w:rPr>
        <w:t>投标人基本情况表</w:t>
      </w:r>
    </w:p>
    <w:p>
      <w:pPr>
        <w:spacing w:line="240" w:lineRule="atLeast"/>
        <w:ind w:firstLine="2233" w:firstLineChars="695"/>
        <w:rPr>
          <w:rFonts w:ascii="宋体" w:hAnsi="宋体" w:cs="宋体"/>
          <w:b/>
          <w:sz w:val="32"/>
          <w:szCs w:val="32"/>
        </w:rPr>
      </w:pPr>
    </w:p>
    <w:tbl>
      <w:tblPr>
        <w:tblStyle w:val="43"/>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投标人名称</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企业资质</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 xml:space="preserve">1.等级:            2.证书号: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 xml:space="preserve">1.编号:            2.营业范围:     3.发照单位: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建立日期</w:t>
            </w:r>
          </w:p>
        </w:tc>
        <w:tc>
          <w:tcPr>
            <w:tcW w:w="2490"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c>
          <w:tcPr>
            <w:tcW w:w="1575"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jc w:val="center"/>
              <w:textAlignment w:val="bottom"/>
              <w:rPr>
                <w:rFonts w:ascii="宋体" w:hAnsi="宋体" w:cs="宋体"/>
              </w:rPr>
            </w:pPr>
            <w:r>
              <w:rPr>
                <w:rFonts w:hint="eastAsia" w:ascii="宋体" w:hAnsi="宋体" w:cs="宋体"/>
              </w:rPr>
              <w:t>现有职工</w:t>
            </w:r>
          </w:p>
        </w:tc>
        <w:tc>
          <w:tcPr>
            <w:tcW w:w="2415"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jc w:val="center"/>
              <w:textAlignment w:val="bottom"/>
              <w:rPr>
                <w:rFonts w:ascii="宋体" w:hAnsi="宋体" w:cs="宋体"/>
              </w:rPr>
            </w:pPr>
            <w:r>
              <w:rPr>
                <w:rFonts w:hint="eastAsia" w:ascii="宋体" w:hAnsi="宋体"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技术负责人</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地址</w:t>
            </w:r>
          </w:p>
          <w:p>
            <w:pPr>
              <w:widowControl/>
              <w:autoSpaceDE w:val="0"/>
              <w:autoSpaceDN w:val="0"/>
              <w:spacing w:line="440" w:lineRule="atLeast"/>
              <w:textAlignment w:val="bottom"/>
              <w:rPr>
                <w:rFonts w:ascii="宋体" w:hAnsi="宋体" w:cs="宋体"/>
              </w:rPr>
            </w:pPr>
            <w:r>
              <w:rPr>
                <w:rFonts w:hint="eastAsia" w:ascii="宋体" w:hAnsi="宋体" w:cs="宋体"/>
              </w:rPr>
              <w:t>邮编:</w:t>
            </w:r>
          </w:p>
          <w:p>
            <w:pPr>
              <w:widowControl/>
              <w:autoSpaceDE w:val="0"/>
              <w:autoSpaceDN w:val="0"/>
              <w:spacing w:line="440" w:lineRule="atLeast"/>
              <w:textAlignment w:val="bottom"/>
              <w:rPr>
                <w:rFonts w:ascii="宋体" w:hAnsi="宋体" w:cs="宋体"/>
              </w:rPr>
            </w:pPr>
            <w:r>
              <w:rPr>
                <w:rFonts w:hint="eastAsia" w:ascii="宋体" w:hAnsi="宋体" w:cs="宋体"/>
              </w:rPr>
              <w:t xml:space="preserve">电话:  </w:t>
            </w:r>
          </w:p>
          <w:p>
            <w:pPr>
              <w:widowControl/>
              <w:autoSpaceDE w:val="0"/>
              <w:autoSpaceDN w:val="0"/>
              <w:spacing w:line="440" w:lineRule="atLeast"/>
              <w:textAlignment w:val="bottom"/>
              <w:rPr>
                <w:rFonts w:ascii="宋体" w:hAnsi="宋体" w:cs="宋体"/>
              </w:rPr>
            </w:pPr>
            <w:r>
              <w:rPr>
                <w:rFonts w:hint="eastAsia" w:ascii="宋体" w:hAnsi="宋体" w:cs="宋体"/>
              </w:rPr>
              <w:t xml:space="preserve">传真: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开户银行</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 xml:space="preserve">名称:                      账号:          </w:t>
            </w:r>
          </w:p>
        </w:tc>
      </w:tr>
      <w:tr>
        <w:tblPrEx>
          <w:tblCellMar>
            <w:top w:w="0" w:type="dxa"/>
            <w:left w:w="28" w:type="dxa"/>
            <w:bottom w:w="0" w:type="dxa"/>
            <w:right w:w="28" w:type="dxa"/>
          </w:tblCellMar>
        </w:tblPrEx>
        <w:trPr>
          <w:cantSplit/>
          <w:trHeight w:val="5279" w:hRule="atLeas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组织机构框图</w:t>
            </w:r>
          </w:p>
          <w:p>
            <w:pPr>
              <w:widowControl/>
              <w:autoSpaceDE w:val="0"/>
              <w:autoSpaceDN w:val="0"/>
              <w:spacing w:line="440" w:lineRule="atLeast"/>
              <w:ind w:left="105"/>
              <w:jc w:val="center"/>
              <w:textAlignment w:val="bottom"/>
              <w:rPr>
                <w:rFonts w:ascii="宋体" w:hAnsi="宋体" w:cs="宋体"/>
              </w:rPr>
            </w:pPr>
          </w:p>
          <w:p>
            <w:pPr>
              <w:autoSpaceDE w:val="0"/>
              <w:autoSpaceDN w:val="0"/>
              <w:spacing w:line="440" w:lineRule="atLeast"/>
              <w:ind w:left="105"/>
              <w:textAlignment w:val="bottom"/>
              <w:rPr>
                <w:rFonts w:ascii="宋体" w:hAnsi="宋体" w:cs="宋体"/>
              </w:rPr>
            </w:pP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bl>
    <w:p>
      <w:pPr>
        <w:spacing w:line="360" w:lineRule="auto"/>
        <w:ind w:left="630" w:hanging="630" w:hangingChars="300"/>
        <w:rPr>
          <w:rFonts w:ascii="宋体" w:hAnsi="宋体" w:cs="宋体"/>
        </w:rPr>
      </w:pPr>
    </w:p>
    <w:p>
      <w:pPr>
        <w:adjustRightInd w:val="0"/>
        <w:snapToGrid w:val="0"/>
        <w:spacing w:beforeLines="50" w:line="360" w:lineRule="auto"/>
        <w:rPr>
          <w:rFonts w:ascii="宋体" w:hAnsi="宋体" w:cs="宋体"/>
          <w:b/>
        </w:rPr>
      </w:pPr>
      <w:r>
        <w:rPr>
          <w:rFonts w:hint="eastAsia" w:ascii="宋体" w:hAnsi="宋体" w:cs="宋体"/>
          <w:b/>
          <w:sz w:val="24"/>
        </w:rPr>
        <w:br w:type="page"/>
      </w:r>
      <w:r>
        <w:rPr>
          <w:rFonts w:hint="eastAsia" w:ascii="宋体" w:hAnsi="宋体" w:cs="宋体"/>
          <w:b/>
        </w:rPr>
        <w:t>3.4法定代表人资格证明及授权委托书</w:t>
      </w:r>
    </w:p>
    <w:p>
      <w:pPr>
        <w:rPr>
          <w:rFonts w:ascii="宋体" w:hAnsi="宋体" w:cs="宋体"/>
          <w:b/>
          <w:snapToGrid w:val="0"/>
          <w:kern w:val="0"/>
          <w:szCs w:val="21"/>
        </w:rPr>
      </w:pPr>
      <w:r>
        <w:rPr>
          <w:rFonts w:hint="eastAsia" w:ascii="宋体" w:hAnsi="宋体" w:cs="宋体"/>
          <w:b/>
          <w:snapToGrid w:val="0"/>
          <w:kern w:val="0"/>
          <w:szCs w:val="21"/>
        </w:rPr>
        <w:t>附件3.4.1</w:t>
      </w:r>
    </w:p>
    <w:p>
      <w:pPr>
        <w:pStyle w:val="2"/>
        <w:spacing w:line="600" w:lineRule="exact"/>
        <w:ind w:firstLine="0"/>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法定代表人资格证明书</w:t>
      </w:r>
    </w:p>
    <w:p>
      <w:pPr>
        <w:pStyle w:val="2"/>
        <w:spacing w:line="600" w:lineRule="exact"/>
        <w:rPr>
          <w:rFonts w:ascii="宋体" w:hAnsi="宋体" w:eastAsia="宋体" w:cs="宋体"/>
          <w:b/>
          <w:bCs/>
          <w:snapToGrid w:val="0"/>
          <w:kern w:val="0"/>
          <w:sz w:val="36"/>
        </w:rPr>
      </w:pPr>
    </w:p>
    <w:p>
      <w:pPr>
        <w:pStyle w:val="2"/>
        <w:spacing w:line="6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系的法定代表人。身份证号：。</w:t>
      </w:r>
    </w:p>
    <w:p>
      <w:pPr>
        <w:pStyle w:val="2"/>
        <w:spacing w:line="600" w:lineRule="exact"/>
        <w:rPr>
          <w:rFonts w:ascii="宋体" w:hAnsi="宋体" w:eastAsia="宋体" w:cs="宋体"/>
          <w:snapToGrid w:val="0"/>
          <w:kern w:val="0"/>
          <w:sz w:val="21"/>
          <w:szCs w:val="21"/>
        </w:rPr>
      </w:pPr>
      <w:r>
        <w:rPr>
          <w:rFonts w:hint="eastAsia" w:ascii="宋体" w:hAnsi="宋体" w:eastAsia="宋体" w:cs="宋体"/>
          <w:snapToGrid w:val="0"/>
          <w:kern w:val="0"/>
          <w:sz w:val="21"/>
          <w:szCs w:val="21"/>
        </w:rPr>
        <w:t>特此证明</w:t>
      </w:r>
    </w:p>
    <w:p>
      <w:pPr>
        <w:pStyle w:val="2"/>
        <w:spacing w:line="600" w:lineRule="exact"/>
        <w:rPr>
          <w:rFonts w:ascii="宋体" w:hAnsi="宋体" w:eastAsia="宋体" w:cs="宋体"/>
          <w:snapToGrid w:val="0"/>
          <w:kern w:val="0"/>
          <w:sz w:val="21"/>
          <w:szCs w:val="21"/>
        </w:rPr>
      </w:pPr>
      <w:r>
        <w:rPr>
          <w:rFonts w:hint="eastAsia" w:ascii="宋体" w:hAnsi="宋体" w:eastAsia="宋体" w:cs="宋体"/>
          <w:snapToGrid w:val="0"/>
          <w:kern w:val="0"/>
          <w:sz w:val="21"/>
          <w:szCs w:val="21"/>
        </w:rPr>
        <w:t>投标人：(电子签章)</w:t>
      </w:r>
    </w:p>
    <w:p>
      <w:pPr>
        <w:pStyle w:val="2"/>
        <w:spacing w:line="600" w:lineRule="exact"/>
        <w:rPr>
          <w:rFonts w:ascii="宋体" w:hAnsi="宋体" w:eastAsia="宋体" w:cs="宋体"/>
          <w:snapToGrid w:val="0"/>
          <w:kern w:val="0"/>
          <w:sz w:val="21"/>
          <w:szCs w:val="21"/>
        </w:rPr>
      </w:pPr>
      <w:r>
        <w:rPr>
          <w:rFonts w:hint="eastAsia" w:ascii="宋体" w:hAnsi="宋体" w:eastAsia="宋体" w:cs="宋体"/>
          <w:snapToGrid w:val="0"/>
          <w:kern w:val="0"/>
          <w:sz w:val="21"/>
          <w:szCs w:val="21"/>
        </w:rPr>
        <w:t>日期：年月日</w:t>
      </w:r>
    </w:p>
    <w:p>
      <w:pPr>
        <w:adjustRightInd w:val="0"/>
        <w:spacing w:line="360" w:lineRule="auto"/>
        <w:rPr>
          <w:rFonts w:ascii="宋体" w:hAnsi="宋体" w:cs="宋体"/>
          <w:snapToGrid w:val="0"/>
          <w:kern w:val="0"/>
          <w:szCs w:val="21"/>
        </w:rPr>
      </w:pPr>
    </w:p>
    <w:p>
      <w:pPr>
        <w:adjustRightInd w:val="0"/>
        <w:spacing w:line="360" w:lineRule="auto"/>
        <w:ind w:firstLine="422" w:firstLineChars="200"/>
        <w:rPr>
          <w:rFonts w:ascii="宋体" w:hAnsi="宋体" w:cs="宋体"/>
          <w:b/>
          <w:szCs w:val="21"/>
        </w:rPr>
      </w:pPr>
      <w:r>
        <w:rPr>
          <w:rFonts w:hint="eastAsia" w:ascii="宋体" w:hAnsi="宋体" w:cs="宋体"/>
          <w:b/>
          <w:szCs w:val="21"/>
        </w:rPr>
        <w:t>附：法定代表人身份证扫描件（正反面）</w:t>
      </w:r>
    </w:p>
    <w:p>
      <w:pPr>
        <w:adjustRightInd w:val="0"/>
        <w:spacing w:line="360" w:lineRule="auto"/>
        <w:rPr>
          <w:rFonts w:ascii="宋体" w:hAnsi="宋体" w:cs="宋体"/>
          <w:snapToGrid w:val="0"/>
          <w:kern w:val="0"/>
          <w:szCs w:val="21"/>
        </w:rPr>
      </w:pPr>
    </w:p>
    <w:p>
      <w:pPr>
        <w:adjustRightInd w:val="0"/>
        <w:spacing w:line="360" w:lineRule="auto"/>
        <w:rPr>
          <w:rFonts w:ascii="宋体" w:hAnsi="宋体" w:cs="宋体"/>
          <w:b/>
          <w:snapToGrid w:val="0"/>
          <w:kern w:val="0"/>
          <w:szCs w:val="21"/>
        </w:rPr>
      </w:pPr>
      <w:r>
        <w:rPr>
          <w:rFonts w:hint="eastAsia" w:ascii="宋体" w:hAnsi="宋体" w:cs="宋体"/>
          <w:b/>
          <w:snapToGrid w:val="0"/>
          <w:kern w:val="0"/>
          <w:szCs w:val="21"/>
        </w:rPr>
        <w:t>附件3.4.2</w:t>
      </w:r>
    </w:p>
    <w:p>
      <w:pPr>
        <w:adjustRightInd w:val="0"/>
        <w:spacing w:line="360" w:lineRule="auto"/>
        <w:jc w:val="center"/>
        <w:rPr>
          <w:rFonts w:ascii="宋体" w:hAnsi="宋体" w:cs="宋体"/>
          <w:b/>
          <w:snapToGrid w:val="0"/>
          <w:kern w:val="0"/>
          <w:sz w:val="28"/>
          <w:szCs w:val="28"/>
        </w:rPr>
      </w:pPr>
      <w:r>
        <w:rPr>
          <w:rFonts w:hint="eastAsia" w:ascii="宋体" w:hAnsi="宋体" w:cs="宋体"/>
          <w:b/>
          <w:bCs/>
          <w:snapToGrid w:val="0"/>
          <w:kern w:val="0"/>
          <w:sz w:val="28"/>
          <w:szCs w:val="28"/>
        </w:rPr>
        <w:t>授权委托书</w:t>
      </w:r>
    </w:p>
    <w:p>
      <w:pPr>
        <w:adjustRightInd w:val="0"/>
        <w:spacing w:line="360" w:lineRule="auto"/>
        <w:jc w:val="left"/>
        <w:rPr>
          <w:rFonts w:ascii="宋体" w:hAnsi="宋体" w:cs="宋体"/>
          <w:b/>
          <w:snapToGrid w:val="0"/>
          <w:kern w:val="0"/>
          <w:sz w:val="32"/>
          <w:szCs w:val="20"/>
        </w:rPr>
      </w:pPr>
    </w:p>
    <w:p>
      <w:pPr>
        <w:adjustRightInd w:val="0"/>
        <w:spacing w:line="480" w:lineRule="auto"/>
        <w:ind w:left="4" w:firstLine="455" w:firstLineChars="217"/>
        <w:rPr>
          <w:rFonts w:ascii="宋体" w:hAnsi="宋体" w:cs="宋体"/>
          <w:snapToGrid w:val="0"/>
          <w:kern w:val="0"/>
          <w:szCs w:val="21"/>
        </w:rPr>
      </w:pPr>
      <w:r>
        <w:rPr>
          <w:rFonts w:hint="eastAsia" w:ascii="宋体" w:hAnsi="宋体" w:cs="宋体"/>
          <w:snapToGrid w:val="0"/>
          <w:kern w:val="0"/>
          <w:szCs w:val="21"/>
        </w:rPr>
        <w:t>我 （姓名）系（投标人名称）的法定代表人，现授权委托（姓名、身份证号）为我公司授权代表，以本公司的名义参加</w:t>
      </w:r>
      <w:r>
        <w:rPr>
          <w:rFonts w:hint="eastAsia" w:ascii="宋体" w:hAnsi="宋体" w:cs="宋体"/>
          <w:snapToGrid w:val="0"/>
          <w:kern w:val="0"/>
          <w:szCs w:val="21"/>
          <w:u w:val="single"/>
        </w:rPr>
        <w:t xml:space="preserve">   （采购人）    </w:t>
      </w:r>
      <w:r>
        <w:rPr>
          <w:rFonts w:hint="eastAsia" w:ascii="宋体" w:hAnsi="宋体" w:cs="宋体"/>
          <w:snapToGrid w:val="0"/>
          <w:kern w:val="0"/>
          <w:szCs w:val="21"/>
        </w:rPr>
        <w:t>的 项目的投标活动。授权代表在开标、评标、合同谈判过程中所签署的一切文件和处理与之有关的一切事务，我均予以承认。</w:t>
      </w:r>
    </w:p>
    <w:p>
      <w:pPr>
        <w:adjustRightInd w:val="0"/>
        <w:spacing w:line="480" w:lineRule="auto"/>
        <w:ind w:firstLine="420" w:firstLineChars="200"/>
        <w:rPr>
          <w:rFonts w:ascii="宋体" w:hAnsi="宋体" w:cs="宋体"/>
          <w:snapToGrid w:val="0"/>
          <w:kern w:val="0"/>
          <w:szCs w:val="21"/>
        </w:rPr>
      </w:pPr>
      <w:r>
        <w:rPr>
          <w:rFonts w:hint="eastAsia" w:ascii="宋体" w:hAnsi="宋体" w:cs="宋体"/>
          <w:snapToGrid w:val="0"/>
          <w:kern w:val="0"/>
          <w:szCs w:val="21"/>
        </w:rPr>
        <w:t>授权代表无权转委托。特此委托。</w:t>
      </w:r>
    </w:p>
    <w:p>
      <w:pPr>
        <w:spacing w:line="360" w:lineRule="auto"/>
        <w:ind w:right="1800" w:firstLine="3570" w:firstLineChars="1700"/>
        <w:jc w:val="right"/>
        <w:rPr>
          <w:rFonts w:ascii="宋体" w:hAnsi="宋体" w:cs="宋体"/>
          <w:snapToGrid w:val="0"/>
          <w:kern w:val="0"/>
          <w:szCs w:val="21"/>
        </w:rPr>
      </w:pPr>
      <w:r>
        <w:rPr>
          <w:rFonts w:hint="eastAsia" w:ascii="宋体" w:hAnsi="宋体" w:cs="宋体"/>
          <w:snapToGrid w:val="0"/>
          <w:kern w:val="0"/>
          <w:szCs w:val="21"/>
        </w:rPr>
        <w:t xml:space="preserve">  投标人：（电子签章） </w:t>
      </w:r>
    </w:p>
    <w:p>
      <w:pPr>
        <w:autoSpaceDE w:val="0"/>
        <w:autoSpaceDN w:val="0"/>
        <w:adjustRightInd w:val="0"/>
        <w:spacing w:line="360" w:lineRule="auto"/>
        <w:ind w:right="420"/>
        <w:jc w:val="center"/>
        <w:rPr>
          <w:rFonts w:ascii="宋体" w:hAnsi="宋体" w:cs="宋体"/>
          <w:snapToGrid w:val="0"/>
          <w:kern w:val="0"/>
          <w:szCs w:val="21"/>
        </w:rPr>
      </w:pPr>
      <w:r>
        <w:rPr>
          <w:rFonts w:hint="eastAsia" w:ascii="宋体" w:hAnsi="宋体" w:cs="宋体"/>
          <w:spacing w:val="20"/>
        </w:rPr>
        <w:t xml:space="preserve">日期：  </w:t>
      </w:r>
      <w:r>
        <w:rPr>
          <w:rFonts w:hint="eastAsia" w:ascii="宋体" w:hAnsi="宋体" w:cs="宋体"/>
        </w:rPr>
        <w:t>年  月  日</w:t>
      </w:r>
    </w:p>
    <w:p>
      <w:pPr>
        <w:autoSpaceDE w:val="0"/>
        <w:autoSpaceDN w:val="0"/>
        <w:adjustRightInd w:val="0"/>
        <w:snapToGrid w:val="0"/>
        <w:spacing w:line="360" w:lineRule="auto"/>
        <w:ind w:right="420"/>
        <w:rPr>
          <w:rFonts w:ascii="宋体" w:hAnsi="宋体" w:cs="宋体"/>
          <w:b/>
          <w:snapToGrid w:val="0"/>
          <w:kern w:val="0"/>
          <w:szCs w:val="21"/>
        </w:rPr>
      </w:pPr>
      <w:r>
        <w:rPr>
          <w:rFonts w:hint="eastAsia" w:ascii="宋体" w:hAnsi="宋体" w:cs="宋体"/>
          <w:b/>
          <w:snapToGrid w:val="0"/>
          <w:kern w:val="0"/>
          <w:szCs w:val="21"/>
        </w:rPr>
        <w:t>附：法定代表人和授权代表的身份证扫描件。（正反面）</w:t>
      </w:r>
    </w:p>
    <w:p>
      <w:pPr>
        <w:autoSpaceDE w:val="0"/>
        <w:autoSpaceDN w:val="0"/>
        <w:adjustRightInd w:val="0"/>
        <w:spacing w:line="360" w:lineRule="auto"/>
        <w:ind w:firstLine="630" w:firstLineChars="300"/>
        <w:rPr>
          <w:rFonts w:ascii="宋体" w:hAnsi="宋体" w:cs="宋体"/>
          <w:b/>
          <w:sz w:val="24"/>
        </w:rPr>
      </w:pPr>
      <w:r>
        <w:rPr>
          <w:rFonts w:hint="eastAsia" w:ascii="宋体" w:hAnsi="宋体" w:cs="宋体"/>
          <w:snapToGrid w:val="0"/>
          <w:kern w:val="0"/>
          <w:szCs w:val="21"/>
        </w:rPr>
        <w:br w:type="page"/>
      </w:r>
      <w:r>
        <w:rPr>
          <w:rFonts w:hint="eastAsia" w:ascii="宋体" w:hAnsi="宋体" w:cs="宋体"/>
          <w:b/>
        </w:rPr>
        <w:t>3.5廉政承诺书</w:t>
      </w:r>
    </w:p>
    <w:p>
      <w:pPr>
        <w:autoSpaceDE w:val="0"/>
        <w:autoSpaceDN w:val="0"/>
        <w:adjustRightInd w:val="0"/>
        <w:spacing w:line="360" w:lineRule="auto"/>
        <w:jc w:val="center"/>
        <w:rPr>
          <w:rFonts w:ascii="宋体" w:hAnsi="宋体" w:cs="宋体"/>
          <w:b/>
          <w:bCs/>
          <w:sz w:val="32"/>
          <w:szCs w:val="32"/>
        </w:rPr>
      </w:pPr>
      <w:r>
        <w:rPr>
          <w:rFonts w:hint="eastAsia" w:ascii="宋体" w:hAnsi="宋体" w:cs="宋体"/>
          <w:b/>
          <w:bCs/>
          <w:sz w:val="32"/>
          <w:szCs w:val="32"/>
        </w:rPr>
        <w:t>廉 政 承 诺 书</w:t>
      </w:r>
    </w:p>
    <w:p>
      <w:pPr>
        <w:autoSpaceDE w:val="0"/>
        <w:autoSpaceDN w:val="0"/>
        <w:adjustRightInd w:val="0"/>
        <w:spacing w:line="360" w:lineRule="auto"/>
        <w:rPr>
          <w:rFonts w:ascii="宋体" w:hAnsi="宋体" w:cs="宋体"/>
          <w:bCs/>
          <w:szCs w:val="21"/>
        </w:rPr>
      </w:pPr>
      <w:r>
        <w:rPr>
          <w:rFonts w:hint="eastAsia" w:ascii="宋体" w:hAnsi="宋体" w:cs="宋体"/>
          <w:bCs/>
          <w:szCs w:val="21"/>
        </w:rPr>
        <w:t>：</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一、不向项目有关人员及部门赠送礼金礼物、有价证券、回扣以及中介费、介绍费、咨询费等好处费；</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二、不为项目有关人员及部门报销应由你方单位或个人支付的费用；</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三、不向项目有关人员及部门提供有可能影响公正执行公务的宴请和健身娱乐等活动；</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四、不为项目有关人员及部门出国（境）、旅游等提供方便；</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五、不为项目有关人员个人装修住房、婚丧嫁娶、配偶子女工作安排等提供好处； </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六、严格遵守政府采购法、合同法等法律，诚实守信，合法经营，坚决抵制各种违法违纪行为。</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如违反上述承诺，你单位有权立即取消我单位应标、中标或在建项目的资格，有权拒绝我单位在一定时期内进入你单位进行工程建设或其他经营活动，并通报市政府采购办。由此引起的相应损失均由我单位承担。</w:t>
      </w:r>
    </w:p>
    <w:p>
      <w:pPr>
        <w:autoSpaceDE w:val="0"/>
        <w:autoSpaceDN w:val="0"/>
        <w:adjustRightInd w:val="0"/>
        <w:spacing w:line="360" w:lineRule="auto"/>
        <w:rPr>
          <w:rFonts w:ascii="宋体" w:hAnsi="宋体" w:cs="宋体"/>
          <w:bCs/>
          <w:szCs w:val="21"/>
        </w:rPr>
      </w:pPr>
    </w:p>
    <w:p>
      <w:pPr>
        <w:autoSpaceDE w:val="0"/>
        <w:autoSpaceDN w:val="0"/>
        <w:adjustRightInd w:val="0"/>
        <w:spacing w:line="360" w:lineRule="auto"/>
        <w:rPr>
          <w:rFonts w:ascii="宋体" w:hAnsi="宋体" w:cs="宋体"/>
          <w:bCs/>
          <w:szCs w:val="21"/>
        </w:rPr>
      </w:pP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投标人（电子签章）：                </w:t>
      </w:r>
    </w:p>
    <w:p>
      <w:pPr>
        <w:autoSpaceDE w:val="0"/>
        <w:autoSpaceDN w:val="0"/>
        <w:adjustRightInd w:val="0"/>
        <w:spacing w:line="360" w:lineRule="auto"/>
        <w:rPr>
          <w:rFonts w:ascii="宋体" w:hAnsi="宋体" w:cs="宋体"/>
          <w:bCs/>
          <w:szCs w:val="21"/>
        </w:rPr>
      </w:pPr>
    </w:p>
    <w:p>
      <w:pPr>
        <w:autoSpaceDE w:val="0"/>
        <w:autoSpaceDN w:val="0"/>
        <w:adjustRightInd w:val="0"/>
        <w:spacing w:line="360" w:lineRule="auto"/>
        <w:rPr>
          <w:rFonts w:ascii="宋体" w:hAnsi="宋体" w:cs="宋体"/>
          <w:bCs/>
          <w:szCs w:val="21"/>
        </w:rPr>
      </w:pPr>
    </w:p>
    <w:p>
      <w:pPr>
        <w:autoSpaceDE w:val="0"/>
        <w:autoSpaceDN w:val="0"/>
        <w:adjustRightInd w:val="0"/>
        <w:spacing w:line="360" w:lineRule="auto"/>
        <w:rPr>
          <w:rFonts w:ascii="宋体" w:hAnsi="宋体" w:cs="宋体"/>
          <w:bCs/>
          <w:szCs w:val="21"/>
        </w:rPr>
      </w:pPr>
      <w:r>
        <w:rPr>
          <w:rFonts w:hint="eastAsia" w:ascii="宋体" w:hAnsi="宋体" w:cs="宋体"/>
          <w:spacing w:val="20"/>
        </w:rPr>
        <w:t xml:space="preserve">日期：  </w:t>
      </w:r>
      <w:r>
        <w:rPr>
          <w:rFonts w:hint="eastAsia" w:ascii="宋体" w:hAnsi="宋体" w:cs="宋体"/>
        </w:rPr>
        <w:t>年  月  日</w:t>
      </w:r>
    </w:p>
    <w:p>
      <w:pPr>
        <w:autoSpaceDE w:val="0"/>
        <w:autoSpaceDN w:val="0"/>
        <w:adjustRightInd w:val="0"/>
        <w:spacing w:line="360" w:lineRule="auto"/>
        <w:rPr>
          <w:rFonts w:ascii="宋体" w:hAnsi="宋体" w:cs="宋体"/>
          <w:b/>
          <w:bCs/>
          <w:szCs w:val="21"/>
        </w:rPr>
      </w:pPr>
      <w:r>
        <w:rPr>
          <w:rFonts w:hint="eastAsia" w:ascii="宋体" w:hAnsi="宋体" w:cs="宋体"/>
          <w:b/>
          <w:sz w:val="24"/>
        </w:rPr>
        <w:br w:type="page"/>
      </w:r>
      <w:r>
        <w:rPr>
          <w:rFonts w:hint="eastAsia" w:ascii="宋体" w:hAnsi="宋体" w:cs="宋体"/>
          <w:b/>
          <w:bCs/>
          <w:szCs w:val="21"/>
        </w:rPr>
        <w:t>3.6类似业绩</w:t>
      </w:r>
    </w:p>
    <w:p>
      <w:pPr>
        <w:snapToGrid w:val="0"/>
        <w:spacing w:line="360" w:lineRule="auto"/>
        <w:jc w:val="center"/>
        <w:rPr>
          <w:rFonts w:ascii="宋体" w:hAnsi="宋体" w:cs="宋体"/>
          <w:b/>
          <w:snapToGrid w:val="0"/>
          <w:kern w:val="0"/>
          <w:sz w:val="24"/>
        </w:rPr>
      </w:pPr>
      <w:r>
        <w:rPr>
          <w:rFonts w:hint="eastAsia" w:ascii="宋体" w:hAnsi="宋体" w:cs="宋体"/>
          <w:b/>
          <w:snapToGrid w:val="0"/>
          <w:kern w:val="0"/>
          <w:sz w:val="24"/>
        </w:rPr>
        <w:t>投标人曾承担过的类似项目业绩一览表</w:t>
      </w:r>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szCs w:val="21"/>
              </w:rPr>
            </w:pPr>
            <w:r>
              <w:rPr>
                <w:rFonts w:hint="eastAsia" w:ascii="宋体" w:hAnsi="宋体" w:cs="宋体"/>
                <w:spacing w:val="30"/>
              </w:rPr>
              <w:t>序号</w:t>
            </w:r>
          </w:p>
        </w:tc>
        <w:tc>
          <w:tcPr>
            <w:tcW w:w="23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szCs w:val="21"/>
              </w:rPr>
            </w:pPr>
            <w:r>
              <w:rPr>
                <w:rFonts w:hint="eastAsia" w:ascii="宋体" w:hAnsi="宋体" w:cs="宋体"/>
                <w:spacing w:val="30"/>
              </w:rPr>
              <w:t>项目名称</w:t>
            </w:r>
          </w:p>
        </w:tc>
        <w:tc>
          <w:tcPr>
            <w:tcW w:w="2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szCs w:val="21"/>
              </w:rPr>
            </w:pPr>
            <w:r>
              <w:rPr>
                <w:rFonts w:hint="eastAsia" w:ascii="宋体" w:hAnsi="宋体" w:cs="宋体"/>
                <w:spacing w:val="30"/>
              </w:rPr>
              <w:t>业主单位</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bCs/>
                <w:szCs w:val="21"/>
              </w:rPr>
            </w:pPr>
            <w:r>
              <w:rPr>
                <w:rFonts w:hint="eastAsia" w:ascii="宋体" w:hAnsi="宋体" w:cs="宋体"/>
                <w:bCs/>
                <w:szCs w:val="21"/>
              </w:rPr>
              <w:t>联系方式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spacing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pStyle w:val="26"/>
              <w:snapToGrid w:val="0"/>
              <w:spacing w:beforeLines="50" w:after="50" w:line="460" w:lineRule="exact"/>
              <w:ind w:left="5250"/>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bl>
    <w:p>
      <w:pPr>
        <w:tabs>
          <w:tab w:val="left" w:pos="744"/>
        </w:tabs>
        <w:spacing w:line="400" w:lineRule="exact"/>
        <w:ind w:firstLine="308" w:firstLineChars="147"/>
        <w:rPr>
          <w:rFonts w:ascii="宋体" w:hAnsi="宋体" w:cs="宋体"/>
        </w:rPr>
      </w:pPr>
      <w:r>
        <w:rPr>
          <w:rFonts w:hint="eastAsia" w:ascii="宋体" w:hAnsi="宋体" w:cs="宋体"/>
        </w:rPr>
        <w:t>注：1.表中所列业绩如与评分有关的，出具的证明材料需满足评审依据，否则不予得分。</w:t>
      </w:r>
    </w:p>
    <w:p>
      <w:pPr>
        <w:tabs>
          <w:tab w:val="left" w:pos="744"/>
        </w:tabs>
        <w:spacing w:line="400" w:lineRule="exact"/>
        <w:ind w:firstLine="308" w:firstLineChars="147"/>
        <w:rPr>
          <w:rFonts w:ascii="宋体" w:hAnsi="宋体" w:cs="宋体"/>
        </w:rPr>
      </w:pPr>
    </w:p>
    <w:p>
      <w:pPr>
        <w:rPr>
          <w:rFonts w:ascii="宋体" w:hAnsi="宋体" w:cs="宋体"/>
        </w:rPr>
      </w:pPr>
    </w:p>
    <w:p>
      <w:pPr>
        <w:rPr>
          <w:rFonts w:ascii="宋体" w:hAnsi="宋体" w:cs="宋体"/>
        </w:rPr>
      </w:pPr>
    </w:p>
    <w:p>
      <w:pPr>
        <w:adjustRightInd w:val="0"/>
        <w:snapToGrid w:val="0"/>
        <w:spacing w:line="360" w:lineRule="auto"/>
        <w:ind w:firstLine="4158" w:firstLineChars="1980"/>
        <w:rPr>
          <w:rFonts w:ascii="宋体" w:hAnsi="宋体" w:cs="宋体"/>
          <w:snapToGrid w:val="0"/>
          <w:kern w:val="0"/>
          <w:szCs w:val="21"/>
        </w:rPr>
      </w:pPr>
      <w:r>
        <w:rPr>
          <w:rFonts w:hint="eastAsia" w:ascii="宋体" w:hAnsi="宋体" w:cs="宋体"/>
          <w:snapToGrid w:val="0"/>
          <w:kern w:val="0"/>
          <w:szCs w:val="21"/>
        </w:rPr>
        <w:t>投标人(电子签章)：</w:t>
      </w:r>
    </w:p>
    <w:p>
      <w:pPr>
        <w:adjustRightInd w:val="0"/>
        <w:snapToGrid w:val="0"/>
        <w:spacing w:line="360" w:lineRule="auto"/>
        <w:ind w:firstLine="4950" w:firstLineChars="1980"/>
        <w:rPr>
          <w:rFonts w:ascii="宋体" w:hAnsi="宋体" w:cs="宋体"/>
          <w:snapToGrid w:val="0"/>
          <w:kern w:val="0"/>
          <w:szCs w:val="21"/>
        </w:rPr>
      </w:pPr>
      <w:r>
        <w:rPr>
          <w:rFonts w:hint="eastAsia" w:ascii="宋体" w:hAnsi="宋体" w:cs="宋体"/>
          <w:spacing w:val="20"/>
        </w:rPr>
        <w:t xml:space="preserve">日期：  </w:t>
      </w:r>
      <w:r>
        <w:rPr>
          <w:rFonts w:hint="eastAsia" w:ascii="宋体" w:hAnsi="宋体" w:cs="宋体"/>
        </w:rPr>
        <w:t>年  月  日</w:t>
      </w:r>
    </w:p>
    <w:p>
      <w:pPr>
        <w:autoSpaceDE w:val="0"/>
        <w:autoSpaceDN w:val="0"/>
        <w:adjustRightInd w:val="0"/>
        <w:spacing w:line="360" w:lineRule="auto"/>
        <w:rPr>
          <w:rFonts w:ascii="宋体" w:hAnsi="宋体" w:cs="宋体"/>
          <w:b/>
          <w:bCs/>
          <w:szCs w:val="21"/>
        </w:rPr>
      </w:pPr>
      <w:r>
        <w:rPr>
          <w:rFonts w:hint="eastAsia" w:ascii="宋体" w:hAnsi="宋体" w:cs="宋体"/>
          <w:snapToGrid w:val="0"/>
          <w:kern w:val="0"/>
          <w:szCs w:val="21"/>
        </w:rPr>
        <w:br w:type="page"/>
      </w:r>
      <w:r>
        <w:rPr>
          <w:rFonts w:hint="eastAsia" w:ascii="宋体" w:hAnsi="宋体" w:cs="宋体"/>
          <w:b/>
          <w:bCs/>
          <w:szCs w:val="21"/>
        </w:rPr>
        <w:t>3.7合同/商务条款偏离表</w:t>
      </w:r>
    </w:p>
    <w:p>
      <w:pPr>
        <w:spacing w:line="360" w:lineRule="atLeast"/>
        <w:jc w:val="center"/>
        <w:rPr>
          <w:rFonts w:ascii="宋体" w:hAnsi="宋体" w:cs="宋体"/>
          <w:b/>
          <w:sz w:val="28"/>
          <w:szCs w:val="28"/>
        </w:rPr>
      </w:pPr>
      <w:r>
        <w:rPr>
          <w:rFonts w:hint="eastAsia" w:ascii="宋体" w:hAnsi="宋体" w:cs="宋体"/>
          <w:b/>
          <w:sz w:val="28"/>
          <w:szCs w:val="28"/>
        </w:rPr>
        <w:t>合同/商务条款偏离表</w:t>
      </w:r>
    </w:p>
    <w:p>
      <w:pPr>
        <w:spacing w:line="360" w:lineRule="atLeast"/>
        <w:jc w:val="center"/>
        <w:rPr>
          <w:rFonts w:ascii="宋体" w:hAnsi="宋体" w:cs="宋体"/>
        </w:rPr>
      </w:pP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序号</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条款内容描述</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bl>
    <w:p>
      <w:pPr>
        <w:spacing w:line="360" w:lineRule="atLeast"/>
        <w:rPr>
          <w:rFonts w:ascii="宋体" w:hAnsi="宋体" w:cs="宋体"/>
        </w:rPr>
      </w:pPr>
      <w:r>
        <w:rPr>
          <w:rFonts w:hint="eastAsia" w:ascii="宋体" w:hAnsi="宋体" w:cs="宋体"/>
        </w:rPr>
        <w:t>注：若不填写或只填写“无”视作完全响应采购文件的要求。</w:t>
      </w:r>
    </w:p>
    <w:p>
      <w:pPr>
        <w:spacing w:line="360" w:lineRule="atLeast"/>
        <w:rPr>
          <w:rFonts w:ascii="宋体" w:hAnsi="宋体" w:cs="宋体"/>
        </w:rPr>
      </w:pPr>
    </w:p>
    <w:p>
      <w:pPr>
        <w:spacing w:line="360" w:lineRule="atLeast"/>
        <w:rPr>
          <w:rFonts w:ascii="宋体" w:hAnsi="宋体" w:cs="宋体"/>
        </w:rPr>
      </w:pPr>
    </w:p>
    <w:p>
      <w:pPr>
        <w:spacing w:line="360" w:lineRule="atLeast"/>
        <w:jc w:val="left"/>
        <w:rPr>
          <w:rFonts w:ascii="宋体" w:hAnsi="宋体" w:cs="宋体"/>
          <w:szCs w:val="21"/>
        </w:rPr>
      </w:pPr>
      <w:r>
        <w:rPr>
          <w:rFonts w:hint="eastAsia" w:ascii="宋体" w:hAnsi="宋体" w:cs="宋体"/>
          <w:szCs w:val="21"/>
        </w:rPr>
        <w:t>投标人(电子签章)：</w:t>
      </w:r>
    </w:p>
    <w:p>
      <w:pPr>
        <w:spacing w:line="360" w:lineRule="atLeast"/>
        <w:jc w:val="left"/>
        <w:rPr>
          <w:rFonts w:ascii="宋体" w:hAnsi="宋体" w:cs="宋体"/>
          <w:szCs w:val="21"/>
        </w:rPr>
      </w:pPr>
    </w:p>
    <w:p>
      <w:pPr>
        <w:rPr>
          <w:rFonts w:ascii="宋体" w:hAnsi="宋体" w:cs="宋体"/>
        </w:rPr>
      </w:pPr>
      <w:r>
        <w:rPr>
          <w:rFonts w:hint="eastAsia" w:ascii="宋体" w:hAnsi="宋体" w:cs="宋体"/>
          <w:spacing w:val="20"/>
        </w:rPr>
        <w:t xml:space="preserve">日期：  </w:t>
      </w:r>
      <w:r>
        <w:rPr>
          <w:rFonts w:hint="eastAsia" w:ascii="宋体" w:hAnsi="宋体" w:cs="宋体"/>
        </w:rPr>
        <w:t>年  月  日</w:t>
      </w:r>
    </w:p>
    <w:p>
      <w:pPr>
        <w:adjustRightInd w:val="0"/>
        <w:spacing w:line="360" w:lineRule="auto"/>
        <w:ind w:firstLine="482" w:firstLineChars="200"/>
        <w:rPr>
          <w:rFonts w:ascii="宋体" w:hAnsi="宋体" w:cs="宋体"/>
          <w:b/>
          <w:snapToGrid w:val="0"/>
          <w:kern w:val="0"/>
          <w:szCs w:val="21"/>
        </w:rPr>
      </w:pPr>
      <w:r>
        <w:rPr>
          <w:rFonts w:hint="eastAsia" w:ascii="宋体" w:hAnsi="宋体" w:cs="宋体"/>
          <w:b/>
          <w:sz w:val="24"/>
        </w:rPr>
        <w:br w:type="page"/>
      </w:r>
      <w:r>
        <w:rPr>
          <w:rFonts w:hint="eastAsia" w:ascii="宋体" w:hAnsi="宋体" w:cs="宋体"/>
          <w:b/>
          <w:snapToGrid w:val="0"/>
          <w:kern w:val="0"/>
          <w:szCs w:val="21"/>
        </w:rPr>
        <w:t>3.8拟派项目团队配备情况表</w:t>
      </w:r>
    </w:p>
    <w:p>
      <w:pPr>
        <w:snapToGrid w:val="0"/>
        <w:spacing w:line="360" w:lineRule="auto"/>
        <w:jc w:val="center"/>
        <w:rPr>
          <w:rFonts w:ascii="宋体" w:hAnsi="宋体" w:cs="宋体"/>
          <w:b/>
          <w:snapToGrid w:val="0"/>
          <w:kern w:val="0"/>
          <w:sz w:val="24"/>
        </w:rPr>
      </w:pPr>
    </w:p>
    <w:p>
      <w:pPr>
        <w:pStyle w:val="24"/>
        <w:snapToGrid w:val="0"/>
        <w:spacing w:line="360" w:lineRule="auto"/>
        <w:jc w:val="center"/>
        <w:rPr>
          <w:rFonts w:ascii="宋体" w:hAnsi="宋体" w:eastAsia="宋体" w:cs="宋体"/>
          <w:b/>
          <w:snapToGrid w:val="0"/>
          <w:kern w:val="0"/>
          <w:sz w:val="28"/>
          <w:szCs w:val="28"/>
        </w:rPr>
      </w:pPr>
      <w:r>
        <w:rPr>
          <w:rFonts w:hint="eastAsia" w:ascii="宋体" w:hAnsi="宋体" w:eastAsia="宋体" w:cs="宋体"/>
          <w:b/>
          <w:snapToGrid w:val="0"/>
          <w:kern w:val="0"/>
          <w:sz w:val="28"/>
          <w:szCs w:val="28"/>
        </w:rPr>
        <w:t>（1）拟派项目团队配备情况表</w:t>
      </w:r>
    </w:p>
    <w:tbl>
      <w:tblPr>
        <w:tblStyle w:val="43"/>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序号</w:t>
            </w:r>
          </w:p>
        </w:tc>
        <w:tc>
          <w:tcPr>
            <w:tcW w:w="1015"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姓名</w:t>
            </w:r>
          </w:p>
        </w:tc>
        <w:tc>
          <w:tcPr>
            <w:tcW w:w="1701"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本项目拟任岗位</w:t>
            </w:r>
          </w:p>
        </w:tc>
        <w:tc>
          <w:tcPr>
            <w:tcW w:w="749"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年龄</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性别</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专业</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专业年限</w:t>
            </w:r>
          </w:p>
        </w:tc>
        <w:tc>
          <w:tcPr>
            <w:tcW w:w="1344"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职务和职称</w:t>
            </w:r>
          </w:p>
        </w:tc>
        <w:tc>
          <w:tcPr>
            <w:tcW w:w="1134" w:type="dxa"/>
            <w:tcBorders>
              <w:top w:val="single" w:color="auto" w:sz="12" w:space="0"/>
              <w:left w:val="single" w:color="auto" w:sz="6" w:space="0"/>
              <w:bottom w:val="single" w:color="auto" w:sz="12" w:space="0"/>
              <w:right w:val="single" w:color="auto" w:sz="12"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备注</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12"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left="5250"/>
              <w:rPr>
                <w:rFonts w:ascii="宋体" w:hAnsi="宋体" w:cs="宋体"/>
                <w:szCs w:val="21"/>
              </w:rPr>
            </w:pPr>
          </w:p>
        </w:tc>
        <w:tc>
          <w:tcPr>
            <w:tcW w:w="1134"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left="525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12"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cs="宋体"/>
                <w:szCs w:val="21"/>
              </w:rPr>
            </w:pPr>
          </w:p>
        </w:tc>
      </w:tr>
    </w:tbl>
    <w:p>
      <w:pPr>
        <w:snapToGrid w:val="0"/>
        <w:spacing w:line="360" w:lineRule="auto"/>
        <w:rPr>
          <w:rFonts w:ascii="宋体" w:hAnsi="宋体" w:cs="宋体"/>
          <w:b/>
          <w:snapToGrid w:val="0"/>
          <w:kern w:val="0"/>
          <w:szCs w:val="21"/>
        </w:rPr>
      </w:pPr>
      <w:r>
        <w:rPr>
          <w:rFonts w:hint="eastAsia" w:ascii="宋体" w:hAnsi="宋体" w:cs="宋体"/>
          <w:b/>
          <w:snapToGrid w:val="0"/>
          <w:kern w:val="0"/>
          <w:szCs w:val="21"/>
        </w:rPr>
        <w:t>注：涉及评分项的其它证明材料附后。</w:t>
      </w:r>
    </w:p>
    <w:p>
      <w:pPr>
        <w:adjustRightInd w:val="0"/>
        <w:snapToGrid w:val="0"/>
        <w:spacing w:line="360" w:lineRule="auto"/>
        <w:ind w:firstLine="4158" w:firstLineChars="1980"/>
        <w:rPr>
          <w:rFonts w:ascii="宋体" w:hAnsi="宋体" w:cs="宋体"/>
          <w:snapToGrid w:val="0"/>
          <w:kern w:val="0"/>
          <w:szCs w:val="21"/>
        </w:rPr>
      </w:pPr>
    </w:p>
    <w:p>
      <w:pPr>
        <w:adjustRightInd w:val="0"/>
        <w:snapToGrid w:val="0"/>
        <w:spacing w:line="360" w:lineRule="auto"/>
        <w:ind w:firstLine="4158" w:firstLineChars="1980"/>
        <w:rPr>
          <w:rFonts w:ascii="宋体" w:hAnsi="宋体" w:cs="宋体"/>
          <w:snapToGrid w:val="0"/>
          <w:kern w:val="0"/>
          <w:szCs w:val="21"/>
        </w:rPr>
      </w:pPr>
    </w:p>
    <w:p>
      <w:pPr>
        <w:adjustRightInd w:val="0"/>
        <w:snapToGrid w:val="0"/>
        <w:spacing w:line="360" w:lineRule="auto"/>
        <w:ind w:firstLine="4158" w:firstLineChars="1980"/>
        <w:rPr>
          <w:rFonts w:ascii="宋体" w:hAnsi="宋体" w:cs="宋体"/>
          <w:snapToGrid w:val="0"/>
          <w:kern w:val="0"/>
          <w:szCs w:val="21"/>
        </w:rPr>
      </w:pPr>
      <w:r>
        <w:rPr>
          <w:rFonts w:hint="eastAsia" w:ascii="宋体" w:hAnsi="宋体" w:cs="宋体"/>
          <w:snapToGrid w:val="0"/>
          <w:kern w:val="0"/>
          <w:szCs w:val="21"/>
        </w:rPr>
        <w:t>投标人(电子签章)</w:t>
      </w:r>
    </w:p>
    <w:p>
      <w:pPr>
        <w:adjustRightInd w:val="0"/>
        <w:snapToGrid w:val="0"/>
        <w:spacing w:line="360" w:lineRule="auto"/>
        <w:ind w:firstLine="4158" w:firstLineChars="1980"/>
        <w:rPr>
          <w:rFonts w:ascii="宋体" w:hAnsi="宋体" w:cs="宋体"/>
          <w:snapToGrid w:val="0"/>
          <w:kern w:val="0"/>
          <w:szCs w:val="21"/>
        </w:rPr>
      </w:pPr>
    </w:p>
    <w:p>
      <w:pPr>
        <w:snapToGrid w:val="0"/>
        <w:spacing w:line="360" w:lineRule="auto"/>
        <w:ind w:firstLine="5000" w:firstLineChars="2000"/>
        <w:rPr>
          <w:rFonts w:ascii="宋体" w:hAnsi="宋体" w:cs="宋体"/>
          <w:snapToGrid w:val="0"/>
          <w:kern w:val="0"/>
          <w:szCs w:val="21"/>
        </w:rPr>
      </w:pPr>
      <w:r>
        <w:rPr>
          <w:rFonts w:hint="eastAsia" w:ascii="宋体" w:hAnsi="宋体" w:cs="宋体"/>
          <w:spacing w:val="20"/>
        </w:rPr>
        <w:t xml:space="preserve">日期：  </w:t>
      </w:r>
      <w:r>
        <w:rPr>
          <w:rFonts w:hint="eastAsia" w:ascii="宋体" w:hAnsi="宋体" w:cs="宋体"/>
        </w:rPr>
        <w:t>年  月  日</w:t>
      </w:r>
    </w:p>
    <w:p>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br w:type="page"/>
      </w:r>
    </w:p>
    <w:p>
      <w:pPr>
        <w:pStyle w:val="24"/>
        <w:snapToGrid w:val="0"/>
        <w:spacing w:line="360" w:lineRule="auto"/>
        <w:jc w:val="center"/>
        <w:rPr>
          <w:rFonts w:ascii="宋体" w:hAnsi="宋体" w:eastAsia="宋体" w:cs="宋体"/>
          <w:b/>
          <w:snapToGrid w:val="0"/>
          <w:kern w:val="0"/>
          <w:sz w:val="28"/>
          <w:szCs w:val="28"/>
        </w:rPr>
      </w:pPr>
      <w:r>
        <w:rPr>
          <w:rFonts w:hint="eastAsia" w:ascii="宋体" w:hAnsi="宋体" w:eastAsia="宋体" w:cs="宋体"/>
          <w:b/>
          <w:snapToGrid w:val="0"/>
          <w:kern w:val="0"/>
          <w:sz w:val="28"/>
          <w:szCs w:val="28"/>
        </w:rPr>
        <w:t>（2）项目负责人简历表</w:t>
      </w:r>
    </w:p>
    <w:tbl>
      <w:tblPr>
        <w:tblStyle w:val="43"/>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gridSpan w:val="2"/>
            <w:vAlign w:val="center"/>
          </w:tcPr>
          <w:p>
            <w:pPr>
              <w:snapToGrid w:val="0"/>
              <w:spacing w:line="320" w:lineRule="atLeast"/>
              <w:jc w:val="center"/>
              <w:rPr>
                <w:rFonts w:ascii="宋体" w:hAnsi="宋体" w:cs="宋体"/>
              </w:rPr>
            </w:pPr>
            <w:r>
              <w:rPr>
                <w:rFonts w:hint="eastAsia" w:ascii="宋体" w:hAnsi="宋体" w:cs="宋体"/>
              </w:rPr>
              <w:t>姓   名</w:t>
            </w:r>
          </w:p>
        </w:tc>
        <w:tc>
          <w:tcPr>
            <w:tcW w:w="1389" w:type="dxa"/>
            <w:vAlign w:val="center"/>
          </w:tcPr>
          <w:p>
            <w:pPr>
              <w:snapToGrid w:val="0"/>
              <w:spacing w:line="320" w:lineRule="atLeast"/>
              <w:jc w:val="center"/>
              <w:rPr>
                <w:rFonts w:ascii="宋体" w:hAnsi="宋体" w:cs="宋体"/>
              </w:rPr>
            </w:pPr>
          </w:p>
        </w:tc>
        <w:tc>
          <w:tcPr>
            <w:tcW w:w="1155" w:type="dxa"/>
            <w:vAlign w:val="center"/>
          </w:tcPr>
          <w:p>
            <w:pPr>
              <w:snapToGrid w:val="0"/>
              <w:spacing w:line="320" w:lineRule="atLeast"/>
              <w:jc w:val="center"/>
              <w:rPr>
                <w:rFonts w:ascii="宋体" w:hAnsi="宋体" w:cs="宋体"/>
              </w:rPr>
            </w:pPr>
            <w:r>
              <w:rPr>
                <w:rFonts w:hint="eastAsia" w:ascii="宋体" w:hAnsi="宋体" w:cs="宋体"/>
              </w:rPr>
              <w:t>年   龄</w:t>
            </w:r>
          </w:p>
        </w:tc>
        <w:tc>
          <w:tcPr>
            <w:tcW w:w="1260" w:type="dxa"/>
            <w:gridSpan w:val="2"/>
            <w:vAlign w:val="center"/>
          </w:tcPr>
          <w:p>
            <w:pPr>
              <w:snapToGrid w:val="0"/>
              <w:spacing w:line="320" w:lineRule="atLeast"/>
              <w:jc w:val="center"/>
              <w:rPr>
                <w:rFonts w:ascii="宋体" w:hAnsi="宋体" w:cs="宋体"/>
              </w:rPr>
            </w:pPr>
          </w:p>
        </w:tc>
        <w:tc>
          <w:tcPr>
            <w:tcW w:w="2092" w:type="dxa"/>
            <w:gridSpan w:val="2"/>
            <w:vAlign w:val="center"/>
          </w:tcPr>
          <w:p>
            <w:pPr>
              <w:snapToGrid w:val="0"/>
              <w:spacing w:line="320" w:lineRule="atLeast"/>
              <w:jc w:val="center"/>
              <w:rPr>
                <w:rFonts w:ascii="宋体" w:hAnsi="宋体" w:cs="宋体"/>
              </w:rPr>
            </w:pPr>
            <w:r>
              <w:rPr>
                <w:rFonts w:hint="eastAsia" w:ascii="宋体" w:hAnsi="宋体" w:cs="宋体"/>
              </w:rPr>
              <w:t>专   业</w:t>
            </w:r>
          </w:p>
        </w:tc>
        <w:tc>
          <w:tcPr>
            <w:tcW w:w="1270" w:type="dxa"/>
            <w:vAlign w:val="center"/>
          </w:tcPr>
          <w:p>
            <w:pPr>
              <w:snapToGrid w:val="0"/>
              <w:spacing w:line="32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gridSpan w:val="2"/>
            <w:vAlign w:val="center"/>
          </w:tcPr>
          <w:p>
            <w:pPr>
              <w:snapToGrid w:val="0"/>
              <w:spacing w:line="320" w:lineRule="atLeast"/>
              <w:jc w:val="center"/>
              <w:rPr>
                <w:rFonts w:ascii="宋体" w:hAnsi="宋体" w:cs="宋体"/>
              </w:rPr>
            </w:pPr>
            <w:r>
              <w:rPr>
                <w:rFonts w:hint="eastAsia" w:ascii="宋体" w:hAnsi="宋体" w:cs="宋体"/>
              </w:rPr>
              <w:t>职   称</w:t>
            </w:r>
          </w:p>
        </w:tc>
        <w:tc>
          <w:tcPr>
            <w:tcW w:w="1389" w:type="dxa"/>
            <w:vAlign w:val="center"/>
          </w:tcPr>
          <w:p>
            <w:pPr>
              <w:snapToGrid w:val="0"/>
              <w:spacing w:line="320" w:lineRule="atLeast"/>
              <w:jc w:val="center"/>
              <w:rPr>
                <w:rFonts w:ascii="宋体" w:hAnsi="宋体" w:cs="宋体"/>
              </w:rPr>
            </w:pPr>
          </w:p>
        </w:tc>
        <w:tc>
          <w:tcPr>
            <w:tcW w:w="1155" w:type="dxa"/>
            <w:vAlign w:val="center"/>
          </w:tcPr>
          <w:p>
            <w:pPr>
              <w:snapToGrid w:val="0"/>
              <w:spacing w:line="320" w:lineRule="atLeast"/>
              <w:jc w:val="center"/>
              <w:rPr>
                <w:rFonts w:ascii="宋体" w:hAnsi="宋体" w:cs="宋体"/>
              </w:rPr>
            </w:pPr>
            <w:r>
              <w:rPr>
                <w:rFonts w:hint="eastAsia" w:ascii="宋体" w:hAnsi="宋体" w:cs="宋体"/>
              </w:rPr>
              <w:t>职   务</w:t>
            </w:r>
          </w:p>
        </w:tc>
        <w:tc>
          <w:tcPr>
            <w:tcW w:w="1260" w:type="dxa"/>
            <w:gridSpan w:val="2"/>
            <w:vAlign w:val="center"/>
          </w:tcPr>
          <w:p>
            <w:pPr>
              <w:snapToGrid w:val="0"/>
              <w:spacing w:line="320" w:lineRule="atLeast"/>
              <w:jc w:val="center"/>
              <w:rPr>
                <w:rFonts w:ascii="宋体" w:hAnsi="宋体" w:cs="宋体"/>
              </w:rPr>
            </w:pPr>
          </w:p>
        </w:tc>
        <w:tc>
          <w:tcPr>
            <w:tcW w:w="2092" w:type="dxa"/>
            <w:gridSpan w:val="2"/>
            <w:vAlign w:val="center"/>
          </w:tcPr>
          <w:p>
            <w:pPr>
              <w:snapToGrid w:val="0"/>
              <w:spacing w:line="320" w:lineRule="atLeast"/>
              <w:jc w:val="center"/>
              <w:rPr>
                <w:rFonts w:ascii="宋体" w:hAnsi="宋体" w:cs="宋体"/>
              </w:rPr>
            </w:pPr>
            <w:r>
              <w:rPr>
                <w:rFonts w:hint="eastAsia" w:ascii="宋体" w:hAnsi="宋体" w:cs="宋体"/>
              </w:rPr>
              <w:t>拟在本合同</w:t>
            </w:r>
          </w:p>
          <w:p>
            <w:pPr>
              <w:snapToGrid w:val="0"/>
              <w:spacing w:line="320" w:lineRule="atLeast"/>
              <w:jc w:val="center"/>
              <w:rPr>
                <w:rFonts w:ascii="宋体" w:hAnsi="宋体" w:cs="宋体"/>
              </w:rPr>
            </w:pPr>
            <w:r>
              <w:rPr>
                <w:rFonts w:hint="eastAsia" w:ascii="宋体" w:hAnsi="宋体" w:cs="宋体"/>
              </w:rPr>
              <w:t>项目担任职务</w:t>
            </w:r>
          </w:p>
        </w:tc>
        <w:tc>
          <w:tcPr>
            <w:tcW w:w="1270" w:type="dxa"/>
            <w:vAlign w:val="center"/>
          </w:tcPr>
          <w:p>
            <w:pPr>
              <w:snapToGrid w:val="0"/>
              <w:spacing w:line="32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gridSpan w:val="2"/>
            <w:vAlign w:val="center"/>
          </w:tcPr>
          <w:p>
            <w:pPr>
              <w:snapToGrid w:val="0"/>
              <w:spacing w:line="320" w:lineRule="atLeast"/>
              <w:jc w:val="center"/>
              <w:rPr>
                <w:rFonts w:ascii="宋体" w:hAnsi="宋体" w:cs="宋体"/>
              </w:rPr>
            </w:pPr>
            <w:r>
              <w:rPr>
                <w:rFonts w:hint="eastAsia" w:ascii="宋体" w:hAnsi="宋体" w:cs="宋体"/>
              </w:rPr>
              <w:t>毕业学校</w:t>
            </w:r>
          </w:p>
        </w:tc>
        <w:tc>
          <w:tcPr>
            <w:tcW w:w="7166" w:type="dxa"/>
            <w:gridSpan w:val="7"/>
            <w:vAlign w:val="center"/>
          </w:tcPr>
          <w:p>
            <w:pPr>
              <w:snapToGrid w:val="0"/>
              <w:spacing w:line="320" w:lineRule="atLeast"/>
              <w:jc w:val="center"/>
              <w:rPr>
                <w:rFonts w:ascii="宋体" w:hAnsi="宋体" w:cs="宋体"/>
              </w:rPr>
            </w:pPr>
            <w:r>
              <w:rPr>
                <w:rFonts w:hint="eastAsia" w:ascii="宋体" w:hAnsi="宋体" w:cs="宋体"/>
              </w:rPr>
              <w:t>年月毕业于学校系(科)，学制年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0" w:type="dxa"/>
            <w:gridSpan w:val="9"/>
            <w:vAlign w:val="center"/>
          </w:tcPr>
          <w:p>
            <w:pPr>
              <w:snapToGrid w:val="0"/>
              <w:spacing w:line="320" w:lineRule="atLeast"/>
              <w:jc w:val="center"/>
              <w:rPr>
                <w:rFonts w:ascii="宋体" w:hAnsi="宋体" w:cs="宋体"/>
              </w:rPr>
            </w:pPr>
            <w:r>
              <w:rPr>
                <w:rFonts w:hint="eastAsia" w:ascii="宋体" w:hAnsi="宋体" w:cs="宋体"/>
              </w:rPr>
              <w:t>经                        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68" w:type="dxa"/>
            <w:vAlign w:val="center"/>
          </w:tcPr>
          <w:p>
            <w:pPr>
              <w:snapToGrid w:val="0"/>
              <w:spacing w:line="320" w:lineRule="atLeast"/>
              <w:jc w:val="center"/>
              <w:rPr>
                <w:rFonts w:ascii="宋体" w:hAnsi="宋体" w:cs="宋体"/>
              </w:rPr>
            </w:pPr>
            <w:r>
              <w:rPr>
                <w:rFonts w:hint="eastAsia" w:ascii="宋体" w:hAnsi="宋体" w:cs="宋体"/>
              </w:rPr>
              <w:t>年   月</w:t>
            </w:r>
          </w:p>
        </w:tc>
        <w:tc>
          <w:tcPr>
            <w:tcW w:w="3600" w:type="dxa"/>
            <w:gridSpan w:val="4"/>
            <w:vAlign w:val="center"/>
          </w:tcPr>
          <w:p>
            <w:pPr>
              <w:snapToGrid w:val="0"/>
              <w:spacing w:line="320" w:lineRule="atLeast"/>
              <w:jc w:val="center"/>
              <w:rPr>
                <w:rFonts w:ascii="宋体" w:hAnsi="宋体" w:cs="宋体"/>
              </w:rPr>
            </w:pPr>
            <w:r>
              <w:rPr>
                <w:rFonts w:hint="eastAsia" w:ascii="宋体" w:hAnsi="宋体" w:cs="宋体"/>
              </w:rPr>
              <w:t>工作经历</w:t>
            </w:r>
          </w:p>
        </w:tc>
        <w:tc>
          <w:tcPr>
            <w:tcW w:w="2040" w:type="dxa"/>
            <w:gridSpan w:val="2"/>
            <w:vAlign w:val="center"/>
          </w:tcPr>
          <w:p>
            <w:pPr>
              <w:snapToGrid w:val="0"/>
              <w:spacing w:line="320" w:lineRule="atLeast"/>
              <w:jc w:val="center"/>
              <w:rPr>
                <w:rFonts w:ascii="宋体" w:hAnsi="宋体" w:cs="宋体"/>
              </w:rPr>
            </w:pPr>
            <w:r>
              <w:rPr>
                <w:rFonts w:hint="eastAsia" w:ascii="宋体" w:hAnsi="宋体" w:cs="宋体"/>
              </w:rPr>
              <w:t>担 任 何 职</w:t>
            </w:r>
          </w:p>
        </w:tc>
        <w:tc>
          <w:tcPr>
            <w:tcW w:w="1532" w:type="dxa"/>
            <w:gridSpan w:val="2"/>
            <w:vAlign w:val="center"/>
          </w:tcPr>
          <w:p>
            <w:pPr>
              <w:snapToGrid w:val="0"/>
              <w:spacing w:line="320" w:lineRule="atLeast"/>
              <w:jc w:val="center"/>
              <w:rPr>
                <w:rFonts w:ascii="宋体" w:hAnsi="宋体" w:cs="宋体"/>
              </w:rPr>
            </w:pPr>
            <w:r>
              <w:rPr>
                <w:rFonts w:hint="eastAsia" w:ascii="宋体" w:hAnsi="宋体" w:cs="宋体"/>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68" w:type="dxa"/>
            <w:vAlign w:val="center"/>
          </w:tcPr>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tc>
        <w:tc>
          <w:tcPr>
            <w:tcW w:w="3600" w:type="dxa"/>
            <w:gridSpan w:val="4"/>
            <w:vAlign w:val="center"/>
          </w:tcPr>
          <w:p>
            <w:pPr>
              <w:snapToGrid w:val="0"/>
              <w:spacing w:line="320" w:lineRule="atLeast"/>
              <w:jc w:val="center"/>
              <w:rPr>
                <w:rFonts w:ascii="宋体" w:hAnsi="宋体" w:cs="宋体"/>
              </w:rPr>
            </w:pPr>
          </w:p>
        </w:tc>
        <w:tc>
          <w:tcPr>
            <w:tcW w:w="2040" w:type="dxa"/>
            <w:gridSpan w:val="2"/>
            <w:vAlign w:val="center"/>
          </w:tcPr>
          <w:p>
            <w:pPr>
              <w:snapToGrid w:val="0"/>
              <w:spacing w:line="320" w:lineRule="atLeast"/>
              <w:jc w:val="center"/>
              <w:rPr>
                <w:rFonts w:ascii="宋体" w:hAnsi="宋体" w:cs="宋体"/>
              </w:rPr>
            </w:pPr>
          </w:p>
        </w:tc>
        <w:tc>
          <w:tcPr>
            <w:tcW w:w="1532" w:type="dxa"/>
            <w:gridSpan w:val="2"/>
            <w:vAlign w:val="center"/>
          </w:tcPr>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tc>
      </w:tr>
    </w:tbl>
    <w:p>
      <w:pPr>
        <w:snapToGrid w:val="0"/>
        <w:spacing w:line="360" w:lineRule="auto"/>
        <w:rPr>
          <w:rFonts w:ascii="宋体" w:hAnsi="宋体" w:cs="宋体"/>
        </w:rPr>
      </w:pPr>
      <w:r>
        <w:rPr>
          <w:rFonts w:hint="eastAsia" w:ascii="宋体" w:hAnsi="宋体" w:cs="宋体"/>
        </w:rPr>
        <w:t xml:space="preserve"> 注：与评分有关的证明材料附后。</w:t>
      </w:r>
    </w:p>
    <w:p>
      <w:pPr>
        <w:snapToGrid w:val="0"/>
        <w:spacing w:line="360" w:lineRule="auto"/>
        <w:rPr>
          <w:rFonts w:ascii="宋体" w:hAnsi="宋体" w:cs="宋体"/>
        </w:rPr>
      </w:pPr>
    </w:p>
    <w:p>
      <w:pPr>
        <w:snapToGrid w:val="0"/>
        <w:spacing w:line="360" w:lineRule="auto"/>
        <w:rPr>
          <w:rFonts w:ascii="宋体" w:hAnsi="宋体" w:cs="宋体"/>
        </w:rPr>
      </w:pPr>
    </w:p>
    <w:p>
      <w:pPr>
        <w:snapToGrid w:val="0"/>
        <w:spacing w:line="360" w:lineRule="auto"/>
        <w:rPr>
          <w:rFonts w:ascii="宋体" w:hAnsi="宋体" w:cs="宋体"/>
          <w:b/>
          <w:snapToGrid w:val="0"/>
          <w:kern w:val="0"/>
          <w:sz w:val="24"/>
        </w:rPr>
      </w:pPr>
    </w:p>
    <w:p>
      <w:pPr>
        <w:adjustRightInd w:val="0"/>
        <w:snapToGrid w:val="0"/>
        <w:spacing w:line="360" w:lineRule="auto"/>
        <w:ind w:firstLine="4158" w:firstLineChars="1980"/>
        <w:rPr>
          <w:rFonts w:ascii="宋体" w:hAnsi="宋体" w:cs="宋体"/>
          <w:snapToGrid w:val="0"/>
          <w:kern w:val="0"/>
          <w:szCs w:val="21"/>
        </w:rPr>
      </w:pPr>
      <w:r>
        <w:rPr>
          <w:rFonts w:hint="eastAsia" w:ascii="宋体" w:hAnsi="宋体" w:cs="宋体"/>
          <w:snapToGrid w:val="0"/>
          <w:kern w:val="0"/>
          <w:szCs w:val="21"/>
        </w:rPr>
        <w:t>投标人(电子签章)</w:t>
      </w:r>
    </w:p>
    <w:p>
      <w:pPr>
        <w:snapToGrid w:val="0"/>
        <w:spacing w:line="360" w:lineRule="auto"/>
        <w:ind w:firstLine="5000" w:firstLineChars="2000"/>
        <w:rPr>
          <w:rFonts w:ascii="宋体" w:hAnsi="宋体" w:cs="宋体"/>
          <w:snapToGrid w:val="0"/>
          <w:kern w:val="0"/>
          <w:szCs w:val="21"/>
        </w:rPr>
      </w:pPr>
      <w:r>
        <w:rPr>
          <w:rFonts w:hint="eastAsia" w:ascii="宋体" w:hAnsi="宋体" w:cs="宋体"/>
          <w:spacing w:val="20"/>
        </w:rPr>
        <w:t xml:space="preserve">日期：  </w:t>
      </w:r>
      <w:r>
        <w:rPr>
          <w:rFonts w:hint="eastAsia" w:ascii="宋体" w:hAnsi="宋体" w:cs="宋体"/>
        </w:rPr>
        <w:t>年  月  日</w:t>
      </w:r>
    </w:p>
    <w:p>
      <w:pPr>
        <w:spacing w:line="360" w:lineRule="atLeast"/>
        <w:outlineLvl w:val="1"/>
        <w:rPr>
          <w:rFonts w:ascii="宋体" w:hAnsi="宋体" w:cs="宋体"/>
          <w:sz w:val="24"/>
        </w:rPr>
      </w:pPr>
      <w:r>
        <w:rPr>
          <w:rFonts w:hint="eastAsia" w:ascii="宋体" w:hAnsi="宋体" w:cs="宋体"/>
          <w:snapToGrid w:val="0"/>
          <w:kern w:val="0"/>
          <w:szCs w:val="21"/>
        </w:rPr>
        <w:br w:type="page"/>
      </w:r>
      <w:bookmarkStart w:id="87" w:name="_Toc17148"/>
      <w:bookmarkStart w:id="88" w:name="_Toc28558"/>
      <w:r>
        <w:rPr>
          <w:rFonts w:hint="eastAsia" w:ascii="宋体" w:hAnsi="宋体" w:cs="宋体"/>
          <w:sz w:val="24"/>
        </w:rPr>
        <w:t>四、报价响应文件部分格式</w:t>
      </w:r>
      <w:bookmarkEnd w:id="87"/>
      <w:bookmarkEnd w:id="88"/>
    </w:p>
    <w:p>
      <w:pPr>
        <w:autoSpaceDE w:val="0"/>
        <w:autoSpaceDN w:val="0"/>
        <w:adjustRightInd w:val="0"/>
        <w:spacing w:line="360" w:lineRule="auto"/>
        <w:rPr>
          <w:rFonts w:ascii="宋体" w:hAnsi="宋体" w:cs="宋体"/>
          <w:b/>
          <w:bCs/>
          <w:szCs w:val="21"/>
        </w:rPr>
      </w:pPr>
      <w:r>
        <w:rPr>
          <w:rFonts w:hint="eastAsia" w:ascii="宋体" w:hAnsi="宋体" w:cs="宋体"/>
          <w:b/>
          <w:bCs/>
          <w:szCs w:val="21"/>
        </w:rPr>
        <w:t>4.1投标函</w:t>
      </w:r>
    </w:p>
    <w:p>
      <w:pPr>
        <w:pStyle w:val="24"/>
        <w:spacing w:line="360" w:lineRule="auto"/>
        <w:jc w:val="center"/>
        <w:rPr>
          <w:rFonts w:ascii="宋体" w:hAnsi="宋体" w:eastAsia="宋体" w:cs="宋体"/>
          <w:b/>
          <w:sz w:val="28"/>
          <w:szCs w:val="28"/>
        </w:rPr>
      </w:pPr>
      <w:r>
        <w:rPr>
          <w:rFonts w:hint="eastAsia" w:ascii="宋体" w:hAnsi="宋体" w:eastAsia="宋体" w:cs="宋体"/>
          <w:b/>
          <w:sz w:val="28"/>
          <w:szCs w:val="28"/>
        </w:rPr>
        <w:t>投标函</w:t>
      </w:r>
    </w:p>
    <w:p>
      <w:pPr>
        <w:pStyle w:val="24"/>
        <w:spacing w:line="360" w:lineRule="auto"/>
        <w:rPr>
          <w:rFonts w:ascii="宋体" w:hAnsi="宋体" w:eastAsia="宋体" w:cs="宋体"/>
          <w:u w:val="single"/>
        </w:rPr>
      </w:pPr>
      <w:r>
        <w:rPr>
          <w:rFonts w:hint="eastAsia" w:ascii="宋体" w:hAnsi="宋体" w:eastAsia="宋体" w:cs="宋体"/>
        </w:rPr>
        <w:t>：</w:t>
      </w:r>
    </w:p>
    <w:p>
      <w:pPr>
        <w:pStyle w:val="24"/>
        <w:spacing w:line="420" w:lineRule="exact"/>
        <w:ind w:firstLine="420" w:firstLineChars="200"/>
        <w:rPr>
          <w:rFonts w:ascii="宋体" w:hAnsi="宋体" w:eastAsia="宋体" w:cs="宋体"/>
        </w:rPr>
      </w:pPr>
      <w:r>
        <w:rPr>
          <w:rFonts w:hint="eastAsia" w:ascii="宋体" w:hAnsi="宋体" w:eastAsia="宋体" w:cs="宋体"/>
        </w:rPr>
        <w:t xml:space="preserve"> (投标人名称)授权(全权代表姓名)(职务、职称)为全权代表，参加贵方组织的项目 (采购编号：ZJXY-HZ2020-114  )的有关活动，并对此项目进行投标。为此：</w:t>
      </w:r>
    </w:p>
    <w:p>
      <w:pPr>
        <w:pStyle w:val="24"/>
        <w:spacing w:line="420" w:lineRule="exact"/>
        <w:ind w:firstLine="420" w:firstLineChars="200"/>
        <w:rPr>
          <w:rFonts w:ascii="宋体" w:hAnsi="宋体" w:eastAsia="宋体" w:cs="宋体"/>
        </w:rPr>
      </w:pPr>
      <w:r>
        <w:rPr>
          <w:rFonts w:hint="eastAsia" w:ascii="宋体" w:hAnsi="宋体" w:eastAsia="宋体" w:cs="宋体"/>
        </w:rPr>
        <w:t>1、我方同意在投标人编制和提交投标文件须知规定的开标日期起遵守本投标书中的承诺且在投标有效期满之前均具有约束力。</w:t>
      </w:r>
    </w:p>
    <w:p>
      <w:pPr>
        <w:pStyle w:val="24"/>
        <w:spacing w:line="420" w:lineRule="exact"/>
        <w:ind w:firstLine="420" w:firstLineChars="200"/>
        <w:rPr>
          <w:rFonts w:ascii="宋体" w:hAnsi="宋体" w:eastAsia="宋体" w:cs="宋体"/>
        </w:rPr>
      </w:pPr>
      <w:r>
        <w:rPr>
          <w:rFonts w:hint="eastAsia" w:ascii="宋体" w:hAnsi="宋体" w:eastAsia="宋体" w:cs="宋体"/>
        </w:rPr>
        <w:t>2、我方承诺已经具备《中华人民共和国政府采购法》中规定的参加政府采购活动的投标人应当具备的条件：</w:t>
      </w:r>
    </w:p>
    <w:p>
      <w:pPr>
        <w:pStyle w:val="24"/>
        <w:spacing w:line="420" w:lineRule="exact"/>
        <w:ind w:firstLine="420" w:firstLineChars="200"/>
        <w:rPr>
          <w:rFonts w:ascii="宋体" w:hAnsi="宋体" w:eastAsia="宋体" w:cs="宋体"/>
        </w:rPr>
      </w:pPr>
      <w:r>
        <w:rPr>
          <w:rFonts w:hint="eastAsia" w:ascii="宋体" w:hAnsi="宋体" w:eastAsia="宋体" w:cs="宋体"/>
        </w:rPr>
        <w:t>(1)具有独立承担民事责任的能力；</w:t>
      </w:r>
    </w:p>
    <w:p>
      <w:pPr>
        <w:pStyle w:val="24"/>
        <w:spacing w:line="420" w:lineRule="exact"/>
        <w:ind w:firstLine="420" w:firstLineChars="200"/>
        <w:rPr>
          <w:rFonts w:ascii="宋体" w:hAnsi="宋体" w:eastAsia="宋体" w:cs="宋体"/>
        </w:rPr>
      </w:pPr>
      <w:r>
        <w:rPr>
          <w:rFonts w:hint="eastAsia" w:ascii="宋体" w:hAnsi="宋体" w:eastAsia="宋体" w:cs="宋体"/>
        </w:rPr>
        <w:t>(2)遵守国家法律、行政法规，具有良好的信誉和商业道德；</w:t>
      </w:r>
    </w:p>
    <w:p>
      <w:pPr>
        <w:pStyle w:val="24"/>
        <w:spacing w:line="420" w:lineRule="exact"/>
        <w:ind w:firstLine="420" w:firstLineChars="200"/>
        <w:rPr>
          <w:rFonts w:ascii="宋体" w:hAnsi="宋体" w:eastAsia="宋体" w:cs="宋体"/>
        </w:rPr>
      </w:pPr>
      <w:r>
        <w:rPr>
          <w:rFonts w:hint="eastAsia" w:ascii="宋体" w:hAnsi="宋体" w:eastAsia="宋体" w:cs="宋体"/>
        </w:rPr>
        <w:t>(3)具有履行合同的能力和良好的履行合同记录；</w:t>
      </w:r>
    </w:p>
    <w:p>
      <w:pPr>
        <w:pStyle w:val="24"/>
        <w:spacing w:line="420" w:lineRule="exact"/>
        <w:ind w:firstLine="420" w:firstLineChars="200"/>
        <w:rPr>
          <w:rFonts w:ascii="宋体" w:hAnsi="宋体" w:eastAsia="宋体" w:cs="宋体"/>
        </w:rPr>
      </w:pPr>
      <w:r>
        <w:rPr>
          <w:rFonts w:hint="eastAsia" w:ascii="宋体" w:hAnsi="宋体" w:eastAsia="宋体" w:cs="宋体"/>
        </w:rPr>
        <w:t>(4)良好的资金、财务状况；</w:t>
      </w:r>
    </w:p>
    <w:p>
      <w:pPr>
        <w:pStyle w:val="24"/>
        <w:spacing w:line="420" w:lineRule="exact"/>
        <w:ind w:firstLine="420" w:firstLineChars="200"/>
        <w:rPr>
          <w:rFonts w:ascii="宋体" w:hAnsi="宋体" w:eastAsia="宋体" w:cs="宋体"/>
        </w:rPr>
      </w:pPr>
      <w:r>
        <w:rPr>
          <w:rFonts w:hint="eastAsia" w:ascii="宋体" w:hAnsi="宋体" w:eastAsia="宋体" w:cs="宋体"/>
        </w:rPr>
        <w:t>(5)没有违反政府采购法规、政策的记录；</w:t>
      </w:r>
    </w:p>
    <w:p>
      <w:pPr>
        <w:pStyle w:val="24"/>
        <w:spacing w:line="420" w:lineRule="exact"/>
        <w:ind w:firstLine="420" w:firstLineChars="200"/>
        <w:rPr>
          <w:rFonts w:ascii="宋体" w:hAnsi="宋体" w:eastAsia="宋体" w:cs="宋体"/>
        </w:rPr>
      </w:pPr>
      <w:r>
        <w:rPr>
          <w:rFonts w:hint="eastAsia" w:ascii="宋体" w:hAnsi="宋体" w:eastAsia="宋体" w:cs="宋体"/>
        </w:rPr>
        <w:t>(6)没有发生重大经济纠纷和走私犯罪记录。</w:t>
      </w:r>
    </w:p>
    <w:p>
      <w:pPr>
        <w:pStyle w:val="24"/>
        <w:spacing w:line="420" w:lineRule="exact"/>
        <w:ind w:firstLine="420" w:firstLineChars="200"/>
        <w:rPr>
          <w:rFonts w:ascii="宋体" w:hAnsi="宋体" w:eastAsia="宋体" w:cs="宋体"/>
        </w:rPr>
      </w:pPr>
      <w:r>
        <w:rPr>
          <w:rFonts w:hint="eastAsia" w:ascii="宋体" w:hAnsi="宋体" w:eastAsia="宋体" w:cs="宋体"/>
        </w:rPr>
        <w:t>3、提供编制和提交投标文件须知规定的全部投标文件，包括一份电子加密标书（后缀格式为.jmbs），一份备份标书文件（后缀格式为.bfbs）。具体内容为：</w:t>
      </w:r>
    </w:p>
    <w:p>
      <w:pPr>
        <w:pStyle w:val="24"/>
        <w:spacing w:line="420" w:lineRule="exact"/>
        <w:ind w:firstLine="420" w:firstLineChars="200"/>
        <w:rPr>
          <w:rFonts w:ascii="宋体" w:hAnsi="宋体" w:eastAsia="宋体" w:cs="宋体"/>
        </w:rPr>
      </w:pPr>
      <w:r>
        <w:rPr>
          <w:rFonts w:hint="eastAsia" w:ascii="宋体" w:hAnsi="宋体" w:eastAsia="宋体" w:cs="宋体"/>
        </w:rPr>
        <w:t>(1)资格响应文件、资信技术响应文件、报价响应文件(2)报价文件；</w:t>
      </w:r>
    </w:p>
    <w:p>
      <w:pPr>
        <w:pStyle w:val="24"/>
        <w:spacing w:line="420" w:lineRule="exact"/>
        <w:ind w:firstLine="420" w:firstLineChars="200"/>
        <w:rPr>
          <w:rFonts w:ascii="宋体" w:hAnsi="宋体" w:eastAsia="宋体" w:cs="宋体"/>
        </w:rPr>
      </w:pPr>
      <w:r>
        <w:rPr>
          <w:rFonts w:hint="eastAsia" w:ascii="宋体" w:hAnsi="宋体" w:eastAsia="宋体" w:cs="宋体"/>
        </w:rPr>
        <w:t>(2)编制和提交投标文件须知要求投标人提交的全部文件；</w:t>
      </w:r>
    </w:p>
    <w:p>
      <w:pPr>
        <w:pStyle w:val="24"/>
        <w:spacing w:line="420" w:lineRule="exact"/>
        <w:ind w:firstLine="420" w:firstLineChars="200"/>
        <w:rPr>
          <w:rFonts w:ascii="宋体" w:hAnsi="宋体" w:eastAsia="宋体" w:cs="宋体"/>
        </w:rPr>
      </w:pPr>
      <w:r>
        <w:rPr>
          <w:rFonts w:hint="eastAsia" w:ascii="宋体" w:hAnsi="宋体" w:eastAsia="宋体" w:cs="宋体"/>
        </w:rPr>
        <w:t>(3)按采购文件要求提供和交付的货物和服务的投标报价详见开标一览表；</w:t>
      </w:r>
    </w:p>
    <w:p>
      <w:pPr>
        <w:pStyle w:val="24"/>
        <w:spacing w:line="420" w:lineRule="exact"/>
        <w:ind w:firstLine="420" w:firstLineChars="200"/>
        <w:rPr>
          <w:rFonts w:ascii="宋体" w:hAnsi="宋体" w:eastAsia="宋体" w:cs="宋体"/>
        </w:rPr>
      </w:pPr>
      <w:r>
        <w:rPr>
          <w:rFonts w:hint="eastAsia" w:ascii="宋体" w:hAnsi="宋体" w:eastAsia="宋体" w:cs="宋体"/>
        </w:rPr>
        <w:t>(4)保证忠实地执行双方所签订的合同，并承担合同规定的责任和义务；</w:t>
      </w:r>
    </w:p>
    <w:p>
      <w:pPr>
        <w:pStyle w:val="24"/>
        <w:spacing w:line="420" w:lineRule="exact"/>
        <w:ind w:firstLine="420" w:firstLineChars="200"/>
        <w:rPr>
          <w:rFonts w:ascii="宋体" w:hAnsi="宋体" w:eastAsia="宋体" w:cs="宋体"/>
        </w:rPr>
      </w:pPr>
      <w:r>
        <w:rPr>
          <w:rFonts w:hint="eastAsia" w:ascii="宋体" w:hAnsi="宋体" w:eastAsia="宋体" w:cs="宋体"/>
        </w:rPr>
        <w:t>(5)保证遵守采购文件中的其他有关规定。</w:t>
      </w:r>
    </w:p>
    <w:p>
      <w:pPr>
        <w:pStyle w:val="24"/>
        <w:spacing w:line="420" w:lineRule="exact"/>
        <w:ind w:firstLine="420" w:firstLineChars="200"/>
        <w:rPr>
          <w:rFonts w:ascii="宋体" w:hAnsi="宋体" w:eastAsia="宋体" w:cs="宋体"/>
        </w:rPr>
      </w:pPr>
      <w:r>
        <w:rPr>
          <w:rFonts w:hint="eastAsia" w:ascii="宋体" w:hAnsi="宋体" w:eastAsia="宋体" w:cs="宋体"/>
        </w:rPr>
        <w:t>4、我方完全理解贵方不一定要接受最低价的投标。</w:t>
      </w:r>
    </w:p>
    <w:p>
      <w:pPr>
        <w:pStyle w:val="24"/>
        <w:spacing w:line="420" w:lineRule="exact"/>
        <w:ind w:firstLine="420" w:firstLineChars="200"/>
        <w:rPr>
          <w:rFonts w:ascii="宋体" w:hAnsi="宋体" w:eastAsia="宋体" w:cs="宋体"/>
        </w:rPr>
      </w:pPr>
      <w:r>
        <w:rPr>
          <w:rFonts w:hint="eastAsia" w:ascii="宋体" w:hAnsi="宋体" w:eastAsia="宋体" w:cs="宋体"/>
        </w:rPr>
        <w:t>5、我方愿意向贵方提供任何与该项投标有关的数据、情况和技术资料。若贵方需要，我方愿意提供我方作出的一切承诺的证明材料。</w:t>
      </w:r>
    </w:p>
    <w:p>
      <w:pPr>
        <w:pStyle w:val="24"/>
        <w:spacing w:line="420" w:lineRule="exact"/>
        <w:ind w:firstLine="420" w:firstLineChars="200"/>
        <w:rPr>
          <w:rFonts w:ascii="宋体" w:hAnsi="宋体" w:eastAsia="宋体" w:cs="宋体"/>
        </w:rPr>
      </w:pPr>
      <w:r>
        <w:rPr>
          <w:rFonts w:hint="eastAsia" w:ascii="宋体" w:hAnsi="宋体" w:eastAsia="宋体" w:cs="宋体"/>
        </w:rPr>
        <w:t>6、我方已详细审核全部采购文件，包括采购文件修改书(如果有)、参考资料及有关附件，确认无误。</w:t>
      </w:r>
    </w:p>
    <w:p>
      <w:pPr>
        <w:pStyle w:val="24"/>
        <w:spacing w:line="420" w:lineRule="exact"/>
        <w:ind w:firstLine="420" w:firstLineChars="200"/>
        <w:rPr>
          <w:rFonts w:ascii="宋体" w:hAnsi="宋体" w:eastAsia="宋体" w:cs="宋体"/>
        </w:rPr>
      </w:pPr>
      <w:r>
        <w:rPr>
          <w:rFonts w:hint="eastAsia" w:ascii="宋体" w:hAnsi="宋体" w:eastAsia="宋体" w:cs="宋体"/>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4"/>
        <w:spacing w:line="420" w:lineRule="exact"/>
        <w:ind w:firstLine="420" w:firstLineChars="200"/>
        <w:rPr>
          <w:rFonts w:ascii="宋体" w:hAnsi="宋体" w:eastAsia="宋体" w:cs="宋体"/>
        </w:rPr>
      </w:pPr>
      <w:r>
        <w:rPr>
          <w:rFonts w:hint="eastAsia" w:ascii="宋体" w:hAnsi="宋体" w:eastAsia="宋体" w:cs="宋体"/>
        </w:rPr>
        <w:t>a)提供虚假材料谋取中标、成交的；</w:t>
      </w:r>
    </w:p>
    <w:p>
      <w:pPr>
        <w:pStyle w:val="24"/>
        <w:spacing w:line="420" w:lineRule="exact"/>
        <w:ind w:firstLine="420" w:firstLineChars="200"/>
        <w:rPr>
          <w:rFonts w:ascii="宋体" w:hAnsi="宋体" w:eastAsia="宋体" w:cs="宋体"/>
        </w:rPr>
      </w:pPr>
      <w:r>
        <w:rPr>
          <w:rFonts w:hint="eastAsia" w:ascii="宋体" w:hAnsi="宋体" w:eastAsia="宋体" w:cs="宋体"/>
        </w:rPr>
        <w:t>b)采取不正当手段诋毁、排挤其他投标人的；</w:t>
      </w:r>
    </w:p>
    <w:p>
      <w:pPr>
        <w:pStyle w:val="24"/>
        <w:spacing w:line="420" w:lineRule="exact"/>
        <w:ind w:firstLine="420" w:firstLineChars="200"/>
        <w:rPr>
          <w:rFonts w:ascii="宋体" w:hAnsi="宋体" w:eastAsia="宋体" w:cs="宋体"/>
        </w:rPr>
      </w:pPr>
      <w:r>
        <w:rPr>
          <w:rFonts w:hint="eastAsia" w:ascii="宋体" w:hAnsi="宋体" w:eastAsia="宋体" w:cs="宋体"/>
        </w:rPr>
        <w:t>c)与采购人、其它投标人或者采购代理机构恶意串通的；</w:t>
      </w:r>
    </w:p>
    <w:p>
      <w:pPr>
        <w:pStyle w:val="24"/>
        <w:spacing w:line="420" w:lineRule="exact"/>
        <w:ind w:firstLine="420" w:firstLineChars="200"/>
        <w:rPr>
          <w:rFonts w:ascii="宋体" w:hAnsi="宋体" w:eastAsia="宋体" w:cs="宋体"/>
        </w:rPr>
      </w:pPr>
      <w:r>
        <w:rPr>
          <w:rFonts w:hint="eastAsia" w:ascii="宋体" w:hAnsi="宋体" w:eastAsia="宋体" w:cs="宋体"/>
        </w:rPr>
        <w:t>d)向采购人、采购代理机构行贿或者提供其他不正当利益的；</w:t>
      </w:r>
    </w:p>
    <w:p>
      <w:pPr>
        <w:pStyle w:val="24"/>
        <w:spacing w:line="420" w:lineRule="exact"/>
        <w:ind w:firstLine="420" w:firstLineChars="200"/>
        <w:rPr>
          <w:rFonts w:ascii="宋体" w:hAnsi="宋体" w:eastAsia="宋体" w:cs="宋体"/>
        </w:rPr>
      </w:pPr>
      <w:r>
        <w:rPr>
          <w:rFonts w:hint="eastAsia" w:ascii="宋体" w:hAnsi="宋体" w:eastAsia="宋体" w:cs="宋体"/>
        </w:rPr>
        <w:t>e)在招标采购过程中与采购人进行协商谈判的；</w:t>
      </w:r>
    </w:p>
    <w:p>
      <w:pPr>
        <w:pStyle w:val="24"/>
        <w:spacing w:line="420" w:lineRule="exact"/>
        <w:ind w:firstLine="420" w:firstLineChars="200"/>
        <w:rPr>
          <w:rFonts w:ascii="宋体" w:hAnsi="宋体" w:eastAsia="宋体" w:cs="宋体"/>
        </w:rPr>
      </w:pPr>
      <w:r>
        <w:rPr>
          <w:rFonts w:hint="eastAsia" w:ascii="宋体" w:hAnsi="宋体" w:eastAsia="宋体" w:cs="宋体"/>
        </w:rPr>
        <w:t>f)拒绝有关部门监督检查或提供虚假情况的。</w:t>
      </w:r>
    </w:p>
    <w:p>
      <w:pPr>
        <w:pStyle w:val="24"/>
        <w:spacing w:line="420" w:lineRule="exact"/>
        <w:ind w:firstLine="420" w:firstLineChars="200"/>
        <w:rPr>
          <w:rFonts w:ascii="宋体" w:hAnsi="宋体" w:eastAsia="宋体" w:cs="宋体"/>
        </w:rPr>
      </w:pPr>
      <w:r>
        <w:rPr>
          <w:rFonts w:hint="eastAsia" w:ascii="宋体" w:hAnsi="宋体" w:eastAsia="宋体" w:cs="宋体"/>
        </w:rPr>
        <w:t>投标人有前款第a)至e)项情形之一的，中标、成交无效。</w:t>
      </w:r>
    </w:p>
    <w:p>
      <w:pPr>
        <w:pStyle w:val="24"/>
        <w:spacing w:line="420" w:lineRule="exact"/>
        <w:ind w:firstLine="420" w:firstLineChars="200"/>
        <w:rPr>
          <w:rFonts w:ascii="宋体" w:hAnsi="宋体" w:eastAsia="宋体" w:cs="宋体"/>
        </w:rPr>
      </w:pPr>
    </w:p>
    <w:p>
      <w:pPr>
        <w:pStyle w:val="24"/>
        <w:spacing w:line="420" w:lineRule="exact"/>
        <w:ind w:firstLine="420" w:firstLineChars="200"/>
        <w:rPr>
          <w:rFonts w:ascii="宋体" w:hAnsi="宋体" w:eastAsia="宋体" w:cs="宋体"/>
        </w:rPr>
      </w:pPr>
    </w:p>
    <w:p>
      <w:pPr>
        <w:pStyle w:val="24"/>
        <w:spacing w:line="420" w:lineRule="exact"/>
        <w:ind w:firstLine="420" w:firstLineChars="200"/>
        <w:rPr>
          <w:rFonts w:ascii="宋体" w:hAnsi="宋体" w:eastAsia="宋体" w:cs="宋体"/>
        </w:rPr>
      </w:pPr>
      <w:r>
        <w:rPr>
          <w:rFonts w:hint="eastAsia" w:ascii="宋体" w:hAnsi="宋体" w:eastAsia="宋体" w:cs="宋体"/>
        </w:rPr>
        <w:t>投标人（电子签章）：</w:t>
      </w:r>
    </w:p>
    <w:p>
      <w:pPr>
        <w:pStyle w:val="24"/>
        <w:spacing w:line="420" w:lineRule="exact"/>
        <w:ind w:firstLine="420" w:firstLineChars="200"/>
        <w:rPr>
          <w:rFonts w:ascii="宋体" w:hAnsi="宋体" w:eastAsia="宋体" w:cs="宋体"/>
        </w:rPr>
      </w:pPr>
      <w:r>
        <w:rPr>
          <w:rFonts w:hint="eastAsia" w:ascii="宋体" w:hAnsi="宋体" w:eastAsia="宋体" w:cs="宋体"/>
        </w:rPr>
        <w:t>联系人：    联系电话</w:t>
      </w:r>
      <w:r>
        <w:rPr>
          <w:rFonts w:hint="eastAsia" w:ascii="宋体" w:hAnsi="宋体" w:eastAsia="宋体" w:cs="宋体"/>
          <w:u w:val="single"/>
        </w:rPr>
        <w:t xml:space="preserve">：                 </w:t>
      </w:r>
    </w:p>
    <w:p>
      <w:pPr>
        <w:pStyle w:val="24"/>
        <w:spacing w:line="420" w:lineRule="exact"/>
        <w:ind w:firstLine="420" w:firstLineChars="200"/>
        <w:rPr>
          <w:rFonts w:ascii="宋体" w:hAnsi="宋体" w:eastAsia="宋体" w:cs="宋体"/>
        </w:rPr>
      </w:pPr>
      <w:r>
        <w:rPr>
          <w:rFonts w:hint="eastAsia" w:ascii="宋体" w:hAnsi="宋体" w:eastAsia="宋体" w:cs="宋体"/>
        </w:rPr>
        <w:t>联系地址：</w:t>
      </w:r>
    </w:p>
    <w:p>
      <w:pPr>
        <w:pStyle w:val="24"/>
        <w:spacing w:line="420" w:lineRule="exact"/>
        <w:ind w:firstLine="420" w:firstLineChars="200"/>
        <w:rPr>
          <w:rFonts w:ascii="宋体" w:hAnsi="宋体" w:eastAsia="宋体" w:cs="宋体"/>
        </w:rPr>
      </w:pPr>
      <w:r>
        <w:rPr>
          <w:rFonts w:hint="eastAsia" w:ascii="宋体" w:hAnsi="宋体" w:eastAsia="宋体" w:cs="宋体"/>
        </w:rPr>
        <w:t>邮政编码：传真号码</w:t>
      </w:r>
      <w:r>
        <w:rPr>
          <w:rFonts w:hint="eastAsia" w:ascii="宋体" w:hAnsi="宋体" w:eastAsia="宋体" w:cs="宋体"/>
          <w:u w:val="single"/>
        </w:rPr>
        <w:t xml:space="preserve">：                     </w:t>
      </w:r>
    </w:p>
    <w:p>
      <w:pPr>
        <w:pStyle w:val="24"/>
        <w:spacing w:line="420" w:lineRule="exact"/>
        <w:jc w:val="center"/>
        <w:rPr>
          <w:rFonts w:ascii="宋体" w:hAnsi="宋体" w:eastAsia="宋体" w:cs="宋体"/>
        </w:rPr>
      </w:pPr>
      <w:r>
        <w:rPr>
          <w:rFonts w:hint="eastAsia" w:ascii="宋体" w:hAnsi="宋体" w:eastAsia="宋体" w:cs="宋体"/>
        </w:rPr>
        <w:t>日    期：年</w:t>
      </w:r>
      <w:r>
        <w:rPr>
          <w:rFonts w:hint="eastAsia" w:ascii="宋体" w:hAnsi="宋体" w:eastAsia="宋体" w:cs="宋体"/>
          <w:u w:val="single"/>
        </w:rPr>
        <w:tab/>
      </w:r>
      <w:r>
        <w:rPr>
          <w:rFonts w:hint="eastAsia" w:ascii="宋体" w:hAnsi="宋体" w:eastAsia="宋体" w:cs="宋体"/>
        </w:rPr>
        <w:t>月日</w:t>
      </w:r>
    </w:p>
    <w:p>
      <w:pPr>
        <w:autoSpaceDE w:val="0"/>
        <w:autoSpaceDN w:val="0"/>
        <w:adjustRightInd w:val="0"/>
        <w:spacing w:line="360" w:lineRule="auto"/>
        <w:rPr>
          <w:rFonts w:ascii="宋体" w:hAnsi="宋体" w:cs="宋体"/>
          <w:b/>
          <w:bCs/>
          <w:szCs w:val="21"/>
        </w:rPr>
      </w:pPr>
      <w:r>
        <w:rPr>
          <w:rFonts w:hint="eastAsia" w:ascii="宋体" w:hAnsi="宋体" w:cs="宋体"/>
          <w:bCs/>
          <w:szCs w:val="21"/>
        </w:rPr>
        <w:br w:type="page"/>
      </w:r>
      <w:r>
        <w:rPr>
          <w:rFonts w:hint="eastAsia" w:ascii="宋体" w:hAnsi="宋体" w:cs="宋体"/>
          <w:b/>
          <w:bCs/>
          <w:szCs w:val="21"/>
        </w:rPr>
        <w:t>4.2开标一览表</w:t>
      </w:r>
    </w:p>
    <w:p>
      <w:pPr>
        <w:pStyle w:val="2"/>
        <w:spacing w:line="600" w:lineRule="exact"/>
        <w:ind w:firstLine="0"/>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开标一览表</w:t>
      </w:r>
    </w:p>
    <w:p>
      <w:pPr>
        <w:adjustRightInd w:val="0"/>
        <w:spacing w:line="360" w:lineRule="auto"/>
        <w:rPr>
          <w:rFonts w:ascii="宋体" w:hAnsi="宋体" w:cs="宋体"/>
          <w:szCs w:val="21"/>
        </w:rPr>
      </w:pPr>
    </w:p>
    <w:p>
      <w:pPr>
        <w:adjustRightInd w:val="0"/>
        <w:spacing w:line="360" w:lineRule="auto"/>
        <w:rPr>
          <w:rFonts w:ascii="宋体" w:hAnsi="宋体" w:cs="宋体"/>
          <w:szCs w:val="21"/>
        </w:rPr>
      </w:pPr>
      <w:r>
        <w:rPr>
          <w:rFonts w:hint="eastAsia" w:ascii="宋体" w:hAnsi="宋体" w:cs="宋体"/>
          <w:szCs w:val="21"/>
        </w:rPr>
        <w:t xml:space="preserve">项目名称：                     采购编号：ZJXY-HZ2020-114      </w:t>
      </w:r>
    </w:p>
    <w:p>
      <w:pPr>
        <w:adjustRightInd w:val="0"/>
        <w:spacing w:line="360" w:lineRule="auto"/>
        <w:rPr>
          <w:rFonts w:ascii="宋体" w:hAnsi="宋体" w:cs="宋体"/>
          <w:szCs w:val="21"/>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522" w:type="dxa"/>
            <w:vAlign w:val="center"/>
          </w:tcPr>
          <w:p>
            <w:pPr>
              <w:adjustRightInd w:val="0"/>
              <w:spacing w:line="360" w:lineRule="auto"/>
              <w:jc w:val="left"/>
              <w:rPr>
                <w:rFonts w:ascii="宋体" w:hAnsi="宋体" w:cs="宋体"/>
                <w:szCs w:val="21"/>
              </w:rPr>
            </w:pPr>
            <w:r>
              <w:rPr>
                <w:rFonts w:hint="eastAsia" w:ascii="宋体" w:hAnsi="宋体" w:cs="宋体"/>
                <w:szCs w:val="21"/>
              </w:rPr>
              <w:t>总报价（人民币）¥，</w:t>
            </w:r>
          </w:p>
          <w:p>
            <w:pPr>
              <w:adjustRightInd w:val="0"/>
              <w:spacing w:line="360" w:lineRule="auto"/>
              <w:ind w:firstLine="1260" w:firstLineChars="600"/>
              <w:rPr>
                <w:rFonts w:ascii="宋体" w:hAnsi="宋体" w:cs="宋体"/>
                <w:szCs w:val="21"/>
                <w:u w:val="single"/>
              </w:rPr>
            </w:pPr>
            <w:r>
              <w:rPr>
                <w:rFonts w:hint="eastAsia" w:ascii="宋体" w:hAnsi="宋体" w:cs="宋体"/>
                <w:szCs w:val="21"/>
              </w:rPr>
              <w:t>大写：元</w:t>
            </w:r>
          </w:p>
        </w:tc>
      </w:tr>
    </w:tbl>
    <w:p>
      <w:pPr>
        <w:adjustRightInd w:val="0"/>
        <w:spacing w:line="360" w:lineRule="auto"/>
        <w:jc w:val="left"/>
        <w:rPr>
          <w:rFonts w:ascii="宋体" w:hAnsi="宋体" w:cs="宋体"/>
          <w:szCs w:val="21"/>
        </w:rPr>
      </w:pPr>
    </w:p>
    <w:p>
      <w:pPr>
        <w:adjustRightInd w:val="0"/>
        <w:spacing w:line="360" w:lineRule="auto"/>
        <w:rPr>
          <w:rFonts w:ascii="宋体" w:hAnsi="宋体" w:cs="宋体"/>
          <w:b/>
          <w:bCs/>
          <w:szCs w:val="21"/>
        </w:rPr>
      </w:pPr>
      <w:r>
        <w:rPr>
          <w:rFonts w:hint="eastAsia" w:ascii="宋体" w:hAnsi="宋体" w:cs="宋体"/>
          <w:b/>
          <w:bCs/>
          <w:szCs w:val="21"/>
        </w:rPr>
        <w:t>注：“报价方式”以一次报清，完成本项目所需的所有费用必须包含在总报价中，如以后已实施而未列入报价的费用将被视为投标人优惠，采购人均不予支付。</w:t>
      </w:r>
    </w:p>
    <w:p>
      <w:pPr>
        <w:adjustRightInd w:val="0"/>
        <w:spacing w:line="360" w:lineRule="auto"/>
        <w:ind w:firstLine="420" w:firstLineChars="200"/>
        <w:rPr>
          <w:rFonts w:ascii="宋体" w:hAnsi="宋体" w:cs="宋体"/>
          <w:szCs w:val="21"/>
        </w:rPr>
      </w:pPr>
    </w:p>
    <w:p>
      <w:pPr>
        <w:adjustRightInd w:val="0"/>
        <w:spacing w:line="360" w:lineRule="auto"/>
        <w:ind w:firstLine="420" w:firstLineChars="200"/>
        <w:rPr>
          <w:rFonts w:ascii="宋体" w:hAnsi="宋体" w:cs="宋体"/>
          <w:szCs w:val="21"/>
        </w:rPr>
      </w:pPr>
    </w:p>
    <w:p>
      <w:pPr>
        <w:adjustRightInd w:val="0"/>
        <w:spacing w:line="360" w:lineRule="auto"/>
        <w:ind w:firstLine="420" w:firstLineChars="200"/>
        <w:rPr>
          <w:rFonts w:ascii="宋体" w:hAnsi="宋体" w:cs="宋体"/>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投标人(电子签章)</w:t>
      </w:r>
    </w:p>
    <w:p>
      <w:pPr>
        <w:pStyle w:val="24"/>
        <w:spacing w:line="420" w:lineRule="exact"/>
        <w:ind w:firstLine="5375" w:firstLineChars="2150"/>
        <w:rPr>
          <w:rFonts w:ascii="宋体" w:hAnsi="宋体" w:eastAsia="宋体" w:cs="宋体"/>
        </w:rPr>
      </w:pPr>
      <w:r>
        <w:rPr>
          <w:rFonts w:hint="eastAsia" w:ascii="宋体" w:hAnsi="宋体" w:cs="宋体"/>
          <w:spacing w:val="20"/>
        </w:rPr>
        <w:t xml:space="preserve">日期：  </w:t>
      </w:r>
      <w:r>
        <w:rPr>
          <w:rFonts w:hint="eastAsia" w:ascii="宋体" w:hAnsi="宋体" w:cs="宋体"/>
        </w:rPr>
        <w:t>年  月  日</w:t>
      </w:r>
    </w:p>
    <w:p>
      <w:pPr>
        <w:snapToGrid w:val="0"/>
        <w:spacing w:line="360" w:lineRule="auto"/>
        <w:rPr>
          <w:rFonts w:ascii="宋体" w:hAnsi="宋体" w:cs="宋体"/>
          <w:b/>
          <w:bCs/>
          <w:szCs w:val="21"/>
        </w:rPr>
      </w:pPr>
      <w:r>
        <w:rPr>
          <w:rFonts w:hint="eastAsia" w:ascii="宋体" w:hAnsi="宋体" w:cs="宋体"/>
        </w:rPr>
        <w:br w:type="page"/>
      </w:r>
      <w:r>
        <w:rPr>
          <w:rFonts w:hint="eastAsia" w:ascii="宋体" w:hAnsi="宋体" w:cs="宋体"/>
          <w:b/>
          <w:bCs/>
          <w:szCs w:val="21"/>
        </w:rPr>
        <w:t>4.3投标报价明细表</w:t>
      </w:r>
    </w:p>
    <w:p>
      <w:pPr>
        <w:pStyle w:val="2"/>
        <w:spacing w:line="600" w:lineRule="exact"/>
        <w:ind w:firstLine="0"/>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投标报价明细表</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 xml:space="preserve">项目名称： </w:t>
      </w:r>
    </w:p>
    <w:p>
      <w:pPr>
        <w:adjustRightInd w:val="0"/>
        <w:spacing w:line="360" w:lineRule="auto"/>
        <w:jc w:val="left"/>
        <w:rPr>
          <w:rFonts w:ascii="宋体" w:hAnsi="宋体" w:cs="宋体"/>
          <w:szCs w:val="21"/>
          <w:u w:val="single"/>
        </w:rPr>
      </w:pPr>
      <w:r>
        <w:rPr>
          <w:rFonts w:hint="eastAsia" w:ascii="宋体" w:hAnsi="宋体" w:cs="宋体"/>
          <w:szCs w:val="21"/>
        </w:rPr>
        <w:t xml:space="preserve">采购编号：ZJXY-HZ2020-114  </w:t>
      </w:r>
    </w:p>
    <w:p>
      <w:pPr>
        <w:jc w:val="right"/>
        <w:rPr>
          <w:rFonts w:ascii="宋体" w:hAnsi="宋体" w:cs="宋体"/>
        </w:rPr>
      </w:pPr>
      <w:r>
        <w:rPr>
          <w:rFonts w:hint="eastAsia" w:ascii="宋体" w:hAnsi="宋体" w:cs="宋体"/>
        </w:rPr>
        <w:t>元人民币</w:t>
      </w:r>
    </w:p>
    <w:tbl>
      <w:tblPr>
        <w:tblStyle w:val="43"/>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sz w:val="24"/>
              </w:rPr>
            </w:pPr>
            <w:r>
              <w:rPr>
                <w:rFonts w:hint="eastAsia" w:ascii="宋体" w:hAnsi="宋体" w:cs="宋体"/>
                <w:sz w:val="24"/>
              </w:rPr>
              <w:t>序号</w:t>
            </w:r>
          </w:p>
        </w:tc>
        <w:tc>
          <w:tcPr>
            <w:tcW w:w="2551" w:type="dxa"/>
            <w:vAlign w:val="center"/>
          </w:tcPr>
          <w:p>
            <w:pPr>
              <w:spacing w:line="460" w:lineRule="exact"/>
              <w:jc w:val="center"/>
              <w:rPr>
                <w:rFonts w:ascii="宋体" w:hAnsi="宋体" w:cs="宋体"/>
                <w:sz w:val="24"/>
              </w:rPr>
            </w:pPr>
            <w:r>
              <w:rPr>
                <w:rFonts w:hint="eastAsia" w:ascii="宋体" w:hAnsi="宋体" w:cs="宋体"/>
                <w:sz w:val="24"/>
              </w:rPr>
              <w:t>名称</w:t>
            </w:r>
          </w:p>
        </w:tc>
        <w:tc>
          <w:tcPr>
            <w:tcW w:w="1659" w:type="dxa"/>
            <w:vAlign w:val="center"/>
          </w:tcPr>
          <w:p>
            <w:pPr>
              <w:spacing w:line="460" w:lineRule="exact"/>
              <w:jc w:val="center"/>
              <w:rPr>
                <w:rFonts w:ascii="宋体" w:hAnsi="宋体" w:cs="宋体"/>
                <w:sz w:val="24"/>
              </w:rPr>
            </w:pPr>
            <w:r>
              <w:rPr>
                <w:rFonts w:hint="eastAsia" w:ascii="宋体" w:hAnsi="宋体" w:cs="宋体"/>
                <w:sz w:val="24"/>
              </w:rPr>
              <w:t>数量</w:t>
            </w:r>
          </w:p>
        </w:tc>
        <w:tc>
          <w:tcPr>
            <w:tcW w:w="1132" w:type="dxa"/>
            <w:vAlign w:val="center"/>
          </w:tcPr>
          <w:p>
            <w:pPr>
              <w:spacing w:line="460" w:lineRule="exact"/>
              <w:jc w:val="center"/>
              <w:rPr>
                <w:rFonts w:ascii="宋体" w:hAnsi="宋体" w:cs="宋体"/>
                <w:sz w:val="24"/>
              </w:rPr>
            </w:pPr>
            <w:r>
              <w:rPr>
                <w:rFonts w:hint="eastAsia" w:ascii="宋体" w:hAnsi="宋体" w:cs="宋体"/>
                <w:sz w:val="24"/>
              </w:rPr>
              <w:t>单价</w:t>
            </w:r>
          </w:p>
        </w:tc>
        <w:tc>
          <w:tcPr>
            <w:tcW w:w="1746" w:type="dxa"/>
            <w:vAlign w:val="center"/>
          </w:tcPr>
          <w:p>
            <w:pPr>
              <w:spacing w:line="460" w:lineRule="exact"/>
              <w:jc w:val="center"/>
              <w:rPr>
                <w:rFonts w:ascii="宋体" w:hAnsi="宋体" w:cs="宋体"/>
                <w:sz w:val="24"/>
              </w:rPr>
            </w:pPr>
            <w:r>
              <w:rPr>
                <w:rFonts w:hint="eastAsia" w:ascii="宋体" w:hAnsi="宋体" w:cs="宋体"/>
                <w:sz w:val="24"/>
              </w:rPr>
              <w:t>总价</w:t>
            </w:r>
          </w:p>
        </w:tc>
        <w:tc>
          <w:tcPr>
            <w:tcW w:w="1127" w:type="dxa"/>
            <w:vAlign w:val="center"/>
          </w:tcPr>
          <w:p>
            <w:pPr>
              <w:spacing w:line="460" w:lineRule="exact"/>
              <w:jc w:val="center"/>
              <w:rPr>
                <w:rFonts w:ascii="宋体" w:hAnsi="宋体" w:cs="宋体"/>
                <w:sz w:val="24"/>
              </w:rPr>
            </w:pPr>
            <w:r>
              <w:rPr>
                <w:rFonts w:hint="eastAsia" w:ascii="宋体" w:hAnsi="宋体" w:cs="宋体"/>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i/>
                <w:iCs/>
                <w:sz w:val="24"/>
              </w:rPr>
            </w:pPr>
          </w:p>
        </w:tc>
        <w:tc>
          <w:tcPr>
            <w:tcW w:w="2551" w:type="dxa"/>
            <w:vAlign w:val="center"/>
          </w:tcPr>
          <w:p>
            <w:pPr>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i/>
                <w:iCs/>
                <w:sz w:val="24"/>
              </w:rPr>
            </w:pPr>
          </w:p>
        </w:tc>
        <w:tc>
          <w:tcPr>
            <w:tcW w:w="2551" w:type="dxa"/>
            <w:vAlign w:val="center"/>
          </w:tcPr>
          <w:p>
            <w:pPr>
              <w:adjustRightInd w:val="0"/>
              <w:snapToGrid w:val="0"/>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i/>
                <w:iCs/>
                <w:sz w:val="24"/>
              </w:rPr>
            </w:pPr>
          </w:p>
        </w:tc>
        <w:tc>
          <w:tcPr>
            <w:tcW w:w="2551" w:type="dxa"/>
            <w:vAlign w:val="center"/>
          </w:tcPr>
          <w:p>
            <w:pPr>
              <w:adjustRightInd w:val="0"/>
              <w:snapToGrid w:val="0"/>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i/>
                <w:iCs/>
                <w:sz w:val="24"/>
              </w:rPr>
            </w:pPr>
          </w:p>
        </w:tc>
        <w:tc>
          <w:tcPr>
            <w:tcW w:w="2551" w:type="dxa"/>
            <w:vAlign w:val="center"/>
          </w:tcPr>
          <w:p>
            <w:pPr>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 w:val="24"/>
              </w:rPr>
            </w:pPr>
          </w:p>
        </w:tc>
        <w:tc>
          <w:tcPr>
            <w:tcW w:w="2551" w:type="dxa"/>
          </w:tcPr>
          <w:p>
            <w:pPr>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 w:val="24"/>
              </w:rPr>
            </w:pPr>
          </w:p>
        </w:tc>
        <w:tc>
          <w:tcPr>
            <w:tcW w:w="2551" w:type="dxa"/>
          </w:tcPr>
          <w:p>
            <w:pPr>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 w:val="24"/>
              </w:rPr>
            </w:pPr>
          </w:p>
        </w:tc>
        <w:tc>
          <w:tcPr>
            <w:tcW w:w="2551" w:type="dxa"/>
          </w:tcPr>
          <w:p>
            <w:pPr>
              <w:adjustRightInd w:val="0"/>
              <w:snapToGrid w:val="0"/>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 w:val="24"/>
              </w:rPr>
            </w:pPr>
          </w:p>
        </w:tc>
        <w:tc>
          <w:tcPr>
            <w:tcW w:w="2551" w:type="dxa"/>
          </w:tcPr>
          <w:p>
            <w:pPr>
              <w:adjustRightInd w:val="0"/>
              <w:snapToGrid w:val="0"/>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 w:val="24"/>
              </w:rPr>
            </w:pPr>
          </w:p>
        </w:tc>
        <w:tc>
          <w:tcPr>
            <w:tcW w:w="2551" w:type="dxa"/>
          </w:tcPr>
          <w:p>
            <w:pPr>
              <w:adjustRightInd w:val="0"/>
              <w:snapToGrid w:val="0"/>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 w:val="24"/>
              </w:rPr>
            </w:pPr>
          </w:p>
        </w:tc>
        <w:tc>
          <w:tcPr>
            <w:tcW w:w="2551" w:type="dxa"/>
          </w:tcPr>
          <w:p>
            <w:pPr>
              <w:adjustRightInd w:val="0"/>
              <w:snapToGrid w:val="0"/>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 w:val="24"/>
              </w:rPr>
            </w:pPr>
          </w:p>
        </w:tc>
        <w:tc>
          <w:tcPr>
            <w:tcW w:w="2551" w:type="dxa"/>
          </w:tcPr>
          <w:p>
            <w:pPr>
              <w:adjustRightInd w:val="0"/>
              <w:snapToGrid w:val="0"/>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 w:val="24"/>
              </w:rPr>
            </w:pPr>
          </w:p>
        </w:tc>
        <w:tc>
          <w:tcPr>
            <w:tcW w:w="2551" w:type="dxa"/>
          </w:tcPr>
          <w:p>
            <w:pPr>
              <w:spacing w:line="460" w:lineRule="exact"/>
              <w:rPr>
                <w:rFonts w:ascii="宋体" w:hAnsi="宋体" w:cs="宋体"/>
                <w:i/>
                <w:i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sz w:val="24"/>
              </w:rPr>
            </w:pPr>
          </w:p>
        </w:tc>
        <w:tc>
          <w:tcPr>
            <w:tcW w:w="2551" w:type="dxa"/>
          </w:tcPr>
          <w:p>
            <w:pPr>
              <w:spacing w:line="460" w:lineRule="exact"/>
              <w:rPr>
                <w:rFonts w:ascii="宋体" w:hAnsi="宋体" w:cs="宋体"/>
                <w:b/>
                <w:b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sz w:val="24"/>
              </w:rPr>
            </w:pPr>
          </w:p>
        </w:tc>
        <w:tc>
          <w:tcPr>
            <w:tcW w:w="2551" w:type="dxa"/>
            <w:vAlign w:val="center"/>
          </w:tcPr>
          <w:p>
            <w:pPr>
              <w:spacing w:line="460" w:lineRule="exact"/>
              <w:rPr>
                <w:rFonts w:ascii="宋体" w:hAnsi="宋体" w:cs="宋体"/>
                <w:b/>
                <w:bCs/>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sz w:val="24"/>
              </w:rPr>
            </w:pPr>
          </w:p>
        </w:tc>
        <w:tc>
          <w:tcPr>
            <w:tcW w:w="2551" w:type="dxa"/>
            <w:vAlign w:val="center"/>
          </w:tcPr>
          <w:p>
            <w:pPr>
              <w:spacing w:line="460" w:lineRule="exact"/>
              <w:jc w:val="center"/>
              <w:rPr>
                <w:rFonts w:ascii="宋体" w:hAnsi="宋体" w:cs="宋体"/>
                <w:sz w:val="24"/>
              </w:rPr>
            </w:pPr>
          </w:p>
        </w:tc>
        <w:tc>
          <w:tcPr>
            <w:tcW w:w="1659" w:type="dxa"/>
            <w:vAlign w:val="center"/>
          </w:tcPr>
          <w:p>
            <w:pPr>
              <w:spacing w:line="460" w:lineRule="exact"/>
              <w:jc w:val="center"/>
              <w:rPr>
                <w:rFonts w:ascii="宋体" w:hAnsi="宋体" w:cs="宋体"/>
                <w:sz w:val="24"/>
              </w:rPr>
            </w:pPr>
          </w:p>
        </w:tc>
        <w:tc>
          <w:tcPr>
            <w:tcW w:w="1132" w:type="dxa"/>
            <w:vAlign w:val="center"/>
          </w:tcPr>
          <w:p>
            <w:pPr>
              <w:spacing w:line="460" w:lineRule="exact"/>
              <w:jc w:val="center"/>
              <w:rPr>
                <w:rFonts w:ascii="宋体" w:hAnsi="宋体" w:cs="宋体"/>
                <w:sz w:val="24"/>
              </w:rPr>
            </w:pPr>
          </w:p>
        </w:tc>
        <w:tc>
          <w:tcPr>
            <w:tcW w:w="1746" w:type="dxa"/>
            <w:vAlign w:val="center"/>
          </w:tcPr>
          <w:p>
            <w:pPr>
              <w:spacing w:line="460" w:lineRule="exact"/>
              <w:jc w:val="center"/>
              <w:rPr>
                <w:rFonts w:ascii="宋体" w:hAnsi="宋体" w:cs="宋体"/>
                <w:sz w:val="24"/>
              </w:rPr>
            </w:pPr>
          </w:p>
        </w:tc>
        <w:tc>
          <w:tcPr>
            <w:tcW w:w="1127" w:type="dxa"/>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pPr>
              <w:spacing w:line="460" w:lineRule="exact"/>
              <w:jc w:val="center"/>
              <w:rPr>
                <w:rFonts w:ascii="宋体" w:hAnsi="宋体" w:cs="宋体"/>
                <w:sz w:val="24"/>
              </w:rPr>
            </w:pPr>
            <w:r>
              <w:rPr>
                <w:rFonts w:hint="eastAsia" w:ascii="宋体" w:hAnsi="宋体" w:cs="宋体"/>
                <w:sz w:val="24"/>
              </w:rPr>
              <w:t>投标总价（小写）</w:t>
            </w:r>
          </w:p>
        </w:tc>
        <w:tc>
          <w:tcPr>
            <w:tcW w:w="5664" w:type="dxa"/>
            <w:gridSpan w:val="4"/>
            <w:vAlign w:val="center"/>
          </w:tcPr>
          <w:p>
            <w:pPr>
              <w:spacing w:line="460" w:lineRule="exact"/>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pPr>
              <w:spacing w:line="460" w:lineRule="exact"/>
              <w:jc w:val="center"/>
              <w:rPr>
                <w:rFonts w:ascii="宋体" w:hAnsi="宋体" w:cs="宋体"/>
                <w:sz w:val="24"/>
              </w:rPr>
            </w:pPr>
            <w:r>
              <w:rPr>
                <w:rFonts w:hint="eastAsia" w:ascii="宋体" w:hAnsi="宋体" w:cs="宋体"/>
                <w:sz w:val="24"/>
              </w:rPr>
              <w:t>投标总价（大写）</w:t>
            </w:r>
          </w:p>
        </w:tc>
        <w:tc>
          <w:tcPr>
            <w:tcW w:w="5664" w:type="dxa"/>
            <w:gridSpan w:val="4"/>
            <w:vAlign w:val="center"/>
          </w:tcPr>
          <w:p>
            <w:pPr>
              <w:spacing w:line="460" w:lineRule="exact"/>
              <w:jc w:val="center"/>
              <w:rPr>
                <w:rFonts w:ascii="宋体" w:hAnsi="宋体" w:cs="宋体"/>
                <w:sz w:val="24"/>
              </w:rPr>
            </w:pPr>
          </w:p>
        </w:tc>
      </w:tr>
    </w:tbl>
    <w:p>
      <w:pPr>
        <w:spacing w:line="360" w:lineRule="auto"/>
        <w:rPr>
          <w:rFonts w:ascii="宋体" w:hAnsi="宋体" w:cs="宋体"/>
        </w:rPr>
      </w:pPr>
    </w:p>
    <w:p>
      <w:pPr>
        <w:spacing w:line="360" w:lineRule="auto"/>
        <w:rPr>
          <w:rFonts w:ascii="宋体" w:hAnsi="宋体" w:cs="宋体"/>
        </w:rPr>
      </w:pPr>
      <w:r>
        <w:rPr>
          <w:rFonts w:hint="eastAsia" w:ascii="宋体" w:hAnsi="宋体" w:cs="宋体"/>
        </w:rPr>
        <w:t>注：1.投标人根据实际情况可在表中报价明细的基础上进行扩展。</w:t>
      </w:r>
    </w:p>
    <w:p>
      <w:pPr>
        <w:spacing w:line="360" w:lineRule="auto"/>
        <w:ind w:firstLine="420" w:firstLineChars="200"/>
        <w:rPr>
          <w:rFonts w:ascii="宋体" w:hAnsi="宋体" w:cs="宋体"/>
        </w:rPr>
      </w:pPr>
      <w:r>
        <w:rPr>
          <w:rFonts w:hint="eastAsia" w:ascii="宋体" w:hAnsi="宋体" w:cs="宋体"/>
        </w:rPr>
        <w:t>2.上表所述“</w:t>
      </w:r>
      <w:r>
        <w:rPr>
          <w:rFonts w:hint="eastAsia" w:ascii="宋体" w:hAnsi="宋体" w:cs="宋体"/>
          <w:szCs w:val="21"/>
        </w:rPr>
        <w:t>总报价</w:t>
      </w:r>
      <w:r>
        <w:rPr>
          <w:rFonts w:hint="eastAsia" w:ascii="宋体" w:hAnsi="宋体" w:cs="宋体"/>
        </w:rPr>
        <w:t>”应与“开标一览表”中的总报价一致，如有矛盾，以“开标一览表”中的为准。</w:t>
      </w:r>
    </w:p>
    <w:p>
      <w:pPr>
        <w:adjustRightInd w:val="0"/>
        <w:spacing w:line="360" w:lineRule="auto"/>
        <w:ind w:firstLine="4515" w:firstLineChars="2150"/>
        <w:rPr>
          <w:rFonts w:ascii="宋体" w:hAnsi="宋体" w:cs="宋体"/>
          <w:szCs w:val="21"/>
        </w:rPr>
      </w:pPr>
      <w:r>
        <w:rPr>
          <w:rFonts w:hint="eastAsia" w:ascii="宋体" w:hAnsi="宋体" w:cs="宋体"/>
          <w:szCs w:val="21"/>
        </w:rPr>
        <w:t>投标人(电子签章)</w:t>
      </w:r>
    </w:p>
    <w:p>
      <w:pPr>
        <w:pStyle w:val="24"/>
        <w:spacing w:line="420" w:lineRule="exact"/>
        <w:ind w:firstLine="5375" w:firstLineChars="2150"/>
        <w:rPr>
          <w:rFonts w:ascii="宋体" w:hAnsi="宋体" w:eastAsia="宋体" w:cs="宋体"/>
        </w:rPr>
      </w:pPr>
      <w:r>
        <w:rPr>
          <w:rFonts w:hint="eastAsia" w:ascii="宋体" w:hAnsi="宋体" w:cs="宋体"/>
          <w:spacing w:val="20"/>
        </w:rPr>
        <w:t xml:space="preserve">日期：  </w:t>
      </w:r>
      <w:r>
        <w:rPr>
          <w:rFonts w:hint="eastAsia" w:ascii="宋体" w:hAnsi="宋体" w:cs="宋体"/>
        </w:rPr>
        <w:t>年  月  日</w:t>
      </w:r>
    </w:p>
    <w:p>
      <w:pPr>
        <w:snapToGrid w:val="0"/>
        <w:spacing w:line="360" w:lineRule="auto"/>
        <w:rPr>
          <w:rFonts w:ascii="宋体" w:hAnsi="宋体" w:cs="宋体"/>
          <w:b/>
          <w:szCs w:val="21"/>
        </w:rPr>
      </w:pPr>
      <w:r>
        <w:rPr>
          <w:rFonts w:hint="eastAsia" w:ascii="宋体" w:hAnsi="宋体" w:cs="宋体"/>
        </w:rPr>
        <w:br w:type="page"/>
      </w:r>
      <w:r>
        <w:rPr>
          <w:rFonts w:hint="eastAsia" w:ascii="宋体" w:hAnsi="宋体" w:cs="宋体"/>
          <w:b/>
          <w:szCs w:val="21"/>
        </w:rPr>
        <w:t>4.4中小企业声明函</w:t>
      </w:r>
    </w:p>
    <w:p>
      <w:pPr>
        <w:pStyle w:val="2"/>
        <w:spacing w:line="600" w:lineRule="exact"/>
        <w:ind w:firstLine="0"/>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中小企业声明函</w:t>
      </w:r>
    </w:p>
    <w:p>
      <w:pPr>
        <w:pStyle w:val="39"/>
        <w:spacing w:before="0" w:beforeAutospacing="0" w:after="0" w:afterAutospacing="0" w:line="360" w:lineRule="auto"/>
        <w:jc w:val="center"/>
        <w:rPr>
          <w:rFonts w:ascii="宋体" w:hAnsi="宋体" w:cs="宋体"/>
        </w:rPr>
      </w:pPr>
    </w:p>
    <w:p>
      <w:pPr>
        <w:pStyle w:val="39"/>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本公司郑重声明，根据《政府采购促进中小企业发展暂行办法》（财库〔2011〕181号）的规定，本公司为______（请填写：中型、小型、微型）企业。即，本公司同时满足以下条件：</w:t>
      </w:r>
    </w:p>
    <w:p>
      <w:pPr>
        <w:pStyle w:val="39"/>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39"/>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39"/>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本公司对上述声明的真实性负责。如有虚假，将依法承担相应责任。</w:t>
      </w:r>
    </w:p>
    <w:p>
      <w:pPr>
        <w:pStyle w:val="39"/>
        <w:spacing w:before="0" w:beforeAutospacing="0" w:after="0" w:afterAutospacing="0" w:line="360" w:lineRule="auto"/>
        <w:ind w:firstLine="420" w:firstLineChars="200"/>
        <w:jc w:val="both"/>
        <w:rPr>
          <w:rFonts w:ascii="宋体" w:hAnsi="宋体" w:cs="宋体"/>
          <w:sz w:val="21"/>
          <w:szCs w:val="21"/>
        </w:rPr>
      </w:pPr>
    </w:p>
    <w:p>
      <w:pPr>
        <w:pStyle w:val="39"/>
        <w:spacing w:before="0" w:beforeAutospacing="0" w:after="0" w:afterAutospacing="0" w:line="360" w:lineRule="auto"/>
        <w:ind w:firstLine="420" w:firstLineChars="200"/>
        <w:jc w:val="both"/>
        <w:rPr>
          <w:rFonts w:ascii="宋体" w:hAnsi="宋体" w:cs="宋体"/>
          <w:sz w:val="21"/>
          <w:szCs w:val="21"/>
        </w:rPr>
      </w:pPr>
    </w:p>
    <w:p>
      <w:pPr>
        <w:pStyle w:val="39"/>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企业名称（电子签章）：</w:t>
      </w:r>
    </w:p>
    <w:p>
      <w:pPr>
        <w:snapToGrid w:val="0"/>
        <w:spacing w:line="360" w:lineRule="auto"/>
        <w:ind w:firstLine="500" w:firstLineChars="200"/>
        <w:rPr>
          <w:rFonts w:ascii="宋体" w:hAnsi="宋体" w:cs="宋体"/>
          <w:b/>
          <w:bCs/>
          <w:snapToGrid w:val="0"/>
          <w:kern w:val="0"/>
          <w:szCs w:val="21"/>
        </w:rPr>
      </w:pPr>
      <w:r>
        <w:rPr>
          <w:rFonts w:hint="eastAsia" w:ascii="宋体" w:hAnsi="宋体" w:cs="宋体"/>
          <w:spacing w:val="20"/>
        </w:rPr>
        <w:t xml:space="preserve">日期：  </w:t>
      </w:r>
      <w:r>
        <w:rPr>
          <w:rFonts w:hint="eastAsia" w:ascii="宋体" w:hAnsi="宋体" w:cs="宋体"/>
        </w:rPr>
        <w:t>年  月  日</w:t>
      </w:r>
    </w:p>
    <w:p>
      <w:pPr>
        <w:snapToGrid w:val="0"/>
        <w:spacing w:line="360" w:lineRule="auto"/>
        <w:rPr>
          <w:rFonts w:ascii="宋体" w:hAnsi="宋体" w:cs="宋体"/>
          <w:b/>
          <w:sz w:val="24"/>
        </w:rPr>
      </w:pPr>
    </w:p>
    <w:p>
      <w:pPr>
        <w:snapToGrid w:val="0"/>
        <w:spacing w:line="360" w:lineRule="auto"/>
        <w:rPr>
          <w:rFonts w:ascii="宋体" w:hAnsi="宋体" w:cs="宋体"/>
          <w:b/>
          <w:sz w:val="24"/>
        </w:rPr>
      </w:pPr>
    </w:p>
    <w:p>
      <w:pPr>
        <w:snapToGrid w:val="0"/>
        <w:spacing w:line="360" w:lineRule="auto"/>
        <w:rPr>
          <w:rFonts w:ascii="宋体" w:hAnsi="宋体" w:cs="宋体"/>
          <w:b/>
          <w:sz w:val="24"/>
        </w:rPr>
      </w:pPr>
    </w:p>
    <w:p>
      <w:pPr>
        <w:snapToGrid w:val="0"/>
        <w:spacing w:line="360" w:lineRule="auto"/>
        <w:rPr>
          <w:rFonts w:ascii="宋体" w:hAnsi="宋体" w:cs="宋体"/>
          <w:b/>
          <w:sz w:val="24"/>
        </w:rPr>
      </w:pPr>
    </w:p>
    <w:p>
      <w:pPr>
        <w:snapToGrid w:val="0"/>
        <w:spacing w:line="360" w:lineRule="auto"/>
        <w:rPr>
          <w:rFonts w:ascii="宋体" w:hAnsi="宋体" w:cs="宋体"/>
          <w:b/>
          <w:sz w:val="24"/>
        </w:rPr>
      </w:pPr>
    </w:p>
    <w:p>
      <w:pPr>
        <w:snapToGrid w:val="0"/>
        <w:spacing w:line="360" w:lineRule="auto"/>
        <w:rPr>
          <w:rFonts w:ascii="宋体" w:hAnsi="宋体" w:cs="宋体"/>
          <w:b/>
          <w:sz w:val="24"/>
        </w:rPr>
      </w:pPr>
    </w:p>
    <w:p>
      <w:pPr>
        <w:snapToGrid w:val="0"/>
        <w:spacing w:line="360" w:lineRule="auto"/>
        <w:rPr>
          <w:rFonts w:ascii="宋体" w:hAnsi="宋体" w:cs="宋体"/>
          <w:b/>
          <w:sz w:val="24"/>
        </w:rPr>
      </w:pPr>
      <w:r>
        <w:rPr>
          <w:rFonts w:hint="eastAsia" w:ascii="宋体" w:hAnsi="宋体" w:cs="宋体"/>
          <w:b/>
          <w:sz w:val="24"/>
        </w:rPr>
        <w:t>特别说明：</w:t>
      </w:r>
    </w:p>
    <w:p>
      <w:pPr>
        <w:snapToGrid w:val="0"/>
        <w:spacing w:line="360" w:lineRule="auto"/>
        <w:ind w:firstLine="482" w:firstLineChars="200"/>
        <w:rPr>
          <w:rFonts w:ascii="宋体" w:hAnsi="宋体" w:cs="宋体"/>
          <w:b/>
          <w:sz w:val="24"/>
        </w:rPr>
      </w:pPr>
      <w:r>
        <w:rPr>
          <w:rFonts w:hint="eastAsia" w:ascii="宋体" w:hAnsi="宋体" w:cs="宋体"/>
          <w:b/>
          <w:sz w:val="24"/>
        </w:rPr>
        <w:t>投标人在填写上述声明函前，须先自查本企业及投标产品制造商是否满足小微企业认定标准，可通过“国家企业信用信息公示系统——小微企业名录”页面查询，未按要求出具声明函的，投标报价不予扣减。未如实填写的，将依法承担相应责任。</w:t>
      </w:r>
    </w:p>
    <w:p>
      <w:pPr>
        <w:snapToGrid w:val="0"/>
        <w:spacing w:line="360" w:lineRule="auto"/>
        <w:rPr>
          <w:rFonts w:ascii="宋体" w:hAnsi="宋体" w:cs="宋体"/>
          <w:b/>
          <w:szCs w:val="21"/>
        </w:rPr>
      </w:pPr>
      <w:r>
        <w:rPr>
          <w:rFonts w:hint="eastAsia" w:ascii="宋体" w:hAnsi="宋体" w:cs="宋体"/>
          <w:b/>
          <w:sz w:val="24"/>
        </w:rPr>
        <w:br w:type="page"/>
      </w:r>
      <w:r>
        <w:rPr>
          <w:rFonts w:hint="eastAsia" w:ascii="宋体" w:hAnsi="宋体" w:cs="宋体"/>
          <w:b/>
          <w:szCs w:val="21"/>
        </w:rPr>
        <w:t>4.5投标人为监狱企业的证明文件：省级以上监狱管理局、戒毒管理局（含新疆生产建设兵团）出具（如有）</w:t>
      </w:r>
    </w:p>
    <w:p>
      <w:pPr>
        <w:snapToGrid w:val="0"/>
        <w:spacing w:line="360" w:lineRule="auto"/>
        <w:rPr>
          <w:rFonts w:ascii="宋体" w:hAnsi="宋体" w:cs="宋体"/>
          <w:snapToGrid w:val="0"/>
          <w:kern w:val="0"/>
          <w:szCs w:val="21"/>
        </w:rPr>
      </w:pPr>
    </w:p>
    <w:p>
      <w:pPr>
        <w:snapToGrid w:val="0"/>
        <w:spacing w:line="360" w:lineRule="auto"/>
        <w:rPr>
          <w:rFonts w:ascii="宋体" w:hAnsi="宋体" w:cs="宋体"/>
          <w:snapToGrid w:val="0"/>
          <w:kern w:val="0"/>
          <w:szCs w:val="21"/>
        </w:rPr>
      </w:pPr>
    </w:p>
    <w:p>
      <w:pPr>
        <w:snapToGrid w:val="0"/>
        <w:spacing w:line="360" w:lineRule="auto"/>
        <w:rPr>
          <w:rFonts w:ascii="宋体" w:hAnsi="宋体" w:cs="宋体"/>
          <w:snapToGrid w:val="0"/>
          <w:kern w:val="0"/>
          <w:szCs w:val="21"/>
        </w:rPr>
      </w:pPr>
    </w:p>
    <w:p>
      <w:pPr>
        <w:snapToGrid w:val="0"/>
        <w:spacing w:line="360" w:lineRule="auto"/>
        <w:rPr>
          <w:rFonts w:ascii="宋体" w:hAnsi="宋体" w:cs="宋体"/>
          <w:snapToGrid w:val="0"/>
          <w:kern w:val="0"/>
          <w:szCs w:val="21"/>
        </w:rPr>
      </w:pPr>
    </w:p>
    <w:p>
      <w:pPr>
        <w:snapToGrid w:val="0"/>
        <w:spacing w:line="360" w:lineRule="auto"/>
        <w:rPr>
          <w:rFonts w:ascii="宋体" w:hAnsi="宋体" w:cs="宋体"/>
          <w:snapToGrid w:val="0"/>
          <w:kern w:val="0"/>
          <w:szCs w:val="21"/>
        </w:rPr>
      </w:pPr>
    </w:p>
    <w:p>
      <w:pPr>
        <w:snapToGrid w:val="0"/>
        <w:spacing w:line="360" w:lineRule="auto"/>
        <w:rPr>
          <w:rFonts w:ascii="宋体" w:hAnsi="宋体" w:cs="宋体"/>
          <w:snapToGrid w:val="0"/>
          <w:kern w:val="0"/>
          <w:szCs w:val="21"/>
        </w:rPr>
      </w:pPr>
    </w:p>
    <w:p>
      <w:pPr>
        <w:spacing w:line="588" w:lineRule="exact"/>
        <w:rPr>
          <w:rFonts w:ascii="宋体" w:hAnsi="宋体" w:cs="宋体"/>
          <w:b/>
          <w:szCs w:val="21"/>
        </w:rPr>
      </w:pPr>
      <w:r>
        <w:rPr>
          <w:rFonts w:hint="eastAsia" w:ascii="宋体" w:hAnsi="宋体" w:cs="宋体"/>
          <w:snapToGrid w:val="0"/>
          <w:kern w:val="0"/>
          <w:szCs w:val="21"/>
        </w:rPr>
        <w:br w:type="page"/>
      </w:r>
      <w:bookmarkStart w:id="89" w:name="OLE_LINK13"/>
      <w:bookmarkStart w:id="90" w:name="OLE_LINK14"/>
      <w:r>
        <w:rPr>
          <w:rFonts w:hint="eastAsia" w:ascii="宋体" w:hAnsi="宋体" w:cs="宋体"/>
          <w:b/>
          <w:szCs w:val="21"/>
        </w:rPr>
        <w:t>4.6残疾人福利性单位声明函（如有）</w:t>
      </w:r>
    </w:p>
    <w:p>
      <w:pPr>
        <w:pStyle w:val="2"/>
        <w:spacing w:line="600" w:lineRule="exact"/>
        <w:ind w:firstLine="0"/>
        <w:jc w:val="center"/>
        <w:rPr>
          <w:rFonts w:ascii="宋体" w:hAnsi="宋体" w:eastAsia="宋体" w:cs="宋体"/>
          <w:b/>
          <w:bCs/>
          <w:snapToGrid w:val="0"/>
          <w:kern w:val="0"/>
          <w:sz w:val="28"/>
          <w:szCs w:val="28"/>
        </w:rPr>
      </w:pPr>
    </w:p>
    <w:p>
      <w:pPr>
        <w:spacing w:line="360" w:lineRule="atLeast"/>
        <w:jc w:val="center"/>
        <w:rPr>
          <w:rFonts w:ascii="宋体" w:hAnsi="宋体" w:cs="宋体"/>
          <w:b/>
          <w:sz w:val="28"/>
          <w:szCs w:val="28"/>
        </w:rPr>
      </w:pPr>
      <w:r>
        <w:rPr>
          <w:rFonts w:hint="eastAsia" w:ascii="宋体" w:hAnsi="宋体" w:cs="宋体"/>
          <w:b/>
          <w:sz w:val="28"/>
          <w:szCs w:val="28"/>
        </w:rPr>
        <w:t>残疾人福利性单位声明函</w:t>
      </w:r>
    </w:p>
    <w:bookmarkEnd w:id="89"/>
    <w:bookmarkEnd w:id="90"/>
    <w:p>
      <w:pPr>
        <w:spacing w:line="588" w:lineRule="exact"/>
        <w:rPr>
          <w:rFonts w:ascii="宋体" w:hAnsi="宋体" w:cs="宋体"/>
          <w:b/>
          <w:spacing w:val="6"/>
          <w:sz w:val="30"/>
          <w:szCs w:val="30"/>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单位名称（电子签章）：</w:t>
      </w:r>
    </w:p>
    <w:p>
      <w:pPr>
        <w:tabs>
          <w:tab w:val="left" w:pos="4860"/>
        </w:tabs>
        <w:spacing w:line="588" w:lineRule="exact"/>
        <w:ind w:right="1560" w:firstLine="500" w:firstLineChars="200"/>
        <w:jc w:val="center"/>
        <w:rPr>
          <w:rFonts w:ascii="宋体" w:hAnsi="宋体" w:cs="宋体"/>
          <w:spacing w:val="6"/>
          <w:szCs w:val="21"/>
        </w:rPr>
      </w:pPr>
      <w:r>
        <w:rPr>
          <w:rFonts w:hint="eastAsia" w:ascii="宋体" w:hAnsi="宋体" w:cs="宋体"/>
          <w:spacing w:val="20"/>
        </w:rPr>
        <w:t xml:space="preserve">日期：  </w:t>
      </w:r>
      <w:r>
        <w:rPr>
          <w:rFonts w:hint="eastAsia" w:ascii="宋体" w:hAnsi="宋体" w:cs="宋体"/>
        </w:rPr>
        <w:t>年  月  日</w:t>
      </w:r>
    </w:p>
    <w:p>
      <w:pPr>
        <w:tabs>
          <w:tab w:val="left" w:pos="4860"/>
        </w:tabs>
        <w:spacing w:line="588" w:lineRule="exact"/>
        <w:ind w:right="1560" w:firstLine="444" w:firstLineChars="200"/>
        <w:jc w:val="center"/>
        <w:rPr>
          <w:rFonts w:ascii="宋体" w:hAnsi="宋体" w:cs="宋体"/>
          <w:spacing w:val="6"/>
          <w:szCs w:val="21"/>
        </w:rPr>
        <w:sectPr>
          <w:pgSz w:w="11906" w:h="16838"/>
          <w:pgMar w:top="1247" w:right="1588" w:bottom="1089" w:left="1588" w:header="851" w:footer="992" w:gutter="0"/>
          <w:cols w:space="720" w:num="1"/>
          <w:docGrid w:linePitch="312" w:charSpace="0"/>
        </w:sectPr>
      </w:pPr>
    </w:p>
    <w:p>
      <w:pPr>
        <w:adjustRightInd w:val="0"/>
        <w:snapToGrid w:val="0"/>
        <w:spacing w:beforeLines="50" w:afterLines="50" w:line="360" w:lineRule="auto"/>
        <w:jc w:val="center"/>
        <w:outlineLvl w:val="0"/>
        <w:rPr>
          <w:rFonts w:ascii="宋体" w:hAnsi="宋体" w:cs="宋体"/>
          <w:b/>
          <w:sz w:val="30"/>
          <w:szCs w:val="30"/>
        </w:rPr>
      </w:pPr>
      <w:bookmarkStart w:id="91" w:name="_Toc2681"/>
      <w:bookmarkStart w:id="92" w:name="_Toc29263"/>
      <w:r>
        <w:rPr>
          <w:rFonts w:hint="eastAsia" w:ascii="宋体" w:hAnsi="宋体" w:cs="宋体"/>
          <w:b/>
          <w:sz w:val="30"/>
          <w:szCs w:val="30"/>
        </w:rPr>
        <w:t>第七部分   其它</w:t>
      </w:r>
      <w:bookmarkEnd w:id="91"/>
      <w:bookmarkEnd w:id="92"/>
    </w:p>
    <w:p>
      <w:pPr>
        <w:spacing w:line="360" w:lineRule="auto"/>
        <w:jc w:val="center"/>
        <w:rPr>
          <w:rFonts w:ascii="宋体" w:hAnsi="宋体"/>
          <w:b/>
          <w:sz w:val="28"/>
          <w:szCs w:val="28"/>
        </w:rPr>
      </w:pPr>
      <w:r>
        <w:rPr>
          <w:rFonts w:hint="eastAsia" w:ascii="宋体" w:hAnsi="宋体"/>
          <w:b/>
          <w:sz w:val="28"/>
          <w:szCs w:val="28"/>
        </w:rPr>
        <w:t>政府采购支持中小企业信用融资相关事项通知</w:t>
      </w:r>
    </w:p>
    <w:p>
      <w:pPr>
        <w:spacing w:line="360" w:lineRule="auto"/>
        <w:ind w:firstLine="420" w:firstLineChars="200"/>
        <w:rPr>
          <w:rFonts w:ascii="宋体" w:hAnsi="宋体"/>
          <w:szCs w:val="21"/>
        </w:rPr>
      </w:pPr>
      <w:r>
        <w:rPr>
          <w:rFonts w:hint="eastAsia" w:ascii="宋体" w:hAnsi="宋体"/>
          <w:szCs w:val="21"/>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22" w:firstLineChars="200"/>
        <w:rPr>
          <w:rFonts w:ascii="宋体" w:hAnsi="宋体"/>
          <w:b/>
          <w:szCs w:val="21"/>
        </w:rPr>
      </w:pPr>
      <w:r>
        <w:rPr>
          <w:rFonts w:hint="eastAsia" w:ascii="宋体" w:hAnsi="宋体"/>
          <w:b/>
          <w:szCs w:val="21"/>
        </w:rPr>
        <w:t>一、适用对象</w:t>
      </w:r>
    </w:p>
    <w:p>
      <w:pPr>
        <w:spacing w:line="360" w:lineRule="auto"/>
        <w:ind w:firstLine="420" w:firstLineChars="200"/>
        <w:rPr>
          <w:rFonts w:ascii="宋体" w:hAnsi="宋体"/>
          <w:szCs w:val="21"/>
        </w:rPr>
      </w:pPr>
      <w:r>
        <w:rPr>
          <w:rFonts w:hint="eastAsia" w:ascii="宋体" w:hAnsi="宋体"/>
          <w:szCs w:val="21"/>
        </w:rPr>
        <w:t>在浙江政府采购网注册入库，并取得杭州市政府采购合同的杭州市内中小企业供应商。</w:t>
      </w:r>
    </w:p>
    <w:p>
      <w:pPr>
        <w:spacing w:line="360" w:lineRule="auto"/>
        <w:ind w:firstLine="422" w:firstLineChars="200"/>
        <w:rPr>
          <w:rFonts w:ascii="宋体" w:hAnsi="宋体"/>
          <w:b/>
          <w:szCs w:val="21"/>
        </w:rPr>
      </w:pPr>
      <w:r>
        <w:rPr>
          <w:rFonts w:hint="eastAsia" w:ascii="宋体" w:hAnsi="宋体"/>
          <w:b/>
          <w:szCs w:val="21"/>
        </w:rPr>
        <w:t>二、相关信息获取方式</w:t>
      </w:r>
    </w:p>
    <w:p>
      <w:pPr>
        <w:spacing w:line="360" w:lineRule="auto"/>
        <w:ind w:firstLine="420" w:firstLineChars="200"/>
        <w:rPr>
          <w:rFonts w:ascii="宋体" w:hAnsi="宋体"/>
          <w:szCs w:val="21"/>
        </w:rPr>
      </w:pPr>
      <w:r>
        <w:rPr>
          <w:rFonts w:hint="eastAsia" w:ascii="宋体" w:hAnsi="宋体"/>
          <w:szCs w:val="21"/>
        </w:rPr>
        <w:t>请登陆杭州市政府采购网“中小企业信用融资”模块，查看信用融资政策文件及各相关银行服务方案。</w:t>
      </w:r>
    </w:p>
    <w:p>
      <w:pPr>
        <w:spacing w:line="360" w:lineRule="auto"/>
        <w:ind w:firstLine="422" w:firstLineChars="200"/>
        <w:rPr>
          <w:rFonts w:ascii="宋体" w:hAnsi="宋体"/>
          <w:b/>
          <w:szCs w:val="21"/>
        </w:rPr>
      </w:pPr>
      <w:r>
        <w:rPr>
          <w:rFonts w:hint="eastAsia" w:ascii="宋体" w:hAnsi="宋体"/>
          <w:b/>
          <w:szCs w:val="21"/>
        </w:rPr>
        <w:t>三、申请方式和步骤</w:t>
      </w:r>
    </w:p>
    <w:p>
      <w:pPr>
        <w:spacing w:line="360" w:lineRule="auto"/>
        <w:ind w:firstLine="422" w:firstLineChars="200"/>
        <w:rPr>
          <w:rFonts w:ascii="宋体" w:hAnsi="宋体"/>
          <w:b/>
          <w:bCs/>
          <w:szCs w:val="21"/>
        </w:rPr>
      </w:pPr>
      <w:r>
        <w:rPr>
          <w:rFonts w:hint="eastAsia" w:ascii="宋体" w:hAnsi="宋体"/>
          <w:b/>
          <w:bCs/>
          <w:szCs w:val="21"/>
        </w:rPr>
        <w:t>（一）“云采贷”融资</w:t>
      </w:r>
    </w:p>
    <w:p>
      <w:pPr>
        <w:spacing w:line="360" w:lineRule="auto"/>
        <w:ind w:firstLine="420" w:firstLineChars="200"/>
        <w:rPr>
          <w:rFonts w:ascii="宋体" w:hAnsi="宋体"/>
          <w:szCs w:val="21"/>
        </w:rPr>
      </w:pPr>
      <w:r>
        <w:rPr>
          <w:rFonts w:hint="eastAsia" w:ascii="宋体" w:hAnsi="宋体"/>
          <w:szCs w:val="21"/>
        </w:rPr>
        <w:t>1、供应商先与银行对接，办理融资前期手续；</w:t>
      </w:r>
    </w:p>
    <w:p>
      <w:pPr>
        <w:spacing w:line="360" w:lineRule="auto"/>
        <w:ind w:firstLine="420" w:firstLineChars="200"/>
        <w:rPr>
          <w:rFonts w:ascii="宋体" w:hAnsi="宋体"/>
          <w:szCs w:val="21"/>
        </w:rPr>
      </w:pPr>
      <w:r>
        <w:rPr>
          <w:rFonts w:hint="eastAsia" w:ascii="宋体" w:hAnsi="宋体"/>
          <w:szCs w:val="21"/>
        </w:rPr>
        <w:t>2、供应商中标后，登陆“中小企业信用融资”模块测算授信额度，并向银行发出融资申请；</w:t>
      </w:r>
    </w:p>
    <w:p>
      <w:pPr>
        <w:spacing w:line="360" w:lineRule="auto"/>
        <w:ind w:firstLine="420" w:firstLineChars="200"/>
        <w:rPr>
          <w:rFonts w:ascii="宋体" w:hAnsi="宋体"/>
          <w:szCs w:val="21"/>
        </w:rPr>
      </w:pPr>
      <w:r>
        <w:rPr>
          <w:rFonts w:hint="eastAsia" w:ascii="宋体" w:hAnsi="宋体"/>
          <w:szCs w:val="21"/>
        </w:rPr>
        <w:t>3、银行线上审批通过后，办理放贷手续。</w:t>
      </w:r>
    </w:p>
    <w:p>
      <w:pPr>
        <w:spacing w:line="360" w:lineRule="auto"/>
        <w:ind w:firstLine="422" w:firstLineChars="200"/>
        <w:rPr>
          <w:rFonts w:ascii="宋体" w:hAnsi="宋体"/>
          <w:b/>
          <w:bCs/>
          <w:szCs w:val="21"/>
        </w:rPr>
      </w:pPr>
      <w:r>
        <w:rPr>
          <w:rFonts w:hint="eastAsia" w:ascii="宋体" w:hAnsi="宋体"/>
          <w:b/>
          <w:bCs/>
          <w:szCs w:val="21"/>
        </w:rPr>
        <w:t>（二）一般融资</w:t>
      </w:r>
    </w:p>
    <w:p>
      <w:pPr>
        <w:spacing w:line="360" w:lineRule="auto"/>
        <w:ind w:firstLine="420" w:firstLineChars="200"/>
        <w:rPr>
          <w:rFonts w:ascii="宋体" w:hAnsi="宋体"/>
          <w:szCs w:val="21"/>
        </w:rPr>
      </w:pPr>
      <w:r>
        <w:rPr>
          <w:rFonts w:hint="eastAsia" w:ascii="宋体" w:hAnsi="宋体"/>
          <w:szCs w:val="21"/>
        </w:rPr>
        <w:t>1、供应商先与银行对接，办理融资前期手续；</w:t>
      </w:r>
    </w:p>
    <w:p>
      <w:pPr>
        <w:spacing w:line="360" w:lineRule="auto"/>
        <w:ind w:firstLine="420" w:firstLineChars="200"/>
        <w:rPr>
          <w:rFonts w:ascii="宋体" w:hAnsi="宋体"/>
          <w:szCs w:val="21"/>
        </w:rPr>
      </w:pPr>
      <w:r>
        <w:rPr>
          <w:rFonts w:hint="eastAsia" w:ascii="宋体" w:hAnsi="宋体"/>
          <w:szCs w:val="21"/>
        </w:rPr>
        <w:t>2、供应商中标后，登陆杭州市政府采购网“中小企业信用融资”模块，向相关合作银行发出融资申请；</w:t>
      </w:r>
    </w:p>
    <w:p>
      <w:pPr>
        <w:spacing w:line="360" w:lineRule="auto"/>
        <w:ind w:firstLine="420" w:firstLineChars="200"/>
        <w:rPr>
          <w:rFonts w:ascii="宋体" w:hAnsi="宋体"/>
          <w:szCs w:val="21"/>
        </w:rPr>
      </w:pPr>
      <w:r>
        <w:rPr>
          <w:rFonts w:hint="eastAsia" w:ascii="宋体" w:hAnsi="宋体"/>
          <w:szCs w:val="21"/>
        </w:rPr>
        <w:t>3、银行在“中小企业信用融资”模块受理申请；</w:t>
      </w:r>
    </w:p>
    <w:p>
      <w:pPr>
        <w:spacing w:line="360" w:lineRule="auto"/>
        <w:ind w:firstLine="420" w:firstLineChars="200"/>
        <w:rPr>
          <w:rFonts w:ascii="宋体" w:hAnsi="宋体"/>
          <w:szCs w:val="21"/>
        </w:rPr>
      </w:pPr>
      <w:r>
        <w:rPr>
          <w:rFonts w:hint="eastAsia" w:ascii="宋体" w:hAnsi="宋体"/>
          <w:szCs w:val="21"/>
        </w:rPr>
        <w:t>4、银行、供应商线下办理审批、放贷事宜。</w:t>
      </w:r>
    </w:p>
    <w:p>
      <w:pPr>
        <w:spacing w:line="360" w:lineRule="auto"/>
        <w:ind w:firstLine="422" w:firstLineChars="200"/>
        <w:rPr>
          <w:rFonts w:ascii="宋体" w:hAnsi="宋体"/>
          <w:b/>
          <w:szCs w:val="21"/>
        </w:rPr>
      </w:pPr>
      <w:r>
        <w:rPr>
          <w:rFonts w:hint="eastAsia" w:ascii="宋体" w:hAnsi="宋体"/>
          <w:b/>
          <w:szCs w:val="21"/>
        </w:rPr>
        <w:t>四、注意事项</w:t>
      </w:r>
    </w:p>
    <w:p>
      <w:pPr>
        <w:spacing w:line="360" w:lineRule="auto"/>
        <w:ind w:firstLine="420" w:firstLineChars="200"/>
        <w:rPr>
          <w:rFonts w:ascii="宋体" w:hAnsi="宋体"/>
          <w:szCs w:val="21"/>
        </w:rPr>
      </w:pPr>
      <w:r>
        <w:rPr>
          <w:rFonts w:hint="eastAsia" w:ascii="宋体" w:hAnsi="宋体"/>
          <w:szCs w:val="21"/>
        </w:rPr>
        <w:t>1、供应商需确保政府采购合同的收款银行与融资银行一致。</w:t>
      </w:r>
    </w:p>
    <w:p>
      <w:pPr>
        <w:spacing w:line="360" w:lineRule="auto"/>
        <w:ind w:firstLine="420" w:firstLineChars="200"/>
        <w:rPr>
          <w:rFonts w:ascii="宋体" w:hAnsi="宋体"/>
          <w:szCs w:val="21"/>
        </w:rPr>
      </w:pPr>
      <w:r>
        <w:rPr>
          <w:rFonts w:hint="eastAsia" w:ascii="宋体" w:hAnsi="宋体"/>
          <w:szCs w:val="21"/>
        </w:rPr>
        <w:t>2、请各采购单位积极支持和配合政府采购信用融资工作，在合同备案环节仔细核对收款银行、账号信息等内容，一旦录入将无法修改。</w:t>
      </w:r>
    </w:p>
    <w:p>
      <w:pPr>
        <w:spacing w:line="360" w:lineRule="auto"/>
        <w:ind w:firstLine="420" w:firstLineChars="200"/>
        <w:rPr>
          <w:rFonts w:ascii="宋体" w:hAnsi="宋体" w:cs="宋体"/>
          <w:szCs w:val="21"/>
        </w:rPr>
      </w:pPr>
      <w:r>
        <w:rPr>
          <w:rFonts w:hint="eastAsia" w:ascii="宋体" w:hAnsi="宋体" w:cs="Arial"/>
          <w:szCs w:val="21"/>
        </w:rPr>
        <w:t>3、技术服务热线：87210880；如有业务问题可与各合作银行联系。</w:t>
      </w:r>
    </w:p>
    <w:p>
      <w:pPr>
        <w:spacing w:line="360" w:lineRule="auto"/>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eastAsia="宋体" w:cs="宋体"/>
          <w:szCs w:val="21"/>
          <w:u w:val="single"/>
        </w:rPr>
        <w:sectPr>
          <w:pgSz w:w="11906" w:h="16838"/>
          <w:pgMar w:top="1247" w:right="1588" w:bottom="1089" w:left="1588" w:header="851" w:footer="992" w:gutter="0"/>
          <w:cols w:space="720" w:num="1"/>
          <w:docGrid w:linePitch="312" w:charSpace="0"/>
        </w:sectPr>
      </w:pPr>
    </w:p>
    <w:p>
      <w:pPr>
        <w:pStyle w:val="97"/>
        <w:widowControl w:val="0"/>
        <w:snapToGrid w:val="0"/>
        <w:spacing w:line="500" w:lineRule="exact"/>
        <w:jc w:val="center"/>
        <w:rPr>
          <w:rFonts w:hint="default" w:hAnsi="宋体" w:cs="方正小标宋简体"/>
          <w:b/>
          <w:sz w:val="28"/>
          <w:szCs w:val="28"/>
        </w:rPr>
      </w:pPr>
      <w:r>
        <w:rPr>
          <w:rFonts w:hAnsi="宋体" w:cs="方正小标宋简体"/>
          <w:b/>
          <w:sz w:val="28"/>
          <w:szCs w:val="28"/>
        </w:rPr>
        <w:t>政府采购活动现场确认声明书</w:t>
      </w:r>
    </w:p>
    <w:p>
      <w:pPr>
        <w:pStyle w:val="97"/>
        <w:widowControl w:val="0"/>
        <w:adjustRightInd w:val="0"/>
        <w:snapToGrid w:val="0"/>
        <w:spacing w:line="360" w:lineRule="auto"/>
        <w:jc w:val="both"/>
        <w:rPr>
          <w:rFonts w:hint="default" w:ascii="仿宋" w:hAnsi="仿宋"/>
          <w:kern w:val="0"/>
          <w:szCs w:val="21"/>
          <w:u w:val="single"/>
        </w:rPr>
      </w:pPr>
    </w:p>
    <w:p>
      <w:pPr>
        <w:pStyle w:val="97"/>
        <w:widowControl w:val="0"/>
        <w:adjustRightInd w:val="0"/>
        <w:snapToGrid w:val="0"/>
        <w:spacing w:line="360" w:lineRule="auto"/>
        <w:jc w:val="both"/>
        <w:rPr>
          <w:rFonts w:hint="default" w:ascii="仿宋" w:hAnsi="仿宋"/>
          <w:b/>
          <w:szCs w:val="21"/>
        </w:rPr>
      </w:pPr>
      <w:r>
        <w:rPr>
          <w:rFonts w:ascii="仿宋" w:hAnsi="仿宋"/>
          <w:kern w:val="0"/>
          <w:szCs w:val="21"/>
          <w:u w:val="single"/>
        </w:rPr>
        <w:t>浙江兴业建设项目管理有限公司</w:t>
      </w:r>
      <w:r>
        <w:rPr>
          <w:rFonts w:ascii="仿宋" w:hAnsi="仿宋"/>
          <w:kern w:val="0"/>
          <w:szCs w:val="21"/>
        </w:rPr>
        <w:t>：</w:t>
      </w:r>
    </w:p>
    <w:p>
      <w:pPr>
        <w:pStyle w:val="97"/>
        <w:widowControl w:val="0"/>
        <w:adjustRightInd w:val="0"/>
        <w:snapToGrid w:val="0"/>
        <w:spacing w:line="360" w:lineRule="auto"/>
        <w:ind w:firstLine="444" w:firstLineChars="200"/>
        <w:jc w:val="both"/>
        <w:rPr>
          <w:rFonts w:hint="default" w:ascii="仿宋" w:hAnsi="仿宋"/>
          <w:spacing w:val="6"/>
          <w:szCs w:val="21"/>
        </w:rPr>
      </w:pPr>
      <w:r>
        <w:rPr>
          <w:rFonts w:ascii="仿宋" w:hAnsi="仿宋"/>
          <w:spacing w:val="6"/>
          <w:szCs w:val="21"/>
        </w:rPr>
        <w:t>本人经由</w:t>
      </w:r>
      <w:r>
        <w:rPr>
          <w:rFonts w:ascii="仿宋" w:hAnsi="仿宋"/>
          <w:spacing w:val="6"/>
          <w:szCs w:val="21"/>
          <w:u w:val="single"/>
        </w:rPr>
        <w:t xml:space="preserve">              （单位）</w:t>
      </w:r>
      <w:r>
        <w:rPr>
          <w:rFonts w:ascii="仿宋" w:hAnsi="仿宋"/>
          <w:spacing w:val="6"/>
          <w:szCs w:val="21"/>
        </w:rPr>
        <w:t>负责人</w:t>
      </w:r>
      <w:r>
        <w:rPr>
          <w:rFonts w:ascii="仿宋" w:hAnsi="仿宋"/>
          <w:spacing w:val="6"/>
          <w:szCs w:val="21"/>
          <w:u w:val="single"/>
        </w:rPr>
        <w:t xml:space="preserve">      （姓名）</w:t>
      </w:r>
      <w:r>
        <w:rPr>
          <w:rFonts w:ascii="仿宋" w:hAnsi="仿宋"/>
          <w:spacing w:val="6"/>
          <w:szCs w:val="21"/>
        </w:rPr>
        <w:t>合法授权参加项目</w:t>
      </w:r>
      <w:r>
        <w:rPr>
          <w:rFonts w:ascii="仿宋" w:hAnsi="仿宋"/>
          <w:spacing w:val="6"/>
          <w:szCs w:val="21"/>
          <w:u w:val="single"/>
        </w:rPr>
        <w:t>（编号：    ）</w:t>
      </w:r>
      <w:r>
        <w:rPr>
          <w:rFonts w:ascii="仿宋" w:hAnsi="仿宋"/>
          <w:spacing w:val="6"/>
          <w:szCs w:val="21"/>
        </w:rPr>
        <w:t xml:space="preserve">政府采购活动，经与本单位法人代表（负责人）联系确认，现就有关公平竞争事项郑重声明如下： </w:t>
      </w:r>
    </w:p>
    <w:p>
      <w:pPr>
        <w:pStyle w:val="98"/>
        <w:widowControl/>
        <w:numPr>
          <w:ilvl w:val="0"/>
          <w:numId w:val="24"/>
        </w:numPr>
        <w:adjustRightInd w:val="0"/>
        <w:snapToGrid w:val="0"/>
        <w:spacing w:line="360" w:lineRule="auto"/>
        <w:ind w:firstLine="396" w:firstLineChars="189"/>
        <w:rPr>
          <w:rFonts w:hint="default" w:ascii="仿宋" w:hAnsi="仿宋"/>
          <w:kern w:val="0"/>
          <w:szCs w:val="21"/>
        </w:rPr>
      </w:pPr>
      <w:r>
        <w:rPr>
          <w:rFonts w:ascii="仿宋" w:hAnsi="仿宋"/>
          <w:kern w:val="0"/>
          <w:szCs w:val="21"/>
        </w:rPr>
        <w:t xml:space="preserve">本单位与采购人之间 </w:t>
      </w:r>
      <w:r>
        <w:rPr>
          <w:rFonts w:ascii="宋体" w:hAnsi="宋体" w:cs="宋体"/>
          <w:kern w:val="0"/>
          <w:szCs w:val="21"/>
        </w:rPr>
        <w:t>□</w:t>
      </w:r>
      <w:r>
        <w:rPr>
          <w:rFonts w:ascii="仿宋" w:hAnsi="仿宋"/>
          <w:kern w:val="0"/>
          <w:szCs w:val="21"/>
        </w:rPr>
        <w:t xml:space="preserve">不存在利害关系 </w:t>
      </w:r>
      <w:r>
        <w:rPr>
          <w:rFonts w:ascii="宋体" w:hAnsi="宋体" w:cs="宋体"/>
          <w:kern w:val="0"/>
          <w:szCs w:val="21"/>
        </w:rPr>
        <w:t>□</w:t>
      </w:r>
      <w:r>
        <w:rPr>
          <w:rFonts w:ascii="仿宋" w:hAnsi="仿宋"/>
          <w:kern w:val="0"/>
          <w:szCs w:val="21"/>
        </w:rPr>
        <w:t>存在下列利害关系：</w:t>
      </w:r>
    </w:p>
    <w:p>
      <w:pPr>
        <w:pStyle w:val="98"/>
        <w:widowControl/>
        <w:adjustRightInd w:val="0"/>
        <w:snapToGrid w:val="0"/>
        <w:spacing w:line="360" w:lineRule="auto"/>
        <w:ind w:firstLine="200"/>
        <w:rPr>
          <w:rFonts w:hint="default" w:ascii="仿宋" w:hAnsi="仿宋"/>
          <w:kern w:val="0"/>
          <w:szCs w:val="21"/>
        </w:rPr>
      </w:pPr>
      <w:r>
        <w:rPr>
          <w:rFonts w:ascii="仿宋" w:hAnsi="仿宋"/>
          <w:kern w:val="0"/>
          <w:szCs w:val="21"/>
        </w:rPr>
        <w:t xml:space="preserve">  A.投资关系    B.行政隶属关系    C.业务指导关系</w:t>
      </w:r>
    </w:p>
    <w:p>
      <w:pPr>
        <w:pStyle w:val="98"/>
        <w:widowControl/>
        <w:adjustRightInd w:val="0"/>
        <w:snapToGrid w:val="0"/>
        <w:spacing w:line="360" w:lineRule="auto"/>
        <w:ind w:firstLine="200"/>
        <w:rPr>
          <w:rFonts w:hint="default" w:ascii="仿宋" w:hAnsi="仿宋"/>
          <w:kern w:val="0"/>
          <w:szCs w:val="21"/>
        </w:rPr>
      </w:pPr>
      <w:r>
        <w:rPr>
          <w:rFonts w:ascii="仿宋" w:hAnsi="仿宋"/>
          <w:kern w:val="0"/>
          <w:szCs w:val="21"/>
        </w:rPr>
        <w:t xml:space="preserve">  D.其他可能</w:t>
      </w:r>
      <w:r>
        <w:rPr>
          <w:rFonts w:ascii="仿宋" w:hAnsi="仿宋"/>
          <w:szCs w:val="21"/>
        </w:rPr>
        <w:t>影响采购公正的</w:t>
      </w:r>
      <w:r>
        <w:rPr>
          <w:rFonts w:ascii="仿宋" w:hAnsi="仿宋"/>
          <w:kern w:val="0"/>
          <w:szCs w:val="21"/>
        </w:rPr>
        <w:t>利害关系</w:t>
      </w:r>
      <w:r>
        <w:rPr>
          <w:rFonts w:ascii="仿宋" w:hAnsi="仿宋"/>
          <w:kern w:val="0"/>
          <w:szCs w:val="21"/>
          <w:u w:val="single"/>
        </w:rPr>
        <w:t xml:space="preserve">（如有，请如实说明）                 </w:t>
      </w:r>
      <w:r>
        <w:rPr>
          <w:rFonts w:ascii="仿宋" w:hAnsi="仿宋"/>
          <w:kern w:val="0"/>
          <w:szCs w:val="21"/>
        </w:rPr>
        <w:t>。</w:t>
      </w:r>
    </w:p>
    <w:p>
      <w:pPr>
        <w:pStyle w:val="98"/>
        <w:widowControl/>
        <w:adjustRightInd w:val="0"/>
        <w:snapToGrid w:val="0"/>
        <w:spacing w:line="360" w:lineRule="auto"/>
        <w:ind w:firstLine="200"/>
        <w:rPr>
          <w:rFonts w:hint="default" w:ascii="仿宋" w:hAnsi="仿宋"/>
          <w:kern w:val="0"/>
          <w:szCs w:val="21"/>
        </w:rPr>
      </w:pPr>
      <w:r>
        <w:rPr>
          <w:rFonts w:ascii="仿宋" w:hAnsi="仿宋"/>
          <w:spacing w:val="6"/>
          <w:szCs w:val="21"/>
        </w:rPr>
        <w:t xml:space="preserve">  二、</w:t>
      </w:r>
      <w:r>
        <w:rPr>
          <w:rFonts w:ascii="仿宋" w:hAnsi="仿宋"/>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仿宋" w:hAnsi="仿宋"/>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仿宋" w:hAnsi="仿宋"/>
          <w:kern w:val="0"/>
          <w:szCs w:val="21"/>
        </w:rPr>
        <w:t>存在下列利害关系：</w:t>
      </w:r>
    </w:p>
    <w:p>
      <w:pPr>
        <w:pStyle w:val="97"/>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A.法定代表人或负责人或实际控制人是同一人</w:t>
      </w:r>
    </w:p>
    <w:p>
      <w:pPr>
        <w:pStyle w:val="97"/>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B.法定代表人或负责人或实际控制人是夫妻关系</w:t>
      </w:r>
    </w:p>
    <w:p>
      <w:pPr>
        <w:pStyle w:val="97"/>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C.法定代表人或负责人或实际控制人是直系血亲关系</w:t>
      </w:r>
    </w:p>
    <w:p>
      <w:pPr>
        <w:pStyle w:val="97"/>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pPr>
        <w:pStyle w:val="97"/>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E.法定代表人或负责人或实际控制人存在近姻亲关系</w:t>
      </w:r>
    </w:p>
    <w:p>
      <w:pPr>
        <w:pStyle w:val="97"/>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pPr>
        <w:pStyle w:val="97"/>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G.存在共同直接或间接投资设立子公司、联营企业和合营企业情况</w:t>
      </w:r>
    </w:p>
    <w:p>
      <w:pPr>
        <w:pStyle w:val="97"/>
        <w:widowControl w:val="0"/>
        <w:adjustRightInd w:val="0"/>
        <w:snapToGrid w:val="0"/>
        <w:spacing w:line="360" w:lineRule="auto"/>
        <w:ind w:firstLine="200"/>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pPr>
        <w:pStyle w:val="97"/>
        <w:widowControl w:val="0"/>
        <w:adjustRightInd w:val="0"/>
        <w:snapToGrid w:val="0"/>
        <w:spacing w:line="360" w:lineRule="auto"/>
        <w:ind w:firstLine="200"/>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kern w:val="0"/>
          <w:szCs w:val="21"/>
        </w:rPr>
        <w:t>。</w:t>
      </w:r>
    </w:p>
    <w:p>
      <w:pPr>
        <w:pStyle w:val="98"/>
        <w:widowControl/>
        <w:numPr>
          <w:ilvl w:val="0"/>
          <w:numId w:val="25"/>
        </w:numPr>
        <w:adjustRightInd w:val="0"/>
        <w:snapToGrid w:val="0"/>
        <w:spacing w:line="360" w:lineRule="auto"/>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严格遵守政府采购法律法规和现场纪律。</w:t>
      </w:r>
    </w:p>
    <w:p>
      <w:pPr>
        <w:pStyle w:val="98"/>
        <w:widowControl/>
        <w:numPr>
          <w:ilvl w:val="0"/>
          <w:numId w:val="25"/>
        </w:numPr>
        <w:adjustRightInd w:val="0"/>
        <w:snapToGrid w:val="0"/>
        <w:spacing w:line="360" w:lineRule="auto"/>
        <w:ind w:firstLine="396" w:firstLineChars="189"/>
        <w:rPr>
          <w:rFonts w:hint="default" w:ascii="仿宋" w:hAnsi="仿宋"/>
          <w:kern w:val="0"/>
          <w:szCs w:val="21"/>
        </w:rPr>
      </w:pPr>
      <w:r>
        <w:rPr>
          <w:rFonts w:ascii="仿宋" w:hAnsi="仿宋"/>
          <w:kern w:val="0"/>
          <w:szCs w:val="21"/>
        </w:rPr>
        <w:t>我发现供应商之间存在或可能存在上述第二条第项利害关系。</w:t>
      </w:r>
    </w:p>
    <w:p>
      <w:pPr>
        <w:pStyle w:val="98"/>
        <w:widowControl/>
        <w:adjustRightInd w:val="0"/>
        <w:snapToGrid w:val="0"/>
        <w:spacing w:line="360" w:lineRule="auto"/>
        <w:rPr>
          <w:rFonts w:hint="default" w:ascii="仿宋" w:hAnsi="仿宋"/>
          <w:kern w:val="0"/>
          <w:szCs w:val="21"/>
        </w:rPr>
      </w:pPr>
    </w:p>
    <w:p>
      <w:pPr>
        <w:pStyle w:val="98"/>
        <w:widowControl/>
        <w:adjustRightInd w:val="0"/>
        <w:snapToGrid w:val="0"/>
        <w:spacing w:line="360" w:lineRule="auto"/>
        <w:rPr>
          <w:rFonts w:hint="default" w:ascii="仿宋" w:hAnsi="仿宋"/>
          <w:kern w:val="0"/>
          <w:szCs w:val="21"/>
        </w:rPr>
      </w:pPr>
    </w:p>
    <w:p>
      <w:pPr>
        <w:pStyle w:val="98"/>
        <w:widowControl/>
        <w:adjustRightInd w:val="0"/>
        <w:snapToGrid w:val="0"/>
        <w:spacing w:line="360" w:lineRule="auto"/>
        <w:rPr>
          <w:rFonts w:hint="default" w:ascii="仿宋" w:hAnsi="仿宋"/>
          <w:kern w:val="0"/>
          <w:szCs w:val="21"/>
        </w:rPr>
      </w:pPr>
    </w:p>
    <w:p>
      <w:pPr>
        <w:pStyle w:val="97"/>
        <w:widowControl w:val="0"/>
        <w:adjustRightInd w:val="0"/>
        <w:snapToGrid w:val="0"/>
        <w:spacing w:line="360" w:lineRule="auto"/>
        <w:ind w:firstLine="420" w:firstLineChars="200"/>
        <w:jc w:val="both"/>
        <w:rPr>
          <w:rFonts w:hint="default" w:ascii="仿宋" w:hAnsi="仿宋"/>
          <w:szCs w:val="21"/>
        </w:rPr>
      </w:pPr>
      <w:r>
        <w:rPr>
          <w:rFonts w:ascii="仿宋" w:hAnsi="仿宋"/>
          <w:szCs w:val="21"/>
        </w:rPr>
        <w:t xml:space="preserve">                                （供应商代表签名）</w:t>
      </w:r>
    </w:p>
    <w:p>
      <w:pPr>
        <w:adjustRightInd w:val="0"/>
        <w:snapToGrid w:val="0"/>
        <w:spacing w:line="360" w:lineRule="auto"/>
        <w:jc w:val="right"/>
        <w:rPr>
          <w:szCs w:val="21"/>
        </w:rPr>
      </w:pPr>
      <w:r>
        <w:rPr>
          <w:szCs w:val="21"/>
        </w:rPr>
        <w:t xml:space="preserve">  年月日</w:t>
      </w:r>
    </w:p>
    <w:p>
      <w:pPr>
        <w:spacing w:line="360" w:lineRule="auto"/>
        <w:rPr>
          <w:rFonts w:ascii="宋体" w:hAnsi="宋体" w:cs="宋体"/>
          <w:szCs w:val="21"/>
        </w:rPr>
      </w:pPr>
    </w:p>
    <w:p>
      <w:pPr>
        <w:spacing w:line="360" w:lineRule="auto"/>
        <w:jc w:val="center"/>
        <w:rPr>
          <w:rFonts w:ascii="宋体" w:hAnsi="宋体" w:cs="宋体"/>
          <w:sz w:val="30"/>
          <w:szCs w:val="30"/>
        </w:rPr>
      </w:pPr>
    </w:p>
    <w:p>
      <w:pPr>
        <w:rPr>
          <w:rFonts w:ascii="宋体" w:hAnsi="宋体"/>
          <w:szCs w:val="21"/>
        </w:rPr>
      </w:pPr>
    </w:p>
    <w:sectPr>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Helvetica">
    <w:altName w:val="Arial"/>
    <w:panose1 w:val="020B0504020202030204"/>
    <w:charset w:val="00"/>
    <w:family w:val="swiss"/>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swiss"/>
    <w:pitch w:val="default"/>
    <w:sig w:usb0="80000287" w:usb1="2ACF3C50" w:usb2="00000016" w:usb3="00000000" w:csb0="0004001F" w:csb1="00000000"/>
  </w:font>
  <w:font w:name="方正小标宋_GBK">
    <w:altName w:val="宋体"/>
    <w:panose1 w:val="00000000000000000000"/>
    <w:charset w:val="86"/>
    <w:family w:val="script"/>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rPr>
        <w:rStyle w:val="47"/>
      </w:rPr>
      <w:instrText xml:space="preserve"> PAGE </w:instrText>
    </w:r>
    <w:r>
      <w:fldChar w:fldCharType="separate"/>
    </w:r>
    <w:r>
      <w:rPr>
        <w:rStyle w:val="47"/>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900"/>
        <w:tab w:val="clear" w:pos="4153"/>
        <w:tab w:val="clear" w:pos="8306"/>
      </w:tabs>
      <w:jc w:val="center"/>
      <w:rPr>
        <w:rFonts w:eastAsia="宋体"/>
      </w:rPr>
    </w:pPr>
    <w:r>
      <w:fldChar w:fldCharType="begin"/>
    </w:r>
    <w:r>
      <w:rPr>
        <w:rStyle w:val="47"/>
      </w:rPr>
      <w:instrText xml:space="preserve"> PAGE </w:instrText>
    </w:r>
    <w:r>
      <w:fldChar w:fldCharType="separate"/>
    </w:r>
    <w:r>
      <w:rPr>
        <w:rStyle w:val="47"/>
      </w:rPr>
      <w:t>75</w:t>
    </w:r>
    <w:r>
      <w:fldChar w:fldCharType="end"/>
    </w:r>
    <w:r>
      <w:rPr>
        <w:rFonts w:hint="eastAsia" w:eastAsia="宋体"/>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jc w:val="right"/>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853C1"/>
    <w:multiLevelType w:val="singleLevel"/>
    <w:tmpl w:val="837853C1"/>
    <w:lvl w:ilvl="0" w:tentative="0">
      <w:start w:val="1"/>
      <w:numFmt w:val="lowerLetter"/>
      <w:lvlText w:val="%1."/>
      <w:lvlJc w:val="left"/>
      <w:pPr>
        <w:tabs>
          <w:tab w:val="left" w:pos="312"/>
        </w:tabs>
      </w:pPr>
    </w:lvl>
  </w:abstractNum>
  <w:abstractNum w:abstractNumId="1">
    <w:nsid w:val="98C19939"/>
    <w:multiLevelType w:val="singleLevel"/>
    <w:tmpl w:val="98C19939"/>
    <w:lvl w:ilvl="0" w:tentative="0">
      <w:start w:val="1"/>
      <w:numFmt w:val="decimal"/>
      <w:suff w:val="nothing"/>
      <w:lvlText w:val="（%1）"/>
      <w:lvlJc w:val="left"/>
    </w:lvl>
  </w:abstractNum>
  <w:abstractNum w:abstractNumId="2">
    <w:nsid w:val="A748B2BA"/>
    <w:multiLevelType w:val="singleLevel"/>
    <w:tmpl w:val="A748B2BA"/>
    <w:lvl w:ilvl="0" w:tentative="0">
      <w:start w:val="1"/>
      <w:numFmt w:val="decimal"/>
      <w:lvlText w:val="%1."/>
      <w:lvlJc w:val="left"/>
      <w:pPr>
        <w:tabs>
          <w:tab w:val="left" w:pos="312"/>
        </w:tabs>
      </w:pPr>
    </w:lvl>
  </w:abstractNum>
  <w:abstractNum w:abstractNumId="3">
    <w:nsid w:val="AAA5B6B9"/>
    <w:multiLevelType w:val="singleLevel"/>
    <w:tmpl w:val="AAA5B6B9"/>
    <w:lvl w:ilvl="0" w:tentative="0">
      <w:start w:val="1"/>
      <w:numFmt w:val="decimalEnclosedCircleChinese"/>
      <w:suff w:val="nothing"/>
      <w:lvlText w:val="%1　"/>
      <w:lvlJc w:val="left"/>
      <w:pPr>
        <w:ind w:left="0" w:firstLine="400"/>
      </w:pPr>
      <w:rPr>
        <w:rFonts w:hint="eastAsia"/>
      </w:rPr>
    </w:lvl>
  </w:abstractNum>
  <w:abstractNum w:abstractNumId="4">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5">
    <w:nsid w:val="B09E43A5"/>
    <w:multiLevelType w:val="singleLevel"/>
    <w:tmpl w:val="B09E43A5"/>
    <w:lvl w:ilvl="0" w:tentative="0">
      <w:start w:val="1"/>
      <w:numFmt w:val="decimal"/>
      <w:suff w:val="space"/>
      <w:lvlText w:val="%1."/>
      <w:lvlJc w:val="left"/>
    </w:lvl>
  </w:abstractNum>
  <w:abstractNum w:abstractNumId="6">
    <w:nsid w:val="C8E4A651"/>
    <w:multiLevelType w:val="singleLevel"/>
    <w:tmpl w:val="C8E4A651"/>
    <w:lvl w:ilvl="0" w:tentative="0">
      <w:start w:val="1"/>
      <w:numFmt w:val="decimal"/>
      <w:lvlText w:val="(%1)"/>
      <w:lvlJc w:val="left"/>
      <w:pPr>
        <w:ind w:left="425" w:hanging="425"/>
      </w:pPr>
      <w:rPr>
        <w:rFonts w:hint="default"/>
      </w:rPr>
    </w:lvl>
  </w:abstractNum>
  <w:abstractNum w:abstractNumId="7">
    <w:nsid w:val="D36E9D1E"/>
    <w:multiLevelType w:val="singleLevel"/>
    <w:tmpl w:val="D36E9D1E"/>
    <w:lvl w:ilvl="0" w:tentative="0">
      <w:start w:val="1"/>
      <w:numFmt w:val="decimalEnclosedCircleChinese"/>
      <w:suff w:val="nothing"/>
      <w:lvlText w:val="%1　"/>
      <w:lvlJc w:val="left"/>
      <w:pPr>
        <w:ind w:left="0" w:firstLine="400"/>
      </w:pPr>
      <w:rPr>
        <w:rFonts w:hint="eastAsia"/>
      </w:rPr>
    </w:lvl>
  </w:abstractNum>
  <w:abstractNum w:abstractNumId="8">
    <w:nsid w:val="ED329C8A"/>
    <w:multiLevelType w:val="singleLevel"/>
    <w:tmpl w:val="ED329C8A"/>
    <w:lvl w:ilvl="0" w:tentative="0">
      <w:start w:val="1"/>
      <w:numFmt w:val="decimal"/>
      <w:lvlText w:val="%1."/>
      <w:lvlJc w:val="left"/>
      <w:pPr>
        <w:ind w:left="425" w:hanging="425"/>
      </w:pPr>
      <w:rPr>
        <w:rFonts w:hint="default"/>
      </w:rPr>
    </w:lvl>
  </w:abstractNum>
  <w:abstractNum w:abstractNumId="9">
    <w:nsid w:val="F1D14BBD"/>
    <w:multiLevelType w:val="multilevel"/>
    <w:tmpl w:val="F1D14BBD"/>
    <w:lvl w:ilvl="0" w:tentative="0">
      <w:start w:val="1"/>
      <w:numFmt w:val="decimal"/>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0">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11">
    <w:nsid w:val="F85496D0"/>
    <w:multiLevelType w:val="singleLevel"/>
    <w:tmpl w:val="F85496D0"/>
    <w:lvl w:ilvl="0" w:tentative="0">
      <w:start w:val="1"/>
      <w:numFmt w:val="decimalEnclosedCircleChinese"/>
      <w:suff w:val="nothing"/>
      <w:lvlText w:val="%1　"/>
      <w:lvlJc w:val="left"/>
      <w:pPr>
        <w:ind w:left="0" w:firstLine="400"/>
      </w:pPr>
      <w:rPr>
        <w:rFonts w:hint="eastAsia"/>
      </w:rPr>
    </w:lvl>
  </w:abstractNum>
  <w:abstractNum w:abstractNumId="12">
    <w:nsid w:val="FD8902AC"/>
    <w:multiLevelType w:val="singleLevel"/>
    <w:tmpl w:val="FD8902AC"/>
    <w:lvl w:ilvl="0" w:tentative="0">
      <w:start w:val="1"/>
      <w:numFmt w:val="lowerLetter"/>
      <w:lvlText w:val="%1."/>
      <w:lvlJc w:val="left"/>
      <w:pPr>
        <w:ind w:left="425" w:hanging="425"/>
      </w:pPr>
      <w:rPr>
        <w:rFonts w:hint="default"/>
      </w:rPr>
    </w:lvl>
  </w:abstractNum>
  <w:abstractNum w:abstractNumId="13">
    <w:nsid w:val="00000003"/>
    <w:multiLevelType w:val="multilevel"/>
    <w:tmpl w:val="00000003"/>
    <w:lvl w:ilvl="0" w:tentative="0">
      <w:start w:val="1"/>
      <w:numFmt w:val="decimal"/>
      <w:lvlText w:val="（%1）"/>
      <w:lvlJc w:val="left"/>
      <w:pPr>
        <w:tabs>
          <w:tab w:val="left" w:pos="937"/>
        </w:tabs>
        <w:ind w:left="926" w:hanging="500"/>
      </w:pPr>
      <w:rPr>
        <w:rFonts w:hint="eastAsia"/>
        <w:i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2FCA2B6"/>
    <w:multiLevelType w:val="singleLevel"/>
    <w:tmpl w:val="02FCA2B6"/>
    <w:lvl w:ilvl="0" w:tentative="0">
      <w:start w:val="1"/>
      <w:numFmt w:val="decimal"/>
      <w:suff w:val="space"/>
      <w:lvlText w:val="%1."/>
      <w:lvlJc w:val="left"/>
    </w:lvl>
  </w:abstractNum>
  <w:abstractNum w:abstractNumId="15">
    <w:nsid w:val="0AB90C6B"/>
    <w:multiLevelType w:val="multilevel"/>
    <w:tmpl w:val="0AB90C6B"/>
    <w:lvl w:ilvl="0" w:tentative="0">
      <w:start w:val="1"/>
      <w:numFmt w:val="decimal"/>
      <w:lvlText w:val="（%1）"/>
      <w:lvlJc w:val="left"/>
      <w:pPr>
        <w:tabs>
          <w:tab w:val="left" w:pos="1273"/>
        </w:tabs>
        <w:ind w:left="1262" w:hanging="500"/>
      </w:pPr>
      <w:rPr>
        <w:rFonts w:hint="eastAsia"/>
      </w:rPr>
    </w:lvl>
    <w:lvl w:ilvl="1" w:tentative="0">
      <w:start w:val="1"/>
      <w:numFmt w:val="japaneseCounting"/>
      <w:lvlText w:val="（%2）"/>
      <w:lvlJc w:val="left"/>
      <w:pPr>
        <w:ind w:left="1562" w:hanging="72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6">
    <w:nsid w:val="39E4E3C9"/>
    <w:multiLevelType w:val="singleLevel"/>
    <w:tmpl w:val="39E4E3C9"/>
    <w:lvl w:ilvl="0" w:tentative="0">
      <w:start w:val="13"/>
      <w:numFmt w:val="decimal"/>
      <w:suff w:val="nothing"/>
      <w:lvlText w:val="%1．"/>
      <w:lvlJc w:val="left"/>
    </w:lvl>
  </w:abstractNum>
  <w:abstractNum w:abstractNumId="17">
    <w:nsid w:val="3AD5029F"/>
    <w:multiLevelType w:val="singleLevel"/>
    <w:tmpl w:val="3AD5029F"/>
    <w:lvl w:ilvl="0" w:tentative="0">
      <w:start w:val="1"/>
      <w:numFmt w:val="decimalEnclosedCircleChinese"/>
      <w:suff w:val="nothing"/>
      <w:lvlText w:val="%1　"/>
      <w:lvlJc w:val="left"/>
      <w:pPr>
        <w:ind w:left="0" w:firstLine="400"/>
      </w:pPr>
      <w:rPr>
        <w:rFonts w:hint="eastAsia"/>
      </w:rPr>
    </w:lvl>
  </w:abstractNum>
  <w:abstractNum w:abstractNumId="18">
    <w:nsid w:val="47A7DCD3"/>
    <w:multiLevelType w:val="singleLevel"/>
    <w:tmpl w:val="47A7DCD3"/>
    <w:lvl w:ilvl="0" w:tentative="0">
      <w:start w:val="1"/>
      <w:numFmt w:val="decimal"/>
      <w:suff w:val="space"/>
      <w:lvlText w:val="%1."/>
      <w:lvlJc w:val="left"/>
    </w:lvl>
  </w:abstractNum>
  <w:abstractNum w:abstractNumId="19">
    <w:nsid w:val="54F403B5"/>
    <w:multiLevelType w:val="singleLevel"/>
    <w:tmpl w:val="54F403B5"/>
    <w:lvl w:ilvl="0" w:tentative="0">
      <w:start w:val="1"/>
      <w:numFmt w:val="chineseCounting"/>
      <w:suff w:val="nothing"/>
      <w:lvlText w:val="%1、"/>
      <w:lvlJc w:val="left"/>
    </w:lvl>
  </w:abstractNum>
  <w:abstractNum w:abstractNumId="20">
    <w:nsid w:val="557FD3DA"/>
    <w:multiLevelType w:val="singleLevel"/>
    <w:tmpl w:val="557FD3DA"/>
    <w:lvl w:ilvl="0" w:tentative="0">
      <w:start w:val="3"/>
      <w:numFmt w:val="chineseCounting"/>
      <w:suff w:val="nothing"/>
      <w:lvlText w:val="%1、"/>
      <w:lvlJc w:val="left"/>
    </w:lvl>
  </w:abstractNum>
  <w:abstractNum w:abstractNumId="21">
    <w:nsid w:val="5A3C02B2"/>
    <w:multiLevelType w:val="singleLevel"/>
    <w:tmpl w:val="5A3C02B2"/>
    <w:lvl w:ilvl="0" w:tentative="0">
      <w:start w:val="1"/>
      <w:numFmt w:val="lowerLetter"/>
      <w:lvlText w:val="%1."/>
      <w:lvlJc w:val="left"/>
      <w:pPr>
        <w:ind w:left="425" w:hanging="425"/>
      </w:pPr>
      <w:rPr>
        <w:rFonts w:hint="default"/>
      </w:rPr>
    </w:lvl>
  </w:abstractNum>
  <w:abstractNum w:abstractNumId="22">
    <w:nsid w:val="6132ED95"/>
    <w:multiLevelType w:val="singleLevel"/>
    <w:tmpl w:val="6132ED95"/>
    <w:lvl w:ilvl="0" w:tentative="0">
      <w:start w:val="1"/>
      <w:numFmt w:val="decimal"/>
      <w:lvlText w:val="%1)"/>
      <w:lvlJc w:val="left"/>
      <w:pPr>
        <w:ind w:left="425" w:hanging="425"/>
      </w:pPr>
      <w:rPr>
        <w:rFonts w:hint="default"/>
      </w:rPr>
    </w:lvl>
  </w:abstractNum>
  <w:abstractNum w:abstractNumId="23">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D4C19BB"/>
    <w:multiLevelType w:val="multilevel"/>
    <w:tmpl w:val="7D4C19BB"/>
    <w:lvl w:ilvl="0" w:tentative="0">
      <w:start w:val="1"/>
      <w:numFmt w:val="decimal"/>
      <w:lvlText w:val="（%1）"/>
      <w:lvlJc w:val="left"/>
      <w:pPr>
        <w:ind w:left="1249" w:hanging="420"/>
      </w:pPr>
      <w:rPr>
        <w:rFonts w:hint="eastAsia"/>
      </w:rPr>
    </w:lvl>
    <w:lvl w:ilvl="1" w:tentative="0">
      <w:start w:val="1"/>
      <w:numFmt w:val="decimal"/>
      <w:lvlText w:val="（%2）"/>
      <w:lvlJc w:val="left"/>
      <w:pPr>
        <w:ind w:left="3398" w:hanging="420"/>
      </w:pPr>
      <w:rPr>
        <w:rFonts w:hint="eastAsia"/>
      </w:r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num w:numId="1">
    <w:abstractNumId w:val="5"/>
  </w:num>
  <w:num w:numId="2">
    <w:abstractNumId w:val="18"/>
  </w:num>
  <w:num w:numId="3">
    <w:abstractNumId w:val="14"/>
  </w:num>
  <w:num w:numId="4">
    <w:abstractNumId w:val="2"/>
  </w:num>
  <w:num w:numId="5">
    <w:abstractNumId w:val="21"/>
  </w:num>
  <w:num w:numId="6">
    <w:abstractNumId w:val="4"/>
  </w:num>
  <w:num w:numId="7">
    <w:abstractNumId w:val="7"/>
  </w:num>
  <w:num w:numId="8">
    <w:abstractNumId w:val="22"/>
  </w:num>
  <w:num w:numId="9">
    <w:abstractNumId w:val="3"/>
  </w:num>
  <w:num w:numId="10">
    <w:abstractNumId w:val="13"/>
  </w:num>
  <w:num w:numId="11">
    <w:abstractNumId w:val="9"/>
  </w:num>
  <w:num w:numId="12">
    <w:abstractNumId w:val="23"/>
  </w:num>
  <w:num w:numId="13">
    <w:abstractNumId w:val="16"/>
  </w:num>
  <w:num w:numId="14">
    <w:abstractNumId w:val="0"/>
  </w:num>
  <w:num w:numId="15">
    <w:abstractNumId w:val="1"/>
  </w:num>
  <w:num w:numId="16">
    <w:abstractNumId w:val="6"/>
  </w:num>
  <w:num w:numId="17">
    <w:abstractNumId w:val="15"/>
  </w:num>
  <w:num w:numId="18">
    <w:abstractNumId w:val="24"/>
  </w:num>
  <w:num w:numId="19">
    <w:abstractNumId w:val="8"/>
  </w:num>
  <w:num w:numId="20">
    <w:abstractNumId w:val="12"/>
  </w:num>
  <w:num w:numId="21">
    <w:abstractNumId w:val="10"/>
  </w:num>
  <w:num w:numId="22">
    <w:abstractNumId w:val="11"/>
  </w:num>
  <w:num w:numId="23">
    <w:abstractNumId w:val="17"/>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56"/>
    <w:rsid w:val="0000350E"/>
    <w:rsid w:val="0000396E"/>
    <w:rsid w:val="00004478"/>
    <w:rsid w:val="00014FA9"/>
    <w:rsid w:val="000151EB"/>
    <w:rsid w:val="000173D9"/>
    <w:rsid w:val="00023C95"/>
    <w:rsid w:val="00033EE6"/>
    <w:rsid w:val="000364DE"/>
    <w:rsid w:val="00036535"/>
    <w:rsid w:val="000371E8"/>
    <w:rsid w:val="000445EB"/>
    <w:rsid w:val="00050BD9"/>
    <w:rsid w:val="00053E49"/>
    <w:rsid w:val="00063836"/>
    <w:rsid w:val="00063A1A"/>
    <w:rsid w:val="00065D46"/>
    <w:rsid w:val="0006711B"/>
    <w:rsid w:val="0006742A"/>
    <w:rsid w:val="00067A80"/>
    <w:rsid w:val="00067D63"/>
    <w:rsid w:val="000739B8"/>
    <w:rsid w:val="0007753E"/>
    <w:rsid w:val="0008108E"/>
    <w:rsid w:val="00081597"/>
    <w:rsid w:val="00082EC3"/>
    <w:rsid w:val="00091E58"/>
    <w:rsid w:val="00096A49"/>
    <w:rsid w:val="000A26A0"/>
    <w:rsid w:val="000A7899"/>
    <w:rsid w:val="000B0696"/>
    <w:rsid w:val="000B7C98"/>
    <w:rsid w:val="000C0E81"/>
    <w:rsid w:val="000C296B"/>
    <w:rsid w:val="000C314E"/>
    <w:rsid w:val="000C342D"/>
    <w:rsid w:val="000C460B"/>
    <w:rsid w:val="000E5537"/>
    <w:rsid w:val="000E5A5C"/>
    <w:rsid w:val="000F1AFB"/>
    <w:rsid w:val="0011283B"/>
    <w:rsid w:val="00114CF3"/>
    <w:rsid w:val="001236DA"/>
    <w:rsid w:val="001307EB"/>
    <w:rsid w:val="00131287"/>
    <w:rsid w:val="00132FF2"/>
    <w:rsid w:val="00140949"/>
    <w:rsid w:val="001418C4"/>
    <w:rsid w:val="0014479A"/>
    <w:rsid w:val="001474A4"/>
    <w:rsid w:val="001662B9"/>
    <w:rsid w:val="00172A27"/>
    <w:rsid w:val="001977E0"/>
    <w:rsid w:val="001A2705"/>
    <w:rsid w:val="001A3C11"/>
    <w:rsid w:val="001B3D36"/>
    <w:rsid w:val="001B666B"/>
    <w:rsid w:val="001C45D1"/>
    <w:rsid w:val="001C5282"/>
    <w:rsid w:val="001D028B"/>
    <w:rsid w:val="001D0DE0"/>
    <w:rsid w:val="001E07E0"/>
    <w:rsid w:val="001F136F"/>
    <w:rsid w:val="001F4AAA"/>
    <w:rsid w:val="0020144A"/>
    <w:rsid w:val="00205FDC"/>
    <w:rsid w:val="002161CA"/>
    <w:rsid w:val="00220030"/>
    <w:rsid w:val="002211E7"/>
    <w:rsid w:val="00244BE9"/>
    <w:rsid w:val="00252D74"/>
    <w:rsid w:val="00254C65"/>
    <w:rsid w:val="00255979"/>
    <w:rsid w:val="00255C08"/>
    <w:rsid w:val="00255D75"/>
    <w:rsid w:val="00260A47"/>
    <w:rsid w:val="00261C5B"/>
    <w:rsid w:val="00271A3C"/>
    <w:rsid w:val="00273D40"/>
    <w:rsid w:val="00280335"/>
    <w:rsid w:val="002851C3"/>
    <w:rsid w:val="00287796"/>
    <w:rsid w:val="00294FF7"/>
    <w:rsid w:val="002A0A4C"/>
    <w:rsid w:val="002A0E08"/>
    <w:rsid w:val="002A3B22"/>
    <w:rsid w:val="002A6597"/>
    <w:rsid w:val="002B2A39"/>
    <w:rsid w:val="002B41F8"/>
    <w:rsid w:val="002B7F8B"/>
    <w:rsid w:val="002C2B43"/>
    <w:rsid w:val="002C3E6B"/>
    <w:rsid w:val="002C7BC7"/>
    <w:rsid w:val="002D3FEA"/>
    <w:rsid w:val="002D780C"/>
    <w:rsid w:val="002E4523"/>
    <w:rsid w:val="002E7540"/>
    <w:rsid w:val="002F5751"/>
    <w:rsid w:val="00301A3B"/>
    <w:rsid w:val="00304AFD"/>
    <w:rsid w:val="00312338"/>
    <w:rsid w:val="003167FF"/>
    <w:rsid w:val="00322B57"/>
    <w:rsid w:val="00324C22"/>
    <w:rsid w:val="0033728A"/>
    <w:rsid w:val="00340FBD"/>
    <w:rsid w:val="003458DD"/>
    <w:rsid w:val="0034620D"/>
    <w:rsid w:val="00346FD6"/>
    <w:rsid w:val="003521F8"/>
    <w:rsid w:val="0035269E"/>
    <w:rsid w:val="003577F6"/>
    <w:rsid w:val="00361C53"/>
    <w:rsid w:val="00371116"/>
    <w:rsid w:val="0037210F"/>
    <w:rsid w:val="0037302D"/>
    <w:rsid w:val="00373E7F"/>
    <w:rsid w:val="00375001"/>
    <w:rsid w:val="00375F22"/>
    <w:rsid w:val="00376577"/>
    <w:rsid w:val="00377D84"/>
    <w:rsid w:val="00380738"/>
    <w:rsid w:val="00384640"/>
    <w:rsid w:val="003846B2"/>
    <w:rsid w:val="00391928"/>
    <w:rsid w:val="003919E1"/>
    <w:rsid w:val="003A1EFA"/>
    <w:rsid w:val="003A48E1"/>
    <w:rsid w:val="003B3663"/>
    <w:rsid w:val="003C2C67"/>
    <w:rsid w:val="003C6DDE"/>
    <w:rsid w:val="003D0F5F"/>
    <w:rsid w:val="003D4E04"/>
    <w:rsid w:val="003D4FE5"/>
    <w:rsid w:val="003D62AA"/>
    <w:rsid w:val="003E445D"/>
    <w:rsid w:val="003E4D6D"/>
    <w:rsid w:val="003E76A2"/>
    <w:rsid w:val="003F19B5"/>
    <w:rsid w:val="003F298D"/>
    <w:rsid w:val="00400515"/>
    <w:rsid w:val="004241E3"/>
    <w:rsid w:val="004278F1"/>
    <w:rsid w:val="0043095A"/>
    <w:rsid w:val="00431055"/>
    <w:rsid w:val="00433B4B"/>
    <w:rsid w:val="00436A90"/>
    <w:rsid w:val="00437005"/>
    <w:rsid w:val="0046312D"/>
    <w:rsid w:val="004652D2"/>
    <w:rsid w:val="00471CFD"/>
    <w:rsid w:val="00474574"/>
    <w:rsid w:val="00491113"/>
    <w:rsid w:val="00496EF2"/>
    <w:rsid w:val="004A1324"/>
    <w:rsid w:val="004A3F59"/>
    <w:rsid w:val="004B212A"/>
    <w:rsid w:val="004D09F0"/>
    <w:rsid w:val="004D1FE1"/>
    <w:rsid w:val="004D4D0B"/>
    <w:rsid w:val="004D73DD"/>
    <w:rsid w:val="004E0815"/>
    <w:rsid w:val="004E51C8"/>
    <w:rsid w:val="004E6D2B"/>
    <w:rsid w:val="004F220B"/>
    <w:rsid w:val="004F29EC"/>
    <w:rsid w:val="004F2FE1"/>
    <w:rsid w:val="004F3A58"/>
    <w:rsid w:val="004F54AA"/>
    <w:rsid w:val="004F550E"/>
    <w:rsid w:val="004F653D"/>
    <w:rsid w:val="00500F82"/>
    <w:rsid w:val="0052516E"/>
    <w:rsid w:val="00527F3E"/>
    <w:rsid w:val="00541579"/>
    <w:rsid w:val="00542801"/>
    <w:rsid w:val="0054542F"/>
    <w:rsid w:val="0055186A"/>
    <w:rsid w:val="005570E5"/>
    <w:rsid w:val="00565B42"/>
    <w:rsid w:val="00566AEF"/>
    <w:rsid w:val="005761DF"/>
    <w:rsid w:val="005923FB"/>
    <w:rsid w:val="00592CFC"/>
    <w:rsid w:val="0059694F"/>
    <w:rsid w:val="005A1025"/>
    <w:rsid w:val="005B4D6A"/>
    <w:rsid w:val="005C2222"/>
    <w:rsid w:val="005D3123"/>
    <w:rsid w:val="005E181F"/>
    <w:rsid w:val="005E3FD7"/>
    <w:rsid w:val="005E6149"/>
    <w:rsid w:val="005F4032"/>
    <w:rsid w:val="005F6E51"/>
    <w:rsid w:val="00600A3F"/>
    <w:rsid w:val="0060287A"/>
    <w:rsid w:val="006132D1"/>
    <w:rsid w:val="006137E7"/>
    <w:rsid w:val="006145D8"/>
    <w:rsid w:val="006358C5"/>
    <w:rsid w:val="0064249C"/>
    <w:rsid w:val="00646EED"/>
    <w:rsid w:val="0066425D"/>
    <w:rsid w:val="006702C1"/>
    <w:rsid w:val="006802A2"/>
    <w:rsid w:val="006907C1"/>
    <w:rsid w:val="006939FC"/>
    <w:rsid w:val="00697C01"/>
    <w:rsid w:val="006A232A"/>
    <w:rsid w:val="006A33D4"/>
    <w:rsid w:val="006A5767"/>
    <w:rsid w:val="006B01B0"/>
    <w:rsid w:val="006B1CB5"/>
    <w:rsid w:val="006B55CD"/>
    <w:rsid w:val="006C1289"/>
    <w:rsid w:val="006C31D2"/>
    <w:rsid w:val="006D0513"/>
    <w:rsid w:val="006D3A10"/>
    <w:rsid w:val="006D753A"/>
    <w:rsid w:val="006E2A6C"/>
    <w:rsid w:val="006E3886"/>
    <w:rsid w:val="006E7E7E"/>
    <w:rsid w:val="006F15FC"/>
    <w:rsid w:val="006F3B89"/>
    <w:rsid w:val="006F3E6E"/>
    <w:rsid w:val="006F7539"/>
    <w:rsid w:val="00700BC8"/>
    <w:rsid w:val="00701E8C"/>
    <w:rsid w:val="007031BD"/>
    <w:rsid w:val="0071174F"/>
    <w:rsid w:val="00713FB4"/>
    <w:rsid w:val="0071519C"/>
    <w:rsid w:val="00720826"/>
    <w:rsid w:val="007239AA"/>
    <w:rsid w:val="00723BA4"/>
    <w:rsid w:val="007347A8"/>
    <w:rsid w:val="00735A82"/>
    <w:rsid w:val="007524E0"/>
    <w:rsid w:val="007536BE"/>
    <w:rsid w:val="00762AD0"/>
    <w:rsid w:val="00766CE3"/>
    <w:rsid w:val="007704B1"/>
    <w:rsid w:val="00775D40"/>
    <w:rsid w:val="00781837"/>
    <w:rsid w:val="007823CF"/>
    <w:rsid w:val="00784F12"/>
    <w:rsid w:val="00792D0A"/>
    <w:rsid w:val="0079652A"/>
    <w:rsid w:val="007A5155"/>
    <w:rsid w:val="007C00BC"/>
    <w:rsid w:val="007C179D"/>
    <w:rsid w:val="007C552C"/>
    <w:rsid w:val="007D3403"/>
    <w:rsid w:val="007D61D5"/>
    <w:rsid w:val="007F5CA2"/>
    <w:rsid w:val="0080136F"/>
    <w:rsid w:val="0080660D"/>
    <w:rsid w:val="00806699"/>
    <w:rsid w:val="00807C1C"/>
    <w:rsid w:val="00811AE1"/>
    <w:rsid w:val="00813EFA"/>
    <w:rsid w:val="00822637"/>
    <w:rsid w:val="0082579B"/>
    <w:rsid w:val="00827882"/>
    <w:rsid w:val="00831073"/>
    <w:rsid w:val="008523D4"/>
    <w:rsid w:val="00854562"/>
    <w:rsid w:val="008561C8"/>
    <w:rsid w:val="00856DF4"/>
    <w:rsid w:val="00863B15"/>
    <w:rsid w:val="00866F0C"/>
    <w:rsid w:val="00873832"/>
    <w:rsid w:val="00882251"/>
    <w:rsid w:val="00890FB7"/>
    <w:rsid w:val="0089426F"/>
    <w:rsid w:val="008A27A6"/>
    <w:rsid w:val="008B365F"/>
    <w:rsid w:val="008B4173"/>
    <w:rsid w:val="008B6EF3"/>
    <w:rsid w:val="008B7BC1"/>
    <w:rsid w:val="008C194F"/>
    <w:rsid w:val="008C4BC7"/>
    <w:rsid w:val="008C597D"/>
    <w:rsid w:val="008D0582"/>
    <w:rsid w:val="008D3C24"/>
    <w:rsid w:val="008D699F"/>
    <w:rsid w:val="008D6BFE"/>
    <w:rsid w:val="008E1AD7"/>
    <w:rsid w:val="008E637C"/>
    <w:rsid w:val="008F2002"/>
    <w:rsid w:val="008F7D01"/>
    <w:rsid w:val="009072E5"/>
    <w:rsid w:val="00910F4C"/>
    <w:rsid w:val="00917B9E"/>
    <w:rsid w:val="00932BD4"/>
    <w:rsid w:val="0093363C"/>
    <w:rsid w:val="009506F2"/>
    <w:rsid w:val="009666A6"/>
    <w:rsid w:val="009679BB"/>
    <w:rsid w:val="00971B09"/>
    <w:rsid w:val="009750B8"/>
    <w:rsid w:val="00975676"/>
    <w:rsid w:val="00985BB1"/>
    <w:rsid w:val="009A3A97"/>
    <w:rsid w:val="009B2C10"/>
    <w:rsid w:val="009B59D2"/>
    <w:rsid w:val="009C0E6D"/>
    <w:rsid w:val="009C1567"/>
    <w:rsid w:val="009C5B37"/>
    <w:rsid w:val="009C67E9"/>
    <w:rsid w:val="009C797E"/>
    <w:rsid w:val="009D0543"/>
    <w:rsid w:val="009D0DDC"/>
    <w:rsid w:val="009D1220"/>
    <w:rsid w:val="009D25EA"/>
    <w:rsid w:val="009D7429"/>
    <w:rsid w:val="009D7EFB"/>
    <w:rsid w:val="009E29F7"/>
    <w:rsid w:val="009F206D"/>
    <w:rsid w:val="009F4908"/>
    <w:rsid w:val="009F557F"/>
    <w:rsid w:val="00A00775"/>
    <w:rsid w:val="00A02ABC"/>
    <w:rsid w:val="00A047AA"/>
    <w:rsid w:val="00A04A75"/>
    <w:rsid w:val="00A04F8F"/>
    <w:rsid w:val="00A10C7D"/>
    <w:rsid w:val="00A1343F"/>
    <w:rsid w:val="00A2501C"/>
    <w:rsid w:val="00A33491"/>
    <w:rsid w:val="00A34D63"/>
    <w:rsid w:val="00A34F2B"/>
    <w:rsid w:val="00A43977"/>
    <w:rsid w:val="00A50C08"/>
    <w:rsid w:val="00A53902"/>
    <w:rsid w:val="00A64A15"/>
    <w:rsid w:val="00A65FB9"/>
    <w:rsid w:val="00A702A9"/>
    <w:rsid w:val="00A70D13"/>
    <w:rsid w:val="00A72E6A"/>
    <w:rsid w:val="00A75798"/>
    <w:rsid w:val="00A8066B"/>
    <w:rsid w:val="00A85F26"/>
    <w:rsid w:val="00A910D3"/>
    <w:rsid w:val="00A92FFB"/>
    <w:rsid w:val="00A93FC0"/>
    <w:rsid w:val="00A94D98"/>
    <w:rsid w:val="00A97D06"/>
    <w:rsid w:val="00AA40B6"/>
    <w:rsid w:val="00AA410D"/>
    <w:rsid w:val="00AA6793"/>
    <w:rsid w:val="00AA7912"/>
    <w:rsid w:val="00AB1E3E"/>
    <w:rsid w:val="00AC0163"/>
    <w:rsid w:val="00AC6E91"/>
    <w:rsid w:val="00AD17E0"/>
    <w:rsid w:val="00AD4B8E"/>
    <w:rsid w:val="00AD5656"/>
    <w:rsid w:val="00AD77EE"/>
    <w:rsid w:val="00AE0282"/>
    <w:rsid w:val="00AE1A20"/>
    <w:rsid w:val="00AE4E6E"/>
    <w:rsid w:val="00AF341D"/>
    <w:rsid w:val="00B0222B"/>
    <w:rsid w:val="00B0381D"/>
    <w:rsid w:val="00B0444C"/>
    <w:rsid w:val="00B057FD"/>
    <w:rsid w:val="00B12E13"/>
    <w:rsid w:val="00B14E38"/>
    <w:rsid w:val="00B234C2"/>
    <w:rsid w:val="00B27DD7"/>
    <w:rsid w:val="00B46D44"/>
    <w:rsid w:val="00B51E27"/>
    <w:rsid w:val="00B61728"/>
    <w:rsid w:val="00B63DF2"/>
    <w:rsid w:val="00B70D27"/>
    <w:rsid w:val="00B7121C"/>
    <w:rsid w:val="00B750BD"/>
    <w:rsid w:val="00B8103A"/>
    <w:rsid w:val="00B878F6"/>
    <w:rsid w:val="00B96E56"/>
    <w:rsid w:val="00B96EE2"/>
    <w:rsid w:val="00BA1E0D"/>
    <w:rsid w:val="00BA577A"/>
    <w:rsid w:val="00BA64EB"/>
    <w:rsid w:val="00BB013D"/>
    <w:rsid w:val="00BB0F41"/>
    <w:rsid w:val="00BB2521"/>
    <w:rsid w:val="00BB6771"/>
    <w:rsid w:val="00BC170D"/>
    <w:rsid w:val="00BC46F3"/>
    <w:rsid w:val="00BD2D21"/>
    <w:rsid w:val="00BD5BA1"/>
    <w:rsid w:val="00BE4640"/>
    <w:rsid w:val="00BF3C21"/>
    <w:rsid w:val="00BF40B3"/>
    <w:rsid w:val="00C022FB"/>
    <w:rsid w:val="00C044B3"/>
    <w:rsid w:val="00C06B0F"/>
    <w:rsid w:val="00C07977"/>
    <w:rsid w:val="00C1372F"/>
    <w:rsid w:val="00C13CF4"/>
    <w:rsid w:val="00C146B3"/>
    <w:rsid w:val="00C15D7E"/>
    <w:rsid w:val="00C163DC"/>
    <w:rsid w:val="00C17F0A"/>
    <w:rsid w:val="00C239C7"/>
    <w:rsid w:val="00C34445"/>
    <w:rsid w:val="00C35F60"/>
    <w:rsid w:val="00C36642"/>
    <w:rsid w:val="00C3672B"/>
    <w:rsid w:val="00C36CB6"/>
    <w:rsid w:val="00C37ACA"/>
    <w:rsid w:val="00C4636D"/>
    <w:rsid w:val="00C568C3"/>
    <w:rsid w:val="00C747A1"/>
    <w:rsid w:val="00C7696F"/>
    <w:rsid w:val="00C76B54"/>
    <w:rsid w:val="00C76F02"/>
    <w:rsid w:val="00C77444"/>
    <w:rsid w:val="00C77B5C"/>
    <w:rsid w:val="00C80386"/>
    <w:rsid w:val="00C81CE0"/>
    <w:rsid w:val="00C81EC7"/>
    <w:rsid w:val="00C83733"/>
    <w:rsid w:val="00C90DED"/>
    <w:rsid w:val="00C95402"/>
    <w:rsid w:val="00CA2095"/>
    <w:rsid w:val="00CA4188"/>
    <w:rsid w:val="00CA4F76"/>
    <w:rsid w:val="00CB5D2B"/>
    <w:rsid w:val="00CB6394"/>
    <w:rsid w:val="00CC1307"/>
    <w:rsid w:val="00CC6586"/>
    <w:rsid w:val="00CC7090"/>
    <w:rsid w:val="00CD0199"/>
    <w:rsid w:val="00CD4ED5"/>
    <w:rsid w:val="00CE70F7"/>
    <w:rsid w:val="00CE78DD"/>
    <w:rsid w:val="00CE79F1"/>
    <w:rsid w:val="00CF4CC8"/>
    <w:rsid w:val="00D01395"/>
    <w:rsid w:val="00D027DA"/>
    <w:rsid w:val="00D0444D"/>
    <w:rsid w:val="00D05E26"/>
    <w:rsid w:val="00D05FAF"/>
    <w:rsid w:val="00D11F79"/>
    <w:rsid w:val="00D1761F"/>
    <w:rsid w:val="00D20019"/>
    <w:rsid w:val="00D2195C"/>
    <w:rsid w:val="00D227EA"/>
    <w:rsid w:val="00D2534B"/>
    <w:rsid w:val="00D31DA9"/>
    <w:rsid w:val="00D34B9F"/>
    <w:rsid w:val="00D35E8E"/>
    <w:rsid w:val="00D436D1"/>
    <w:rsid w:val="00D61159"/>
    <w:rsid w:val="00D61F52"/>
    <w:rsid w:val="00D65057"/>
    <w:rsid w:val="00D67590"/>
    <w:rsid w:val="00D71BDF"/>
    <w:rsid w:val="00D71F9C"/>
    <w:rsid w:val="00D755AB"/>
    <w:rsid w:val="00DA2635"/>
    <w:rsid w:val="00DA692B"/>
    <w:rsid w:val="00DA7B16"/>
    <w:rsid w:val="00DC2D9B"/>
    <w:rsid w:val="00DC652B"/>
    <w:rsid w:val="00DD1A81"/>
    <w:rsid w:val="00DE2F8B"/>
    <w:rsid w:val="00DE60A1"/>
    <w:rsid w:val="00DE7222"/>
    <w:rsid w:val="00DF070C"/>
    <w:rsid w:val="00DF56AD"/>
    <w:rsid w:val="00DF5723"/>
    <w:rsid w:val="00E169CF"/>
    <w:rsid w:val="00E16BA3"/>
    <w:rsid w:val="00E23444"/>
    <w:rsid w:val="00E24B7F"/>
    <w:rsid w:val="00E25909"/>
    <w:rsid w:val="00E260E6"/>
    <w:rsid w:val="00E309C7"/>
    <w:rsid w:val="00E3281B"/>
    <w:rsid w:val="00E32D71"/>
    <w:rsid w:val="00E34FB7"/>
    <w:rsid w:val="00E41D4E"/>
    <w:rsid w:val="00E438FF"/>
    <w:rsid w:val="00E43DC1"/>
    <w:rsid w:val="00E465CF"/>
    <w:rsid w:val="00E53716"/>
    <w:rsid w:val="00E56245"/>
    <w:rsid w:val="00E568CF"/>
    <w:rsid w:val="00E76F26"/>
    <w:rsid w:val="00E80ECD"/>
    <w:rsid w:val="00E82C6E"/>
    <w:rsid w:val="00E868F0"/>
    <w:rsid w:val="00E901C8"/>
    <w:rsid w:val="00E91785"/>
    <w:rsid w:val="00E9178E"/>
    <w:rsid w:val="00E93105"/>
    <w:rsid w:val="00E94094"/>
    <w:rsid w:val="00E941BD"/>
    <w:rsid w:val="00EA55BE"/>
    <w:rsid w:val="00EA55DA"/>
    <w:rsid w:val="00EB17DC"/>
    <w:rsid w:val="00EC4FF2"/>
    <w:rsid w:val="00EC700C"/>
    <w:rsid w:val="00ED0811"/>
    <w:rsid w:val="00ED23D6"/>
    <w:rsid w:val="00ED7D93"/>
    <w:rsid w:val="00EF231F"/>
    <w:rsid w:val="00EF502F"/>
    <w:rsid w:val="00F01976"/>
    <w:rsid w:val="00F057E6"/>
    <w:rsid w:val="00F11557"/>
    <w:rsid w:val="00F1486C"/>
    <w:rsid w:val="00F16532"/>
    <w:rsid w:val="00F173D8"/>
    <w:rsid w:val="00F17641"/>
    <w:rsid w:val="00F20DC4"/>
    <w:rsid w:val="00F224EC"/>
    <w:rsid w:val="00F23A2F"/>
    <w:rsid w:val="00F251D9"/>
    <w:rsid w:val="00F263DC"/>
    <w:rsid w:val="00F27A8C"/>
    <w:rsid w:val="00F32409"/>
    <w:rsid w:val="00F3248B"/>
    <w:rsid w:val="00F3307C"/>
    <w:rsid w:val="00F33F05"/>
    <w:rsid w:val="00F42052"/>
    <w:rsid w:val="00F44866"/>
    <w:rsid w:val="00F52B2E"/>
    <w:rsid w:val="00F53CE7"/>
    <w:rsid w:val="00F548C4"/>
    <w:rsid w:val="00F64AA5"/>
    <w:rsid w:val="00F6671F"/>
    <w:rsid w:val="00F67079"/>
    <w:rsid w:val="00F723A9"/>
    <w:rsid w:val="00F8405C"/>
    <w:rsid w:val="00F86D16"/>
    <w:rsid w:val="00F91822"/>
    <w:rsid w:val="00F93265"/>
    <w:rsid w:val="00F93EFE"/>
    <w:rsid w:val="00FA1C44"/>
    <w:rsid w:val="00FA3B25"/>
    <w:rsid w:val="00FB4EC5"/>
    <w:rsid w:val="00FC1519"/>
    <w:rsid w:val="00FC1946"/>
    <w:rsid w:val="00FC43EC"/>
    <w:rsid w:val="00FC6360"/>
    <w:rsid w:val="00FD34A9"/>
    <w:rsid w:val="00FD5426"/>
    <w:rsid w:val="00FE0466"/>
    <w:rsid w:val="00FE2BA1"/>
    <w:rsid w:val="00FE56AD"/>
    <w:rsid w:val="00FE5E3E"/>
    <w:rsid w:val="00FE6D09"/>
    <w:rsid w:val="00FF3F0D"/>
    <w:rsid w:val="00FF466A"/>
    <w:rsid w:val="01242C13"/>
    <w:rsid w:val="012E47BC"/>
    <w:rsid w:val="015F14CC"/>
    <w:rsid w:val="016A18BB"/>
    <w:rsid w:val="019E0CA0"/>
    <w:rsid w:val="019E4F25"/>
    <w:rsid w:val="01A026F0"/>
    <w:rsid w:val="01F822FF"/>
    <w:rsid w:val="02030580"/>
    <w:rsid w:val="0212671C"/>
    <w:rsid w:val="021825F5"/>
    <w:rsid w:val="0219260C"/>
    <w:rsid w:val="02205968"/>
    <w:rsid w:val="02247532"/>
    <w:rsid w:val="023276B2"/>
    <w:rsid w:val="023D593B"/>
    <w:rsid w:val="024617D2"/>
    <w:rsid w:val="025479EA"/>
    <w:rsid w:val="02585E81"/>
    <w:rsid w:val="02792E97"/>
    <w:rsid w:val="027D0C39"/>
    <w:rsid w:val="02932217"/>
    <w:rsid w:val="02C00B3F"/>
    <w:rsid w:val="02C54C0F"/>
    <w:rsid w:val="02CC0202"/>
    <w:rsid w:val="02FE3428"/>
    <w:rsid w:val="033F29FA"/>
    <w:rsid w:val="03423ECE"/>
    <w:rsid w:val="034C1180"/>
    <w:rsid w:val="03726FC6"/>
    <w:rsid w:val="038652C6"/>
    <w:rsid w:val="038B1F39"/>
    <w:rsid w:val="03936BB9"/>
    <w:rsid w:val="03A9328A"/>
    <w:rsid w:val="03B32DC5"/>
    <w:rsid w:val="04561111"/>
    <w:rsid w:val="045E03A5"/>
    <w:rsid w:val="046532AA"/>
    <w:rsid w:val="04821641"/>
    <w:rsid w:val="04AB0FB3"/>
    <w:rsid w:val="04FC5702"/>
    <w:rsid w:val="051541D4"/>
    <w:rsid w:val="05397F6F"/>
    <w:rsid w:val="05480347"/>
    <w:rsid w:val="058037B8"/>
    <w:rsid w:val="05D120C2"/>
    <w:rsid w:val="066D542B"/>
    <w:rsid w:val="0685550E"/>
    <w:rsid w:val="068B411A"/>
    <w:rsid w:val="0697635E"/>
    <w:rsid w:val="06A12BC1"/>
    <w:rsid w:val="06A835B9"/>
    <w:rsid w:val="06AA33A6"/>
    <w:rsid w:val="06D73167"/>
    <w:rsid w:val="06D74D2C"/>
    <w:rsid w:val="06EF6A24"/>
    <w:rsid w:val="071F2B2D"/>
    <w:rsid w:val="07272FEF"/>
    <w:rsid w:val="07497803"/>
    <w:rsid w:val="074A6695"/>
    <w:rsid w:val="07524990"/>
    <w:rsid w:val="07611FC2"/>
    <w:rsid w:val="07810992"/>
    <w:rsid w:val="07BD55C8"/>
    <w:rsid w:val="07C33C5C"/>
    <w:rsid w:val="07C766EF"/>
    <w:rsid w:val="07F6398C"/>
    <w:rsid w:val="080F5EFD"/>
    <w:rsid w:val="081060E0"/>
    <w:rsid w:val="081D049A"/>
    <w:rsid w:val="0825387A"/>
    <w:rsid w:val="082C7FB4"/>
    <w:rsid w:val="08480D08"/>
    <w:rsid w:val="08617233"/>
    <w:rsid w:val="08823AA7"/>
    <w:rsid w:val="08B01CBB"/>
    <w:rsid w:val="08DD1D65"/>
    <w:rsid w:val="09023E0B"/>
    <w:rsid w:val="094D24EB"/>
    <w:rsid w:val="094D3FF6"/>
    <w:rsid w:val="094E5EB9"/>
    <w:rsid w:val="094F20FB"/>
    <w:rsid w:val="095172BC"/>
    <w:rsid w:val="096058E7"/>
    <w:rsid w:val="09647A9E"/>
    <w:rsid w:val="097144D4"/>
    <w:rsid w:val="097A454E"/>
    <w:rsid w:val="09D763BA"/>
    <w:rsid w:val="09EB4446"/>
    <w:rsid w:val="09F10BD4"/>
    <w:rsid w:val="09F764E4"/>
    <w:rsid w:val="0A02373B"/>
    <w:rsid w:val="0A185980"/>
    <w:rsid w:val="0A687EAF"/>
    <w:rsid w:val="0A690634"/>
    <w:rsid w:val="0A73715D"/>
    <w:rsid w:val="0A74547A"/>
    <w:rsid w:val="0A863864"/>
    <w:rsid w:val="0A921FC9"/>
    <w:rsid w:val="0AA00117"/>
    <w:rsid w:val="0AA350C7"/>
    <w:rsid w:val="0AB16EAD"/>
    <w:rsid w:val="0ABD27B9"/>
    <w:rsid w:val="0AC95B7F"/>
    <w:rsid w:val="0AE67C59"/>
    <w:rsid w:val="0AEB64A8"/>
    <w:rsid w:val="0AED3445"/>
    <w:rsid w:val="0AEF2A28"/>
    <w:rsid w:val="0AEF3D91"/>
    <w:rsid w:val="0B10610A"/>
    <w:rsid w:val="0B16337F"/>
    <w:rsid w:val="0B48684A"/>
    <w:rsid w:val="0B533B29"/>
    <w:rsid w:val="0B611699"/>
    <w:rsid w:val="0B631A54"/>
    <w:rsid w:val="0B672CAB"/>
    <w:rsid w:val="0B917159"/>
    <w:rsid w:val="0BB77A09"/>
    <w:rsid w:val="0BE0144B"/>
    <w:rsid w:val="0BE10566"/>
    <w:rsid w:val="0C234552"/>
    <w:rsid w:val="0C3236E7"/>
    <w:rsid w:val="0C6644F0"/>
    <w:rsid w:val="0C6D71DA"/>
    <w:rsid w:val="0CAD3327"/>
    <w:rsid w:val="0CD011BF"/>
    <w:rsid w:val="0CD31EEE"/>
    <w:rsid w:val="0CF90426"/>
    <w:rsid w:val="0D0E6389"/>
    <w:rsid w:val="0D530349"/>
    <w:rsid w:val="0D5864B2"/>
    <w:rsid w:val="0D6320C7"/>
    <w:rsid w:val="0D6A1AC0"/>
    <w:rsid w:val="0D985A4A"/>
    <w:rsid w:val="0D9A0057"/>
    <w:rsid w:val="0D9A7FBF"/>
    <w:rsid w:val="0DA55F6E"/>
    <w:rsid w:val="0DAC0102"/>
    <w:rsid w:val="0DCB7236"/>
    <w:rsid w:val="0DF907A8"/>
    <w:rsid w:val="0E06669C"/>
    <w:rsid w:val="0E4B3EC9"/>
    <w:rsid w:val="0E505E27"/>
    <w:rsid w:val="0E60507D"/>
    <w:rsid w:val="0E6813E1"/>
    <w:rsid w:val="0E69734A"/>
    <w:rsid w:val="0E79781C"/>
    <w:rsid w:val="0E900A38"/>
    <w:rsid w:val="0EAA475B"/>
    <w:rsid w:val="0EBB45CD"/>
    <w:rsid w:val="0ECD3250"/>
    <w:rsid w:val="0EEC0317"/>
    <w:rsid w:val="0F296500"/>
    <w:rsid w:val="0F460C39"/>
    <w:rsid w:val="0F4625A4"/>
    <w:rsid w:val="0F5020D4"/>
    <w:rsid w:val="0F751ABC"/>
    <w:rsid w:val="0F7F58F3"/>
    <w:rsid w:val="0FC958CE"/>
    <w:rsid w:val="0FD41F31"/>
    <w:rsid w:val="0FF06732"/>
    <w:rsid w:val="100E052E"/>
    <w:rsid w:val="102C7EE4"/>
    <w:rsid w:val="10493D6C"/>
    <w:rsid w:val="1051038C"/>
    <w:rsid w:val="105B3D8A"/>
    <w:rsid w:val="106B2C22"/>
    <w:rsid w:val="107340E9"/>
    <w:rsid w:val="107A5358"/>
    <w:rsid w:val="1082485A"/>
    <w:rsid w:val="1088086E"/>
    <w:rsid w:val="10927E8D"/>
    <w:rsid w:val="109C580E"/>
    <w:rsid w:val="10AC3178"/>
    <w:rsid w:val="10CB786E"/>
    <w:rsid w:val="10F26732"/>
    <w:rsid w:val="10F332A2"/>
    <w:rsid w:val="10F378F4"/>
    <w:rsid w:val="10F55783"/>
    <w:rsid w:val="113B45F9"/>
    <w:rsid w:val="114306D4"/>
    <w:rsid w:val="11A82D4D"/>
    <w:rsid w:val="11B562D3"/>
    <w:rsid w:val="11ED3D2D"/>
    <w:rsid w:val="11FF7ED8"/>
    <w:rsid w:val="122B7064"/>
    <w:rsid w:val="12652437"/>
    <w:rsid w:val="127119AE"/>
    <w:rsid w:val="12A400B1"/>
    <w:rsid w:val="12BD0AF4"/>
    <w:rsid w:val="12CE72CA"/>
    <w:rsid w:val="12D2057A"/>
    <w:rsid w:val="12D81D58"/>
    <w:rsid w:val="12EB69CE"/>
    <w:rsid w:val="131831CB"/>
    <w:rsid w:val="133678EB"/>
    <w:rsid w:val="13465BC3"/>
    <w:rsid w:val="13677FB4"/>
    <w:rsid w:val="1379231B"/>
    <w:rsid w:val="139E5A9A"/>
    <w:rsid w:val="13BB084D"/>
    <w:rsid w:val="13CA1266"/>
    <w:rsid w:val="13E777B4"/>
    <w:rsid w:val="13E94203"/>
    <w:rsid w:val="13F15346"/>
    <w:rsid w:val="145B492E"/>
    <w:rsid w:val="146A234F"/>
    <w:rsid w:val="14886FE3"/>
    <w:rsid w:val="14961447"/>
    <w:rsid w:val="14AB52F3"/>
    <w:rsid w:val="14AF52CE"/>
    <w:rsid w:val="14D81366"/>
    <w:rsid w:val="1503142F"/>
    <w:rsid w:val="15407E88"/>
    <w:rsid w:val="15437BBF"/>
    <w:rsid w:val="154709A0"/>
    <w:rsid w:val="15592A1E"/>
    <w:rsid w:val="15604361"/>
    <w:rsid w:val="157771FD"/>
    <w:rsid w:val="15862569"/>
    <w:rsid w:val="15B55363"/>
    <w:rsid w:val="15C169AC"/>
    <w:rsid w:val="15DE2ACF"/>
    <w:rsid w:val="15E34845"/>
    <w:rsid w:val="162A47A6"/>
    <w:rsid w:val="164F69E2"/>
    <w:rsid w:val="169D0EEE"/>
    <w:rsid w:val="16A14C32"/>
    <w:rsid w:val="16B179E3"/>
    <w:rsid w:val="16EA3009"/>
    <w:rsid w:val="175541EA"/>
    <w:rsid w:val="1767027E"/>
    <w:rsid w:val="176E2188"/>
    <w:rsid w:val="17D1698C"/>
    <w:rsid w:val="17E476BA"/>
    <w:rsid w:val="18110CF1"/>
    <w:rsid w:val="183335DD"/>
    <w:rsid w:val="184875A4"/>
    <w:rsid w:val="184C19B3"/>
    <w:rsid w:val="1863423D"/>
    <w:rsid w:val="18BA6D08"/>
    <w:rsid w:val="18F66960"/>
    <w:rsid w:val="18FA2926"/>
    <w:rsid w:val="190374F4"/>
    <w:rsid w:val="190B7053"/>
    <w:rsid w:val="19124A0E"/>
    <w:rsid w:val="1928107C"/>
    <w:rsid w:val="19710132"/>
    <w:rsid w:val="19AC7816"/>
    <w:rsid w:val="19C17ACF"/>
    <w:rsid w:val="19D27DA3"/>
    <w:rsid w:val="19D31D01"/>
    <w:rsid w:val="19DA3DDC"/>
    <w:rsid w:val="19E26DAC"/>
    <w:rsid w:val="19E411F4"/>
    <w:rsid w:val="19EA132A"/>
    <w:rsid w:val="1A002A52"/>
    <w:rsid w:val="1A194B10"/>
    <w:rsid w:val="1A3641C6"/>
    <w:rsid w:val="1A8A51F3"/>
    <w:rsid w:val="1AB1723D"/>
    <w:rsid w:val="1AC6675E"/>
    <w:rsid w:val="1AF24A1B"/>
    <w:rsid w:val="1B094270"/>
    <w:rsid w:val="1B55025B"/>
    <w:rsid w:val="1B6D3A2C"/>
    <w:rsid w:val="1B782112"/>
    <w:rsid w:val="1B7D291E"/>
    <w:rsid w:val="1B846FA7"/>
    <w:rsid w:val="1BAF5235"/>
    <w:rsid w:val="1BC55301"/>
    <w:rsid w:val="1C1E2754"/>
    <w:rsid w:val="1C225C02"/>
    <w:rsid w:val="1C577B84"/>
    <w:rsid w:val="1C587CA7"/>
    <w:rsid w:val="1C827192"/>
    <w:rsid w:val="1CA977B8"/>
    <w:rsid w:val="1CD6070E"/>
    <w:rsid w:val="1D003658"/>
    <w:rsid w:val="1D0E45CC"/>
    <w:rsid w:val="1D1432C9"/>
    <w:rsid w:val="1D433871"/>
    <w:rsid w:val="1D767C76"/>
    <w:rsid w:val="1D8F2F1D"/>
    <w:rsid w:val="1DD76D3F"/>
    <w:rsid w:val="1DE64EB9"/>
    <w:rsid w:val="1DEA59EB"/>
    <w:rsid w:val="1E137BDA"/>
    <w:rsid w:val="1E3D2725"/>
    <w:rsid w:val="1E4644CC"/>
    <w:rsid w:val="1E4C5A51"/>
    <w:rsid w:val="1E673486"/>
    <w:rsid w:val="1E99239A"/>
    <w:rsid w:val="1EA651AD"/>
    <w:rsid w:val="1EAC6328"/>
    <w:rsid w:val="1EEF3382"/>
    <w:rsid w:val="1F532602"/>
    <w:rsid w:val="1F6A3BAE"/>
    <w:rsid w:val="1F944431"/>
    <w:rsid w:val="1FB3007D"/>
    <w:rsid w:val="1FB63565"/>
    <w:rsid w:val="1FBD5A9E"/>
    <w:rsid w:val="1FC86FB2"/>
    <w:rsid w:val="1FCA7A0C"/>
    <w:rsid w:val="1FE93919"/>
    <w:rsid w:val="1FEB2938"/>
    <w:rsid w:val="20017C8D"/>
    <w:rsid w:val="20244DBF"/>
    <w:rsid w:val="2028771A"/>
    <w:rsid w:val="203A052E"/>
    <w:rsid w:val="205250C8"/>
    <w:rsid w:val="20557887"/>
    <w:rsid w:val="20752AD2"/>
    <w:rsid w:val="208C386A"/>
    <w:rsid w:val="208D5545"/>
    <w:rsid w:val="209F6A6B"/>
    <w:rsid w:val="20D91FEB"/>
    <w:rsid w:val="21133D08"/>
    <w:rsid w:val="211E47B1"/>
    <w:rsid w:val="21293BE3"/>
    <w:rsid w:val="213B0E23"/>
    <w:rsid w:val="21502E35"/>
    <w:rsid w:val="215B18CA"/>
    <w:rsid w:val="21853984"/>
    <w:rsid w:val="218913EB"/>
    <w:rsid w:val="21BA12EC"/>
    <w:rsid w:val="21BF6859"/>
    <w:rsid w:val="21DB0BBB"/>
    <w:rsid w:val="221B7C48"/>
    <w:rsid w:val="22306C0D"/>
    <w:rsid w:val="224C7E9B"/>
    <w:rsid w:val="22672F31"/>
    <w:rsid w:val="22690DF8"/>
    <w:rsid w:val="228B768D"/>
    <w:rsid w:val="22970212"/>
    <w:rsid w:val="22AA1106"/>
    <w:rsid w:val="22B1623E"/>
    <w:rsid w:val="22E047E0"/>
    <w:rsid w:val="22EB005F"/>
    <w:rsid w:val="22F70F48"/>
    <w:rsid w:val="23061CAF"/>
    <w:rsid w:val="23074E39"/>
    <w:rsid w:val="230963C7"/>
    <w:rsid w:val="234248DE"/>
    <w:rsid w:val="23756A38"/>
    <w:rsid w:val="23904FF5"/>
    <w:rsid w:val="23920140"/>
    <w:rsid w:val="23BC0851"/>
    <w:rsid w:val="23BD66F6"/>
    <w:rsid w:val="23E862F7"/>
    <w:rsid w:val="23EC0A1A"/>
    <w:rsid w:val="23FE2357"/>
    <w:rsid w:val="241D49DF"/>
    <w:rsid w:val="243B1D34"/>
    <w:rsid w:val="24754239"/>
    <w:rsid w:val="24C63A20"/>
    <w:rsid w:val="24CE06D9"/>
    <w:rsid w:val="24E27EFD"/>
    <w:rsid w:val="25086843"/>
    <w:rsid w:val="2515425A"/>
    <w:rsid w:val="251E0750"/>
    <w:rsid w:val="251F3280"/>
    <w:rsid w:val="25306BC8"/>
    <w:rsid w:val="25400257"/>
    <w:rsid w:val="25416241"/>
    <w:rsid w:val="25931026"/>
    <w:rsid w:val="25BC5CB5"/>
    <w:rsid w:val="26073A94"/>
    <w:rsid w:val="26140373"/>
    <w:rsid w:val="26274989"/>
    <w:rsid w:val="263715A6"/>
    <w:rsid w:val="26372F1B"/>
    <w:rsid w:val="26502C7E"/>
    <w:rsid w:val="266427D3"/>
    <w:rsid w:val="26737F8B"/>
    <w:rsid w:val="2675674A"/>
    <w:rsid w:val="26846979"/>
    <w:rsid w:val="268B606C"/>
    <w:rsid w:val="268F3ECE"/>
    <w:rsid w:val="26AD2238"/>
    <w:rsid w:val="26DC0E49"/>
    <w:rsid w:val="276F5FFD"/>
    <w:rsid w:val="27A0622A"/>
    <w:rsid w:val="27B13BAB"/>
    <w:rsid w:val="280C2F29"/>
    <w:rsid w:val="28175BCB"/>
    <w:rsid w:val="282003EE"/>
    <w:rsid w:val="28377241"/>
    <w:rsid w:val="2875037A"/>
    <w:rsid w:val="28804AE3"/>
    <w:rsid w:val="28833CDC"/>
    <w:rsid w:val="289F2FF8"/>
    <w:rsid w:val="28B223C7"/>
    <w:rsid w:val="28B30360"/>
    <w:rsid w:val="28C02C78"/>
    <w:rsid w:val="28C4477D"/>
    <w:rsid w:val="28E56986"/>
    <w:rsid w:val="29132D20"/>
    <w:rsid w:val="293E708B"/>
    <w:rsid w:val="295B375F"/>
    <w:rsid w:val="296B6333"/>
    <w:rsid w:val="29BD120F"/>
    <w:rsid w:val="29C769C8"/>
    <w:rsid w:val="29F36D30"/>
    <w:rsid w:val="2A7E7762"/>
    <w:rsid w:val="2A84382F"/>
    <w:rsid w:val="2A861913"/>
    <w:rsid w:val="2AAB7761"/>
    <w:rsid w:val="2ACF5A8C"/>
    <w:rsid w:val="2ADF4AAE"/>
    <w:rsid w:val="2AE15BBC"/>
    <w:rsid w:val="2AEA4BF6"/>
    <w:rsid w:val="2AF51552"/>
    <w:rsid w:val="2B2621F1"/>
    <w:rsid w:val="2B514E6E"/>
    <w:rsid w:val="2B6935A1"/>
    <w:rsid w:val="2B833DCF"/>
    <w:rsid w:val="2B9C72A6"/>
    <w:rsid w:val="2BB023F4"/>
    <w:rsid w:val="2BBD332F"/>
    <w:rsid w:val="2BC05B7D"/>
    <w:rsid w:val="2C1B00B8"/>
    <w:rsid w:val="2C380E59"/>
    <w:rsid w:val="2C943DF0"/>
    <w:rsid w:val="2C963375"/>
    <w:rsid w:val="2CB03304"/>
    <w:rsid w:val="2CB949F3"/>
    <w:rsid w:val="2CF921E0"/>
    <w:rsid w:val="2D6D7FF0"/>
    <w:rsid w:val="2D715351"/>
    <w:rsid w:val="2D962D8D"/>
    <w:rsid w:val="2DA65AC5"/>
    <w:rsid w:val="2DDC0D17"/>
    <w:rsid w:val="2E102C19"/>
    <w:rsid w:val="2E6B6A11"/>
    <w:rsid w:val="2EAF6666"/>
    <w:rsid w:val="2EB6764F"/>
    <w:rsid w:val="2EBD7AFE"/>
    <w:rsid w:val="2EC82742"/>
    <w:rsid w:val="2ED33693"/>
    <w:rsid w:val="2ED37B2F"/>
    <w:rsid w:val="2EFB7F93"/>
    <w:rsid w:val="2F6971AB"/>
    <w:rsid w:val="2F836B7D"/>
    <w:rsid w:val="2F885F06"/>
    <w:rsid w:val="2F9A5D86"/>
    <w:rsid w:val="2FAF559D"/>
    <w:rsid w:val="2FE23FCB"/>
    <w:rsid w:val="300666FE"/>
    <w:rsid w:val="300D77D0"/>
    <w:rsid w:val="301E0A3C"/>
    <w:rsid w:val="30387810"/>
    <w:rsid w:val="30424923"/>
    <w:rsid w:val="306669FE"/>
    <w:rsid w:val="309D2130"/>
    <w:rsid w:val="30C07D8B"/>
    <w:rsid w:val="310D28FD"/>
    <w:rsid w:val="31252805"/>
    <w:rsid w:val="312622CD"/>
    <w:rsid w:val="312D353E"/>
    <w:rsid w:val="313B7238"/>
    <w:rsid w:val="31C132B8"/>
    <w:rsid w:val="31E2622B"/>
    <w:rsid w:val="31F65A58"/>
    <w:rsid w:val="32001512"/>
    <w:rsid w:val="32263C46"/>
    <w:rsid w:val="323462E3"/>
    <w:rsid w:val="32435C17"/>
    <w:rsid w:val="326C4772"/>
    <w:rsid w:val="328A0DE0"/>
    <w:rsid w:val="329B1CA5"/>
    <w:rsid w:val="32A457A0"/>
    <w:rsid w:val="32C75315"/>
    <w:rsid w:val="32C90E39"/>
    <w:rsid w:val="32D84872"/>
    <w:rsid w:val="32E34AC5"/>
    <w:rsid w:val="33200DA5"/>
    <w:rsid w:val="33415E96"/>
    <w:rsid w:val="334603F1"/>
    <w:rsid w:val="33D9504C"/>
    <w:rsid w:val="33FF0667"/>
    <w:rsid w:val="341A06B8"/>
    <w:rsid w:val="342535CA"/>
    <w:rsid w:val="342E5F04"/>
    <w:rsid w:val="34363BCF"/>
    <w:rsid w:val="34832720"/>
    <w:rsid w:val="34940253"/>
    <w:rsid w:val="34A913BC"/>
    <w:rsid w:val="34E16FD0"/>
    <w:rsid w:val="351933CE"/>
    <w:rsid w:val="351C7225"/>
    <w:rsid w:val="35852EE6"/>
    <w:rsid w:val="35A940E4"/>
    <w:rsid w:val="35C1052E"/>
    <w:rsid w:val="35D1507F"/>
    <w:rsid w:val="360D456A"/>
    <w:rsid w:val="36301CAE"/>
    <w:rsid w:val="36525ABC"/>
    <w:rsid w:val="365D1D42"/>
    <w:rsid w:val="366B14B6"/>
    <w:rsid w:val="36A24CBE"/>
    <w:rsid w:val="36BC7D30"/>
    <w:rsid w:val="36E4646B"/>
    <w:rsid w:val="36ED09E1"/>
    <w:rsid w:val="36FF2FAF"/>
    <w:rsid w:val="37043DD0"/>
    <w:rsid w:val="371010A4"/>
    <w:rsid w:val="3712505D"/>
    <w:rsid w:val="37371A73"/>
    <w:rsid w:val="37391EF8"/>
    <w:rsid w:val="37543839"/>
    <w:rsid w:val="37585C03"/>
    <w:rsid w:val="3791168D"/>
    <w:rsid w:val="37A909A1"/>
    <w:rsid w:val="37AF7725"/>
    <w:rsid w:val="37B71B23"/>
    <w:rsid w:val="37D43B4A"/>
    <w:rsid w:val="37D52777"/>
    <w:rsid w:val="37EF25FC"/>
    <w:rsid w:val="3803251F"/>
    <w:rsid w:val="38134DDD"/>
    <w:rsid w:val="386028BD"/>
    <w:rsid w:val="38A323E3"/>
    <w:rsid w:val="38AB6509"/>
    <w:rsid w:val="38C67BAB"/>
    <w:rsid w:val="38CD6FC7"/>
    <w:rsid w:val="38FF4D7B"/>
    <w:rsid w:val="39243F17"/>
    <w:rsid w:val="393F21CD"/>
    <w:rsid w:val="39414F48"/>
    <w:rsid w:val="394C66DD"/>
    <w:rsid w:val="394F1964"/>
    <w:rsid w:val="39580F5C"/>
    <w:rsid w:val="39764AE3"/>
    <w:rsid w:val="39764D37"/>
    <w:rsid w:val="398E7A4F"/>
    <w:rsid w:val="399D1D8C"/>
    <w:rsid w:val="39A302CD"/>
    <w:rsid w:val="39CF68F2"/>
    <w:rsid w:val="39D40465"/>
    <w:rsid w:val="3A1D41C2"/>
    <w:rsid w:val="3A3C49CE"/>
    <w:rsid w:val="3A7B0D51"/>
    <w:rsid w:val="3A832650"/>
    <w:rsid w:val="3A8F605B"/>
    <w:rsid w:val="3A9E39E6"/>
    <w:rsid w:val="3AA01844"/>
    <w:rsid w:val="3ABE68ED"/>
    <w:rsid w:val="3AD663D9"/>
    <w:rsid w:val="3ADA6B11"/>
    <w:rsid w:val="3ADF4F48"/>
    <w:rsid w:val="3AF72B50"/>
    <w:rsid w:val="3B3D0765"/>
    <w:rsid w:val="3B57295A"/>
    <w:rsid w:val="3B802375"/>
    <w:rsid w:val="3BB13E90"/>
    <w:rsid w:val="3BF70ED4"/>
    <w:rsid w:val="3C266052"/>
    <w:rsid w:val="3C2A617C"/>
    <w:rsid w:val="3C34469E"/>
    <w:rsid w:val="3C3C22BB"/>
    <w:rsid w:val="3CA40291"/>
    <w:rsid w:val="3CE04F2F"/>
    <w:rsid w:val="3D171C8D"/>
    <w:rsid w:val="3D1E5B4D"/>
    <w:rsid w:val="3D2070AD"/>
    <w:rsid w:val="3D2364DC"/>
    <w:rsid w:val="3D3313E5"/>
    <w:rsid w:val="3D394DCA"/>
    <w:rsid w:val="3D495B05"/>
    <w:rsid w:val="3D5A1923"/>
    <w:rsid w:val="3D5D1196"/>
    <w:rsid w:val="3D602A61"/>
    <w:rsid w:val="3D9D0729"/>
    <w:rsid w:val="3DAA6918"/>
    <w:rsid w:val="3DAC39CF"/>
    <w:rsid w:val="3DAE434A"/>
    <w:rsid w:val="3DBE5FDD"/>
    <w:rsid w:val="3DFD4B06"/>
    <w:rsid w:val="3E234D34"/>
    <w:rsid w:val="3E4B6981"/>
    <w:rsid w:val="3E9C5A29"/>
    <w:rsid w:val="3E9E0341"/>
    <w:rsid w:val="3EBE084F"/>
    <w:rsid w:val="3EC32B74"/>
    <w:rsid w:val="3ECE38A5"/>
    <w:rsid w:val="3ED21C93"/>
    <w:rsid w:val="3ED560C2"/>
    <w:rsid w:val="3ED92825"/>
    <w:rsid w:val="3EDB7087"/>
    <w:rsid w:val="3F062266"/>
    <w:rsid w:val="3F326DBB"/>
    <w:rsid w:val="3F4258D8"/>
    <w:rsid w:val="3F4D04E1"/>
    <w:rsid w:val="3F4E4B32"/>
    <w:rsid w:val="3F6C437C"/>
    <w:rsid w:val="3F9B7C9F"/>
    <w:rsid w:val="3F9E7572"/>
    <w:rsid w:val="3FDA1D33"/>
    <w:rsid w:val="3FE815EE"/>
    <w:rsid w:val="3FF43AB6"/>
    <w:rsid w:val="3FFD40DA"/>
    <w:rsid w:val="40421F86"/>
    <w:rsid w:val="405A2C27"/>
    <w:rsid w:val="409A68BE"/>
    <w:rsid w:val="40B821A2"/>
    <w:rsid w:val="40C713B2"/>
    <w:rsid w:val="40DC05C4"/>
    <w:rsid w:val="40EC294D"/>
    <w:rsid w:val="411B675F"/>
    <w:rsid w:val="4152107E"/>
    <w:rsid w:val="41567FFC"/>
    <w:rsid w:val="417C6FA2"/>
    <w:rsid w:val="419F3437"/>
    <w:rsid w:val="41BC66C5"/>
    <w:rsid w:val="41F17578"/>
    <w:rsid w:val="42007BC3"/>
    <w:rsid w:val="42087690"/>
    <w:rsid w:val="422723C1"/>
    <w:rsid w:val="42326BA3"/>
    <w:rsid w:val="42582020"/>
    <w:rsid w:val="4284245B"/>
    <w:rsid w:val="42A06BA3"/>
    <w:rsid w:val="42AB5E0B"/>
    <w:rsid w:val="42AC1AFD"/>
    <w:rsid w:val="42C80099"/>
    <w:rsid w:val="42D03DF9"/>
    <w:rsid w:val="42E83CFB"/>
    <w:rsid w:val="432675D2"/>
    <w:rsid w:val="4351111A"/>
    <w:rsid w:val="43804A43"/>
    <w:rsid w:val="43891467"/>
    <w:rsid w:val="438E3BC4"/>
    <w:rsid w:val="43A05748"/>
    <w:rsid w:val="43A10B9A"/>
    <w:rsid w:val="43BB6DA2"/>
    <w:rsid w:val="43C14219"/>
    <w:rsid w:val="43DC17D0"/>
    <w:rsid w:val="440D4BE6"/>
    <w:rsid w:val="441060A4"/>
    <w:rsid w:val="441D73F8"/>
    <w:rsid w:val="445608B5"/>
    <w:rsid w:val="445C25FF"/>
    <w:rsid w:val="446304B7"/>
    <w:rsid w:val="446374FE"/>
    <w:rsid w:val="44897E3F"/>
    <w:rsid w:val="449527F5"/>
    <w:rsid w:val="449A179A"/>
    <w:rsid w:val="44DB4FEE"/>
    <w:rsid w:val="45201CD0"/>
    <w:rsid w:val="45360356"/>
    <w:rsid w:val="453B4135"/>
    <w:rsid w:val="453B4205"/>
    <w:rsid w:val="45A95584"/>
    <w:rsid w:val="45C50207"/>
    <w:rsid w:val="45D35864"/>
    <w:rsid w:val="45F95A34"/>
    <w:rsid w:val="45FD6F20"/>
    <w:rsid w:val="461236E2"/>
    <w:rsid w:val="461934A2"/>
    <w:rsid w:val="46AB36C5"/>
    <w:rsid w:val="46B40B6B"/>
    <w:rsid w:val="46D64DD7"/>
    <w:rsid w:val="46F43BD9"/>
    <w:rsid w:val="47164926"/>
    <w:rsid w:val="472C3214"/>
    <w:rsid w:val="477C216F"/>
    <w:rsid w:val="47864E8A"/>
    <w:rsid w:val="478B7576"/>
    <w:rsid w:val="47DD10CD"/>
    <w:rsid w:val="47FA27CD"/>
    <w:rsid w:val="48041B5A"/>
    <w:rsid w:val="4811308C"/>
    <w:rsid w:val="48164085"/>
    <w:rsid w:val="48247808"/>
    <w:rsid w:val="48283DF9"/>
    <w:rsid w:val="482A61D8"/>
    <w:rsid w:val="483155B0"/>
    <w:rsid w:val="4838727D"/>
    <w:rsid w:val="48A279E5"/>
    <w:rsid w:val="48C948DD"/>
    <w:rsid w:val="48D907A6"/>
    <w:rsid w:val="48EB3FED"/>
    <w:rsid w:val="49931DD8"/>
    <w:rsid w:val="499C7B5B"/>
    <w:rsid w:val="49BB4DFF"/>
    <w:rsid w:val="49F6413D"/>
    <w:rsid w:val="49FA5896"/>
    <w:rsid w:val="4A186E22"/>
    <w:rsid w:val="4A193E58"/>
    <w:rsid w:val="4A34738D"/>
    <w:rsid w:val="4A5828CB"/>
    <w:rsid w:val="4A7C6F42"/>
    <w:rsid w:val="4AAB7AF7"/>
    <w:rsid w:val="4AAD6354"/>
    <w:rsid w:val="4ABA6312"/>
    <w:rsid w:val="4AC23A65"/>
    <w:rsid w:val="4ADD0FD3"/>
    <w:rsid w:val="4AE9143A"/>
    <w:rsid w:val="4AEC356A"/>
    <w:rsid w:val="4B1C42F3"/>
    <w:rsid w:val="4B3D4D2C"/>
    <w:rsid w:val="4B660844"/>
    <w:rsid w:val="4B73498C"/>
    <w:rsid w:val="4B8A588A"/>
    <w:rsid w:val="4BA91448"/>
    <w:rsid w:val="4BB15C21"/>
    <w:rsid w:val="4BE81C37"/>
    <w:rsid w:val="4C183B72"/>
    <w:rsid w:val="4C7B6189"/>
    <w:rsid w:val="4C840960"/>
    <w:rsid w:val="4CB1447E"/>
    <w:rsid w:val="4CB4640A"/>
    <w:rsid w:val="4CF0640F"/>
    <w:rsid w:val="4CF90350"/>
    <w:rsid w:val="4D1A1400"/>
    <w:rsid w:val="4D241A45"/>
    <w:rsid w:val="4D4C3BBB"/>
    <w:rsid w:val="4D4F3090"/>
    <w:rsid w:val="4D56203C"/>
    <w:rsid w:val="4D5964F5"/>
    <w:rsid w:val="4D682D12"/>
    <w:rsid w:val="4D76630F"/>
    <w:rsid w:val="4D8A1785"/>
    <w:rsid w:val="4DB230B6"/>
    <w:rsid w:val="4DC6199B"/>
    <w:rsid w:val="4DE2467A"/>
    <w:rsid w:val="4E222DD0"/>
    <w:rsid w:val="4E263CA7"/>
    <w:rsid w:val="4E3653FD"/>
    <w:rsid w:val="4E473566"/>
    <w:rsid w:val="4E5972CA"/>
    <w:rsid w:val="4E8B47DA"/>
    <w:rsid w:val="4EA5389D"/>
    <w:rsid w:val="4EAC7D9B"/>
    <w:rsid w:val="4EB733D6"/>
    <w:rsid w:val="4EC42789"/>
    <w:rsid w:val="4EC42E3A"/>
    <w:rsid w:val="4F1C0BF4"/>
    <w:rsid w:val="4F204FEB"/>
    <w:rsid w:val="4F2925A3"/>
    <w:rsid w:val="4F321DBF"/>
    <w:rsid w:val="4F4D1362"/>
    <w:rsid w:val="4F527254"/>
    <w:rsid w:val="4F64260B"/>
    <w:rsid w:val="4F76219C"/>
    <w:rsid w:val="4F881C01"/>
    <w:rsid w:val="4FA85A61"/>
    <w:rsid w:val="4FF151D1"/>
    <w:rsid w:val="50051C68"/>
    <w:rsid w:val="502E71B6"/>
    <w:rsid w:val="50744D60"/>
    <w:rsid w:val="50803083"/>
    <w:rsid w:val="50AD68A1"/>
    <w:rsid w:val="50C5493E"/>
    <w:rsid w:val="50E35884"/>
    <w:rsid w:val="51081349"/>
    <w:rsid w:val="51326CC0"/>
    <w:rsid w:val="5136179F"/>
    <w:rsid w:val="51431745"/>
    <w:rsid w:val="51722F47"/>
    <w:rsid w:val="518C6FEF"/>
    <w:rsid w:val="519C0829"/>
    <w:rsid w:val="51E31151"/>
    <w:rsid w:val="51F46B32"/>
    <w:rsid w:val="520354CA"/>
    <w:rsid w:val="52162F30"/>
    <w:rsid w:val="523C2CD5"/>
    <w:rsid w:val="524C3FFD"/>
    <w:rsid w:val="5251709C"/>
    <w:rsid w:val="525E7ED3"/>
    <w:rsid w:val="52624042"/>
    <w:rsid w:val="526B79C8"/>
    <w:rsid w:val="52754FA0"/>
    <w:rsid w:val="52A36D3A"/>
    <w:rsid w:val="52B21848"/>
    <w:rsid w:val="52E01C2A"/>
    <w:rsid w:val="52EB3673"/>
    <w:rsid w:val="531C6B04"/>
    <w:rsid w:val="53365130"/>
    <w:rsid w:val="53435ACD"/>
    <w:rsid w:val="53AD720F"/>
    <w:rsid w:val="53BB7614"/>
    <w:rsid w:val="53DD23EB"/>
    <w:rsid w:val="53F90458"/>
    <w:rsid w:val="54856F34"/>
    <w:rsid w:val="54A12775"/>
    <w:rsid w:val="54B8031D"/>
    <w:rsid w:val="54DB1C81"/>
    <w:rsid w:val="54E813D1"/>
    <w:rsid w:val="550D1E59"/>
    <w:rsid w:val="551D5901"/>
    <w:rsid w:val="551F483C"/>
    <w:rsid w:val="55787787"/>
    <w:rsid w:val="55846C8C"/>
    <w:rsid w:val="559054CA"/>
    <w:rsid w:val="55A24D34"/>
    <w:rsid w:val="55BF392A"/>
    <w:rsid w:val="55D903ED"/>
    <w:rsid w:val="55F845A9"/>
    <w:rsid w:val="55FD727F"/>
    <w:rsid w:val="562770B6"/>
    <w:rsid w:val="56423CFE"/>
    <w:rsid w:val="5666608B"/>
    <w:rsid w:val="567758D3"/>
    <w:rsid w:val="568B69AD"/>
    <w:rsid w:val="568D1ECF"/>
    <w:rsid w:val="569F3353"/>
    <w:rsid w:val="56A81C1A"/>
    <w:rsid w:val="56BB0F21"/>
    <w:rsid w:val="56DF3EEF"/>
    <w:rsid w:val="56E967F4"/>
    <w:rsid w:val="577A2243"/>
    <w:rsid w:val="579F1FA6"/>
    <w:rsid w:val="57A64E3C"/>
    <w:rsid w:val="57CD4A9B"/>
    <w:rsid w:val="57D17F4B"/>
    <w:rsid w:val="57E30BA4"/>
    <w:rsid w:val="57F934C0"/>
    <w:rsid w:val="580B28E0"/>
    <w:rsid w:val="582D7405"/>
    <w:rsid w:val="583F6838"/>
    <w:rsid w:val="58693540"/>
    <w:rsid w:val="58747601"/>
    <w:rsid w:val="587D5B9D"/>
    <w:rsid w:val="58951C97"/>
    <w:rsid w:val="58B0410D"/>
    <w:rsid w:val="58C62C27"/>
    <w:rsid w:val="58C963C2"/>
    <w:rsid w:val="58C9779F"/>
    <w:rsid w:val="58CC2A45"/>
    <w:rsid w:val="58E902F3"/>
    <w:rsid w:val="58F1126B"/>
    <w:rsid w:val="58FC5AEF"/>
    <w:rsid w:val="591E45BB"/>
    <w:rsid w:val="594D59B9"/>
    <w:rsid w:val="59565347"/>
    <w:rsid w:val="595E0F5F"/>
    <w:rsid w:val="596072C0"/>
    <w:rsid w:val="596379A9"/>
    <w:rsid w:val="597D0736"/>
    <w:rsid w:val="599F5B46"/>
    <w:rsid w:val="59D17D75"/>
    <w:rsid w:val="59D471D7"/>
    <w:rsid w:val="59ED7A0D"/>
    <w:rsid w:val="5A1716C7"/>
    <w:rsid w:val="5A216B42"/>
    <w:rsid w:val="5A366F84"/>
    <w:rsid w:val="5A3F0176"/>
    <w:rsid w:val="5A54300F"/>
    <w:rsid w:val="5A823A5C"/>
    <w:rsid w:val="5A8B61EC"/>
    <w:rsid w:val="5A9839CA"/>
    <w:rsid w:val="5AE8322E"/>
    <w:rsid w:val="5B0D7295"/>
    <w:rsid w:val="5B206399"/>
    <w:rsid w:val="5B237CCF"/>
    <w:rsid w:val="5B8F5279"/>
    <w:rsid w:val="5B9C6201"/>
    <w:rsid w:val="5BBB57E9"/>
    <w:rsid w:val="5BC42752"/>
    <w:rsid w:val="5BCA0DC4"/>
    <w:rsid w:val="5BD133DF"/>
    <w:rsid w:val="5BD366A4"/>
    <w:rsid w:val="5C104A64"/>
    <w:rsid w:val="5C3E78DA"/>
    <w:rsid w:val="5C640E34"/>
    <w:rsid w:val="5C6D3417"/>
    <w:rsid w:val="5C791AF9"/>
    <w:rsid w:val="5CAB6275"/>
    <w:rsid w:val="5CC01C76"/>
    <w:rsid w:val="5CD613BF"/>
    <w:rsid w:val="5CEA09D4"/>
    <w:rsid w:val="5D7D107B"/>
    <w:rsid w:val="5D805E90"/>
    <w:rsid w:val="5D891A0B"/>
    <w:rsid w:val="5D99571A"/>
    <w:rsid w:val="5DC86830"/>
    <w:rsid w:val="5DCE38B6"/>
    <w:rsid w:val="5E1F592C"/>
    <w:rsid w:val="5E3E0B29"/>
    <w:rsid w:val="5E5C762A"/>
    <w:rsid w:val="5E6D6520"/>
    <w:rsid w:val="5E8179BF"/>
    <w:rsid w:val="5E9F7467"/>
    <w:rsid w:val="5EDC1C29"/>
    <w:rsid w:val="5EED4DDF"/>
    <w:rsid w:val="5EFF0ED2"/>
    <w:rsid w:val="5F0F3BDA"/>
    <w:rsid w:val="5FAA528E"/>
    <w:rsid w:val="5FD73AA6"/>
    <w:rsid w:val="5FD85EAF"/>
    <w:rsid w:val="5FED699E"/>
    <w:rsid w:val="60317F1A"/>
    <w:rsid w:val="603D7336"/>
    <w:rsid w:val="60577D9E"/>
    <w:rsid w:val="608F1BD3"/>
    <w:rsid w:val="60B66389"/>
    <w:rsid w:val="60CB5003"/>
    <w:rsid w:val="60DA51E0"/>
    <w:rsid w:val="60F9348F"/>
    <w:rsid w:val="61001EE7"/>
    <w:rsid w:val="611063D0"/>
    <w:rsid w:val="612B0565"/>
    <w:rsid w:val="61565142"/>
    <w:rsid w:val="61595065"/>
    <w:rsid w:val="61731A90"/>
    <w:rsid w:val="61A60683"/>
    <w:rsid w:val="61AE49B8"/>
    <w:rsid w:val="61E35707"/>
    <w:rsid w:val="61FF1CF2"/>
    <w:rsid w:val="62047664"/>
    <w:rsid w:val="62430512"/>
    <w:rsid w:val="62461BBC"/>
    <w:rsid w:val="62470A50"/>
    <w:rsid w:val="628506AB"/>
    <w:rsid w:val="628B5453"/>
    <w:rsid w:val="62983D63"/>
    <w:rsid w:val="629902D9"/>
    <w:rsid w:val="62990785"/>
    <w:rsid w:val="62D658DD"/>
    <w:rsid w:val="62DF39AC"/>
    <w:rsid w:val="62E2229C"/>
    <w:rsid w:val="6324017C"/>
    <w:rsid w:val="634E4C70"/>
    <w:rsid w:val="63521116"/>
    <w:rsid w:val="63550837"/>
    <w:rsid w:val="6384063B"/>
    <w:rsid w:val="63AF2E7A"/>
    <w:rsid w:val="63B13391"/>
    <w:rsid w:val="63B425DD"/>
    <w:rsid w:val="63CA0164"/>
    <w:rsid w:val="63D363CB"/>
    <w:rsid w:val="63F3712C"/>
    <w:rsid w:val="63FE569C"/>
    <w:rsid w:val="64045DDF"/>
    <w:rsid w:val="640970EE"/>
    <w:rsid w:val="642A7729"/>
    <w:rsid w:val="642E0E41"/>
    <w:rsid w:val="644E2285"/>
    <w:rsid w:val="645E5EB7"/>
    <w:rsid w:val="64A8406D"/>
    <w:rsid w:val="64B0068F"/>
    <w:rsid w:val="64B0634B"/>
    <w:rsid w:val="64B25ACE"/>
    <w:rsid w:val="64C60289"/>
    <w:rsid w:val="64F636B2"/>
    <w:rsid w:val="64F92F17"/>
    <w:rsid w:val="65275675"/>
    <w:rsid w:val="65484427"/>
    <w:rsid w:val="654D533E"/>
    <w:rsid w:val="655330A9"/>
    <w:rsid w:val="655B5C45"/>
    <w:rsid w:val="656712FE"/>
    <w:rsid w:val="65691302"/>
    <w:rsid w:val="658F1D57"/>
    <w:rsid w:val="65900957"/>
    <w:rsid w:val="65AD379D"/>
    <w:rsid w:val="65BE0D07"/>
    <w:rsid w:val="65DD0D4C"/>
    <w:rsid w:val="65E6167B"/>
    <w:rsid w:val="65E96EC8"/>
    <w:rsid w:val="66482D7B"/>
    <w:rsid w:val="66AB7A8C"/>
    <w:rsid w:val="66EB0C77"/>
    <w:rsid w:val="66FF7D25"/>
    <w:rsid w:val="670A6B58"/>
    <w:rsid w:val="671777A4"/>
    <w:rsid w:val="6725030C"/>
    <w:rsid w:val="67261565"/>
    <w:rsid w:val="67420658"/>
    <w:rsid w:val="675178A4"/>
    <w:rsid w:val="67A50830"/>
    <w:rsid w:val="67E166BC"/>
    <w:rsid w:val="681D57FC"/>
    <w:rsid w:val="6825582C"/>
    <w:rsid w:val="683376FC"/>
    <w:rsid w:val="683A68A8"/>
    <w:rsid w:val="68400AB2"/>
    <w:rsid w:val="6891313E"/>
    <w:rsid w:val="689A44D2"/>
    <w:rsid w:val="68AF3735"/>
    <w:rsid w:val="68D80E6A"/>
    <w:rsid w:val="68DE5218"/>
    <w:rsid w:val="68E47A64"/>
    <w:rsid w:val="68E94352"/>
    <w:rsid w:val="68F058E5"/>
    <w:rsid w:val="68F05CB6"/>
    <w:rsid w:val="68F242A5"/>
    <w:rsid w:val="68F8559A"/>
    <w:rsid w:val="69615001"/>
    <w:rsid w:val="69630DF9"/>
    <w:rsid w:val="696778E1"/>
    <w:rsid w:val="696F5F5E"/>
    <w:rsid w:val="69781887"/>
    <w:rsid w:val="69945F1A"/>
    <w:rsid w:val="6997792C"/>
    <w:rsid w:val="69C356D6"/>
    <w:rsid w:val="69D152E0"/>
    <w:rsid w:val="69D77EF3"/>
    <w:rsid w:val="69DD1BB9"/>
    <w:rsid w:val="69DE7195"/>
    <w:rsid w:val="69F27C40"/>
    <w:rsid w:val="6A0E5162"/>
    <w:rsid w:val="6A570FF3"/>
    <w:rsid w:val="6A5F7EB4"/>
    <w:rsid w:val="6A62397F"/>
    <w:rsid w:val="6A991EA0"/>
    <w:rsid w:val="6B147302"/>
    <w:rsid w:val="6B353BDC"/>
    <w:rsid w:val="6B7708CD"/>
    <w:rsid w:val="6B8428B4"/>
    <w:rsid w:val="6B91544B"/>
    <w:rsid w:val="6BA1564D"/>
    <w:rsid w:val="6BC80763"/>
    <w:rsid w:val="6BCA73D5"/>
    <w:rsid w:val="6BFE239F"/>
    <w:rsid w:val="6C267CEF"/>
    <w:rsid w:val="6C271424"/>
    <w:rsid w:val="6C341F9D"/>
    <w:rsid w:val="6C570F89"/>
    <w:rsid w:val="6C854AC6"/>
    <w:rsid w:val="6C9E3F84"/>
    <w:rsid w:val="6CCB2A5C"/>
    <w:rsid w:val="6CCE109B"/>
    <w:rsid w:val="6CD3363D"/>
    <w:rsid w:val="6CDC7D5F"/>
    <w:rsid w:val="6CE47F86"/>
    <w:rsid w:val="6CEF474A"/>
    <w:rsid w:val="6CF02B5F"/>
    <w:rsid w:val="6D1115D4"/>
    <w:rsid w:val="6D294AB5"/>
    <w:rsid w:val="6D3A60CF"/>
    <w:rsid w:val="6D4D6254"/>
    <w:rsid w:val="6D652811"/>
    <w:rsid w:val="6DAB268D"/>
    <w:rsid w:val="6DB95BFE"/>
    <w:rsid w:val="6DCF2C30"/>
    <w:rsid w:val="6DD37E1D"/>
    <w:rsid w:val="6DD54B48"/>
    <w:rsid w:val="6DEF3963"/>
    <w:rsid w:val="6E251D8C"/>
    <w:rsid w:val="6E35541C"/>
    <w:rsid w:val="6E426BBF"/>
    <w:rsid w:val="6E451788"/>
    <w:rsid w:val="6E541B46"/>
    <w:rsid w:val="6E6B40D8"/>
    <w:rsid w:val="6E72585A"/>
    <w:rsid w:val="6EC553D5"/>
    <w:rsid w:val="6EDB15BA"/>
    <w:rsid w:val="6EDF677F"/>
    <w:rsid w:val="6EFC5B9F"/>
    <w:rsid w:val="6F074349"/>
    <w:rsid w:val="6F6A1C9B"/>
    <w:rsid w:val="6FC36E3E"/>
    <w:rsid w:val="6FC844B0"/>
    <w:rsid w:val="6FC91D09"/>
    <w:rsid w:val="6FDA5914"/>
    <w:rsid w:val="6FEA3F10"/>
    <w:rsid w:val="70087796"/>
    <w:rsid w:val="70342030"/>
    <w:rsid w:val="705C066F"/>
    <w:rsid w:val="70642C37"/>
    <w:rsid w:val="707741EA"/>
    <w:rsid w:val="707C63BB"/>
    <w:rsid w:val="70826347"/>
    <w:rsid w:val="709741CE"/>
    <w:rsid w:val="70CE3CD6"/>
    <w:rsid w:val="70FB7EDE"/>
    <w:rsid w:val="710E380E"/>
    <w:rsid w:val="713558AD"/>
    <w:rsid w:val="7176061E"/>
    <w:rsid w:val="71A07317"/>
    <w:rsid w:val="71B23F18"/>
    <w:rsid w:val="71C031E4"/>
    <w:rsid w:val="71D70086"/>
    <w:rsid w:val="71D821BD"/>
    <w:rsid w:val="721F7F67"/>
    <w:rsid w:val="722E188E"/>
    <w:rsid w:val="72506E52"/>
    <w:rsid w:val="72A632A2"/>
    <w:rsid w:val="72F40F30"/>
    <w:rsid w:val="731A6169"/>
    <w:rsid w:val="73223DF1"/>
    <w:rsid w:val="734073C9"/>
    <w:rsid w:val="734E1FCC"/>
    <w:rsid w:val="738D0B84"/>
    <w:rsid w:val="73AB049F"/>
    <w:rsid w:val="73AC3ACD"/>
    <w:rsid w:val="73BA09E4"/>
    <w:rsid w:val="73D27D03"/>
    <w:rsid w:val="73D82ED8"/>
    <w:rsid w:val="73F51DC9"/>
    <w:rsid w:val="740C383A"/>
    <w:rsid w:val="74232A0F"/>
    <w:rsid w:val="74605124"/>
    <w:rsid w:val="74633D61"/>
    <w:rsid w:val="746F110A"/>
    <w:rsid w:val="74981804"/>
    <w:rsid w:val="74A62A32"/>
    <w:rsid w:val="74BD2955"/>
    <w:rsid w:val="74DA01CE"/>
    <w:rsid w:val="74E11CE7"/>
    <w:rsid w:val="74F40A21"/>
    <w:rsid w:val="74F97802"/>
    <w:rsid w:val="75061530"/>
    <w:rsid w:val="75285984"/>
    <w:rsid w:val="753472D5"/>
    <w:rsid w:val="757A24EA"/>
    <w:rsid w:val="75D92836"/>
    <w:rsid w:val="75E53387"/>
    <w:rsid w:val="764752C2"/>
    <w:rsid w:val="765066FA"/>
    <w:rsid w:val="7673786C"/>
    <w:rsid w:val="768A2565"/>
    <w:rsid w:val="76976535"/>
    <w:rsid w:val="769B0408"/>
    <w:rsid w:val="76A96441"/>
    <w:rsid w:val="76C754C8"/>
    <w:rsid w:val="76CB08DE"/>
    <w:rsid w:val="7703572D"/>
    <w:rsid w:val="77052BDB"/>
    <w:rsid w:val="770C277D"/>
    <w:rsid w:val="77240BDD"/>
    <w:rsid w:val="77285F8B"/>
    <w:rsid w:val="775F49BD"/>
    <w:rsid w:val="777802C3"/>
    <w:rsid w:val="777F50DF"/>
    <w:rsid w:val="77A82C87"/>
    <w:rsid w:val="77A92195"/>
    <w:rsid w:val="77C45E09"/>
    <w:rsid w:val="77DE66A1"/>
    <w:rsid w:val="78032BBE"/>
    <w:rsid w:val="78346968"/>
    <w:rsid w:val="786B4B71"/>
    <w:rsid w:val="789E1322"/>
    <w:rsid w:val="78A22660"/>
    <w:rsid w:val="78AB5BC7"/>
    <w:rsid w:val="78B7400D"/>
    <w:rsid w:val="78CF1CF6"/>
    <w:rsid w:val="78D665EA"/>
    <w:rsid w:val="78E05ACF"/>
    <w:rsid w:val="78E9231B"/>
    <w:rsid w:val="78F77A6A"/>
    <w:rsid w:val="790C4611"/>
    <w:rsid w:val="7916621F"/>
    <w:rsid w:val="791A21AC"/>
    <w:rsid w:val="791F2A74"/>
    <w:rsid w:val="795D5BCF"/>
    <w:rsid w:val="79647BD1"/>
    <w:rsid w:val="79747802"/>
    <w:rsid w:val="797A12D2"/>
    <w:rsid w:val="79821501"/>
    <w:rsid w:val="79A64908"/>
    <w:rsid w:val="79C50288"/>
    <w:rsid w:val="79D17055"/>
    <w:rsid w:val="79E93CD4"/>
    <w:rsid w:val="79F955AD"/>
    <w:rsid w:val="7A8240F2"/>
    <w:rsid w:val="7A8E4DD2"/>
    <w:rsid w:val="7A9B02A0"/>
    <w:rsid w:val="7A9C34F5"/>
    <w:rsid w:val="7A9F00A9"/>
    <w:rsid w:val="7AAA7A56"/>
    <w:rsid w:val="7AB94D01"/>
    <w:rsid w:val="7AF8651D"/>
    <w:rsid w:val="7B586720"/>
    <w:rsid w:val="7B687C99"/>
    <w:rsid w:val="7B8D5F7B"/>
    <w:rsid w:val="7B954B1C"/>
    <w:rsid w:val="7C126E09"/>
    <w:rsid w:val="7C127F67"/>
    <w:rsid w:val="7C3946D8"/>
    <w:rsid w:val="7C41114A"/>
    <w:rsid w:val="7C5A528B"/>
    <w:rsid w:val="7CA273D9"/>
    <w:rsid w:val="7CB00C2C"/>
    <w:rsid w:val="7CB16284"/>
    <w:rsid w:val="7CB94A4B"/>
    <w:rsid w:val="7CCE5944"/>
    <w:rsid w:val="7CDD6C48"/>
    <w:rsid w:val="7CF62105"/>
    <w:rsid w:val="7D274C72"/>
    <w:rsid w:val="7D335DCB"/>
    <w:rsid w:val="7D4F4198"/>
    <w:rsid w:val="7D7216A8"/>
    <w:rsid w:val="7D7F1882"/>
    <w:rsid w:val="7D981D3C"/>
    <w:rsid w:val="7DBC38D5"/>
    <w:rsid w:val="7DDE2123"/>
    <w:rsid w:val="7DE37724"/>
    <w:rsid w:val="7DEE0D61"/>
    <w:rsid w:val="7E0C2614"/>
    <w:rsid w:val="7E5A3003"/>
    <w:rsid w:val="7E6525EC"/>
    <w:rsid w:val="7E712FC6"/>
    <w:rsid w:val="7E73447D"/>
    <w:rsid w:val="7EAE2013"/>
    <w:rsid w:val="7EE550A7"/>
    <w:rsid w:val="7EFD562F"/>
    <w:rsid w:val="7F093C4D"/>
    <w:rsid w:val="7F181840"/>
    <w:rsid w:val="7F3344EE"/>
    <w:rsid w:val="7F3911C6"/>
    <w:rsid w:val="7F6355D8"/>
    <w:rsid w:val="7F6446ED"/>
    <w:rsid w:val="7F743823"/>
    <w:rsid w:val="7F752978"/>
    <w:rsid w:val="7F942DB0"/>
    <w:rsid w:val="7FA32AB8"/>
    <w:rsid w:val="7FB73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rFonts w:eastAsia="Century Gothic"/>
      <w:b/>
      <w:bCs/>
      <w:kern w:val="44"/>
      <w:sz w:val="44"/>
      <w:szCs w:val="44"/>
    </w:rPr>
  </w:style>
  <w:style w:type="paragraph" w:styleId="4">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5"/>
    <w:basedOn w:val="1"/>
    <w:next w:val="1"/>
    <w:qFormat/>
    <w:uiPriority w:val="0"/>
    <w:pPr>
      <w:widowControl/>
      <w:spacing w:before="240" w:after="60"/>
      <w:jc w:val="left"/>
      <w:outlineLvl w:val="4"/>
    </w:pPr>
    <w:rPr>
      <w:rFonts w:ascii="MS Sans Serif" w:eastAsia="MS Sans Serif"/>
      <w:kern w:val="0"/>
      <w:sz w:val="24"/>
      <w:szCs w:val="20"/>
    </w:rPr>
  </w:style>
  <w:style w:type="paragraph" w:styleId="8">
    <w:name w:val="heading 6"/>
    <w:basedOn w:val="1"/>
    <w:next w:val="9"/>
    <w:qFormat/>
    <w:uiPriority w:val="0"/>
    <w:pPr>
      <w:keepNext/>
      <w:keepLines/>
      <w:spacing w:before="240" w:after="64" w:line="320" w:lineRule="auto"/>
      <w:outlineLvl w:val="5"/>
    </w:pPr>
    <w:rPr>
      <w:rFonts w:ascii="黑体" w:hAnsi="黑体" w:eastAsia="楷体"/>
      <w:b/>
      <w:sz w:val="24"/>
      <w:szCs w:val="20"/>
    </w:rPr>
  </w:style>
  <w:style w:type="paragraph" w:styleId="10">
    <w:name w:val="heading 7"/>
    <w:basedOn w:val="1"/>
    <w:next w:val="9"/>
    <w:qFormat/>
    <w:uiPriority w:val="0"/>
    <w:pPr>
      <w:keepNext/>
      <w:keepLines/>
      <w:spacing w:before="240" w:after="64" w:line="320" w:lineRule="auto"/>
      <w:outlineLvl w:val="6"/>
    </w:pPr>
    <w:rPr>
      <w:b/>
      <w:sz w:val="24"/>
      <w:szCs w:val="20"/>
    </w:rPr>
  </w:style>
  <w:style w:type="paragraph" w:styleId="11">
    <w:name w:val="heading 8"/>
    <w:basedOn w:val="1"/>
    <w:next w:val="9"/>
    <w:qFormat/>
    <w:uiPriority w:val="0"/>
    <w:pPr>
      <w:keepNext/>
      <w:keepLines/>
      <w:spacing w:before="240" w:after="64" w:line="320" w:lineRule="auto"/>
      <w:outlineLvl w:val="7"/>
    </w:pPr>
    <w:rPr>
      <w:rFonts w:ascii="黑体" w:hAnsi="黑体" w:eastAsia="楷体"/>
      <w:sz w:val="24"/>
      <w:szCs w:val="20"/>
    </w:rPr>
  </w:style>
  <w:style w:type="paragraph" w:styleId="12">
    <w:name w:val="heading 9"/>
    <w:basedOn w:val="1"/>
    <w:next w:val="9"/>
    <w:qFormat/>
    <w:uiPriority w:val="0"/>
    <w:pPr>
      <w:keepNext/>
      <w:keepLines/>
      <w:spacing w:before="240" w:after="64" w:line="320" w:lineRule="auto"/>
      <w:outlineLvl w:val="8"/>
    </w:pPr>
    <w:rPr>
      <w:rFonts w:ascii="黑体" w:hAnsi="黑体" w:eastAsia="楷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55"/>
    <w:qFormat/>
    <w:uiPriority w:val="0"/>
    <w:pPr>
      <w:adjustRightInd w:val="0"/>
      <w:spacing w:line="360" w:lineRule="auto"/>
      <w:ind w:firstLine="490"/>
      <w:jc w:val="left"/>
    </w:pPr>
    <w:rPr>
      <w:rFonts w:ascii="Century Gothic" w:hAnsi="Century Gothic" w:eastAsia="Century Gothic"/>
      <w:sz w:val="24"/>
      <w:szCs w:val="20"/>
    </w:rPr>
  </w:style>
  <w:style w:type="paragraph" w:styleId="9">
    <w:name w:val="Normal Indent"/>
    <w:basedOn w:val="1"/>
    <w:next w:val="2"/>
    <w:link w:val="52"/>
    <w:qFormat/>
    <w:uiPriority w:val="0"/>
    <w:pPr>
      <w:widowControl/>
      <w:ind w:firstLine="420"/>
      <w:jc w:val="left"/>
    </w:pPr>
    <w:rPr>
      <w:rFonts w:ascii="Arial" w:hAnsi="Arial" w:cs="Arial"/>
      <w:kern w:val="0"/>
      <w:sz w:val="20"/>
      <w:szCs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w:basedOn w:val="1"/>
    <w:next w:val="19"/>
    <w:link w:val="67"/>
    <w:qFormat/>
    <w:uiPriority w:val="99"/>
    <w:pPr>
      <w:spacing w:after="120"/>
    </w:pPr>
  </w:style>
  <w:style w:type="paragraph" w:styleId="19">
    <w:name w:val="Body Text First Indent"/>
    <w:basedOn w:val="18"/>
    <w:qFormat/>
    <w:uiPriority w:val="0"/>
    <w:pPr>
      <w:ind w:firstLine="420"/>
    </w:pPr>
  </w:style>
  <w:style w:type="paragraph" w:styleId="20">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semiHidden/>
    <w:qFormat/>
    <w:uiPriority w:val="0"/>
    <w:pPr>
      <w:ind w:left="420"/>
      <w:jc w:val="left"/>
    </w:pPr>
    <w:rPr>
      <w:i/>
      <w:iCs/>
      <w:sz w:val="20"/>
      <w:szCs w:val="20"/>
    </w:rPr>
  </w:style>
  <w:style w:type="paragraph" w:styleId="24">
    <w:name w:val="Plain Text"/>
    <w:basedOn w:val="1"/>
    <w:link w:val="76"/>
    <w:qFormat/>
    <w:uiPriority w:val="0"/>
    <w:rPr>
      <w:rFonts w:ascii="Century Gothic" w:hAnsi="楷体_GB2312" w:eastAsia="Century Gothic" w:cs="楷体_GB2312"/>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8">
    <w:name w:val="Balloon Text"/>
    <w:basedOn w:val="1"/>
    <w:semiHidden/>
    <w:qFormat/>
    <w:uiPriority w:val="0"/>
    <w:rPr>
      <w:sz w:val="18"/>
      <w:szCs w:val="18"/>
    </w:rPr>
  </w:style>
  <w:style w:type="paragraph" w:styleId="29">
    <w:name w:val="footer"/>
    <w:basedOn w:val="1"/>
    <w:link w:val="72"/>
    <w:qFormat/>
    <w:uiPriority w:val="0"/>
    <w:pPr>
      <w:tabs>
        <w:tab w:val="center" w:pos="4153"/>
        <w:tab w:val="right" w:pos="8306"/>
      </w:tabs>
      <w:adjustRightInd w:val="0"/>
      <w:jc w:val="left"/>
    </w:pPr>
    <w:rPr>
      <w:rFonts w:eastAsia="Century Gothic"/>
      <w:sz w:val="18"/>
      <w:szCs w:val="20"/>
    </w:rPr>
  </w:style>
  <w:style w:type="paragraph" w:styleId="30">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1">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toc 6"/>
    <w:basedOn w:val="1"/>
    <w:next w:val="1"/>
    <w:semiHidden/>
    <w:qFormat/>
    <w:uiPriority w:val="0"/>
    <w:pPr>
      <w:ind w:left="1050"/>
      <w:jc w:val="left"/>
    </w:pPr>
    <w:rPr>
      <w:sz w:val="18"/>
      <w:szCs w:val="18"/>
    </w:rPr>
  </w:style>
  <w:style w:type="paragraph" w:styleId="34">
    <w:name w:val="List 5"/>
    <w:basedOn w:val="1"/>
    <w:qFormat/>
    <w:uiPriority w:val="0"/>
    <w:pPr>
      <w:ind w:left="100" w:leftChars="800" w:hanging="200" w:hangingChars="200"/>
    </w:pPr>
    <w:rPr>
      <w:szCs w:val="20"/>
    </w:rPr>
  </w:style>
  <w:style w:type="paragraph" w:styleId="35">
    <w:name w:val="Body Text Indent 3"/>
    <w:basedOn w:val="1"/>
    <w:qFormat/>
    <w:uiPriority w:val="0"/>
    <w:pPr>
      <w:spacing w:after="120"/>
      <w:ind w:left="420" w:leftChars="200"/>
    </w:pPr>
    <w:rPr>
      <w:sz w:val="16"/>
      <w:szCs w:val="16"/>
    </w:rPr>
  </w:style>
  <w:style w:type="paragraph" w:styleId="36">
    <w:name w:val="toc 2"/>
    <w:basedOn w:val="1"/>
    <w:next w:val="1"/>
    <w:qFormat/>
    <w:uiPriority w:val="39"/>
    <w:pPr>
      <w:tabs>
        <w:tab w:val="right" w:leader="dot" w:pos="8720"/>
      </w:tabs>
      <w:adjustRightInd w:val="0"/>
      <w:snapToGrid w:val="0"/>
      <w:jc w:val="left"/>
    </w:pPr>
    <w:rPr>
      <w:smallCaps/>
      <w:sz w:val="20"/>
      <w:szCs w:val="20"/>
    </w:r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rPr>
      <w:sz w:val="24"/>
    </w:rPr>
  </w:style>
  <w:style w:type="paragraph" w:styleId="39">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40">
    <w:name w:val="Title"/>
    <w:basedOn w:val="1"/>
    <w:next w:val="1"/>
    <w:qFormat/>
    <w:uiPriority w:val="0"/>
    <w:pPr>
      <w:tabs>
        <w:tab w:val="left" w:pos="1200"/>
      </w:tabs>
      <w:spacing w:afterLines="200"/>
      <w:ind w:left="1440" w:hanging="720"/>
      <w:jc w:val="center"/>
    </w:pPr>
    <w:rPr>
      <w:b/>
      <w:bCs/>
      <w:spacing w:val="60"/>
      <w:sz w:val="32"/>
    </w:rPr>
  </w:style>
  <w:style w:type="paragraph" w:styleId="41">
    <w:name w:val="annotation subject"/>
    <w:basedOn w:val="17"/>
    <w:next w:val="17"/>
    <w:semiHidden/>
    <w:qFormat/>
    <w:uiPriority w:val="0"/>
    <w:rPr>
      <w:b/>
      <w:bCs/>
    </w:rPr>
  </w:style>
  <w:style w:type="paragraph" w:styleId="42">
    <w:name w:val="Body Text First Indent 2"/>
    <w:basedOn w:val="2"/>
    <w:qFormat/>
    <w:uiPriority w:val="0"/>
    <w:pPr>
      <w:autoSpaceDE w:val="0"/>
      <w:autoSpaceDN w:val="0"/>
      <w:spacing w:after="120"/>
      <w:ind w:left="420" w:leftChars="200" w:firstLine="420" w:firstLineChars="200"/>
    </w:pPr>
  </w:style>
  <w:style w:type="table" w:styleId="44">
    <w:name w:val="Table Grid"/>
    <w:basedOn w:val="4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semiHidden/>
    <w:qFormat/>
    <w:uiPriority w:val="0"/>
    <w:rPr>
      <w:sz w:val="21"/>
      <w:szCs w:val="21"/>
    </w:rPr>
  </w:style>
  <w:style w:type="character" w:customStyle="1" w:styleId="51">
    <w:name w:val="font61"/>
    <w:qFormat/>
    <w:uiPriority w:val="0"/>
    <w:rPr>
      <w:rFonts w:ascii="宋体" w:hAnsi="宋体" w:eastAsia="宋体" w:cs="宋体"/>
      <w:color w:val="000000"/>
      <w:sz w:val="24"/>
      <w:szCs w:val="24"/>
      <w:u w:val="none"/>
    </w:rPr>
  </w:style>
  <w:style w:type="character" w:customStyle="1" w:styleId="52">
    <w:name w:val="正文缩进 Char"/>
    <w:link w:val="9"/>
    <w:qFormat/>
    <w:uiPriority w:val="0"/>
    <w:rPr>
      <w:rFonts w:ascii="Arial" w:hAnsi="Arial" w:eastAsia="宋体" w:cs="Arial"/>
      <w:lang w:val="en-US" w:eastAsia="zh-CN" w:bidi="ar-SA"/>
    </w:rPr>
  </w:style>
  <w:style w:type="character" w:customStyle="1" w:styleId="53">
    <w:name w:val="font01"/>
    <w:qFormat/>
    <w:uiPriority w:val="0"/>
    <w:rPr>
      <w:rFonts w:hint="eastAsia" w:ascii="宋体" w:hAnsi="宋体" w:eastAsia="宋体" w:cs="宋体"/>
      <w:color w:val="000000"/>
      <w:sz w:val="22"/>
      <w:szCs w:val="22"/>
      <w:u w:val="none"/>
    </w:rPr>
  </w:style>
  <w:style w:type="character" w:customStyle="1" w:styleId="54">
    <w:name w:val="Char Char"/>
    <w:qFormat/>
    <w:uiPriority w:val="0"/>
    <w:rPr>
      <w:rFonts w:ascii="Courier New" w:eastAsia="Courier New"/>
      <w:color w:val="FF0000"/>
      <w:kern w:val="2"/>
      <w:sz w:val="24"/>
      <w:szCs w:val="24"/>
      <w:u w:val="single"/>
      <w:lang w:val="en-US" w:eastAsia="zh-CN" w:bidi="ar-SA"/>
    </w:rPr>
  </w:style>
  <w:style w:type="character" w:customStyle="1" w:styleId="55">
    <w:name w:val="正文文本缩进 Char"/>
    <w:link w:val="2"/>
    <w:semiHidden/>
    <w:qFormat/>
    <w:uiPriority w:val="0"/>
    <w:rPr>
      <w:rFonts w:ascii="Century Gothic" w:hAnsi="Century Gothic" w:eastAsia="Century Gothic"/>
      <w:kern w:val="2"/>
      <w:sz w:val="24"/>
      <w:lang w:val="en-US" w:eastAsia="zh-CN" w:bidi="ar-SA"/>
    </w:rPr>
  </w:style>
  <w:style w:type="character" w:customStyle="1" w:styleId="56">
    <w:name w:val="标题 1 Char"/>
    <w:link w:val="3"/>
    <w:qFormat/>
    <w:uiPriority w:val="0"/>
    <w:rPr>
      <w:rFonts w:eastAsia="Century Gothic"/>
      <w:b/>
      <w:bCs/>
      <w:kern w:val="44"/>
      <w:sz w:val="44"/>
      <w:szCs w:val="44"/>
      <w:lang w:val="en-US" w:eastAsia="zh-CN" w:bidi="ar-SA"/>
    </w:rPr>
  </w:style>
  <w:style w:type="character" w:customStyle="1" w:styleId="57">
    <w:name w:val="font41"/>
    <w:qFormat/>
    <w:uiPriority w:val="0"/>
    <w:rPr>
      <w:rFonts w:ascii="Arial" w:hAnsi="Arial" w:cs="Arial"/>
      <w:color w:val="000000"/>
      <w:sz w:val="20"/>
      <w:szCs w:val="20"/>
      <w:u w:val="none"/>
    </w:rPr>
  </w:style>
  <w:style w:type="character" w:customStyle="1" w:styleId="58">
    <w:name w:val="zbggmain style9"/>
    <w:qFormat/>
    <w:uiPriority w:val="0"/>
    <w:rPr>
      <w:rFonts w:ascii="Courier New" w:eastAsia="Courier New"/>
      <w:b/>
      <w:kern w:val="2"/>
      <w:sz w:val="32"/>
      <w:szCs w:val="32"/>
      <w:lang w:val="en-US" w:eastAsia="zh-CN" w:bidi="ar-SA"/>
    </w:rPr>
  </w:style>
  <w:style w:type="character" w:customStyle="1" w:styleId="59">
    <w:name w:val="Char Char12"/>
    <w:qFormat/>
    <w:uiPriority w:val="0"/>
    <w:rPr>
      <w:rFonts w:ascii="Century Gothic" w:hAnsi="楷体_GB2312" w:eastAsia="Century Gothic" w:cs="楷体_GB2312"/>
      <w:kern w:val="2"/>
      <w:sz w:val="21"/>
      <w:szCs w:val="21"/>
      <w:lang w:val="en-US" w:eastAsia="zh-CN" w:bidi="ar-SA"/>
    </w:rPr>
  </w:style>
  <w:style w:type="character" w:customStyle="1" w:styleId="60">
    <w:name w:val="font51"/>
    <w:qFormat/>
    <w:uiPriority w:val="0"/>
    <w:rPr>
      <w:rFonts w:hint="eastAsia" w:ascii="宋体" w:hAnsi="宋体" w:eastAsia="宋体" w:cs="宋体"/>
      <w:color w:val="000000"/>
      <w:sz w:val="22"/>
      <w:szCs w:val="22"/>
      <w:u w:val="none"/>
    </w:rPr>
  </w:style>
  <w:style w:type="character" w:customStyle="1" w:styleId="61">
    <w:name w:val="font11"/>
    <w:qFormat/>
    <w:uiPriority w:val="0"/>
    <w:rPr>
      <w:rFonts w:hint="eastAsia" w:ascii="宋体" w:hAnsi="宋体" w:eastAsia="宋体" w:cs="宋体"/>
      <w:color w:val="000000"/>
      <w:sz w:val="21"/>
      <w:szCs w:val="21"/>
      <w:u w:val="none"/>
    </w:rPr>
  </w:style>
  <w:style w:type="character" w:customStyle="1" w:styleId="62">
    <w:name w:val="标准文本 Char"/>
    <w:link w:val="63"/>
    <w:qFormat/>
    <w:uiPriority w:val="0"/>
    <w:rPr>
      <w:rFonts w:eastAsia="宋体" w:cs="宋体"/>
      <w:kern w:val="2"/>
      <w:sz w:val="24"/>
      <w:lang w:val="en-US" w:eastAsia="zh-CN" w:bidi="ar-SA"/>
    </w:rPr>
  </w:style>
  <w:style w:type="paragraph" w:customStyle="1" w:styleId="63">
    <w:name w:val="标准文本"/>
    <w:basedOn w:val="1"/>
    <w:link w:val="62"/>
    <w:qFormat/>
    <w:uiPriority w:val="0"/>
    <w:pPr>
      <w:spacing w:line="360" w:lineRule="auto"/>
      <w:ind w:firstLine="480" w:firstLineChars="200"/>
    </w:pPr>
    <w:rPr>
      <w:rFonts w:cs="宋体"/>
      <w:sz w:val="24"/>
      <w:szCs w:val="20"/>
    </w:rPr>
  </w:style>
  <w:style w:type="character" w:customStyle="1" w:styleId="64">
    <w:name w:val="zbggtop11 style5"/>
    <w:basedOn w:val="45"/>
    <w:qFormat/>
    <w:uiPriority w:val="0"/>
  </w:style>
  <w:style w:type="character" w:customStyle="1" w:styleId="65">
    <w:name w:val="font21"/>
    <w:qFormat/>
    <w:uiPriority w:val="0"/>
    <w:rPr>
      <w:rFonts w:ascii="Arial" w:hAnsi="Arial" w:cs="Arial"/>
      <w:color w:val="000000"/>
      <w:sz w:val="22"/>
      <w:szCs w:val="22"/>
      <w:u w:val="none"/>
    </w:rPr>
  </w:style>
  <w:style w:type="character" w:customStyle="1" w:styleId="66">
    <w:name w:val="bulletintext1"/>
    <w:qFormat/>
    <w:uiPriority w:val="0"/>
    <w:rPr>
      <w:color w:val="000000"/>
      <w:sz w:val="18"/>
    </w:rPr>
  </w:style>
  <w:style w:type="character" w:customStyle="1" w:styleId="67">
    <w:name w:val="正文文本 Char"/>
    <w:link w:val="18"/>
    <w:qFormat/>
    <w:uiPriority w:val="99"/>
    <w:rPr>
      <w:kern w:val="2"/>
      <w:sz w:val="21"/>
      <w:szCs w:val="24"/>
    </w:rPr>
  </w:style>
  <w:style w:type="character" w:customStyle="1" w:styleId="68">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69">
    <w:name w:val="正文2 Char"/>
    <w:link w:val="70"/>
    <w:qFormat/>
    <w:uiPriority w:val="0"/>
    <w:rPr>
      <w:rFonts w:eastAsia="宋体"/>
      <w:kern w:val="2"/>
      <w:sz w:val="24"/>
      <w:lang w:val="en-US" w:eastAsia="zh-CN" w:bidi="ar-SA"/>
    </w:rPr>
  </w:style>
  <w:style w:type="paragraph" w:customStyle="1" w:styleId="70">
    <w:name w:val="正文2"/>
    <w:basedOn w:val="1"/>
    <w:link w:val="69"/>
    <w:qFormat/>
    <w:uiPriority w:val="0"/>
    <w:pPr>
      <w:spacing w:before="156" w:line="360" w:lineRule="auto"/>
      <w:ind w:firstLine="510" w:firstLineChars="200"/>
    </w:pPr>
    <w:rPr>
      <w:sz w:val="24"/>
      <w:szCs w:val="20"/>
    </w:rPr>
  </w:style>
  <w:style w:type="character" w:customStyle="1" w:styleId="71">
    <w:name w:val="Char Char21"/>
    <w:qFormat/>
    <w:uiPriority w:val="0"/>
    <w:rPr>
      <w:rFonts w:eastAsia="Century Gothic"/>
      <w:b/>
      <w:bCs/>
      <w:kern w:val="44"/>
      <w:sz w:val="32"/>
      <w:szCs w:val="44"/>
      <w:lang w:val="en-US" w:eastAsia="zh-CN" w:bidi="ar-SA"/>
    </w:rPr>
  </w:style>
  <w:style w:type="character" w:customStyle="1" w:styleId="72">
    <w:name w:val="页脚 Char"/>
    <w:link w:val="29"/>
    <w:qFormat/>
    <w:uiPriority w:val="0"/>
    <w:rPr>
      <w:rFonts w:eastAsia="Century Gothic"/>
      <w:kern w:val="2"/>
      <w:sz w:val="18"/>
      <w:lang w:val="en-US" w:eastAsia="zh-CN" w:bidi="ar-SA"/>
    </w:rPr>
  </w:style>
  <w:style w:type="character" w:customStyle="1" w:styleId="73">
    <w:name w:val="style1"/>
    <w:basedOn w:val="45"/>
    <w:qFormat/>
    <w:uiPriority w:val="0"/>
  </w:style>
  <w:style w:type="character" w:customStyle="1" w:styleId="74">
    <w:name w:val="font31"/>
    <w:qFormat/>
    <w:uiPriority w:val="0"/>
    <w:rPr>
      <w:rFonts w:hint="eastAsia" w:ascii="宋体" w:hAnsi="宋体" w:eastAsia="宋体" w:cs="宋体"/>
      <w:color w:val="FF0000"/>
      <w:sz w:val="18"/>
      <w:szCs w:val="18"/>
      <w:u w:val="none"/>
    </w:rPr>
  </w:style>
  <w:style w:type="character" w:customStyle="1" w:styleId="75">
    <w:name w:val="tpc_content1"/>
    <w:qFormat/>
    <w:uiPriority w:val="0"/>
    <w:rPr>
      <w:sz w:val="20"/>
      <w:szCs w:val="20"/>
    </w:rPr>
  </w:style>
  <w:style w:type="character" w:customStyle="1" w:styleId="76">
    <w:name w:val="纯文本 Char"/>
    <w:link w:val="24"/>
    <w:qFormat/>
    <w:uiPriority w:val="0"/>
    <w:rPr>
      <w:rFonts w:ascii="Century Gothic" w:hAnsi="楷体_GB2312" w:eastAsia="Century Gothic" w:cs="楷体_GB2312"/>
      <w:kern w:val="2"/>
      <w:sz w:val="21"/>
      <w:szCs w:val="21"/>
      <w:lang w:val="en-US" w:eastAsia="zh-CN" w:bidi="ar-SA"/>
    </w:rPr>
  </w:style>
  <w:style w:type="paragraph" w:customStyle="1" w:styleId="77">
    <w:name w:val="_Style 22"/>
    <w:basedOn w:val="1"/>
    <w:qFormat/>
    <w:uiPriority w:val="0"/>
    <w:rPr>
      <w:rFonts w:ascii="仿宋_GB2312" w:eastAsia="仿宋_GB2312"/>
      <w:b/>
      <w:sz w:val="32"/>
      <w:szCs w:val="32"/>
    </w:rPr>
  </w:style>
  <w:style w:type="paragraph" w:customStyle="1" w:styleId="78">
    <w:name w:val="title11"/>
    <w:basedOn w:val="1"/>
    <w:qFormat/>
    <w:uiPriority w:val="0"/>
    <w:pPr>
      <w:spacing w:before="150"/>
      <w:jc w:val="left"/>
    </w:pPr>
    <w:rPr>
      <w:b/>
      <w:kern w:val="0"/>
    </w:rPr>
  </w:style>
  <w:style w:type="paragraph" w:customStyle="1" w:styleId="79">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80">
    <w:name w:val="font6"/>
    <w:basedOn w:val="1"/>
    <w:qFormat/>
    <w:uiPriority w:val="0"/>
    <w:pPr>
      <w:widowControl/>
      <w:spacing w:before="100" w:beforeAutospacing="1" w:after="100" w:afterAutospacing="1"/>
      <w:jc w:val="left"/>
    </w:pPr>
    <w:rPr>
      <w:kern w:val="0"/>
      <w:sz w:val="18"/>
      <w:szCs w:val="18"/>
    </w:rPr>
  </w:style>
  <w:style w:type="paragraph" w:customStyle="1" w:styleId="81">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Table Paragraph"/>
    <w:basedOn w:val="1"/>
    <w:unhideWhenUsed/>
    <w:qFormat/>
    <w:uiPriority w:val="1"/>
    <w:rPr>
      <w:sz w:val="24"/>
    </w:rPr>
  </w:style>
  <w:style w:type="paragraph" w:customStyle="1" w:styleId="85">
    <w:name w:val="Char1"/>
    <w:basedOn w:val="1"/>
    <w:qFormat/>
    <w:uiPriority w:val="0"/>
    <w:pPr>
      <w:widowControl/>
      <w:spacing w:after="160" w:line="240" w:lineRule="exact"/>
      <w:jc w:val="left"/>
    </w:pPr>
    <w:rPr>
      <w:szCs w:val="20"/>
    </w:rPr>
  </w:style>
  <w:style w:type="paragraph" w:customStyle="1" w:styleId="86">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8">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9">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90">
    <w:name w:val="小节"/>
    <w:basedOn w:val="5"/>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91">
    <w:name w:val="标书标题2"/>
    <w:basedOn w:val="4"/>
    <w:qFormat/>
    <w:uiPriority w:val="0"/>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92">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93">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4">
    <w:name w:val="List Paragraph1"/>
    <w:basedOn w:val="1"/>
    <w:qFormat/>
    <w:uiPriority w:val="0"/>
    <w:pPr>
      <w:ind w:firstLine="420" w:firstLineChars="200"/>
    </w:pPr>
  </w:style>
  <w:style w:type="paragraph" w:customStyle="1" w:styleId="95">
    <w:name w:val="Char"/>
    <w:basedOn w:val="1"/>
    <w:qFormat/>
    <w:uiPriority w:val="0"/>
  </w:style>
  <w:style w:type="paragraph" w:customStyle="1" w:styleId="96">
    <w:name w:val="无间隔1"/>
    <w:qFormat/>
    <w:uiPriority w:val="0"/>
    <w:rPr>
      <w:rFonts w:ascii="Calibri" w:hAnsi="Calibri" w:eastAsia="宋体" w:cs="Times New Roman"/>
      <w:sz w:val="22"/>
      <w:szCs w:val="22"/>
      <w:lang w:val="en-US" w:eastAsia="en-US" w:bidi="ar-SA"/>
    </w:rPr>
  </w:style>
  <w:style w:type="paragraph" w:customStyle="1" w:styleId="97">
    <w:name w:val="纯文本1"/>
    <w:basedOn w:val="98"/>
    <w:qFormat/>
    <w:uiPriority w:val="0"/>
    <w:pPr>
      <w:widowControl/>
      <w:jc w:val="left"/>
    </w:pPr>
    <w:rPr>
      <w:rFonts w:ascii="宋体" w:hAnsi="Courier New"/>
    </w:rPr>
  </w:style>
  <w:style w:type="paragraph" w:customStyle="1" w:styleId="98">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9">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0">
    <w:name w:val="Char3 Char Char Char"/>
    <w:basedOn w:val="1"/>
    <w:qFormat/>
    <w:uiPriority w:val="0"/>
    <w:pPr>
      <w:widowControl/>
      <w:spacing w:after="160" w:line="240" w:lineRule="exact"/>
      <w:jc w:val="left"/>
    </w:pPr>
    <w:rPr>
      <w:szCs w:val="20"/>
    </w:rPr>
  </w:style>
  <w:style w:type="paragraph" w:customStyle="1" w:styleId="101">
    <w:name w:val="列出段落1"/>
    <w:basedOn w:val="1"/>
    <w:qFormat/>
    <w:uiPriority w:val="99"/>
    <w:pPr>
      <w:ind w:firstLine="420" w:firstLineChars="200"/>
    </w:pPr>
  </w:style>
  <w:style w:type="paragraph" w:customStyle="1" w:styleId="10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03">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104">
    <w:name w:val="章正文"/>
    <w:basedOn w:val="1"/>
    <w:qFormat/>
    <w:uiPriority w:val="0"/>
    <w:pPr>
      <w:spacing w:beforeLines="50" w:after="120" w:line="300" w:lineRule="auto"/>
      <w:ind w:firstLine="480"/>
    </w:pPr>
    <w:rPr>
      <w:rFonts w:ascii="Helvetica" w:hAnsi="Helvetica" w:cs="Calibri"/>
      <w:kern w:val="0"/>
      <w:sz w:val="24"/>
    </w:rPr>
  </w:style>
  <w:style w:type="paragraph" w:customStyle="1" w:styleId="105">
    <w:name w:val="正文段"/>
    <w:basedOn w:val="1"/>
    <w:qFormat/>
    <w:uiPriority w:val="0"/>
    <w:pPr>
      <w:widowControl/>
      <w:snapToGrid w:val="0"/>
      <w:spacing w:afterLines="50"/>
      <w:ind w:firstLine="200" w:firstLineChars="200"/>
    </w:pPr>
    <w:rPr>
      <w:kern w:val="0"/>
      <w:sz w:val="24"/>
      <w:szCs w:val="20"/>
    </w:rPr>
  </w:style>
  <w:style w:type="paragraph" w:customStyle="1" w:styleId="106">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8">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0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styleId="110">
    <w:name w:val="List Paragraph"/>
    <w:basedOn w:val="1"/>
    <w:qFormat/>
    <w:uiPriority w:val="0"/>
    <w:pPr>
      <w:ind w:firstLine="420" w:firstLineChars="200"/>
    </w:pPr>
    <w:rPr>
      <w:rFonts w:ascii="Times New Roman" w:hAnsi="Times New Roman"/>
    </w:rPr>
  </w:style>
  <w:style w:type="paragraph" w:customStyle="1" w:styleId="111">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2">
    <w:name w:val="_Style 3"/>
    <w:qFormat/>
    <w:uiPriority w:val="0"/>
    <w:rPr>
      <w:rFonts w:ascii="Calibri" w:hAnsi="Calibri" w:eastAsia="宋体" w:cs="Times New Roman"/>
      <w:sz w:val="22"/>
      <w:szCs w:val="22"/>
      <w:lang w:val="en-US" w:eastAsia="zh-CN" w:bidi="ar-SA"/>
    </w:rPr>
  </w:style>
  <w:style w:type="paragraph" w:customStyle="1" w:styleId="113">
    <w:name w:val="正文 New New New New"/>
    <w:basedOn w:val="1"/>
    <w:qFormat/>
    <w:uiPriority w:val="0"/>
    <w:pPr>
      <w:widowControl/>
      <w:spacing w:line="360" w:lineRule="auto"/>
    </w:pPr>
    <w:rPr>
      <w:rFonts w:ascii="华文仿宋" w:hAnsi="华文仿宋" w:eastAsia="华文仿宋"/>
      <w:kern w:val="0"/>
      <w:sz w:val="24"/>
      <w:szCs w:val="21"/>
    </w:rPr>
  </w:style>
  <w:style w:type="paragraph" w:customStyle="1" w:styleId="11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5">
    <w:name w:val="Char Char Char Char"/>
    <w:basedOn w:val="1"/>
    <w:qFormat/>
    <w:uiPriority w:val="0"/>
    <w:rPr>
      <w:szCs w:val="20"/>
    </w:rPr>
  </w:style>
  <w:style w:type="paragraph" w:customStyle="1" w:styleId="116">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17">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8">
    <w:name w:val="Char Char Char Char Char Char Char Char"/>
    <w:basedOn w:val="1"/>
    <w:qFormat/>
    <w:uiPriority w:val="0"/>
    <w:pPr>
      <w:tabs>
        <w:tab w:val="left" w:pos="360"/>
      </w:tabs>
    </w:pPr>
    <w:rPr>
      <w:szCs w:val="20"/>
    </w:rPr>
  </w:style>
  <w:style w:type="paragraph" w:customStyle="1" w:styleId="119">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20">
    <w:name w:val="节"/>
    <w:basedOn w:val="4"/>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121">
    <w:name w:val="Char Char Char Char Char"/>
    <w:basedOn w:val="1"/>
    <w:qFormat/>
    <w:uiPriority w:val="0"/>
    <w:pPr>
      <w:widowControl/>
      <w:spacing w:after="160" w:line="240" w:lineRule="exact"/>
      <w:jc w:val="left"/>
    </w:pPr>
    <w:rPr>
      <w:rFonts w:ascii="Verdana" w:hAnsi="Verdana" w:eastAsia="华文细黑"/>
    </w:rPr>
  </w:style>
  <w:style w:type="paragraph" w:customStyle="1" w:styleId="122">
    <w:name w:val="列出段落11"/>
    <w:basedOn w:val="1"/>
    <w:qFormat/>
    <w:uiPriority w:val="34"/>
    <w:pPr>
      <w:spacing w:line="360" w:lineRule="auto"/>
      <w:ind w:firstLine="420" w:firstLineChars="200"/>
    </w:pPr>
    <w:rPr>
      <w:rFonts w:ascii="等线" w:hAnsi="等线" w:eastAsia="等线"/>
      <w:sz w:val="24"/>
      <w:szCs w:val="22"/>
    </w:rPr>
  </w:style>
  <w:style w:type="paragraph" w:customStyle="1" w:styleId="123">
    <w:name w:val="标书标题3"/>
    <w:basedOn w:val="5"/>
    <w:qFormat/>
    <w:uiPriority w:val="0"/>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124">
    <w:name w:val="标书标题4"/>
    <w:basedOn w:val="6"/>
    <w:qFormat/>
    <w:uiPriority w:val="0"/>
    <w:pPr>
      <w:widowControl w:val="0"/>
      <w:adjustRightInd w:val="0"/>
      <w:snapToGrid w:val="0"/>
      <w:spacing w:line="300" w:lineRule="auto"/>
      <w:jc w:val="both"/>
    </w:pPr>
    <w:rPr>
      <w:rFonts w:eastAsia="Courier New"/>
      <w:b/>
      <w:snapToGrid/>
      <w:color w:val="000000"/>
      <w:sz w:val="28"/>
      <w:szCs w:val="32"/>
    </w:rPr>
  </w:style>
  <w:style w:type="paragraph" w:customStyle="1" w:styleId="125">
    <w:name w:val="正文文字格式"/>
    <w:basedOn w:val="1"/>
    <w:qFormat/>
    <w:uiPriority w:val="0"/>
    <w:pPr>
      <w:spacing w:line="460" w:lineRule="exact"/>
      <w:ind w:firstLine="505"/>
      <w:jc w:val="left"/>
    </w:pPr>
    <w:rPr>
      <w:rFonts w:ascii="Century Gothic"/>
      <w:kern w:val="24"/>
      <w:sz w:val="24"/>
      <w:szCs w:val="20"/>
    </w:rPr>
  </w:style>
  <w:style w:type="paragraph" w:customStyle="1" w:styleId="126">
    <w:name w:val="Char2"/>
    <w:basedOn w:val="1"/>
    <w:qFormat/>
    <w:uiPriority w:val="0"/>
    <w:rPr>
      <w:rFonts w:ascii="Courier New" w:eastAsia="Courier New"/>
      <w:b/>
      <w:sz w:val="32"/>
      <w:szCs w:val="32"/>
    </w:rPr>
  </w:style>
  <w:style w:type="paragraph" w:customStyle="1" w:styleId="127">
    <w:name w:val="样式5"/>
    <w:basedOn w:val="6"/>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paragraph" w:customStyle="1" w:styleId="12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9">
    <w:name w:val="Normal_45"/>
    <w:qFormat/>
    <w:uiPriority w:val="0"/>
    <w:pPr>
      <w:spacing w:before="120" w:after="240"/>
      <w:jc w:val="both"/>
    </w:pPr>
    <w:rPr>
      <w:rFonts w:ascii="Calibri" w:hAnsi="Calibri" w:eastAsia="Calibri" w:cs="Times New Roman"/>
      <w:sz w:val="22"/>
      <w:szCs w:val="22"/>
      <w:lang w:val="en-US" w:eastAsia="en-US" w:bidi="ar-SA"/>
    </w:rPr>
  </w:style>
  <w:style w:type="paragraph" w:customStyle="1" w:styleId="130">
    <w:name w:val="DAS正文"/>
    <w:basedOn w:val="1"/>
    <w:qFormat/>
    <w:uiPriority w:val="0"/>
    <w:pPr>
      <w:spacing w:line="360" w:lineRule="auto"/>
      <w:ind w:right="181" w:firstLine="480" w:firstLineChars="200"/>
    </w:pPr>
    <w:rPr>
      <w:rFonts w:ascii="Verdana" w:hAnsi="Verdana"/>
      <w:sz w:val="24"/>
    </w:rPr>
  </w:style>
  <w:style w:type="paragraph" w:customStyle="1" w:styleId="131">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32">
    <w:name w:val="_Style 2"/>
    <w:basedOn w:val="1"/>
    <w:qFormat/>
    <w:uiPriority w:val="0"/>
    <w:pPr>
      <w:spacing w:line="260" w:lineRule="atLeast"/>
      <w:ind w:firstLine="200" w:firstLineChars="200"/>
    </w:pPr>
    <w:rPr>
      <w:sz w:val="28"/>
      <w:szCs w:val="22"/>
    </w:rPr>
  </w:style>
  <w:style w:type="paragraph" w:customStyle="1" w:styleId="133">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13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36">
    <w:name w:val="p0"/>
    <w:basedOn w:val="1"/>
    <w:unhideWhenUsed/>
    <w:qFormat/>
    <w:uiPriority w:val="0"/>
    <w:pPr>
      <w:widowControl/>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101</Pages>
  <Words>8797</Words>
  <Characters>50143</Characters>
  <Lines>417</Lines>
  <Paragraphs>117</Paragraphs>
  <TotalTime>8</TotalTime>
  <ScaleCrop>false</ScaleCrop>
  <LinksUpToDate>false</LinksUpToDate>
  <CharactersWithSpaces>58823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2020-12-29T09:01:00Z</dcterms:created>
  <dc:creator>微软用户</dc:creator>
  <cp:lastModifiedBy>ˊ•.¸¸米哆哆 ک</cp:lastModifiedBy>
  <cp:lastPrinted>2020-12-29T07:14:00Z</cp:lastPrinted>
  <dcterms:modified xsi:type="dcterms:W3CDTF">2021-01-11T06:34:48Z</dcterms:modified>
  <dc:title>杭科院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