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pStyle w:val="34"/>
        <w:snapToGrid w:val="0"/>
        <w:spacing w:line="360" w:lineRule="auto"/>
        <w:rPr>
          <w:rFonts w:hAnsi="宋体" w:cs="宋体"/>
          <w:sz w:val="48"/>
          <w:szCs w:val="48"/>
        </w:rPr>
      </w:pPr>
    </w:p>
    <w:p>
      <w:pPr>
        <w:snapToGrid w:val="0"/>
        <w:spacing w:line="360" w:lineRule="auto"/>
        <w:jc w:val="center"/>
        <w:rPr>
          <w:rFonts w:hint="eastAsia" w:ascii="宋体" w:hAnsi="宋体" w:eastAsia="宋体" w:cs="宋体"/>
          <w:snapToGrid w:val="0"/>
          <w:sz w:val="52"/>
          <w:szCs w:val="52"/>
          <w:lang w:eastAsia="zh-CN"/>
        </w:rPr>
      </w:pPr>
      <w:r>
        <w:rPr>
          <w:rFonts w:hint="eastAsia" w:ascii="宋体" w:hAnsi="宋体" w:cs="宋体"/>
          <w:snapToGrid w:val="0"/>
          <w:sz w:val="48"/>
          <w:szCs w:val="48"/>
          <w:lang w:eastAsia="zh-CN"/>
        </w:rPr>
        <w:t>2024第四届桐庐生仙里铁人三项赛赛事运营服务采购项目</w:t>
      </w:r>
    </w:p>
    <w:p>
      <w:pPr>
        <w:snapToGrid w:val="0"/>
        <w:spacing w:line="360" w:lineRule="auto"/>
        <w:jc w:val="center"/>
        <w:rPr>
          <w:rFonts w:ascii="宋体" w:hAnsi="宋体" w:cs="宋体"/>
          <w:snapToGrid w:val="0"/>
          <w:sz w:val="48"/>
          <w:szCs w:val="48"/>
        </w:rPr>
      </w:pPr>
    </w:p>
    <w:p>
      <w:pPr>
        <w:snapToGrid w:val="0"/>
        <w:spacing w:line="360" w:lineRule="auto"/>
        <w:jc w:val="center"/>
        <w:rPr>
          <w:rFonts w:ascii="宋体" w:hAnsi="宋体" w:cs="宋体"/>
          <w:sz w:val="48"/>
          <w:szCs w:val="48"/>
        </w:rPr>
      </w:pPr>
      <w:r>
        <w:rPr>
          <w:rFonts w:hint="eastAsia" w:ascii="宋体" w:hAnsi="宋体" w:cs="宋体"/>
          <w:snapToGrid w:val="0"/>
          <w:sz w:val="48"/>
          <w:szCs w:val="48"/>
        </w:rPr>
        <w:t>竞争性磋商文件</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w:t>
      </w:r>
      <w:r>
        <w:rPr>
          <w:rFonts w:hint="eastAsia" w:ascii="宋体" w:hAnsi="宋体" w:cs="宋体"/>
          <w:sz w:val="30"/>
          <w:szCs w:val="30"/>
          <w:lang w:eastAsia="zh-CN"/>
        </w:rPr>
        <w:t>CYZFCG202</w:t>
      </w:r>
      <w:r>
        <w:rPr>
          <w:rFonts w:hint="eastAsia" w:ascii="宋体" w:hAnsi="宋体" w:cs="宋体"/>
          <w:sz w:val="30"/>
          <w:szCs w:val="30"/>
          <w:lang w:val="en-US" w:eastAsia="zh-CN"/>
        </w:rPr>
        <w:t>4</w:t>
      </w:r>
      <w:r>
        <w:rPr>
          <w:rFonts w:hint="eastAsia" w:ascii="宋体" w:hAnsi="宋体" w:cs="宋体"/>
          <w:sz w:val="30"/>
          <w:szCs w:val="30"/>
          <w:lang w:eastAsia="zh-CN"/>
        </w:rPr>
        <w:t>TL-CS-0</w:t>
      </w:r>
      <w:r>
        <w:rPr>
          <w:rFonts w:hint="eastAsia" w:ascii="宋体" w:hAnsi="宋体" w:cs="宋体"/>
          <w:sz w:val="30"/>
          <w:szCs w:val="30"/>
          <w:lang w:val="en-US" w:eastAsia="zh-CN"/>
        </w:rPr>
        <w:t>03</w:t>
      </w:r>
      <w:r>
        <w:rPr>
          <w:rFonts w:hint="eastAsia" w:ascii="宋体" w:hAnsi="宋体" w:cs="宋体"/>
          <w:sz w:val="30"/>
          <w:szCs w:val="30"/>
        </w:rPr>
        <w:t>）</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napToGrid w:val="0"/>
        <w:spacing w:line="480" w:lineRule="auto"/>
        <w:jc w:val="center"/>
        <w:rPr>
          <w:rFonts w:ascii="宋体" w:hAnsi="宋体" w:cs="宋体"/>
          <w:sz w:val="30"/>
          <w:szCs w:val="30"/>
        </w:rPr>
      </w:pPr>
    </w:p>
    <w:p>
      <w:pPr>
        <w:pStyle w:val="4"/>
        <w:rPr>
          <w:rFonts w:ascii="宋体" w:hAnsi="宋体" w:cs="宋体"/>
          <w:sz w:val="30"/>
          <w:szCs w:val="30"/>
        </w:rPr>
      </w:pPr>
    </w:p>
    <w:p/>
    <w:p>
      <w:pPr>
        <w:snapToGrid w:val="0"/>
        <w:spacing w:line="480" w:lineRule="auto"/>
        <w:jc w:val="center"/>
        <w:rPr>
          <w:rFonts w:hint="eastAsia" w:ascii="宋体" w:hAnsi="宋体" w:eastAsia="宋体" w:cs="宋体"/>
          <w:sz w:val="30"/>
          <w:szCs w:val="30"/>
          <w:lang w:eastAsia="zh-CN"/>
        </w:rPr>
      </w:pPr>
      <w:r>
        <w:rPr>
          <w:rFonts w:hint="eastAsia" w:ascii="宋体" w:hAnsi="宋体" w:cs="宋体"/>
          <w:sz w:val="30"/>
          <w:szCs w:val="30"/>
        </w:rPr>
        <w:t>采购人：</w:t>
      </w:r>
      <w:r>
        <w:rPr>
          <w:rFonts w:hint="eastAsia" w:ascii="宋体" w:hAnsi="宋体" w:cs="宋体"/>
          <w:sz w:val="30"/>
          <w:szCs w:val="30"/>
          <w:lang w:eastAsia="zh-CN"/>
        </w:rPr>
        <w:t>桐庐县合村乡人民政府</w:t>
      </w:r>
    </w:p>
    <w:p>
      <w:pPr>
        <w:spacing w:line="480" w:lineRule="auto"/>
        <w:jc w:val="center"/>
        <w:rPr>
          <w:rFonts w:ascii="宋体" w:hAnsi="宋体" w:cs="宋体"/>
          <w:bCs/>
          <w:sz w:val="30"/>
          <w:szCs w:val="30"/>
        </w:rPr>
      </w:pPr>
      <w:r>
        <w:rPr>
          <w:rFonts w:hint="eastAsia" w:ascii="宋体" w:hAnsi="宋体" w:cs="宋体"/>
          <w:sz w:val="30"/>
          <w:szCs w:val="30"/>
        </w:rPr>
        <w:t>采购代理机构：浙江重阳项目管理有限公司</w:t>
      </w:r>
    </w:p>
    <w:p>
      <w:pPr>
        <w:spacing w:line="360" w:lineRule="auto"/>
        <w:jc w:val="center"/>
        <w:rPr>
          <w:rFonts w:ascii="宋体" w:hAnsi="宋体" w:cs="宋体"/>
          <w:bCs/>
          <w:sz w:val="30"/>
          <w:szCs w:val="30"/>
        </w:rPr>
      </w:pPr>
      <w:r>
        <w:rPr>
          <w:rFonts w:hint="eastAsia" w:ascii="宋体" w:hAnsi="宋体" w:cs="宋体"/>
          <w:bCs/>
          <w:sz w:val="30"/>
          <w:szCs w:val="30"/>
        </w:rPr>
        <w:t>二〇二</w:t>
      </w:r>
      <w:r>
        <w:rPr>
          <w:rFonts w:hint="eastAsia" w:ascii="宋体" w:hAnsi="宋体" w:cs="宋体"/>
          <w:bCs/>
          <w:sz w:val="30"/>
          <w:szCs w:val="30"/>
          <w:lang w:val="en-US" w:eastAsia="zh-CN"/>
        </w:rPr>
        <w:t>四</w:t>
      </w:r>
      <w:r>
        <w:rPr>
          <w:rFonts w:hint="eastAsia" w:ascii="宋体" w:hAnsi="宋体" w:cs="宋体"/>
          <w:bCs/>
          <w:sz w:val="30"/>
          <w:szCs w:val="30"/>
        </w:rPr>
        <w:t>年</w:t>
      </w:r>
      <w:r>
        <w:rPr>
          <w:rFonts w:hint="eastAsia" w:ascii="宋体" w:hAnsi="宋体" w:cs="宋体"/>
          <w:bCs/>
          <w:sz w:val="30"/>
          <w:szCs w:val="30"/>
          <w:lang w:val="en-US" w:eastAsia="zh-CN"/>
        </w:rPr>
        <w:t>三</w:t>
      </w:r>
      <w:r>
        <w:rPr>
          <w:rFonts w:hint="eastAsia" w:ascii="宋体" w:hAnsi="宋体" w:cs="宋体"/>
          <w:bCs/>
          <w:sz w:val="30"/>
          <w:szCs w:val="30"/>
        </w:rPr>
        <w:t>月</w:t>
      </w:r>
    </w:p>
    <w:p>
      <w:pPr>
        <w:pStyle w:val="81"/>
        <w:spacing w:before="120"/>
        <w:ind w:firstLine="600"/>
        <w:rPr>
          <w:rFonts w:ascii="宋体" w:hAnsi="宋体" w:cs="宋体"/>
          <w:bCs/>
          <w:sz w:val="30"/>
          <w:szCs w:val="30"/>
        </w:rPr>
      </w:pPr>
    </w:p>
    <w:p>
      <w:pPr>
        <w:pStyle w:val="81"/>
        <w:spacing w:before="120"/>
        <w:ind w:firstLine="0" w:firstLineChars="0"/>
        <w:rPr>
          <w:rFonts w:ascii="宋体" w:hAnsi="宋体" w:cs="宋体"/>
          <w:bCs/>
          <w:sz w:val="30"/>
          <w:szCs w:val="30"/>
        </w:rPr>
        <w:sectPr>
          <w:footerReference r:id="rId4" w:type="first"/>
          <w:footerReference r:id="rId3" w:type="default"/>
          <w:pgSz w:w="11906" w:h="16838"/>
          <w:pgMar w:top="680" w:right="1418" w:bottom="468" w:left="1418" w:header="851" w:footer="992" w:gutter="0"/>
          <w:pgNumType w:start="1"/>
          <w:cols w:space="720" w:num="1"/>
          <w:docGrid w:linePitch="312" w:charSpace="0"/>
        </w:sectPr>
      </w:pPr>
    </w:p>
    <w:p>
      <w:pPr>
        <w:spacing w:line="360" w:lineRule="auto"/>
        <w:jc w:val="center"/>
        <w:rPr>
          <w:rFonts w:ascii="宋体" w:hAnsi="宋体" w:cs="宋体"/>
          <w:b/>
          <w:sz w:val="48"/>
          <w:szCs w:val="48"/>
        </w:rPr>
      </w:pPr>
    </w:p>
    <w:p>
      <w:pPr>
        <w:spacing w:line="360" w:lineRule="auto"/>
        <w:jc w:val="center"/>
        <w:rPr>
          <w:rFonts w:ascii="宋体" w:hAnsi="宋体" w:cs="宋体"/>
          <w:b/>
          <w:sz w:val="48"/>
          <w:szCs w:val="48"/>
        </w:rPr>
      </w:pPr>
    </w:p>
    <w:p>
      <w:pPr>
        <w:spacing w:line="360" w:lineRule="auto"/>
        <w:jc w:val="center"/>
        <w:rPr>
          <w:rFonts w:ascii="宋体" w:hAnsi="宋体" w:cs="宋体"/>
          <w:b/>
          <w:sz w:val="48"/>
          <w:szCs w:val="48"/>
        </w:rPr>
      </w:pPr>
      <w:r>
        <w:rPr>
          <w:rFonts w:hint="eastAsia" w:ascii="宋体" w:hAnsi="宋体" w:cs="宋体"/>
          <w:b/>
          <w:sz w:val="48"/>
          <w:szCs w:val="48"/>
        </w:rPr>
        <w:t>目录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竞争性磋商公告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磋商供应商须知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2" w:name="第一部分"/>
      <w:r>
        <w:rPr>
          <w:rFonts w:hint="eastAsia" w:ascii="宋体" w:hAnsi="宋体" w:cs="宋体"/>
          <w:b/>
          <w:sz w:val="36"/>
          <w:szCs w:val="36"/>
        </w:rPr>
        <w:br w:type="page"/>
      </w:r>
      <w:bookmarkEnd w:id="1"/>
      <w:bookmarkEnd w:id="2"/>
      <w:bookmarkStart w:id="3" w:name="_Hlt74728647"/>
      <w:bookmarkEnd w:id="3"/>
      <w:bookmarkStart w:id="4" w:name="_Hlt74729822"/>
      <w:bookmarkEnd w:id="4"/>
      <w:bookmarkStart w:id="5" w:name="_Hlt74707423"/>
      <w:bookmarkEnd w:id="5"/>
      <w:bookmarkStart w:id="6" w:name="_Hlt74649545"/>
      <w:bookmarkEnd w:id="6"/>
      <w:bookmarkStart w:id="7" w:name="第二部分"/>
      <w:bookmarkStart w:id="8" w:name="_Toc91899870"/>
      <w:bookmarkStart w:id="9" w:name="_Toc91899871"/>
      <w:r>
        <w:rPr>
          <w:rFonts w:hint="eastAsia" w:ascii="宋体" w:hAnsi="宋体" w:cs="宋体"/>
          <w:b/>
          <w:sz w:val="36"/>
          <w:szCs w:val="20"/>
        </w:rPr>
        <w:t>第一部分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lang w:eastAsia="zh-CN"/>
        </w:rPr>
        <w:t>2024第四届桐庐生仙里铁人三项赛赛事运营服务采购项目</w:t>
      </w:r>
      <w:r>
        <w:rPr>
          <w:rFonts w:hint="eastAsia" w:ascii="宋体" w:hAnsi="宋体" w:cs="宋体"/>
          <w:sz w:val="24"/>
        </w:rPr>
        <w:t>招标项目的潜在供应商应在政采云平台（</w:t>
      </w:r>
      <w:r>
        <w:fldChar w:fldCharType="begin"/>
      </w:r>
      <w:r>
        <w:instrText xml:space="preserve"> HYPERLINK "https://www.zcygov.cn/）获取（下载）招标文件，并于2021年" </w:instrText>
      </w:r>
      <w:r>
        <w:fldChar w:fldCharType="separate"/>
      </w:r>
      <w:r>
        <w:rPr>
          <w:rStyle w:val="77"/>
          <w:rFonts w:hint="eastAsia" w:ascii="宋体" w:hAnsi="宋体" w:eastAsia="宋体" w:cs="宋体"/>
          <w:snapToGrid/>
          <w:color w:val="auto"/>
          <w:kern w:val="2"/>
          <w:sz w:val="24"/>
          <w:szCs w:val="24"/>
        </w:rPr>
        <w:t>https://www.zcygov.cn/）获取（下载）竞争性磋商文件，并于</w:t>
      </w:r>
      <w:r>
        <w:rPr>
          <w:rFonts w:hint="eastAsia" w:ascii="宋体" w:hAnsi="宋体" w:cs="宋体"/>
          <w:color w:val="FF0000"/>
          <w:sz w:val="24"/>
          <w:u w:val="single"/>
          <w:lang w:eastAsia="zh-CN"/>
        </w:rPr>
        <w:t>2024年04月08日10点</w:t>
      </w:r>
      <w:r>
        <w:rPr>
          <w:rFonts w:hint="eastAsia" w:ascii="宋体" w:hAnsi="宋体" w:cs="宋体"/>
          <w:color w:val="FF0000"/>
          <w:sz w:val="24"/>
          <w:u w:val="single"/>
        </w:rPr>
        <w:t>00分00秒</w:t>
      </w:r>
      <w:r>
        <w:rPr>
          <w:rFonts w:hint="eastAsia" w:ascii="宋体" w:hAnsi="宋体" w:cs="宋体"/>
          <w:color w:val="FF0000"/>
          <w:sz w:val="24"/>
          <w:u w:val="single"/>
        </w:rPr>
        <w:fldChar w:fldCharType="end"/>
      </w:r>
      <w:r>
        <w:rPr>
          <w:rFonts w:hint="eastAsia" w:ascii="宋体" w:hAnsi="宋体" w:cs="宋体"/>
          <w:bCs/>
          <w:sz w:val="24"/>
        </w:rPr>
        <w:t>（北京时间）前</w:t>
      </w:r>
      <w:r>
        <w:rPr>
          <w:rFonts w:hint="eastAsia" w:ascii="宋体" w:hAnsi="宋体" w:cs="宋体"/>
          <w:sz w:val="24"/>
        </w:rPr>
        <w:t>递交（上传）磋商响应文件。</w:t>
      </w:r>
    </w:p>
    <w:p>
      <w:pPr>
        <w:spacing w:line="360" w:lineRule="auto"/>
        <w:rPr>
          <w:rFonts w:ascii="宋体" w:hAnsi="宋体" w:cs="宋体"/>
          <w:b/>
          <w:sz w:val="24"/>
        </w:rPr>
      </w:pPr>
      <w:r>
        <w:rPr>
          <w:rFonts w:hint="eastAsia" w:ascii="宋体" w:hAnsi="宋体" w:cs="宋体"/>
          <w:b/>
          <w:sz w:val="24"/>
        </w:rPr>
        <w:t>一、项目基本情况</w:t>
      </w:r>
    </w:p>
    <w:p>
      <w:pPr>
        <w:spacing w:line="360" w:lineRule="auto"/>
        <w:ind w:firstLine="482" w:firstLineChars="200"/>
        <w:rPr>
          <w:rFonts w:hint="default" w:ascii="宋体" w:hAnsi="宋体" w:eastAsia="宋体" w:cs="宋体"/>
          <w:sz w:val="24"/>
          <w:lang w:val="en-US" w:eastAsia="zh-CN"/>
        </w:rPr>
      </w:pPr>
      <w:r>
        <w:rPr>
          <w:rFonts w:hint="eastAsia" w:ascii="宋体" w:hAnsi="宋体" w:cs="宋体"/>
          <w:b/>
          <w:sz w:val="24"/>
        </w:rPr>
        <w:t>项目编号：</w:t>
      </w:r>
      <w:r>
        <w:rPr>
          <w:rFonts w:hint="eastAsia" w:ascii="宋体" w:hAnsi="宋体" w:cs="宋体"/>
          <w:bCs/>
          <w:color w:val="000000"/>
          <w:sz w:val="24"/>
          <w:lang w:eastAsia="zh-CN"/>
        </w:rPr>
        <w:t>CYZFCG202</w:t>
      </w:r>
      <w:r>
        <w:rPr>
          <w:rFonts w:hint="eastAsia" w:ascii="宋体" w:hAnsi="宋体" w:cs="宋体"/>
          <w:bCs/>
          <w:color w:val="000000"/>
          <w:sz w:val="24"/>
          <w:lang w:val="en-US" w:eastAsia="zh-CN"/>
        </w:rPr>
        <w:t>4</w:t>
      </w:r>
      <w:r>
        <w:rPr>
          <w:rFonts w:hint="eastAsia" w:ascii="宋体" w:hAnsi="宋体" w:cs="宋体"/>
          <w:bCs/>
          <w:color w:val="000000"/>
          <w:sz w:val="24"/>
          <w:lang w:eastAsia="zh-CN"/>
        </w:rPr>
        <w:t>TL-CS-0</w:t>
      </w:r>
      <w:r>
        <w:rPr>
          <w:rFonts w:hint="eastAsia" w:ascii="宋体" w:hAnsi="宋体" w:cs="宋体"/>
          <w:bCs/>
          <w:color w:val="000000"/>
          <w:sz w:val="24"/>
          <w:lang w:val="en-US" w:eastAsia="zh-CN"/>
        </w:rPr>
        <w:t>03</w:t>
      </w:r>
    </w:p>
    <w:p>
      <w:pPr>
        <w:spacing w:line="360" w:lineRule="auto"/>
        <w:ind w:firstLine="482" w:firstLineChars="200"/>
        <w:rPr>
          <w:rFonts w:hint="eastAsia" w:ascii="宋体" w:hAnsi="宋体" w:eastAsia="宋体" w:cs="宋体"/>
          <w:sz w:val="24"/>
          <w:lang w:eastAsia="zh-CN"/>
        </w:rPr>
      </w:pPr>
      <w:r>
        <w:rPr>
          <w:rFonts w:hint="eastAsia" w:ascii="宋体" w:hAnsi="宋体" w:cs="宋体"/>
          <w:b/>
          <w:sz w:val="24"/>
        </w:rPr>
        <w:t>项目名称：</w:t>
      </w:r>
      <w:r>
        <w:rPr>
          <w:rFonts w:hint="eastAsia" w:ascii="宋体" w:hAnsi="宋体" w:cs="宋体"/>
          <w:sz w:val="24"/>
          <w:lang w:eastAsia="zh-CN"/>
        </w:rPr>
        <w:t>2024第四届桐庐生仙里铁人三项赛赛事运营服务采购项目</w:t>
      </w:r>
    </w:p>
    <w:p>
      <w:pPr>
        <w:spacing w:line="360" w:lineRule="auto"/>
        <w:ind w:firstLine="482" w:firstLineChars="200"/>
        <w:rPr>
          <w:rFonts w:hint="eastAsia" w:ascii="宋体" w:hAnsi="宋体" w:eastAsia="宋体" w:cs="宋体"/>
          <w:sz w:val="24"/>
          <w:lang w:eastAsia="zh-CN"/>
        </w:rPr>
      </w:pPr>
      <w:r>
        <w:rPr>
          <w:rFonts w:hint="eastAsia" w:ascii="宋体" w:hAnsi="宋体" w:cs="宋体"/>
          <w:b/>
          <w:sz w:val="24"/>
        </w:rPr>
        <w:t>预算金额（元）：</w:t>
      </w:r>
      <w:r>
        <w:rPr>
          <w:rFonts w:hint="eastAsia" w:ascii="宋体" w:hAnsi="宋体" w:cs="宋体"/>
          <w:b/>
          <w:sz w:val="24"/>
          <w:lang w:eastAsia="zh-CN"/>
        </w:rPr>
        <w:t>1300000</w:t>
      </w:r>
    </w:p>
    <w:p>
      <w:pPr>
        <w:spacing w:line="360" w:lineRule="auto"/>
        <w:ind w:firstLine="482" w:firstLineChars="200"/>
        <w:rPr>
          <w:rFonts w:hint="eastAsia" w:ascii="宋体" w:hAnsi="宋体" w:eastAsia="宋体" w:cs="宋体"/>
          <w:sz w:val="24"/>
          <w:lang w:eastAsia="zh-CN"/>
        </w:rPr>
      </w:pPr>
      <w:r>
        <w:rPr>
          <w:rFonts w:hint="eastAsia" w:ascii="宋体" w:hAnsi="宋体" w:cs="宋体"/>
          <w:b/>
          <w:sz w:val="24"/>
        </w:rPr>
        <w:t>最高限价（元）：</w:t>
      </w:r>
      <w:r>
        <w:rPr>
          <w:rFonts w:hint="eastAsia" w:ascii="宋体" w:hAnsi="宋体" w:cs="宋体"/>
          <w:b/>
          <w:sz w:val="24"/>
          <w:lang w:eastAsia="zh-CN"/>
        </w:rPr>
        <w:t>1300000</w:t>
      </w:r>
    </w:p>
    <w:p>
      <w:pPr>
        <w:pStyle w:val="17"/>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kern w:val="0"/>
          <w:sz w:val="24"/>
          <w:lang w:eastAsia="zh-CN"/>
        </w:rPr>
        <w:t>2024第四届桐庐生仙里铁人三项赛赛事运营服务采购项目</w:t>
      </w:r>
      <w:r>
        <w:rPr>
          <w:rFonts w:hint="eastAsia" w:hAnsi="宋体" w:cs="宋体"/>
          <w:kern w:val="0"/>
          <w:sz w:val="24"/>
        </w:rPr>
        <w:t>，具体内容</w:t>
      </w:r>
      <w:r>
        <w:rPr>
          <w:rFonts w:hint="eastAsia" w:hAnsi="宋体" w:cs="宋体"/>
          <w:bCs/>
          <w:snapToGrid/>
          <w:color w:val="auto"/>
          <w:kern w:val="2"/>
          <w:sz w:val="24"/>
          <w:szCs w:val="24"/>
        </w:rPr>
        <w:t>详见竞争性磋商文件第三部分采购需求。</w:t>
      </w:r>
    </w:p>
    <w:p>
      <w:pPr>
        <w:snapToGrid w:val="0"/>
        <w:spacing w:line="360" w:lineRule="auto"/>
        <w:ind w:firstLine="482" w:firstLineChars="200"/>
        <w:rPr>
          <w:rFonts w:ascii="宋体" w:hAnsi="宋体" w:cs="宋体"/>
          <w:b/>
          <w:sz w:val="24"/>
        </w:rPr>
      </w:pPr>
      <w:r>
        <w:rPr>
          <w:rFonts w:hint="eastAsia" w:ascii="宋体" w:hAnsi="宋体" w:cs="宋体"/>
          <w:b/>
          <w:sz w:val="24"/>
        </w:rPr>
        <w:t>合同履约期限：</w:t>
      </w:r>
      <w:r>
        <w:rPr>
          <w:rFonts w:hint="eastAsia" w:ascii="宋体" w:hAnsi="宋体" w:cs="宋体"/>
          <w:sz w:val="24"/>
          <w:lang w:eastAsia="zh-CN"/>
        </w:rPr>
        <w:t>自合同签订之日起至活动结束</w:t>
      </w:r>
      <w:r>
        <w:rPr>
          <w:rFonts w:hint="eastAsia" w:ascii="宋体" w:hAnsi="宋体" w:cs="宋体"/>
          <w:sz w:val="24"/>
        </w:rPr>
        <w:t>。</w:t>
      </w:r>
    </w:p>
    <w:p>
      <w:pPr>
        <w:pStyle w:val="17"/>
        <w:spacing w:line="360" w:lineRule="auto"/>
        <w:ind w:firstLine="480"/>
        <w:rPr>
          <w:rFonts w:hAnsi="宋体" w:cs="宋体"/>
          <w:b/>
          <w:sz w:val="24"/>
        </w:rPr>
      </w:pPr>
      <w:r>
        <w:rPr>
          <w:rFonts w:hint="eastAsia" w:hAnsi="宋体" w:cs="宋体"/>
          <w:b/>
          <w:color w:val="auto"/>
          <w:sz w:val="24"/>
        </w:rPr>
        <w:t>本项目接受联合体投标：</w:t>
      </w:r>
      <w:sdt>
        <w:sdtPr>
          <w:rPr>
            <w:rFonts w:hint="eastAsia" w:hAnsi="宋体" w:cs="宋体"/>
            <w:color w:val="auto"/>
            <w:kern w:val="0"/>
            <w:sz w:val="24"/>
          </w:rPr>
          <w:id w:val="2035453831"/>
        </w:sdtPr>
        <w:sdtEndPr>
          <w:rPr>
            <w:rFonts w:hint="eastAsia" w:hAnsi="宋体" w:cs="宋体"/>
            <w:color w:val="auto"/>
            <w:kern w:val="0"/>
            <w:sz w:val="24"/>
          </w:rPr>
        </w:sdtEndPr>
        <w:sdtContent>
          <w:sdt>
            <w:sdtPr>
              <w:rPr>
                <w:rFonts w:hint="eastAsia" w:hAnsi="宋体" w:cs="宋体"/>
                <w:color w:val="auto"/>
                <w:kern w:val="0"/>
                <w:sz w:val="24"/>
              </w:rPr>
              <w:id w:val="1233814160"/>
            </w:sdtPr>
            <w:sdtEndPr>
              <w:rPr>
                <w:rFonts w:hint="eastAsia" w:hAnsi="宋体" w:cs="宋体"/>
                <w:color w:val="auto"/>
                <w:kern w:val="0"/>
                <w:sz w:val="24"/>
              </w:rPr>
            </w:sdtEndPr>
            <w:sdtContent>
              <w:r>
                <w:rPr>
                  <w:rFonts w:hint="eastAsia" w:hAnsi="宋体" w:cs="宋体"/>
                  <w:color w:val="auto"/>
                  <w:kern w:val="0"/>
                  <w:sz w:val="24"/>
                </w:rPr>
                <w:sym w:font="Wingdings" w:char="00A8"/>
              </w:r>
            </w:sdtContent>
          </w:sdt>
        </w:sdtContent>
      </w:sdt>
      <w:r>
        <w:rPr>
          <w:rFonts w:hint="eastAsia" w:hAnsi="宋体" w:cs="宋体"/>
          <w:b/>
          <w:color w:val="auto"/>
          <w:sz w:val="24"/>
        </w:rPr>
        <w:t>是，</w:t>
      </w:r>
      <w:sdt>
        <w:sdtPr>
          <w:rPr>
            <w:rFonts w:hint="eastAsia" w:hAnsi="宋体" w:cs="宋体"/>
            <w:color w:val="auto"/>
            <w:kern w:val="0"/>
            <w:sz w:val="24"/>
          </w:rPr>
          <w:id w:val="-1765526721"/>
        </w:sdtPr>
        <w:sdtEndPr>
          <w:rPr>
            <w:rFonts w:hint="eastAsia" w:hAnsi="宋体" w:cs="宋体"/>
            <w:color w:val="auto"/>
            <w:kern w:val="0"/>
            <w:sz w:val="24"/>
          </w:rPr>
        </w:sdtEndPr>
        <w:sdtContent>
          <w:sdt>
            <w:sdtPr>
              <w:rPr>
                <w:rFonts w:hint="eastAsia" w:hAnsi="宋体" w:cs="宋体"/>
                <w:color w:val="auto"/>
                <w:kern w:val="0"/>
                <w:sz w:val="24"/>
              </w:rPr>
              <w:id w:val="1437858206"/>
            </w:sdtPr>
            <w:sdtEndPr>
              <w:rPr>
                <w:rFonts w:hint="eastAsia" w:hAnsi="宋体" w:cs="宋体"/>
                <w:color w:val="auto"/>
                <w:kern w:val="0"/>
                <w:sz w:val="24"/>
              </w:rPr>
            </w:sdtEndPr>
            <w:sdtContent>
              <w:r>
                <w:rPr>
                  <w:rFonts w:hint="eastAsia" w:hAnsi="宋体" w:cs="宋体"/>
                  <w:color w:val="auto"/>
                  <w:kern w:val="0"/>
                  <w:sz w:val="24"/>
                </w:rPr>
                <w:sym w:font="Wingdings" w:char="00FE"/>
              </w:r>
            </w:sdtContent>
          </w:sdt>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snapToGrid w:val="0"/>
          <w:kern w:val="28"/>
          <w:sz w:val="24"/>
          <w:szCs w:val="20"/>
        </w:rPr>
      </w:pPr>
      <w:r>
        <w:rPr>
          <w:rFonts w:hint="eastAsia" w:ascii="宋体" w:hAnsi="宋体" w:cs="宋体"/>
          <w:snapToGrid w:val="0"/>
          <w:kern w:val="28"/>
          <w:sz w:val="24"/>
          <w:szCs w:val="20"/>
        </w:rPr>
        <w:t>2.以联合体形式投标的，提供联合协议(本项目不接受联合体投标或者投标人不以联合体形式投标的，则不需要提供) ；</w:t>
      </w:r>
    </w:p>
    <w:p>
      <w:pPr>
        <w:spacing w:line="360" w:lineRule="auto"/>
        <w:ind w:firstLine="480" w:firstLineChars="200"/>
        <w:rPr>
          <w:rFonts w:hint="eastAsia" w:ascii="Wingdings" w:hAnsi="Wingdings" w:cs="宋体"/>
          <w:kern w:val="0"/>
          <w:sz w:val="24"/>
        </w:rPr>
      </w:pPr>
      <w:r>
        <w:rPr>
          <w:rFonts w:hint="eastAsia" w:ascii="宋体" w:hAnsi="宋体" w:cs="宋体"/>
          <w:snapToGrid w:val="0"/>
          <w:kern w:val="28"/>
          <w:sz w:val="24"/>
          <w:szCs w:val="20"/>
        </w:rPr>
        <w:t>3.落实政府采购政策需满足的资格要求：</w:t>
      </w:r>
    </w:p>
    <w:p>
      <w:pPr>
        <w:spacing w:before="156"/>
        <w:ind w:firstLine="480" w:firstLineChars="200"/>
        <w:rPr>
          <w:rFonts w:ascii="宋体" w:hAnsi="宋体"/>
          <w:sz w:val="24"/>
          <w:szCs w:val="32"/>
        </w:rPr>
      </w:pPr>
      <w:r>
        <w:rPr>
          <w:rFonts w:hint="eastAsia" w:ascii="宋体" w:hAnsi="宋体"/>
          <w:sz w:val="24"/>
          <w:szCs w:val="32"/>
        </w:rPr>
        <w:sym w:font="Wingdings" w:char="00A8"/>
      </w:r>
      <w:r>
        <w:rPr>
          <w:rFonts w:hint="eastAsia" w:ascii="宋体" w:hAnsi="宋体"/>
          <w:sz w:val="24"/>
          <w:szCs w:val="32"/>
        </w:rPr>
        <w:t>无；</w:t>
      </w:r>
    </w:p>
    <w:p>
      <w:pPr>
        <w:spacing w:before="156"/>
        <w:ind w:firstLine="480" w:firstLineChars="200"/>
        <w:rPr>
          <w:rFonts w:ascii="宋体" w:hAnsi="宋体"/>
          <w:sz w:val="24"/>
          <w:szCs w:val="32"/>
        </w:rPr>
      </w:pPr>
      <w:r>
        <w:rPr>
          <w:rFonts w:hint="eastAsia" w:ascii="宋体" w:hAnsi="宋体"/>
          <w:sz w:val="24"/>
          <w:szCs w:val="32"/>
        </w:rPr>
        <w:sym w:font="Wingdings" w:char="00FE"/>
      </w:r>
      <w:r>
        <w:rPr>
          <w:rFonts w:hint="eastAsia" w:ascii="宋体" w:hAnsi="宋体"/>
          <w:sz w:val="24"/>
          <w:szCs w:val="32"/>
        </w:rPr>
        <w:t>专门面向中小企业</w:t>
      </w:r>
    </w:p>
    <w:p>
      <w:pPr>
        <w:spacing w:before="156"/>
        <w:ind w:firstLine="960" w:firstLineChars="400"/>
        <w:rPr>
          <w:rFonts w:ascii="宋体" w:hAnsi="宋体"/>
          <w:sz w:val="24"/>
          <w:szCs w:val="32"/>
        </w:rPr>
      </w:pPr>
      <w:r>
        <w:rPr>
          <w:rFonts w:hint="eastAsia" w:ascii="宋体" w:hAnsi="宋体"/>
          <w:sz w:val="24"/>
          <w:szCs w:val="32"/>
        </w:rPr>
        <w:sym w:font="Wingdings" w:char="00A8"/>
      </w:r>
      <w:r>
        <w:rPr>
          <w:rFonts w:hint="eastAsia" w:ascii="宋体" w:hAnsi="宋体"/>
          <w:sz w:val="24"/>
          <w:szCs w:val="32"/>
        </w:rPr>
        <w:t xml:space="preserve"> 货物全部由符合政策要求的中小企业制造，提供中小企业声明函；</w:t>
      </w:r>
    </w:p>
    <w:p>
      <w:pPr>
        <w:spacing w:before="156"/>
        <w:ind w:firstLine="960" w:firstLineChars="400"/>
        <w:rPr>
          <w:rFonts w:ascii="宋体" w:hAnsi="宋体"/>
          <w:sz w:val="24"/>
          <w:szCs w:val="32"/>
        </w:rPr>
      </w:pPr>
      <w:r>
        <w:rPr>
          <w:rFonts w:hint="eastAsia" w:ascii="宋体" w:hAnsi="宋体"/>
          <w:sz w:val="24"/>
          <w:szCs w:val="32"/>
        </w:rPr>
        <w:sym w:font="Wingdings" w:char="00A8"/>
      </w:r>
      <w:r>
        <w:rPr>
          <w:rFonts w:hint="eastAsia" w:ascii="宋体" w:hAnsi="宋体"/>
          <w:sz w:val="24"/>
          <w:szCs w:val="32"/>
        </w:rPr>
        <w:t xml:space="preserve"> 货物全部由符合政策要求的小微企业制造，提供中小企业声明函；</w:t>
      </w:r>
    </w:p>
    <w:p>
      <w:pPr>
        <w:spacing w:before="156"/>
        <w:ind w:firstLine="960" w:firstLineChars="400"/>
        <w:rPr>
          <w:rFonts w:ascii="宋体" w:hAnsi="宋体"/>
          <w:sz w:val="24"/>
          <w:szCs w:val="32"/>
        </w:rPr>
      </w:pPr>
      <w:r>
        <w:rPr>
          <w:rFonts w:hint="eastAsia" w:ascii="宋体" w:hAnsi="宋体"/>
          <w:sz w:val="24"/>
          <w:szCs w:val="32"/>
        </w:rPr>
        <w:sym w:font="Wingdings" w:char="00FE"/>
      </w:r>
      <w:r>
        <w:rPr>
          <w:rFonts w:hint="eastAsia" w:ascii="宋体" w:hAnsi="宋体"/>
          <w:sz w:val="24"/>
          <w:szCs w:val="32"/>
        </w:rPr>
        <w:t>服务全部由符合政策要求的中小企业承接，提供中小企业声明函；</w:t>
      </w:r>
    </w:p>
    <w:p>
      <w:pPr>
        <w:spacing w:before="156"/>
        <w:ind w:firstLine="960" w:firstLineChars="400"/>
        <w:rPr>
          <w:rFonts w:ascii="宋体" w:hAnsi="宋体"/>
          <w:sz w:val="24"/>
          <w:szCs w:val="32"/>
        </w:rPr>
      </w:pPr>
      <w:r>
        <w:rPr>
          <w:rFonts w:hint="eastAsia" w:ascii="宋体" w:hAnsi="宋体"/>
          <w:sz w:val="24"/>
          <w:szCs w:val="32"/>
        </w:rPr>
        <w:sym w:font="Wingdings" w:char="00A8"/>
      </w:r>
      <w:r>
        <w:rPr>
          <w:rFonts w:hint="eastAsia" w:ascii="宋体" w:hAnsi="宋体"/>
          <w:sz w:val="24"/>
          <w:szCs w:val="32"/>
        </w:rPr>
        <w:t xml:space="preserve"> 服务全部由符合政策要求的小微企业承接，提供中小企业声明函；</w:t>
      </w:r>
    </w:p>
    <w:p>
      <w:pPr>
        <w:spacing w:before="156"/>
        <w:ind w:firstLine="480" w:firstLineChars="200"/>
        <w:rPr>
          <w:rFonts w:ascii="宋体" w:hAnsi="宋体"/>
          <w:sz w:val="24"/>
          <w:szCs w:val="32"/>
        </w:rPr>
      </w:pPr>
      <w:r>
        <w:rPr>
          <w:rFonts w:hint="eastAsia" w:ascii="宋体" w:hAnsi="宋体"/>
          <w:sz w:val="24"/>
          <w:szCs w:val="32"/>
        </w:rPr>
        <w:sym w:font="Wingdings" w:char="00A8"/>
      </w:r>
      <w:r>
        <w:rPr>
          <w:rFonts w:hint="eastAsia" w:ascii="宋体" w:hAnsi="宋体"/>
          <w:sz w:val="24"/>
          <w:szCs w:val="32"/>
        </w:rPr>
        <w:t>要求以联合体形式参加，提供联合协议和中小企业声明函，联合协议中中小企业合同金额应当达到%，小微企业合同金额应当达到%;如果供应商本身提供所有标的均由中小企业制造、承建或承接，视同符合了资格条件，无需再与其他中小企业组成联合体参加政府采购活动，无需提供联合协议；</w:t>
      </w:r>
    </w:p>
    <w:p>
      <w:pPr>
        <w:spacing w:before="156"/>
        <w:ind w:firstLine="480" w:firstLineChars="200"/>
        <w:rPr>
          <w:rFonts w:ascii="宋体" w:hAnsi="宋体"/>
          <w:sz w:val="24"/>
          <w:szCs w:val="32"/>
        </w:rPr>
      </w:pPr>
      <w:r>
        <w:rPr>
          <w:rFonts w:hint="eastAsia" w:ascii="宋体" w:hAnsi="宋体"/>
          <w:sz w:val="24"/>
          <w:szCs w:val="32"/>
        </w:rPr>
        <w:sym w:font="Wingdings" w:char="00A8"/>
      </w:r>
      <w:r>
        <w:rPr>
          <w:rFonts w:hint="eastAsia" w:ascii="宋体" w:hAnsi="宋体"/>
          <w:sz w:val="24"/>
          <w:szCs w:val="32"/>
        </w:rPr>
        <w:t>要求合同分包，提供分包意向协议和中小企业声明函，分包意向协议中中小企业合同金额应当达到达到 % ，小微企业合同金额应当达到% ;如果供应商本身提供所有标的均由中小企业制造、承建或承接，视同符合了资格条件，无需再向中小企业分包，无需提供分包意向协议；</w:t>
      </w:r>
    </w:p>
    <w:p>
      <w:pPr>
        <w:spacing w:line="440" w:lineRule="exact"/>
        <w:ind w:firstLine="480" w:firstLineChars="200"/>
        <w:rPr>
          <w:rFonts w:ascii="宋体" w:hAnsi="宋体"/>
          <w:color w:val="FF0000"/>
          <w:sz w:val="24"/>
          <w:szCs w:val="32"/>
        </w:rPr>
      </w:pPr>
      <w:r>
        <w:rPr>
          <w:rFonts w:hint="eastAsia" w:ascii="宋体" w:hAnsi="宋体"/>
          <w:color w:val="FF0000"/>
          <w:sz w:val="24"/>
          <w:szCs w:val="32"/>
        </w:rPr>
        <w:t>4.本项目的特定资格要求：</w:t>
      </w:r>
      <w:r>
        <w:rPr>
          <w:rFonts w:hint="eastAsia" w:ascii="宋体" w:hAnsi="宋体"/>
          <w:color w:val="FF0000"/>
          <w:sz w:val="24"/>
          <w:szCs w:val="32"/>
          <w:lang w:val="en-US" w:eastAsia="zh-CN"/>
        </w:rPr>
        <w:t>中铁协注册认证C级比赛资格。</w:t>
      </w:r>
      <w:r>
        <w:rPr>
          <w:rFonts w:hint="eastAsia" w:ascii="宋体" w:hAnsi="宋体"/>
          <w:color w:val="FF0000"/>
          <w:sz w:val="24"/>
          <w:szCs w:val="32"/>
        </w:rPr>
        <w:t> </w:t>
      </w:r>
    </w:p>
    <w:p>
      <w:pPr>
        <w:spacing w:line="440" w:lineRule="exact"/>
        <w:ind w:firstLine="480" w:firstLineChars="200"/>
        <w:rPr>
          <w:rFonts w:ascii="宋体" w:hAnsi="宋体"/>
          <w:sz w:val="24"/>
          <w:szCs w:val="32"/>
        </w:rPr>
      </w:pPr>
      <w:r>
        <w:rPr>
          <w:rFonts w:hint="eastAsia" w:ascii="宋体" w:hAnsi="宋体"/>
          <w:sz w:val="24"/>
          <w:szCs w:val="32"/>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三、获取竞争性磋商文件</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color w:val="FF0000"/>
          <w:sz w:val="24"/>
          <w:u w:val="single"/>
          <w:lang w:eastAsia="zh-CN"/>
        </w:rPr>
        <w:t>2024年04月0</w:t>
      </w:r>
      <w:r>
        <w:rPr>
          <w:rFonts w:hint="eastAsia" w:ascii="宋体" w:hAnsi="宋体" w:cs="宋体"/>
          <w:color w:val="FF0000"/>
          <w:sz w:val="24"/>
          <w:u w:val="single"/>
          <w:lang w:val="en-US" w:eastAsia="zh-CN"/>
        </w:rPr>
        <w:t>8</w:t>
      </w:r>
      <w:r>
        <w:rPr>
          <w:rFonts w:hint="eastAsia" w:ascii="宋体" w:hAnsi="宋体" w:cs="宋体"/>
          <w:color w:val="FF0000"/>
          <w:sz w:val="24"/>
          <w:u w:val="single"/>
          <w:lang w:eastAsia="zh-CN"/>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四、提交磋商响应文件截止时间、开标时间和地点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提交磋商响应文件截止时间：</w:t>
      </w:r>
      <w:r>
        <w:rPr>
          <w:rFonts w:hint="eastAsia" w:ascii="宋体" w:hAnsi="宋体" w:cs="宋体"/>
          <w:color w:val="FF0000"/>
          <w:sz w:val="24"/>
          <w:u w:val="single"/>
          <w:lang w:eastAsia="zh-CN"/>
        </w:rPr>
        <w:t>2024年04月08日10点</w:t>
      </w:r>
      <w:r>
        <w:rPr>
          <w:rFonts w:hint="eastAsia" w:ascii="宋体" w:hAnsi="宋体" w:cs="宋体"/>
          <w:color w:val="FF0000"/>
          <w:sz w:val="24"/>
          <w:u w:val="single"/>
        </w:rPr>
        <w:t>00分00秒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highlight w:val="yellow"/>
          <w:u w:val="single"/>
        </w:rPr>
      </w:pPr>
      <w:r>
        <w:rPr>
          <w:rFonts w:hint="eastAsia" w:ascii="宋体" w:hAnsi="宋体" w:cs="宋体"/>
          <w:b/>
          <w:sz w:val="24"/>
        </w:rPr>
        <w:t>开标时间：</w:t>
      </w:r>
      <w:r>
        <w:rPr>
          <w:rFonts w:hint="eastAsia" w:ascii="宋体" w:hAnsi="宋体" w:cs="宋体"/>
          <w:color w:val="FF0000"/>
          <w:sz w:val="24"/>
          <w:u w:val="single"/>
          <w:lang w:eastAsia="zh-CN"/>
        </w:rPr>
        <w:t>2024年04月08日10点</w:t>
      </w:r>
      <w:r>
        <w:rPr>
          <w:rFonts w:hint="eastAsia" w:ascii="宋体" w:hAnsi="宋体" w:cs="宋体"/>
          <w:color w:val="FF0000"/>
          <w:sz w:val="24"/>
          <w:u w:val="single"/>
        </w:rPr>
        <w:t>00分00秒</w:t>
      </w:r>
      <w:r>
        <w:rPr>
          <w:rFonts w:hint="eastAsia" w:ascii="宋体" w:hAnsi="宋体" w:cs="宋体"/>
          <w:sz w:val="24"/>
          <w:u w:val="single"/>
        </w:rPr>
        <w:t>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五、公告期限</w:t>
      </w:r>
    </w:p>
    <w:p>
      <w:pPr>
        <w:spacing w:line="360" w:lineRule="auto"/>
        <w:ind w:firstLine="480" w:firstLineChars="200"/>
        <w:rPr>
          <w:rFonts w:ascii="宋体" w:hAnsi="宋体" w:cs="宋体"/>
          <w:sz w:val="24"/>
        </w:rPr>
      </w:pPr>
      <w:r>
        <w:rPr>
          <w:rFonts w:hint="eastAsia" w:ascii="宋体" w:hAnsi="宋体" w:cs="宋体"/>
          <w:sz w:val="24"/>
        </w:rPr>
        <w:t>自本公告发布之日起3个工作日。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1.供应商认为竞争性磋商文件使自己的权益受到损害的，可以自获取竞争性磋商文件之日或者竞争性磋商公告期限届满之日（公告期限届满后获取竞争性磋商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2.其他事项：（1）需要落实的政府采购政策：包括节约资源、保护环境、支持创新、促进中小企业发展等。详见竞争性磋商文件的第二部分总则。（2）电子招投标的说明：①电子招投标：本项目以数据电文形式，依托“政府采购云平台（www.zcygov.cn）”进行招投标活动，不接受纸质磋商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竞争性磋商文件的获取：使用账号登录或者使用CA登录政采云平台；进入“项目采购”应用，在获取采购文件菜单中选择项目，获取竞争性磋商文件；④磋商响应文件的制作：在“政采云电子交易客户端”中完成“填写基本信息”、“导入磋商响应文件”、“标书关联”、“标书检查”、“电子签名”、“生成电子标书”等操作；⑤采购人、采购机构将依托政采云平台完成本项目的电子交易活动，平台不接受未按上述方式获取竞争性磋商文件的供应商进行投标活动；⑥对未按上述方式获取竞争性磋商文件的供应商对该文件提出的质疑，采购人或采购代理机构将不予处理；⑦不提供竞争性磋商文件纸质版；⑧磋商响应文件的传输递交：供应商在投标截止时间前将加密的磋商响应文件上传至政府采购云平台，还可以在投标截止时间前直接提交或者以邮政快递方式递交备份磋商响应文件1份。备份磋商响应文件的制作、存储、密封详见竞争性磋商文件第二部分第15点—“备份磋商响应文件”；⑨磋商响应文件的解密：供应商按照平台提示和竞争性磋商文件的规定在半小时内完成在线解密。通过“政府采购云平台”上传递交的磋商响应文件无法按时解密，投标供应商递交了备份磋商响应文件的，以备份磋商响应文件为依据，否则视为磋商响应文件撤回。通过“政府采购云平台”上传递交的磋商响应文件已按时解密的，备份磋商响应文件自动失效。供应商仅提交备份磋商响应文件，没有在电子交易平台传输递交磋商响应文件的，投标无效；⑩具体操作指南：详见政采云平台“服务中心-帮助文档-项目采购-操作流程-电子招投标-政府采购项目电子交易管理操作指南-供应商”。</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hint="eastAsia" w:ascii="宋体" w:hAnsi="宋体" w:eastAsia="宋体" w:cs="宋体"/>
          <w:sz w:val="24"/>
          <w:lang w:eastAsia="zh-CN"/>
        </w:rPr>
      </w:pPr>
      <w:r>
        <w:rPr>
          <w:rFonts w:hint="eastAsia" w:ascii="宋体" w:hAnsi="宋体" w:cs="宋体"/>
          <w:sz w:val="24"/>
        </w:rPr>
        <w:t xml:space="preserve">    名    称：</w:t>
      </w:r>
      <w:r>
        <w:rPr>
          <w:rFonts w:hint="eastAsia" w:ascii="宋体" w:hAnsi="宋体" w:cs="宋体"/>
          <w:sz w:val="24"/>
          <w:lang w:eastAsia="zh-CN"/>
        </w:rPr>
        <w:t>桐庐县合村乡人民政府</w:t>
      </w:r>
    </w:p>
    <w:p>
      <w:pPr>
        <w:spacing w:line="360" w:lineRule="auto"/>
        <w:ind w:firstLine="480"/>
        <w:rPr>
          <w:rFonts w:ascii="宋体" w:hAnsi="宋体" w:cs="宋体"/>
          <w:sz w:val="24"/>
        </w:rPr>
      </w:pPr>
      <w:r>
        <w:rPr>
          <w:rFonts w:hint="eastAsia" w:ascii="宋体" w:hAnsi="宋体" w:cs="宋体"/>
          <w:sz w:val="24"/>
        </w:rPr>
        <w:t>地    址：</w:t>
      </w:r>
      <w:r>
        <w:rPr>
          <w:rFonts w:hint="eastAsia" w:ascii="宋体" w:hAnsi="宋体" w:cs="宋体"/>
          <w:sz w:val="24"/>
          <w:lang w:eastAsia="zh-CN"/>
        </w:rPr>
        <w:t>桐庐县合村乡</w:t>
      </w:r>
    </w:p>
    <w:p>
      <w:pPr>
        <w:spacing w:line="360" w:lineRule="auto"/>
        <w:ind w:firstLine="480"/>
        <w:rPr>
          <w:rFonts w:hint="eastAsia" w:ascii="宋体" w:hAnsi="宋体" w:eastAsia="宋体" w:cs="宋体"/>
          <w:sz w:val="24"/>
          <w:lang w:val="en-US" w:eastAsia="zh-CN"/>
        </w:rPr>
      </w:pPr>
      <w:r>
        <w:rPr>
          <w:rFonts w:hint="eastAsia" w:ascii="宋体" w:hAnsi="宋体" w:cs="宋体"/>
          <w:sz w:val="24"/>
        </w:rPr>
        <w:t>项目联系人（询问）：</w:t>
      </w:r>
      <w:r>
        <w:rPr>
          <w:rFonts w:hint="eastAsia" w:ascii="宋体" w:hAnsi="宋体" w:cs="宋体"/>
          <w:sz w:val="24"/>
          <w:lang w:val="en-US" w:eastAsia="zh-CN"/>
        </w:rPr>
        <w:t>潘莉</w:t>
      </w:r>
    </w:p>
    <w:p>
      <w:pPr>
        <w:spacing w:line="360" w:lineRule="auto"/>
        <w:ind w:firstLine="480"/>
        <w:rPr>
          <w:rFonts w:ascii="宋体" w:hAnsi="宋体" w:cs="宋体"/>
          <w:sz w:val="24"/>
        </w:rPr>
      </w:pPr>
      <w:r>
        <w:rPr>
          <w:rFonts w:hint="eastAsia" w:ascii="宋体" w:hAnsi="宋体" w:cs="宋体"/>
          <w:sz w:val="24"/>
        </w:rPr>
        <w:t>项目联系方式（询问）：</w:t>
      </w:r>
      <w:r>
        <w:rPr>
          <w:rFonts w:ascii="宋体" w:hAnsi="宋体" w:eastAsia="宋体" w:cs="宋体"/>
          <w:sz w:val="24"/>
          <w:szCs w:val="24"/>
        </w:rPr>
        <w:t>13666665974</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质疑联系人：</w:t>
      </w:r>
      <w:r>
        <w:rPr>
          <w:rFonts w:hint="eastAsia" w:ascii="宋体" w:hAnsi="宋体" w:cs="宋体"/>
          <w:sz w:val="24"/>
          <w:highlight w:val="none"/>
          <w:lang w:val="en-US" w:eastAsia="zh-CN"/>
        </w:rPr>
        <w:t xml:space="preserve"> 倪圣威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联系方式：</w:t>
      </w:r>
      <w:r>
        <w:rPr>
          <w:rFonts w:hint="eastAsia" w:ascii="宋体" w:hAnsi="宋体" w:cs="宋体"/>
          <w:sz w:val="24"/>
          <w:highlight w:val="none"/>
          <w:lang w:val="en-US" w:eastAsia="zh-CN"/>
        </w:rPr>
        <w:t xml:space="preserve"> </w:t>
      </w:r>
      <w:r>
        <w:rPr>
          <w:rFonts w:hint="eastAsia" w:ascii="宋体" w:hAnsi="宋体" w:cs="宋体"/>
          <w:sz w:val="24"/>
          <w:highlight w:val="none"/>
        </w:rPr>
        <w:t xml:space="preserve"> 15888859509</w:t>
      </w:r>
    </w:p>
    <w:p>
      <w:pPr>
        <w:spacing w:line="360" w:lineRule="auto"/>
        <w:ind w:firstLine="240" w:firstLineChars="100"/>
        <w:rPr>
          <w:rFonts w:ascii="宋体" w:hAnsi="宋体" w:cs="宋体"/>
          <w:sz w:val="24"/>
        </w:rPr>
      </w:pPr>
      <w:r>
        <w:rPr>
          <w:rFonts w:hint="eastAsia" w:ascii="宋体" w:hAnsi="宋体" w:cs="宋体"/>
          <w:sz w:val="24"/>
        </w:rPr>
        <w:t xml:space="preserve">2.采购代理机构信息            </w:t>
      </w:r>
    </w:p>
    <w:p>
      <w:pPr>
        <w:spacing w:line="360" w:lineRule="auto"/>
        <w:ind w:firstLine="480" w:firstLineChars="200"/>
        <w:rPr>
          <w:rFonts w:ascii="宋体" w:hAnsi="宋体" w:cs="宋体"/>
          <w:sz w:val="24"/>
        </w:rPr>
      </w:pPr>
      <w:r>
        <w:rPr>
          <w:rFonts w:hint="eastAsia" w:ascii="宋体" w:hAnsi="宋体" w:cs="宋体"/>
          <w:sz w:val="24"/>
        </w:rPr>
        <w:t>名称：浙江重阳项目管理有限公司</w:t>
      </w:r>
    </w:p>
    <w:p>
      <w:pPr>
        <w:spacing w:line="360" w:lineRule="auto"/>
        <w:ind w:firstLine="480" w:firstLineChars="200"/>
        <w:rPr>
          <w:rFonts w:ascii="宋体" w:hAnsi="宋体" w:cs="宋体"/>
          <w:sz w:val="24"/>
        </w:rPr>
      </w:pPr>
      <w:r>
        <w:rPr>
          <w:rFonts w:hint="eastAsia" w:ascii="宋体" w:hAnsi="宋体" w:cs="宋体"/>
          <w:sz w:val="24"/>
        </w:rPr>
        <w:t>地 址：桐庐县迎春南路荣正财富广场1302室</w:t>
      </w:r>
    </w:p>
    <w:p>
      <w:pPr>
        <w:spacing w:line="360" w:lineRule="auto"/>
        <w:ind w:firstLine="480" w:firstLineChars="200"/>
        <w:rPr>
          <w:rFonts w:ascii="宋体" w:hAnsi="宋体" w:cs="宋体"/>
          <w:sz w:val="24"/>
        </w:rPr>
      </w:pPr>
      <w:r>
        <w:rPr>
          <w:rFonts w:hint="eastAsia" w:ascii="宋体" w:hAnsi="宋体" w:cs="宋体"/>
          <w:sz w:val="24"/>
        </w:rPr>
        <w:t xml:space="preserve">联系人：吴雨   </w:t>
      </w:r>
    </w:p>
    <w:p>
      <w:pPr>
        <w:spacing w:line="360" w:lineRule="auto"/>
        <w:ind w:firstLine="480" w:firstLineChars="200"/>
        <w:rPr>
          <w:rFonts w:ascii="宋体" w:hAnsi="宋体" w:cs="宋体"/>
          <w:sz w:val="24"/>
        </w:rPr>
      </w:pPr>
      <w:r>
        <w:rPr>
          <w:rFonts w:hint="eastAsia" w:ascii="宋体" w:hAnsi="宋体" w:cs="宋体"/>
          <w:sz w:val="24"/>
        </w:rPr>
        <w:t xml:space="preserve">联系电话：0571-64626647/15158007994  </w:t>
      </w:r>
    </w:p>
    <w:p>
      <w:pPr>
        <w:spacing w:line="360" w:lineRule="auto"/>
        <w:ind w:firstLine="480"/>
        <w:rPr>
          <w:rFonts w:hint="default" w:ascii="宋体" w:hAnsi="宋体" w:eastAsia="宋体" w:cs="宋体"/>
          <w:sz w:val="24"/>
          <w:lang w:val="en-US" w:eastAsia="zh-CN"/>
        </w:rPr>
      </w:pPr>
      <w:r>
        <w:rPr>
          <w:rFonts w:hint="eastAsia" w:ascii="宋体" w:hAnsi="宋体" w:cs="宋体"/>
          <w:sz w:val="24"/>
        </w:rPr>
        <w:t>质疑联系人：</w:t>
      </w:r>
      <w:r>
        <w:rPr>
          <w:rFonts w:hint="eastAsia" w:ascii="宋体" w:hAnsi="宋体" w:cs="宋体"/>
          <w:sz w:val="24"/>
          <w:lang w:val="en-US" w:eastAsia="zh-CN"/>
        </w:rPr>
        <w:t>程红胜</w:t>
      </w:r>
    </w:p>
    <w:p>
      <w:pPr>
        <w:spacing w:line="360" w:lineRule="auto"/>
        <w:ind w:firstLine="480" w:firstLineChars="200"/>
        <w:rPr>
          <w:rFonts w:ascii="宋体" w:hAnsi="宋体" w:cs="宋体"/>
          <w:sz w:val="24"/>
        </w:rPr>
      </w:pPr>
      <w:r>
        <w:rPr>
          <w:rFonts w:hint="eastAsia" w:ascii="宋体" w:hAnsi="宋体" w:cs="宋体"/>
          <w:sz w:val="24"/>
        </w:rPr>
        <w:t xml:space="preserve">联系方式：0571-64626647 </w:t>
      </w:r>
    </w:p>
    <w:p>
      <w:pPr>
        <w:spacing w:line="360" w:lineRule="auto"/>
        <w:ind w:firstLine="480" w:firstLineChars="200"/>
        <w:rPr>
          <w:rFonts w:ascii="宋体" w:hAnsi="宋体" w:cs="宋体"/>
          <w:sz w:val="24"/>
        </w:rPr>
      </w:pPr>
      <w:r>
        <w:rPr>
          <w:rFonts w:hint="eastAsia" w:ascii="宋体" w:hAnsi="宋体" w:cs="宋体"/>
          <w:sz w:val="24"/>
        </w:rPr>
        <w:t xml:space="preserve">3.同级政府采购监督管理部门            </w:t>
      </w:r>
    </w:p>
    <w:p>
      <w:pPr>
        <w:spacing w:line="360" w:lineRule="auto"/>
        <w:rPr>
          <w:rFonts w:ascii="宋体" w:hAnsi="宋体" w:cs="宋体"/>
          <w:sz w:val="24"/>
        </w:rPr>
      </w:pPr>
      <w:r>
        <w:rPr>
          <w:rFonts w:hint="eastAsia" w:ascii="宋体" w:hAnsi="宋体" w:cs="宋体"/>
          <w:sz w:val="24"/>
        </w:rPr>
        <w:t xml:space="preserve">    名    称：桐庐县财政局、浙江省政府采购行政裁决服务中心（杭州）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址：杭州市上城区四季青街道新业路市民之家G03办公室（快递仅限ems或顺丰）</w:t>
      </w:r>
    </w:p>
    <w:p>
      <w:pPr>
        <w:spacing w:line="360" w:lineRule="auto"/>
        <w:rPr>
          <w:rFonts w:ascii="宋体" w:hAnsi="宋体" w:cs="宋体"/>
          <w:sz w:val="24"/>
        </w:rPr>
      </w:pPr>
      <w:r>
        <w:rPr>
          <w:rFonts w:hint="eastAsia" w:ascii="宋体" w:hAnsi="宋体" w:cs="宋体"/>
          <w:sz w:val="24"/>
        </w:rPr>
        <w:t xml:space="preserve">    联 系 人：朱女士、王女士</w:t>
      </w:r>
    </w:p>
    <w:p>
      <w:pPr>
        <w:spacing w:line="360" w:lineRule="auto"/>
        <w:ind w:firstLine="480" w:firstLineChars="200"/>
        <w:rPr>
          <w:rFonts w:ascii="宋体" w:hAnsi="宋体" w:cs="宋体"/>
          <w:sz w:val="24"/>
        </w:rPr>
      </w:pPr>
      <w:r>
        <w:rPr>
          <w:rFonts w:hint="eastAsia" w:ascii="宋体" w:hAnsi="宋体" w:cs="宋体"/>
          <w:sz w:val="24"/>
        </w:rPr>
        <w:t>监督投诉电话：0571-</w:t>
      </w:r>
      <w:r>
        <w:rPr>
          <w:rFonts w:hint="eastAsia" w:ascii="宋体" w:hAnsi="宋体" w:cs="宋体"/>
          <w:sz w:val="24"/>
          <w:lang w:val="en-US" w:eastAsia="zh-CN"/>
        </w:rPr>
        <w:t>85252453</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adjustRightInd/>
        <w:spacing w:line="360" w:lineRule="auto"/>
        <w:jc w:val="center"/>
        <w:outlineLvl w:val="0"/>
        <w:rPr>
          <w:rFonts w:ascii="宋体" w:hAnsi="宋体" w:cs="宋体"/>
          <w:b/>
          <w:sz w:val="36"/>
          <w:szCs w:val="20"/>
        </w:rPr>
      </w:pPr>
      <w:r>
        <w:rPr>
          <w:rFonts w:hint="eastAsia" w:ascii="宋体" w:hAnsi="宋体" w:cs="宋体"/>
          <w:sz w:val="36"/>
          <w:szCs w:val="20"/>
        </w:rPr>
        <w:br w:type="page"/>
      </w:r>
      <w:r>
        <w:rPr>
          <w:rFonts w:hint="eastAsia" w:ascii="宋体" w:hAnsi="宋体" w:cs="宋体"/>
          <w:b/>
          <w:sz w:val="36"/>
          <w:szCs w:val="20"/>
        </w:rPr>
        <w:t>第二部分</w:t>
      </w:r>
      <w:bookmarkEnd w:id="7"/>
      <w:r>
        <w:rPr>
          <w:rFonts w:hint="eastAsia" w:ascii="宋体" w:hAnsi="宋体" w:cs="宋体"/>
          <w:b/>
          <w:sz w:val="36"/>
          <w:szCs w:val="20"/>
        </w:rPr>
        <w:t>磋商供应商须知</w:t>
      </w:r>
      <w:bookmarkEnd w:id="8"/>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3"/>
        <w:tblW w:w="100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8"/>
        <w:gridCol w:w="1754"/>
        <w:gridCol w:w="76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序号</w:t>
            </w:r>
          </w:p>
        </w:tc>
        <w:tc>
          <w:tcPr>
            <w:tcW w:w="9413" w:type="dxa"/>
            <w:gridSpan w:val="2"/>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rPr>
            </w:pPr>
            <w:r>
              <w:rPr>
                <w:rFonts w:hint="eastAsia" w:ascii="宋体" w:hAnsi="宋体"/>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1</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项目名称</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rPr>
                <w:rFonts w:hint="eastAsia" w:ascii="宋体" w:hAnsi="宋体" w:eastAsia="宋体"/>
                <w:lang w:eastAsia="zh-CN"/>
              </w:rPr>
            </w:pPr>
            <w:r>
              <w:rPr>
                <w:rFonts w:hint="eastAsia" w:ascii="宋体" w:hAnsi="宋体"/>
                <w:lang w:eastAsia="zh-CN"/>
              </w:rPr>
              <w:t>2024第四届桐庐生仙里铁人三项赛赛事运营服务采购项目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2</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采购资金来源与预算</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rPr>
            </w:pPr>
            <w:r>
              <w:rPr>
                <w:rFonts w:hint="eastAsia" w:ascii="宋体" w:hAnsi="宋体"/>
              </w:rPr>
              <w:t>（1）预算资金。</w:t>
            </w:r>
          </w:p>
          <w:p>
            <w:pPr>
              <w:wordWrap w:val="0"/>
              <w:topLinePunct/>
              <w:snapToGrid w:val="0"/>
              <w:spacing w:line="440" w:lineRule="exact"/>
              <w:rPr>
                <w:rFonts w:ascii="宋体" w:hAnsi="宋体"/>
              </w:rPr>
            </w:pPr>
            <w:r>
              <w:rPr>
                <w:rFonts w:hint="eastAsia" w:ascii="宋体" w:hAnsi="宋体"/>
              </w:rPr>
              <w:t>（2）本项目预算价为</w:t>
            </w:r>
            <w:r>
              <w:rPr>
                <w:rFonts w:hint="eastAsia" w:ascii="宋体" w:hAnsi="宋体"/>
                <w:u w:val="single"/>
                <w:lang w:eastAsia="zh-CN"/>
              </w:rPr>
              <w:t>1300000</w:t>
            </w:r>
            <w:r>
              <w:rPr>
                <w:rFonts w:hint="eastAsia" w:ascii="宋体" w:hAnsi="宋体"/>
              </w:rPr>
              <w:t>元，最高限价为</w:t>
            </w:r>
            <w:r>
              <w:rPr>
                <w:rFonts w:hint="eastAsia" w:ascii="宋体" w:hAnsi="宋体"/>
                <w:u w:val="single"/>
                <w:lang w:eastAsia="zh-CN"/>
              </w:rPr>
              <w:t>1300000</w:t>
            </w:r>
            <w:r>
              <w:rPr>
                <w:rFonts w:hint="eastAsia" w:ascii="宋体" w:hAnsi="宋体"/>
              </w:rPr>
              <w:t>元 ，超过最高限价的投标无效。</w:t>
            </w:r>
          </w:p>
          <w:p>
            <w:pPr>
              <w:wordWrap w:val="0"/>
              <w:topLinePunct/>
              <w:snapToGrid w:val="0"/>
              <w:spacing w:line="440" w:lineRule="exact"/>
              <w:rPr>
                <w:rFonts w:ascii="宋体" w:hAnsi="宋体"/>
              </w:rPr>
            </w:pPr>
            <w:r>
              <w:rPr>
                <w:rFonts w:hint="eastAsia" w:ascii="宋体" w:hAnsi="宋体"/>
              </w:rPr>
              <w:t>（3）采购方式：竞争性磋商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3</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投标文件递交截止时间与地点</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rPr>
            </w:pPr>
            <w:r>
              <w:rPr>
                <w:rFonts w:hint="eastAsia" w:ascii="宋体" w:hAnsi="宋体"/>
              </w:rPr>
              <w:t>（1）投标文件递交截止时间：</w:t>
            </w:r>
            <w:r>
              <w:rPr>
                <w:rFonts w:hint="eastAsia" w:ascii="宋体" w:hAnsi="宋体"/>
                <w:b/>
                <w:color w:val="FF0000"/>
                <w:highlight w:val="yellow"/>
                <w:lang w:eastAsia="zh-CN"/>
              </w:rPr>
              <w:t>2024年04月08日10点</w:t>
            </w:r>
            <w:r>
              <w:rPr>
                <w:rFonts w:hint="eastAsia" w:ascii="宋体" w:hAnsi="宋体"/>
                <w:b/>
                <w:color w:val="FF0000"/>
                <w:highlight w:val="yellow"/>
              </w:rPr>
              <w:t>00分00秒</w:t>
            </w:r>
          </w:p>
          <w:p>
            <w:pPr>
              <w:pStyle w:val="799"/>
              <w:tabs>
                <w:tab w:val="left" w:pos="822"/>
              </w:tabs>
              <w:wordWrap w:val="0"/>
              <w:topLinePunct/>
              <w:spacing w:line="440" w:lineRule="exact"/>
              <w:ind w:firstLine="0" w:firstLineChars="0"/>
              <w:rPr>
                <w:rFonts w:hAnsi="宋体"/>
                <w:sz w:val="21"/>
                <w:szCs w:val="24"/>
              </w:rPr>
            </w:pPr>
            <w:r>
              <w:rPr>
                <w:rFonts w:hint="eastAsia" w:hAnsi="宋体"/>
                <w:sz w:val="21"/>
                <w:szCs w:val="24"/>
              </w:rPr>
              <w:t>（2）投标文件递交地点：政采云平台(</w:t>
            </w:r>
            <w:r>
              <w:fldChar w:fldCharType="begin"/>
            </w:r>
            <w:r>
              <w:instrText xml:space="preserve"> HYPERLINK "https://www.zcygov.cn/" </w:instrText>
            </w:r>
            <w:r>
              <w:fldChar w:fldCharType="separate"/>
            </w:r>
            <w:r>
              <w:rPr>
                <w:rFonts w:hint="eastAsia" w:hAnsi="宋体"/>
                <w:sz w:val="21"/>
                <w:szCs w:val="24"/>
              </w:rPr>
              <w:t>https://www.zcygov.cn/</w:t>
            </w:r>
            <w:r>
              <w:rPr>
                <w:rFonts w:hint="eastAsia" w:hAnsi="宋体"/>
                <w:sz w:val="21"/>
                <w:szCs w:val="24"/>
              </w:rPr>
              <w:fldChar w:fldCharType="end"/>
            </w:r>
            <w:r>
              <w:rPr>
                <w:rFonts w:hint="eastAsia" w:hAnsi="宋体"/>
                <w:sz w:val="21"/>
                <w:szCs w:val="24"/>
              </w:rPr>
              <w:t>)；</w:t>
            </w:r>
          </w:p>
          <w:p>
            <w:pPr>
              <w:pStyle w:val="799"/>
              <w:tabs>
                <w:tab w:val="left" w:pos="822"/>
              </w:tabs>
              <w:wordWrap w:val="0"/>
              <w:topLinePunct/>
              <w:spacing w:line="440" w:lineRule="exact"/>
              <w:ind w:firstLine="0" w:firstLineChars="0"/>
              <w:rPr>
                <w:rFonts w:hAnsi="宋体"/>
              </w:rPr>
            </w:pPr>
            <w:r>
              <w:rPr>
                <w:rFonts w:hint="eastAsia" w:hAnsi="宋体"/>
                <w:sz w:val="21"/>
                <w:szCs w:val="24"/>
              </w:rPr>
              <w:t>（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4</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开标时间与地点</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rPr>
            </w:pPr>
            <w:r>
              <w:rPr>
                <w:rFonts w:hint="eastAsia" w:ascii="宋体" w:hAnsi="宋体"/>
              </w:rPr>
              <w:t>（1）开标时间：</w:t>
            </w:r>
            <w:r>
              <w:rPr>
                <w:rFonts w:hint="eastAsia" w:ascii="宋体" w:hAnsi="宋体"/>
                <w:b/>
                <w:color w:val="FF0000"/>
                <w:highlight w:val="yellow"/>
                <w:lang w:eastAsia="zh-CN"/>
              </w:rPr>
              <w:t>2024年04月08日10点</w:t>
            </w:r>
            <w:r>
              <w:rPr>
                <w:rFonts w:hint="eastAsia" w:ascii="宋体" w:hAnsi="宋体"/>
                <w:b/>
                <w:color w:val="FF0000"/>
                <w:highlight w:val="yellow"/>
              </w:rPr>
              <w:t>00分00秒</w:t>
            </w:r>
          </w:p>
          <w:p>
            <w:pPr>
              <w:pStyle w:val="799"/>
              <w:tabs>
                <w:tab w:val="left" w:pos="822"/>
              </w:tabs>
              <w:wordWrap w:val="0"/>
              <w:topLinePunct/>
              <w:spacing w:line="440" w:lineRule="exact"/>
              <w:ind w:firstLine="0" w:firstLineChars="0"/>
              <w:rPr>
                <w:rFonts w:hAnsi="宋体"/>
                <w:szCs w:val="24"/>
              </w:rPr>
            </w:pPr>
            <w:r>
              <w:rPr>
                <w:rFonts w:hint="eastAsia" w:hAnsi="宋体"/>
                <w:sz w:val="21"/>
                <w:szCs w:val="24"/>
              </w:rPr>
              <w:t>（2）开标地点：杭州市公共资源交易中心桐庐分中心。政采云平台(https://www.zcygov.cn/)；本项目全流程电子标，无须参加现场开标会议。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5</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cs="Arial"/>
                <w:b/>
                <w:bCs/>
              </w:rPr>
              <w:t>投标报价及费用</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rPr>
            </w:pPr>
            <w:r>
              <w:rPr>
                <w:rFonts w:hint="eastAsia" w:ascii="宋体" w:hAnsi="宋体"/>
              </w:rPr>
              <w:t>（1）本项目投标应以人民币报价。</w:t>
            </w:r>
          </w:p>
          <w:p>
            <w:pPr>
              <w:wordWrap w:val="0"/>
              <w:topLinePunct/>
              <w:snapToGrid w:val="0"/>
              <w:spacing w:line="440" w:lineRule="exact"/>
              <w:rPr>
                <w:rFonts w:ascii="宋体" w:hAnsi="宋体"/>
              </w:rPr>
            </w:pPr>
            <w:r>
              <w:rPr>
                <w:rFonts w:hint="eastAsia" w:ascii="宋体" w:hAnsi="宋体"/>
              </w:rPr>
              <w:t>（2）不论投标结果如何，投标人均应自行承担所有与投标有关的全部费用。</w:t>
            </w:r>
          </w:p>
          <w:p>
            <w:pPr>
              <w:pStyle w:val="799"/>
              <w:tabs>
                <w:tab w:val="left" w:pos="822"/>
              </w:tabs>
              <w:wordWrap w:val="0"/>
              <w:topLinePunct/>
              <w:spacing w:line="440" w:lineRule="exact"/>
              <w:ind w:firstLine="0" w:firstLineChars="0"/>
              <w:rPr>
                <w:rFonts w:hAnsi="宋体"/>
                <w:szCs w:val="24"/>
              </w:rPr>
            </w:pPr>
            <w:r>
              <w:rPr>
                <w:rFonts w:hint="eastAsia" w:hAnsi="宋体"/>
                <w:sz w:val="21"/>
                <w:szCs w:val="24"/>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6</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cs="Arial"/>
                <w:b/>
                <w:bCs/>
              </w:rPr>
            </w:pPr>
            <w:r>
              <w:rPr>
                <w:rFonts w:hint="eastAsia" w:ascii="宋体" w:hAnsi="宋体" w:cs="Arial"/>
                <w:b/>
                <w:bCs/>
              </w:rPr>
              <w:t>转包与分包</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rPr>
            </w:pPr>
            <w:r>
              <w:rPr>
                <w:rFonts w:hint="eastAsia" w:ascii="宋体" w:hAnsi="宋体"/>
              </w:rPr>
              <w:t>（1）本项目不允许转包</w:t>
            </w:r>
          </w:p>
          <w:p>
            <w:pPr>
              <w:pStyle w:val="799"/>
              <w:tabs>
                <w:tab w:val="left" w:pos="822"/>
              </w:tabs>
              <w:wordWrap w:val="0"/>
              <w:topLinePunct/>
              <w:spacing w:line="440" w:lineRule="exact"/>
              <w:ind w:firstLine="0" w:firstLineChars="0"/>
              <w:rPr>
                <w:rFonts w:hAnsi="宋体"/>
                <w:szCs w:val="24"/>
              </w:rPr>
            </w:pPr>
            <w:r>
              <w:rPr>
                <w:rFonts w:hint="eastAsia" w:hAnsi="宋体"/>
                <w:sz w:val="21"/>
                <w:szCs w:val="24"/>
              </w:rPr>
              <w:t>（2）本项目不允许分包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7</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rPr>
            </w:pPr>
            <w:r>
              <w:rPr>
                <w:rFonts w:hint="eastAsia" w:ascii="宋体" w:hAnsi="宋体"/>
                <w:b/>
                <w:bCs/>
              </w:rPr>
              <w:t>开标前答疑会或现场踏勘</w:t>
            </w:r>
          </w:p>
        </w:tc>
        <w:tc>
          <w:tcPr>
            <w:tcW w:w="7659" w:type="dxa"/>
            <w:tcBorders>
              <w:top w:val="single" w:color="auto" w:sz="4" w:space="0"/>
              <w:left w:val="single" w:color="auto" w:sz="4" w:space="0"/>
              <w:bottom w:val="single" w:color="auto" w:sz="4" w:space="0"/>
              <w:right w:val="single" w:color="auto" w:sz="4" w:space="0"/>
            </w:tcBorders>
            <w:vAlign w:val="center"/>
          </w:tcPr>
          <w:p>
            <w:pPr>
              <w:numPr>
                <w:ilvl w:val="0"/>
                <w:numId w:val="1"/>
              </w:numPr>
              <w:wordWrap w:val="0"/>
              <w:topLinePunct/>
              <w:snapToGrid w:val="0"/>
              <w:spacing w:line="440" w:lineRule="exact"/>
              <w:rPr>
                <w:rFonts w:ascii="宋体" w:hAnsi="宋体"/>
              </w:rPr>
            </w:pPr>
            <w:r>
              <w:rPr>
                <w:rFonts w:hint="eastAsia" w:ascii="宋体" w:hAnsi="宋体"/>
              </w:rPr>
              <w:t>开标前答疑会：不组织</w:t>
            </w:r>
          </w:p>
          <w:p>
            <w:pPr>
              <w:numPr>
                <w:ilvl w:val="0"/>
                <w:numId w:val="1"/>
              </w:numPr>
              <w:wordWrap w:val="0"/>
              <w:topLinePunct/>
              <w:snapToGrid w:val="0"/>
              <w:spacing w:line="440" w:lineRule="exact"/>
              <w:rPr>
                <w:rFonts w:ascii="宋体" w:hAnsi="宋体"/>
              </w:rPr>
            </w:pPr>
            <w:r>
              <w:rPr>
                <w:rFonts w:hint="eastAsia" w:ascii="宋体" w:hAnsi="宋体"/>
              </w:rPr>
              <w:t>现场踏勘：不统一组织，如需现场踏勘，请潜在投标人自行联系采购人进行踏勘。</w:t>
            </w:r>
          </w:p>
          <w:p>
            <w:pPr>
              <w:wordWrap w:val="0"/>
              <w:topLinePunct/>
              <w:snapToGrid w:val="0"/>
              <w:spacing w:line="440" w:lineRule="exact"/>
              <w:rPr>
                <w:rFonts w:ascii="宋体" w:hAnsi="宋体" w:cs="Arial"/>
              </w:rPr>
            </w:pPr>
            <w:r>
              <w:rPr>
                <w:rFonts w:hint="eastAsia" w:ascii="宋体" w:hAnsi="宋体" w:cs="Arial"/>
              </w:rPr>
              <w:t>采购人联系人：</w:t>
            </w:r>
            <w:r>
              <w:rPr>
                <w:rFonts w:hint="eastAsia" w:ascii="宋体" w:hAnsi="宋体"/>
              </w:rPr>
              <w:t>吴</w:t>
            </w:r>
            <w:r>
              <w:rPr>
                <w:rFonts w:hint="eastAsia" w:ascii="宋体" w:hAnsi="宋体"/>
                <w:lang w:val="en-US" w:eastAsia="zh-CN"/>
              </w:rPr>
              <w:t>雨</w:t>
            </w:r>
            <w:r>
              <w:rPr>
                <w:rFonts w:hint="eastAsia" w:ascii="宋体" w:hAnsi="宋体" w:cs="Arial"/>
              </w:rPr>
              <w:t xml:space="preserve">  联系电话：</w:t>
            </w:r>
            <w:r>
              <w:rPr>
                <w:rFonts w:hint="eastAsia" w:ascii="宋体" w:hAnsi="宋体"/>
              </w:rPr>
              <w:t>0571-64626647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8</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b/>
                <w:bCs/>
              </w:rPr>
            </w:pPr>
            <w:r>
              <w:rPr>
                <w:rFonts w:hint="eastAsia" w:ascii="宋体" w:hAnsi="宋体"/>
                <w:b/>
                <w:bCs/>
              </w:rPr>
              <w:t>评标办法及标准</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cs="Arial"/>
              </w:rPr>
            </w:pPr>
            <w:r>
              <w:rPr>
                <w:rFonts w:hint="eastAsia" w:ascii="宋体" w:hAnsi="宋体"/>
              </w:rPr>
              <w:t>综合评分法。具体详见招标文件第三章评标办法及评分标准。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9</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b/>
                <w:bCs/>
              </w:rPr>
            </w:pPr>
            <w:r>
              <w:rPr>
                <w:rFonts w:hint="eastAsia" w:ascii="宋体" w:hAnsi="宋体"/>
                <w:b/>
                <w:bCs/>
              </w:rPr>
              <w:t>样品提供</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rPr>
            </w:pPr>
            <w:r>
              <w:rPr>
                <w:rFonts w:hint="eastAsia" w:ascii="宋体" w:hAnsi="宋体"/>
              </w:rPr>
              <w:t>本项目不要求提供样品。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10</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b/>
                <w:bCs/>
              </w:rPr>
            </w:pPr>
            <w:r>
              <w:rPr>
                <w:rFonts w:hint="eastAsia" w:ascii="宋体" w:hAnsi="宋体"/>
                <w:b/>
                <w:bCs/>
              </w:rPr>
              <w:t>现场演示</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rPr>
            </w:pPr>
            <w:r>
              <w:rPr>
                <w:rFonts w:hint="eastAsia" w:ascii="宋体" w:hAnsi="宋体"/>
                <w:bCs/>
              </w:rPr>
              <w:t>本项目不要求现场演示。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11</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b/>
                <w:bCs/>
              </w:rPr>
            </w:pPr>
            <w:r>
              <w:rPr>
                <w:rFonts w:hint="eastAsia" w:ascii="宋体" w:hAnsi="宋体"/>
                <w:b/>
                <w:bCs/>
              </w:rPr>
              <w:t>项目属性</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b/>
                <w:color w:val="0000FF"/>
              </w:rPr>
            </w:pPr>
            <w:r>
              <w:rPr>
                <w:rFonts w:hint="eastAsia" w:ascii="宋体" w:hAnsi="宋体"/>
              </w:rPr>
              <w:sym w:font="Wingdings" w:char="00A8"/>
            </w:r>
            <w:r>
              <w:rPr>
                <w:rFonts w:hint="eastAsia" w:ascii="宋体" w:hAnsi="宋体"/>
              </w:rPr>
              <w:t xml:space="preserve"> </w:t>
            </w:r>
            <w:r>
              <w:rPr>
                <w:rFonts w:hint="eastAsia" w:ascii="宋体" w:hAnsi="宋体"/>
                <w:b/>
                <w:bCs/>
              </w:rPr>
              <w:t>货物类，</w:t>
            </w:r>
            <w:r>
              <w:rPr>
                <w:rFonts w:hint="eastAsia" w:ascii="宋体" w:hAnsi="宋体"/>
                <w:b/>
              </w:rPr>
              <w:t>单一产品或核心产品为：</w:t>
            </w:r>
            <w:r>
              <w:rPr>
                <w:rFonts w:hint="eastAsia" w:ascii="宋体" w:hAnsi="宋体"/>
                <w:b/>
                <w:u w:val="single"/>
                <w:lang w:val="en-US" w:eastAsia="zh-CN"/>
              </w:rPr>
              <w:t>/</w:t>
            </w:r>
            <w:r>
              <w:rPr>
                <w:rFonts w:hint="eastAsia" w:ascii="宋体" w:hAnsi="宋体"/>
                <w:b/>
              </w:rPr>
              <w:t>。</w:t>
            </w:r>
          </w:p>
          <w:p>
            <w:pPr>
              <w:wordWrap w:val="0"/>
              <w:topLinePunct/>
              <w:snapToGrid w:val="0"/>
              <w:spacing w:line="440" w:lineRule="exact"/>
              <w:rPr>
                <w:rFonts w:ascii="宋体" w:hAnsi="宋体"/>
                <w:color w:val="FF0000"/>
              </w:rPr>
            </w:pPr>
            <w:r>
              <w:rPr>
                <w:rFonts w:hint="eastAsia" w:ascii="宋体" w:hAnsi="宋体"/>
              </w:rPr>
              <w:sym w:font="Wingdings" w:char="00FE"/>
            </w:r>
            <w:r>
              <w:rPr>
                <w:rFonts w:hint="eastAsia" w:ascii="宋体" w:hAnsi="宋体"/>
                <w:b/>
                <w:bCs/>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12</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b/>
                <w:bCs/>
              </w:rPr>
            </w:pPr>
            <w:r>
              <w:rPr>
                <w:rFonts w:hint="eastAsia" w:ascii="宋体" w:hAnsi="宋体"/>
                <w:b/>
                <w:bCs/>
              </w:rPr>
              <w:t>是否适宜中小企业情况</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rPr>
            </w:pPr>
            <w:r>
              <w:rPr>
                <w:rFonts w:hint="eastAsia" w:ascii="宋体" w:hAnsi="宋体"/>
                <w:b/>
                <w:bCs/>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13</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b/>
                <w:bCs/>
              </w:rPr>
            </w:pPr>
            <w:r>
              <w:rPr>
                <w:rFonts w:hint="eastAsia" w:ascii="宋体" w:hAnsi="宋体"/>
                <w:b/>
                <w:bCs/>
              </w:rPr>
              <w:t>中小企业划分标准所属行业</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rPr>
            </w:pPr>
            <w:r>
              <w:rPr>
                <w:rFonts w:hint="eastAsia" w:ascii="宋体" w:hAnsi="宋体"/>
              </w:rPr>
              <w:t>《关于印发中小企业划型标准规定的通知》（工信部联企业〔2011〕300号）规定的划分标准。</w:t>
            </w:r>
          </w:p>
          <w:p>
            <w:pPr>
              <w:wordWrap w:val="0"/>
              <w:topLinePunct/>
              <w:snapToGrid w:val="0"/>
              <w:spacing w:line="440" w:lineRule="exact"/>
              <w:rPr>
                <w:rFonts w:ascii="宋体" w:hAnsi="宋体"/>
                <w:b/>
                <w:bCs/>
              </w:rPr>
            </w:pPr>
            <w:r>
              <w:rPr>
                <w:rFonts w:hint="eastAsia" w:ascii="宋体" w:hAnsi="宋体"/>
                <w:b/>
                <w:bCs/>
              </w:rPr>
              <w:t>（1）采购标的：</w:t>
            </w:r>
            <w:r>
              <w:rPr>
                <w:rFonts w:hint="eastAsia" w:ascii="宋体" w:hAnsi="宋体"/>
              </w:rPr>
              <w:t>详见采购清单。</w:t>
            </w:r>
          </w:p>
          <w:p>
            <w:pPr>
              <w:wordWrap w:val="0"/>
              <w:topLinePunct/>
              <w:snapToGrid w:val="0"/>
              <w:spacing w:line="440" w:lineRule="exact"/>
              <w:rPr>
                <w:rFonts w:ascii="宋体" w:hAnsi="宋体" w:cs="Arial"/>
              </w:rPr>
            </w:pPr>
            <w:r>
              <w:rPr>
                <w:rFonts w:hint="eastAsia" w:ascii="宋体" w:hAnsi="宋体"/>
                <w:b/>
                <w:bCs/>
                <w:highlight w:val="yellow"/>
              </w:rPr>
              <w:t>（2）所属行业：</w:t>
            </w:r>
            <w:r>
              <w:rPr>
                <w:rFonts w:hint="eastAsia" w:ascii="宋体" w:hAnsi="宋体"/>
                <w:highlight w:val="yellow"/>
                <w:u w:val="single"/>
              </w:rPr>
              <w:t>未列明行业</w:t>
            </w:r>
            <w:r>
              <w:rPr>
                <w:rFonts w:hint="eastAsia" w:ascii="宋体" w:hAnsi="宋体" w:cs="Arial"/>
                <w:kern w:val="0"/>
                <w:highlight w:val="yellow"/>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14</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rPr>
            </w:pPr>
            <w:r>
              <w:rPr>
                <w:rFonts w:hint="eastAsia" w:ascii="宋体" w:hAnsi="宋体"/>
                <w:b/>
                <w:bCs/>
              </w:rPr>
              <w:t>促进中小企业发展政策</w:t>
            </w:r>
          </w:p>
        </w:tc>
        <w:tc>
          <w:tcPr>
            <w:tcW w:w="765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wordWrap w:val="0"/>
              <w:topLinePunct/>
              <w:spacing w:line="440" w:lineRule="exact"/>
              <w:jc w:val="left"/>
              <w:rPr>
                <w:rFonts w:ascii="宋体" w:hAnsi="宋体"/>
                <w:b/>
                <w:bCs/>
              </w:rPr>
            </w:pPr>
            <w:r>
              <w:rPr>
                <w:rFonts w:hint="eastAsia" w:ascii="宋体" w:hAnsi="宋体"/>
                <w:b/>
                <w:bCs/>
              </w:rPr>
              <w:t>根据财库〔2020〕46号的相关规定：</w:t>
            </w:r>
          </w:p>
          <w:p>
            <w:pPr>
              <w:keepNext/>
              <w:keepLines/>
              <w:wordWrap w:val="0"/>
              <w:topLinePunct/>
              <w:spacing w:line="440" w:lineRule="exact"/>
              <w:ind w:firstLine="411" w:firstLineChars="196"/>
              <w:rPr>
                <w:rFonts w:ascii="宋体" w:hAnsi="宋体"/>
                <w:b/>
                <w:bCs/>
              </w:rPr>
            </w:pPr>
            <w:r>
              <w:rPr>
                <w:rFonts w:hint="eastAsia" w:ascii="宋体" w:hAnsi="宋体"/>
              </w:rPr>
              <w:sym w:font="Wingdings" w:char="00A8"/>
            </w:r>
            <w:r>
              <w:rPr>
                <w:rFonts w:hint="eastAsia" w:ascii="宋体" w:hAnsi="宋体"/>
                <w:b/>
                <w:bCs/>
              </w:rPr>
              <w:t>对于未预留份额专门面向中小企业的政府采购货物或服务项目，以及预留份额政府采购货物或服务项目中的非预留部分标项，对小型和微型企业的投标报价给予</w:t>
            </w:r>
            <w:r>
              <w:rPr>
                <w:rFonts w:hint="eastAsia" w:ascii="宋体" w:hAnsi="宋体"/>
                <w:b/>
                <w:bCs/>
                <w:lang w:val="en-US" w:eastAsia="zh-CN"/>
              </w:rPr>
              <w:t>2</w:t>
            </w:r>
            <w:r>
              <w:rPr>
                <w:rFonts w:hint="eastAsia" w:ascii="宋体" w:hAnsi="宋体"/>
                <w:b/>
                <w:bCs/>
              </w:rPr>
              <w:t>0%的扣除，用扣除后的价格参与评审。</w:t>
            </w:r>
          </w:p>
          <w:p>
            <w:pPr>
              <w:keepNext/>
              <w:keepLines/>
              <w:wordWrap w:val="0"/>
              <w:topLinePunct/>
              <w:spacing w:line="440" w:lineRule="exact"/>
              <w:ind w:firstLine="411" w:firstLineChars="196"/>
              <w:rPr>
                <w:rFonts w:ascii="宋体" w:hAnsi="宋体"/>
                <w:b/>
                <w:bCs/>
              </w:rPr>
            </w:pPr>
            <w:r>
              <w:rPr>
                <w:rFonts w:hint="eastAsia" w:ascii="宋体" w:hAnsi="宋体"/>
              </w:rPr>
              <w:sym w:font="Wingdings" w:char="00FE"/>
            </w:r>
            <w:r>
              <w:rPr>
                <w:rFonts w:hint="eastAsia" w:ascii="宋体" w:hAnsi="宋体"/>
                <w:b/>
                <w:bCs/>
              </w:rPr>
              <w:t>对于专门面向中、小、微型企业或者监狱企业或者残疾人福利性单位，符合资格条件的不再执行价格评审优惠的扶持政策。</w:t>
            </w:r>
          </w:p>
          <w:p>
            <w:pPr>
              <w:pStyle w:val="258"/>
              <w:widowControl/>
              <w:wordWrap w:val="0"/>
              <w:topLinePunct/>
              <w:spacing w:line="440" w:lineRule="exact"/>
              <w:ind w:firstLine="420"/>
              <w:jc w:val="left"/>
              <w:rPr>
                <w:rFonts w:ascii="宋体" w:hAnsi="宋体" w:eastAsia="宋体" w:cs="Times New Roman"/>
                <w:sz w:val="21"/>
                <w:lang w:val="zh-CN"/>
              </w:rPr>
            </w:pPr>
            <w:r>
              <w:rPr>
                <w:rFonts w:hint="eastAsia" w:ascii="宋体" w:hAnsi="宋体" w:eastAsia="宋体" w:cs="Times New Roman"/>
                <w:sz w:val="21"/>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258"/>
              <w:widowControl/>
              <w:wordWrap w:val="0"/>
              <w:topLinePunct/>
              <w:spacing w:line="440" w:lineRule="exact"/>
              <w:ind w:firstLine="420"/>
              <w:jc w:val="left"/>
              <w:rPr>
                <w:rFonts w:ascii="宋体" w:hAnsi="宋体" w:eastAsia="宋体" w:cs="Times New Roman"/>
                <w:sz w:val="21"/>
                <w:lang w:val="zh-CN"/>
              </w:rPr>
            </w:pPr>
            <w:r>
              <w:rPr>
                <w:rFonts w:hint="eastAsia" w:ascii="宋体" w:hAnsi="宋体" w:eastAsia="宋体" w:cs="Times New Roman"/>
                <w:sz w:val="21"/>
                <w:lang w:val="zh-CN"/>
              </w:rPr>
              <w:t>符合中小企业划分标准的个体工商户，在政府采购活动中视同中小企业。</w:t>
            </w:r>
          </w:p>
          <w:p>
            <w:pPr>
              <w:pStyle w:val="6"/>
              <w:wordWrap w:val="0"/>
              <w:topLinePunct/>
              <w:spacing w:before="0" w:after="0" w:line="440" w:lineRule="exact"/>
              <w:ind w:left="1078" w:leftChars="147" w:hanging="769" w:hangingChars="319"/>
              <w:rPr>
                <w:rFonts w:ascii="宋体" w:hAnsi="宋体"/>
                <w:sz w:val="24"/>
                <w:szCs w:val="24"/>
                <w:lang w:val="zh-CN"/>
              </w:rPr>
            </w:pPr>
            <w:r>
              <w:rPr>
                <w:rFonts w:hint="eastAsia" w:ascii="宋体" w:hAnsi="宋体"/>
                <w:sz w:val="24"/>
                <w:szCs w:val="24"/>
              </w:rPr>
              <w:t>中小企业划型标准详见：工信部联企业〔2011〕300号</w:t>
            </w:r>
          </w:p>
          <w:p>
            <w:pPr>
              <w:widowControl/>
              <w:wordWrap w:val="0"/>
              <w:topLinePunct/>
              <w:spacing w:line="440" w:lineRule="exact"/>
              <w:ind w:firstLine="420" w:firstLineChars="200"/>
              <w:jc w:val="left"/>
              <w:rPr>
                <w:rFonts w:ascii="宋体" w:hAnsi="宋体"/>
              </w:rPr>
            </w:pPr>
            <w:r>
              <w:rPr>
                <w:rFonts w:hint="eastAsia" w:ascii="宋体" w:hAnsi="宋体"/>
              </w:rPr>
              <w:t>（1）在货物采购项目中，货物由中小企业制造，即货物由中小企业生产且使用该中小企业商号或者注册商标；</w:t>
            </w:r>
          </w:p>
          <w:p>
            <w:pPr>
              <w:widowControl/>
              <w:wordWrap w:val="0"/>
              <w:topLinePunct/>
              <w:spacing w:line="440" w:lineRule="exact"/>
              <w:ind w:firstLine="420" w:firstLineChars="200"/>
              <w:jc w:val="left"/>
              <w:rPr>
                <w:rFonts w:ascii="宋体" w:hAnsi="宋体"/>
              </w:rPr>
            </w:pPr>
            <w:r>
              <w:rPr>
                <w:rFonts w:hint="eastAsia" w:ascii="宋体" w:hAnsi="宋体"/>
              </w:rPr>
              <w:t>（2）在工程采购项目中，工程由中小企业承建，即工程施工单位为中小企业；</w:t>
            </w:r>
          </w:p>
          <w:p>
            <w:pPr>
              <w:widowControl/>
              <w:wordWrap w:val="0"/>
              <w:topLinePunct/>
              <w:spacing w:line="440" w:lineRule="exact"/>
              <w:ind w:firstLine="420" w:firstLineChars="200"/>
              <w:jc w:val="left"/>
              <w:rPr>
                <w:rFonts w:ascii="宋体" w:hAnsi="宋体"/>
              </w:rPr>
            </w:pPr>
            <w:r>
              <w:rPr>
                <w:rFonts w:hint="eastAsia" w:ascii="宋体" w:hAnsi="宋体"/>
              </w:rPr>
              <w:t>（3）在服务采购项目中，服务由中小企业承接，即提供服务的人员为中小企业依照《中华人民共和国劳动合同法》订立劳动合同的从业人员。</w:t>
            </w:r>
          </w:p>
          <w:p>
            <w:pPr>
              <w:widowControl/>
              <w:wordWrap w:val="0"/>
              <w:topLinePunct/>
              <w:spacing w:line="440" w:lineRule="exact"/>
              <w:ind w:firstLine="420" w:firstLineChars="200"/>
              <w:jc w:val="left"/>
              <w:rPr>
                <w:rFonts w:ascii="宋体" w:hAnsi="宋体"/>
              </w:rPr>
            </w:pPr>
            <w:r>
              <w:rPr>
                <w:rFonts w:hint="eastAsia" w:ascii="宋体" w:hAnsi="宋体"/>
              </w:rPr>
              <w:t>在货物采购项目中，投标人提供的货物</w:t>
            </w:r>
            <w:r>
              <w:rPr>
                <w:rFonts w:hint="eastAsia" w:ascii="宋体" w:hAnsi="宋体"/>
                <w:b/>
                <w:bCs/>
              </w:rPr>
              <w:t>既有中小企业制造货物，也有大型企业制造货物的，不享受中小企业扶持政策。</w:t>
            </w:r>
          </w:p>
          <w:p>
            <w:pPr>
              <w:widowControl/>
              <w:wordWrap w:val="0"/>
              <w:topLinePunct/>
              <w:spacing w:line="440" w:lineRule="exact"/>
              <w:ind w:firstLine="420" w:firstLineChars="200"/>
              <w:jc w:val="left"/>
              <w:rPr>
                <w:rFonts w:ascii="宋体" w:hAnsi="宋体"/>
              </w:rPr>
            </w:pPr>
            <w:r>
              <w:rPr>
                <w:rFonts w:hint="eastAsia" w:ascii="宋体" w:hAnsi="宋体"/>
              </w:rPr>
              <w:t>以联合体形式参加政府采购活动，联合体各方均为中小企业的，联合体视同中小企业。其中，联合体各方均为小微企业的，联合体视同小微企业。</w:t>
            </w:r>
          </w:p>
          <w:p>
            <w:pPr>
              <w:widowControl/>
              <w:wordWrap w:val="0"/>
              <w:topLinePunct/>
              <w:spacing w:line="440" w:lineRule="exact"/>
              <w:ind w:firstLine="422" w:firstLineChars="200"/>
              <w:jc w:val="left"/>
              <w:rPr>
                <w:rFonts w:ascii="宋体" w:hAnsi="宋体"/>
                <w:b/>
                <w:bCs/>
              </w:rPr>
            </w:pPr>
            <w:r>
              <w:rPr>
                <w:rFonts w:hint="eastAsia" w:ascii="宋体" w:hAnsi="宋体"/>
                <w:b/>
                <w:bCs/>
                <w:lang w:val="zh-CN"/>
              </w:rPr>
              <w:t>符合上述条件的，请填写中小企业声明函。</w:t>
            </w:r>
          </w:p>
          <w:p>
            <w:pPr>
              <w:wordWrap w:val="0"/>
              <w:topLinePunct/>
              <w:autoSpaceDE w:val="0"/>
              <w:autoSpaceDN w:val="0"/>
              <w:snapToGrid w:val="0"/>
              <w:spacing w:line="440" w:lineRule="exact"/>
              <w:textAlignment w:val="bottom"/>
              <w:rPr>
                <w:rFonts w:ascii="宋体" w:hAnsi="宋体"/>
              </w:rPr>
            </w:pPr>
            <w:r>
              <w:rPr>
                <w:rFonts w:hint="eastAsia" w:ascii="宋体" w:hAnsi="宋体"/>
              </w:rPr>
              <w:t>2、符合《关于促进残疾人就业政府采购政策的通知》（财库〔2017〕141号）规定的条件并提供《残疾人福利性单位声明函》(格式见附件)的残疾人福利性单位视同小型、微型企业；</w:t>
            </w:r>
          </w:p>
          <w:p>
            <w:pPr>
              <w:widowControl/>
              <w:wordWrap w:val="0"/>
              <w:topLinePunct/>
              <w:spacing w:line="440" w:lineRule="exact"/>
              <w:jc w:val="left"/>
              <w:rPr>
                <w:rFonts w:ascii="宋体" w:hAnsi="宋体"/>
              </w:rPr>
            </w:pPr>
            <w:r>
              <w:rPr>
                <w:rFonts w:hint="eastAsia" w:ascii="宋体" w:hAnsi="宋体"/>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wordWrap w:val="0"/>
              <w:topLinePunct/>
              <w:spacing w:line="440" w:lineRule="exact"/>
              <w:jc w:val="left"/>
              <w:rPr>
                <w:rFonts w:ascii="宋体" w:hAnsi="宋体"/>
                <w:b/>
                <w:bCs/>
              </w:rPr>
            </w:pPr>
            <w:r>
              <w:rPr>
                <w:rFonts w:hint="eastAsia" w:ascii="宋体" w:hAnsi="宋体"/>
                <w:b/>
                <w:bCs/>
              </w:rPr>
              <w:t>注：1.中标供应商为中小微企业、监狱企业、残疾人福利性单位的，其《中小企业声明函》、监狱企业证明文件、《残疾人福利性单位声明函》随中标结果同时公告，接受社会监督。</w:t>
            </w:r>
          </w:p>
          <w:p>
            <w:pPr>
              <w:wordWrap w:val="0"/>
              <w:topLinePunct/>
              <w:snapToGrid w:val="0"/>
              <w:spacing w:line="440" w:lineRule="exact"/>
              <w:ind w:firstLine="422" w:firstLineChars="200"/>
              <w:rPr>
                <w:rFonts w:ascii="宋体" w:hAnsi="宋体"/>
              </w:rPr>
            </w:pPr>
            <w:r>
              <w:rPr>
                <w:rFonts w:hint="eastAsia" w:ascii="宋体" w:hAnsi="宋体"/>
                <w:b/>
                <w:bCs/>
              </w:rPr>
              <w:t>2.供应商提供的《中小企业声明函》、监狱企业证明文件、《残疾人福利性单位声明函》与事实不符的，依照《中华人民共和国政府采购法》等国家有关规定追究相应责任。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rPr>
            </w:pPr>
            <w:r>
              <w:rPr>
                <w:rFonts w:hint="eastAsia" w:ascii="宋体" w:hAnsi="宋体"/>
                <w:b/>
                <w:bCs/>
              </w:rPr>
              <w:t>15</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rPr>
            </w:pPr>
            <w:r>
              <w:rPr>
                <w:rFonts w:hint="eastAsia" w:ascii="宋体" w:hAnsi="宋体"/>
                <w:b/>
                <w:bCs/>
              </w:rPr>
              <w:t>节能、环保要求</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rPr>
                <w:rFonts w:ascii="宋体" w:hAnsi="宋体"/>
              </w:rPr>
            </w:pPr>
            <w:r>
              <w:rPr>
                <w:rFonts w:hint="eastAsia" w:ascii="宋体" w:hAnsi="宋体"/>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wordWrap w:val="0"/>
              <w:topLinePunct/>
              <w:spacing w:line="440" w:lineRule="exact"/>
              <w:rPr>
                <w:rFonts w:ascii="宋体" w:hAnsi="宋体"/>
                <w:sz w:val="24"/>
                <w:szCs w:val="24"/>
                <w:shd w:val="clear" w:color="auto" w:fill="FFFFFF"/>
              </w:rPr>
            </w:pPr>
            <w:r>
              <w:rPr>
                <w:rFonts w:hint="eastAsia" w:ascii="宋体" w:hAnsi="宋体"/>
                <w:b/>
                <w:bCs/>
              </w:rPr>
              <w:t>▲（2）采购人拟采购的产品属于政府强制采购的节能产品品目清单范围的，投标人未按招标文件要求提供国家确定的认证机构出具的、处于有效期之内的节能产品认证证书，投标无效。</w:t>
            </w:r>
          </w:p>
          <w:p>
            <w:pPr>
              <w:pStyle w:val="6"/>
              <w:wordWrap w:val="0"/>
              <w:topLinePunct/>
              <w:spacing w:before="0" w:after="0" w:line="440" w:lineRule="exact"/>
              <w:jc w:val="left"/>
              <w:rPr>
                <w:rFonts w:ascii="宋体" w:hAnsi="宋体"/>
                <w:sz w:val="24"/>
                <w:szCs w:val="24"/>
                <w:shd w:val="clear" w:color="auto" w:fill="FFFFFF"/>
              </w:rPr>
            </w:pPr>
            <w:r>
              <w:rPr>
                <w:rFonts w:hint="eastAsia" w:ascii="宋体" w:hAnsi="宋体"/>
                <w:sz w:val="24"/>
                <w:szCs w:val="24"/>
                <w:shd w:val="clear" w:color="auto" w:fill="FFFFFF"/>
              </w:rPr>
              <w:t>环境标志产品政府采购品目清单：详见</w:t>
            </w:r>
          </w:p>
          <w:p>
            <w:pPr>
              <w:wordWrap w:val="0"/>
              <w:topLinePunct/>
              <w:spacing w:line="440" w:lineRule="exact"/>
              <w:jc w:val="left"/>
              <w:rPr>
                <w:rFonts w:ascii="宋体" w:hAnsi="宋体"/>
              </w:rPr>
            </w:pPr>
            <w:r>
              <w:fldChar w:fldCharType="begin"/>
            </w:r>
            <w:r>
              <w:instrText xml:space="preserve"> HYPERLINK "https://zfcg.czt.zj.gov.cn/aboveProvinceFile/2019-03-29/12913.html?utm=web-government-front.4aa179da.0.0.657e88a09bfb11eb9aaf03ad2249e870" </w:instrText>
            </w:r>
            <w:r>
              <w:fldChar w:fldCharType="separate"/>
            </w:r>
            <w:r>
              <w:rPr>
                <w:rStyle w:val="77"/>
                <w:rFonts w:hint="eastAsia" w:ascii="宋体" w:hAnsi="宋体" w:eastAsia="宋体"/>
                <w:color w:val="auto"/>
              </w:rPr>
              <w:t>https://zfcg.czt.zj.gov.cn/aboveProvinceFile/2019-03-29/12913.html?utm=web-government-front.4aa179da.0.0.657e88a09bfb11eb9aaf03ad2249e870</w:t>
            </w:r>
            <w:r>
              <w:rPr>
                <w:rStyle w:val="77"/>
                <w:rFonts w:hint="eastAsia" w:ascii="宋体" w:hAnsi="宋体" w:eastAsia="宋体"/>
                <w:color w:val="auto"/>
              </w:rPr>
              <w:fldChar w:fldCharType="end"/>
            </w:r>
          </w:p>
          <w:p>
            <w:pPr>
              <w:pStyle w:val="6"/>
              <w:wordWrap w:val="0"/>
              <w:topLinePunct/>
              <w:spacing w:before="0" w:after="0" w:line="440" w:lineRule="exact"/>
              <w:jc w:val="left"/>
              <w:rPr>
                <w:rFonts w:ascii="宋体" w:hAnsi="宋体"/>
                <w:sz w:val="24"/>
                <w:szCs w:val="24"/>
                <w:shd w:val="clear" w:color="auto" w:fill="FFFFFF"/>
              </w:rPr>
            </w:pPr>
            <w:r>
              <w:rPr>
                <w:rFonts w:hint="eastAsia" w:ascii="宋体" w:hAnsi="宋体"/>
                <w:sz w:val="24"/>
                <w:szCs w:val="24"/>
                <w:shd w:val="clear" w:color="auto" w:fill="FFFFFF"/>
              </w:rPr>
              <w:t>节能产品政府采购品目清单：详见</w:t>
            </w:r>
          </w:p>
          <w:p>
            <w:pPr>
              <w:pStyle w:val="6"/>
              <w:wordWrap w:val="0"/>
              <w:topLinePunct/>
              <w:spacing w:before="0" w:after="0" w:line="440" w:lineRule="exact"/>
              <w:ind w:left="1009" w:hanging="1009"/>
              <w:jc w:val="left"/>
              <w:rPr>
                <w:rStyle w:val="77"/>
                <w:rFonts w:ascii="宋体" w:hAnsi="宋体" w:eastAsia="宋体"/>
                <w:b w:val="0"/>
                <w:bCs w:val="0"/>
                <w:color w:val="auto"/>
                <w:sz w:val="21"/>
                <w:szCs w:val="21"/>
              </w:rPr>
            </w:pPr>
            <w:r>
              <w:rPr>
                <w:rFonts w:hint="eastAsia" w:ascii="宋体" w:hAnsi="宋体"/>
                <w:b w:val="0"/>
                <w:bCs w:val="0"/>
                <w:sz w:val="21"/>
                <w:szCs w:val="21"/>
              </w:rPr>
              <w:fldChar w:fldCharType="begin"/>
            </w:r>
            <w:r>
              <w:rPr>
                <w:rFonts w:hint="eastAsia" w:ascii="宋体" w:hAnsi="宋体"/>
                <w:b w:val="0"/>
                <w:bCs w:val="0"/>
                <w:sz w:val="21"/>
                <w:szCs w:val="21"/>
              </w:rPr>
              <w:instrText xml:space="preserve"> HYPERLINK "https://zfcg.czt.zj.gov.cn/aboveProvinceFile/2019-04-02/12912.html?utm=web-government-front.4aa179da.0.0.657e88a09bfb11eb9aaf03ad2249e870"</w:instrText>
            </w:r>
            <w:r>
              <w:rPr>
                <w:rFonts w:hint="eastAsia" w:ascii="宋体" w:hAnsi="宋体"/>
                <w:b w:val="0"/>
                <w:bCs w:val="0"/>
                <w:sz w:val="21"/>
                <w:szCs w:val="21"/>
              </w:rPr>
              <w:fldChar w:fldCharType="separate"/>
            </w:r>
            <w:r>
              <w:rPr>
                <w:rStyle w:val="77"/>
                <w:rFonts w:hint="eastAsia" w:ascii="宋体" w:hAnsi="宋体" w:eastAsia="宋体"/>
                <w:b w:val="0"/>
                <w:bCs w:val="0"/>
                <w:color w:val="auto"/>
                <w:sz w:val="21"/>
                <w:szCs w:val="21"/>
              </w:rPr>
              <w:t>https://zfcg.czt.zj.gov.cn/aboveProvinceFile/2019-04-02</w:t>
            </w:r>
          </w:p>
          <w:p>
            <w:pPr>
              <w:pStyle w:val="6"/>
              <w:wordWrap w:val="0"/>
              <w:topLinePunct/>
              <w:spacing w:before="0" w:after="0" w:line="440" w:lineRule="exact"/>
              <w:ind w:left="1009" w:hanging="1009"/>
              <w:jc w:val="left"/>
              <w:rPr>
                <w:rStyle w:val="77"/>
                <w:rFonts w:ascii="宋体" w:hAnsi="宋体" w:eastAsia="宋体"/>
                <w:b w:val="0"/>
                <w:bCs w:val="0"/>
                <w:color w:val="auto"/>
                <w:sz w:val="21"/>
                <w:szCs w:val="21"/>
              </w:rPr>
            </w:pPr>
            <w:r>
              <w:rPr>
                <w:rStyle w:val="77"/>
                <w:rFonts w:hint="eastAsia" w:ascii="宋体" w:hAnsi="宋体" w:eastAsia="宋体"/>
                <w:b w:val="0"/>
                <w:bCs w:val="0"/>
                <w:color w:val="auto"/>
                <w:sz w:val="21"/>
                <w:szCs w:val="21"/>
              </w:rPr>
              <w:t>/12912.html?utm=web-government-front.4aa179da.0.0.657e8</w:t>
            </w:r>
          </w:p>
          <w:p>
            <w:pPr>
              <w:pStyle w:val="6"/>
              <w:wordWrap w:val="0"/>
              <w:topLinePunct/>
              <w:spacing w:before="0" w:after="0" w:line="440" w:lineRule="exact"/>
              <w:ind w:left="1009" w:hanging="1009"/>
              <w:jc w:val="left"/>
              <w:rPr>
                <w:rFonts w:ascii="宋体" w:hAnsi="宋体"/>
                <w:sz w:val="24"/>
                <w:szCs w:val="24"/>
              </w:rPr>
            </w:pPr>
            <w:r>
              <w:rPr>
                <w:rStyle w:val="77"/>
                <w:rFonts w:hint="eastAsia" w:ascii="宋体" w:hAnsi="宋体" w:eastAsia="宋体"/>
                <w:b w:val="0"/>
                <w:bCs w:val="0"/>
                <w:color w:val="auto"/>
                <w:sz w:val="21"/>
                <w:szCs w:val="21"/>
              </w:rPr>
              <w:t>8a09bfb11eb9aaf03ad2249e870</w:t>
            </w:r>
            <w:r>
              <w:rPr>
                <w:rFonts w:hint="eastAsia" w:ascii="宋体" w:hAnsi="宋体"/>
                <w:b w:val="0"/>
                <w:bCs w:val="0"/>
                <w:sz w:val="21"/>
                <w:szCs w:val="21"/>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16</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b/>
                <w:sz w:val="22"/>
                <w:szCs w:val="22"/>
              </w:rPr>
              <w:t>支持绿色发展</w:t>
            </w:r>
          </w:p>
        </w:tc>
        <w:tc>
          <w:tcPr>
            <w:tcW w:w="7659" w:type="dxa"/>
            <w:tcBorders>
              <w:top w:val="single" w:color="auto" w:sz="4" w:space="0"/>
              <w:left w:val="single" w:color="auto" w:sz="4" w:space="0"/>
              <w:bottom w:val="single" w:color="auto" w:sz="4" w:space="0"/>
              <w:right w:val="single" w:color="auto" w:sz="4" w:space="0"/>
            </w:tcBorders>
            <w:vAlign w:val="center"/>
          </w:tcPr>
          <w:p>
            <w:pPr>
              <w:pStyle w:val="799"/>
              <w:tabs>
                <w:tab w:val="left" w:pos="822"/>
              </w:tabs>
              <w:spacing w:line="440" w:lineRule="exact"/>
              <w:ind w:firstLine="0" w:firstLineChars="0"/>
              <w:jc w:val="left"/>
              <w:rPr>
                <w:rFonts w:hAnsi="宋体"/>
                <w:bCs/>
                <w:sz w:val="21"/>
                <w:szCs w:val="24"/>
              </w:rPr>
            </w:pPr>
            <w:r>
              <w:rPr>
                <w:rFonts w:hint="eastAsia" w:hAnsi="宋体"/>
                <w:bCs/>
                <w:sz w:val="21"/>
                <w:szCs w:val="24"/>
              </w:rPr>
              <w:t>（1）修缮、装修类项目采购建材的，采购人应将绿色建筑和绿色建材性能、指标等作为实质性条件纳入招标文件和合同。</w:t>
            </w:r>
          </w:p>
          <w:p>
            <w:pPr>
              <w:pStyle w:val="799"/>
              <w:tabs>
                <w:tab w:val="left" w:pos="822"/>
              </w:tabs>
              <w:spacing w:line="440" w:lineRule="exact"/>
              <w:ind w:firstLine="0" w:firstLineChars="0"/>
              <w:jc w:val="left"/>
              <w:rPr>
                <w:rFonts w:hAnsi="宋体"/>
                <w:bCs/>
                <w:sz w:val="21"/>
                <w:szCs w:val="24"/>
              </w:rPr>
            </w:pPr>
            <w:r>
              <w:rPr>
                <w:rFonts w:hint="eastAsia" w:hAnsi="宋体"/>
                <w:bCs/>
                <w:sz w:val="21"/>
                <w:szCs w:val="24"/>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17</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rPr>
            </w:pPr>
            <w:r>
              <w:rPr>
                <w:rFonts w:hint="eastAsia" w:ascii="宋体" w:hAnsi="宋体"/>
                <w:b/>
                <w:bCs/>
              </w:rPr>
              <w:t>支持创新发展</w:t>
            </w:r>
          </w:p>
        </w:tc>
        <w:tc>
          <w:tcPr>
            <w:tcW w:w="7659" w:type="dxa"/>
            <w:tcBorders>
              <w:top w:val="single" w:color="auto" w:sz="4" w:space="0"/>
              <w:left w:val="single" w:color="auto" w:sz="4" w:space="0"/>
              <w:bottom w:val="single" w:color="auto" w:sz="4" w:space="0"/>
              <w:right w:val="single" w:color="auto" w:sz="4" w:space="0"/>
            </w:tcBorders>
            <w:vAlign w:val="center"/>
          </w:tcPr>
          <w:p>
            <w:pPr>
              <w:pStyle w:val="799"/>
              <w:tabs>
                <w:tab w:val="left" w:pos="822"/>
              </w:tabs>
              <w:spacing w:line="240" w:lineRule="auto"/>
              <w:ind w:firstLine="0" w:firstLineChars="0"/>
              <w:jc w:val="left"/>
              <w:rPr>
                <w:rFonts w:hAnsi="宋体"/>
                <w:bCs/>
                <w:sz w:val="21"/>
                <w:szCs w:val="24"/>
              </w:rPr>
            </w:pPr>
            <w:r>
              <w:rPr>
                <w:rFonts w:hint="eastAsia" w:hAnsi="宋体"/>
                <w:bCs/>
                <w:sz w:val="21"/>
                <w:szCs w:val="24"/>
              </w:rPr>
              <w:t>（1）采购人优先采购被认定为首台套产品和“制造精品”的自主创新产品。</w:t>
            </w:r>
          </w:p>
          <w:p>
            <w:pPr>
              <w:wordWrap w:val="0"/>
              <w:topLinePunct/>
              <w:snapToGrid w:val="0"/>
              <w:spacing w:line="440" w:lineRule="exact"/>
              <w:rPr>
                <w:rFonts w:ascii="宋体" w:hAnsi="宋体"/>
                <w:bCs/>
              </w:rPr>
            </w:pPr>
            <w:r>
              <w:rPr>
                <w:rFonts w:hint="eastAsia" w:ascii="宋体" w:hAnsi="宋体"/>
                <w:bCs/>
              </w:rPr>
              <w:t>（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18</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rPr>
            </w:pPr>
            <w:r>
              <w:rPr>
                <w:rFonts w:hint="eastAsia" w:ascii="宋体" w:hAnsi="宋体"/>
                <w:b/>
                <w:bCs/>
              </w:rPr>
              <w:t>进口产品规定</w:t>
            </w:r>
          </w:p>
        </w:tc>
        <w:tc>
          <w:tcPr>
            <w:tcW w:w="7659" w:type="dxa"/>
            <w:tcBorders>
              <w:top w:val="single" w:color="auto" w:sz="4" w:space="0"/>
              <w:left w:val="single" w:color="auto" w:sz="4" w:space="0"/>
              <w:bottom w:val="single" w:color="auto" w:sz="4" w:space="0"/>
              <w:right w:val="single" w:color="auto" w:sz="4" w:space="0"/>
            </w:tcBorders>
            <w:vAlign w:val="center"/>
          </w:tcPr>
          <w:p>
            <w:pPr>
              <w:pStyle w:val="783"/>
              <w:widowControl w:val="0"/>
              <w:spacing w:line="440" w:lineRule="exact"/>
              <w:rPr>
                <w:bCs/>
                <w:kern w:val="2"/>
                <w:szCs w:val="24"/>
                <w:lang w:val="zh-TW"/>
              </w:rPr>
            </w:pPr>
            <w:r>
              <w:rPr>
                <w:rFonts w:hint="eastAsia"/>
              </w:rPr>
              <w:sym w:font="Wingdings" w:char="00FE"/>
            </w:r>
            <w:r>
              <w:rPr>
                <w:rFonts w:hint="eastAsia"/>
                <w:bCs/>
                <w:kern w:val="2"/>
                <w:szCs w:val="24"/>
              </w:rPr>
              <w:t xml:space="preserve"> </w:t>
            </w:r>
            <w:r>
              <w:rPr>
                <w:rFonts w:hint="eastAsia"/>
                <w:bCs/>
                <w:kern w:val="2"/>
                <w:szCs w:val="24"/>
                <w:lang w:val="zh-TW"/>
              </w:rPr>
              <w:t>本项目不允许采购进口产品。</w:t>
            </w:r>
          </w:p>
          <w:p>
            <w:pPr>
              <w:wordWrap w:val="0"/>
              <w:topLinePunct/>
              <w:snapToGrid w:val="0"/>
              <w:spacing w:line="440" w:lineRule="exact"/>
              <w:rPr>
                <w:rStyle w:val="77"/>
                <w:rFonts w:ascii="宋体" w:hAnsi="宋体" w:eastAsia="宋体" w:cs="宋体"/>
                <w:color w:val="auto"/>
              </w:rPr>
            </w:pPr>
            <w:r>
              <w:rPr>
                <w:rFonts w:hint="eastAsia" w:ascii="宋体" w:hAnsi="宋体"/>
                <w:bCs/>
                <w:lang w:val="zh-TW"/>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19</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b/>
                <w:bCs/>
              </w:rPr>
            </w:pPr>
            <w:r>
              <w:rPr>
                <w:rFonts w:hint="eastAsia" w:ascii="宋体" w:hAnsi="宋体"/>
                <w:b/>
                <w:bCs/>
              </w:rPr>
              <w:t>评标结果公示、公告</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rPr>
            </w:pPr>
            <w:r>
              <w:rPr>
                <w:rFonts w:hint="eastAsia" w:ascii="宋体" w:hAnsi="宋体"/>
              </w:rPr>
              <w:t>评标结束后7个工作日内发布中标、成交结果，公示于</w:t>
            </w:r>
            <w:r>
              <w:rPr>
                <w:rFonts w:hint="eastAsia" w:ascii="宋体" w:hAnsi="宋体" w:cs="Arial"/>
              </w:rPr>
              <w:t>浙江政府采购网(</w:t>
            </w:r>
            <w:r>
              <w:fldChar w:fldCharType="begin"/>
            </w:r>
            <w:r>
              <w:instrText xml:space="preserve"> HYPERLINK "http://www.zjzfcg.gov.cn/" </w:instrText>
            </w:r>
            <w:r>
              <w:fldChar w:fldCharType="separate"/>
            </w:r>
            <w:r>
              <w:rPr>
                <w:rStyle w:val="77"/>
                <w:rFonts w:hint="eastAsia" w:ascii="宋体" w:hAnsi="宋体" w:eastAsia="宋体"/>
                <w:color w:val="auto"/>
              </w:rPr>
              <w:t>http://www.zjzfcg.gov.cn</w:t>
            </w:r>
            <w:r>
              <w:rPr>
                <w:rStyle w:val="77"/>
                <w:rFonts w:hint="eastAsia" w:ascii="宋体" w:hAnsi="宋体" w:eastAsia="宋体"/>
                <w:color w:val="auto"/>
              </w:rPr>
              <w:fldChar w:fldCharType="end"/>
            </w:r>
            <w:r>
              <w:rPr>
                <w:rFonts w:hint="eastAsia" w:ascii="宋体" w:hAnsi="宋体" w:cs="Arial"/>
              </w:rPr>
              <w:t>)</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20</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b/>
                <w:bCs/>
              </w:rPr>
            </w:pPr>
            <w:r>
              <w:rPr>
                <w:rFonts w:hint="eastAsia" w:ascii="宋体" w:hAnsi="宋体"/>
                <w:b/>
                <w:bCs/>
              </w:rPr>
              <w:t>签订合同时间</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rPr>
            </w:pPr>
            <w:r>
              <w:rPr>
                <w:rFonts w:hint="eastAsia" w:ascii="宋体" w:hAnsi="宋体"/>
              </w:rPr>
              <w:t>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21</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b/>
                <w:bCs/>
              </w:rPr>
            </w:pPr>
            <w:r>
              <w:rPr>
                <w:rFonts w:hint="eastAsia" w:ascii="宋体" w:hAnsi="宋体"/>
                <w:b/>
                <w:bCs/>
              </w:rPr>
              <w:t>履约保证金的收取及退还</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rPr>
            </w:pPr>
            <w:r>
              <w:rPr>
                <w:rFonts w:hint="eastAsia" w:ascii="宋体" w:hAnsi="宋体" w:cs="宋体"/>
                <w:kern w:val="0"/>
              </w:rPr>
              <w:t>中标供应商在签订合同时缴纳合同总价的</w:t>
            </w:r>
            <w:r>
              <w:rPr>
                <w:rFonts w:hint="eastAsia" w:ascii="宋体" w:hAnsi="宋体" w:cs="宋体"/>
                <w:kern w:val="0"/>
                <w:lang w:val="en-US" w:eastAsia="zh-CN"/>
              </w:rPr>
              <w:t>0.</w:t>
            </w:r>
            <w:r>
              <w:rPr>
                <w:rFonts w:hint="eastAsia" w:ascii="宋体" w:hAnsi="宋体" w:cs="宋体"/>
                <w:kern w:val="0"/>
              </w:rPr>
              <w:t>1%给采购人作为履约保证金，履约保证金可以以银行履约保函或保险公司保函形式或公对公转账（汇款）形式提交，合同履行完毕后如无质量索赔事件无息退还。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22</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b/>
                <w:bCs/>
              </w:rPr>
            </w:pPr>
            <w:r>
              <w:rPr>
                <w:rFonts w:hint="eastAsia" w:ascii="宋体" w:hAnsi="宋体"/>
                <w:b/>
                <w:bCs/>
              </w:rPr>
              <w:t>投标保证金</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rPr>
            </w:pPr>
            <w:r>
              <w:rPr>
                <w:rFonts w:hint="eastAsia" w:ascii="宋体" w:hAnsi="宋体"/>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23</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b/>
                <w:bCs/>
              </w:rPr>
            </w:pPr>
            <w:r>
              <w:rPr>
                <w:rFonts w:hint="eastAsia" w:ascii="宋体" w:hAnsi="宋体"/>
                <w:b/>
                <w:bCs/>
              </w:rPr>
              <w:t>投标有效期</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rPr>
                <w:rFonts w:ascii="宋体" w:hAnsi="宋体"/>
                <w:b/>
                <w:bCs/>
              </w:rPr>
            </w:pPr>
            <w:r>
              <w:rPr>
                <w:rFonts w:hint="eastAsia" w:ascii="宋体" w:hAnsi="宋体"/>
                <w:b/>
                <w:bCs/>
              </w:rPr>
              <w:t>90日。</w:t>
            </w:r>
          </w:p>
          <w:p>
            <w:pPr>
              <w:spacing w:line="440" w:lineRule="exact"/>
              <w:jc w:val="left"/>
              <w:rPr>
                <w:rFonts w:ascii="宋体" w:hAnsi="宋体"/>
              </w:rPr>
            </w:pPr>
            <w:r>
              <w:rPr>
                <w:rFonts w:hint="eastAsia" w:ascii="宋体" w:hAnsi="宋体"/>
                <w:b/>
                <w:bCs/>
              </w:rPr>
              <w:t>▲投标人的投标文件中承诺的投标有效期不足招标文件中载明的投标有效期的，投标无效。</w:t>
            </w:r>
          </w:p>
          <w:p>
            <w:pPr>
              <w:wordWrap w:val="0"/>
              <w:topLinePunct/>
              <w:snapToGrid w:val="0"/>
              <w:spacing w:line="440" w:lineRule="exact"/>
              <w:rPr>
                <w:rFonts w:ascii="宋体" w:hAnsi="宋体"/>
              </w:rPr>
            </w:pPr>
            <w:r>
              <w:rPr>
                <w:rFonts w:hint="eastAsia" w:ascii="宋体" w:hAnsi="宋体"/>
              </w:rPr>
              <w:t>根据《政府采购货物和服务招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wordWrap w:val="0"/>
              <w:topLinePunct/>
              <w:snapToGrid w:val="0"/>
              <w:spacing w:line="440" w:lineRule="exact"/>
              <w:rPr>
                <w:rFonts w:ascii="宋体" w:hAnsi="宋体"/>
              </w:rPr>
            </w:pPr>
            <w:r>
              <w:rPr>
                <w:rFonts w:hint="eastAsia" w:ascii="宋体" w:hAnsi="宋体"/>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24</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rFonts w:ascii="宋体" w:hAnsi="宋体"/>
                <w:b/>
                <w:bCs/>
              </w:rPr>
            </w:pPr>
            <w:r>
              <w:rPr>
                <w:rFonts w:hint="eastAsia" w:ascii="宋体" w:hAnsi="宋体"/>
                <w:b/>
                <w:bCs/>
              </w:rPr>
              <w:t>全流程电子化项目投标说明</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ascii="宋体" w:hAnsi="宋体"/>
              </w:rPr>
            </w:pPr>
            <w:r>
              <w:rPr>
                <w:rFonts w:hint="eastAsia" w:ascii="宋体" w:hAnsi="宋体"/>
              </w:rPr>
              <w:t>本项目实行电子投标。电子投标文件，按政采云平台项目采购-电子招投标操作指南及本招标文件要求递交。投标文件均由资格文件、商务及技术文件、报价文件组成。</w:t>
            </w:r>
          </w:p>
          <w:p>
            <w:pPr>
              <w:wordWrap w:val="0"/>
              <w:topLinePunct/>
              <w:snapToGrid w:val="0"/>
              <w:spacing w:line="440" w:lineRule="exact"/>
              <w:rPr>
                <w:rFonts w:ascii="宋体" w:hAnsi="宋体"/>
                <w:b/>
                <w:bCs/>
              </w:rPr>
            </w:pPr>
            <w:r>
              <w:rPr>
                <w:rFonts w:hint="eastAsia" w:ascii="宋体" w:hAnsi="宋体"/>
                <w:b/>
                <w:bCs/>
              </w:rPr>
              <w:t>▲投标人须按时自行解密，规定时间内解密失败的，投标无效。</w:t>
            </w:r>
          </w:p>
          <w:p>
            <w:pPr>
              <w:wordWrap w:val="0"/>
              <w:topLinePunct/>
              <w:snapToGrid w:val="0"/>
              <w:spacing w:line="440" w:lineRule="exact"/>
              <w:rPr>
                <w:rFonts w:ascii="宋体" w:hAnsi="宋体"/>
              </w:rPr>
            </w:pPr>
            <w:r>
              <w:rPr>
                <w:rFonts w:hint="eastAsia" w:ascii="宋体" w:hAnsi="宋体"/>
              </w:rPr>
              <w:t>▲</w:t>
            </w:r>
            <w:r>
              <w:rPr>
                <w:rFonts w:hint="eastAsia" w:ascii="宋体" w:hAnsi="宋体"/>
                <w:b/>
                <w:bCs/>
              </w:rPr>
              <w:t>未传输递交电子投标文件的，投标无效。</w:t>
            </w:r>
          </w:p>
          <w:p>
            <w:pPr>
              <w:widowControl/>
              <w:numPr>
                <w:ilvl w:val="0"/>
                <w:numId w:val="3"/>
              </w:numPr>
              <w:snapToGrid w:val="0"/>
              <w:spacing w:line="440" w:lineRule="exact"/>
              <w:ind w:left="0" w:firstLine="420" w:firstLineChars="200"/>
              <w:jc w:val="left"/>
              <w:rPr>
                <w:rFonts w:ascii="宋体" w:hAnsi="宋体"/>
              </w:rPr>
            </w:pPr>
            <w:r>
              <w:rPr>
                <w:rFonts w:hint="eastAsia" w:ascii="宋体" w:hAnsi="宋体"/>
              </w:rPr>
              <w:t>电子招投标：本项目以数据电文形式，依托“政府采购云平台（www.zcygov.cn）”进行招投标活动，各投标人应按照本项目招标文件和政采云平台的要求编制、加密并递交投标文件，不接受纸质投标文件。</w:t>
            </w:r>
          </w:p>
          <w:p>
            <w:pPr>
              <w:widowControl/>
              <w:numPr>
                <w:ilvl w:val="0"/>
                <w:numId w:val="3"/>
              </w:numPr>
              <w:snapToGrid w:val="0"/>
              <w:spacing w:line="440" w:lineRule="exact"/>
              <w:ind w:left="0" w:firstLine="420" w:firstLineChars="200"/>
              <w:jc w:val="left"/>
              <w:rPr>
                <w:rFonts w:ascii="宋体" w:hAnsi="宋体"/>
              </w:rPr>
            </w:pPr>
            <w:r>
              <w:rPr>
                <w:rFonts w:hint="eastAsia" w:ascii="宋体" w:hAnsi="宋体"/>
              </w:rPr>
              <w:t>投标准备：</w:t>
            </w:r>
          </w:p>
          <w:p>
            <w:pPr>
              <w:widowControl/>
              <w:numPr>
                <w:ilvl w:val="0"/>
                <w:numId w:val="4"/>
              </w:numPr>
              <w:snapToGrid w:val="0"/>
              <w:spacing w:line="440" w:lineRule="exact"/>
              <w:ind w:left="0" w:firstLine="420" w:firstLineChars="200"/>
              <w:jc w:val="left"/>
              <w:rPr>
                <w:rFonts w:ascii="宋体" w:hAnsi="宋体"/>
              </w:rPr>
            </w:pPr>
            <w:r>
              <w:rPr>
                <w:rFonts w:hint="eastAsia" w:ascii="宋体" w:hAnsi="宋体"/>
              </w:rPr>
              <w:t>注册账号--点击“商家入驻”，进行政府采购供应商资料填写，通过审核后可成为正式供应商；</w:t>
            </w:r>
          </w:p>
          <w:p>
            <w:pPr>
              <w:widowControl/>
              <w:numPr>
                <w:ilvl w:val="0"/>
                <w:numId w:val="4"/>
              </w:numPr>
              <w:snapToGrid w:val="0"/>
              <w:spacing w:line="440" w:lineRule="exact"/>
              <w:ind w:left="0" w:firstLine="420" w:firstLineChars="200"/>
              <w:jc w:val="left"/>
              <w:rPr>
                <w:rFonts w:ascii="宋体" w:hAnsi="宋体"/>
              </w:rPr>
            </w:pPr>
            <w:r>
              <w:rPr>
                <w:rFonts w:hint="eastAsia" w:ascii="宋体" w:hAnsi="宋体"/>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line="440" w:lineRule="exact"/>
              <w:ind w:firstLine="420" w:firstLineChars="200"/>
              <w:jc w:val="left"/>
              <w:rPr>
                <w:rFonts w:ascii="宋体" w:hAnsi="宋体"/>
              </w:rPr>
            </w:pPr>
            <w:r>
              <w:rPr>
                <w:rFonts w:hint="eastAsia" w:ascii="宋体" w:hAnsi="宋体"/>
              </w:rPr>
              <w:t xml:space="preserve">办理流程详见:《CA证书办理操作指南 》 </w:t>
            </w:r>
            <w:r>
              <w:fldChar w:fldCharType="begin"/>
            </w:r>
            <w:r>
              <w:instrText xml:space="preserve"> HYPERLINK "https://service.zcygov.cn/" \l "/knowledges/cm2eqWwBFdiHxlNd_otq/lwV6GXABiyELHE-oVMj3" </w:instrText>
            </w:r>
            <w:r>
              <w:fldChar w:fldCharType="separate"/>
            </w:r>
            <w:r>
              <w:rPr>
                <w:rFonts w:hint="eastAsia" w:ascii="宋体" w:hAnsi="宋体"/>
              </w:rPr>
              <w:t>https://service.zcygov.cn/#/knowledges/cm2eqWwBFdiHxlNd_otq/lwV6GXABiyELHE-oVMj3</w:t>
            </w:r>
            <w:r>
              <w:rPr>
                <w:rFonts w:hint="eastAsia" w:ascii="宋体" w:hAnsi="宋体"/>
              </w:rPr>
              <w:fldChar w:fldCharType="end"/>
            </w:r>
          </w:p>
          <w:p>
            <w:pPr>
              <w:spacing w:line="440" w:lineRule="exact"/>
              <w:ind w:firstLine="420" w:firstLineChars="200"/>
              <w:jc w:val="left"/>
              <w:rPr>
                <w:rFonts w:ascii="宋体" w:hAnsi="宋体"/>
              </w:rPr>
            </w:pPr>
            <w:r>
              <w:rPr>
                <w:rFonts w:hint="eastAsia" w:ascii="宋体" w:hAnsi="宋体"/>
              </w:rPr>
              <w:t>CA热点问题汇总：https://service.zcygov.cn/#/knowledges/depk120BkjoVoiMyPhAJ/8QejCnEBiyELHE-ohzp-</w:t>
            </w:r>
          </w:p>
          <w:p>
            <w:pPr>
              <w:widowControl/>
              <w:numPr>
                <w:ilvl w:val="0"/>
                <w:numId w:val="4"/>
              </w:numPr>
              <w:snapToGrid w:val="0"/>
              <w:spacing w:line="440" w:lineRule="exact"/>
              <w:ind w:left="0" w:firstLine="420" w:firstLineChars="200"/>
              <w:jc w:val="left"/>
              <w:rPr>
                <w:rFonts w:ascii="宋体" w:hAnsi="宋体"/>
              </w:rPr>
            </w:pPr>
            <w:r>
              <w:rPr>
                <w:rFonts w:hint="eastAsia" w:ascii="宋体" w:hAnsi="宋体"/>
              </w:rPr>
              <w:t>安装“政采云电子交易客户端”----投标人通过政采云平台电子投标工具制作投标文件，前往“浙江政府采购网-下载专区-电子交易客户端”进行下载并安装。</w:t>
            </w:r>
            <w:r>
              <w:rPr>
                <w:rFonts w:ascii="宋体" w:hAnsi="宋体"/>
              </w:rPr>
              <w:t>政采云电子交易客户端</w:t>
            </w:r>
            <w:r>
              <w:rPr>
                <w:rFonts w:hint="eastAsia" w:ascii="宋体" w:hAnsi="宋体"/>
              </w:rPr>
              <w:t>：http://zfcg.czt.zj.gov.cn/bidClientTemplate/2019-05-27/12946.html</w:t>
            </w:r>
          </w:p>
          <w:p>
            <w:pPr>
              <w:widowControl/>
              <w:numPr>
                <w:ilvl w:val="0"/>
                <w:numId w:val="3"/>
              </w:numPr>
              <w:snapToGrid w:val="0"/>
              <w:spacing w:line="440" w:lineRule="exact"/>
              <w:ind w:left="0" w:firstLine="420" w:firstLineChars="200"/>
              <w:jc w:val="left"/>
              <w:rPr>
                <w:rFonts w:ascii="宋体" w:hAnsi="宋体"/>
              </w:rPr>
            </w:pPr>
            <w:r>
              <w:rPr>
                <w:rFonts w:hint="eastAsia" w:ascii="宋体" w:hAnsi="宋体"/>
              </w:rPr>
              <w:t>招标文件的获取：使用账号登录或者使用CA登录政采云平台；进入“项目采购”应用，在获取采购文件菜单中选择项目，获取招标文件。</w:t>
            </w:r>
          </w:p>
          <w:p>
            <w:pPr>
              <w:widowControl/>
              <w:numPr>
                <w:ilvl w:val="0"/>
                <w:numId w:val="3"/>
              </w:numPr>
              <w:snapToGrid w:val="0"/>
              <w:spacing w:line="440" w:lineRule="exact"/>
              <w:ind w:left="0" w:firstLine="420" w:firstLineChars="200"/>
              <w:jc w:val="left"/>
              <w:rPr>
                <w:rFonts w:ascii="宋体" w:hAnsi="宋体"/>
              </w:rPr>
            </w:pPr>
            <w:r>
              <w:rPr>
                <w:rFonts w:hint="eastAsia" w:ascii="宋体" w:hAnsi="宋体"/>
              </w:rPr>
              <w:t>投标文件的制作：在“政采云电子交易客户端”中完成“填写基本信息”、“导入投标文件”、“标书关联”、“标书检查”、“电子签名”、“生成电子标书”等操作。</w:t>
            </w:r>
          </w:p>
          <w:p>
            <w:pPr>
              <w:widowControl/>
              <w:numPr>
                <w:ilvl w:val="0"/>
                <w:numId w:val="3"/>
              </w:numPr>
              <w:snapToGrid w:val="0"/>
              <w:spacing w:line="440" w:lineRule="exact"/>
              <w:ind w:left="0" w:firstLine="420" w:firstLineChars="200"/>
              <w:jc w:val="left"/>
              <w:rPr>
                <w:rFonts w:ascii="宋体" w:hAnsi="宋体"/>
              </w:rPr>
            </w:pPr>
            <w:r>
              <w:rPr>
                <w:rFonts w:hint="eastAsia" w:ascii="宋体" w:hAnsi="宋体"/>
              </w:rPr>
              <w:t>投标文件的传输递交：投标人在投标截止时间前将加密的投标文件上传至政府采购云平台。</w:t>
            </w:r>
          </w:p>
          <w:p>
            <w:pPr>
              <w:widowControl/>
              <w:numPr>
                <w:ilvl w:val="0"/>
                <w:numId w:val="3"/>
              </w:numPr>
              <w:snapToGrid w:val="0"/>
              <w:spacing w:line="440" w:lineRule="exact"/>
              <w:ind w:left="0" w:firstLine="420" w:firstLineChars="200"/>
              <w:jc w:val="left"/>
              <w:rPr>
                <w:rFonts w:ascii="宋体" w:hAnsi="宋体"/>
              </w:rPr>
            </w:pPr>
            <w:r>
              <w:rPr>
                <w:rFonts w:hint="eastAsia" w:ascii="宋体" w:hAnsi="宋体"/>
              </w:rPr>
              <w:t>投标文件的解密：投标人按照平台提示和招标文件的规定在开标时间起30分钟内完成在线解密。</w:t>
            </w:r>
          </w:p>
          <w:p>
            <w:pPr>
              <w:widowControl/>
              <w:numPr>
                <w:ilvl w:val="0"/>
                <w:numId w:val="3"/>
              </w:numPr>
              <w:snapToGrid w:val="0"/>
              <w:spacing w:line="440" w:lineRule="exact"/>
              <w:ind w:left="0" w:firstLine="420" w:firstLineChars="200"/>
              <w:jc w:val="left"/>
              <w:rPr>
                <w:rFonts w:ascii="宋体" w:hAnsi="宋体"/>
              </w:rPr>
            </w:pPr>
            <w:r>
              <w:rPr>
                <w:rFonts w:hint="eastAsia" w:ascii="宋体" w:hAnsi="宋体"/>
              </w:rPr>
              <w:t xml:space="preserve">具体操作指南：详见政采云平台“服务中心-帮助文档-项目采购-操作流程-电子招投标-政府采购项目电子交易管理操作指南-供应商”：浙江省政府采购项目电子交易平台学习专题  </w:t>
            </w:r>
            <w:r>
              <w:fldChar w:fldCharType="begin"/>
            </w:r>
            <w:r>
              <w:instrText xml:space="preserve"> HYPERLINK "https://edu.zcygov.cn/luban/e-biding" </w:instrText>
            </w:r>
            <w:r>
              <w:fldChar w:fldCharType="separate"/>
            </w:r>
            <w:r>
              <w:rPr>
                <w:rFonts w:hint="eastAsia" w:ascii="宋体" w:hAnsi="宋体"/>
              </w:rPr>
              <w:t>https://edu.zcygov.cn/luban/e-biding。</w:t>
            </w:r>
            <w:r>
              <w:rPr>
                <w:rFonts w:hint="eastAsia" w:ascii="宋体" w:hAnsi="宋体"/>
              </w:rPr>
              <w:fldChar w:fldCharType="end"/>
            </w:r>
          </w:p>
          <w:p>
            <w:pPr>
              <w:widowControl/>
              <w:numPr>
                <w:ilvl w:val="0"/>
                <w:numId w:val="3"/>
              </w:numPr>
              <w:snapToGrid w:val="0"/>
              <w:spacing w:line="440" w:lineRule="exact"/>
              <w:ind w:left="0" w:firstLine="420" w:firstLineChars="200"/>
              <w:jc w:val="left"/>
              <w:rPr>
                <w:rFonts w:ascii="宋体" w:hAnsi="宋体"/>
              </w:rPr>
            </w:pPr>
            <w:r>
              <w:rPr>
                <w:rFonts w:hint="eastAsia" w:ascii="宋体" w:hAnsi="宋体"/>
              </w:rPr>
              <w:t>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25</w:t>
            </w:r>
          </w:p>
        </w:tc>
        <w:tc>
          <w:tcPr>
            <w:tcW w:w="1754" w:type="dxa"/>
            <w:tcBorders>
              <w:top w:val="single" w:color="auto" w:sz="4" w:space="0"/>
              <w:left w:val="single" w:color="auto" w:sz="4" w:space="0"/>
              <w:bottom w:val="single" w:color="auto" w:sz="4" w:space="0"/>
              <w:right w:val="single" w:color="auto" w:sz="4" w:space="0"/>
            </w:tcBorders>
            <w:vAlign w:val="center"/>
          </w:tcPr>
          <w:p>
            <w:pPr>
              <w:pStyle w:val="2"/>
              <w:tabs>
                <w:tab w:val="left" w:pos="-945"/>
                <w:tab w:val="left" w:pos="0"/>
                <w:tab w:val="clear" w:pos="900"/>
              </w:tabs>
              <w:jc w:val="center"/>
              <w:rPr>
                <w:rFonts w:ascii="宋体" w:hAnsi="宋体"/>
                <w:sz w:val="24"/>
                <w:szCs w:val="24"/>
              </w:rPr>
            </w:pPr>
            <w:r>
              <w:rPr>
                <w:rFonts w:hint="eastAsia" w:ascii="宋体" w:hAnsi="宋体"/>
                <w:sz w:val="24"/>
                <w:szCs w:val="24"/>
              </w:rPr>
              <w:t>备份投标文件</w:t>
            </w:r>
          </w:p>
          <w:p>
            <w:pPr>
              <w:wordWrap w:val="0"/>
              <w:topLinePunct/>
              <w:snapToGrid w:val="0"/>
              <w:spacing w:line="440" w:lineRule="exact"/>
              <w:jc w:val="center"/>
              <w:rPr>
                <w:rFonts w:ascii="宋体" w:hAnsi="宋体"/>
                <w:highlight w:val="cyan"/>
              </w:rPr>
            </w:pPr>
          </w:p>
        </w:tc>
        <w:tc>
          <w:tcPr>
            <w:tcW w:w="7659" w:type="dxa"/>
            <w:tcBorders>
              <w:top w:val="single" w:color="auto" w:sz="4" w:space="0"/>
              <w:left w:val="single" w:color="auto" w:sz="4" w:space="0"/>
              <w:bottom w:val="single" w:color="auto" w:sz="4" w:space="0"/>
              <w:right w:val="single" w:color="auto" w:sz="4" w:space="0"/>
            </w:tcBorders>
            <w:vAlign w:val="center"/>
          </w:tcPr>
          <w:p>
            <w:pPr>
              <w:pStyle w:val="783"/>
              <w:widowControl w:val="0"/>
              <w:spacing w:line="440" w:lineRule="exact"/>
              <w:rPr>
                <w:b/>
                <w:bCs/>
                <w:kern w:val="3"/>
                <w:szCs w:val="24"/>
              </w:rPr>
            </w:pPr>
            <w:r>
              <w:rPr>
                <w:rFonts w:hint="eastAsia"/>
                <w:b/>
                <w:bCs/>
                <w:kern w:val="3"/>
                <w:szCs w:val="24"/>
              </w:rPr>
              <w:t>（1）投标人在电子交易平台传输递交投标文件后，还可以在投标截止时间前现场提交或者以邮政快递方式递交备份投标文件1份，但采购人、采购代理机构不强制或变相强制投标人提交备份投标文件。</w:t>
            </w:r>
          </w:p>
          <w:p>
            <w:pPr>
              <w:pStyle w:val="783"/>
              <w:widowControl w:val="0"/>
              <w:spacing w:line="440" w:lineRule="exact"/>
              <w:rPr>
                <w:b/>
                <w:bCs/>
                <w:kern w:val="3"/>
                <w:szCs w:val="24"/>
              </w:rPr>
            </w:pPr>
            <w:r>
              <w:rPr>
                <w:rFonts w:hint="eastAsia"/>
                <w:b/>
                <w:bCs/>
                <w:kern w:val="3"/>
                <w:szCs w:val="24"/>
              </w:rPr>
              <w:t>（2）备份投标文件须在“政采云投标客户端”制作生成。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pStyle w:val="783"/>
              <w:widowControl w:val="0"/>
              <w:spacing w:line="440" w:lineRule="exact"/>
              <w:rPr>
                <w:b/>
                <w:bCs/>
                <w:kern w:val="3"/>
                <w:szCs w:val="24"/>
              </w:rPr>
            </w:pPr>
            <w:r>
              <w:rPr>
                <w:rFonts w:hint="eastAsia"/>
                <w:b/>
                <w:bCs/>
                <w:kern w:val="3"/>
                <w:szCs w:val="24"/>
              </w:rPr>
              <w:t>（3）现场提交备份投标文件的，投标人应于投标截止时间前在招标公告中载明的开标地点将备份投标文件提交给采购代理机构，采购代理机构将拒绝接受逾期送达的备份投标文件。</w:t>
            </w:r>
          </w:p>
          <w:p>
            <w:pPr>
              <w:pStyle w:val="783"/>
              <w:widowControl w:val="0"/>
              <w:spacing w:line="440" w:lineRule="exact"/>
              <w:rPr>
                <w:b/>
                <w:bCs/>
                <w:kern w:val="3"/>
                <w:szCs w:val="24"/>
              </w:rPr>
            </w:pPr>
            <w:r>
              <w:rPr>
                <w:rFonts w:hint="eastAsia"/>
                <w:b/>
                <w:bCs/>
                <w:kern w:val="3"/>
                <w:szCs w:val="24"/>
              </w:rPr>
              <w:t>（4）以邮政快递方式递交备份投标文件的，投标人应先将备份投标文件按要求密封和标记，再进行邮政快递包装后邮寄。备份投标文件须在投标截止时间之前送达；送达时间以签收人签收时间为准。采购代理机构将拒绝接受逾期送达的备份投标文件。邮寄过程中，电子备份投标文件发生泄露、遗失、损坏或延期送达等情况的，由投标人自行负责。</w:t>
            </w:r>
          </w:p>
          <w:p>
            <w:pPr>
              <w:pStyle w:val="783"/>
              <w:widowControl w:val="0"/>
              <w:spacing w:line="440" w:lineRule="exact"/>
              <w:rPr>
                <w:b/>
                <w:bCs/>
                <w:kern w:val="3"/>
                <w:szCs w:val="24"/>
              </w:rPr>
            </w:pPr>
            <w:r>
              <w:rPr>
                <w:rFonts w:hint="eastAsia"/>
                <w:b/>
                <w:bCs/>
                <w:kern w:val="3"/>
                <w:szCs w:val="24"/>
              </w:rPr>
              <w:t>▲（5）投标人仅提交备份投标文件，没有在电子交易平台传输递交投标文件的，投标无效。</w:t>
            </w:r>
          </w:p>
          <w:p>
            <w:pPr>
              <w:spacing w:line="440" w:lineRule="exact"/>
              <w:rPr>
                <w:rFonts w:ascii="宋体" w:hAnsi="宋体"/>
                <w:b/>
                <w:bCs/>
              </w:rPr>
            </w:pPr>
            <w:r>
              <w:rPr>
                <w:rFonts w:hint="eastAsia" w:ascii="宋体" w:hAnsi="宋体"/>
                <w:b/>
                <w:bCs/>
              </w:rPr>
              <w:t>▲（6）投标文件未按时解密，投标人提供了备份投标文件的，以备份投标文件作为依据，否则视为投标文件撤回。投标文件已按时解密的，备份投标文件自动失效。</w:t>
            </w:r>
          </w:p>
          <w:p>
            <w:pPr>
              <w:pStyle w:val="967"/>
              <w:rPr>
                <w:rFonts w:ascii="宋体" w:hAnsi="宋体" w:eastAsia="宋体" w:cs="仿宋"/>
                <w:kern w:val="3"/>
              </w:rPr>
            </w:pPr>
            <w:r>
              <w:rPr>
                <w:rFonts w:hint="eastAsia" w:ascii="宋体" w:hAnsi="宋体" w:eastAsia="宋体" w:cs="仿宋"/>
                <w:kern w:val="3"/>
              </w:rPr>
              <w:t>备份文件收取及邮寄地址：桐庐县迎春南路荣正财富广场1302室，吴雨（收），15158007994。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b/>
                <w:bCs/>
              </w:rPr>
            </w:pPr>
            <w:r>
              <w:rPr>
                <w:rFonts w:hint="eastAsia" w:ascii="宋体" w:hAnsi="宋体"/>
                <w:b/>
                <w:bCs/>
              </w:rPr>
              <w:t>26</w:t>
            </w:r>
          </w:p>
        </w:tc>
        <w:tc>
          <w:tcPr>
            <w:tcW w:w="1754"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rFonts w:ascii="宋体" w:hAnsi="宋体"/>
                <w:b/>
                <w:bCs/>
              </w:rPr>
            </w:pPr>
            <w:r>
              <w:rPr>
                <w:rFonts w:hint="eastAsia" w:ascii="宋体" w:hAnsi="宋体"/>
                <w:b/>
                <w:bCs/>
              </w:rPr>
              <w:t>代理服务费</w:t>
            </w:r>
          </w:p>
        </w:tc>
        <w:tc>
          <w:tcPr>
            <w:tcW w:w="7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napToGrid w:val="0"/>
                <w:kern w:val="28"/>
                <w:sz w:val="22"/>
                <w:szCs w:val="22"/>
              </w:rPr>
            </w:pPr>
            <w:r>
              <w:rPr>
                <w:rFonts w:hint="eastAsia" w:ascii="宋体" w:hAnsi="宋体"/>
                <w:snapToGrid w:val="0"/>
                <w:kern w:val="28"/>
                <w:sz w:val="22"/>
                <w:szCs w:val="22"/>
              </w:rPr>
              <w:t>1、代理费用收取：本次采购的招标代理服务费按国家计委计价格［2002］1980号文件《招标代理服务收费管理暂行办法》收取；</w:t>
            </w:r>
          </w:p>
          <w:p>
            <w:pPr>
              <w:pStyle w:val="723"/>
              <w:spacing w:line="440" w:lineRule="exact"/>
              <w:ind w:firstLine="0"/>
              <w:rPr>
                <w:rFonts w:cs="宋体"/>
                <w:b/>
                <w:sz w:val="28"/>
                <w:szCs w:val="22"/>
              </w:rPr>
            </w:pPr>
            <w:r>
              <w:rPr>
                <w:rFonts w:hint="eastAsia"/>
                <w:snapToGrid w:val="0"/>
                <w:kern w:val="28"/>
                <w:sz w:val="22"/>
                <w:szCs w:val="22"/>
              </w:rPr>
              <w:t>2、代理费用由中标（成交）供应商在领取中标通知书前一次性支付给代理公司。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宋体" w:hAnsi="宋体"/>
                <w:b/>
                <w:bCs/>
              </w:rPr>
            </w:pPr>
            <w:r>
              <w:rPr>
                <w:rFonts w:hint="eastAsia" w:ascii="宋体" w:hAnsi="宋体"/>
                <w:b/>
                <w:bCs/>
              </w:rPr>
              <w:t>28</w:t>
            </w:r>
          </w:p>
        </w:tc>
        <w:tc>
          <w:tcPr>
            <w:tcW w:w="1754" w:type="dxa"/>
            <w:tcBorders>
              <w:top w:val="single" w:color="auto" w:sz="4" w:space="0"/>
              <w:left w:val="single" w:color="auto" w:sz="4" w:space="0"/>
              <w:bottom w:val="single" w:color="auto" w:sz="4" w:space="0"/>
              <w:right w:val="single" w:color="auto" w:sz="4" w:space="0"/>
            </w:tcBorders>
            <w:vAlign w:val="center"/>
          </w:tcPr>
          <w:p>
            <w:pPr>
              <w:wordWrap w:val="0"/>
              <w:topLinePunct/>
              <w:autoSpaceDE w:val="0"/>
              <w:autoSpaceDN w:val="0"/>
              <w:snapToGrid w:val="0"/>
              <w:spacing w:line="440" w:lineRule="exact"/>
              <w:jc w:val="center"/>
              <w:textAlignment w:val="bottom"/>
              <w:rPr>
                <w:rFonts w:ascii="宋体" w:hAnsi="宋体"/>
                <w:b/>
                <w:bCs/>
              </w:rPr>
            </w:pPr>
            <w:r>
              <w:rPr>
                <w:rFonts w:hint="eastAsia" w:ascii="宋体" w:hAnsi="宋体"/>
                <w:b/>
                <w:bCs/>
              </w:rPr>
              <w:t>解释</w:t>
            </w:r>
          </w:p>
        </w:tc>
        <w:tc>
          <w:tcPr>
            <w:tcW w:w="7659" w:type="dxa"/>
            <w:tcBorders>
              <w:top w:val="single" w:color="auto" w:sz="4" w:space="0"/>
              <w:left w:val="single" w:color="auto" w:sz="4" w:space="0"/>
              <w:bottom w:val="single" w:color="auto" w:sz="4" w:space="0"/>
              <w:right w:val="single" w:color="auto" w:sz="4" w:space="0"/>
            </w:tcBorders>
            <w:vAlign w:val="center"/>
          </w:tcPr>
          <w:p>
            <w:pPr>
              <w:wordWrap w:val="0"/>
              <w:topLinePunct/>
              <w:autoSpaceDE w:val="0"/>
              <w:autoSpaceDN w:val="0"/>
              <w:snapToGrid w:val="0"/>
              <w:spacing w:line="440" w:lineRule="exact"/>
              <w:textAlignment w:val="bottom"/>
              <w:rPr>
                <w:rFonts w:ascii="宋体" w:hAnsi="宋体"/>
                <w:sz w:val="22"/>
                <w:szCs w:val="28"/>
              </w:rPr>
            </w:pPr>
            <w:r>
              <w:rPr>
                <w:rFonts w:hint="eastAsia" w:ascii="宋体" w:hAnsi="宋体"/>
                <w:sz w:val="22"/>
                <w:szCs w:val="28"/>
              </w:rPr>
              <w:t>本招标文件的解释权属于浙江重阳项目管理有限公司和采购人。</w:t>
            </w:r>
          </w:p>
        </w:tc>
      </w:tr>
    </w:tbl>
    <w:p>
      <w:pPr>
        <w:pStyle w:val="60"/>
        <w:ind w:firstLine="0"/>
      </w:pPr>
      <w:r>
        <w:rPr>
          <w:rFonts w:hint="eastAsia"/>
          <w:lang w:val="en-US"/>
        </w:rPr>
        <w:t xml:space="preserve"> </w:t>
      </w:r>
    </w:p>
    <w:p/>
    <w:p>
      <w:pPr>
        <w:rPr>
          <w:rFonts w:ascii="宋体" w:hAnsi="宋体" w:cs="宋体"/>
        </w:rPr>
      </w:pPr>
    </w:p>
    <w:bookmarkEnd w:id="9"/>
    <w:p>
      <w:pPr>
        <w:adjustRightInd/>
        <w:spacing w:line="360" w:lineRule="auto"/>
        <w:ind w:firstLine="3845" w:firstLineChars="1197"/>
        <w:outlineLvl w:val="0"/>
        <w:rPr>
          <w:rFonts w:ascii="宋体" w:hAnsi="宋体" w:cs="宋体"/>
          <w:b/>
          <w:sz w:val="32"/>
          <w:szCs w:val="20"/>
        </w:rPr>
      </w:pPr>
      <w:bookmarkStart w:id="10" w:name="_Toc164416483"/>
      <w:bookmarkStart w:id="11" w:name="第三部分"/>
      <w:r>
        <w:rPr>
          <w:rFonts w:hint="eastAsia" w:ascii="宋体" w:hAnsi="宋体" w:cs="宋体"/>
          <w:b/>
          <w:sz w:val="32"/>
          <w:szCs w:val="20"/>
        </w:rPr>
        <w:t>一、总则</w:t>
      </w:r>
    </w:p>
    <w:p>
      <w:pPr>
        <w:spacing w:line="360" w:lineRule="auto"/>
        <w:ind w:firstLine="241" w:firstLineChars="100"/>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本竞争性磋商文件适用于该项目的招标、投标、开标、资格审查及信用信息查询、评标、定标、合同、验收等行为（法律、法规另有规定的，从其规定）。</w:t>
      </w:r>
    </w:p>
    <w:p>
      <w:pPr>
        <w:spacing w:line="360" w:lineRule="auto"/>
        <w:ind w:firstLine="241" w:firstLineChars="100"/>
        <w:rPr>
          <w:rFonts w:ascii="宋体" w:hAnsi="宋体" w:cs="宋体"/>
          <w:b/>
          <w:sz w:val="24"/>
        </w:rPr>
      </w:pPr>
      <w:r>
        <w:rPr>
          <w:rFonts w:hint="eastAsia" w:ascii="宋体" w:hAnsi="宋体" w:cs="宋体"/>
          <w:b/>
          <w:sz w:val="24"/>
        </w:rPr>
        <w:t>2.定义</w:t>
      </w:r>
    </w:p>
    <w:p>
      <w:pPr>
        <w:spacing w:line="360" w:lineRule="auto"/>
        <w:ind w:firstLine="480" w:firstLineChars="200"/>
        <w:rPr>
          <w:rFonts w:ascii="宋体" w:hAnsi="宋体" w:cs="宋体"/>
          <w:sz w:val="24"/>
        </w:rPr>
      </w:pPr>
      <w:r>
        <w:rPr>
          <w:rFonts w:hint="eastAsia" w:ascii="宋体" w:hAnsi="宋体" w:cs="宋体"/>
          <w:sz w:val="24"/>
        </w:rPr>
        <w:t>2.1 “采购人”系指竞争性磋商公告中载明的本项目的采购人。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“采购机构”系指竞争性磋商公告中载明的本项目的采购机构。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“供应商”系指是指响应招标、参加投标竞争的法人、其他组织或者自然人。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“▲”系指实质性要求条款，“★”系产品采购项目中单一产品或核心产品，“</w:t>
      </w:r>
      <w:r>
        <w:rPr>
          <w:rFonts w:hint="eastAsia" w:ascii="Wingdings" w:hAnsi="Wingdings" w:cs="宋体"/>
          <w:kern w:val="0"/>
          <w:sz w:val="24"/>
        </w:rPr>
        <w:t>þ</w:t>
      </w:r>
      <w:r>
        <w:rPr>
          <w:rFonts w:hint="eastAsia" w:ascii="宋体" w:hAnsi="宋体" w:cs="宋体"/>
          <w:sz w:val="24"/>
        </w:rPr>
        <w:t>” 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宋体" w:hAnsi="宋体" w:cs="宋体"/>
          <w:sz w:val="24"/>
        </w:rPr>
      </w:pPr>
      <w:r>
        <w:rPr>
          <w:rFonts w:hint="eastAsia" w:ascii="宋体" w:hAnsi="宋体" w:cs="宋体"/>
          <w:sz w:val="24"/>
        </w:rPr>
        <w:t>3.2 支持绿色发展</w:t>
      </w:r>
    </w:p>
    <w:p>
      <w:pPr>
        <w:spacing w:line="360" w:lineRule="auto"/>
        <w:ind w:firstLine="720" w:firstLineChars="3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720" w:firstLineChars="3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720" w:firstLineChars="3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hAnsi="宋体" w:cs="宋体"/>
          <w:sz w:val="24"/>
        </w:rPr>
      </w:pPr>
      <w:r>
        <w:rPr>
          <w:rFonts w:hint="eastAsia" w:ascii="宋体" w:hAnsi="宋体" w:cs="宋体"/>
          <w:sz w:val="24"/>
        </w:rPr>
        <w:t>3.3支持中小企业发展</w:t>
      </w:r>
    </w:p>
    <w:p>
      <w:pPr>
        <w:spacing w:line="360" w:lineRule="auto"/>
        <w:ind w:firstLine="720" w:firstLineChars="3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720" w:firstLineChars="3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720" w:firstLineChars="300"/>
        <w:jc w:val="left"/>
        <w:rPr>
          <w:rFonts w:ascii="宋体" w:hAnsi="宋体" w:cs="宋体"/>
          <w:kern w:val="0"/>
          <w:sz w:val="24"/>
        </w:rPr>
      </w:pPr>
      <w:r>
        <w:rPr>
          <w:rFonts w:hint="eastAsia" w:ascii="宋体" w:hAnsi="宋体" w:cs="宋体"/>
          <w:kern w:val="0"/>
          <w:sz w:val="24"/>
        </w:rPr>
        <w:t>3.3.2.1在货物采购项目中，货物由中小企业制造，即货物由中小企业生产且使用该中小企业商号或者注册商标；</w:t>
      </w:r>
    </w:p>
    <w:p>
      <w:pPr>
        <w:widowControl/>
        <w:spacing w:line="360" w:lineRule="auto"/>
        <w:ind w:firstLine="720" w:firstLineChars="300"/>
        <w:jc w:val="left"/>
        <w:rPr>
          <w:rFonts w:ascii="宋体" w:hAnsi="宋体" w:cs="宋体"/>
          <w:kern w:val="0"/>
          <w:sz w:val="24"/>
        </w:rPr>
      </w:pPr>
      <w:r>
        <w:rPr>
          <w:rFonts w:hint="eastAsia" w:ascii="宋体" w:hAnsi="宋体" w:cs="宋体"/>
          <w:kern w:val="0"/>
          <w:sz w:val="24"/>
        </w:rPr>
        <w:t>3.3.2.2在工程采购项目中，工程由中小企业承建，即工程施工单位为中小企业；</w:t>
      </w:r>
    </w:p>
    <w:p>
      <w:pPr>
        <w:widowControl/>
        <w:spacing w:line="360" w:lineRule="auto"/>
        <w:ind w:firstLine="720" w:firstLineChars="300"/>
        <w:jc w:val="left"/>
        <w:rPr>
          <w:rFonts w:ascii="宋体" w:hAnsi="宋体" w:cs="宋体"/>
          <w:kern w:val="0"/>
          <w:sz w:val="24"/>
        </w:rPr>
      </w:pPr>
      <w:r>
        <w:rPr>
          <w:rFonts w:hint="eastAsia" w:ascii="宋体" w:hAnsi="宋体"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spacing w:line="360" w:lineRule="auto"/>
        <w:ind w:firstLine="720" w:firstLineChars="3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720" w:firstLineChars="3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720" w:firstLineChars="3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720" w:firstLineChars="3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720" w:firstLineChars="3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720" w:firstLineChars="3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720" w:firstLineChars="300"/>
        <w:rPr>
          <w:rFonts w:ascii="宋体" w:hAnsi="宋体" w:cs="宋体"/>
          <w:sz w:val="24"/>
        </w:rPr>
      </w:pPr>
      <w:r>
        <w:rPr>
          <w:rFonts w:hint="eastAsia" w:ascii="宋体" w:hAnsi="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宋体" w:hAnsi="宋体" w:cs="宋体"/>
          <w:b/>
          <w:sz w:val="24"/>
        </w:rPr>
      </w:pPr>
      <w:r>
        <w:rPr>
          <w:rFonts w:hint="eastAsia" w:ascii="宋体" w:hAnsi="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rPr>
          <w:rFonts w:ascii="宋体" w:hAnsi="宋体" w:cs="宋体"/>
          <w:b/>
          <w:sz w:val="24"/>
        </w:rPr>
      </w:pPr>
      <w:r>
        <w:rPr>
          <w:rFonts w:hint="eastAsia" w:ascii="宋体" w:hAnsi="宋体" w:cs="宋体"/>
          <w:b/>
          <w:sz w:val="24"/>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4.2供应商质疑</w:t>
      </w:r>
    </w:p>
    <w:p>
      <w:pPr>
        <w:pStyle w:val="34"/>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.1提出质疑的供应商应当是参与所质疑项目采购活动的供应商。潜在供应商已依法获取其可质疑的竞争性磋商文件的，可以对该文件提出质疑。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竞争性磋商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4.2.2.1对竞争性磋商文件提出质疑的，质疑期限为供应商获得竞争性磋商文件之日或者竞争性磋商文件公告期限届满之日起计算。</w:t>
      </w:r>
    </w:p>
    <w:p>
      <w:pPr>
        <w:pStyle w:val="34"/>
        <w:spacing w:line="360" w:lineRule="auto"/>
        <w:ind w:firstLine="480" w:firstLineChars="200"/>
        <w:rPr>
          <w:rFonts w:hAnsi="宋体" w:cs="宋体"/>
          <w:sz w:val="24"/>
        </w:rPr>
      </w:pPr>
      <w:r>
        <w:rPr>
          <w:rFonts w:hint="eastAsia" w:hAnsi="宋体" w:cs="宋体"/>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hAnsi="宋体" w:cs="宋体"/>
          <w:sz w:val="24"/>
        </w:rPr>
      </w:pPr>
      <w:r>
        <w:rPr>
          <w:rFonts w:hint="eastAsia" w:hAnsi="宋体" w:cs="宋体"/>
          <w:sz w:val="24"/>
        </w:rPr>
        <w:t>4.2.2.3对采购结果提出质疑的，质疑期限自采购结果公告期限届满之日起计算。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4.2.3.1供应商的姓名或者名称、地址、邮编、联系人及联系电话；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4.2.3.2质疑项目的名称、编号；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4.2.3.1具体、明确的质疑事项和与质疑事项相关的请求；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4.2.3.4事实依据；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4.2.3.5必要的法律依据；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4.2.3.6提出质疑的日期。</w:t>
      </w:r>
    </w:p>
    <w:p>
      <w:pPr>
        <w:pStyle w:val="887"/>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7"/>
        <w:snapToGrid w:val="0"/>
        <w:spacing w:after="240" w:afterAutospacing="0" w:line="360" w:lineRule="auto"/>
        <w:ind w:firstLine="400"/>
        <w:contextualSpacing/>
      </w:pPr>
      <w:r>
        <w:rPr>
          <w:rFonts w:hint="eastAsia"/>
        </w:rPr>
        <w:t>质疑函范本及制作说明详见附件2。</w:t>
      </w:r>
    </w:p>
    <w:p>
      <w:pPr>
        <w:pStyle w:val="887"/>
        <w:snapToGrid w:val="0"/>
        <w:spacing w:after="240" w:afterAutospacing="0" w:line="360" w:lineRule="auto"/>
        <w:ind w:firstLine="400"/>
        <w:contextualSpacing/>
      </w:pPr>
      <w:r>
        <w:rPr>
          <w:rFonts w:hint="eastAsia"/>
          <w:lang w:val="zh-CN"/>
        </w:rPr>
        <w:t>4.2</w:t>
      </w:r>
      <w:r>
        <w:rPr>
          <w:rFonts w:hint="eastAsia"/>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7"/>
        <w:snapToGrid w:val="0"/>
        <w:spacing w:after="240" w:afterAutospacing="0" w:line="360" w:lineRule="auto"/>
        <w:ind w:firstLine="400"/>
        <w:contextualSpacing/>
      </w:pPr>
      <w:r>
        <w:rPr>
          <w:rFonts w:hint="eastAsia"/>
          <w:lang w:val="zh-CN"/>
        </w:rPr>
        <w:t>4.2</w:t>
      </w:r>
      <w:r>
        <w:rPr>
          <w:rFonts w:hint="eastAsia"/>
        </w:rPr>
        <w:t>.5询问或者质疑事项可能影响采购结果的，采购人应当暂停签订合同，已经签订合同的，应当中止履行合同。</w:t>
      </w:r>
    </w:p>
    <w:p>
      <w:pPr>
        <w:pStyle w:val="887"/>
        <w:snapToGrid w:val="0"/>
        <w:spacing w:after="240" w:afterAutospacing="0" w:line="360" w:lineRule="auto"/>
        <w:ind w:firstLine="480" w:firstLineChars="200"/>
        <w:contextualSpacing/>
        <w:rPr>
          <w:lang w:val="zh-CN"/>
        </w:rPr>
      </w:pPr>
      <w:r>
        <w:rPr>
          <w:rFonts w:hint="eastAsia"/>
          <w:lang w:val="zh-CN"/>
        </w:rPr>
        <w:t>4.3供应商投诉</w:t>
      </w:r>
    </w:p>
    <w:p>
      <w:pPr>
        <w:pStyle w:val="887"/>
        <w:snapToGrid w:val="0"/>
        <w:spacing w:after="240" w:afterAutospacing="0" w:line="36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887"/>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887"/>
        <w:snapToGrid w:val="0"/>
        <w:spacing w:after="240" w:afterAutospacing="0" w:line="360" w:lineRule="auto"/>
        <w:ind w:firstLine="400"/>
        <w:contextualSpacing/>
      </w:pPr>
      <w:r>
        <w:rPr>
          <w:rFonts w:hint="eastAsia"/>
        </w:rPr>
        <w:t>4.3.3供应商投诉应当有明确的请求和必要的证明材料。</w:t>
      </w:r>
    </w:p>
    <w:p>
      <w:pPr>
        <w:pStyle w:val="887"/>
        <w:snapToGrid w:val="0"/>
        <w:spacing w:after="240" w:afterAutospacing="0" w:line="360" w:lineRule="auto"/>
        <w:ind w:firstLine="400"/>
        <w:contextualSpacing/>
      </w:pPr>
      <w:r>
        <w:rPr>
          <w:rFonts w:hint="eastAsia"/>
        </w:rPr>
        <w:t>4.3.5 以联合体形式参加政府采购活动的，其投诉应当由组成联合体的所有供应商共同提出。</w:t>
      </w:r>
    </w:p>
    <w:p>
      <w:pPr>
        <w:pStyle w:val="887"/>
        <w:snapToGrid w:val="0"/>
        <w:spacing w:after="240" w:afterAutospacing="0" w:line="360" w:lineRule="auto"/>
        <w:ind w:firstLine="400"/>
        <w:contextualSpacing/>
      </w:pPr>
      <w:r>
        <w:rPr>
          <w:rFonts w:hint="eastAsia"/>
        </w:rPr>
        <w:t>投诉书范本及制作说明详见附件3。</w:t>
      </w:r>
    </w:p>
    <w:p>
      <w:pPr>
        <w:pStyle w:val="887"/>
        <w:snapToGrid w:val="0"/>
        <w:spacing w:after="240" w:afterAutospacing="0" w:line="360" w:lineRule="auto"/>
        <w:ind w:firstLine="400"/>
        <w:contextualSpacing/>
        <w:jc w:val="cente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二、竞争性磋商文件的构成、澄清、修改</w:t>
      </w:r>
    </w:p>
    <w:p>
      <w:pPr>
        <w:pStyle w:val="34"/>
        <w:spacing w:line="360" w:lineRule="auto"/>
        <w:rPr>
          <w:rFonts w:hAnsi="宋体" w:cs="宋体"/>
          <w:b/>
          <w:sz w:val="24"/>
          <w:szCs w:val="24"/>
        </w:rPr>
      </w:pPr>
      <w:r>
        <w:rPr>
          <w:rFonts w:hint="eastAsia" w:hAnsi="宋体" w:cs="宋体"/>
          <w:b/>
          <w:sz w:val="24"/>
          <w:szCs w:val="24"/>
        </w:rPr>
        <w:t>5．竞争性磋商文件的构成</w:t>
      </w:r>
    </w:p>
    <w:p>
      <w:pPr>
        <w:pStyle w:val="34"/>
        <w:spacing w:line="360" w:lineRule="auto"/>
        <w:ind w:firstLine="480" w:firstLineChars="200"/>
        <w:rPr>
          <w:rFonts w:hAnsi="宋体" w:cs="宋体"/>
          <w:sz w:val="24"/>
          <w:szCs w:val="24"/>
        </w:rPr>
      </w:pPr>
      <w:r>
        <w:rPr>
          <w:rFonts w:hint="eastAsia" w:hAnsi="宋体" w:cs="宋体"/>
          <w:sz w:val="24"/>
          <w:szCs w:val="24"/>
        </w:rPr>
        <w:t>5.1 竞争性磋商文件包括下列文件及附件：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5.1.1竞争性磋商公告；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5.1.2磋商供应商须知；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澄清或者修改的内容为竞争性磋商文件的组成部分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竞争性磋商文件的澄清、修改</w:t>
      </w:r>
    </w:p>
    <w:p>
      <w:pPr>
        <w:pStyle w:val="131"/>
        <w:snapToGrid w:val="0"/>
        <w:spacing w:before="0"/>
        <w:ind w:firstLine="480"/>
        <w:rPr>
          <w:rFonts w:ascii="宋体" w:hAnsi="宋体" w:cs="宋体"/>
        </w:rPr>
      </w:pPr>
      <w:r>
        <w:rPr>
          <w:rFonts w:hint="eastAsia" w:ascii="宋体" w:hAnsi="宋体" w:cs="宋体"/>
        </w:rPr>
        <w:t>6.1已获取竞争性磋商文件的潜在供应商，若有问题需要澄清，应于投标截止时间前，以书面形式向采购机构提出。</w:t>
      </w:r>
    </w:p>
    <w:p>
      <w:pPr>
        <w:pStyle w:val="131"/>
        <w:snapToGrid w:val="0"/>
        <w:spacing w:before="0"/>
        <w:ind w:firstLine="480"/>
        <w:rPr>
          <w:rFonts w:ascii="宋体" w:hAnsi="宋体" w:cs="宋体"/>
        </w:rPr>
      </w:pPr>
      <w:r>
        <w:rPr>
          <w:rFonts w:hint="eastAsia" w:ascii="宋体" w:hAnsi="宋体" w:cs="宋体"/>
        </w:rPr>
        <w:t>6.2 采购机构对竞争性磋商文件进行澄清或修改的，将同时通过电子交易平台通知已获取竞争性磋商文件的潜在供应商。依法应当公告的，将按规定公告，同时视情况延长投标截止时间和开标时间。该澄清或者修改的内容为竞争性磋商文件的组成部分。</w:t>
      </w:r>
    </w:p>
    <w:p>
      <w:pPr>
        <w:pStyle w:val="26"/>
        <w:rPr>
          <w:rFonts w:hAnsi="宋体" w:cs="宋体"/>
          <w:sz w:val="18"/>
          <w:szCs w:val="18"/>
          <w:lang w:val="en-US"/>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三、磋商响应</w:t>
      </w:r>
    </w:p>
    <w:p>
      <w:pPr>
        <w:pStyle w:val="34"/>
        <w:spacing w:line="360" w:lineRule="auto"/>
        <w:rPr>
          <w:rFonts w:hAnsi="宋体" w:cs="宋体"/>
          <w:b/>
          <w:sz w:val="24"/>
          <w:szCs w:val="24"/>
        </w:rPr>
      </w:pPr>
      <w:r>
        <w:rPr>
          <w:rFonts w:hint="eastAsia" w:hAnsi="宋体" w:cs="宋体"/>
          <w:b/>
          <w:sz w:val="24"/>
          <w:szCs w:val="24"/>
        </w:rPr>
        <w:t>7.竞争性磋商文件的获取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详见竞争性磋商公告中获取竞争性磋商文件的时间期限、地点、方式及竞争性磋商文件售价。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本项目不组织现场考察或者开标前答疑会。</w:t>
      </w:r>
    </w:p>
    <w:p>
      <w:pPr>
        <w:pStyle w:val="34"/>
        <w:spacing w:line="360" w:lineRule="auto"/>
        <w:rPr>
          <w:rFonts w:hAnsi="宋体" w:cs="宋体"/>
          <w:b/>
          <w:szCs w:val="24"/>
        </w:rPr>
      </w:pPr>
      <w:r>
        <w:rPr>
          <w:rFonts w:hint="eastAsia" w:hAnsi="宋体" w:cs="宋体"/>
          <w:b/>
          <w:kern w:val="28"/>
          <w:sz w:val="24"/>
          <w:szCs w:val="24"/>
        </w:rPr>
        <w:t>9.磋商保证金</w:t>
      </w:r>
    </w:p>
    <w:p>
      <w:pPr>
        <w:pStyle w:val="17"/>
        <w:spacing w:line="360" w:lineRule="auto"/>
        <w:ind w:firstLine="470" w:firstLineChars="196"/>
        <w:rPr>
          <w:rFonts w:hAnsi="宋体" w:cs="宋体"/>
          <w:color w:val="auto"/>
          <w:sz w:val="24"/>
        </w:rPr>
      </w:pPr>
      <w:r>
        <w:rPr>
          <w:rFonts w:hint="eastAsia" w:hAnsi="宋体" w:cs="宋体"/>
          <w:color w:val="auto"/>
          <w:sz w:val="24"/>
        </w:rPr>
        <w:t>本项目不需缴纳磋商保证金。</w:t>
      </w:r>
    </w:p>
    <w:p>
      <w:pPr>
        <w:pStyle w:val="34"/>
        <w:spacing w:line="360" w:lineRule="auto"/>
        <w:rPr>
          <w:rFonts w:hAnsi="宋体" w:cs="宋体"/>
          <w:b/>
          <w:sz w:val="24"/>
          <w:szCs w:val="24"/>
        </w:rPr>
      </w:pPr>
      <w:r>
        <w:rPr>
          <w:rFonts w:hint="eastAsia" w:hAnsi="宋体" w:cs="宋体"/>
          <w:b/>
          <w:sz w:val="24"/>
          <w:szCs w:val="24"/>
        </w:rPr>
        <w:t>10. 磋商响应文件的语言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磋商响应文件及供应商与采购有关的来往通知、函件和文件均应使用中文。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磋商响应文件的组成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仿宋_GB2312"/>
          <w:sz w:val="24"/>
        </w:rPr>
      </w:pPr>
      <w:r>
        <w:rPr>
          <w:rFonts w:ascii="宋体" w:hAnsi="宋体" w:cs="仿宋_GB2312"/>
          <w:sz w:val="24"/>
        </w:rPr>
        <w:t>11.1.1</w:t>
      </w:r>
      <w:r>
        <w:rPr>
          <w:rFonts w:hint="eastAsia" w:ascii="宋体" w:hAnsi="宋体" w:cs="仿宋_GB2312"/>
          <w:sz w:val="24"/>
        </w:rPr>
        <w:t>提供有效的营业执照副本并加盖公章（或事业单位法人登记证或其他工商等登记证明材料）</w:t>
      </w:r>
    </w:p>
    <w:p>
      <w:pPr>
        <w:snapToGrid w:val="0"/>
        <w:spacing w:line="360" w:lineRule="auto"/>
        <w:ind w:firstLine="960" w:firstLineChars="400"/>
        <w:rPr>
          <w:rFonts w:ascii="宋体" w:hAnsi="宋体" w:cs="宋体"/>
          <w:sz w:val="24"/>
        </w:rPr>
      </w:pPr>
      <w:r>
        <w:rPr>
          <w:rFonts w:hint="eastAsia" w:ascii="宋体" w:hAnsi="宋体" w:cs="宋体"/>
          <w:sz w:val="24"/>
        </w:rPr>
        <w:t>11.1.2符合参加政府采购活动应当具备的一般条件的承诺函；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11.1.3落实政府采购政策需满足的资格要求；</w:t>
      </w:r>
    </w:p>
    <w:p>
      <w:pPr>
        <w:snapToGrid w:val="0"/>
        <w:spacing w:line="360" w:lineRule="auto"/>
        <w:ind w:firstLine="960" w:firstLineChars="400"/>
        <w:rPr>
          <w:rFonts w:ascii="宋体" w:hAnsi="宋体" w:cs="仿宋_GB2312"/>
          <w:sz w:val="24"/>
        </w:rPr>
      </w:pPr>
      <w:r>
        <w:rPr>
          <w:rFonts w:hint="eastAsia" w:ascii="宋体" w:hAnsi="宋体" w:cs="宋体"/>
          <w:sz w:val="24"/>
        </w:rPr>
        <w:t>11.1.4本项目的特定资格要求。（如需）</w:t>
      </w:r>
    </w:p>
    <w:p>
      <w:pPr>
        <w:snapToGrid w:val="0"/>
        <w:spacing w:line="360" w:lineRule="auto"/>
        <w:ind w:firstLine="482" w:firstLineChars="200"/>
        <w:rPr>
          <w:rFonts w:ascii="宋体" w:hAnsi="宋体" w:cs="宋体"/>
          <w:b/>
          <w:bCs/>
          <w:sz w:val="24"/>
          <w:lang w:val="zh-CN"/>
        </w:rPr>
      </w:pPr>
      <w:r>
        <w:rPr>
          <w:rFonts w:hint="eastAsia" w:ascii="宋体" w:hAnsi="宋体" w:cs="宋体"/>
          <w:b/>
          <w:bCs/>
          <w:sz w:val="24"/>
          <w:lang w:val="zh-CN"/>
        </w:rPr>
        <w:t>11.</w:t>
      </w:r>
      <w:r>
        <w:rPr>
          <w:rFonts w:hint="eastAsia" w:ascii="宋体" w:hAnsi="宋体" w:cs="宋体"/>
          <w:b/>
          <w:bCs/>
          <w:sz w:val="24"/>
        </w:rPr>
        <w:t>2商务技术</w:t>
      </w:r>
      <w:r>
        <w:rPr>
          <w:rFonts w:hint="eastAsia" w:ascii="宋体" w:hAnsi="宋体" w:cs="宋体"/>
          <w:b/>
          <w:bCs/>
          <w:sz w:val="24"/>
          <w:lang w:val="zh-CN"/>
        </w:rPr>
        <w:t>文件：</w:t>
      </w:r>
    </w:p>
    <w:p>
      <w:pPr>
        <w:snapToGrid w:val="0"/>
        <w:spacing w:line="360" w:lineRule="auto"/>
        <w:ind w:firstLine="960" w:firstLineChars="400"/>
        <w:rPr>
          <w:rFonts w:ascii="宋体" w:hAnsi="宋体" w:cs="仿宋_GB2312"/>
          <w:sz w:val="24"/>
        </w:rPr>
      </w:pPr>
      <w:r>
        <w:rPr>
          <w:rFonts w:ascii="宋体" w:hAnsi="宋体" w:cs="仿宋_GB2312"/>
          <w:sz w:val="24"/>
        </w:rPr>
        <w:t>11.2.1投标函；</w:t>
      </w:r>
      <w:r>
        <w:rPr>
          <w:rFonts w:ascii="宋体" w:hAnsi="宋体" w:cs="仿宋_GB2312"/>
          <w:sz w:val="24"/>
          <w:lang w:val="zh-CN"/>
        </w:rPr>
        <w:t xml:space="preserve"> </w:t>
      </w:r>
    </w:p>
    <w:p>
      <w:pPr>
        <w:snapToGrid w:val="0"/>
        <w:spacing w:line="360" w:lineRule="auto"/>
        <w:ind w:firstLine="960" w:firstLineChars="400"/>
        <w:rPr>
          <w:rFonts w:ascii="宋体" w:hAnsi="宋体" w:cs="仿宋_GB2312"/>
          <w:sz w:val="24"/>
        </w:rPr>
      </w:pPr>
      <w:r>
        <w:rPr>
          <w:rFonts w:ascii="宋体" w:hAnsi="宋体" w:cs="仿宋_GB2312"/>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11.2.3符合性审查资料；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11.2.4评标标准相应的商务技术资料；</w:t>
      </w:r>
    </w:p>
    <w:p>
      <w:pPr>
        <w:snapToGrid w:val="0"/>
        <w:spacing w:line="360" w:lineRule="auto"/>
        <w:ind w:firstLine="960" w:firstLineChars="400"/>
        <w:rPr>
          <w:rFonts w:ascii="宋体" w:hAnsi="宋体" w:cs="宋体"/>
          <w:color w:val="FF0000"/>
          <w:sz w:val="24"/>
        </w:rPr>
      </w:pPr>
      <w:r>
        <w:rPr>
          <w:rFonts w:hint="eastAsia" w:ascii="宋体" w:hAnsi="宋体" w:cs="宋体"/>
          <w:sz w:val="24"/>
        </w:rPr>
        <w:t>11.2.5投标标的清单；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11.2.6商务技术偏离表；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p>
    <w:p>
      <w:pPr>
        <w:snapToGrid w:val="0"/>
        <w:spacing w:line="360" w:lineRule="auto"/>
        <w:ind w:firstLine="960" w:firstLineChars="400"/>
        <w:rPr>
          <w:rFonts w:ascii="宋体" w:hAnsi="宋体" w:cs="宋体"/>
          <w:sz w:val="24"/>
        </w:rPr>
      </w:pPr>
      <w:r>
        <w:rPr>
          <w:rFonts w:hint="eastAsia" w:ascii="宋体" w:hAnsi="宋体" w:cs="宋体"/>
          <w:sz w:val="24"/>
        </w:rPr>
        <w:t>11.2.8</w:t>
      </w:r>
      <w:r>
        <w:rPr>
          <w:rFonts w:hint="eastAsia" w:ascii="宋体" w:hAnsi="宋体" w:cs="宋体"/>
          <w:sz w:val="24"/>
          <w:lang w:eastAsia="zh-CN"/>
        </w:rPr>
        <w:t>2024第四届桐庐生仙里铁人三项赛赛事运营服务采购项目</w:t>
      </w:r>
      <w:r>
        <w:rPr>
          <w:rFonts w:hint="eastAsia" w:ascii="宋体" w:hAnsi="宋体" w:cs="宋体"/>
          <w:sz w:val="24"/>
        </w:rPr>
        <w:t>承诺书；</w:t>
      </w:r>
    </w:p>
    <w:p>
      <w:pPr>
        <w:snapToGrid w:val="0"/>
        <w:spacing w:line="360" w:lineRule="auto"/>
        <w:ind w:firstLine="482" w:firstLineChars="200"/>
        <w:rPr>
          <w:rFonts w:ascii="宋体" w:hAnsi="宋体" w:cs="宋体"/>
          <w:b/>
          <w:bCs/>
          <w:sz w:val="24"/>
          <w:lang w:val="zh-CN"/>
        </w:rPr>
      </w:pPr>
      <w:r>
        <w:rPr>
          <w:rFonts w:hint="eastAsia" w:ascii="宋体" w:hAnsi="宋体" w:cs="宋体"/>
          <w:b/>
          <w:bCs/>
          <w:sz w:val="24"/>
          <w:lang w:val="zh-CN"/>
        </w:rPr>
        <w:t>11.3报价文件：</w:t>
      </w:r>
    </w:p>
    <w:p>
      <w:pPr>
        <w:snapToGrid w:val="0"/>
        <w:spacing w:line="360" w:lineRule="auto"/>
        <w:ind w:firstLine="960" w:firstLineChars="400"/>
        <w:rPr>
          <w:rFonts w:ascii="宋体" w:hAnsi="宋体" w:cs="仿宋_GB2312"/>
          <w:sz w:val="24"/>
        </w:rPr>
      </w:pPr>
      <w:r>
        <w:rPr>
          <w:rFonts w:ascii="宋体" w:hAnsi="宋体" w:cs="仿宋_GB2312"/>
          <w:sz w:val="24"/>
        </w:rPr>
        <w:t>11.3.</w:t>
      </w:r>
      <w:r>
        <w:rPr>
          <w:rFonts w:hint="eastAsia" w:ascii="宋体" w:hAnsi="宋体" w:cs="仿宋_GB2312"/>
          <w:sz w:val="24"/>
        </w:rPr>
        <w:t>1</w:t>
      </w:r>
      <w:r>
        <w:rPr>
          <w:rFonts w:ascii="宋体" w:hAnsi="宋体" w:cs="仿宋_GB2312"/>
          <w:sz w:val="24"/>
        </w:rPr>
        <w:t>开标一览表（报价表）。</w:t>
      </w:r>
    </w:p>
    <w:p>
      <w:pPr>
        <w:snapToGrid w:val="0"/>
        <w:spacing w:line="360" w:lineRule="auto"/>
        <w:ind w:firstLine="960" w:firstLineChars="400"/>
        <w:rPr>
          <w:rFonts w:ascii="宋体" w:hAnsi="宋体" w:cs="仿宋_GB2312"/>
          <w:sz w:val="24"/>
        </w:rPr>
      </w:pPr>
      <w:r>
        <w:rPr>
          <w:rFonts w:ascii="宋体" w:hAnsi="宋体" w:cs="仿宋_GB2312"/>
          <w:sz w:val="24"/>
        </w:rPr>
        <w:t>11.3.</w:t>
      </w:r>
      <w:r>
        <w:rPr>
          <w:rFonts w:hint="eastAsia" w:ascii="宋体" w:hAnsi="宋体" w:cs="仿宋_GB2312"/>
          <w:sz w:val="24"/>
        </w:rPr>
        <w:t>2</w:t>
      </w:r>
      <w:r>
        <w:rPr>
          <w:rFonts w:ascii="宋体" w:hAnsi="宋体" w:cs="仿宋_GB2312"/>
          <w:sz w:val="24"/>
        </w:rPr>
        <w:t>中小企业声明函。</w:t>
      </w:r>
    </w:p>
    <w:p>
      <w:pPr>
        <w:spacing w:line="360" w:lineRule="auto"/>
        <w:ind w:firstLine="723" w:firstLineChars="300"/>
        <w:rPr>
          <w:rFonts w:ascii="宋体" w:hAnsi="宋体" w:cs="宋体"/>
          <w:b/>
          <w:sz w:val="24"/>
        </w:rPr>
      </w:pPr>
      <w:r>
        <w:rPr>
          <w:rFonts w:hint="eastAsia" w:ascii="宋体" w:hAnsi="宋体" w:cs="宋体"/>
          <w:b/>
          <w:sz w:val="24"/>
        </w:rPr>
        <w:t>磋商响应文件含有采购人不能接受的附加条件的，投标无效；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供应商提供虚假材料投标的，投标无效。</w:t>
      </w:r>
    </w:p>
    <w:p>
      <w:pPr>
        <w:snapToGrid w:val="0"/>
        <w:spacing w:line="360" w:lineRule="auto"/>
        <w:rPr>
          <w:rFonts w:ascii="宋体" w:hAnsi="宋体" w:cs="宋体"/>
          <w:b/>
          <w:sz w:val="24"/>
        </w:rPr>
      </w:pPr>
      <w:r>
        <w:rPr>
          <w:rFonts w:hint="eastAsia" w:ascii="宋体" w:hAnsi="宋体" w:cs="宋体"/>
          <w:b/>
          <w:sz w:val="24"/>
        </w:rPr>
        <w:t>12. 磋商响应文件的编制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磋商响应文件分为资格文件、商务技术文件、报价文件三部分。各供应商在编制磋商响应文件时请按照竞争性磋商文件第六部分规定的格式进行，混乱的编排导致磋商响应文件被误读或磋商小组查找不到有效文件是供应商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供应商进行电子投标应安装客户端软件—“政采云电子交易客户端”，并按照竞争性磋商文件和电子交易平台的要求编制并加密磋商响应文件。供应商未按规定加密的磋商响应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13.磋商响应文件的签署、盖章</w:t>
      </w:r>
    </w:p>
    <w:p>
      <w:pPr>
        <w:pStyle w:val="131"/>
        <w:snapToGrid w:val="0"/>
        <w:spacing w:before="0"/>
        <w:ind w:firstLine="480"/>
        <w:rPr>
          <w:rFonts w:ascii="宋体" w:hAnsi="宋体" w:cs="宋体"/>
          <w:b/>
        </w:rPr>
      </w:pPr>
      <w:r>
        <w:rPr>
          <w:rFonts w:hint="eastAsia" w:ascii="宋体" w:hAnsi="宋体" w:cs="宋体"/>
          <w:szCs w:val="24"/>
        </w:rPr>
        <w:t>13.1磋商响应文件按照竞争性磋商文件第六部分格式要</w:t>
      </w:r>
      <w:r>
        <w:rPr>
          <w:rFonts w:hint="eastAsia" w:ascii="宋体" w:hAnsi="宋体" w:cs="宋体"/>
        </w:rPr>
        <w:t>求进行签署、盖章。</w:t>
      </w:r>
      <w:r>
        <w:rPr>
          <w:rFonts w:hint="eastAsia" w:ascii="宋体" w:hAnsi="宋体" w:cs="宋体"/>
          <w:b/>
        </w:rPr>
        <w:t>▲供应商的磋商响应文件未按照竞争性磋商文件要求签署、盖章的，其投标无效</w:t>
      </w:r>
      <w:r>
        <w:rPr>
          <w:rFonts w:hint="eastAsia" w:ascii="宋体" w:hAnsi="宋体" w:cs="宋体"/>
          <w:szCs w:val="24"/>
        </w:rPr>
        <w:t>。</w:t>
      </w:r>
    </w:p>
    <w:p>
      <w:pPr>
        <w:pStyle w:val="131"/>
        <w:snapToGrid w:val="0"/>
        <w:spacing w:before="0"/>
        <w:ind w:firstLine="480"/>
        <w:rPr>
          <w:rFonts w:ascii="宋体" w:hAnsi="宋体" w:cs="宋体"/>
        </w:rPr>
      </w:pPr>
      <w:r>
        <w:rPr>
          <w:rFonts w:hint="eastAsia" w:ascii="宋体" w:hAnsi="宋体" w:cs="宋体"/>
        </w:rPr>
        <w:t>13.2为确保网上操作合法、有效和安全，供应商应当在投标截止时间前完成在“政府采购云平台”的身份认证，确保在电子投标过程中能够对相关数据电文进行加密和使用电子签名。</w:t>
      </w:r>
    </w:p>
    <w:p>
      <w:pPr>
        <w:pStyle w:val="131"/>
        <w:snapToGrid w:val="0"/>
        <w:spacing w:before="0"/>
        <w:ind w:firstLine="480"/>
        <w:rPr>
          <w:rFonts w:ascii="宋体" w:hAnsi="宋体" w:cs="宋体"/>
          <w:szCs w:val="24"/>
        </w:rPr>
      </w:pPr>
      <w:r>
        <w:rPr>
          <w:rFonts w:hint="eastAsia" w:ascii="宋体" w:hAnsi="宋体" w:cs="宋体"/>
        </w:rPr>
        <w:t>13.1竞争性磋商文件对磋商响应文件签署、盖章的要求适用于电子签名。</w:t>
      </w:r>
    </w:p>
    <w:p>
      <w:pPr>
        <w:pStyle w:val="131"/>
        <w:spacing w:before="0"/>
        <w:ind w:firstLine="0" w:firstLineChars="0"/>
        <w:rPr>
          <w:rFonts w:ascii="宋体" w:hAnsi="宋体" w:cs="宋体"/>
          <w:b/>
          <w:szCs w:val="24"/>
        </w:rPr>
      </w:pPr>
      <w:r>
        <w:rPr>
          <w:rFonts w:hint="eastAsia" w:ascii="宋体" w:hAnsi="宋体" w:cs="宋体"/>
          <w:b/>
          <w:szCs w:val="24"/>
        </w:rPr>
        <w:t>14. 磋商响应文件的提交、补充、修改、撤回</w:t>
      </w:r>
    </w:p>
    <w:p>
      <w:pPr>
        <w:pStyle w:val="131"/>
        <w:ind w:firstLine="480"/>
        <w:rPr>
          <w:rFonts w:ascii="宋体" w:hAnsi="宋体" w:cs="宋体"/>
          <w:szCs w:val="24"/>
        </w:rPr>
      </w:pPr>
      <w:r>
        <w:rPr>
          <w:rFonts w:hint="eastAsia" w:ascii="宋体" w:hAnsi="宋体" w:cs="宋体"/>
          <w:szCs w:val="24"/>
        </w:rPr>
        <w:t>14.1 供应商应当在投标截止时间前完成磋商响应文件的传输递交，并可以补充、修改或者撤回磋商响应文件。补充或者修改磋商响应文件的，应当先行撤回原文件，补充、修改后重新传输递交。投标截止时间前未完成传输的，视为撤回磋商响应文件。投标截止时间后递交的磋商响应文件，电子交易平台将拒收。</w:t>
      </w:r>
    </w:p>
    <w:p>
      <w:pPr>
        <w:pStyle w:val="131"/>
        <w:spacing w:before="0"/>
        <w:ind w:firstLine="480"/>
        <w:rPr>
          <w:rFonts w:ascii="宋体" w:hAnsi="宋体" w:cs="宋体"/>
          <w:szCs w:val="24"/>
        </w:rPr>
      </w:pPr>
      <w:r>
        <w:rPr>
          <w:rFonts w:hint="eastAsia" w:ascii="宋体" w:hAnsi="宋体" w:cs="宋体"/>
          <w:szCs w:val="24"/>
        </w:rPr>
        <w:t>14.2电子交易平台收到磋商响应文件，将妥善保存并即时向供应商发出确认回执通知。在投标截止时间前，除供应商补充、修改或者撤回磋商响应文件外，任何单位和个人不得解密或提取磋商响应文件。</w:t>
      </w:r>
    </w:p>
    <w:p>
      <w:pPr>
        <w:pStyle w:val="131"/>
        <w:spacing w:before="0"/>
        <w:ind w:firstLine="480"/>
        <w:rPr>
          <w:rFonts w:ascii="宋体" w:hAnsi="宋体" w:cs="宋体"/>
          <w:szCs w:val="24"/>
        </w:rPr>
      </w:pPr>
      <w:r>
        <w:rPr>
          <w:rFonts w:hint="eastAsia" w:ascii="宋体" w:hAnsi="宋体" w:cs="宋体"/>
          <w:szCs w:val="24"/>
        </w:rPr>
        <w:t>14.3采购人、采购机构可以视情况延长磋商响应文件提交的截止时间。在上述情况下，采购机构与供应商以前在投标截止期方面的全部权利、责任和义务，将适用于延长至新的投标截止期。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15.备份磋商响应文件</w:t>
      </w:r>
    </w:p>
    <w:p>
      <w:pPr>
        <w:pStyle w:val="34"/>
        <w:spacing w:line="360" w:lineRule="auto"/>
        <w:ind w:firstLine="480" w:firstLineChars="200"/>
        <w:rPr>
          <w:rFonts w:hAnsi="宋体" w:cs="宋体"/>
          <w:b/>
          <w:sz w:val="24"/>
          <w:szCs w:val="24"/>
        </w:rPr>
      </w:pPr>
      <w:r>
        <w:rPr>
          <w:rFonts w:hint="eastAsia" w:hAnsi="宋体" w:cs="宋体"/>
          <w:sz w:val="24"/>
          <w:szCs w:val="24"/>
        </w:rPr>
        <w:t xml:space="preserve"> 15.1供应商在电子交易平台传输递交磋商响应文件后，还可以在投标截止时间前直接提交或者以邮政快递方式递交备份磋商响应文件1份，</w:t>
      </w:r>
      <w:r>
        <w:rPr>
          <w:rFonts w:hint="eastAsia" w:hAnsi="宋体" w:cs="宋体"/>
          <w:b/>
          <w:sz w:val="24"/>
          <w:szCs w:val="24"/>
        </w:rPr>
        <w:t>但采购人、采购机构不强制或变相强制供应商提交备份磋商响应文件。</w:t>
      </w:r>
      <w:r>
        <w:rPr>
          <w:rFonts w:hint="eastAsia" w:cs="仿宋_GB2312" w:asciiTheme="minorEastAsia" w:hAnsiTheme="minorEastAsia" w:eastAsiaTheme="minorEastAsia"/>
          <w:bCs/>
          <w:sz w:val="24"/>
          <w:szCs w:val="24"/>
        </w:rPr>
        <w:t>如遇备份投标文件无法正常打开的，导致投标失败，由投标人自行负责。</w:t>
      </w:r>
    </w:p>
    <w:p>
      <w:pPr>
        <w:pStyle w:val="34"/>
        <w:spacing w:line="360" w:lineRule="auto"/>
        <w:ind w:firstLine="480" w:firstLineChars="200"/>
        <w:rPr>
          <w:rFonts w:hAnsi="宋体" w:cs="宋体"/>
          <w:b/>
          <w:sz w:val="24"/>
          <w:szCs w:val="24"/>
        </w:rPr>
      </w:pPr>
      <w:r>
        <w:rPr>
          <w:rFonts w:hint="eastAsia" w:hAnsi="宋体" w:cs="宋体"/>
          <w:sz w:val="24"/>
          <w:szCs w:val="24"/>
        </w:rPr>
        <w:t>15.2备份磋商响应文件须在“政采云投标客户端”制作生成，并储存在</w:t>
      </w:r>
      <w:r>
        <w:rPr>
          <w:rFonts w:hint="eastAsia" w:hAnsi="宋体" w:cs="宋体"/>
          <w:sz w:val="24"/>
        </w:rPr>
        <w:t>DVD光盘或U盘</w:t>
      </w:r>
      <w:r>
        <w:rPr>
          <w:rFonts w:hint="eastAsia" w:hAnsi="宋体" w:cs="宋体"/>
          <w:sz w:val="24"/>
          <w:szCs w:val="24"/>
        </w:rPr>
        <w:t>中。备份磋商响应文件应当密封包装并在包装上加盖公章并注明投标</w:t>
      </w:r>
      <w:r>
        <w:rPr>
          <w:rFonts w:hint="eastAsia" w:hAnsi="宋体" w:cs="宋体"/>
          <w:sz w:val="24"/>
          <w:szCs w:val="24"/>
          <w:u w:val="single"/>
          <w:lang w:eastAsia="zh-CN"/>
        </w:rPr>
        <w:t>2024第四届桐庐生仙里铁人三项赛赛事运营服务采购项目</w:t>
      </w:r>
      <w:r>
        <w:rPr>
          <w:rFonts w:hint="eastAsia" w:hAnsi="宋体" w:cs="宋体"/>
          <w:sz w:val="24"/>
          <w:szCs w:val="24"/>
        </w:rPr>
        <w:t>，供应商名称(联合体投标的，包装物封面需注明联合体投标，并注明联合体成员各方的名称和联合协议中约定的牵头人的名称)。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存储、密封规定的备份磋商响应文件将被视为无效或者被拒绝接收。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15.3直接提交备份磋商响应文件的，供应商应于投标截止时间前在竞争性磋商公告中载明的开标地点将备份磋商响应文件提交给采购机构，采购机构将拒绝接受逾期送达的备份磋商响应文件。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15.4以邮政快递方式递交备份磋商响应文件的，供应商应先将备份磋商响应文件按要求密封和标记，再进行邮政快递包装后邮寄。备份磋商响应文件须在投标截止时间之前送达</w:t>
      </w:r>
      <w:r>
        <w:rPr>
          <w:rFonts w:hint="eastAsia" w:hAnsi="宋体" w:cs="宋体"/>
          <w:snapToGrid/>
          <w:sz w:val="24"/>
          <w:szCs w:val="24"/>
        </w:rPr>
        <w:t>竞争性磋商文件第二部分供应商须知前附表规定的备份磋商响应文件送达地点；</w:t>
      </w:r>
      <w:r>
        <w:rPr>
          <w:rFonts w:hint="eastAsia" w:hAnsi="宋体" w:cs="宋体"/>
          <w:sz w:val="24"/>
          <w:szCs w:val="24"/>
        </w:rPr>
        <w:t>送达时间以签收人签收时间为准。采购机构将拒绝接受逾期送达的备份磋商响应文件。邮寄过程中，电子备份磋商响应文件发生泄露、遗失、损坏或延期送达等情况的，由供应商自行负责。</w:t>
      </w:r>
    </w:p>
    <w:p>
      <w:pPr>
        <w:pStyle w:val="34"/>
        <w:spacing w:line="360" w:lineRule="auto"/>
        <w:ind w:firstLine="479" w:firstLineChars="199"/>
        <w:rPr>
          <w:rFonts w:hAnsi="宋体" w:cs="宋体"/>
          <w:b/>
          <w:sz w:val="24"/>
          <w:szCs w:val="24"/>
        </w:rPr>
      </w:pPr>
      <w:r>
        <w:rPr>
          <w:rFonts w:hint="eastAsia" w:hAnsi="宋体" w:cs="宋体"/>
          <w:b/>
          <w:sz w:val="24"/>
          <w:szCs w:val="24"/>
        </w:rPr>
        <w:t>15.5供应商仅提交备份磋商响应文件，没有在电子交易平台传输递交磋商响应文件的，投标无效。</w:t>
      </w:r>
    </w:p>
    <w:p>
      <w:pPr>
        <w:pStyle w:val="131"/>
        <w:spacing w:before="0"/>
        <w:ind w:firstLine="0" w:firstLineChars="0"/>
        <w:rPr>
          <w:rFonts w:ascii="宋体" w:hAnsi="宋体" w:cs="宋体"/>
          <w:b/>
          <w:szCs w:val="24"/>
        </w:rPr>
      </w:pPr>
      <w:r>
        <w:rPr>
          <w:rFonts w:hint="eastAsia" w:ascii="宋体" w:hAnsi="宋体" w:cs="宋体"/>
          <w:b/>
          <w:szCs w:val="24"/>
        </w:rPr>
        <w:t>16.磋商响应文件的无效处理</w:t>
      </w:r>
    </w:p>
    <w:p>
      <w:pPr>
        <w:pStyle w:val="18"/>
        <w:spacing w:line="360" w:lineRule="auto"/>
        <w:ind w:firstLine="360" w:firstLineChars="150"/>
        <w:rPr>
          <w:rFonts w:cs="宋体"/>
          <w:szCs w:val="21"/>
        </w:rPr>
      </w:pPr>
      <w:r>
        <w:rPr>
          <w:rFonts w:hint="eastAsia" w:cs="宋体"/>
          <w:szCs w:val="21"/>
        </w:rPr>
        <w:t>有竞争性磋商文件第四部分</w:t>
      </w:r>
      <w:r>
        <w:rPr>
          <w:rFonts w:hint="eastAsia" w:cs="宋体"/>
        </w:rPr>
        <w:t>4.2规定</w:t>
      </w:r>
      <w:r>
        <w:rPr>
          <w:rFonts w:hint="eastAsia" w:cs="宋体"/>
          <w:szCs w:val="21"/>
        </w:rPr>
        <w:t>的情形之一的，投标无效：</w:t>
      </w:r>
    </w:p>
    <w:p>
      <w:pPr>
        <w:pStyle w:val="131"/>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17.1投标有效期为从提交磋商响应文件的截止之日起90天。▲</w:t>
      </w:r>
      <w:r>
        <w:rPr>
          <w:rFonts w:hint="eastAsia" w:ascii="宋体" w:hAnsi="宋体" w:cs="宋体"/>
          <w:b/>
          <w:sz w:val="24"/>
          <w:szCs w:val="20"/>
        </w:rPr>
        <w:t>供应商的磋商响应文件中承</w:t>
      </w:r>
      <w:r>
        <w:rPr>
          <w:rFonts w:hint="eastAsia" w:ascii="宋体" w:hAnsi="宋体" w:cs="宋体"/>
          <w:b/>
          <w:sz w:val="24"/>
          <w:szCs w:val="21"/>
        </w:rPr>
        <w:t>诺的投标有效期少于竞争性磋商文件中载明的投标有效期的，投标无效。</w:t>
      </w:r>
    </w:p>
    <w:p>
      <w:pPr>
        <w:pStyle w:val="131"/>
        <w:spacing w:before="0"/>
        <w:ind w:firstLine="480"/>
        <w:rPr>
          <w:rFonts w:ascii="宋体" w:hAnsi="宋体" w:cs="宋体"/>
        </w:rPr>
      </w:pPr>
      <w:r>
        <w:rPr>
          <w:rFonts w:hint="eastAsia" w:ascii="宋体" w:hAnsi="宋体" w:cs="宋体"/>
        </w:rPr>
        <w:t>17.2磋商响应文件合格投递后，自投标截止日期起，在投标有效期内有效。</w:t>
      </w:r>
    </w:p>
    <w:p>
      <w:pPr>
        <w:pStyle w:val="131"/>
        <w:spacing w:before="0"/>
        <w:ind w:firstLine="480"/>
        <w:rPr>
          <w:rFonts w:ascii="宋体" w:hAnsi="宋体" w:cs="宋体"/>
        </w:rPr>
      </w:pPr>
      <w:r>
        <w:rPr>
          <w:rFonts w:hint="eastAsia" w:ascii="宋体" w:hAnsi="宋体" w:cs="宋体"/>
        </w:rPr>
        <w:t>17.3在原定投标有效期满之前，如果出现特殊情况，采购机构可以以书面形式通知供应商延长投标有效期。供应商同意延长的，不得要求或被允许修改其磋商响应文件，供应商拒绝延长的，其投标无效。</w:t>
      </w:r>
    </w:p>
    <w:p>
      <w:pPr>
        <w:pStyle w:val="131"/>
        <w:spacing w:before="0"/>
        <w:ind w:firstLine="643"/>
        <w:rPr>
          <w:rFonts w:ascii="宋体" w:hAnsi="宋体" w:cs="宋体"/>
          <w:b/>
          <w:sz w:val="32"/>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四、开标、资格审查与信用信息查询</w:t>
      </w:r>
    </w:p>
    <w:p>
      <w:pPr>
        <w:pStyle w:val="557"/>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p>
    <w:p>
      <w:pPr>
        <w:pStyle w:val="557"/>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18.1采购机构按照竞争性磋商文件规定的时间通过电子交易平台组织开标，所有供应商均应当准时在线参加。</w:t>
      </w:r>
      <w:r>
        <w:rPr>
          <w:rFonts w:hint="eastAsia" w:ascii="宋体" w:hAnsi="宋体" w:cs="宋体"/>
          <w:b/>
          <w:bCs/>
          <w:sz w:val="24"/>
        </w:rPr>
        <w:t>供应商不足3家的，不得开标。</w:t>
      </w:r>
    </w:p>
    <w:p>
      <w:pPr>
        <w:pStyle w:val="557"/>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18.2开标时，电子交易平台按开标时间自动提取所有磋商响应文件。采购机构依托电子交易平台发起开始解密指令，供应商按照平台提示和竞争性磋商文件的规定在半小时内完成在线解密。</w:t>
      </w:r>
    </w:p>
    <w:p>
      <w:pPr>
        <w:pStyle w:val="557"/>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磋商响应文件未按时解密，供应商提供了备份磋商响应文件的，以备份磋商响应文件作为依据，否则视为磋商响应文件撤回。磋商响应文件已按时解密的，备份磋商响应文件自动失效。</w:t>
      </w:r>
    </w:p>
    <w:p>
      <w:pPr>
        <w:widowControl/>
        <w:snapToGrid w:val="0"/>
        <w:spacing w:line="360" w:lineRule="auto"/>
        <w:jc w:val="left"/>
        <w:rPr>
          <w:rFonts w:ascii="宋体" w:hAnsi="宋体" w:cs="宋体"/>
          <w:b/>
          <w:sz w:val="24"/>
          <w:szCs w:val="20"/>
        </w:rPr>
      </w:pPr>
      <w:r>
        <w:rPr>
          <w:rFonts w:hint="eastAsia" w:ascii="宋体" w:hAnsi="宋体" w:cs="宋体"/>
          <w:b/>
          <w:sz w:val="24"/>
          <w:szCs w:val="20"/>
        </w:rPr>
        <w:t>　19、资格审查</w:t>
      </w:r>
    </w:p>
    <w:p>
      <w:pPr>
        <w:pStyle w:val="131"/>
        <w:snapToGrid w:val="0"/>
        <w:spacing w:before="0"/>
        <w:ind w:firstLine="480"/>
        <w:rPr>
          <w:rFonts w:ascii="宋体" w:hAnsi="宋体" w:cs="宋体"/>
          <w:kern w:val="0"/>
          <w:szCs w:val="24"/>
        </w:rPr>
      </w:pPr>
      <w:r>
        <w:rPr>
          <w:rFonts w:hint="eastAsia" w:ascii="宋体" w:hAnsi="宋体" w:cs="宋体"/>
          <w:kern w:val="0"/>
          <w:szCs w:val="24"/>
        </w:rPr>
        <w:t>19.1开标后，采购人或采购机构将依法对供应商的资格进行审查。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采购人或采购机构依据法律法规和竞争性磋商文件的规定，对供应商的基本资格条件、特定资格条件进行审查。</w:t>
      </w:r>
    </w:p>
    <w:p>
      <w:pPr>
        <w:pStyle w:val="131"/>
        <w:snapToGrid w:val="0"/>
        <w:spacing w:before="0"/>
        <w:ind w:firstLine="480"/>
        <w:rPr>
          <w:rFonts w:ascii="宋体" w:hAnsi="宋体" w:cs="宋体"/>
        </w:rPr>
      </w:pPr>
      <w:r>
        <w:rPr>
          <w:rFonts w:hint="eastAsia" w:ascii="宋体" w:hAnsi="宋体" w:cs="宋体"/>
          <w:kern w:val="0"/>
          <w:szCs w:val="24"/>
        </w:rPr>
        <w:t>19.3供应商未按照竞争性磋商文件要求提供与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w:t>
      </w:r>
      <w:r>
        <w:rPr>
          <w:rFonts w:hint="eastAsia" w:ascii="宋体" w:hAnsi="宋体" w:cs="宋体"/>
        </w:rPr>
        <w:t>供应商不具备竞争性磋商文件中规定的资格要求，其投标无效。</w:t>
      </w:r>
    </w:p>
    <w:p>
      <w:pPr>
        <w:pStyle w:val="131"/>
        <w:snapToGrid w:val="0"/>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4对未通过资格审查的供应商，采购人或采购机构告知其未通过的原因。</w:t>
      </w:r>
    </w:p>
    <w:p>
      <w:pPr>
        <w:pStyle w:val="131"/>
        <w:snapToGrid w:val="0"/>
        <w:spacing w:before="0"/>
        <w:ind w:firstLine="480"/>
        <w:rPr>
          <w:rFonts w:ascii="宋体" w:hAnsi="宋体" w:cs="宋体"/>
        </w:rPr>
      </w:pPr>
      <w:r>
        <w:rPr>
          <w:rFonts w:hint="eastAsia" w:ascii="宋体" w:hAnsi="宋体" w:cs="宋体"/>
          <w:kern w:val="0"/>
          <w:szCs w:val="24"/>
        </w:rPr>
        <w:t>19.</w:t>
      </w:r>
      <w:r>
        <w:rPr>
          <w:rFonts w:hint="eastAsia" w:ascii="宋体" w:hAnsi="宋体" w:cs="宋体"/>
        </w:rPr>
        <w:t>5</w:t>
      </w:r>
      <w:r>
        <w:rPr>
          <w:rFonts w:hint="eastAsia" w:ascii="宋体" w:hAnsi="宋体" w:cs="宋体"/>
          <w:b/>
          <w:bCs/>
        </w:rPr>
        <w:t>合格供应商不足3家的，不再评标。</w:t>
      </w:r>
    </w:p>
    <w:p>
      <w:pPr>
        <w:pStyle w:val="131"/>
        <w:snapToGrid w:val="0"/>
        <w:spacing w:before="0"/>
        <w:ind w:firstLine="0" w:firstLineChars="0"/>
        <w:rPr>
          <w:rFonts w:ascii="宋体" w:hAnsi="宋体" w:cs="宋体"/>
          <w:b/>
          <w:szCs w:val="24"/>
        </w:rPr>
      </w:pPr>
      <w:r>
        <w:rPr>
          <w:rFonts w:hint="eastAsia" w:ascii="宋体" w:hAnsi="宋体" w:cs="宋体"/>
          <w:b/>
          <w:szCs w:val="24"/>
        </w:rPr>
        <w:t>20、信用信息查询</w:t>
      </w:r>
    </w:p>
    <w:p>
      <w:pPr>
        <w:pStyle w:val="131"/>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20.1信用信息查询渠道及截止时间：采购机构将通过“信用中国”网站(www.creditchina.gov.cn)、中国政府采购网(www.ccgp.gov.cn)渠道查询供应商投标截止时间当天的信用记录。</w:t>
      </w:r>
    </w:p>
    <w:p>
      <w:pPr>
        <w:pStyle w:val="131"/>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20.2信用信息查询记录和证据留存的具体方式：现场查询的供应商的信用记录、查询结果经确认后将与采购文件一起存档。</w:t>
      </w:r>
    </w:p>
    <w:p>
      <w:pPr>
        <w:pStyle w:val="131"/>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20.3信用信息的使用规则：经查询列入失信被执行人名单、重大税收违法案件当事人名单、政府采购严重违法失信行为记录名单的供应商将被拒绝参与政府采购活动。</w:t>
      </w:r>
    </w:p>
    <w:p>
      <w:pPr>
        <w:pStyle w:val="131"/>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1"/>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2"/>
          <w:szCs w:val="32"/>
        </w:rPr>
      </w:pPr>
      <w:r>
        <w:rPr>
          <w:rFonts w:hint="eastAsia" w:ascii="宋体" w:hAnsi="宋体" w:cs="宋体"/>
          <w:b/>
          <w:sz w:val="32"/>
          <w:szCs w:val="32"/>
        </w:rPr>
        <w:t>五、评标</w:t>
      </w:r>
    </w:p>
    <w:p>
      <w:pPr>
        <w:pStyle w:val="131"/>
        <w:snapToGrid w:val="0"/>
        <w:spacing w:before="0"/>
        <w:ind w:firstLine="482"/>
        <w:rPr>
          <w:rFonts w:ascii="宋体" w:hAnsi="宋体" w:cs="宋体"/>
          <w:kern w:val="0"/>
          <w:szCs w:val="24"/>
        </w:rPr>
      </w:pPr>
      <w:bookmarkStart w:id="12" w:name="_Toc91899903"/>
      <w:r>
        <w:rPr>
          <w:rFonts w:hint="eastAsia" w:ascii="宋体" w:hAnsi="宋体" w:cs="宋体"/>
          <w:b/>
        </w:rPr>
        <w:t>21.</w:t>
      </w:r>
      <w:r>
        <w:rPr>
          <w:rFonts w:hint="eastAsia" w:ascii="宋体" w:hAnsi="宋体" w:cs="宋体"/>
        </w:rPr>
        <w:t>竞争性磋商小组将根据磋商文件和有关规定，履行评标工作职责，并按照评标方法及评分标准，全面衡量各投标供应商对招标文件的响应情况。对实质上响应磋商文件的投标供应商，按照评审因素的量化指标排出推荐中标的投标人的先后顺序，并按顺序提出授标建议。</w:t>
      </w:r>
      <w:r>
        <w:rPr>
          <w:rFonts w:hint="eastAsia" w:ascii="宋体" w:hAnsi="宋体" w:cs="宋体"/>
          <w:b/>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2"/>
          <w:szCs w:val="32"/>
        </w:rPr>
      </w:pPr>
      <w:r>
        <w:rPr>
          <w:rFonts w:hint="eastAsia" w:ascii="宋体" w:hAnsi="宋体" w:cs="宋体"/>
          <w:b/>
          <w:sz w:val="32"/>
          <w:szCs w:val="32"/>
        </w:rPr>
        <w:t>六、定标</w:t>
      </w:r>
    </w:p>
    <w:p>
      <w:pPr>
        <w:pStyle w:val="18"/>
        <w:spacing w:line="360" w:lineRule="auto"/>
        <w:ind w:left="479" w:hanging="479" w:hangingChars="199"/>
        <w:rPr>
          <w:rFonts w:cs="宋体"/>
          <w:b/>
        </w:rPr>
      </w:pPr>
      <w:r>
        <w:rPr>
          <w:rFonts w:hint="eastAsia" w:cs="宋体"/>
          <w:b/>
        </w:rPr>
        <w:t>22. 确定中标供应商</w:t>
      </w:r>
    </w:p>
    <w:p>
      <w:pPr>
        <w:pStyle w:val="131"/>
        <w:snapToGrid w:val="0"/>
        <w:spacing w:before="0"/>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pPr>
        <w:pStyle w:val="131"/>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数量、单价、服务要求，开标记录、未中标情况说明、中标公告期限以及评审专家名单、评分汇总及明细。</w:t>
      </w:r>
    </w:p>
    <w:p>
      <w:pPr>
        <w:widowControl/>
        <w:spacing w:line="360" w:lineRule="auto"/>
        <w:ind w:firstLine="480"/>
        <w:jc w:val="left"/>
        <w:rPr>
          <w:rFonts w:ascii="宋体" w:hAnsi="宋体" w:cs="宋体"/>
          <w:sz w:val="24"/>
        </w:rPr>
      </w:pPr>
      <w:r>
        <w:rPr>
          <w:rFonts w:hint="eastAsia" w:ascii="宋体" w:hAnsi="宋体" w:cs="宋体"/>
          <w:sz w:val="24"/>
        </w:rPr>
        <w:t>23.1公告期限为1个工作日。</w:t>
      </w:r>
    </w:p>
    <w:p>
      <w:pPr>
        <w:snapToGrid w:val="0"/>
        <w:spacing w:line="360" w:lineRule="auto"/>
        <w:ind w:left="120" w:leftChars="57" w:firstLine="482" w:firstLineChars="150"/>
        <w:jc w:val="center"/>
        <w:rPr>
          <w:rFonts w:ascii="宋体" w:hAnsi="宋体" w:cs="宋体"/>
          <w:b/>
          <w:sz w:val="32"/>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七、合同授予</w:t>
      </w:r>
    </w:p>
    <w:p>
      <w:pPr>
        <w:pStyle w:val="18"/>
        <w:spacing w:line="360" w:lineRule="auto"/>
        <w:ind w:left="479" w:hanging="479" w:hangingChars="199"/>
        <w:rPr>
          <w:rFonts w:cs="宋体"/>
          <w:b/>
        </w:rPr>
      </w:pPr>
      <w:r>
        <w:rPr>
          <w:rFonts w:hint="eastAsia" w:cs="宋体"/>
          <w:b/>
        </w:rPr>
        <w:t xml:space="preserve">24. </w:t>
      </w:r>
      <w:r>
        <w:rPr>
          <w:rFonts w:hint="eastAsia" w:cs="宋体"/>
        </w:rPr>
        <w:t>合同主要条款样式详见第五部分拟签订的合同文本。（具体合同文本以实际签署的为准）</w:t>
      </w:r>
    </w:p>
    <w:p>
      <w:pPr>
        <w:pStyle w:val="18"/>
        <w:spacing w:line="360" w:lineRule="auto"/>
        <w:ind w:left="479" w:hanging="479" w:hangingChars="199"/>
        <w:rPr>
          <w:rFonts w:cs="宋体"/>
          <w:b/>
        </w:rPr>
      </w:pPr>
      <w:r>
        <w:rPr>
          <w:rFonts w:hint="eastAsia" w:cs="宋体"/>
          <w:b/>
        </w:rPr>
        <w:t>25. 合同的签订</w:t>
      </w:r>
    </w:p>
    <w:p>
      <w:pPr>
        <w:widowControl/>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采购人与中标人应当通过电子交易平台在中标通知书发出之日起三十日内，按照竞争性磋商文件确定的事项签订政府采购合同，并在合同签订之日起2个工作日内依法发布合同公告。</w:t>
      </w:r>
    </w:p>
    <w:p>
      <w:pPr>
        <w:pStyle w:val="131"/>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1"/>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宋体" w:hAnsi="宋体" w:cs="宋体"/>
        </w:rPr>
      </w:pPr>
      <w:r>
        <w:rPr>
          <w:rFonts w:hint="eastAsia" w:ascii="宋体" w:hAnsi="宋体" w:cs="宋体"/>
        </w:rPr>
        <w:t>25.5采购合同由采购人与中标供应商根据竞争性磋商文件、磋商响应文件等内容通过政府采购电子交易平台在线签订，自动备案。</w:t>
      </w:r>
    </w:p>
    <w:p>
      <w:pPr>
        <w:pStyle w:val="18"/>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Theme="minorEastAsia" w:hAnsiTheme="minorEastAsia" w:eastAsiaTheme="minorEastAsia"/>
          <w:b/>
          <w:sz w:val="24"/>
        </w:rPr>
      </w:pPr>
      <w:r>
        <w:rPr>
          <w:rFonts w:hint="eastAsia" w:cs="Helvetica" w:asciiTheme="minorEastAsia" w:hAnsiTheme="minorEastAsia" w:eastAsiaTheme="minorEastAsia"/>
          <w:color w:val="000000" w:themeColor="text1"/>
          <w:kern w:val="0"/>
          <w:sz w:val="24"/>
          <w14:textFill>
            <w14:solidFill>
              <w14:schemeClr w14:val="tx1"/>
            </w14:solidFill>
          </w14:textFill>
        </w:rPr>
        <w:t xml:space="preserve"> 拟签订的合同文本要求中标供应商提交履约保证金的</w:t>
      </w:r>
      <w:r>
        <w:rPr>
          <w:rFonts w:hint="eastAsia" w:asciiTheme="minorEastAsia" w:hAnsiTheme="minorEastAsia" w:eastAsiaTheme="minorEastAsia"/>
          <w:color w:val="000000" w:themeColor="text1"/>
          <w:sz w:val="24"/>
          <w14:textFill>
            <w14:solidFill>
              <w14:schemeClr w14:val="tx1"/>
            </w14:solidFill>
          </w14:textFill>
        </w:rPr>
        <w:t>。本项目履约保证金的数额为合同金额的</w:t>
      </w:r>
      <w:r>
        <w:rPr>
          <w:rFonts w:hint="eastAsia" w:asciiTheme="minorEastAsia" w:hAnsiTheme="minorEastAsia" w:eastAsiaTheme="minorEastAsia"/>
          <w:color w:val="000000" w:themeColor="text1"/>
          <w:sz w:val="24"/>
          <w:lang w:val="en-US" w:eastAsia="zh-CN"/>
          <w14:textFill>
            <w14:solidFill>
              <w14:schemeClr w14:val="tx1"/>
            </w14:solidFill>
          </w14:textFill>
        </w:rPr>
        <w:t>0.</w:t>
      </w:r>
      <w:r>
        <w:rPr>
          <w:rFonts w:hint="eastAsia" w:asciiTheme="minorEastAsia" w:hAnsiTheme="minorEastAsia" w:eastAsiaTheme="minorEastAsia"/>
          <w:color w:val="000000" w:themeColor="text1"/>
          <w:sz w:val="24"/>
          <w14:textFill>
            <w14:solidFill>
              <w14:schemeClr w14:val="tx1"/>
            </w14:solidFill>
          </w14:textFill>
        </w:rPr>
        <w:t>1</w:t>
      </w: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鼓励和支持供应商以银行、保险公司出具的保函形式提供履约保证金。</w:t>
      </w:r>
      <w:r>
        <w:rPr>
          <w:rFonts w:hint="eastAsia" w:asciiTheme="minorEastAsia" w:hAnsiTheme="minorEastAsia" w:eastAsiaTheme="minorEastAsia"/>
          <w:b/>
          <w:sz w:val="24"/>
        </w:rPr>
        <w:t>采购人不得拒收履约保函。</w:t>
      </w: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八、电子交易活动的中止</w:t>
      </w:r>
    </w:p>
    <w:p>
      <w:pPr>
        <w:pStyle w:val="131"/>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31"/>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31"/>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31"/>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31"/>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31"/>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九、验收</w:t>
      </w:r>
    </w:p>
    <w:p>
      <w:pPr>
        <w:pStyle w:val="18"/>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kern w:val="0"/>
          <w:sz w:val="24"/>
        </w:rPr>
        <w:sectPr>
          <w:footerReference r:id="rId6" w:type="first"/>
          <w:footerReference r:id="rId5" w:type="default"/>
          <w:pgSz w:w="11906" w:h="16838"/>
          <w:pgMar w:top="680" w:right="1418" w:bottom="468" w:left="1418" w:header="851" w:footer="992" w:gutter="0"/>
          <w:cols w:space="720" w:num="1"/>
          <w:docGrid w:linePitch="312" w:charSpace="0"/>
        </w:sectPr>
      </w:pPr>
      <w:bookmarkStart w:id="13" w:name="_Hlt68073093"/>
      <w:bookmarkEnd w:id="13"/>
      <w:bookmarkStart w:id="14" w:name="_Hlt68057669"/>
      <w:bookmarkEnd w:id="14"/>
      <w:bookmarkStart w:id="15" w:name="_Hlt74730295"/>
      <w:bookmarkEnd w:id="15"/>
      <w:bookmarkStart w:id="16" w:name="_Hlt74714665"/>
      <w:bookmarkEnd w:id="16"/>
      <w:bookmarkStart w:id="17" w:name="_Hlt74707468"/>
      <w:bookmarkEnd w:id="17"/>
      <w:bookmarkStart w:id="18" w:name="_Hlt68403820"/>
      <w:bookmarkEnd w:id="18"/>
      <w:bookmarkStart w:id="19" w:name="_Hlt74729768"/>
      <w:bookmarkEnd w:id="19"/>
      <w:bookmarkStart w:id="20" w:name="_Hlt75236290"/>
      <w:bookmarkEnd w:id="20"/>
      <w:bookmarkStart w:id="21" w:name="_Hlt75236011"/>
      <w:bookmarkEnd w:id="21"/>
      <w:bookmarkStart w:id="22" w:name="_Hlt68072998"/>
      <w:bookmarkEnd w:id="22"/>
      <w:bookmarkStart w:id="23" w:name="_Hlt75236101"/>
      <w:bookmarkEnd w:id="23"/>
      <w:bookmarkStart w:id="24" w:name="_Hlt68072990"/>
      <w:bookmarkEnd w:id="24"/>
    </w:p>
    <w:bookmarkEnd w:id="10"/>
    <w:bookmarkEnd w:id="11"/>
    <w:p>
      <w:pPr>
        <w:adjustRightInd/>
        <w:spacing w:line="360" w:lineRule="auto"/>
        <w:jc w:val="center"/>
        <w:outlineLvl w:val="0"/>
        <w:rPr>
          <w:rFonts w:ascii="宋体" w:hAnsi="宋体" w:cs="宋体"/>
          <w:b/>
          <w:sz w:val="36"/>
          <w:szCs w:val="20"/>
        </w:rPr>
      </w:pPr>
      <w:bookmarkStart w:id="25" w:name="第四部分"/>
      <w:r>
        <w:rPr>
          <w:rFonts w:hint="eastAsia" w:ascii="宋体" w:hAnsi="宋体" w:cs="宋体"/>
          <w:b/>
          <w:sz w:val="36"/>
          <w:szCs w:val="20"/>
        </w:rPr>
        <w:t>第三部分 采购需求</w:t>
      </w:r>
    </w:p>
    <w:p>
      <w:pPr>
        <w:pStyle w:val="515"/>
        <w:spacing w:line="500" w:lineRule="exact"/>
        <w:jc w:val="left"/>
        <w:rPr>
          <w:rFonts w:hint="eastAsia" w:ascii="宋体" w:hAnsi="宋体" w:eastAsia="宋体" w:cs="宋体"/>
          <w:b/>
          <w:sz w:val="28"/>
          <w:szCs w:val="28"/>
          <w:lang w:val="zh-CN"/>
        </w:rPr>
      </w:pPr>
      <w:bookmarkStart w:id="26" w:name="_Toc30029"/>
      <w:bookmarkStart w:id="27" w:name="_Toc7616"/>
      <w:bookmarkStart w:id="28" w:name="_Toc11856"/>
      <w:r>
        <w:rPr>
          <w:rFonts w:hint="eastAsia" w:ascii="宋体" w:hAnsi="宋体" w:eastAsia="宋体" w:cs="宋体"/>
          <w:b/>
          <w:sz w:val="28"/>
          <w:szCs w:val="28"/>
          <w:lang w:val="en-US" w:eastAsia="zh-CN"/>
        </w:rPr>
        <w:t>一、</w:t>
      </w:r>
      <w:r>
        <w:rPr>
          <w:rFonts w:hint="eastAsia" w:ascii="宋体" w:hAnsi="宋体" w:eastAsia="宋体" w:cs="宋体"/>
          <w:b/>
          <w:sz w:val="28"/>
          <w:szCs w:val="28"/>
          <w:lang w:val="zh-CN"/>
        </w:rPr>
        <w:t>项目背景：</w:t>
      </w:r>
    </w:p>
    <w:p>
      <w:pPr>
        <w:pStyle w:val="515"/>
        <w:spacing w:line="500" w:lineRule="exact"/>
        <w:ind w:firstLine="560"/>
        <w:jc w:val="left"/>
        <w:rPr>
          <w:rFonts w:hint="eastAsia" w:ascii="宋体" w:hAnsi="宋体" w:eastAsia="宋体" w:cs="宋体"/>
          <w:bCs/>
          <w:color w:val="FF0000"/>
          <w:sz w:val="24"/>
          <w:szCs w:val="24"/>
          <w:lang w:val="zh-CN"/>
        </w:rPr>
      </w:pPr>
      <w:r>
        <w:rPr>
          <w:rFonts w:hint="eastAsia" w:ascii="宋体" w:hAnsi="宋体" w:eastAsia="宋体" w:cs="宋体"/>
          <w:bCs/>
          <w:color w:val="FF0000"/>
          <w:sz w:val="24"/>
          <w:szCs w:val="24"/>
          <w:lang w:val="zh-CN"/>
        </w:rPr>
        <w:t>本次</w:t>
      </w:r>
      <w:r>
        <w:rPr>
          <w:rFonts w:hint="eastAsia" w:ascii="宋体" w:hAnsi="宋体" w:cs="宋体"/>
          <w:bCs/>
          <w:color w:val="FF0000"/>
          <w:sz w:val="24"/>
          <w:szCs w:val="24"/>
          <w:lang w:val="en-US" w:eastAsia="zh-CN"/>
        </w:rPr>
        <w:t>赛事</w:t>
      </w:r>
      <w:r>
        <w:rPr>
          <w:rFonts w:hint="eastAsia" w:ascii="宋体" w:hAnsi="宋体" w:eastAsia="宋体" w:cs="宋体"/>
          <w:bCs/>
          <w:color w:val="FF0000"/>
          <w:sz w:val="24"/>
          <w:szCs w:val="24"/>
          <w:lang w:val="zh-CN"/>
        </w:rPr>
        <w:t>将以“铁人三项”运动为核心，</w:t>
      </w:r>
      <w:r>
        <w:rPr>
          <w:rFonts w:hint="eastAsia" w:ascii="宋体" w:hAnsi="宋体" w:cs="宋体"/>
          <w:bCs/>
          <w:color w:val="FF0000"/>
          <w:sz w:val="24"/>
          <w:szCs w:val="24"/>
          <w:lang w:val="en-US" w:eastAsia="zh-CN"/>
        </w:rPr>
        <w:t>打造合村生仙里运动之乡为目标</w:t>
      </w:r>
      <w:r>
        <w:rPr>
          <w:rFonts w:hint="eastAsia" w:ascii="宋体" w:hAnsi="宋体" w:eastAsia="宋体" w:cs="宋体"/>
          <w:bCs/>
          <w:color w:val="FF0000"/>
          <w:sz w:val="24"/>
          <w:szCs w:val="24"/>
          <w:lang w:val="zh-CN"/>
        </w:rPr>
        <w:t>。</w:t>
      </w:r>
    </w:p>
    <w:p>
      <w:pPr>
        <w:pStyle w:val="515"/>
        <w:spacing w:line="500" w:lineRule="exact"/>
        <w:ind w:firstLine="560"/>
        <w:jc w:val="left"/>
        <w:rPr>
          <w:rFonts w:hint="default" w:ascii="宋体" w:hAnsi="宋体" w:eastAsia="宋体" w:cs="宋体"/>
          <w:bCs/>
          <w:color w:val="FF0000"/>
          <w:sz w:val="24"/>
          <w:szCs w:val="24"/>
          <w:lang w:val="en-US" w:eastAsia="zh-CN"/>
        </w:rPr>
      </w:pPr>
      <w:r>
        <w:rPr>
          <w:rFonts w:hint="eastAsia" w:ascii="宋体" w:hAnsi="宋体" w:eastAsia="宋体" w:cs="宋体"/>
          <w:bCs/>
          <w:sz w:val="24"/>
          <w:szCs w:val="24"/>
          <w:lang w:val="zh-CN"/>
        </w:rPr>
        <w:t>通过</w:t>
      </w:r>
      <w:r>
        <w:rPr>
          <w:rFonts w:hint="eastAsia" w:ascii="宋体" w:hAnsi="宋体" w:cs="宋体"/>
          <w:bCs/>
          <w:color w:val="auto"/>
          <w:sz w:val="24"/>
          <w:szCs w:val="24"/>
          <w:lang w:val="en-US" w:eastAsia="zh-CN"/>
        </w:rPr>
        <w:t>赛事</w:t>
      </w:r>
      <w:r>
        <w:rPr>
          <w:rFonts w:hint="eastAsia" w:ascii="宋体" w:hAnsi="宋体" w:eastAsia="宋体" w:cs="宋体"/>
          <w:bCs/>
          <w:sz w:val="24"/>
          <w:szCs w:val="24"/>
          <w:lang w:val="zh-CN"/>
        </w:rPr>
        <w:t>举办，不仅能够带动当地乡村经济的发展，还可以进一步提高乡村居民的健康意识和环保意识，推广绿色生活方式。在赛事的过程中，充分发挥</w:t>
      </w:r>
      <w:r>
        <w:rPr>
          <w:rFonts w:hint="eastAsia" w:ascii="宋体" w:hAnsi="宋体" w:cs="宋体"/>
          <w:bCs/>
          <w:sz w:val="24"/>
          <w:szCs w:val="24"/>
          <w:lang w:val="en-US" w:eastAsia="zh-CN"/>
        </w:rPr>
        <w:t>项目</w:t>
      </w:r>
      <w:r>
        <w:rPr>
          <w:rFonts w:hint="eastAsia" w:ascii="宋体" w:hAnsi="宋体" w:eastAsia="宋体" w:cs="宋体"/>
          <w:bCs/>
          <w:sz w:val="24"/>
          <w:szCs w:val="24"/>
          <w:lang w:val="zh-CN"/>
        </w:rPr>
        <w:t>的影响力和链接各方资源的能力，促进不同产业的交流合作，实现乡村振兴的目标，让合村成为乡村体育产业发展的样板。</w:t>
      </w:r>
      <w:r>
        <w:rPr>
          <w:rFonts w:hint="eastAsia" w:ascii="宋体" w:hAnsi="宋体" w:cs="宋体"/>
          <w:bCs/>
          <w:color w:val="FF0000"/>
          <w:sz w:val="24"/>
          <w:szCs w:val="24"/>
          <w:lang w:val="en-US" w:eastAsia="zh-CN"/>
        </w:rPr>
        <w:t>为下一年申请中国铁人三项运动协会注册认证B级比赛打下基础。</w:t>
      </w:r>
    </w:p>
    <w:p>
      <w:pPr>
        <w:pStyle w:val="515"/>
        <w:numPr>
          <w:ilvl w:val="0"/>
          <w:numId w:val="5"/>
        </w:numPr>
        <w:spacing w:line="500" w:lineRule="exact"/>
        <w:jc w:val="left"/>
        <w:rPr>
          <w:rFonts w:hint="eastAsia" w:ascii="宋体" w:hAnsi="宋体" w:eastAsia="宋体" w:cs="宋体"/>
          <w:b/>
          <w:sz w:val="28"/>
          <w:szCs w:val="28"/>
          <w:lang w:val="zh-CN" w:eastAsia="zh-CN"/>
        </w:rPr>
      </w:pPr>
      <w:r>
        <w:rPr>
          <w:rFonts w:hint="eastAsia" w:ascii="宋体" w:hAnsi="宋体" w:eastAsia="宋体" w:cs="宋体"/>
          <w:b/>
          <w:sz w:val="28"/>
          <w:szCs w:val="28"/>
          <w:lang w:val="zh-CN" w:eastAsia="zh-CN"/>
        </w:rPr>
        <w:t>采购清单：</w:t>
      </w:r>
    </w:p>
    <w:tbl>
      <w:tblPr>
        <w:tblStyle w:val="63"/>
        <w:tblW w:w="85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6"/>
        <w:gridCol w:w="1511"/>
        <w:gridCol w:w="4149"/>
        <w:gridCol w:w="630"/>
        <w:gridCol w:w="69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31"/>
                <w:rFonts w:hint="eastAsia" w:asciiTheme="majorEastAsia" w:hAnsiTheme="majorEastAsia" w:eastAsiaTheme="majorEastAsia" w:cstheme="majorEastAsia"/>
                <w:sz w:val="22"/>
                <w:szCs w:val="22"/>
                <w:lang w:val="en-US" w:eastAsia="zh-CN" w:bidi="ar"/>
              </w:rPr>
              <w:t>序号</w:t>
            </w:r>
          </w:p>
        </w:tc>
        <w:tc>
          <w:tcPr>
            <w:tcW w:w="1511" w:type="dxa"/>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31"/>
                <w:rFonts w:hint="eastAsia" w:asciiTheme="majorEastAsia" w:hAnsiTheme="majorEastAsia" w:eastAsiaTheme="majorEastAsia" w:cstheme="majorEastAsia"/>
                <w:sz w:val="22"/>
                <w:szCs w:val="22"/>
                <w:lang w:val="en-US" w:eastAsia="zh-CN" w:bidi="ar"/>
              </w:rPr>
              <w:t>项目内容</w:t>
            </w:r>
          </w:p>
        </w:tc>
        <w:tc>
          <w:tcPr>
            <w:tcW w:w="4149" w:type="dxa"/>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rPr>
            </w:pPr>
            <w:r>
              <w:rPr>
                <w:rStyle w:val="331"/>
                <w:rFonts w:hint="eastAsia" w:asciiTheme="majorEastAsia" w:hAnsiTheme="majorEastAsia" w:eastAsiaTheme="majorEastAsia" w:cstheme="majorEastAsia"/>
                <w:sz w:val="22"/>
                <w:szCs w:val="22"/>
                <w:lang w:val="en-US" w:eastAsia="zh-CN" w:bidi="ar"/>
              </w:rPr>
              <w:t>规格参数</w:t>
            </w:r>
          </w:p>
        </w:tc>
        <w:tc>
          <w:tcPr>
            <w:tcW w:w="630" w:type="dxa"/>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31"/>
                <w:rFonts w:hint="eastAsia" w:asciiTheme="majorEastAsia" w:hAnsiTheme="majorEastAsia" w:eastAsiaTheme="majorEastAsia" w:cstheme="majorEastAsia"/>
                <w:sz w:val="22"/>
                <w:szCs w:val="22"/>
                <w:lang w:val="en-US" w:eastAsia="zh-CN" w:bidi="ar"/>
              </w:rPr>
              <w:t>数量</w:t>
            </w:r>
          </w:p>
        </w:tc>
        <w:tc>
          <w:tcPr>
            <w:tcW w:w="690" w:type="dxa"/>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31"/>
                <w:rFonts w:hint="eastAsia" w:asciiTheme="majorEastAsia" w:hAnsiTheme="majorEastAsia" w:eastAsiaTheme="majorEastAsia" w:cstheme="majorEastAsia"/>
                <w:sz w:val="22"/>
                <w:szCs w:val="22"/>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jc w:val="center"/>
              <w:textAlignment w:val="center"/>
              <w:rPr>
                <w:rStyle w:val="331"/>
                <w:rFonts w:hint="default" w:asciiTheme="majorEastAsia" w:hAnsiTheme="majorEastAsia" w:eastAsiaTheme="majorEastAsia" w:cstheme="majorEastAsia"/>
                <w:sz w:val="22"/>
                <w:szCs w:val="22"/>
                <w:lang w:val="en-US" w:eastAsia="zh-CN" w:bidi="ar"/>
              </w:rPr>
            </w:pPr>
            <w:r>
              <w:rPr>
                <w:rStyle w:val="331"/>
                <w:rFonts w:hint="eastAsia" w:asciiTheme="majorEastAsia" w:hAnsiTheme="majorEastAsia" w:eastAsiaTheme="majorEastAsia" w:cstheme="majorEastAsia"/>
                <w:sz w:val="22"/>
                <w:szCs w:val="2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jc w:val="center"/>
        </w:trPr>
        <w:tc>
          <w:tcPr>
            <w:tcW w:w="85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6"/>
                <w:rFonts w:hint="default" w:asciiTheme="majorEastAsia" w:hAnsiTheme="majorEastAsia" w:eastAsiaTheme="majorEastAsia" w:cstheme="majorEastAsia"/>
                <w:sz w:val="22"/>
                <w:szCs w:val="22"/>
                <w:lang w:val="en-US" w:eastAsia="zh-CN" w:bidi="ar"/>
              </w:rPr>
            </w:pPr>
            <w:r>
              <w:rPr>
                <w:rStyle w:val="146"/>
                <w:rFonts w:hint="eastAsia" w:asciiTheme="majorEastAsia" w:hAnsiTheme="majorEastAsia" w:eastAsiaTheme="majorEastAsia" w:cstheme="majorEastAsia"/>
                <w:sz w:val="22"/>
                <w:szCs w:val="22"/>
                <w:lang w:val="en-US" w:eastAsia="zh-CN" w:bidi="ar"/>
              </w:rPr>
              <w:t>赛事运营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6"/>
                <w:rFonts w:hint="eastAsia" w:asciiTheme="majorEastAsia" w:hAnsiTheme="majorEastAsia" w:eastAsiaTheme="majorEastAsia" w:cstheme="majorEastAsia"/>
                <w:sz w:val="22"/>
                <w:szCs w:val="22"/>
                <w:lang w:val="en-US" w:eastAsia="zh-CN" w:bidi="ar"/>
              </w:rPr>
            </w:pPr>
            <w:r>
              <w:rPr>
                <w:rStyle w:val="146"/>
                <w:rFonts w:hint="eastAsia" w:asciiTheme="majorEastAsia" w:hAnsiTheme="majorEastAsia" w:eastAsiaTheme="majorEastAsia" w:cstheme="majorEastAsia"/>
                <w:sz w:val="22"/>
                <w:szCs w:val="22"/>
                <w:lang w:val="en-US" w:eastAsia="zh-CN" w:bidi="ar"/>
              </w:rPr>
              <w:t>计时+成绩查询+证书</w:t>
            </w:r>
          </w:p>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下载等</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奥运会级别计时芯片 (全球最高精条度芯片)  ；芯片计时主机；</w:t>
            </w:r>
            <w:bookmarkStart w:id="146" w:name="_GoBack"/>
            <w:bookmarkEnd w:id="146"/>
            <w:r>
              <w:rPr>
                <w:rStyle w:val="146"/>
                <w:rFonts w:hint="eastAsia" w:asciiTheme="majorEastAsia" w:hAnsiTheme="majorEastAsia" w:eastAsiaTheme="majorEastAsia" w:cstheme="majorEastAsia"/>
                <w:sz w:val="22"/>
                <w:szCs w:val="22"/>
                <w:lang w:val="en-US" w:eastAsia="zh-CN" w:bidi="ar"/>
              </w:rPr>
              <w:t>显示条；  多点计时、成绩查询及证书下载等</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6"/>
                <w:rFonts w:hint="eastAsia" w:asciiTheme="majorEastAsia" w:hAnsiTheme="majorEastAsia" w:eastAsiaTheme="majorEastAsia" w:cstheme="majorEastAsia"/>
                <w:sz w:val="22"/>
                <w:szCs w:val="2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2</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专用车架租赁</w:t>
            </w:r>
          </w:p>
        </w:tc>
        <w:tc>
          <w:tcPr>
            <w:tcW w:w="414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含运费、拆装等</w:t>
            </w:r>
          </w:p>
        </w:tc>
        <w:tc>
          <w:tcPr>
            <w:tcW w:w="6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70</w:t>
            </w:r>
          </w:p>
        </w:tc>
        <w:tc>
          <w:tcPr>
            <w:tcW w:w="6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套</w:t>
            </w:r>
          </w:p>
        </w:tc>
        <w:tc>
          <w:tcPr>
            <w:tcW w:w="6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Style w:val="146"/>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3</w:t>
            </w:r>
          </w:p>
        </w:tc>
        <w:tc>
          <w:tcPr>
            <w:tcW w:w="151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完赛服</w:t>
            </w:r>
          </w:p>
        </w:tc>
        <w:tc>
          <w:tcPr>
            <w:tcW w:w="4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设计定制 (数量预留10%)</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8"/>
                <w:szCs w:val="28"/>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550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件</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eastAsia="宋体"/>
                <w:lang w:val="en-US" w:eastAsia="zh-CN"/>
              </w:rPr>
            </w:pPr>
            <w:r>
              <w:rPr>
                <w:rFonts w:hint="eastAsia"/>
                <w:lang w:val="en-US" w:eastAsia="zh-CN"/>
              </w:rPr>
              <w:t>4</w:t>
            </w:r>
          </w:p>
        </w:tc>
        <w:tc>
          <w:tcPr>
            <w:tcW w:w="151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浴巾</w:t>
            </w:r>
          </w:p>
        </w:tc>
        <w:tc>
          <w:tcPr>
            <w:tcW w:w="4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设计定制 (数量预留10%)</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inorEastAsia" w:hAnsiTheme="minorEastAsia" w:eastAsiaTheme="minorEastAsia" w:cstheme="minorEastAsia"/>
                <w:sz w:val="28"/>
                <w:szCs w:val="28"/>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550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条</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5</w:t>
            </w:r>
          </w:p>
        </w:tc>
        <w:tc>
          <w:tcPr>
            <w:tcW w:w="151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奖牌</w:t>
            </w:r>
          </w:p>
        </w:tc>
        <w:tc>
          <w:tcPr>
            <w:tcW w:w="4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设计定制 (数量预留10%)</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inorEastAsia" w:hAnsiTheme="minorEastAsia" w:eastAsiaTheme="minorEastAsia" w:cstheme="minorEastAsia"/>
                <w:sz w:val="28"/>
                <w:szCs w:val="28"/>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550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块</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6</w:t>
            </w:r>
          </w:p>
        </w:tc>
        <w:tc>
          <w:tcPr>
            <w:tcW w:w="151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双肩包</w:t>
            </w:r>
          </w:p>
        </w:tc>
        <w:tc>
          <w:tcPr>
            <w:tcW w:w="4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设计定制 (数量预留10%)</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inorEastAsia" w:hAnsiTheme="minorEastAsia" w:eastAsiaTheme="minorEastAsia" w:cstheme="minorEastAsia"/>
                <w:sz w:val="28"/>
                <w:szCs w:val="28"/>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550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只</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7</w:t>
            </w:r>
          </w:p>
        </w:tc>
        <w:tc>
          <w:tcPr>
            <w:tcW w:w="151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救生浮球</w:t>
            </w:r>
          </w:p>
        </w:tc>
        <w:tc>
          <w:tcPr>
            <w:tcW w:w="4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设计定制 (数量预留10%)</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inorEastAsia" w:hAnsiTheme="minorEastAsia" w:eastAsiaTheme="minorEastAsia" w:cstheme="minorEastAsia"/>
                <w:sz w:val="28"/>
                <w:szCs w:val="28"/>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550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只</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8</w:t>
            </w:r>
          </w:p>
        </w:tc>
        <w:tc>
          <w:tcPr>
            <w:tcW w:w="151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号码带</w:t>
            </w:r>
          </w:p>
        </w:tc>
        <w:tc>
          <w:tcPr>
            <w:tcW w:w="4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设计定制 (数量预留10%)</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inorEastAsia" w:hAnsiTheme="minorEastAsia" w:eastAsiaTheme="minorEastAsia" w:cstheme="minorEastAsia"/>
                <w:sz w:val="28"/>
                <w:szCs w:val="28"/>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550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条</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9</w:t>
            </w:r>
          </w:p>
        </w:tc>
        <w:tc>
          <w:tcPr>
            <w:tcW w:w="151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泳帽</w:t>
            </w:r>
          </w:p>
        </w:tc>
        <w:tc>
          <w:tcPr>
            <w:tcW w:w="4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设计定制 (数量预留10%)</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inorEastAsia" w:hAnsiTheme="minorEastAsia" w:eastAsiaTheme="minorEastAsia" w:cstheme="minorEastAsia"/>
                <w:sz w:val="28"/>
                <w:szCs w:val="28"/>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550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顶</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88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10</w:t>
            </w:r>
          </w:p>
        </w:tc>
        <w:tc>
          <w:tcPr>
            <w:tcW w:w="151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换项袋</w:t>
            </w:r>
          </w:p>
        </w:tc>
        <w:tc>
          <w:tcPr>
            <w:tcW w:w="4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每套3只，设计定制 (数量预留10%)</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inorEastAsia" w:hAnsiTheme="minorEastAsia" w:eastAsiaTheme="minorEastAsia" w:cstheme="minorEastAsia"/>
                <w:sz w:val="28"/>
                <w:szCs w:val="28"/>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550</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套</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号码贴</w:t>
            </w:r>
          </w:p>
        </w:tc>
        <w:tc>
          <w:tcPr>
            <w:tcW w:w="414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每套含头盔贴1、自行车尾贴1、包贴4、纹身贴2、换项贴2、号码簿1、文件袋1、手环2、保温毯1设计定制 (数量预留10%)</w:t>
            </w:r>
          </w:p>
        </w:tc>
        <w:tc>
          <w:tcPr>
            <w:tcW w:w="630" w:type="dxa"/>
            <w:tcBorders>
              <w:top w:val="single" w:color="auto"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8"/>
                <w:szCs w:val="28"/>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550</w:t>
            </w:r>
          </w:p>
        </w:tc>
        <w:tc>
          <w:tcPr>
            <w:tcW w:w="69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套</w:t>
            </w:r>
          </w:p>
        </w:tc>
        <w:tc>
          <w:tcPr>
            <w:tcW w:w="69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12</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奖杯</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 xml:space="preserve">全场男子*3、全场女子*3、全程分龄组13组*3、游跑两项组2组*3，抢渡组2组*3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57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6"/>
                <w:rFonts w:hint="eastAsia" w:asciiTheme="majorEastAsia" w:hAnsiTheme="majorEastAsia" w:eastAsiaTheme="majorEastAsia" w:cstheme="majorEastAsia"/>
                <w:sz w:val="22"/>
                <w:szCs w:val="22"/>
                <w:lang w:val="en-US" w:eastAsia="zh-CN" w:bidi="ar"/>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奖金</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男子全场前三、女子全场前三、铁三分龄组、游跑两项组共15组奖金取各组前八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6"/>
                <w:rFonts w:hint="default" w:asciiTheme="majorEastAsia" w:hAnsiTheme="majorEastAsia" w:eastAsiaTheme="majorEastAsia" w:cstheme="majorEastAsia"/>
                <w:sz w:val="22"/>
                <w:szCs w:val="22"/>
                <w:lang w:val="en-US" w:eastAsia="zh-CN" w:bidi="ar"/>
              </w:rPr>
            </w:pPr>
            <w:r>
              <w:rPr>
                <w:rStyle w:val="146"/>
                <w:rFonts w:hint="eastAsia" w:asciiTheme="majorEastAsia" w:hAnsiTheme="majorEastAsia" w:eastAsiaTheme="majorEastAsia" w:cstheme="majorEastAsia"/>
                <w:sz w:val="22"/>
                <w:szCs w:val="22"/>
                <w:lang w:val="en-US" w:eastAsia="zh-CN" w:bidi="ar"/>
              </w:rPr>
              <w:t>151300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sz w:val="22"/>
                <w:szCs w:val="22"/>
                <w:u w:val="none"/>
              </w:rPr>
              <w:t>赛道补给</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sz w:val="22"/>
                <w:szCs w:val="22"/>
                <w:u w:val="none"/>
              </w:rPr>
              <w:t>赛道及赛后补给，包括能量包</w:t>
            </w:r>
            <w:r>
              <w:rPr>
                <w:rFonts w:hint="eastAsia" w:asciiTheme="majorEastAsia" w:hAnsiTheme="majorEastAsia" w:eastAsiaTheme="majorEastAsia" w:cstheme="majorEastAsia"/>
                <w:i w:val="0"/>
                <w:iCs w:val="0"/>
                <w:color w:val="000000"/>
                <w:sz w:val="22"/>
                <w:szCs w:val="22"/>
                <w:u w:val="none"/>
                <w:lang w:eastAsia="zh-CN"/>
              </w:rPr>
              <w:t>（</w:t>
            </w:r>
            <w:r>
              <w:rPr>
                <w:rFonts w:hint="eastAsia" w:asciiTheme="majorEastAsia" w:hAnsiTheme="majorEastAsia" w:eastAsiaTheme="majorEastAsia" w:cstheme="majorEastAsia"/>
                <w:i w:val="0"/>
                <w:iCs w:val="0"/>
                <w:color w:val="000000"/>
                <w:sz w:val="22"/>
                <w:szCs w:val="22"/>
                <w:u w:val="none"/>
                <w:lang w:val="en-US" w:eastAsia="zh-CN"/>
              </w:rPr>
              <w:t>面包、饼干、干果等）</w:t>
            </w:r>
            <w:r>
              <w:rPr>
                <w:rFonts w:hint="eastAsia" w:asciiTheme="majorEastAsia" w:hAnsiTheme="majorEastAsia" w:eastAsiaTheme="majorEastAsia" w:cstheme="majorEastAsia"/>
                <w:i w:val="0"/>
                <w:iCs w:val="0"/>
                <w:color w:val="000000"/>
                <w:sz w:val="22"/>
                <w:szCs w:val="22"/>
                <w:u w:val="none"/>
              </w:rPr>
              <w:t>、饮用水、能量饮料、水果、海绵块</w:t>
            </w:r>
            <w:r>
              <w:rPr>
                <w:rFonts w:hint="eastAsia" w:asciiTheme="majorEastAsia" w:hAnsiTheme="majorEastAsia" w:eastAsiaTheme="majorEastAsia" w:cstheme="majorEastAsia"/>
                <w:i w:val="0"/>
                <w:iCs w:val="0"/>
                <w:color w:val="000000"/>
                <w:sz w:val="22"/>
                <w:szCs w:val="22"/>
                <w:u w:val="none"/>
                <w:lang w:eastAsia="zh-CN"/>
              </w:rPr>
              <w:t>、</w:t>
            </w:r>
            <w:r>
              <w:rPr>
                <w:rFonts w:hint="eastAsia" w:asciiTheme="majorEastAsia" w:hAnsiTheme="majorEastAsia" w:eastAsiaTheme="majorEastAsia" w:cstheme="majorEastAsia"/>
                <w:i w:val="0"/>
                <w:iCs w:val="0"/>
                <w:color w:val="000000"/>
                <w:sz w:val="22"/>
                <w:szCs w:val="22"/>
                <w:u w:val="none"/>
                <w:lang w:val="en-US" w:eastAsia="zh-CN"/>
              </w:rPr>
              <w:t>冰块</w:t>
            </w:r>
            <w:r>
              <w:rPr>
                <w:rFonts w:hint="eastAsia" w:asciiTheme="majorEastAsia" w:hAnsiTheme="majorEastAsia" w:eastAsiaTheme="majorEastAsia" w:cstheme="majorEastAsia"/>
                <w:i w:val="0"/>
                <w:iCs w:val="0"/>
                <w:color w:val="000000"/>
                <w:sz w:val="22"/>
                <w:szCs w:val="22"/>
                <w:u w:val="none"/>
              </w:rPr>
              <w:t>等含运动员及工作人员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sz w:val="22"/>
                <w:szCs w:val="22"/>
                <w:u w:val="none"/>
                <w:lang w:val="en-US" w:eastAsia="zh-CN"/>
              </w:rPr>
              <w:t>2000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份</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rPr>
            </w:pPr>
            <w:r>
              <w:rPr>
                <w:rStyle w:val="314"/>
                <w:rFonts w:hint="eastAsia" w:asciiTheme="majorEastAsia" w:hAnsiTheme="majorEastAsia" w:eastAsiaTheme="majorEastAsia" w:cstheme="majorEastAsia"/>
                <w:sz w:val="22"/>
                <w:szCs w:val="22"/>
                <w:lang w:val="en-US" w:eastAsia="zh-CN" w:bidi="ar"/>
              </w:rPr>
              <w:t>水上搭建</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浮台1套/专业水线1000米/定制充气浮标5个/钢管、木档等配套物资/运费及人工等</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6"/>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highlight w:val="yellow"/>
                <w:u w:val="none"/>
                <w:lang w:val="en-US" w:eastAsia="zh-CN"/>
              </w:rPr>
            </w:pPr>
            <w:r>
              <w:rPr>
                <w:rFonts w:hint="eastAsia" w:asciiTheme="majorEastAsia" w:hAnsiTheme="majorEastAsia" w:eastAsiaTheme="majorEastAsia" w:cstheme="majorEastAsia"/>
                <w:i w:val="0"/>
                <w:iCs w:val="0"/>
                <w:color w:val="000000"/>
                <w:sz w:val="22"/>
                <w:szCs w:val="22"/>
                <w:highlight w:val="none"/>
                <w:u w:val="none"/>
                <w:lang w:val="en-US" w:eastAsia="zh-CN"/>
              </w:rPr>
              <w:t>运动员能量补给</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highlight w:val="none"/>
                <w:u w:val="none"/>
              </w:rPr>
            </w:pPr>
            <w:r>
              <w:rPr>
                <w:rStyle w:val="314"/>
                <w:rFonts w:hint="eastAsia" w:asciiTheme="majorEastAsia" w:hAnsiTheme="majorEastAsia" w:eastAsiaTheme="majorEastAsia" w:cstheme="majorEastAsia"/>
                <w:sz w:val="22"/>
                <w:szCs w:val="22"/>
                <w:highlight w:val="none"/>
                <w:lang w:val="en-US" w:eastAsia="zh-CN" w:bidi="ar"/>
              </w:rPr>
              <w:t xml:space="preserve">运动员赛前能量补给餐约500人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highlight w:val="none"/>
                <w:u w:val="none"/>
                <w:lang w:val="en-US" w:eastAsia="zh-CN"/>
              </w:rPr>
            </w:pPr>
            <w:r>
              <w:rPr>
                <w:rFonts w:hint="eastAsia" w:asciiTheme="majorEastAsia" w:hAnsiTheme="majorEastAsia" w:eastAsiaTheme="majorEastAsia" w:cstheme="majorEastAsia"/>
                <w:i w:val="0"/>
                <w:iCs w:val="0"/>
                <w:color w:val="000000"/>
                <w:sz w:val="22"/>
                <w:szCs w:val="22"/>
                <w:highlight w:val="none"/>
                <w:u w:val="none"/>
                <w:lang w:val="en-US" w:eastAsia="zh-CN"/>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highlight w:val="none"/>
                <w:u w:val="none"/>
                <w:lang w:val="en-US" w:eastAsia="zh-CN"/>
              </w:rPr>
            </w:pPr>
            <w:r>
              <w:rPr>
                <w:rFonts w:hint="eastAsia" w:asciiTheme="majorEastAsia" w:hAnsiTheme="majorEastAsia" w:eastAsiaTheme="majorEastAsia" w:cstheme="majorEastAsia"/>
                <w:i w:val="0"/>
                <w:iCs w:val="0"/>
                <w:color w:val="000000"/>
                <w:sz w:val="22"/>
                <w:szCs w:val="22"/>
                <w:highlight w:val="none"/>
                <w:u w:val="none"/>
                <w:lang w:val="en-US" w:eastAsia="zh-CN"/>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highlight w:val="none"/>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sz w:val="22"/>
                <w:szCs w:val="22"/>
                <w:u w:val="none"/>
              </w:rPr>
              <w:t xml:space="preserve"> </w:t>
            </w:r>
            <w:r>
              <w:rPr>
                <w:rFonts w:hint="eastAsia" w:asciiTheme="majorEastAsia" w:hAnsiTheme="majorEastAsia" w:eastAsiaTheme="majorEastAsia" w:cstheme="majorEastAsia"/>
                <w:i w:val="0"/>
                <w:iCs w:val="0"/>
                <w:color w:val="000000"/>
                <w:sz w:val="22"/>
                <w:szCs w:val="22"/>
                <w:u w:val="none"/>
                <w:lang w:val="en-US" w:eastAsia="zh-CN"/>
              </w:rPr>
              <w:t>汽车、</w:t>
            </w:r>
            <w:r>
              <w:rPr>
                <w:rFonts w:hint="eastAsia" w:asciiTheme="majorEastAsia" w:hAnsiTheme="majorEastAsia" w:eastAsiaTheme="majorEastAsia" w:cstheme="majorEastAsia"/>
                <w:i w:val="0"/>
                <w:iCs w:val="0"/>
                <w:color w:val="000000"/>
                <w:sz w:val="22"/>
                <w:szCs w:val="22"/>
                <w:u w:val="none"/>
              </w:rPr>
              <w:t>摩托车队</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sz w:val="22"/>
                <w:szCs w:val="22"/>
                <w:u w:val="none"/>
                <w:lang w:val="en-US" w:eastAsia="zh-CN"/>
              </w:rPr>
              <w:t>赛事用车/</w:t>
            </w:r>
            <w:r>
              <w:rPr>
                <w:rFonts w:hint="eastAsia" w:asciiTheme="majorEastAsia" w:hAnsiTheme="majorEastAsia" w:eastAsiaTheme="majorEastAsia" w:cstheme="majorEastAsia"/>
                <w:i w:val="0"/>
                <w:iCs w:val="0"/>
                <w:color w:val="000000"/>
                <w:sz w:val="22"/>
                <w:szCs w:val="22"/>
                <w:u w:val="none"/>
              </w:rPr>
              <w:t>开道／裁判／急救巡查用车 （车辆使用+人员劳务）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Style w:val="314"/>
                <w:rFonts w:hint="eastAsia" w:asciiTheme="majorEastAsia" w:hAnsiTheme="majorEastAsia" w:eastAsiaTheme="majorEastAsia" w:cstheme="majorEastAsia"/>
                <w:sz w:val="22"/>
                <w:szCs w:val="22"/>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陆上赛道保障</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专业救援队人员（不少于100名）/使用保障专用对讲机/通讯频段／赛道救援及保障/AED使用6台等</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Style w:val="314"/>
                <w:rFonts w:hint="eastAsia" w:asciiTheme="majorEastAsia" w:hAnsiTheme="majorEastAsia" w:eastAsiaTheme="majorEastAsia" w:cstheme="majorEastAsia"/>
                <w:sz w:val="22"/>
                <w:szCs w:val="22"/>
                <w:lang w:val="en-US" w:eastAsia="zh-CN" w:bidi="ar"/>
              </w:rPr>
              <w:t>器材租赁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19</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保障物料</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医疗、急救用药品、救援用品等</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6"/>
                <w:rFonts w:hint="eastAsia" w:asciiTheme="majorEastAsia" w:hAnsiTheme="majorEastAsia" w:eastAsiaTheme="majorEastAsia" w:cstheme="majorEastAsia"/>
                <w:sz w:val="22"/>
                <w:szCs w:val="22"/>
                <w:lang w:val="en-US" w:eastAsia="zh-CN" w:bidi="ar"/>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20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水上保障</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救生艇 (4辆) 桨板 (8只)皮划艇（8只）救生员 (12人) 驾驶员 (4）救生设备等</w:t>
            </w:r>
          </w:p>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6"/>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器材租赁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21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报名系统</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rPr>
              <w:t>中国铁人三项运动协会报名系统监测，</w:t>
            </w:r>
            <w:r>
              <w:rPr>
                <w:rFonts w:hint="eastAsia" w:asciiTheme="majorEastAsia" w:hAnsiTheme="majorEastAsia" w:eastAsiaTheme="majorEastAsia" w:cstheme="majorEastAsia"/>
                <w:i w:val="0"/>
                <w:iCs w:val="0"/>
                <w:color w:val="000000"/>
                <w:sz w:val="22"/>
                <w:szCs w:val="22"/>
                <w:u w:val="none"/>
                <w:lang w:val="en-US" w:eastAsia="zh-CN"/>
              </w:rPr>
              <w:t>赛事手册、</w:t>
            </w:r>
            <w:r>
              <w:rPr>
                <w:rFonts w:hint="eastAsia" w:asciiTheme="majorEastAsia" w:hAnsiTheme="majorEastAsia" w:eastAsiaTheme="majorEastAsia" w:cstheme="majorEastAsia"/>
                <w:i w:val="0"/>
                <w:iCs w:val="0"/>
                <w:color w:val="000000"/>
                <w:sz w:val="22"/>
                <w:szCs w:val="22"/>
                <w:u w:val="none"/>
              </w:rPr>
              <w:t>选手信息管理，电话及邮件客服，选手通讯（包含短信平台，邮件群发系统）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88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22</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赛事核心团队</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2"/>
                <w:sz w:val="16"/>
                <w:szCs w:val="16"/>
                <w:u w:val="none"/>
                <w:lang w:val="en-US" w:eastAsia="zh-CN" w:bidi="ar-SA"/>
              </w:rPr>
            </w:pPr>
            <w:r>
              <w:rPr>
                <w:rFonts w:hint="eastAsia" w:ascii="宋体" w:hAnsi="宋体" w:eastAsia="宋体" w:cs="宋体"/>
                <w:i w:val="0"/>
                <w:iCs w:val="0"/>
                <w:color w:val="000000"/>
                <w:kern w:val="0"/>
                <w:sz w:val="21"/>
                <w:szCs w:val="21"/>
                <w:u w:val="none"/>
                <w:lang w:val="en-US" w:eastAsia="zh-CN" w:bidi="ar"/>
              </w:rPr>
              <w:t>赛事总监1人、项目负责1人：赛事统筹、项目管理与执行、服务后勤、志愿者/技术官员管理、组织协调、文书财务等（累计工作时长3个月含）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23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技术官员 (国际级)</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 xml:space="preserve">技术代表1人：参与前、中、后期赛事方案制定、线路实地勘查、赛事执行监督、成绩核查等各环节（外省至桐庐）出差3次以上，现场工作7日以上，远程工作15日以上含差旅） </w:t>
            </w:r>
          </w:p>
          <w:p>
            <w:pPr>
              <w:keepNext w:val="0"/>
              <w:keepLines w:val="0"/>
              <w:widowControl/>
              <w:suppressLineNumbers w:val="0"/>
              <w:jc w:val="left"/>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裁判长1人：参与赛事规则制定，裁判员管理，担任赛事裁判长，召开赛事说明会各环节，现场工作7日以上，远程工作15日以上含差旅）</w:t>
            </w:r>
          </w:p>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技术指导及比赛监督2人：中铁协委派技术指导及比赛监督对比赛进行指导、监督及评分（含差旅）</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6"/>
                <w:rFonts w:hint="eastAsia" w:asciiTheme="majorEastAsia" w:hAnsiTheme="majorEastAsia" w:eastAsiaTheme="majorEastAsia" w:cstheme="majorEastAsia"/>
                <w:sz w:val="22"/>
                <w:szCs w:val="2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24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裁判</w:t>
            </w:r>
          </w:p>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 xml:space="preserve"> (国家二级及以上)</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sz w:val="22"/>
                <w:szCs w:val="22"/>
                <w:u w:val="none"/>
              </w:rPr>
              <w:t xml:space="preserve">游泳4人、骑行5人、跑步4人、检录4人、换项3人 </w:t>
            </w:r>
          </w:p>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sz w:val="22"/>
                <w:szCs w:val="22"/>
                <w:u w:val="none"/>
              </w:rPr>
              <w:t xml:space="preserve"> （20人*3天 = 60人次）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sz w:val="22"/>
                <w:szCs w:val="22"/>
                <w:u w:val="none"/>
                <w:lang w:val="en-US" w:eastAsia="zh-CN"/>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6"/>
                <w:rFonts w:hint="eastAsia" w:asciiTheme="majorEastAsia" w:hAnsiTheme="majorEastAsia" w:eastAsiaTheme="majorEastAsia" w:cstheme="majorEastAsia"/>
                <w:sz w:val="22"/>
                <w:szCs w:val="2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25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执行团队</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sz w:val="22"/>
                <w:szCs w:val="22"/>
                <w:u w:val="none"/>
              </w:rPr>
              <w:t>执行团队6人：物料管理、赛事包分装、搭建指导、赛事监督、部门协调、方案执行、运动员服务、报到接待等</w:t>
            </w:r>
          </w:p>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sz w:val="22"/>
                <w:szCs w:val="22"/>
                <w:u w:val="none"/>
              </w:rPr>
              <w:t>（6人*7天=42人次）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42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6"/>
                <w:rFonts w:hint="eastAsia" w:asciiTheme="majorEastAsia" w:hAnsiTheme="majorEastAsia" w:eastAsiaTheme="majorEastAsia" w:cstheme="majorEastAsia"/>
                <w:sz w:val="22"/>
                <w:szCs w:val="2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26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default"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裁判、执行团队</w:t>
            </w:r>
            <w:r>
              <w:rPr>
                <w:rStyle w:val="314"/>
                <w:rFonts w:hint="default" w:asciiTheme="majorEastAsia" w:hAnsiTheme="majorEastAsia" w:eastAsiaTheme="majorEastAsia" w:cstheme="majorEastAsia"/>
                <w:sz w:val="22"/>
                <w:szCs w:val="22"/>
                <w:lang w:val="en-US" w:eastAsia="zh-CN" w:bidi="ar"/>
              </w:rPr>
              <w:t>差旅费</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住宿、餐饮、交通</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6"/>
                <w:rFonts w:hint="default" w:asciiTheme="majorEastAsia" w:hAnsiTheme="majorEastAsia" w:eastAsiaTheme="majorEastAsia" w:cstheme="majorEastAsia"/>
                <w:sz w:val="22"/>
                <w:szCs w:val="22"/>
                <w:lang w:val="en-US" w:eastAsia="zh-CN" w:bidi="ar"/>
              </w:rPr>
            </w:pPr>
            <w:r>
              <w:rPr>
                <w:rStyle w:val="146"/>
                <w:rFonts w:hint="eastAsia" w:asciiTheme="majorEastAsia" w:hAnsiTheme="majorEastAsia" w:eastAsiaTheme="majorEastAsia" w:cstheme="majorEastAsia"/>
                <w:sz w:val="22"/>
                <w:szCs w:val="22"/>
                <w:lang w:val="en-US" w:eastAsia="zh-CN" w:bidi="ar"/>
              </w:rPr>
              <w:t>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6"/>
                <w:rFonts w:hint="eastAsia" w:asciiTheme="majorEastAsia" w:hAnsiTheme="majorEastAsia" w:eastAsiaTheme="majorEastAsia" w:cstheme="majorEastAsia"/>
                <w:sz w:val="22"/>
                <w:szCs w:val="2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27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工作人员物资</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4"/>
                <w:rFonts w:hint="eastAsia" w:asciiTheme="majorEastAsia" w:hAnsiTheme="majorEastAsia" w:eastAsiaTheme="majorEastAsia" w:cstheme="majorEastAsia"/>
                <w:sz w:val="22"/>
                <w:szCs w:val="22"/>
                <w:lang w:val="en-US" w:eastAsia="zh-CN" w:bidi="ar"/>
              </w:rPr>
            </w:pPr>
            <w:r>
              <w:rPr>
                <w:rStyle w:val="314"/>
                <w:rFonts w:hint="eastAsia" w:asciiTheme="majorEastAsia" w:hAnsiTheme="majorEastAsia" w:eastAsiaTheme="majorEastAsia" w:cstheme="majorEastAsia"/>
                <w:sz w:val="22"/>
                <w:szCs w:val="22"/>
                <w:lang w:val="en-US" w:eastAsia="zh-CN" w:bidi="ar"/>
              </w:rPr>
              <w:t xml:space="preserve">裁判、技术官员、工作人员服装及其他工作必须物品  </w:t>
            </w:r>
          </w:p>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每份含：双肩包1只、机能马甲1件、T恤1件、帽子1顶、工作牌、扩音器/摇铃/口哨/摇旗/红黄牌/签字笔/夹板/小白板等若干</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22"/>
                <w:szCs w:val="22"/>
                <w:highlight w:val="none"/>
                <w:u w:val="none"/>
                <w:lang w:val="en-US" w:eastAsia="zh-CN" w:bidi="ar-SA"/>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28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警戒带</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赛道全程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22"/>
                <w:szCs w:val="22"/>
                <w:highlight w:val="none"/>
                <w:u w:val="none"/>
                <w:lang w:val="en-US" w:eastAsia="zh-CN" w:bidi="ar-SA"/>
              </w:rPr>
            </w:pPr>
            <w:r>
              <w:rPr>
                <w:rFonts w:hint="eastAsia" w:asciiTheme="majorEastAsia" w:hAnsiTheme="majorEastAsia" w:eastAsiaTheme="majorEastAsia" w:cstheme="majorEastAsia"/>
                <w:i w:val="0"/>
                <w:iCs w:val="0"/>
                <w:color w:val="000000"/>
                <w:sz w:val="22"/>
                <w:szCs w:val="22"/>
                <w:u w:val="none"/>
                <w:lang w:val="en-US" w:eastAsia="zh-CN"/>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29</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highlight w:val="none"/>
                <w:u w:val="none"/>
              </w:rPr>
            </w:pPr>
            <w:r>
              <w:rPr>
                <w:rStyle w:val="146"/>
                <w:rFonts w:hint="eastAsia" w:asciiTheme="majorEastAsia" w:hAnsiTheme="majorEastAsia" w:eastAsiaTheme="majorEastAsia" w:cstheme="majorEastAsia"/>
                <w:sz w:val="22"/>
                <w:szCs w:val="22"/>
                <w:highlight w:val="none"/>
                <w:lang w:val="en-US" w:eastAsia="zh-CN" w:bidi="ar"/>
              </w:rPr>
              <w:t>铁马</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rPr>
            </w:pPr>
            <w:r>
              <w:rPr>
                <w:rStyle w:val="314"/>
                <w:rFonts w:hint="eastAsia" w:asciiTheme="majorEastAsia" w:hAnsiTheme="majorEastAsia" w:eastAsiaTheme="majorEastAsia" w:cstheme="majorEastAsia"/>
                <w:sz w:val="22"/>
                <w:szCs w:val="22"/>
                <w:lang w:val="en-US" w:eastAsia="zh-CN" w:bidi="ar"/>
              </w:rPr>
              <w:t>赛道全程，规格2米*1.2米</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组</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22"/>
                <w:szCs w:val="22"/>
                <w:u w:val="none"/>
                <w:lang w:val="en-US" w:eastAsia="zh-CN" w:bidi="ar-SA"/>
              </w:rPr>
            </w:pPr>
            <w:r>
              <w:rPr>
                <w:rStyle w:val="314"/>
                <w:rFonts w:hint="eastAsia" w:asciiTheme="majorEastAsia" w:hAnsiTheme="majorEastAsia" w:eastAsiaTheme="majorEastAsia" w:cstheme="majorEastAsia"/>
                <w:sz w:val="22"/>
                <w:szCs w:val="22"/>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30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highlight w:val="none"/>
                <w:u w:val="none"/>
                <w:lang w:val="en-US" w:eastAsia="zh-CN"/>
              </w:rPr>
            </w:pPr>
            <w:r>
              <w:rPr>
                <w:rFonts w:hint="eastAsia" w:asciiTheme="majorEastAsia" w:hAnsiTheme="majorEastAsia" w:eastAsiaTheme="majorEastAsia" w:cstheme="majorEastAsia"/>
                <w:i w:val="0"/>
                <w:iCs w:val="0"/>
                <w:color w:val="000000"/>
                <w:sz w:val="22"/>
                <w:szCs w:val="22"/>
                <w:highlight w:val="none"/>
                <w:u w:val="none"/>
                <w:lang w:val="en-US" w:eastAsia="zh-CN"/>
              </w:rPr>
              <w:t>锥桶</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赛道全程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200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Style w:val="314"/>
                <w:rFonts w:hint="eastAsia" w:asciiTheme="majorEastAsia" w:hAnsiTheme="majorEastAsia" w:eastAsiaTheme="majorEastAsia" w:cstheme="majorEastAsia"/>
                <w:sz w:val="22"/>
                <w:szCs w:val="22"/>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31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缓冲带布置</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缓冲气泡膜500米及安装人工（5工日）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500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32</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安全网布置</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安全网及钉子、铁丝、毛竹、固定用麻绳等配件及人工（45工日）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22"/>
                <w:szCs w:val="22"/>
                <w:u w:val="none"/>
                <w:lang w:val="en-US" w:eastAsia="zh-CN" w:bidi="ar-SA"/>
              </w:rPr>
            </w:pPr>
            <w:r>
              <w:rPr>
                <w:rFonts w:hint="eastAsia" w:asciiTheme="majorEastAsia" w:hAnsiTheme="majorEastAsia" w:eastAsiaTheme="majorEastAsia" w:cstheme="majorEastAsia"/>
                <w:i w:val="0"/>
                <w:iCs w:val="0"/>
                <w:color w:val="000000"/>
                <w:sz w:val="22"/>
                <w:szCs w:val="22"/>
                <w:u w:val="none"/>
                <w:lang w:val="en-US" w:eastAsia="zh-CN"/>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33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点位贴布置</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全线点位提示贴及人工（3工日）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22"/>
                <w:szCs w:val="22"/>
                <w:u w:val="none"/>
                <w:lang w:val="en-US" w:eastAsia="zh-CN" w:bidi="ar-SA"/>
              </w:rPr>
            </w:pPr>
            <w:r>
              <w:rPr>
                <w:rFonts w:hint="eastAsia" w:asciiTheme="majorEastAsia" w:hAnsiTheme="majorEastAsia" w:eastAsiaTheme="majorEastAsia" w:cstheme="majorEastAsia"/>
                <w:i w:val="0"/>
                <w:iCs w:val="0"/>
                <w:color w:val="000000"/>
                <w:sz w:val="22"/>
                <w:szCs w:val="22"/>
                <w:u w:val="none"/>
                <w:lang w:val="en-US" w:eastAsia="zh-CN"/>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34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赛事保险</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314"/>
                <w:rFonts w:hint="eastAsia" w:asciiTheme="majorEastAsia" w:hAnsiTheme="majorEastAsia" w:eastAsiaTheme="majorEastAsia" w:cstheme="majorEastAsia"/>
                <w:sz w:val="22"/>
                <w:szCs w:val="22"/>
                <w:lang w:val="en-US" w:eastAsia="zh-CN" w:bidi="ar"/>
              </w:rPr>
              <w:t>按中国铁人三项运动协会公布的赛事管理办法《保险条款》规定的保额购买公众责任险及运动员个人人身意外险（含猝死）（选手+工作人员）保险累计赔偿限额至少为1000万元人民币，每次事故人身伤亡赔偿限额至少为500万元，每次事故每人人身伤亡赔偿限额至少为80万元，每次事故每人医疗赔偿限额至少为5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eastAsia="zh-CN"/>
              </w:rPr>
            </w:pPr>
            <w:r>
              <w:rPr>
                <w:rFonts w:hint="eastAsia" w:asciiTheme="majorEastAsia" w:hAnsiTheme="majorEastAsia" w:eastAsiaTheme="majorEastAsia" w:cstheme="majorEastAsia"/>
                <w:i w:val="0"/>
                <w:iCs w:val="0"/>
                <w:color w:val="000000"/>
                <w:sz w:val="22"/>
                <w:szCs w:val="22"/>
                <w:u w:val="none"/>
                <w:lang w:val="en-US" w:eastAsia="zh-CN"/>
              </w:rPr>
              <w:t>500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Style w:val="146"/>
                <w:rFonts w:hint="eastAsia" w:asciiTheme="majorEastAsia" w:hAnsiTheme="majorEastAsia" w:eastAsiaTheme="majorEastAsia" w:cstheme="majorEastAsia"/>
                <w:sz w:val="22"/>
                <w:szCs w:val="22"/>
                <w:lang w:val="en-US" w:eastAsia="zh-CN" w:bidi="ar"/>
              </w:rPr>
              <w:t>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22"/>
                <w:szCs w:val="22"/>
                <w:u w:val="none"/>
                <w:lang w:val="en-US" w:eastAsia="zh-CN" w:bidi="ar-SA"/>
              </w:rPr>
            </w:pPr>
            <w:r>
              <w:rPr>
                <w:rFonts w:hint="eastAsia" w:asciiTheme="majorEastAsia" w:hAnsiTheme="majorEastAsia" w:eastAsiaTheme="majorEastAsia" w:cstheme="majorEastAsia"/>
                <w:i w:val="0"/>
                <w:iCs w:val="0"/>
                <w:color w:val="000000"/>
                <w:sz w:val="22"/>
                <w:szCs w:val="22"/>
                <w:u w:val="none"/>
                <w:lang w:val="en-US" w:eastAsia="zh-CN"/>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2"/>
                <w:szCs w:val="22"/>
                <w:u w:val="none"/>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策划/设计费</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sz w:val="22"/>
                <w:szCs w:val="22"/>
                <w:u w:val="none"/>
                <w:lang w:val="en-US" w:eastAsia="zh-CN"/>
              </w:rPr>
              <w:t>赛事方案策划/</w:t>
            </w:r>
            <w:r>
              <w:rPr>
                <w:rFonts w:hint="eastAsia" w:asciiTheme="majorEastAsia" w:hAnsiTheme="majorEastAsia" w:eastAsiaTheme="majorEastAsia" w:cstheme="majorEastAsia"/>
                <w:i w:val="0"/>
                <w:iCs w:val="0"/>
                <w:color w:val="000000"/>
                <w:sz w:val="22"/>
                <w:szCs w:val="22"/>
                <w:u w:val="none"/>
              </w:rPr>
              <w:t>主KV／拱门／赛事标识系统／赛事指引系统／赛事T恤／奖牌／赛事包等物料设计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赛事宣传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36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赛事报道</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全媒体报道30家以上中央电视台(20秒新闻，具体播出频道看当天排期)、中国新闻社、旅游商报、Z视介、浙江经视、浙江在线、 浙江之声、 体坛报、浙江电视台公共新闻频道、都市快报，浙江新闻 体育最前线、杭州日报、杭州一套、潮新闻等 新华社客户端、人民日报客户端、澎湃新闻、中国新闻网、中国体育网、中国青年网、中国网、环球网、环球体育报、体育产业网、中国体育时报、体坛早报、中青体育网、今日头条、腾讯、新浪、凤凰网、网易、中华体育报、今日体坛等</w:t>
            </w:r>
          </w:p>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Style w:val="1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kern w:val="0"/>
                <w:sz w:val="22"/>
                <w:szCs w:val="22"/>
                <w:u w:val="none"/>
                <w:lang w:val="en-US" w:eastAsia="zh-CN" w:bidi="ar"/>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媒体宣传</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赛前、赛后公众号创作宣传推文不少于5篇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Style w:val="1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37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预热打卡</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邀请百万粉丝体育达人及世界冠军在赛前预热打卡(不少于3名)，在账号中发布相关视频</w:t>
            </w:r>
            <w:r>
              <w:rPr>
                <w:rFonts w:hint="eastAsia" w:ascii="宋体" w:hAnsi="宋体" w:cs="宋体"/>
                <w:i w:val="0"/>
                <w:iCs w:val="0"/>
                <w:color w:val="000000"/>
                <w:kern w:val="0"/>
                <w:sz w:val="22"/>
                <w:szCs w:val="22"/>
                <w:u w:val="none"/>
                <w:lang w:val="en-US" w:eastAsia="zh-CN" w:bidi="ar"/>
              </w:rPr>
              <w:t>；赛前一周邀请体育名人制作预热短视频（不少于5条）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Style w:val="1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38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达人参赛解说</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赛事当天邀请体育达人进行赛事实况直播介绍本次赛事及当地的文旅特色</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Style w:val="1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39</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照片拍摄、图片直播</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ajorEastAsia" w:hAnsiTheme="majorEastAsia" w:eastAsiaTheme="majorEastAsia" w:cstheme="majorEastAsia"/>
                <w:i w:val="0"/>
                <w:iCs w:val="0"/>
                <w:color w:val="000000"/>
                <w:sz w:val="22"/>
                <w:szCs w:val="22"/>
                <w:u w:val="none"/>
                <w:lang w:val="en-US" w:eastAsia="zh-CN"/>
              </w:rPr>
            </w:pPr>
            <w:r>
              <w:rPr>
                <w:rFonts w:hint="eastAsia" w:ascii="宋体" w:hAnsi="宋体" w:cs="宋体"/>
                <w:i w:val="0"/>
                <w:iCs w:val="0"/>
                <w:color w:val="000000"/>
                <w:kern w:val="0"/>
                <w:sz w:val="22"/>
                <w:szCs w:val="22"/>
                <w:u w:val="none"/>
                <w:lang w:val="en-US" w:eastAsia="zh-CN" w:bidi="ar"/>
              </w:rPr>
              <w:t>12名</w:t>
            </w:r>
            <w:r>
              <w:rPr>
                <w:rFonts w:hint="eastAsia" w:ascii="宋体" w:hAnsi="宋体" w:eastAsia="宋体" w:cs="宋体"/>
                <w:i w:val="0"/>
                <w:iCs w:val="0"/>
                <w:color w:val="000000"/>
                <w:kern w:val="0"/>
                <w:sz w:val="22"/>
                <w:szCs w:val="22"/>
                <w:u w:val="none"/>
                <w:lang w:val="en-US" w:eastAsia="zh-CN" w:bidi="ar"/>
              </w:rPr>
              <w:t>专业摄影师、</w:t>
            </w:r>
            <w:r>
              <w:rPr>
                <w:rFonts w:hint="eastAsia" w:ascii="宋体" w:hAnsi="宋体" w:cs="宋体"/>
                <w:i w:val="0"/>
                <w:iCs w:val="0"/>
                <w:color w:val="000000"/>
                <w:kern w:val="0"/>
                <w:sz w:val="22"/>
                <w:szCs w:val="22"/>
                <w:u w:val="none"/>
                <w:lang w:val="en-US" w:eastAsia="zh-CN" w:bidi="ar"/>
              </w:rPr>
              <w:t>12名</w:t>
            </w:r>
            <w:r>
              <w:rPr>
                <w:rFonts w:hint="eastAsia" w:ascii="宋体" w:hAnsi="宋体" w:eastAsia="宋体" w:cs="宋体"/>
                <w:i w:val="0"/>
                <w:iCs w:val="0"/>
                <w:color w:val="000000"/>
                <w:kern w:val="0"/>
                <w:sz w:val="22"/>
                <w:szCs w:val="22"/>
                <w:u w:val="none"/>
                <w:lang w:val="en-US" w:eastAsia="zh-CN" w:bidi="ar"/>
              </w:rPr>
              <w:t>修图师赛事照片拍摄，</w:t>
            </w:r>
            <w:r>
              <w:rPr>
                <w:rFonts w:hint="eastAsia" w:ascii="宋体" w:hAnsi="宋体" w:cs="宋体"/>
                <w:i w:val="0"/>
                <w:iCs w:val="0"/>
                <w:color w:val="000000"/>
                <w:kern w:val="0"/>
                <w:sz w:val="22"/>
                <w:szCs w:val="22"/>
                <w:u w:val="none"/>
                <w:lang w:val="en-US" w:eastAsia="zh-CN" w:bidi="ar"/>
              </w:rPr>
              <w:t>2个图册建立</w:t>
            </w:r>
            <w:r>
              <w:rPr>
                <w:rFonts w:hint="eastAsia" w:ascii="宋体" w:hAnsi="宋体" w:eastAsia="宋体" w:cs="宋体"/>
                <w:i w:val="0"/>
                <w:iCs w:val="0"/>
                <w:color w:val="000000"/>
                <w:kern w:val="0"/>
                <w:sz w:val="22"/>
                <w:szCs w:val="22"/>
                <w:u w:val="none"/>
                <w:lang w:val="en-US" w:eastAsia="zh-CN" w:bidi="ar"/>
              </w:rPr>
              <w:t>现场实时照片直播</w:t>
            </w:r>
            <w:r>
              <w:rPr>
                <w:rFonts w:hint="eastAsia" w:ascii="宋体" w:hAnsi="宋体" w:cs="宋体"/>
                <w:i w:val="0"/>
                <w:iCs w:val="0"/>
                <w:color w:val="000000"/>
                <w:kern w:val="0"/>
                <w:sz w:val="22"/>
                <w:szCs w:val="22"/>
                <w:u w:val="none"/>
                <w:lang w:val="en-US" w:eastAsia="zh-CN" w:bidi="ar"/>
              </w:rPr>
              <w:t>，4个地面机位，2个航拍，15秒、1分钟视频剪辑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Style w:val="1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40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赛事全程</w:t>
            </w:r>
            <w:r>
              <w:rPr>
                <w:rFonts w:hint="eastAsia" w:ascii="宋体" w:hAnsi="宋体" w:eastAsia="宋体" w:cs="宋体"/>
                <w:i w:val="0"/>
                <w:iCs w:val="0"/>
                <w:color w:val="000000"/>
                <w:kern w:val="0"/>
                <w:sz w:val="22"/>
                <w:szCs w:val="22"/>
                <w:u w:val="none"/>
                <w:lang w:val="en-US" w:eastAsia="zh-CN" w:bidi="ar"/>
              </w:rPr>
              <w:t>视频</w:t>
            </w:r>
            <w:r>
              <w:rPr>
                <w:rFonts w:hint="eastAsia" w:ascii="宋体" w:hAnsi="宋体" w:cs="宋体"/>
                <w:i w:val="0"/>
                <w:iCs w:val="0"/>
                <w:color w:val="000000"/>
                <w:kern w:val="0"/>
                <w:sz w:val="22"/>
                <w:szCs w:val="22"/>
                <w:u w:val="none"/>
                <w:lang w:val="en-US" w:eastAsia="zh-CN" w:bidi="ar"/>
              </w:rPr>
              <w:t>直播</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ajorEastAsia" w:hAnsiTheme="majorEastAsia" w:eastAsiaTheme="majorEastAsia" w:cstheme="majorEastAsia"/>
                <w:i w:val="0"/>
                <w:iCs w:val="0"/>
                <w:color w:val="000000"/>
                <w:sz w:val="22"/>
                <w:szCs w:val="22"/>
                <w:u w:val="none"/>
                <w:lang w:val="en-US" w:eastAsia="zh-CN"/>
              </w:rPr>
            </w:pPr>
            <w:r>
              <w:rPr>
                <w:rFonts w:hint="eastAsia" w:ascii="宋体" w:hAnsi="宋体" w:cs="宋体"/>
                <w:i w:val="0"/>
                <w:iCs w:val="0"/>
                <w:color w:val="000000"/>
                <w:kern w:val="0"/>
                <w:sz w:val="22"/>
                <w:szCs w:val="22"/>
                <w:u w:val="none"/>
                <w:lang w:val="en-US" w:eastAsia="zh-CN" w:bidi="ar"/>
              </w:rPr>
              <w:t>4K高清直播车、专业直播设备、电子摇臂、导播台、软件导播台、控制键盘、录机、监视器、导播通话系统、发电机、调音台、隔离电源、UPS电源等，直播无人机位5台、固定机位3台、移动图传机位1台、移动背包机位4台，直播平台及直播分流服务器，设备使用运输以及项目实行的技术人员含差旅（导播师1、技术总监1、摄像师8人、飞手5人、助理3人、解说1人)</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Style w:val="1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赛事后勤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41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住宿</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ajorEastAsia" w:hAnsiTheme="majorEastAsia" w:eastAsiaTheme="majorEastAsia" w:cstheme="majorEastAsia"/>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核心志愿者/媒体/嘉宾等</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Style w:val="1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42</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餐饮</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ajorEastAsia" w:hAnsiTheme="majorEastAsia" w:eastAsiaTheme="majorEastAsia" w:cstheme="majorEastAsia"/>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核心志愿者/赞助商/媒体/嘉宾/交警/公安/卫健/救援队等</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Style w:val="1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43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赛事交通</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ajorEastAsia" w:hAnsiTheme="majorEastAsia" w:eastAsiaTheme="majorEastAsia" w:cstheme="majorEastAsia"/>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选手大巴、工作中巴、其他工作车辆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Style w:val="1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44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开幕式节目表演</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ajorEastAsia" w:hAnsiTheme="majorEastAsia" w:eastAsiaTheme="majorEastAsia" w:cstheme="majorEastAsia"/>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运动员带队热身/终点锣鼓队</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Style w:val="1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45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开幕/闭幕仪式人员</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ajorEastAsia" w:hAnsiTheme="majorEastAsia" w:eastAsiaTheme="majorEastAsia" w:cstheme="majorEastAsia"/>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支持人1名/礼仪4名</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Style w:val="1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46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志愿者物资</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ajorEastAsia" w:hAnsiTheme="majorEastAsia" w:eastAsiaTheme="majorEastAsia" w:cstheme="majorEastAsia"/>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服装及其他工作必须物品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Style w:val="1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47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Style w:val="266"/>
                <w:lang w:val="en-US" w:eastAsia="zh-CN" w:bidi="ar"/>
              </w:rPr>
              <w:t>医疗保障</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救护车 (3辆) 含配套设备及人员 、其他急救包 、药品</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Style w:val="122"/>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赛事搭建及物料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舞台副背景造型</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3*5*2块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舞台背景LED</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舞台地毯（灰色）</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舞台</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线阵音响</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开幕式特效</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主会场前5公里米背景喷绘指示</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起点处桁架拱门</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签到处运动员名单墙</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签到处桌子</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张</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游泳起水点-换项区340+检录处地毯600+彩虹坝240</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1180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河道两边注水道旗5米</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5米</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发令区背景</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发领区地毯</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主会场注水道旗5米</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5米</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签到处注水道旗5米</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5米</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跑步终点桁架拱门</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颁奖桁架背景</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12*3.5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颁奖地毯</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12*4.1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领奖台+定制画面</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颁奖处音响</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69</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颁奖处注水道旗</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技术说明会签到背景</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6*3*2块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说明会签到处A5桌牌</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72</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说明会亚克力三角桌牌（空白）</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换项区地毯</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1218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跑步终点地毯</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跑步终点注水道旗</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跑步终点冲刺线（定制）</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起点更衣室帐篷</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3*4.5m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工作证</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79</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车辆通行证</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A4塑封</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张</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餐桌牌（A4纸压痕）</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张</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媒体休息区遮阳棚+门头牌+8张凳子</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颁奖牌</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队伍手举牌</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帐篷桌椅（1帐篷2桌子4椅子）</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检录处喷绘</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主持台</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上40下50高70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铁马广告</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检录处PVC挂牌</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89</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封路提示牌（车贴+kt）</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80*120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圆圈编号</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直径15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张</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停车场指示牌</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92</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志愿者点位地贴</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张</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气喇叭</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邀请函</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交通管制公告（车贴+kt）</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60*90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志愿者接送车指示牌</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摆渡车指示牌</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摆渡车线路图（kt+海报架）运动员报到处</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80*120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99</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帐篷门头牌</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手提海报架</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双面直立海报架</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102</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车贴kt板</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60*90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农夫集市布置</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道路喷绘背景</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15X3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平方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停车场指示（kt+海报架）</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60*90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垃圾投放点（kt+手提海报架）</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60*90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运动员晚宴券</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张</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好汉坡</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80X120cm车贴kt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109</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换项区出口入口</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40X60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观赏区海报架</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66"/>
                <w:lang w:val="en-US" w:eastAsia="zh-CN" w:bidi="ar"/>
              </w:rPr>
            </w:pPr>
            <w:r>
              <w:rPr>
                <w:rFonts w:hint="eastAsia" w:ascii="宋体" w:hAnsi="宋体" w:eastAsia="宋体" w:cs="宋体"/>
                <w:i w:val="0"/>
                <w:iCs w:val="0"/>
                <w:color w:val="000000"/>
                <w:kern w:val="0"/>
                <w:sz w:val="22"/>
                <w:szCs w:val="22"/>
                <w:u w:val="none"/>
                <w:lang w:val="en-US" w:eastAsia="zh-CN" w:bidi="ar"/>
              </w:rPr>
              <w:t>赛道指示牌</w:t>
            </w:r>
          </w:p>
        </w:tc>
        <w:tc>
          <w:tcPr>
            <w:tcW w:w="4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60*90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2"/>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5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22"/>
                <w:szCs w:val="22"/>
                <w:u w:val="none"/>
                <w:lang w:val="en-US" w:eastAsia="zh-CN" w:bidi="ar"/>
              </w:rPr>
            </w:pPr>
          </w:p>
        </w:tc>
      </w:tr>
    </w:tbl>
    <w:p>
      <w:pPr>
        <w:rPr>
          <w:rFonts w:hint="eastAsia"/>
          <w:lang w:val="en-US" w:eastAsia="zh-CN"/>
        </w:rPr>
      </w:pPr>
    </w:p>
    <w:p>
      <w:pPr>
        <w:rPr>
          <w:rFonts w:hint="default"/>
          <w:color w:val="FF0000"/>
          <w:lang w:val="en-US" w:eastAsia="zh-CN"/>
        </w:rPr>
      </w:pPr>
      <w:r>
        <w:rPr>
          <w:rFonts w:hint="eastAsia"/>
          <w:color w:val="FF0000"/>
          <w:lang w:val="en-US" w:eastAsia="zh-CN"/>
        </w:rPr>
        <w:t>注意：</w:t>
      </w:r>
      <w:r>
        <w:rPr>
          <w:rFonts w:hint="eastAsia"/>
          <w:color w:val="FF0000"/>
          <w:lang w:val="zh-CN" w:eastAsia="zh-CN"/>
        </w:rPr>
        <w:t>以上</w:t>
      </w:r>
      <w:r>
        <w:rPr>
          <w:rFonts w:hint="eastAsia"/>
          <w:color w:val="FF0000"/>
          <w:lang w:val="en-US" w:eastAsia="zh-CN"/>
        </w:rPr>
        <w:t>赛事</w:t>
      </w:r>
      <w:r>
        <w:rPr>
          <w:rFonts w:hint="eastAsia"/>
          <w:color w:val="FF0000"/>
          <w:lang w:val="zh-CN" w:eastAsia="zh-CN"/>
        </w:rPr>
        <w:t>清单及数量仅</w:t>
      </w:r>
      <w:r>
        <w:rPr>
          <w:rFonts w:hint="eastAsia"/>
          <w:color w:val="FF0000"/>
          <w:lang w:val="en-US" w:eastAsia="zh-CN"/>
        </w:rPr>
        <w:t>为赛事初步方案参考</w:t>
      </w:r>
      <w:r>
        <w:rPr>
          <w:rFonts w:hint="eastAsia"/>
          <w:color w:val="FF0000"/>
          <w:lang w:val="zh-CN" w:eastAsia="zh-CN"/>
        </w:rPr>
        <w:t>，具体以实际赛事需求数量为准，投标人可按实际需求进行填写，</w:t>
      </w:r>
      <w:r>
        <w:rPr>
          <w:rFonts w:hint="eastAsia"/>
          <w:color w:val="FF0000"/>
          <w:lang w:val="en-US" w:eastAsia="zh-CN"/>
        </w:rPr>
        <w:t>但具体数量及规模不得低于以上清单</w:t>
      </w:r>
      <w:r>
        <w:rPr>
          <w:rFonts w:hint="eastAsia"/>
          <w:color w:val="FF0000"/>
          <w:lang w:val="zh-CN" w:eastAsia="zh-CN"/>
        </w:rPr>
        <w:t>。</w:t>
      </w:r>
      <w:r>
        <w:rPr>
          <w:rFonts w:hint="eastAsia"/>
          <w:color w:val="FF0000"/>
          <w:lang w:val="en-US" w:eastAsia="zh-CN"/>
        </w:rPr>
        <w:t>赛事前所有清单项目都应该与采购人协商确认后投入使用。赛事完赛后验收结算数量按满足赛事实际需求为准，少报漏项不另外加价，视为已经包含在总价内。若实际使用数量比投标所报数量减少，以最终实际验收数量进行结算扣减。</w:t>
      </w:r>
    </w:p>
    <w:p>
      <w:pPr>
        <w:pStyle w:val="515"/>
        <w:spacing w:line="500" w:lineRule="exact"/>
        <w:jc w:val="left"/>
        <w:rPr>
          <w:rFonts w:hint="eastAsia" w:ascii="宋体" w:hAnsi="宋体" w:eastAsia="宋体" w:cs="宋体"/>
          <w:b/>
          <w:sz w:val="28"/>
          <w:szCs w:val="28"/>
          <w:lang w:val="en-US" w:eastAsia="zh-CN"/>
        </w:rPr>
      </w:pPr>
    </w:p>
    <w:p>
      <w:pPr>
        <w:pStyle w:val="515"/>
        <w:spacing w:line="500" w:lineRule="exact"/>
        <w:jc w:val="left"/>
        <w:rPr>
          <w:rFonts w:hint="eastAsia" w:ascii="宋体" w:hAnsi="宋体" w:eastAsia="宋体" w:cs="宋体"/>
          <w:b/>
          <w:sz w:val="28"/>
          <w:szCs w:val="28"/>
          <w:lang w:val="zh-CN"/>
        </w:rPr>
      </w:pPr>
      <w:r>
        <w:rPr>
          <w:rFonts w:hint="eastAsia" w:ascii="宋体" w:hAnsi="宋体" w:eastAsia="宋体" w:cs="宋体"/>
          <w:b/>
          <w:sz w:val="28"/>
          <w:szCs w:val="28"/>
          <w:lang w:val="en-US" w:eastAsia="zh-CN"/>
        </w:rPr>
        <w:t>三、</w:t>
      </w:r>
      <w:r>
        <w:rPr>
          <w:rFonts w:hint="eastAsia" w:ascii="宋体" w:hAnsi="宋体" w:eastAsia="宋体" w:cs="宋体"/>
          <w:b/>
          <w:sz w:val="28"/>
          <w:szCs w:val="28"/>
          <w:lang w:val="zh-CN"/>
        </w:rPr>
        <w:t>项目时间：</w:t>
      </w:r>
    </w:p>
    <w:p>
      <w:pPr>
        <w:pStyle w:val="515"/>
        <w:spacing w:line="500" w:lineRule="exact"/>
        <w:ind w:firstLine="560"/>
        <w:jc w:val="left"/>
        <w:rPr>
          <w:rFonts w:hint="eastAsia" w:ascii="宋体" w:hAnsi="宋体" w:eastAsia="宋体" w:cs="宋体"/>
          <w:bCs/>
          <w:color w:val="FF0000"/>
          <w:sz w:val="24"/>
          <w:szCs w:val="24"/>
          <w:lang w:val="zh-CN"/>
        </w:rPr>
      </w:pPr>
      <w:r>
        <w:rPr>
          <w:rFonts w:hint="eastAsia" w:ascii="宋体" w:hAnsi="宋体" w:eastAsia="宋体" w:cs="宋体"/>
          <w:bCs/>
          <w:color w:val="FF0000"/>
          <w:sz w:val="24"/>
          <w:szCs w:val="24"/>
          <w:lang w:val="zh-CN"/>
        </w:rPr>
        <w:t>202</w:t>
      </w:r>
      <w:r>
        <w:rPr>
          <w:rFonts w:hint="eastAsia" w:ascii="宋体" w:hAnsi="宋体" w:eastAsia="宋体" w:cs="宋体"/>
          <w:bCs/>
          <w:color w:val="FF0000"/>
          <w:sz w:val="24"/>
          <w:szCs w:val="24"/>
          <w:lang w:val="en-US" w:eastAsia="zh-CN"/>
        </w:rPr>
        <w:t>4</w:t>
      </w:r>
      <w:r>
        <w:rPr>
          <w:rFonts w:hint="eastAsia" w:ascii="宋体" w:hAnsi="宋体" w:eastAsia="宋体" w:cs="宋体"/>
          <w:bCs/>
          <w:color w:val="FF0000"/>
          <w:sz w:val="24"/>
          <w:szCs w:val="24"/>
          <w:lang w:val="zh-CN"/>
        </w:rPr>
        <w:t>年</w:t>
      </w:r>
      <w:r>
        <w:rPr>
          <w:rFonts w:hint="eastAsia" w:ascii="宋体" w:hAnsi="宋体" w:cs="宋体"/>
          <w:bCs/>
          <w:color w:val="FF0000"/>
          <w:sz w:val="24"/>
          <w:szCs w:val="24"/>
          <w:lang w:val="en-US" w:eastAsia="zh-CN"/>
        </w:rPr>
        <w:t>4</w:t>
      </w:r>
      <w:r>
        <w:rPr>
          <w:rFonts w:hint="eastAsia" w:ascii="宋体" w:hAnsi="宋体" w:eastAsia="宋体" w:cs="宋体"/>
          <w:bCs/>
          <w:color w:val="FF0000"/>
          <w:sz w:val="24"/>
          <w:szCs w:val="24"/>
          <w:lang w:val="zh-CN"/>
        </w:rPr>
        <w:t>月</w:t>
      </w:r>
      <w:r>
        <w:rPr>
          <w:rFonts w:hint="eastAsia" w:ascii="宋体" w:hAnsi="宋体" w:cs="宋体"/>
          <w:bCs/>
          <w:color w:val="FF0000"/>
          <w:sz w:val="24"/>
          <w:szCs w:val="24"/>
          <w:lang w:val="en-US" w:eastAsia="zh-CN"/>
        </w:rPr>
        <w:t>20日报到</w:t>
      </w:r>
      <w:r>
        <w:rPr>
          <w:rFonts w:hint="eastAsia" w:ascii="宋体" w:hAnsi="宋体" w:eastAsia="宋体" w:cs="宋体"/>
          <w:bCs/>
          <w:color w:val="FF0000"/>
          <w:sz w:val="24"/>
          <w:szCs w:val="24"/>
          <w:lang w:val="zh-CN"/>
        </w:rPr>
        <w:t>，</w:t>
      </w:r>
      <w:r>
        <w:rPr>
          <w:rFonts w:hint="eastAsia" w:ascii="宋体" w:hAnsi="宋体" w:cs="宋体"/>
          <w:bCs/>
          <w:color w:val="FF0000"/>
          <w:sz w:val="24"/>
          <w:szCs w:val="24"/>
          <w:lang w:val="en-US" w:eastAsia="zh-CN"/>
        </w:rPr>
        <w:t>4月21日正式比赛</w:t>
      </w:r>
      <w:r>
        <w:rPr>
          <w:rFonts w:hint="eastAsia" w:ascii="宋体" w:hAnsi="宋体" w:eastAsia="宋体" w:cs="宋体"/>
          <w:bCs/>
          <w:color w:val="FF0000"/>
          <w:sz w:val="24"/>
          <w:szCs w:val="24"/>
          <w:lang w:val="zh-CN"/>
        </w:rPr>
        <w:t>，具体根据主办方情况而定。</w:t>
      </w:r>
    </w:p>
    <w:p>
      <w:pPr>
        <w:pStyle w:val="515"/>
        <w:spacing w:line="500" w:lineRule="exact"/>
        <w:ind w:firstLine="560"/>
        <w:jc w:val="left"/>
        <w:rPr>
          <w:rFonts w:hint="eastAsia" w:ascii="宋体" w:hAnsi="宋体" w:eastAsia="宋体" w:cs="宋体"/>
          <w:bCs/>
          <w:sz w:val="24"/>
          <w:szCs w:val="24"/>
          <w:lang w:val="zh-CN"/>
        </w:rPr>
      </w:pPr>
      <w:r>
        <w:rPr>
          <w:rFonts w:hint="eastAsia" w:ascii="宋体" w:hAnsi="宋体" w:eastAsia="宋体" w:cs="宋体"/>
          <w:bCs/>
          <w:sz w:val="24"/>
          <w:szCs w:val="24"/>
          <w:lang w:val="zh-CN"/>
        </w:rPr>
        <w:t>项目具体服务内容：策划并执行一场以“铁人三项”运动为核心融合乡村、融合体育的大型体验赛事，包含活动策划、活动设计、活动执行、活动宣发等。</w:t>
      </w:r>
    </w:p>
    <w:p>
      <w:pPr>
        <w:pStyle w:val="26"/>
        <w:rPr>
          <w:rFonts w:hint="eastAsia"/>
          <w:lang w:val="zh-CN"/>
        </w:rPr>
      </w:pPr>
    </w:p>
    <w:p>
      <w:pPr>
        <w:pStyle w:val="26"/>
        <w:numPr>
          <w:ilvl w:val="0"/>
          <w:numId w:val="6"/>
        </w:numPr>
        <w:rPr>
          <w:rFonts w:hint="eastAsia" w:ascii="宋体" w:hAnsi="宋体" w:eastAsia="宋体" w:cs="宋体"/>
          <w:b/>
          <w:color w:val="FF0000"/>
          <w:sz w:val="28"/>
          <w:szCs w:val="28"/>
          <w:lang w:val="zh-CN"/>
        </w:rPr>
      </w:pPr>
      <w:r>
        <w:rPr>
          <w:rFonts w:hint="eastAsia" w:hAnsi="宋体" w:cs="宋体"/>
          <w:b/>
          <w:color w:val="FF0000"/>
          <w:sz w:val="28"/>
          <w:szCs w:val="28"/>
          <w:lang w:val="en-US" w:eastAsia="zh-CN"/>
        </w:rPr>
        <w:t>参赛人员要求</w:t>
      </w:r>
      <w:r>
        <w:rPr>
          <w:rFonts w:hint="eastAsia" w:ascii="宋体" w:hAnsi="宋体" w:eastAsia="宋体" w:cs="宋体"/>
          <w:b/>
          <w:color w:val="FF0000"/>
          <w:sz w:val="28"/>
          <w:szCs w:val="28"/>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60" w:firstLineChars="200"/>
        <w:textAlignment w:val="auto"/>
        <w:rPr>
          <w:rFonts w:hint="default" w:ascii="宋体" w:hAnsi="宋体" w:eastAsia="宋体" w:cs="宋体"/>
          <w:bCs/>
          <w:color w:val="FF0000"/>
          <w:spacing w:val="-5"/>
          <w:kern w:val="0"/>
          <w:sz w:val="24"/>
          <w:szCs w:val="24"/>
          <w:lang w:val="en-US" w:eastAsia="zh-CN" w:bidi="ar-SA"/>
        </w:rPr>
      </w:pPr>
      <w:r>
        <w:rPr>
          <w:rFonts w:hint="eastAsia" w:ascii="宋体" w:hAnsi="宋体" w:eastAsia="宋体" w:cs="宋体"/>
          <w:bCs/>
          <w:color w:val="FF0000"/>
          <w:spacing w:val="-5"/>
          <w:kern w:val="0"/>
          <w:sz w:val="24"/>
          <w:szCs w:val="24"/>
          <w:lang w:val="en-US" w:eastAsia="zh-CN" w:bidi="ar-SA"/>
        </w:rPr>
        <w:t>要求实际参赛人数500人及以上，若实际参赛人数450</w:t>
      </w:r>
      <w:r>
        <w:rPr>
          <w:rFonts w:hint="eastAsia" w:ascii="宋体" w:hAnsi="宋体" w:cs="宋体"/>
          <w:bCs/>
          <w:color w:val="FF0000"/>
          <w:spacing w:val="-5"/>
          <w:kern w:val="0"/>
          <w:sz w:val="24"/>
          <w:szCs w:val="24"/>
          <w:lang w:val="en-US" w:eastAsia="zh-CN" w:bidi="ar-SA"/>
        </w:rPr>
        <w:t>（含）</w:t>
      </w:r>
      <w:r>
        <w:rPr>
          <w:rFonts w:hint="eastAsia" w:ascii="宋体" w:hAnsi="宋体" w:eastAsia="宋体" w:cs="宋体"/>
          <w:bCs/>
          <w:color w:val="FF0000"/>
          <w:spacing w:val="-5"/>
          <w:kern w:val="0"/>
          <w:sz w:val="24"/>
          <w:szCs w:val="24"/>
          <w:lang w:val="en-US" w:eastAsia="zh-CN" w:bidi="ar-SA"/>
        </w:rPr>
        <w:t>-500</w:t>
      </w:r>
      <w:r>
        <w:rPr>
          <w:rFonts w:hint="eastAsia" w:ascii="宋体" w:hAnsi="宋体" w:cs="宋体"/>
          <w:bCs/>
          <w:color w:val="FF0000"/>
          <w:spacing w:val="-5"/>
          <w:kern w:val="0"/>
          <w:sz w:val="24"/>
          <w:szCs w:val="24"/>
          <w:lang w:val="en-US" w:eastAsia="zh-CN" w:bidi="ar-SA"/>
        </w:rPr>
        <w:t>人，</w:t>
      </w:r>
      <w:r>
        <w:rPr>
          <w:rFonts w:hint="eastAsia" w:ascii="宋体" w:hAnsi="宋体" w:eastAsia="宋体" w:cs="宋体"/>
          <w:bCs/>
          <w:color w:val="FF0000"/>
          <w:spacing w:val="-5"/>
          <w:kern w:val="0"/>
          <w:sz w:val="24"/>
          <w:szCs w:val="24"/>
          <w:lang w:val="en-US" w:eastAsia="zh-CN" w:bidi="ar-SA"/>
        </w:rPr>
        <w:t>扣除中标金额的2%；若实际参赛人数400</w:t>
      </w:r>
      <w:r>
        <w:rPr>
          <w:rFonts w:hint="eastAsia" w:ascii="宋体" w:hAnsi="宋体" w:cs="宋体"/>
          <w:bCs/>
          <w:color w:val="FF0000"/>
          <w:spacing w:val="-5"/>
          <w:kern w:val="0"/>
          <w:sz w:val="24"/>
          <w:szCs w:val="24"/>
          <w:lang w:val="en-US" w:eastAsia="zh-CN" w:bidi="ar-SA"/>
        </w:rPr>
        <w:t>（含）</w:t>
      </w:r>
      <w:r>
        <w:rPr>
          <w:rFonts w:hint="eastAsia" w:ascii="宋体" w:hAnsi="宋体" w:eastAsia="宋体" w:cs="宋体"/>
          <w:bCs/>
          <w:color w:val="FF0000"/>
          <w:spacing w:val="-5"/>
          <w:kern w:val="0"/>
          <w:sz w:val="24"/>
          <w:szCs w:val="24"/>
          <w:lang w:val="en-US" w:eastAsia="zh-CN" w:bidi="ar-SA"/>
        </w:rPr>
        <w:t>-450</w:t>
      </w:r>
      <w:r>
        <w:rPr>
          <w:rFonts w:hint="eastAsia" w:ascii="宋体" w:hAnsi="宋体" w:cs="宋体"/>
          <w:bCs/>
          <w:color w:val="FF0000"/>
          <w:spacing w:val="-5"/>
          <w:kern w:val="0"/>
          <w:sz w:val="24"/>
          <w:szCs w:val="24"/>
          <w:lang w:val="en-US" w:eastAsia="zh-CN" w:bidi="ar-SA"/>
        </w:rPr>
        <w:t>人，</w:t>
      </w:r>
      <w:r>
        <w:rPr>
          <w:rFonts w:hint="eastAsia" w:ascii="宋体" w:hAnsi="宋体" w:eastAsia="宋体" w:cs="宋体"/>
          <w:bCs/>
          <w:color w:val="FF0000"/>
          <w:spacing w:val="-5"/>
          <w:kern w:val="0"/>
          <w:sz w:val="24"/>
          <w:szCs w:val="24"/>
          <w:lang w:val="en-US" w:eastAsia="zh-CN" w:bidi="ar-SA"/>
        </w:rPr>
        <w:t>扣除中标金额的5%；若实际参赛人数350</w:t>
      </w:r>
      <w:r>
        <w:rPr>
          <w:rFonts w:hint="eastAsia" w:ascii="宋体" w:hAnsi="宋体" w:cs="宋体"/>
          <w:bCs/>
          <w:color w:val="FF0000"/>
          <w:spacing w:val="-5"/>
          <w:kern w:val="0"/>
          <w:sz w:val="24"/>
          <w:szCs w:val="24"/>
          <w:lang w:val="en-US" w:eastAsia="zh-CN" w:bidi="ar-SA"/>
        </w:rPr>
        <w:t>（含）</w:t>
      </w:r>
      <w:r>
        <w:rPr>
          <w:rFonts w:hint="eastAsia" w:ascii="宋体" w:hAnsi="宋体" w:eastAsia="宋体" w:cs="宋体"/>
          <w:bCs/>
          <w:color w:val="FF0000"/>
          <w:spacing w:val="-5"/>
          <w:kern w:val="0"/>
          <w:sz w:val="24"/>
          <w:szCs w:val="24"/>
          <w:lang w:val="en-US" w:eastAsia="zh-CN" w:bidi="ar-SA"/>
        </w:rPr>
        <w:t>-400</w:t>
      </w:r>
      <w:r>
        <w:rPr>
          <w:rFonts w:hint="eastAsia" w:ascii="宋体" w:hAnsi="宋体" w:cs="宋体"/>
          <w:bCs/>
          <w:color w:val="FF0000"/>
          <w:spacing w:val="-5"/>
          <w:kern w:val="0"/>
          <w:sz w:val="24"/>
          <w:szCs w:val="24"/>
          <w:lang w:val="en-US" w:eastAsia="zh-CN" w:bidi="ar-SA"/>
        </w:rPr>
        <w:t>人，</w:t>
      </w:r>
      <w:r>
        <w:rPr>
          <w:rFonts w:hint="eastAsia" w:ascii="宋体" w:hAnsi="宋体" w:eastAsia="宋体" w:cs="宋体"/>
          <w:bCs/>
          <w:color w:val="FF0000"/>
          <w:spacing w:val="-5"/>
          <w:kern w:val="0"/>
          <w:sz w:val="24"/>
          <w:szCs w:val="24"/>
          <w:lang w:val="en-US" w:eastAsia="zh-CN" w:bidi="ar-SA"/>
        </w:rPr>
        <w:t>扣除中标金额的9%；若实际参赛人数300</w:t>
      </w:r>
      <w:r>
        <w:rPr>
          <w:rFonts w:hint="eastAsia" w:ascii="宋体" w:hAnsi="宋体" w:cs="宋体"/>
          <w:bCs/>
          <w:color w:val="FF0000"/>
          <w:spacing w:val="-5"/>
          <w:kern w:val="0"/>
          <w:sz w:val="24"/>
          <w:szCs w:val="24"/>
          <w:lang w:val="en-US" w:eastAsia="zh-CN" w:bidi="ar-SA"/>
        </w:rPr>
        <w:t>（含）</w:t>
      </w:r>
      <w:r>
        <w:rPr>
          <w:rFonts w:hint="eastAsia" w:ascii="宋体" w:hAnsi="宋体" w:eastAsia="宋体" w:cs="宋体"/>
          <w:bCs/>
          <w:color w:val="FF0000"/>
          <w:spacing w:val="-5"/>
          <w:kern w:val="0"/>
          <w:sz w:val="24"/>
          <w:szCs w:val="24"/>
          <w:lang w:val="en-US" w:eastAsia="zh-CN" w:bidi="ar-SA"/>
        </w:rPr>
        <w:t>-350</w:t>
      </w:r>
      <w:r>
        <w:rPr>
          <w:rFonts w:hint="eastAsia" w:ascii="宋体" w:hAnsi="宋体" w:cs="宋体"/>
          <w:bCs/>
          <w:color w:val="FF0000"/>
          <w:spacing w:val="-5"/>
          <w:kern w:val="0"/>
          <w:sz w:val="24"/>
          <w:szCs w:val="24"/>
          <w:lang w:val="en-US" w:eastAsia="zh-CN" w:bidi="ar-SA"/>
        </w:rPr>
        <w:t>人，</w:t>
      </w:r>
      <w:r>
        <w:rPr>
          <w:rFonts w:hint="eastAsia" w:ascii="宋体" w:hAnsi="宋体" w:eastAsia="宋体" w:cs="宋体"/>
          <w:bCs/>
          <w:color w:val="FF0000"/>
          <w:spacing w:val="-5"/>
          <w:kern w:val="0"/>
          <w:sz w:val="24"/>
          <w:szCs w:val="24"/>
          <w:lang w:val="en-US" w:eastAsia="zh-CN" w:bidi="ar-SA"/>
        </w:rPr>
        <w:t>扣除中标金额的14%；若实际参赛人数低于300</w:t>
      </w:r>
      <w:r>
        <w:rPr>
          <w:rFonts w:hint="eastAsia" w:ascii="宋体" w:hAnsi="宋体" w:cs="宋体"/>
          <w:bCs/>
          <w:color w:val="FF0000"/>
          <w:spacing w:val="-5"/>
          <w:kern w:val="0"/>
          <w:sz w:val="24"/>
          <w:szCs w:val="24"/>
          <w:lang w:val="en-US" w:eastAsia="zh-CN" w:bidi="ar-SA"/>
        </w:rPr>
        <w:t>人，</w:t>
      </w:r>
      <w:r>
        <w:rPr>
          <w:rFonts w:hint="eastAsia" w:ascii="宋体" w:hAnsi="宋体" w:eastAsia="宋体" w:cs="宋体"/>
          <w:bCs/>
          <w:color w:val="FF0000"/>
          <w:spacing w:val="-5"/>
          <w:kern w:val="0"/>
          <w:sz w:val="24"/>
          <w:szCs w:val="24"/>
          <w:lang w:val="en-US" w:eastAsia="zh-CN" w:bidi="ar-SA"/>
        </w:rPr>
        <w:t>扣除中标金额的40%</w:t>
      </w:r>
      <w:r>
        <w:rPr>
          <w:rFonts w:hint="eastAsia" w:ascii="宋体" w:hAnsi="宋体" w:cs="宋体"/>
          <w:bCs/>
          <w:color w:val="FF0000"/>
          <w:spacing w:val="-5"/>
          <w:kern w:val="0"/>
          <w:sz w:val="24"/>
          <w:szCs w:val="24"/>
          <w:lang w:val="en-US" w:eastAsia="zh-CN" w:bidi="ar-SA"/>
        </w:rPr>
        <w:t>。</w:t>
      </w:r>
    </w:p>
    <w:p>
      <w:pPr>
        <w:pStyle w:val="515"/>
        <w:spacing w:line="500" w:lineRule="exact"/>
        <w:jc w:val="left"/>
        <w:rPr>
          <w:rFonts w:hint="eastAsia" w:ascii="宋体" w:hAnsi="宋体" w:eastAsia="宋体" w:cs="宋体"/>
          <w:b/>
          <w:sz w:val="28"/>
          <w:szCs w:val="28"/>
          <w:lang w:val="zh-CN"/>
        </w:rPr>
      </w:pPr>
      <w:r>
        <w:rPr>
          <w:rFonts w:hint="eastAsia" w:ascii="宋体" w:hAnsi="宋体" w:cs="宋体"/>
          <w:b/>
          <w:sz w:val="28"/>
          <w:szCs w:val="28"/>
          <w:lang w:val="en-US" w:eastAsia="zh-CN"/>
        </w:rPr>
        <w:t>五</w:t>
      </w:r>
      <w:r>
        <w:rPr>
          <w:rFonts w:hint="eastAsia" w:ascii="宋体" w:hAnsi="宋体" w:eastAsia="宋体" w:cs="宋体"/>
          <w:b/>
          <w:sz w:val="28"/>
          <w:szCs w:val="28"/>
          <w:lang w:val="en-US" w:eastAsia="zh-CN"/>
        </w:rPr>
        <w:t>、</w:t>
      </w:r>
      <w:r>
        <w:rPr>
          <w:rFonts w:hint="eastAsia" w:ascii="宋体" w:hAnsi="宋体" w:eastAsia="宋体" w:cs="宋体"/>
          <w:b/>
          <w:sz w:val="28"/>
          <w:szCs w:val="28"/>
          <w:lang w:val="zh-CN"/>
        </w:rPr>
        <w:t>项目详细要求：</w:t>
      </w:r>
    </w:p>
    <w:p>
      <w:pPr>
        <w:pStyle w:val="515"/>
        <w:spacing w:line="500" w:lineRule="exact"/>
        <w:ind w:firstLine="560"/>
        <w:jc w:val="left"/>
        <w:rPr>
          <w:rFonts w:hint="eastAsia" w:ascii="宋体" w:hAnsi="宋体" w:eastAsia="宋体" w:cs="宋体"/>
          <w:bCs/>
          <w:sz w:val="24"/>
          <w:szCs w:val="24"/>
          <w:lang w:val="zh-CN"/>
        </w:rPr>
      </w:pPr>
      <w:r>
        <w:rPr>
          <w:rFonts w:hint="eastAsia" w:ascii="宋体" w:hAnsi="宋体" w:eastAsia="宋体" w:cs="宋体"/>
          <w:bCs/>
          <w:sz w:val="24"/>
          <w:szCs w:val="24"/>
          <w:lang w:val="zh-CN"/>
        </w:rPr>
        <w:t>供应商须具有大型赛事活动策划和组织的经验。项目主要分为三个重要版块实施：赛事前期策划设计、赛事现场执行、赛事宣发，具体如下：</w:t>
      </w:r>
    </w:p>
    <w:p>
      <w:pPr>
        <w:pStyle w:val="515"/>
        <w:spacing w:line="500" w:lineRule="exact"/>
        <w:ind w:firstLine="560"/>
        <w:jc w:val="left"/>
        <w:rPr>
          <w:rFonts w:hint="eastAsia" w:ascii="宋体" w:hAnsi="宋体" w:eastAsia="宋体" w:cs="宋体"/>
          <w:bCs/>
          <w:sz w:val="24"/>
          <w:szCs w:val="24"/>
          <w:lang w:val="zh-CN"/>
        </w:rPr>
      </w:pPr>
      <w:r>
        <w:rPr>
          <w:rFonts w:hint="eastAsia" w:ascii="宋体" w:hAnsi="宋体" w:eastAsia="宋体" w:cs="宋体"/>
          <w:bCs/>
          <w:sz w:val="24"/>
          <w:szCs w:val="24"/>
          <w:lang w:val="zh-CN"/>
        </w:rPr>
        <w:t>赛事前期策划设计：赛事主题、赛事策划方案、制定赛事场地区域内容、赛事供应商选拔、物料采购、舞台环节等。</w:t>
      </w:r>
    </w:p>
    <w:p>
      <w:pPr>
        <w:pStyle w:val="515"/>
        <w:spacing w:line="500" w:lineRule="exact"/>
        <w:ind w:firstLine="560"/>
        <w:jc w:val="left"/>
        <w:rPr>
          <w:rFonts w:hint="eastAsia" w:ascii="宋体" w:hAnsi="宋体" w:eastAsia="宋体" w:cs="宋体"/>
          <w:bCs/>
          <w:sz w:val="24"/>
          <w:szCs w:val="24"/>
          <w:lang w:val="zh-CN"/>
        </w:rPr>
      </w:pPr>
      <w:r>
        <w:rPr>
          <w:rFonts w:hint="eastAsia" w:ascii="宋体" w:hAnsi="宋体" w:eastAsia="宋体" w:cs="宋体"/>
          <w:bCs/>
          <w:sz w:val="24"/>
          <w:szCs w:val="24"/>
          <w:lang w:val="zh-CN"/>
        </w:rPr>
        <w:t>赛事现场执行：赛事方案的执行，包括舞台搭建、灯光舞美、音响声控设备、背景全套包装、物料制作、人工搭建费用、赛事业态供应商，以及主持人、礼仪、排练指导等，等一律由成交供应商承担。</w:t>
      </w:r>
    </w:p>
    <w:p>
      <w:pPr>
        <w:pStyle w:val="515"/>
        <w:keepNext w:val="0"/>
        <w:keepLines w:val="0"/>
        <w:pageBreakBefore w:val="0"/>
        <w:widowControl w:val="0"/>
        <w:kinsoku/>
        <w:wordWrap/>
        <w:overflowPunct/>
        <w:topLinePunct w:val="0"/>
        <w:bidi w:val="0"/>
        <w:snapToGrid/>
        <w:spacing w:line="360" w:lineRule="auto"/>
        <w:ind w:firstLine="460" w:firstLineChars="200"/>
        <w:jc w:val="left"/>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赛事宣发：赛事前期推广方案、赛事场地内宣发广告、媒体渠道宣发包括且不限于（微博/抖音/小红书/公众号推文）。</w:t>
      </w:r>
    </w:p>
    <w:p>
      <w:pPr>
        <w:pStyle w:val="26"/>
        <w:ind w:firstLine="480" w:firstLineChars="200"/>
        <w:rPr>
          <w:rFonts w:hint="default" w:eastAsia="宋体"/>
          <w:vertAlign w:val="baseline"/>
          <w:lang w:val="en-US" w:eastAsia="zh-CN"/>
        </w:rPr>
      </w:pPr>
      <w:r>
        <w:rPr>
          <w:rFonts w:hint="eastAsia" w:hAnsi="宋体" w:cs="宋体"/>
          <w:bCs/>
          <w:color w:val="FF0000"/>
          <w:sz w:val="24"/>
          <w:szCs w:val="24"/>
          <w:lang w:val="en-US" w:eastAsia="zh-CN"/>
        </w:rPr>
        <w:t>活动赛事固定报价部分：</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99"/>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199" w:type="dxa"/>
          </w:tcPr>
          <w:p>
            <w:pPr>
              <w:pStyle w:val="26"/>
              <w:jc w:val="center"/>
              <w:rPr>
                <w:rFonts w:hint="default" w:eastAsia="宋体"/>
                <w:color w:val="FF0000"/>
                <w:vertAlign w:val="baseline"/>
                <w:lang w:val="en-US" w:eastAsia="zh-CN"/>
              </w:rPr>
            </w:pPr>
            <w:r>
              <w:rPr>
                <w:rFonts w:hint="eastAsia"/>
                <w:color w:val="FF0000"/>
                <w:vertAlign w:val="baseline"/>
                <w:lang w:val="en-US" w:eastAsia="zh-CN"/>
              </w:rPr>
              <w:t>项目</w:t>
            </w:r>
          </w:p>
        </w:tc>
        <w:tc>
          <w:tcPr>
            <w:tcW w:w="4200" w:type="dxa"/>
          </w:tcPr>
          <w:p>
            <w:pPr>
              <w:pStyle w:val="26"/>
              <w:jc w:val="center"/>
              <w:rPr>
                <w:rFonts w:hint="default" w:eastAsia="宋体"/>
                <w:color w:val="FF0000"/>
                <w:vertAlign w:val="baseline"/>
                <w:lang w:val="en-US" w:eastAsia="zh-CN"/>
              </w:rPr>
            </w:pPr>
            <w:r>
              <w:rPr>
                <w:rFonts w:hint="eastAsia"/>
                <w:color w:val="FF0000"/>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199" w:type="dxa"/>
          </w:tcPr>
          <w:p>
            <w:pPr>
              <w:pStyle w:val="26"/>
              <w:jc w:val="center"/>
              <w:rPr>
                <w:rFonts w:hint="default" w:eastAsia="宋体"/>
                <w:color w:val="FF0000"/>
                <w:vertAlign w:val="baseline"/>
                <w:lang w:val="en-US" w:eastAsia="zh-CN"/>
              </w:rPr>
            </w:pPr>
            <w:r>
              <w:rPr>
                <w:rFonts w:hint="eastAsia"/>
                <w:color w:val="FF0000"/>
                <w:vertAlign w:val="baseline"/>
                <w:lang w:val="en-US" w:eastAsia="zh-CN"/>
              </w:rPr>
              <w:t>选手奖金</w:t>
            </w:r>
          </w:p>
        </w:tc>
        <w:tc>
          <w:tcPr>
            <w:tcW w:w="4200" w:type="dxa"/>
          </w:tcPr>
          <w:p>
            <w:pPr>
              <w:pStyle w:val="26"/>
              <w:jc w:val="center"/>
              <w:rPr>
                <w:rFonts w:hint="default" w:eastAsia="宋体"/>
                <w:color w:val="FF0000"/>
                <w:vertAlign w:val="baseline"/>
                <w:lang w:val="en-US" w:eastAsia="zh-CN"/>
              </w:rPr>
            </w:pPr>
            <w:r>
              <w:rPr>
                <w:rFonts w:hint="eastAsia"/>
                <w:color w:val="FF0000"/>
                <w:vertAlign w:val="baseline"/>
                <w:lang w:val="en-US" w:eastAsia="zh-CN"/>
              </w:rPr>
              <w:t>151300</w:t>
            </w:r>
          </w:p>
        </w:tc>
      </w:tr>
    </w:tbl>
    <w:p>
      <w:pPr>
        <w:pStyle w:val="26"/>
        <w:ind w:firstLine="480" w:firstLineChars="200"/>
        <w:rPr>
          <w:rFonts w:hint="default" w:eastAsia="宋体"/>
          <w:lang w:val="en-US" w:eastAsia="zh-CN"/>
        </w:rPr>
      </w:pPr>
    </w:p>
    <w:p>
      <w:pPr>
        <w:pStyle w:val="26"/>
        <w:keepNext w:val="0"/>
        <w:keepLines w:val="0"/>
        <w:pageBreakBefore w:val="0"/>
        <w:widowControl w:val="0"/>
        <w:kinsoku/>
        <w:wordWrap/>
        <w:overflowPunct/>
        <w:topLinePunct w:val="0"/>
        <w:bidi w:val="0"/>
        <w:snapToGrid/>
        <w:spacing w:line="360" w:lineRule="auto"/>
        <w:ind w:firstLine="480" w:firstLineChars="200"/>
        <w:textAlignment w:val="auto"/>
        <w:rPr>
          <w:rFonts w:hint="eastAsia" w:hAnsi="宋体" w:cs="宋体"/>
          <w:bCs/>
          <w:color w:val="FF0000"/>
          <w:sz w:val="24"/>
          <w:szCs w:val="24"/>
          <w:lang w:val="en-US" w:eastAsia="zh-CN"/>
        </w:rPr>
      </w:pPr>
      <w:r>
        <w:rPr>
          <w:rFonts w:hint="eastAsia" w:hAnsi="宋体" w:cs="宋体"/>
          <w:bCs/>
          <w:color w:val="FF0000"/>
          <w:sz w:val="24"/>
          <w:szCs w:val="24"/>
          <w:lang w:val="en-US" w:eastAsia="zh-CN"/>
        </w:rPr>
        <w:t>活动赛事过程：报名费由中标单位收取，铁三涉及的水质监测费用及赛事安全保障费用由中标单位支付。</w:t>
      </w:r>
    </w:p>
    <w:p>
      <w:pPr>
        <w:snapToGrid w:val="0"/>
        <w:spacing w:line="600" w:lineRule="exact"/>
        <w:ind w:firstLine="480" w:firstLineChars="200"/>
        <w:rPr>
          <w:rFonts w:hint="eastAsia" w:ascii="宋体" w:hAnsi="宋体" w:eastAsia="宋体" w:cs="宋体"/>
          <w:color w:val="FF0000"/>
          <w:sz w:val="24"/>
          <w:szCs w:val="24"/>
          <w:lang w:eastAsia="zh-CN"/>
        </w:rPr>
      </w:pPr>
      <w:r>
        <w:rPr>
          <w:rFonts w:hint="eastAsia" w:ascii="宋体" w:hAnsi="宋体" w:eastAsia="宋体" w:cs="宋体"/>
          <w:color w:val="FF0000"/>
          <w:sz w:val="24"/>
          <w:szCs w:val="24"/>
        </w:rPr>
        <w:t>竞赛距离及分组</w:t>
      </w:r>
      <w:r>
        <w:rPr>
          <w:rFonts w:hint="eastAsia" w:ascii="宋体" w:hAnsi="宋体" w:eastAsia="宋体" w:cs="宋体"/>
          <w:color w:val="FF0000"/>
          <w:sz w:val="24"/>
          <w:szCs w:val="24"/>
          <w:lang w:eastAsia="zh-CN"/>
        </w:rPr>
        <w:t>：</w:t>
      </w:r>
    </w:p>
    <w:p>
      <w:pPr>
        <w:snapToGrid w:val="0"/>
        <w:spacing w:line="600" w:lineRule="exact"/>
        <w:ind w:firstLine="480" w:firstLineChars="200"/>
        <w:rPr>
          <w:rFonts w:hint="eastAsia" w:ascii="宋体" w:hAnsi="宋体" w:eastAsia="宋体" w:cs="宋体"/>
          <w:color w:val="FF0000"/>
          <w:sz w:val="24"/>
          <w:szCs w:val="24"/>
        </w:rPr>
      </w:pPr>
      <w:r>
        <w:rPr>
          <w:rFonts w:hint="eastAsia" w:ascii="宋体" w:hAnsi="宋体" w:eastAsia="宋体" w:cs="宋体"/>
          <w:color w:val="FF0000"/>
          <w:sz w:val="24"/>
          <w:szCs w:val="24"/>
        </w:rPr>
        <w:t>（一）竞赛距离</w:t>
      </w:r>
    </w:p>
    <w:tbl>
      <w:tblPr>
        <w:tblStyle w:val="6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867"/>
        <w:gridCol w:w="1788"/>
        <w:gridCol w:w="1633"/>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bCs/>
                <w:color w:val="FF0000"/>
                <w:sz w:val="24"/>
                <w:szCs w:val="24"/>
              </w:rPr>
              <w:t>项目</w:t>
            </w:r>
          </w:p>
        </w:tc>
        <w:tc>
          <w:tcPr>
            <w:tcW w:w="1100" w:type="pct"/>
            <w:noWrap w:val="0"/>
            <w:vAlign w:val="center"/>
          </w:tcPr>
          <w:p>
            <w:pPr>
              <w:snapToGrid w:val="0"/>
              <w:jc w:val="center"/>
              <w:rPr>
                <w:rFonts w:hint="eastAsia" w:ascii="宋体" w:hAnsi="宋体" w:eastAsia="宋体" w:cs="宋体"/>
                <w:bCs/>
                <w:color w:val="FF0000"/>
                <w:sz w:val="24"/>
                <w:szCs w:val="24"/>
              </w:rPr>
            </w:pPr>
            <w:r>
              <w:rPr>
                <w:rFonts w:hint="eastAsia" w:ascii="宋体" w:hAnsi="宋体" w:eastAsia="宋体" w:cs="宋体"/>
                <w:bCs/>
                <w:color w:val="FF0000"/>
                <w:sz w:val="24"/>
                <w:szCs w:val="24"/>
              </w:rPr>
              <w:t>总距离</w:t>
            </w:r>
          </w:p>
        </w:tc>
        <w:tc>
          <w:tcPr>
            <w:tcW w:w="1053" w:type="pct"/>
            <w:noWrap w:val="0"/>
            <w:vAlign w:val="center"/>
          </w:tcPr>
          <w:p>
            <w:pPr>
              <w:snapToGrid w:val="0"/>
              <w:jc w:val="center"/>
              <w:rPr>
                <w:rFonts w:hint="eastAsia" w:ascii="宋体" w:hAnsi="宋体" w:eastAsia="宋体" w:cs="宋体"/>
                <w:bCs/>
                <w:color w:val="FF0000"/>
                <w:sz w:val="24"/>
                <w:szCs w:val="24"/>
              </w:rPr>
            </w:pPr>
            <w:r>
              <w:rPr>
                <w:rFonts w:hint="eastAsia" w:ascii="宋体" w:hAnsi="宋体" w:eastAsia="宋体" w:cs="宋体"/>
                <w:bCs/>
                <w:color w:val="FF0000"/>
                <w:sz w:val="24"/>
                <w:szCs w:val="24"/>
              </w:rPr>
              <w:t>游泳</w:t>
            </w:r>
          </w:p>
        </w:tc>
        <w:tc>
          <w:tcPr>
            <w:tcW w:w="962" w:type="pct"/>
            <w:noWrap w:val="0"/>
            <w:vAlign w:val="center"/>
          </w:tcPr>
          <w:p>
            <w:pPr>
              <w:snapToGrid w:val="0"/>
              <w:jc w:val="center"/>
              <w:rPr>
                <w:rFonts w:hint="eastAsia" w:ascii="宋体" w:hAnsi="宋体" w:eastAsia="宋体" w:cs="宋体"/>
                <w:bCs/>
                <w:color w:val="FF0000"/>
                <w:sz w:val="24"/>
                <w:szCs w:val="24"/>
              </w:rPr>
            </w:pPr>
            <w:r>
              <w:rPr>
                <w:rFonts w:hint="eastAsia" w:ascii="宋体" w:hAnsi="宋体" w:eastAsia="宋体" w:cs="宋体"/>
                <w:bCs/>
                <w:color w:val="FF0000"/>
                <w:sz w:val="24"/>
                <w:szCs w:val="24"/>
              </w:rPr>
              <w:t>自行车</w:t>
            </w:r>
          </w:p>
        </w:tc>
        <w:tc>
          <w:tcPr>
            <w:tcW w:w="1040" w:type="pct"/>
            <w:noWrap w:val="0"/>
            <w:vAlign w:val="center"/>
          </w:tcPr>
          <w:p>
            <w:pPr>
              <w:snapToGrid w:val="0"/>
              <w:jc w:val="center"/>
              <w:rPr>
                <w:rFonts w:hint="eastAsia" w:ascii="宋体" w:hAnsi="宋体" w:eastAsia="宋体" w:cs="宋体"/>
                <w:bCs/>
                <w:color w:val="FF0000"/>
                <w:sz w:val="24"/>
                <w:szCs w:val="24"/>
              </w:rPr>
            </w:pPr>
            <w:r>
              <w:rPr>
                <w:rFonts w:hint="eastAsia" w:ascii="宋体" w:hAnsi="宋体" w:eastAsia="宋体" w:cs="宋体"/>
                <w:bCs/>
                <w:color w:val="FF0000"/>
                <w:sz w:val="24"/>
                <w:szCs w:val="24"/>
              </w:rPr>
              <w:t>跑步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全程</w:t>
            </w:r>
          </w:p>
        </w:tc>
        <w:tc>
          <w:tcPr>
            <w:tcW w:w="1100"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51.5公里</w:t>
            </w:r>
          </w:p>
        </w:tc>
        <w:tc>
          <w:tcPr>
            <w:tcW w:w="1053"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1.5公里</w:t>
            </w:r>
          </w:p>
        </w:tc>
        <w:tc>
          <w:tcPr>
            <w:tcW w:w="962"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40公里</w:t>
            </w:r>
          </w:p>
        </w:tc>
        <w:tc>
          <w:tcPr>
            <w:tcW w:w="1040"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10公里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游跑两项</w:t>
            </w:r>
          </w:p>
        </w:tc>
        <w:tc>
          <w:tcPr>
            <w:tcW w:w="1100"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11.5公里</w:t>
            </w:r>
          </w:p>
        </w:tc>
        <w:tc>
          <w:tcPr>
            <w:tcW w:w="1053"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1.5公里</w:t>
            </w:r>
          </w:p>
        </w:tc>
        <w:tc>
          <w:tcPr>
            <w:tcW w:w="962"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w:t>
            </w:r>
          </w:p>
        </w:tc>
        <w:tc>
          <w:tcPr>
            <w:tcW w:w="1040"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10公里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游泳抢渡</w:t>
            </w:r>
          </w:p>
        </w:tc>
        <w:tc>
          <w:tcPr>
            <w:tcW w:w="1100"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1.5公里</w:t>
            </w:r>
          </w:p>
        </w:tc>
        <w:tc>
          <w:tcPr>
            <w:tcW w:w="1053"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1.5公里</w:t>
            </w:r>
          </w:p>
        </w:tc>
        <w:tc>
          <w:tcPr>
            <w:tcW w:w="962" w:type="pct"/>
            <w:noWrap w:val="0"/>
            <w:vAlign w:val="top"/>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w:t>
            </w:r>
          </w:p>
        </w:tc>
        <w:tc>
          <w:tcPr>
            <w:tcW w:w="1040" w:type="pct"/>
            <w:noWrap w:val="0"/>
            <w:vAlign w:val="top"/>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w:t>
            </w:r>
          </w:p>
        </w:tc>
      </w:tr>
    </w:tbl>
    <w:p>
      <w:pPr>
        <w:snapToGrid w:val="0"/>
        <w:spacing w:line="600" w:lineRule="exact"/>
        <w:ind w:firstLine="480" w:firstLineChars="200"/>
        <w:rPr>
          <w:rFonts w:hint="eastAsia" w:ascii="宋体" w:hAnsi="宋体" w:eastAsia="宋体" w:cs="宋体"/>
          <w:color w:val="FF0000"/>
          <w:sz w:val="24"/>
          <w:szCs w:val="24"/>
        </w:rPr>
      </w:pPr>
      <w:r>
        <w:rPr>
          <w:rFonts w:hint="eastAsia" w:ascii="宋体" w:hAnsi="宋体" w:eastAsia="宋体" w:cs="宋体"/>
          <w:color w:val="FF0000"/>
          <w:sz w:val="24"/>
          <w:szCs w:val="24"/>
        </w:rPr>
        <w:t>说明：详细比赛场地和路线等信息，于赛前7天在中国铁人三项运动协会会员信息系统上公布。</w:t>
      </w:r>
    </w:p>
    <w:p>
      <w:pPr>
        <w:snapToGrid w:val="0"/>
        <w:spacing w:line="600" w:lineRule="exact"/>
        <w:ind w:firstLine="480" w:firstLineChars="200"/>
        <w:rPr>
          <w:rFonts w:hint="eastAsia" w:ascii="宋体" w:hAnsi="宋体" w:eastAsia="宋体" w:cs="宋体"/>
          <w:color w:val="FF0000"/>
          <w:sz w:val="24"/>
          <w:szCs w:val="24"/>
        </w:rPr>
      </w:pPr>
      <w:r>
        <w:rPr>
          <w:rFonts w:hint="eastAsia" w:ascii="宋体" w:hAnsi="宋体" w:eastAsia="宋体" w:cs="宋体"/>
          <w:color w:val="FF0000"/>
          <w:sz w:val="24"/>
          <w:szCs w:val="24"/>
        </w:rPr>
        <w:t>（二）组别设置及年龄要求</w:t>
      </w:r>
    </w:p>
    <w:tbl>
      <w:tblPr>
        <w:tblStyle w:val="6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6"/>
        <w:gridCol w:w="2979"/>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653" w:type="pct"/>
            <w:noWrap w:val="0"/>
            <w:vAlign w:val="center"/>
          </w:tcPr>
          <w:p>
            <w:pPr>
              <w:pStyle w:val="258"/>
              <w:spacing w:line="320" w:lineRule="exact"/>
              <w:ind w:firstLine="0" w:firstLineChars="0"/>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组别</w:t>
            </w:r>
          </w:p>
        </w:tc>
        <w:tc>
          <w:tcPr>
            <w:tcW w:w="1755"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年龄条件</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比赛距离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00" w:type="pct"/>
            <w:gridSpan w:val="3"/>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全程分龄组（共13组）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napToGrid w:val="0"/>
              <w:jc w:val="center"/>
              <w:rPr>
                <w:rFonts w:hint="eastAsia" w:ascii="宋体" w:hAnsi="宋体" w:eastAsia="宋体" w:cs="宋体"/>
                <w:color w:val="FF0000"/>
                <w:sz w:val="24"/>
                <w:szCs w:val="24"/>
                <w:lang w:val="en-GB"/>
              </w:rPr>
            </w:pPr>
            <w:r>
              <w:rPr>
                <w:rFonts w:hint="eastAsia" w:ascii="宋体" w:hAnsi="宋体" w:eastAsia="宋体" w:cs="宋体"/>
                <w:color w:val="FF0000"/>
                <w:sz w:val="24"/>
                <w:szCs w:val="24"/>
                <w:lang w:val="en-GB"/>
              </w:rPr>
              <w:t>男子全程</w:t>
            </w:r>
            <w:r>
              <w:rPr>
                <w:rFonts w:hint="eastAsia" w:ascii="宋体" w:hAnsi="宋体" w:eastAsia="宋体" w:cs="宋体"/>
                <w:color w:val="FF0000"/>
                <w:sz w:val="24"/>
                <w:szCs w:val="24"/>
              </w:rPr>
              <w:t>18-24</w:t>
            </w:r>
            <w:r>
              <w:rPr>
                <w:rFonts w:hint="eastAsia" w:ascii="宋体" w:hAnsi="宋体" w:eastAsia="宋体" w:cs="宋体"/>
                <w:color w:val="FF0000"/>
                <w:sz w:val="24"/>
                <w:szCs w:val="24"/>
                <w:lang w:val="en-GB"/>
              </w:rPr>
              <w:t>岁组</w:t>
            </w:r>
          </w:p>
        </w:tc>
        <w:tc>
          <w:tcPr>
            <w:tcW w:w="175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18至24岁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napToGrid w:val="0"/>
              <w:jc w:val="center"/>
              <w:rPr>
                <w:rFonts w:hint="eastAsia" w:ascii="宋体" w:hAnsi="宋体" w:eastAsia="宋体" w:cs="宋体"/>
                <w:color w:val="FF0000"/>
                <w:sz w:val="24"/>
                <w:szCs w:val="24"/>
                <w:lang w:val="en-GB"/>
              </w:rPr>
            </w:pPr>
            <w:r>
              <w:rPr>
                <w:rFonts w:hint="eastAsia" w:ascii="宋体" w:hAnsi="宋体" w:eastAsia="宋体" w:cs="宋体"/>
                <w:color w:val="FF0000"/>
                <w:sz w:val="24"/>
                <w:szCs w:val="24"/>
                <w:lang w:val="en-GB"/>
              </w:rPr>
              <w:t>男子全程25</w:t>
            </w:r>
            <w:r>
              <w:rPr>
                <w:rFonts w:hint="eastAsia" w:ascii="宋体" w:hAnsi="宋体" w:eastAsia="宋体" w:cs="宋体"/>
                <w:color w:val="FF0000"/>
                <w:sz w:val="24"/>
                <w:szCs w:val="24"/>
              </w:rPr>
              <w:t>-29</w:t>
            </w:r>
            <w:r>
              <w:rPr>
                <w:rFonts w:hint="eastAsia" w:ascii="宋体" w:hAnsi="宋体" w:eastAsia="宋体" w:cs="宋体"/>
                <w:color w:val="FF0000"/>
                <w:sz w:val="24"/>
                <w:szCs w:val="24"/>
                <w:lang w:val="en-GB"/>
              </w:rPr>
              <w:t>岁组</w:t>
            </w:r>
          </w:p>
        </w:tc>
        <w:tc>
          <w:tcPr>
            <w:tcW w:w="175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25至29岁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lang w:val="en-GB"/>
              </w:rPr>
              <w:t>男子全程30</w:t>
            </w:r>
            <w:r>
              <w:rPr>
                <w:rFonts w:hint="eastAsia" w:ascii="宋体" w:hAnsi="宋体" w:eastAsia="宋体" w:cs="宋体"/>
                <w:color w:val="FF0000"/>
                <w:sz w:val="24"/>
                <w:szCs w:val="24"/>
              </w:rPr>
              <w:t>-</w:t>
            </w:r>
            <w:r>
              <w:rPr>
                <w:rFonts w:hint="eastAsia" w:ascii="宋体" w:hAnsi="宋体" w:eastAsia="宋体" w:cs="宋体"/>
                <w:color w:val="FF0000"/>
                <w:sz w:val="24"/>
                <w:szCs w:val="24"/>
                <w:lang w:val="en-GB"/>
              </w:rPr>
              <w:t>34岁组</w:t>
            </w:r>
          </w:p>
        </w:tc>
        <w:tc>
          <w:tcPr>
            <w:tcW w:w="175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30至34岁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lang w:val="en-GB"/>
              </w:rPr>
              <w:t>男子全程35</w:t>
            </w:r>
            <w:r>
              <w:rPr>
                <w:rFonts w:hint="eastAsia" w:ascii="宋体" w:hAnsi="宋体" w:eastAsia="宋体" w:cs="宋体"/>
                <w:color w:val="FF0000"/>
                <w:sz w:val="24"/>
                <w:szCs w:val="24"/>
              </w:rPr>
              <w:t>-</w:t>
            </w:r>
            <w:r>
              <w:rPr>
                <w:rFonts w:hint="eastAsia" w:ascii="宋体" w:hAnsi="宋体" w:eastAsia="宋体" w:cs="宋体"/>
                <w:color w:val="FF0000"/>
                <w:sz w:val="24"/>
                <w:szCs w:val="24"/>
                <w:lang w:val="en-GB"/>
              </w:rPr>
              <w:t>39岁组</w:t>
            </w:r>
          </w:p>
        </w:tc>
        <w:tc>
          <w:tcPr>
            <w:tcW w:w="175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35至39岁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lang w:val="en-GB"/>
              </w:rPr>
              <w:t>男子全程40</w:t>
            </w:r>
            <w:r>
              <w:rPr>
                <w:rFonts w:hint="eastAsia" w:ascii="宋体" w:hAnsi="宋体" w:eastAsia="宋体" w:cs="宋体"/>
                <w:color w:val="FF0000"/>
                <w:sz w:val="24"/>
                <w:szCs w:val="24"/>
              </w:rPr>
              <w:t>-</w:t>
            </w:r>
            <w:r>
              <w:rPr>
                <w:rFonts w:hint="eastAsia" w:ascii="宋体" w:hAnsi="宋体" w:eastAsia="宋体" w:cs="宋体"/>
                <w:color w:val="FF0000"/>
                <w:sz w:val="24"/>
                <w:szCs w:val="24"/>
                <w:lang w:val="en-GB"/>
              </w:rPr>
              <w:t>44岁组</w:t>
            </w:r>
          </w:p>
        </w:tc>
        <w:tc>
          <w:tcPr>
            <w:tcW w:w="175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40至44岁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lang w:val="en-GB"/>
              </w:rPr>
              <w:t>男子全程45</w:t>
            </w:r>
            <w:r>
              <w:rPr>
                <w:rFonts w:hint="eastAsia" w:ascii="宋体" w:hAnsi="宋体" w:eastAsia="宋体" w:cs="宋体"/>
                <w:color w:val="FF0000"/>
                <w:sz w:val="24"/>
                <w:szCs w:val="24"/>
              </w:rPr>
              <w:t>-</w:t>
            </w:r>
            <w:r>
              <w:rPr>
                <w:rFonts w:hint="eastAsia" w:ascii="宋体" w:hAnsi="宋体" w:eastAsia="宋体" w:cs="宋体"/>
                <w:color w:val="FF0000"/>
                <w:sz w:val="24"/>
                <w:szCs w:val="24"/>
                <w:lang w:val="en-GB"/>
              </w:rPr>
              <w:t>49岁组</w:t>
            </w:r>
          </w:p>
        </w:tc>
        <w:tc>
          <w:tcPr>
            <w:tcW w:w="175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45至49岁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lang w:val="en-GB"/>
              </w:rPr>
              <w:t>男子全程50</w:t>
            </w:r>
            <w:r>
              <w:rPr>
                <w:rFonts w:hint="eastAsia" w:ascii="宋体" w:hAnsi="宋体" w:eastAsia="宋体" w:cs="宋体"/>
                <w:color w:val="FF0000"/>
                <w:sz w:val="24"/>
                <w:szCs w:val="24"/>
              </w:rPr>
              <w:t>-</w:t>
            </w:r>
            <w:r>
              <w:rPr>
                <w:rFonts w:hint="eastAsia" w:ascii="宋体" w:hAnsi="宋体" w:eastAsia="宋体" w:cs="宋体"/>
                <w:color w:val="FF0000"/>
                <w:sz w:val="24"/>
                <w:szCs w:val="24"/>
                <w:lang w:val="en-GB"/>
              </w:rPr>
              <w:t>54岁组</w:t>
            </w:r>
          </w:p>
        </w:tc>
        <w:tc>
          <w:tcPr>
            <w:tcW w:w="175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50至54岁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napToGrid w:val="0"/>
              <w:jc w:val="center"/>
              <w:rPr>
                <w:rFonts w:hint="eastAsia" w:ascii="宋体" w:hAnsi="宋体" w:eastAsia="宋体" w:cs="宋体"/>
                <w:color w:val="FF0000"/>
                <w:sz w:val="24"/>
                <w:szCs w:val="24"/>
                <w:lang w:val="en-GB"/>
              </w:rPr>
            </w:pPr>
            <w:r>
              <w:rPr>
                <w:rFonts w:hint="eastAsia" w:ascii="宋体" w:hAnsi="宋体" w:eastAsia="宋体" w:cs="宋体"/>
                <w:color w:val="FF0000"/>
                <w:sz w:val="24"/>
                <w:szCs w:val="24"/>
                <w:lang w:val="en-GB"/>
              </w:rPr>
              <w:t>男子全程55</w:t>
            </w:r>
            <w:r>
              <w:rPr>
                <w:rFonts w:hint="eastAsia" w:ascii="宋体" w:hAnsi="宋体" w:eastAsia="宋体" w:cs="宋体"/>
                <w:color w:val="FF0000"/>
                <w:sz w:val="24"/>
                <w:szCs w:val="24"/>
              </w:rPr>
              <w:t>-</w:t>
            </w:r>
            <w:r>
              <w:rPr>
                <w:rFonts w:hint="eastAsia" w:ascii="宋体" w:hAnsi="宋体" w:eastAsia="宋体" w:cs="宋体"/>
                <w:color w:val="FF0000"/>
                <w:sz w:val="24"/>
                <w:szCs w:val="24"/>
                <w:lang w:val="en-GB"/>
              </w:rPr>
              <w:t>59岁组</w:t>
            </w:r>
          </w:p>
        </w:tc>
        <w:tc>
          <w:tcPr>
            <w:tcW w:w="175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55至59岁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lang w:val="en-GB"/>
              </w:rPr>
              <w:t>男子全程60</w:t>
            </w:r>
            <w:r>
              <w:rPr>
                <w:rFonts w:hint="eastAsia" w:ascii="宋体" w:hAnsi="宋体" w:eastAsia="宋体" w:cs="宋体"/>
                <w:color w:val="FF0000"/>
                <w:sz w:val="24"/>
                <w:szCs w:val="24"/>
              </w:rPr>
              <w:t>-</w:t>
            </w:r>
            <w:r>
              <w:rPr>
                <w:rFonts w:hint="eastAsia" w:ascii="宋体" w:hAnsi="宋体" w:eastAsia="宋体" w:cs="宋体"/>
                <w:color w:val="FF0000"/>
                <w:sz w:val="24"/>
                <w:szCs w:val="24"/>
                <w:lang w:val="en-GB"/>
              </w:rPr>
              <w:t>69岁组</w:t>
            </w:r>
          </w:p>
        </w:tc>
        <w:tc>
          <w:tcPr>
            <w:tcW w:w="175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60至69岁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napToGrid w:val="0"/>
              <w:jc w:val="center"/>
              <w:rPr>
                <w:rFonts w:hint="eastAsia" w:ascii="宋体" w:hAnsi="宋体" w:eastAsia="宋体" w:cs="宋体"/>
                <w:color w:val="FF0000"/>
                <w:sz w:val="24"/>
                <w:szCs w:val="24"/>
                <w:lang w:val="en-GB"/>
              </w:rPr>
            </w:pPr>
            <w:r>
              <w:rPr>
                <w:rFonts w:hint="eastAsia" w:ascii="宋体" w:hAnsi="宋体" w:eastAsia="宋体" w:cs="宋体"/>
                <w:color w:val="FF0000"/>
                <w:sz w:val="24"/>
                <w:szCs w:val="24"/>
                <w:lang w:val="en-GB"/>
              </w:rPr>
              <w:t>女子全程</w:t>
            </w:r>
            <w:r>
              <w:rPr>
                <w:rFonts w:hint="eastAsia" w:ascii="宋体" w:hAnsi="宋体" w:eastAsia="宋体" w:cs="宋体"/>
                <w:color w:val="FF0000"/>
                <w:sz w:val="24"/>
                <w:szCs w:val="24"/>
              </w:rPr>
              <w:t>18-</w:t>
            </w:r>
            <w:r>
              <w:rPr>
                <w:rFonts w:hint="eastAsia" w:ascii="宋体" w:hAnsi="宋体" w:eastAsia="宋体" w:cs="宋体"/>
                <w:color w:val="FF0000"/>
                <w:sz w:val="24"/>
                <w:szCs w:val="24"/>
                <w:lang w:val="en-GB"/>
              </w:rPr>
              <w:t>29岁组</w:t>
            </w:r>
          </w:p>
        </w:tc>
        <w:tc>
          <w:tcPr>
            <w:tcW w:w="175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18至29岁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napToGrid w:val="0"/>
              <w:jc w:val="center"/>
              <w:rPr>
                <w:rFonts w:hint="eastAsia" w:ascii="宋体" w:hAnsi="宋体" w:eastAsia="宋体" w:cs="宋体"/>
                <w:color w:val="FF0000"/>
                <w:sz w:val="24"/>
                <w:szCs w:val="24"/>
                <w:lang w:val="en-GB"/>
              </w:rPr>
            </w:pPr>
            <w:r>
              <w:rPr>
                <w:rFonts w:hint="eastAsia" w:ascii="宋体" w:hAnsi="宋体" w:eastAsia="宋体" w:cs="宋体"/>
                <w:color w:val="FF0000"/>
                <w:sz w:val="24"/>
                <w:szCs w:val="24"/>
                <w:lang w:val="en-GB"/>
              </w:rPr>
              <w:t>女子全程30</w:t>
            </w:r>
            <w:r>
              <w:rPr>
                <w:rFonts w:hint="eastAsia" w:ascii="宋体" w:hAnsi="宋体" w:eastAsia="宋体" w:cs="宋体"/>
                <w:color w:val="FF0000"/>
                <w:sz w:val="24"/>
                <w:szCs w:val="24"/>
              </w:rPr>
              <w:t>-</w:t>
            </w:r>
            <w:r>
              <w:rPr>
                <w:rFonts w:hint="eastAsia" w:ascii="宋体" w:hAnsi="宋体" w:eastAsia="宋体" w:cs="宋体"/>
                <w:color w:val="FF0000"/>
                <w:sz w:val="24"/>
                <w:szCs w:val="24"/>
                <w:lang w:val="en-GB"/>
              </w:rPr>
              <w:t>39岁组</w:t>
            </w:r>
          </w:p>
        </w:tc>
        <w:tc>
          <w:tcPr>
            <w:tcW w:w="175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30至39岁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napToGrid w:val="0"/>
              <w:jc w:val="center"/>
              <w:rPr>
                <w:rFonts w:hint="eastAsia" w:ascii="宋体" w:hAnsi="宋体" w:eastAsia="宋体" w:cs="宋体"/>
                <w:color w:val="FF0000"/>
                <w:sz w:val="24"/>
                <w:szCs w:val="24"/>
                <w:lang w:val="en-GB"/>
              </w:rPr>
            </w:pPr>
            <w:r>
              <w:rPr>
                <w:rFonts w:hint="eastAsia" w:ascii="宋体" w:hAnsi="宋体" w:eastAsia="宋体" w:cs="宋体"/>
                <w:color w:val="FF0000"/>
                <w:sz w:val="24"/>
                <w:szCs w:val="24"/>
                <w:lang w:val="en-GB"/>
              </w:rPr>
              <w:t>女子全程40</w:t>
            </w:r>
            <w:r>
              <w:rPr>
                <w:rFonts w:hint="eastAsia" w:ascii="宋体" w:hAnsi="宋体" w:eastAsia="宋体" w:cs="宋体"/>
                <w:color w:val="FF0000"/>
                <w:sz w:val="24"/>
                <w:szCs w:val="24"/>
              </w:rPr>
              <w:t>-</w:t>
            </w:r>
            <w:r>
              <w:rPr>
                <w:rFonts w:hint="eastAsia" w:ascii="宋体" w:hAnsi="宋体" w:eastAsia="宋体" w:cs="宋体"/>
                <w:color w:val="FF0000"/>
                <w:sz w:val="24"/>
                <w:szCs w:val="24"/>
                <w:lang w:val="en-GB"/>
              </w:rPr>
              <w:t>49岁组</w:t>
            </w:r>
          </w:p>
        </w:tc>
        <w:tc>
          <w:tcPr>
            <w:tcW w:w="175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40至49岁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napToGrid w:val="0"/>
              <w:jc w:val="center"/>
              <w:rPr>
                <w:rFonts w:hint="eastAsia" w:ascii="宋体" w:hAnsi="宋体" w:eastAsia="宋体" w:cs="宋体"/>
                <w:color w:val="FF0000"/>
                <w:sz w:val="24"/>
                <w:szCs w:val="24"/>
                <w:lang w:val="en-GB"/>
              </w:rPr>
            </w:pPr>
            <w:r>
              <w:rPr>
                <w:rFonts w:hint="eastAsia" w:ascii="宋体" w:hAnsi="宋体" w:eastAsia="宋体" w:cs="宋体"/>
                <w:color w:val="FF0000"/>
                <w:sz w:val="24"/>
                <w:szCs w:val="24"/>
                <w:lang w:val="en-GB"/>
              </w:rPr>
              <w:t>女子全程50</w:t>
            </w:r>
            <w:r>
              <w:rPr>
                <w:rFonts w:hint="eastAsia" w:ascii="宋体" w:hAnsi="宋体" w:eastAsia="宋体" w:cs="宋体"/>
                <w:color w:val="FF0000"/>
                <w:sz w:val="24"/>
                <w:szCs w:val="24"/>
              </w:rPr>
              <w:t>-</w:t>
            </w:r>
            <w:r>
              <w:rPr>
                <w:rFonts w:hint="eastAsia" w:ascii="宋体" w:hAnsi="宋体" w:eastAsia="宋体" w:cs="宋体"/>
                <w:color w:val="FF0000"/>
                <w:sz w:val="24"/>
                <w:szCs w:val="24"/>
                <w:lang w:val="en-GB"/>
              </w:rPr>
              <w:t>59岁组</w:t>
            </w:r>
          </w:p>
        </w:tc>
        <w:tc>
          <w:tcPr>
            <w:tcW w:w="1755" w:type="pct"/>
            <w:noWrap w:val="0"/>
            <w:vAlign w:val="center"/>
          </w:tcPr>
          <w:p>
            <w:pPr>
              <w:snapToGrid w:val="0"/>
              <w:jc w:val="center"/>
              <w:rPr>
                <w:rFonts w:hint="eastAsia" w:ascii="宋体" w:hAnsi="宋体" w:eastAsia="宋体" w:cs="宋体"/>
                <w:color w:val="FF0000"/>
                <w:sz w:val="24"/>
                <w:szCs w:val="24"/>
              </w:rPr>
            </w:pPr>
            <w:r>
              <w:rPr>
                <w:rFonts w:hint="eastAsia" w:ascii="宋体" w:hAnsi="宋体" w:eastAsia="宋体" w:cs="宋体"/>
                <w:color w:val="FF0000"/>
                <w:sz w:val="24"/>
                <w:szCs w:val="24"/>
              </w:rPr>
              <w:t>50至59岁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00" w:type="pct"/>
            <w:gridSpan w:val="3"/>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游跑两项组（共2组）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男子游跑两项组</w:t>
            </w:r>
          </w:p>
        </w:tc>
        <w:tc>
          <w:tcPr>
            <w:tcW w:w="1755"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18至60岁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游跑两项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女子游跑两项组</w:t>
            </w:r>
          </w:p>
        </w:tc>
        <w:tc>
          <w:tcPr>
            <w:tcW w:w="1755"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18至60岁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游跑两项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00" w:type="pct"/>
            <w:gridSpan w:val="3"/>
            <w:noWrap w:val="0"/>
            <w:vAlign w:val="center"/>
          </w:tcPr>
          <w:p>
            <w:pPr>
              <w:spacing w:line="320" w:lineRule="exact"/>
              <w:jc w:val="center"/>
              <w:rPr>
                <w:rFonts w:hint="eastAsia" w:ascii="宋体" w:hAnsi="宋体" w:eastAsia="宋体" w:cs="宋体"/>
                <w:b/>
                <w:color w:val="FF0000"/>
                <w:kern w:val="0"/>
                <w:sz w:val="24"/>
                <w:szCs w:val="24"/>
              </w:rPr>
            </w:pPr>
            <w:r>
              <w:rPr>
                <w:rFonts w:hint="eastAsia" w:ascii="宋体" w:hAnsi="宋体" w:eastAsia="宋体" w:cs="宋体"/>
                <w:b/>
                <w:color w:val="FF0000"/>
                <w:kern w:val="0"/>
                <w:sz w:val="24"/>
                <w:szCs w:val="24"/>
              </w:rPr>
              <w:t>游泳抢渡组（共2组）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男子游泳抢渡组</w:t>
            </w:r>
          </w:p>
        </w:tc>
        <w:tc>
          <w:tcPr>
            <w:tcW w:w="1755"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18至60岁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游泳抢渡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3"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女子游泳抢渡组</w:t>
            </w:r>
          </w:p>
        </w:tc>
        <w:tc>
          <w:tcPr>
            <w:tcW w:w="1755"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18至60岁</w:t>
            </w:r>
          </w:p>
        </w:tc>
        <w:tc>
          <w:tcPr>
            <w:tcW w:w="1590" w:type="pct"/>
            <w:noWrap w:val="0"/>
            <w:vAlign w:val="center"/>
          </w:tcPr>
          <w:p>
            <w:pPr>
              <w:spacing w:line="320" w:lineRule="exact"/>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游泳抢渡</w:t>
            </w:r>
          </w:p>
        </w:tc>
      </w:tr>
    </w:tbl>
    <w:p>
      <w:pPr>
        <w:pStyle w:val="258"/>
        <w:snapToGrid w:val="0"/>
        <w:spacing w:line="600" w:lineRule="exact"/>
        <w:ind w:firstLine="560"/>
        <w:rPr>
          <w:rFonts w:hint="eastAsia" w:ascii="宋体" w:hAnsi="宋体" w:eastAsia="宋体" w:cs="宋体"/>
          <w:color w:val="FF0000"/>
          <w:kern w:val="0"/>
          <w:sz w:val="24"/>
          <w:szCs w:val="24"/>
        </w:rPr>
      </w:pPr>
      <w:r>
        <w:rPr>
          <w:rFonts w:hint="eastAsia" w:ascii="宋体" w:hAnsi="宋体" w:eastAsia="宋体" w:cs="宋体"/>
          <w:color w:val="FF0000"/>
          <w:sz w:val="24"/>
          <w:szCs w:val="24"/>
        </w:rPr>
        <w:t>1.</w:t>
      </w:r>
      <w:r>
        <w:rPr>
          <w:rFonts w:hint="eastAsia" w:ascii="宋体" w:hAnsi="宋体" w:eastAsia="宋体" w:cs="宋体"/>
          <w:color w:val="FF0000"/>
          <w:kern w:val="0"/>
          <w:sz w:val="24"/>
          <w:szCs w:val="24"/>
        </w:rPr>
        <w:t>运动员年龄按照参加比赛当年12月31日时的年龄计算。</w:t>
      </w:r>
    </w:p>
    <w:p>
      <w:pPr>
        <w:snapToGrid w:val="0"/>
        <w:spacing w:line="600" w:lineRule="exact"/>
        <w:ind w:firstLine="480" w:firstLineChars="200"/>
        <w:rPr>
          <w:rFonts w:hint="eastAsia" w:ascii="宋体" w:hAnsi="宋体" w:eastAsia="宋体" w:cs="宋体"/>
          <w:color w:val="FF0000"/>
          <w:sz w:val="24"/>
          <w:szCs w:val="24"/>
        </w:rPr>
      </w:pPr>
      <w:r>
        <w:rPr>
          <w:rFonts w:hint="eastAsia" w:ascii="宋体" w:hAnsi="宋体" w:eastAsia="宋体" w:cs="宋体"/>
          <w:color w:val="FF0000"/>
          <w:sz w:val="24"/>
          <w:szCs w:val="24"/>
        </w:rPr>
        <w:t>2.所有个人比赛，组别报名人数不满3人（含3人）的则不开设该组别，参加该组别比赛的运动员将调整至相邻组别，具体调整信息将以官方公布的出发名单为准。</w:t>
      </w:r>
    </w:p>
    <w:p>
      <w:pPr>
        <w:pStyle w:val="515"/>
        <w:spacing w:line="500" w:lineRule="exact"/>
        <w:jc w:val="left"/>
        <w:rPr>
          <w:rFonts w:hint="eastAsia" w:ascii="宋体" w:hAnsi="宋体" w:eastAsia="宋体" w:cs="宋体"/>
          <w:b/>
          <w:color w:val="FF0000"/>
          <w:sz w:val="28"/>
          <w:szCs w:val="28"/>
          <w:lang w:val="zh-CN"/>
        </w:rPr>
      </w:pPr>
      <w:r>
        <w:rPr>
          <w:rFonts w:hint="eastAsia" w:ascii="宋体" w:hAnsi="宋体" w:cs="宋体"/>
          <w:b/>
          <w:color w:val="FF0000"/>
          <w:sz w:val="28"/>
          <w:szCs w:val="28"/>
          <w:lang w:val="en-US" w:eastAsia="zh-CN"/>
        </w:rPr>
        <w:t>六</w:t>
      </w:r>
      <w:r>
        <w:rPr>
          <w:rFonts w:hint="eastAsia" w:ascii="宋体" w:hAnsi="宋体" w:eastAsia="宋体" w:cs="宋体"/>
          <w:b/>
          <w:color w:val="FF0000"/>
          <w:sz w:val="28"/>
          <w:szCs w:val="28"/>
          <w:lang w:val="en-US" w:eastAsia="zh-CN"/>
        </w:rPr>
        <w:t>、</w:t>
      </w:r>
      <w:r>
        <w:rPr>
          <w:rFonts w:hint="eastAsia" w:ascii="宋体" w:hAnsi="宋体" w:eastAsia="宋体" w:cs="宋体"/>
          <w:b/>
          <w:color w:val="FF0000"/>
          <w:sz w:val="28"/>
          <w:szCs w:val="28"/>
          <w:lang w:val="zh-CN"/>
        </w:rPr>
        <w:t>项目</w:t>
      </w:r>
      <w:r>
        <w:rPr>
          <w:rFonts w:hint="eastAsia" w:ascii="宋体" w:hAnsi="宋体" w:cs="宋体"/>
          <w:b/>
          <w:color w:val="FF0000"/>
          <w:sz w:val="28"/>
          <w:szCs w:val="28"/>
          <w:lang w:val="en-US" w:eastAsia="zh-CN"/>
        </w:rPr>
        <w:t>人员保险</w:t>
      </w:r>
      <w:r>
        <w:rPr>
          <w:rFonts w:hint="eastAsia" w:ascii="宋体" w:hAnsi="宋体" w:eastAsia="宋体" w:cs="宋体"/>
          <w:b/>
          <w:color w:val="FF0000"/>
          <w:sz w:val="28"/>
          <w:szCs w:val="28"/>
          <w:lang w:val="zh-CN"/>
        </w:rPr>
        <w:t>：</w:t>
      </w:r>
    </w:p>
    <w:p>
      <w:pPr>
        <w:pStyle w:val="515"/>
        <w:spacing w:line="500" w:lineRule="exact"/>
        <w:ind w:left="0" w:leftChars="0" w:firstLine="0" w:firstLineChars="0"/>
        <w:jc w:val="left"/>
        <w:rPr>
          <w:rFonts w:hint="eastAsia" w:ascii="宋体" w:hAnsi="宋体" w:eastAsia="宋体" w:cs="宋体"/>
          <w:bCs/>
          <w:color w:val="FF0000"/>
          <w:sz w:val="24"/>
          <w:szCs w:val="24"/>
          <w:lang w:val="zh-CN"/>
        </w:rPr>
      </w:pPr>
      <w:r>
        <w:rPr>
          <w:rFonts w:hint="eastAsia" w:ascii="宋体" w:hAnsi="宋体" w:eastAsia="宋体" w:cs="宋体"/>
          <w:bCs/>
          <w:color w:val="FF0000"/>
          <w:sz w:val="24"/>
          <w:szCs w:val="24"/>
          <w:lang w:val="zh-CN"/>
        </w:rPr>
        <w:t>(一)赛事组委会保险:赛事组织者须办理公共责任险，保险对象须覆盖运动员、教</w:t>
      </w:r>
    </w:p>
    <w:p>
      <w:pPr>
        <w:pStyle w:val="515"/>
        <w:spacing w:line="500" w:lineRule="exact"/>
        <w:ind w:left="0" w:leftChars="0" w:firstLine="0" w:firstLineChars="0"/>
        <w:jc w:val="left"/>
        <w:rPr>
          <w:rFonts w:hint="eastAsia" w:ascii="宋体" w:hAnsi="宋体" w:eastAsia="宋体" w:cs="宋体"/>
          <w:bCs/>
          <w:color w:val="FF0000"/>
          <w:sz w:val="24"/>
          <w:szCs w:val="24"/>
          <w:lang w:val="zh-CN"/>
        </w:rPr>
      </w:pPr>
      <w:r>
        <w:rPr>
          <w:rFonts w:hint="eastAsia" w:ascii="宋体" w:hAnsi="宋体" w:eastAsia="宋体" w:cs="宋体"/>
          <w:bCs/>
          <w:color w:val="FF0000"/>
          <w:sz w:val="24"/>
          <w:szCs w:val="24"/>
          <w:lang w:val="zh-CN"/>
        </w:rPr>
        <w:t>练员、裁判员、工作人员、志愿者、媒体、赞助商、观众等所有参赛人员;保险范围须覆盖整个比赛筹备与举办期间，覆盖所有比赛相关场所，覆盖比赛取消或延期举办造成的相关财产损失;保险累计赔偿限额至少为1000万元人民币，每次事故人身伤亡赔偿限额至少为500 万元，每次事故每人人身伤亡赔偿限额至少为80万元，每次事故每人医疗赔偿限额至少为5万元(高水平国际比赛组委会保险额度需根据签署的合作协议购买)。考虑到铁人三项比赛的特点和安全风险，强烈建议赛事组织者在上述最低要求的基础上，酌情提高保险赔偿额度。</w:t>
      </w:r>
    </w:p>
    <w:p>
      <w:pPr>
        <w:pStyle w:val="515"/>
        <w:spacing w:line="500" w:lineRule="exact"/>
        <w:ind w:left="0" w:leftChars="0" w:firstLine="0" w:firstLineChars="0"/>
        <w:jc w:val="left"/>
        <w:rPr>
          <w:rFonts w:hint="eastAsia" w:ascii="宋体" w:hAnsi="宋体" w:eastAsia="宋体" w:cs="宋体"/>
          <w:bCs/>
          <w:color w:val="FF0000"/>
          <w:sz w:val="24"/>
          <w:szCs w:val="24"/>
          <w:lang w:val="zh-CN"/>
        </w:rPr>
      </w:pPr>
      <w:r>
        <w:rPr>
          <w:rFonts w:hint="eastAsia" w:ascii="宋体" w:hAnsi="宋体" w:eastAsia="宋体" w:cs="宋体"/>
          <w:bCs/>
          <w:color w:val="FF0000"/>
          <w:sz w:val="24"/>
          <w:szCs w:val="24"/>
          <w:lang w:val="zh-CN"/>
        </w:rPr>
        <w:t>(二)参赛运动员个人保险:根据铁人三项竞赛规则，所有参赛运动员均须办理比赛</w:t>
      </w:r>
    </w:p>
    <w:p>
      <w:pPr>
        <w:pStyle w:val="515"/>
        <w:spacing w:line="500" w:lineRule="exact"/>
        <w:ind w:left="0" w:leftChars="0" w:firstLine="0" w:firstLineChars="0"/>
        <w:jc w:val="left"/>
        <w:rPr>
          <w:rFonts w:hint="eastAsia" w:ascii="宋体" w:hAnsi="宋体" w:eastAsia="宋体" w:cs="宋体"/>
          <w:bCs/>
          <w:color w:val="FF0000"/>
          <w:sz w:val="24"/>
          <w:szCs w:val="24"/>
          <w:lang w:val="zh-CN"/>
        </w:rPr>
      </w:pPr>
      <w:r>
        <w:rPr>
          <w:rFonts w:hint="eastAsia" w:ascii="宋体" w:hAnsi="宋体" w:eastAsia="宋体" w:cs="宋体"/>
          <w:bCs/>
          <w:color w:val="FF0000"/>
          <w:sz w:val="24"/>
          <w:szCs w:val="24"/>
          <w:lang w:val="zh-CN"/>
        </w:rPr>
        <w:t>期间意外伤害和突发疾病保险。运动员个人保险至少须满足以下条件，否则不得参赛:覆盖时间至少为赛前1至2天(根据抵达赛区时间)、比赛日和赛后1天，保险赔偿范围须包括但不限于意外伤害身故和伤残、突发疾病(须包含猝死、中暑)身故和伤残、意外伤害医疗、突发疾病医疗，且意外伤害身故和伤残、突发疾病身故和伤残保险赔偿额度均不低于人民币50万元，意外伤害医疗、突发疾病医疗保险赔偿额度均不低于人民币3万元。10岁以下儿童意外伤害身故和伤残、突发疾病身故和伤残保险赔偿额度根据银保监会有关法律法规执行，一般为人民币20万元。如参赛运动员个人保险不符合上述要求，负责联络保险公司在运动员报到处为参赛运动员补办个人保险，费用由运动员自理。</w:t>
      </w:r>
    </w:p>
    <w:p>
      <w:pPr>
        <w:pStyle w:val="515"/>
        <w:spacing w:line="500" w:lineRule="exact"/>
        <w:jc w:val="left"/>
        <w:rPr>
          <w:rFonts w:hint="eastAsia" w:ascii="宋体" w:hAnsi="宋体" w:eastAsia="宋体" w:cs="宋体"/>
          <w:b/>
          <w:sz w:val="28"/>
          <w:szCs w:val="28"/>
          <w:lang w:val="zh-CN"/>
        </w:rPr>
      </w:pPr>
      <w:r>
        <w:rPr>
          <w:rFonts w:hint="eastAsia" w:ascii="宋体" w:hAnsi="宋体" w:cs="宋体"/>
          <w:b/>
          <w:sz w:val="28"/>
          <w:szCs w:val="28"/>
          <w:lang w:val="en-US" w:eastAsia="zh-CN"/>
        </w:rPr>
        <w:t>七</w:t>
      </w:r>
      <w:r>
        <w:rPr>
          <w:rFonts w:hint="eastAsia" w:ascii="宋体" w:hAnsi="宋体" w:eastAsia="宋体" w:cs="宋体"/>
          <w:b/>
          <w:sz w:val="28"/>
          <w:szCs w:val="28"/>
          <w:lang w:val="en-US" w:eastAsia="zh-CN"/>
        </w:rPr>
        <w:t>、</w:t>
      </w:r>
      <w:r>
        <w:rPr>
          <w:rFonts w:hint="eastAsia" w:ascii="宋体" w:hAnsi="宋体" w:eastAsia="宋体" w:cs="宋体"/>
          <w:b/>
          <w:sz w:val="28"/>
          <w:szCs w:val="28"/>
          <w:lang w:val="zh-CN"/>
        </w:rPr>
        <w:t>项目技术要求：</w:t>
      </w:r>
    </w:p>
    <w:p>
      <w:pPr>
        <w:pStyle w:val="515"/>
        <w:spacing w:line="500" w:lineRule="exact"/>
        <w:ind w:firstLine="560"/>
        <w:jc w:val="left"/>
        <w:rPr>
          <w:rFonts w:hint="eastAsia" w:ascii="宋体" w:hAnsi="宋体" w:eastAsia="宋体" w:cs="宋体"/>
          <w:bCs/>
          <w:sz w:val="24"/>
          <w:szCs w:val="24"/>
          <w:lang w:val="zh-CN"/>
        </w:rPr>
      </w:pPr>
      <w:r>
        <w:rPr>
          <w:rFonts w:hint="eastAsia" w:ascii="宋体" w:hAnsi="宋体" w:eastAsia="宋体" w:cs="宋体"/>
          <w:bCs/>
          <w:sz w:val="24"/>
          <w:szCs w:val="24"/>
          <w:lang w:val="zh-CN"/>
        </w:rPr>
        <w:t>需提供完整的方案和思路，至少包含完整的策划思路及方案、现场搭建设计方案、完整的赛事流程、应急方案等。</w:t>
      </w:r>
    </w:p>
    <w:p>
      <w:pPr>
        <w:pStyle w:val="515"/>
        <w:spacing w:line="500" w:lineRule="exact"/>
        <w:jc w:val="left"/>
        <w:rPr>
          <w:rFonts w:hint="eastAsia" w:ascii="宋体" w:hAnsi="宋体" w:eastAsia="宋体" w:cs="宋体"/>
          <w:b/>
          <w:sz w:val="28"/>
          <w:szCs w:val="28"/>
          <w:lang w:val="zh-CN"/>
        </w:rPr>
      </w:pPr>
      <w:r>
        <w:rPr>
          <w:rFonts w:hint="eastAsia" w:ascii="宋体" w:hAnsi="宋体" w:cs="宋体"/>
          <w:b/>
          <w:sz w:val="28"/>
          <w:szCs w:val="28"/>
          <w:lang w:val="en-US" w:eastAsia="zh-CN"/>
        </w:rPr>
        <w:t>八</w:t>
      </w:r>
      <w:r>
        <w:rPr>
          <w:rFonts w:hint="eastAsia" w:ascii="宋体" w:hAnsi="宋体" w:eastAsia="宋体" w:cs="宋体"/>
          <w:b/>
          <w:sz w:val="28"/>
          <w:szCs w:val="28"/>
          <w:lang w:val="en-US" w:eastAsia="zh-CN"/>
        </w:rPr>
        <w:t>、</w:t>
      </w:r>
      <w:r>
        <w:rPr>
          <w:rFonts w:hint="eastAsia" w:ascii="宋体" w:hAnsi="宋体" w:eastAsia="宋体" w:cs="宋体"/>
          <w:b/>
          <w:sz w:val="28"/>
          <w:szCs w:val="28"/>
          <w:lang w:val="zh-CN"/>
        </w:rPr>
        <w:t>付款方式：</w:t>
      </w:r>
    </w:p>
    <w:p>
      <w:pPr>
        <w:pStyle w:val="515"/>
        <w:spacing w:line="500" w:lineRule="exact"/>
        <w:ind w:firstLine="560"/>
        <w:jc w:val="left"/>
        <w:rPr>
          <w:rFonts w:hint="eastAsia" w:ascii="宋体" w:hAnsi="宋体" w:eastAsia="宋体" w:cs="宋体"/>
          <w:bCs/>
          <w:color w:val="FF0000"/>
          <w:sz w:val="24"/>
          <w:szCs w:val="24"/>
          <w:lang w:val="zh-CN"/>
        </w:rPr>
      </w:pPr>
      <w:r>
        <w:rPr>
          <w:rFonts w:hint="eastAsia" w:ascii="宋体" w:hAnsi="宋体" w:eastAsia="宋体" w:cs="宋体"/>
          <w:bCs/>
          <w:sz w:val="24"/>
          <w:szCs w:val="24"/>
          <w:lang w:val="zh-CN"/>
        </w:rPr>
        <w:t>合同生效后7个工作日内，甲方向乙方支付合同总价的60%的预付款，项目服务结束后15个工作日内，</w:t>
      </w:r>
      <w:r>
        <w:rPr>
          <w:rFonts w:hint="eastAsia" w:ascii="宋体" w:hAnsi="宋体" w:eastAsia="宋体" w:cs="宋体"/>
          <w:bCs/>
          <w:color w:val="FF0000"/>
          <w:sz w:val="24"/>
          <w:szCs w:val="24"/>
          <w:lang w:val="zh-CN"/>
        </w:rPr>
        <w:t>经甲方验收并决算审计后向乙方支付剩余合同款。</w:t>
      </w:r>
    </w:p>
    <w:p>
      <w:pPr>
        <w:pStyle w:val="26"/>
        <w:rPr>
          <w:rFonts w:hint="eastAsia"/>
          <w:lang w:val="zh-CN"/>
        </w:rPr>
      </w:pPr>
    </w:p>
    <w:p>
      <w:pPr>
        <w:pStyle w:val="4"/>
        <w:ind w:left="460" w:leftChars="214" w:hanging="11" w:hangingChars="4"/>
        <w:rPr>
          <w:rFonts w:hint="eastAsia" w:ascii="宋体" w:hAnsi="宋体" w:eastAsia="宋体" w:cs="宋体"/>
          <w:b/>
          <w:bCs/>
          <w:sz w:val="28"/>
          <w:szCs w:val="28"/>
          <w:lang w:val="en-US"/>
        </w:rPr>
      </w:pPr>
      <w:r>
        <w:rPr>
          <w:rFonts w:hint="eastAsia" w:ascii="宋体" w:hAnsi="宋体" w:eastAsia="宋体" w:cs="宋体"/>
          <w:b/>
          <w:bCs/>
          <w:sz w:val="28"/>
          <w:szCs w:val="28"/>
          <w:lang w:val="en-US" w:eastAsia="zh-CN"/>
        </w:rPr>
        <w:t>九</w:t>
      </w:r>
      <w:r>
        <w:rPr>
          <w:rFonts w:hint="eastAsia" w:ascii="宋体" w:hAnsi="宋体" w:eastAsia="宋体" w:cs="宋体"/>
          <w:b/>
          <w:bCs/>
          <w:sz w:val="28"/>
          <w:szCs w:val="28"/>
          <w:lang w:val="en-US"/>
        </w:rPr>
        <w:t>、履约保证金及其他</w:t>
      </w:r>
    </w:p>
    <w:p>
      <w:pPr>
        <w:tabs>
          <w:tab w:val="left" w:pos="0"/>
        </w:tabs>
        <w:spacing w:line="360" w:lineRule="auto"/>
        <w:ind w:firstLine="480" w:firstLineChars="200"/>
        <w:rPr>
          <w:rFonts w:ascii="宋体" w:hAnsi="宋体" w:cs="宋体"/>
          <w:b/>
          <w:sz w:val="36"/>
          <w:szCs w:val="20"/>
        </w:rPr>
      </w:pPr>
      <w:r>
        <w:rPr>
          <w:rFonts w:hint="eastAsia" w:ascii="宋体" w:hAnsi="宋体" w:cs="宋体"/>
          <w:color w:val="000000"/>
          <w:sz w:val="24"/>
        </w:rPr>
        <w:t>签订合同时，中标人应向采购人交纳合同价款的</w:t>
      </w:r>
      <w:r>
        <w:rPr>
          <w:rFonts w:hint="eastAsia" w:ascii="宋体" w:hAnsi="宋体" w:cs="宋体"/>
          <w:color w:val="000000"/>
          <w:sz w:val="24"/>
          <w:lang w:val="en-US" w:eastAsia="zh-CN"/>
        </w:rPr>
        <w:t>0.</w:t>
      </w:r>
      <w:r>
        <w:rPr>
          <w:rFonts w:hint="eastAsia" w:ascii="宋体" w:hAnsi="宋体" w:cs="宋体"/>
          <w:color w:val="000000"/>
          <w:sz w:val="24"/>
        </w:rPr>
        <w:t>1%作为履约保证金。中标人应当以支票、汇票、本票或者金融机构、担保机构出具的保函等非现金形式提交。验收合格之日起30天内无息退还（不计息）。</w:t>
      </w:r>
      <w:bookmarkEnd w:id="26"/>
      <w:bookmarkEnd w:id="27"/>
      <w:bookmarkEnd w:id="28"/>
    </w:p>
    <w:p>
      <w:pPr>
        <w:pStyle w:val="61"/>
        <w:rPr>
          <w:rFonts w:hint="eastAsia" w:ascii="宋体" w:hAnsi="宋体" w:cs="宋体"/>
          <w:b/>
          <w:sz w:val="36"/>
          <w:szCs w:val="20"/>
        </w:rPr>
      </w:pPr>
    </w:p>
    <w:p>
      <w:pPr>
        <w:snapToGrid w:val="0"/>
        <w:spacing w:line="360" w:lineRule="auto"/>
        <w:jc w:val="center"/>
        <w:rPr>
          <w:rFonts w:hint="eastAsia" w:ascii="宋体" w:hAnsi="宋体" w:cs="宋体"/>
          <w:b/>
          <w:sz w:val="36"/>
          <w:szCs w:val="20"/>
        </w:rPr>
      </w:pPr>
    </w:p>
    <w:p>
      <w:pPr>
        <w:rPr>
          <w:rFonts w:hint="eastAsia" w:ascii="宋体" w:hAnsi="宋体" w:cs="宋体"/>
          <w:b/>
          <w:sz w:val="36"/>
          <w:szCs w:val="20"/>
        </w:rPr>
      </w:pPr>
      <w:r>
        <w:rPr>
          <w:rFonts w:hint="eastAsia" w:ascii="宋体" w:hAnsi="宋体" w:cs="宋体"/>
          <w:b/>
          <w:sz w:val="36"/>
          <w:szCs w:val="20"/>
        </w:rPr>
        <w:br w:type="page"/>
      </w:r>
    </w:p>
    <w:p>
      <w:pPr>
        <w:pStyle w:val="61"/>
        <w:rPr>
          <w:rFonts w:hint="eastAsia"/>
        </w:rPr>
      </w:pPr>
    </w:p>
    <w:p>
      <w:pPr>
        <w:snapToGrid w:val="0"/>
        <w:spacing w:line="360" w:lineRule="auto"/>
        <w:jc w:val="center"/>
        <w:rPr>
          <w:rFonts w:ascii="宋体" w:hAnsi="宋体" w:cs="宋体"/>
          <w:b/>
          <w:sz w:val="36"/>
          <w:szCs w:val="20"/>
        </w:rPr>
      </w:pPr>
      <w:r>
        <w:rPr>
          <w:rFonts w:hint="eastAsia" w:ascii="宋体" w:hAnsi="宋体" w:cs="宋体"/>
          <w:b/>
          <w:sz w:val="36"/>
          <w:szCs w:val="20"/>
        </w:rPr>
        <w:t>第四部分 评标办法</w:t>
      </w:r>
    </w:p>
    <w:tbl>
      <w:tblPr>
        <w:tblStyle w:val="63"/>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470"/>
        <w:gridCol w:w="621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
                <w:sz w:val="28"/>
                <w:szCs w:val="28"/>
              </w:rPr>
            </w:pPr>
            <w:bookmarkStart w:id="29" w:name="_Toc356371476"/>
            <w:bookmarkStart w:id="30" w:name="_Toc30064"/>
            <w:bookmarkStart w:id="31" w:name="_Toc359856829"/>
            <w:r>
              <w:rPr>
                <w:rFonts w:hint="eastAsia" w:ascii="宋体" w:hAnsi="宋体" w:eastAsia="宋体" w:cs="宋体"/>
                <w:b/>
                <w:sz w:val="28"/>
                <w:szCs w:val="28"/>
              </w:rPr>
              <w:t>序号</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
                <w:sz w:val="28"/>
                <w:szCs w:val="28"/>
              </w:rPr>
            </w:pPr>
            <w:r>
              <w:rPr>
                <w:rFonts w:hint="eastAsia" w:ascii="宋体" w:hAnsi="宋体" w:eastAsia="宋体" w:cs="宋体"/>
                <w:b/>
                <w:sz w:val="28"/>
                <w:szCs w:val="28"/>
              </w:rPr>
              <w:t>评分项目</w:t>
            </w:r>
          </w:p>
        </w:tc>
        <w:tc>
          <w:tcPr>
            <w:tcW w:w="62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
                <w:sz w:val="28"/>
                <w:szCs w:val="28"/>
              </w:rPr>
            </w:pPr>
            <w:r>
              <w:rPr>
                <w:rFonts w:hint="eastAsia" w:ascii="宋体" w:hAnsi="宋体" w:eastAsia="宋体" w:cs="宋体"/>
                <w:b/>
                <w:sz w:val="28"/>
                <w:szCs w:val="28"/>
              </w:rPr>
              <w:t>评审细则</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
                <w:sz w:val="28"/>
                <w:szCs w:val="28"/>
              </w:rPr>
            </w:pPr>
            <w:r>
              <w:rPr>
                <w:rFonts w:hint="eastAsia" w:ascii="宋体" w:hAnsi="宋体" w:eastAsia="宋体" w:cs="宋体"/>
                <w:b/>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92" w:type="dxa"/>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
                <w:sz w:val="24"/>
                <w:szCs w:val="24"/>
              </w:rPr>
            </w:pPr>
            <w:r>
              <w:rPr>
                <w:rFonts w:hint="eastAsia" w:ascii="宋体" w:hAnsi="宋体" w:eastAsia="宋体" w:cs="宋体"/>
                <w:bCs/>
                <w:sz w:val="24"/>
                <w:szCs w:val="24"/>
              </w:rPr>
              <w:t>1</w:t>
            </w:r>
          </w:p>
        </w:tc>
        <w:tc>
          <w:tcPr>
            <w:tcW w:w="1470" w:type="dxa"/>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Cs/>
                <w:sz w:val="24"/>
                <w:szCs w:val="24"/>
              </w:rPr>
            </w:pPr>
            <w:r>
              <w:rPr>
                <w:rFonts w:hint="eastAsia" w:ascii="宋体" w:hAnsi="宋体" w:eastAsia="宋体" w:cs="宋体"/>
                <w:sz w:val="24"/>
                <w:szCs w:val="24"/>
              </w:rPr>
              <w:t>商务报价</w:t>
            </w:r>
          </w:p>
        </w:tc>
        <w:tc>
          <w:tcPr>
            <w:tcW w:w="62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sz w:val="24"/>
                <w:szCs w:val="24"/>
              </w:rPr>
            </w:pPr>
            <w:r>
              <w:rPr>
                <w:rFonts w:hint="eastAsia" w:ascii="宋体" w:hAnsi="宋体" w:eastAsia="宋体" w:cs="宋体"/>
                <w:sz w:val="24"/>
                <w:szCs w:val="24"/>
              </w:rPr>
              <w:t>本项目最高限价：人民币</w:t>
            </w:r>
            <w:r>
              <w:rPr>
                <w:rFonts w:hint="eastAsia" w:ascii="宋体" w:hAnsi="宋体" w:cs="宋体"/>
                <w:sz w:val="24"/>
                <w:szCs w:val="24"/>
                <w:u w:val="single"/>
                <w:lang w:eastAsia="zh-CN"/>
              </w:rPr>
              <w:t>1300000</w:t>
            </w:r>
            <w:r>
              <w:rPr>
                <w:rFonts w:hint="eastAsia" w:ascii="宋体" w:hAnsi="宋体" w:eastAsia="宋体" w:cs="宋体"/>
                <w:sz w:val="24"/>
                <w:szCs w:val="24"/>
              </w:rPr>
              <w:t>元，基准价为满足评标要求且投标价格最低的投标报价，投标报价得分=(基准价／投标报价)×10，四舍五入，保留两位小数。报价高于最高限价的，其响应文件作无效处理。</w:t>
            </w:r>
          </w:p>
        </w:tc>
        <w:tc>
          <w:tcPr>
            <w:tcW w:w="992" w:type="dxa"/>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2</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类似业绩</w:t>
            </w:r>
          </w:p>
        </w:tc>
        <w:tc>
          <w:tcPr>
            <w:tcW w:w="6213"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供应商</w:t>
            </w:r>
            <w:r>
              <w:rPr>
                <w:rFonts w:hint="eastAsia" w:ascii="宋体" w:hAnsi="宋体" w:eastAsia="宋体" w:cs="宋体"/>
                <w:color w:val="auto"/>
                <w:sz w:val="24"/>
                <w:szCs w:val="24"/>
                <w:lang w:val="en-GB"/>
              </w:rPr>
              <w:t>自20</w:t>
            </w:r>
            <w:r>
              <w:rPr>
                <w:rFonts w:hint="eastAsia" w:ascii="宋体" w:hAnsi="宋体" w:cs="宋体"/>
                <w:color w:val="auto"/>
                <w:sz w:val="24"/>
                <w:szCs w:val="24"/>
                <w:lang w:val="en-US" w:eastAsia="zh-CN"/>
              </w:rPr>
              <w:t>21</w:t>
            </w:r>
            <w:r>
              <w:rPr>
                <w:rFonts w:hint="eastAsia" w:ascii="宋体" w:hAnsi="宋体" w:eastAsia="宋体" w:cs="宋体"/>
                <w:color w:val="auto"/>
                <w:sz w:val="24"/>
                <w:szCs w:val="24"/>
                <w:lang w:val="en-GB"/>
              </w:rPr>
              <w:t>年1月1日</w:t>
            </w:r>
            <w:r>
              <w:rPr>
                <w:rFonts w:hint="eastAsia" w:ascii="宋体" w:hAnsi="宋体" w:eastAsia="宋体" w:cs="宋体"/>
                <w:color w:val="auto"/>
                <w:sz w:val="24"/>
                <w:szCs w:val="24"/>
              </w:rPr>
              <w:t>（以合同实际签订日期为准）</w:t>
            </w:r>
            <w:r>
              <w:rPr>
                <w:rFonts w:hint="eastAsia" w:ascii="宋体" w:hAnsi="宋体" w:eastAsia="宋体" w:cs="宋体"/>
                <w:color w:val="auto"/>
                <w:sz w:val="24"/>
                <w:szCs w:val="24"/>
                <w:lang w:val="en-GB"/>
              </w:rPr>
              <w:t>起</w:t>
            </w:r>
            <w:r>
              <w:rPr>
                <w:rFonts w:hint="eastAsia" w:ascii="宋体" w:hAnsi="宋体" w:eastAsia="宋体" w:cs="宋体"/>
                <w:color w:val="auto"/>
                <w:sz w:val="24"/>
                <w:szCs w:val="24"/>
              </w:rPr>
              <w:t>完成过</w:t>
            </w:r>
            <w:r>
              <w:rPr>
                <w:rFonts w:hint="eastAsia" w:ascii="宋体" w:hAnsi="宋体" w:cs="宋体"/>
                <w:color w:val="auto"/>
                <w:sz w:val="24"/>
                <w:szCs w:val="24"/>
                <w:lang w:val="en-US" w:eastAsia="zh-CN"/>
              </w:rPr>
              <w:t>政府部门</w:t>
            </w:r>
            <w:r>
              <w:rPr>
                <w:rFonts w:hint="eastAsia" w:ascii="宋体" w:hAnsi="宋体" w:eastAsia="宋体" w:cs="宋体"/>
                <w:color w:val="auto"/>
                <w:sz w:val="24"/>
                <w:szCs w:val="24"/>
              </w:rPr>
              <w:t>类似项目的</w:t>
            </w:r>
            <w:r>
              <w:rPr>
                <w:rFonts w:hint="eastAsia" w:ascii="宋体" w:hAnsi="宋体" w:eastAsia="宋体" w:cs="宋体"/>
                <w:color w:val="auto"/>
                <w:sz w:val="24"/>
                <w:szCs w:val="24"/>
                <w:lang w:val="en-US" w:eastAsia="zh-CN"/>
              </w:rPr>
              <w:t>业绩</w:t>
            </w:r>
            <w:r>
              <w:rPr>
                <w:rFonts w:hint="eastAsia" w:ascii="宋体" w:hAnsi="宋体" w:eastAsia="宋体" w:cs="宋体"/>
                <w:color w:val="auto"/>
                <w:sz w:val="24"/>
                <w:szCs w:val="24"/>
              </w:rPr>
              <w:t>，每个得</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分，最高得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w:t>
            </w:r>
          </w:p>
          <w:p>
            <w:pPr>
              <w:widowControl/>
              <w:snapToGrid w:val="0"/>
              <w:spacing w:line="400" w:lineRule="exact"/>
              <w:rPr>
                <w:rFonts w:hint="default" w:eastAsia="宋体"/>
                <w:color w:val="FF0000"/>
                <w:lang w:val="en-US" w:eastAsia="zh-CN"/>
              </w:rPr>
            </w:pPr>
            <w:r>
              <w:rPr>
                <w:rFonts w:hint="eastAsia" w:ascii="宋体" w:hAnsi="宋体" w:eastAsia="宋体" w:cs="宋体"/>
                <w:color w:val="auto"/>
                <w:sz w:val="24"/>
                <w:szCs w:val="24"/>
              </w:rPr>
              <w:t>（注：须提供合同扫描件</w:t>
            </w:r>
            <w:r>
              <w:rPr>
                <w:rFonts w:hint="eastAsia" w:ascii="宋体" w:hAnsi="宋体" w:eastAsia="宋体" w:cs="宋体"/>
                <w:color w:val="auto"/>
                <w:sz w:val="24"/>
                <w:szCs w:val="24"/>
                <w:lang w:val="en-GB"/>
              </w:rPr>
              <w:t>加盖</w:t>
            </w:r>
            <w:r>
              <w:rPr>
                <w:rFonts w:hint="eastAsia" w:ascii="宋体" w:hAnsi="宋体" w:eastAsia="宋体" w:cs="宋体"/>
                <w:color w:val="auto"/>
                <w:sz w:val="24"/>
                <w:szCs w:val="24"/>
              </w:rPr>
              <w:t>单位</w:t>
            </w:r>
            <w:r>
              <w:rPr>
                <w:rFonts w:hint="eastAsia" w:ascii="宋体" w:hAnsi="宋体" w:eastAsia="宋体" w:cs="宋体"/>
                <w:color w:val="auto"/>
                <w:sz w:val="24"/>
                <w:szCs w:val="24"/>
                <w:lang w:val="en-GB"/>
              </w:rPr>
              <w:t>公章，</w:t>
            </w:r>
            <w:r>
              <w:rPr>
                <w:rFonts w:hint="eastAsia" w:ascii="宋体" w:hAnsi="宋体" w:eastAsia="宋体" w:cs="宋体"/>
                <w:color w:val="auto"/>
                <w:sz w:val="24"/>
                <w:szCs w:val="24"/>
              </w:rPr>
              <w:t>不提供不得分）</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892" w:type="dxa"/>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3</w:t>
            </w:r>
          </w:p>
        </w:tc>
        <w:tc>
          <w:tcPr>
            <w:tcW w:w="1470" w:type="dxa"/>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荣誉</w:t>
            </w:r>
          </w:p>
          <w:p>
            <w:pPr>
              <w:widowControl/>
              <w:snapToGrid w:val="0"/>
              <w:spacing w:line="400" w:lineRule="exact"/>
              <w:jc w:val="center"/>
              <w:rPr>
                <w:rFonts w:hint="eastAsia" w:ascii="宋体" w:hAnsi="宋体" w:eastAsia="宋体" w:cs="宋体"/>
                <w:color w:val="auto"/>
                <w:sz w:val="24"/>
                <w:szCs w:val="24"/>
              </w:rPr>
            </w:pPr>
          </w:p>
        </w:tc>
        <w:tc>
          <w:tcPr>
            <w:tcW w:w="62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供应商</w:t>
            </w:r>
            <w:r>
              <w:rPr>
                <w:rFonts w:hint="eastAsia" w:ascii="宋体" w:hAnsi="宋体" w:eastAsia="宋体" w:cs="宋体"/>
                <w:color w:val="auto"/>
                <w:sz w:val="24"/>
                <w:szCs w:val="24"/>
                <w:lang w:val="en-GB"/>
              </w:rPr>
              <w:t>自</w:t>
            </w:r>
            <w:r>
              <w:rPr>
                <w:rFonts w:hint="eastAsia" w:ascii="宋体" w:hAnsi="宋体" w:eastAsia="宋体" w:cs="宋体"/>
                <w:color w:val="auto"/>
                <w:sz w:val="24"/>
                <w:szCs w:val="24"/>
                <w:lang w:eastAsia="zh-Hans"/>
              </w:rPr>
              <w:t>20</w:t>
            </w:r>
            <w:r>
              <w:rPr>
                <w:rFonts w:hint="eastAsia" w:ascii="宋体" w:hAnsi="宋体" w:cs="宋体"/>
                <w:color w:val="auto"/>
                <w:sz w:val="24"/>
                <w:szCs w:val="24"/>
                <w:lang w:val="en-US" w:eastAsia="zh-CN"/>
              </w:rPr>
              <w:t>21</w:t>
            </w:r>
            <w:r>
              <w:rPr>
                <w:rFonts w:hint="eastAsia" w:ascii="宋体" w:hAnsi="宋体" w:eastAsia="宋体" w:cs="宋体"/>
                <w:color w:val="auto"/>
                <w:sz w:val="24"/>
                <w:szCs w:val="24"/>
                <w:lang w:eastAsia="zh-Hans"/>
              </w:rPr>
              <w:t>年1月1日起至今</w:t>
            </w:r>
            <w:r>
              <w:rPr>
                <w:rFonts w:hint="eastAsia" w:ascii="宋体" w:hAnsi="宋体" w:cs="宋体"/>
                <w:color w:val="auto"/>
                <w:sz w:val="24"/>
                <w:szCs w:val="24"/>
                <w:lang w:val="en-US" w:eastAsia="zh-CN"/>
              </w:rPr>
              <w:t>获得过</w:t>
            </w:r>
            <w:r>
              <w:rPr>
                <w:rFonts w:hint="eastAsia" w:ascii="宋体" w:hAnsi="宋体" w:eastAsia="宋体" w:cs="宋体"/>
                <w:color w:val="auto"/>
                <w:sz w:val="24"/>
                <w:szCs w:val="24"/>
                <w:lang w:val="en-US" w:eastAsia="zh-CN"/>
              </w:rPr>
              <w:t>赛事活动主办方书面表彰函的，每个得2分；</w:t>
            </w:r>
            <w:r>
              <w:rPr>
                <w:rFonts w:hint="eastAsia" w:ascii="宋体" w:hAnsi="宋体" w:eastAsia="宋体" w:cs="宋体"/>
                <w:color w:val="auto"/>
                <w:sz w:val="24"/>
                <w:szCs w:val="24"/>
              </w:rPr>
              <w:t>最高得</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w:t>
            </w:r>
          </w:p>
          <w:p>
            <w:pPr>
              <w:widowControl/>
              <w:snapToGrid w:val="0"/>
              <w:spacing w:line="400" w:lineRule="exact"/>
              <w:rPr>
                <w:rFonts w:hint="default" w:eastAsia="宋体"/>
                <w:color w:val="FF0000"/>
                <w:lang w:val="en-US" w:eastAsia="zh-CN"/>
              </w:rPr>
            </w:pPr>
            <w:r>
              <w:rPr>
                <w:rFonts w:hint="eastAsia" w:ascii="宋体" w:hAnsi="宋体" w:eastAsia="宋体" w:cs="宋体"/>
                <w:color w:val="auto"/>
                <w:sz w:val="24"/>
                <w:szCs w:val="24"/>
              </w:rPr>
              <w:t>（注：</w:t>
            </w:r>
            <w:r>
              <w:rPr>
                <w:rFonts w:hint="eastAsia" w:ascii="宋体" w:hAnsi="宋体" w:eastAsia="宋体" w:cs="宋体"/>
                <w:color w:val="auto"/>
                <w:sz w:val="24"/>
                <w:szCs w:val="24"/>
                <w:lang w:val="en-US" w:eastAsia="zh-CN"/>
              </w:rPr>
              <w:t>赛事活动主办方</w:t>
            </w:r>
            <w:r>
              <w:rPr>
                <w:rFonts w:hint="eastAsia" w:ascii="宋体" w:hAnsi="宋体" w:cs="宋体"/>
                <w:color w:val="auto"/>
                <w:sz w:val="24"/>
                <w:szCs w:val="24"/>
                <w:lang w:val="en-US" w:eastAsia="zh-CN"/>
              </w:rPr>
              <w:t>为政府部门，</w:t>
            </w:r>
            <w:r>
              <w:rPr>
                <w:rFonts w:hint="eastAsia" w:ascii="宋体" w:hAnsi="宋体" w:eastAsia="宋体" w:cs="宋体"/>
                <w:color w:val="auto"/>
                <w:sz w:val="24"/>
                <w:szCs w:val="24"/>
              </w:rPr>
              <w:t>证明材料须提供有效</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证书扫描件加盖单位公章，不提供不得分）</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jc w:val="center"/>
        </w:trPr>
        <w:tc>
          <w:tcPr>
            <w:tcW w:w="892" w:type="dxa"/>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1470" w:type="dxa"/>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strike w:val="0"/>
                <w:sz w:val="24"/>
                <w:szCs w:val="24"/>
                <w:lang w:eastAsia="zh-CN"/>
              </w:rPr>
            </w:pPr>
            <w:r>
              <w:rPr>
                <w:rFonts w:hint="eastAsia" w:ascii="宋体" w:hAnsi="宋体" w:eastAsia="宋体" w:cs="宋体"/>
                <w:sz w:val="24"/>
                <w:szCs w:val="24"/>
              </w:rPr>
              <w:t>项目</w:t>
            </w:r>
            <w:r>
              <w:rPr>
                <w:rFonts w:hint="eastAsia" w:ascii="宋体" w:hAnsi="宋体" w:cs="宋体"/>
                <w:strike w:val="0"/>
                <w:dstrike w:val="0"/>
                <w:sz w:val="24"/>
                <w:szCs w:val="24"/>
                <w:lang w:eastAsia="zh-CN"/>
              </w:rPr>
              <w:t>负责人能力</w:t>
            </w:r>
          </w:p>
          <w:p>
            <w:pPr>
              <w:widowControl/>
              <w:snapToGrid w:val="0"/>
              <w:spacing w:line="400" w:lineRule="exact"/>
              <w:jc w:val="center"/>
              <w:rPr>
                <w:rFonts w:hint="eastAsia" w:ascii="宋体" w:hAnsi="宋体" w:eastAsia="宋体" w:cs="宋体"/>
                <w:sz w:val="24"/>
                <w:szCs w:val="24"/>
              </w:rPr>
            </w:pPr>
          </w:p>
        </w:tc>
        <w:tc>
          <w:tcPr>
            <w:tcW w:w="62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sz w:val="24"/>
                <w:szCs w:val="24"/>
              </w:rPr>
            </w:pPr>
            <w:r>
              <w:rPr>
                <w:rFonts w:hint="eastAsia" w:ascii="宋体" w:hAnsi="宋体" w:eastAsia="宋体" w:cs="宋体"/>
                <w:sz w:val="24"/>
                <w:szCs w:val="24"/>
              </w:rPr>
              <w:t>项目</w:t>
            </w:r>
            <w:r>
              <w:rPr>
                <w:rFonts w:hint="eastAsia" w:ascii="宋体" w:hAnsi="宋体" w:cs="宋体"/>
                <w:color w:val="auto"/>
                <w:sz w:val="24"/>
                <w:szCs w:val="24"/>
                <w:lang w:eastAsia="zh-CN"/>
              </w:rPr>
              <w:t>负责</w:t>
            </w:r>
            <w:r>
              <w:rPr>
                <w:rFonts w:hint="eastAsia" w:ascii="宋体" w:hAnsi="宋体" w:eastAsia="宋体" w:cs="宋体"/>
                <w:color w:val="auto"/>
                <w:sz w:val="24"/>
                <w:szCs w:val="24"/>
              </w:rPr>
              <w:t>人</w:t>
            </w:r>
            <w:r>
              <w:rPr>
                <w:rFonts w:hint="eastAsia" w:ascii="宋体" w:hAnsi="宋体" w:eastAsia="宋体" w:cs="宋体"/>
                <w:sz w:val="24"/>
                <w:szCs w:val="24"/>
              </w:rPr>
              <w:t>配备：针对本项目拟派项目实施人员具有</w:t>
            </w:r>
            <w:r>
              <w:rPr>
                <w:rFonts w:hint="eastAsia" w:ascii="宋体" w:hAnsi="宋体" w:eastAsia="宋体" w:cs="宋体"/>
                <w:color w:val="auto"/>
                <w:sz w:val="24"/>
                <w:szCs w:val="24"/>
                <w:lang w:val="en-US" w:eastAsia="zh-CN"/>
              </w:rPr>
              <w:t>“中国铁人三项竞赛管理员证书”</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“游泳救生员证书”</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“中国铁人三项运动协会一级或以上运动员证书”</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“游泳</w:t>
            </w:r>
            <w:r>
              <w:rPr>
                <w:rFonts w:hint="eastAsia" w:ascii="宋体" w:hAnsi="宋体" w:cs="宋体"/>
                <w:color w:val="auto"/>
                <w:sz w:val="24"/>
                <w:szCs w:val="24"/>
                <w:lang w:val="en-US" w:eastAsia="zh-CN"/>
              </w:rPr>
              <w:t>或</w:t>
            </w:r>
            <w:r>
              <w:rPr>
                <w:rFonts w:hint="eastAsia" w:ascii="宋体" w:hAnsi="宋体" w:eastAsia="宋体" w:cs="宋体"/>
                <w:color w:val="auto"/>
                <w:sz w:val="24"/>
                <w:szCs w:val="24"/>
                <w:lang w:val="en-US" w:eastAsia="zh-CN"/>
              </w:rPr>
              <w:t>自行车社会指导员</w:t>
            </w:r>
            <w:r>
              <w:rPr>
                <w:rFonts w:hint="default" w:ascii="宋体" w:hAnsi="宋体" w:eastAsia="宋体" w:cs="宋体"/>
                <w:color w:val="auto"/>
                <w:sz w:val="24"/>
                <w:szCs w:val="24"/>
                <w:lang w:val="en-US" w:eastAsia="zh-CN"/>
              </w:rPr>
              <w:t>”</w:t>
            </w:r>
            <w:r>
              <w:rPr>
                <w:rFonts w:hint="eastAsia" w:ascii="宋体" w:hAnsi="宋体" w:cs="宋体"/>
                <w:color w:val="auto"/>
                <w:sz w:val="24"/>
                <w:szCs w:val="24"/>
                <w:lang w:val="en-US" w:eastAsia="zh-CN"/>
              </w:rPr>
              <w:t>，</w:t>
            </w:r>
            <w:r>
              <w:rPr>
                <w:rFonts w:hint="eastAsia" w:ascii="宋体" w:hAnsi="宋体" w:cs="宋体"/>
                <w:strike w:val="0"/>
                <w:dstrike w:val="0"/>
                <w:sz w:val="24"/>
                <w:szCs w:val="24"/>
                <w:lang w:eastAsia="zh-CN"/>
              </w:rPr>
              <w:t>拟派本项目负责人具有三本以上证书的得</w:t>
            </w:r>
            <w:r>
              <w:rPr>
                <w:rFonts w:hint="eastAsia" w:ascii="宋体" w:hAnsi="宋体" w:cs="宋体"/>
                <w:strike w:val="0"/>
                <w:dstrike w:val="0"/>
                <w:sz w:val="24"/>
                <w:szCs w:val="24"/>
                <w:lang w:val="en-US" w:eastAsia="zh-CN"/>
              </w:rPr>
              <w:t>5分</w:t>
            </w:r>
            <w:r>
              <w:rPr>
                <w:rFonts w:hint="eastAsia" w:ascii="宋体" w:hAnsi="宋体" w:eastAsia="宋体" w:cs="宋体"/>
                <w:sz w:val="24"/>
                <w:szCs w:val="24"/>
              </w:rPr>
              <w:t>。</w:t>
            </w:r>
          </w:p>
          <w:p>
            <w:pPr>
              <w:widowControl/>
              <w:snapToGrid w:val="0"/>
              <w:spacing w:line="400" w:lineRule="exact"/>
              <w:jc w:val="left"/>
              <w:rPr>
                <w:rFonts w:hint="eastAsia"/>
              </w:rPr>
            </w:pPr>
            <w:r>
              <w:rPr>
                <w:rFonts w:hint="eastAsia" w:ascii="宋体" w:hAnsi="宋体" w:eastAsia="宋体" w:cs="宋体"/>
                <w:sz w:val="24"/>
                <w:szCs w:val="24"/>
              </w:rPr>
              <w:t>（须提供拟派人员在有效期内的相应证书或证明材料扫描件并加盖公章及响应截止前近三个月内任意一月的社保证明并加盖公章未提供不得分）</w:t>
            </w:r>
          </w:p>
        </w:tc>
        <w:tc>
          <w:tcPr>
            <w:tcW w:w="992" w:type="dxa"/>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92" w:type="dxa"/>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Cs/>
                <w:sz w:val="24"/>
                <w:szCs w:val="24"/>
                <w:lang w:eastAsia="zh-CN"/>
              </w:rPr>
            </w:pPr>
            <w:r>
              <w:rPr>
                <w:rFonts w:hint="eastAsia" w:ascii="宋体" w:hAnsi="宋体" w:cs="宋体"/>
                <w:bCs/>
                <w:sz w:val="24"/>
                <w:szCs w:val="24"/>
                <w:lang w:val="en-US" w:eastAsia="zh-CN"/>
              </w:rPr>
              <w:t>5</w:t>
            </w:r>
          </w:p>
        </w:tc>
        <w:tc>
          <w:tcPr>
            <w:tcW w:w="1470" w:type="dxa"/>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策划方案</w:t>
            </w:r>
          </w:p>
          <w:p>
            <w:pPr>
              <w:widowControl/>
              <w:snapToGrid w:val="0"/>
              <w:spacing w:line="400" w:lineRule="exact"/>
              <w:jc w:val="center"/>
              <w:rPr>
                <w:rFonts w:hint="eastAsia" w:ascii="宋体" w:hAnsi="宋体" w:eastAsia="宋体" w:cs="宋体"/>
                <w:sz w:val="24"/>
                <w:szCs w:val="24"/>
              </w:rPr>
            </w:pPr>
          </w:p>
        </w:tc>
        <w:tc>
          <w:tcPr>
            <w:tcW w:w="62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磋商小组根据供应商提交的方案，横向比较，综合打分。方案需围绕</w:t>
            </w:r>
            <w:r>
              <w:rPr>
                <w:rFonts w:hint="eastAsia" w:ascii="宋体" w:hAnsi="宋体" w:eastAsia="宋体" w:cs="宋体"/>
                <w:bCs/>
                <w:sz w:val="24"/>
                <w:szCs w:val="24"/>
                <w:lang w:val="zh-CN"/>
              </w:rPr>
              <w:t>赛事</w:t>
            </w:r>
            <w:r>
              <w:rPr>
                <w:rFonts w:hint="eastAsia" w:ascii="宋体" w:hAnsi="宋体" w:eastAsia="宋体" w:cs="宋体"/>
                <w:kern w:val="0"/>
                <w:sz w:val="24"/>
                <w:szCs w:val="24"/>
              </w:rPr>
              <w:t>主题突出</w:t>
            </w:r>
            <w:r>
              <w:rPr>
                <w:rFonts w:hint="eastAsia" w:ascii="宋体" w:hAnsi="宋体" w:eastAsia="宋体" w:cs="宋体"/>
                <w:bCs/>
                <w:sz w:val="24"/>
                <w:szCs w:val="24"/>
                <w:lang w:val="zh-CN"/>
              </w:rPr>
              <w:t>赛事</w:t>
            </w:r>
            <w:r>
              <w:rPr>
                <w:rFonts w:hint="eastAsia" w:ascii="宋体" w:hAnsi="宋体" w:eastAsia="宋体" w:cs="宋体"/>
                <w:kern w:val="0"/>
                <w:sz w:val="24"/>
                <w:szCs w:val="24"/>
              </w:rPr>
              <w:t>核心内容。</w:t>
            </w:r>
          </w:p>
          <w:p>
            <w:pPr>
              <w:widowControl/>
              <w:snapToGrid w:val="0"/>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1.方案内容完整，具有视觉冲击力，</w:t>
            </w:r>
            <w:r>
              <w:rPr>
                <w:rFonts w:hint="eastAsia" w:ascii="宋体" w:hAnsi="宋体" w:eastAsia="宋体" w:cs="宋体"/>
                <w:bCs/>
                <w:sz w:val="24"/>
                <w:szCs w:val="24"/>
                <w:lang w:val="zh-CN"/>
              </w:rPr>
              <w:t>赛事</w:t>
            </w:r>
            <w:r>
              <w:rPr>
                <w:rFonts w:hint="eastAsia" w:ascii="宋体" w:hAnsi="宋体" w:eastAsia="宋体" w:cs="宋体"/>
                <w:kern w:val="0"/>
                <w:sz w:val="24"/>
                <w:szCs w:val="24"/>
              </w:rPr>
              <w:t>活动类型丰富，形式新颖，体验感、趣味性强，传播力强的得</w:t>
            </w:r>
            <w:r>
              <w:rPr>
                <w:rFonts w:hint="eastAsia" w:ascii="宋体" w:hAnsi="宋体" w:cs="宋体"/>
                <w:sz w:val="24"/>
                <w:szCs w:val="24"/>
                <w:lang w:val="en-US" w:eastAsia="zh-CN"/>
              </w:rPr>
              <w:t>6-8</w:t>
            </w:r>
            <w:r>
              <w:rPr>
                <w:rFonts w:hint="eastAsia" w:ascii="宋体" w:hAnsi="宋体" w:eastAsia="宋体" w:cs="宋体"/>
                <w:sz w:val="24"/>
                <w:szCs w:val="24"/>
              </w:rPr>
              <w:t>分</w:t>
            </w:r>
            <w:r>
              <w:rPr>
                <w:rFonts w:hint="eastAsia" w:ascii="宋体" w:hAnsi="宋体" w:eastAsia="宋体" w:cs="宋体"/>
                <w:kern w:val="0"/>
                <w:sz w:val="24"/>
                <w:szCs w:val="24"/>
              </w:rPr>
              <w:t>。</w:t>
            </w:r>
          </w:p>
          <w:p>
            <w:pPr>
              <w:widowControl/>
              <w:snapToGrid w:val="0"/>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2.方案内容基本完整，有一定的创新创意，安排比较合理，体验感、趣味性较强，较能突出</w:t>
            </w:r>
            <w:r>
              <w:rPr>
                <w:rFonts w:hint="eastAsia" w:ascii="宋体" w:hAnsi="宋体" w:eastAsia="宋体" w:cs="宋体"/>
                <w:bCs/>
                <w:sz w:val="24"/>
                <w:szCs w:val="24"/>
                <w:lang w:val="zh-CN"/>
              </w:rPr>
              <w:t>赛事</w:t>
            </w:r>
            <w:r>
              <w:rPr>
                <w:rFonts w:hint="eastAsia" w:ascii="宋体" w:hAnsi="宋体" w:eastAsia="宋体" w:cs="宋体"/>
                <w:kern w:val="0"/>
                <w:sz w:val="24"/>
                <w:szCs w:val="24"/>
              </w:rPr>
              <w:t>核心的得</w:t>
            </w:r>
            <w:r>
              <w:rPr>
                <w:rFonts w:hint="eastAsia" w:ascii="宋体" w:hAnsi="宋体" w:cs="宋体"/>
                <w:sz w:val="24"/>
                <w:szCs w:val="24"/>
                <w:lang w:val="en-US" w:eastAsia="zh-CN"/>
              </w:rPr>
              <w:t>4-5</w:t>
            </w:r>
            <w:r>
              <w:rPr>
                <w:rFonts w:hint="eastAsia" w:ascii="宋体" w:hAnsi="宋体" w:eastAsia="宋体" w:cs="宋体"/>
                <w:sz w:val="24"/>
                <w:szCs w:val="24"/>
              </w:rPr>
              <w:t>分</w:t>
            </w:r>
            <w:r>
              <w:rPr>
                <w:rFonts w:hint="eastAsia" w:ascii="宋体" w:hAnsi="宋体" w:eastAsia="宋体" w:cs="宋体"/>
                <w:kern w:val="0"/>
                <w:sz w:val="24"/>
                <w:szCs w:val="24"/>
              </w:rPr>
              <w:t>。</w:t>
            </w:r>
          </w:p>
          <w:p>
            <w:pPr>
              <w:widowControl/>
              <w:snapToGrid w:val="0"/>
              <w:spacing w:line="400" w:lineRule="exact"/>
              <w:jc w:val="left"/>
              <w:rPr>
                <w:rFonts w:hint="eastAsia" w:ascii="宋体" w:hAnsi="宋体" w:eastAsia="宋体" w:cs="宋体"/>
                <w:sz w:val="24"/>
                <w:szCs w:val="24"/>
              </w:rPr>
            </w:pPr>
            <w:r>
              <w:rPr>
                <w:rFonts w:hint="eastAsia" w:ascii="宋体" w:hAnsi="宋体" w:eastAsia="宋体" w:cs="宋体"/>
                <w:kern w:val="0"/>
                <w:sz w:val="24"/>
                <w:szCs w:val="24"/>
              </w:rPr>
              <w:t>3.方案内容有所欠缺不够全面，无具体说明的，可操作性一般的得</w:t>
            </w:r>
            <w:r>
              <w:rPr>
                <w:rFonts w:hint="eastAsia" w:ascii="宋体" w:hAnsi="宋体" w:cs="宋体"/>
                <w:sz w:val="24"/>
                <w:szCs w:val="24"/>
                <w:lang w:val="en-US" w:eastAsia="zh-CN"/>
              </w:rPr>
              <w:t>1-3</w:t>
            </w:r>
            <w:r>
              <w:rPr>
                <w:rFonts w:hint="eastAsia" w:ascii="宋体" w:hAnsi="宋体" w:eastAsia="宋体" w:cs="宋体"/>
                <w:sz w:val="24"/>
                <w:szCs w:val="24"/>
              </w:rPr>
              <w:t>分</w:t>
            </w:r>
            <w:r>
              <w:rPr>
                <w:rFonts w:hint="eastAsia" w:ascii="宋体" w:hAnsi="宋体" w:eastAsia="宋体" w:cs="宋体"/>
                <w:kern w:val="0"/>
                <w:sz w:val="24"/>
                <w:szCs w:val="24"/>
              </w:rPr>
              <w:t>。</w:t>
            </w:r>
          </w:p>
        </w:tc>
        <w:tc>
          <w:tcPr>
            <w:tcW w:w="992" w:type="dxa"/>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92" w:type="dxa"/>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Cs/>
                <w:sz w:val="24"/>
                <w:szCs w:val="24"/>
                <w:lang w:eastAsia="zh-CN"/>
              </w:rPr>
            </w:pPr>
            <w:r>
              <w:rPr>
                <w:rFonts w:hint="eastAsia" w:ascii="宋体" w:hAnsi="宋体" w:cs="宋体"/>
                <w:bCs/>
                <w:sz w:val="24"/>
                <w:szCs w:val="24"/>
                <w:lang w:val="en-US" w:eastAsia="zh-CN"/>
              </w:rPr>
              <w:t>6</w:t>
            </w:r>
          </w:p>
        </w:tc>
        <w:tc>
          <w:tcPr>
            <w:tcW w:w="1470" w:type="dxa"/>
            <w:tcBorders>
              <w:left w:val="single" w:color="auto" w:sz="4" w:space="0"/>
              <w:right w:val="single" w:color="auto" w:sz="4" w:space="0"/>
            </w:tcBorders>
            <w:vAlign w:val="center"/>
          </w:tcPr>
          <w:p>
            <w:pPr>
              <w:widowControl/>
              <w:autoSpaceDE w:val="0"/>
              <w:autoSpaceDN w:val="0"/>
              <w:adjustRightInd w:val="0"/>
              <w:snapToGrid w:val="0"/>
              <w:spacing w:line="400" w:lineRule="exact"/>
              <w:jc w:val="center"/>
              <w:rPr>
                <w:rFonts w:hint="eastAsia" w:ascii="宋体" w:hAnsi="宋体" w:eastAsia="宋体" w:cs="宋体"/>
                <w:sz w:val="24"/>
                <w:szCs w:val="24"/>
              </w:rPr>
            </w:pPr>
            <w:r>
              <w:rPr>
                <w:rFonts w:hint="eastAsia" w:ascii="宋体" w:hAnsi="宋体" w:eastAsia="宋体" w:cs="宋体"/>
                <w:kern w:val="0"/>
                <w:sz w:val="24"/>
                <w:szCs w:val="24"/>
              </w:rPr>
              <w:t>媒体宣传</w:t>
            </w:r>
            <w:r>
              <w:rPr>
                <w:rFonts w:hint="eastAsia" w:ascii="宋体" w:hAnsi="宋体" w:eastAsia="宋体" w:cs="宋体"/>
                <w:sz w:val="24"/>
                <w:szCs w:val="24"/>
              </w:rPr>
              <w:t>方案</w:t>
            </w:r>
          </w:p>
          <w:p>
            <w:pPr>
              <w:widowControl/>
              <w:autoSpaceDE w:val="0"/>
              <w:autoSpaceDN w:val="0"/>
              <w:adjustRightInd w:val="0"/>
              <w:snapToGrid w:val="0"/>
              <w:spacing w:line="400" w:lineRule="exact"/>
              <w:jc w:val="center"/>
              <w:rPr>
                <w:rFonts w:hint="eastAsia" w:ascii="宋体" w:hAnsi="宋体" w:eastAsia="宋体" w:cs="宋体"/>
                <w:sz w:val="24"/>
                <w:szCs w:val="24"/>
              </w:rPr>
            </w:pPr>
          </w:p>
        </w:tc>
        <w:tc>
          <w:tcPr>
            <w:tcW w:w="6213" w:type="dxa"/>
            <w:tcBorders>
              <w:top w:val="single" w:color="auto" w:sz="4" w:space="0"/>
              <w:left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供应商根据本项目情况制定清晰可行的宣传实施方案。方案内容需</w:t>
            </w:r>
            <w:r>
              <w:rPr>
                <w:rFonts w:hint="eastAsia" w:ascii="宋体" w:hAnsi="宋体" w:eastAsia="宋体" w:cs="宋体"/>
                <w:bCs/>
                <w:kern w:val="0"/>
                <w:sz w:val="24"/>
                <w:szCs w:val="24"/>
                <w:lang w:eastAsia="zh-Hans" w:bidi="ar"/>
              </w:rPr>
              <w:t>从</w:t>
            </w:r>
            <w:r>
              <w:rPr>
                <w:rFonts w:hint="eastAsia" w:ascii="宋体" w:hAnsi="宋体" w:cs="宋体"/>
                <w:bCs/>
                <w:kern w:val="0"/>
                <w:sz w:val="24"/>
                <w:szCs w:val="24"/>
                <w:lang w:val="en-US" w:eastAsia="zh-CN" w:bidi="ar"/>
              </w:rPr>
              <w:t>铁人三项赛</w:t>
            </w:r>
            <w:r>
              <w:rPr>
                <w:rFonts w:hint="eastAsia" w:ascii="宋体" w:hAnsi="宋体" w:eastAsia="宋体" w:cs="宋体"/>
                <w:bCs/>
                <w:kern w:val="0"/>
                <w:sz w:val="24"/>
                <w:szCs w:val="24"/>
                <w:lang w:eastAsia="zh-Hans" w:bidi="ar"/>
              </w:rPr>
              <w:t>出发</w:t>
            </w:r>
            <w:r>
              <w:rPr>
                <w:rFonts w:hint="eastAsia" w:ascii="宋体" w:hAnsi="宋体" w:eastAsia="宋体" w:cs="宋体"/>
                <w:bCs/>
                <w:kern w:val="0"/>
                <w:sz w:val="24"/>
                <w:szCs w:val="24"/>
                <w:lang w:bidi="ar"/>
              </w:rPr>
              <w:t>，</w:t>
            </w:r>
            <w:r>
              <w:rPr>
                <w:rFonts w:hint="eastAsia" w:ascii="宋体" w:hAnsi="宋体" w:eastAsia="宋体" w:cs="宋体"/>
                <w:kern w:val="0"/>
                <w:sz w:val="24"/>
                <w:szCs w:val="24"/>
              </w:rPr>
              <w:t>突出主题，抓住重点，计划性、时效性相结合，立足桐庐、面向全国、走向世界，多方位、多角度、多层次宣传</w:t>
            </w:r>
            <w:r>
              <w:rPr>
                <w:rFonts w:hint="eastAsia" w:ascii="宋体" w:hAnsi="宋体" w:eastAsia="宋体" w:cs="宋体"/>
                <w:bCs/>
                <w:sz w:val="24"/>
                <w:szCs w:val="24"/>
                <w:lang w:val="zh-CN"/>
              </w:rPr>
              <w:t>赛事</w:t>
            </w:r>
            <w:r>
              <w:rPr>
                <w:rFonts w:hint="eastAsia" w:ascii="宋体" w:hAnsi="宋体" w:eastAsia="宋体" w:cs="宋体"/>
                <w:kern w:val="0"/>
                <w:sz w:val="24"/>
                <w:szCs w:val="24"/>
              </w:rPr>
              <w:t>。</w:t>
            </w:r>
            <w:r>
              <w:rPr>
                <w:rFonts w:hint="eastAsia" w:ascii="宋体" w:hAnsi="宋体" w:cs="宋体"/>
                <w:kern w:val="0"/>
                <w:sz w:val="24"/>
                <w:szCs w:val="24"/>
                <w:lang w:val="en-US" w:eastAsia="zh-CN"/>
              </w:rPr>
              <w:t>评审</w:t>
            </w:r>
            <w:r>
              <w:rPr>
                <w:rFonts w:hint="eastAsia" w:ascii="宋体" w:hAnsi="宋体" w:eastAsia="宋体" w:cs="宋体"/>
                <w:kern w:val="0"/>
                <w:sz w:val="24"/>
                <w:szCs w:val="24"/>
              </w:rPr>
              <w:t>小组根据供应商提交的方案，横向比较，综合打分。</w:t>
            </w:r>
          </w:p>
          <w:p>
            <w:pPr>
              <w:widowControl/>
              <w:numPr>
                <w:ilvl w:val="0"/>
                <w:numId w:val="0"/>
              </w:numPr>
              <w:snapToGrid w:val="0"/>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rPr>
              <w:t>宣发体系详细完善，覆盖全媒体平台，宣传节奏合理，宣传主题突出，展现内容和形式有新意，宣传视频文案有创意的得</w:t>
            </w:r>
            <w:r>
              <w:rPr>
                <w:rFonts w:hint="eastAsia" w:ascii="宋体" w:hAnsi="宋体" w:cs="宋体"/>
                <w:kern w:val="0"/>
                <w:sz w:val="24"/>
                <w:szCs w:val="24"/>
                <w:lang w:val="en-US" w:eastAsia="zh-CN"/>
              </w:rPr>
              <w:t>6-8</w:t>
            </w:r>
            <w:r>
              <w:rPr>
                <w:rFonts w:hint="eastAsia" w:ascii="宋体" w:hAnsi="宋体" w:eastAsia="宋体" w:cs="宋体"/>
                <w:sz w:val="24"/>
                <w:szCs w:val="24"/>
              </w:rPr>
              <w:t>分</w:t>
            </w:r>
            <w:r>
              <w:rPr>
                <w:rFonts w:hint="eastAsia" w:ascii="宋体" w:hAnsi="宋体" w:eastAsia="宋体" w:cs="宋体"/>
                <w:kern w:val="0"/>
                <w:sz w:val="24"/>
                <w:szCs w:val="24"/>
              </w:rPr>
              <w:t>。</w:t>
            </w:r>
          </w:p>
          <w:p>
            <w:pPr>
              <w:widowControl/>
              <w:numPr>
                <w:ilvl w:val="0"/>
                <w:numId w:val="0"/>
              </w:numPr>
              <w:snapToGrid w:val="0"/>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SA"/>
              </w:rPr>
              <w:t>2.</w:t>
            </w:r>
            <w:r>
              <w:rPr>
                <w:rFonts w:hint="eastAsia" w:ascii="宋体" w:hAnsi="宋体" w:eastAsia="宋体" w:cs="宋体"/>
                <w:kern w:val="0"/>
                <w:sz w:val="24"/>
                <w:szCs w:val="24"/>
              </w:rPr>
              <w:t>宣发体系基本完善，覆盖媒体平台较多，宣传节奏较合理，有一定的创新创意，安排比较合理的得</w:t>
            </w:r>
            <w:r>
              <w:rPr>
                <w:rFonts w:hint="eastAsia" w:ascii="宋体" w:hAnsi="宋体" w:cs="宋体"/>
                <w:sz w:val="24"/>
                <w:szCs w:val="24"/>
                <w:lang w:val="en-US" w:eastAsia="zh-CN"/>
              </w:rPr>
              <w:t>3-5</w:t>
            </w:r>
            <w:r>
              <w:rPr>
                <w:rFonts w:hint="eastAsia" w:ascii="宋体" w:hAnsi="宋体" w:eastAsia="宋体" w:cs="宋体"/>
                <w:sz w:val="24"/>
                <w:szCs w:val="24"/>
              </w:rPr>
              <w:t>分</w:t>
            </w:r>
            <w:r>
              <w:rPr>
                <w:rFonts w:hint="eastAsia" w:ascii="宋体" w:hAnsi="宋体" w:eastAsia="宋体" w:cs="宋体"/>
                <w:kern w:val="0"/>
                <w:sz w:val="24"/>
                <w:szCs w:val="24"/>
              </w:rPr>
              <w:t>。</w:t>
            </w:r>
          </w:p>
          <w:p>
            <w:pPr>
              <w:widowControl/>
              <w:numPr>
                <w:ilvl w:val="0"/>
                <w:numId w:val="0"/>
              </w:numPr>
              <w:adjustRightInd w:val="0"/>
              <w:snapToGrid w:val="0"/>
              <w:spacing w:line="400" w:lineRule="exact"/>
              <w:ind w:left="0" w:leftChars="0" w:firstLine="0" w:firstLineChars="0"/>
              <w:jc w:val="left"/>
              <w:rPr>
                <w:rFonts w:hint="default"/>
                <w:color w:val="FF0000"/>
                <w:lang w:val="en-US"/>
              </w:rPr>
            </w:pPr>
            <w:r>
              <w:rPr>
                <w:rFonts w:hint="default" w:ascii="宋体" w:hAnsi="宋体" w:eastAsia="宋体" w:cs="宋体"/>
                <w:kern w:val="0"/>
                <w:sz w:val="24"/>
                <w:szCs w:val="24"/>
                <w:lang w:val="en-US" w:eastAsia="zh-CN" w:bidi="ar-SA"/>
              </w:rPr>
              <w:t>3.</w:t>
            </w:r>
            <w:r>
              <w:rPr>
                <w:rFonts w:hint="eastAsia" w:ascii="宋体" w:hAnsi="宋体" w:eastAsia="宋体" w:cs="宋体"/>
                <w:kern w:val="0"/>
                <w:sz w:val="24"/>
                <w:szCs w:val="24"/>
              </w:rPr>
              <w:t>方案内容有所欠缺不够全面，无具体说明，可操作性一般的得</w:t>
            </w:r>
            <w:r>
              <w:rPr>
                <w:rFonts w:hint="eastAsia" w:ascii="宋体" w:hAnsi="宋体" w:cs="宋体"/>
                <w:sz w:val="24"/>
                <w:szCs w:val="24"/>
                <w:lang w:val="en-US" w:eastAsia="zh-CN"/>
              </w:rPr>
              <w:t>1-2</w:t>
            </w:r>
            <w:r>
              <w:rPr>
                <w:rFonts w:hint="eastAsia" w:ascii="宋体" w:hAnsi="宋体" w:eastAsia="宋体" w:cs="宋体"/>
                <w:sz w:val="24"/>
                <w:szCs w:val="24"/>
              </w:rPr>
              <w:t>分</w:t>
            </w:r>
            <w:r>
              <w:rPr>
                <w:rFonts w:hint="eastAsia" w:ascii="宋体" w:hAnsi="宋体" w:eastAsia="宋体" w:cs="宋体"/>
                <w:kern w:val="0"/>
                <w:sz w:val="24"/>
                <w:szCs w:val="24"/>
              </w:rPr>
              <w:t>。</w:t>
            </w:r>
          </w:p>
        </w:tc>
        <w:tc>
          <w:tcPr>
            <w:tcW w:w="992" w:type="dxa"/>
            <w:tcBorders>
              <w:top w:val="single" w:color="auto" w:sz="4" w:space="0"/>
              <w:left w:val="single" w:color="auto" w:sz="4" w:space="0"/>
              <w:right w:val="single" w:color="auto" w:sz="4" w:space="0"/>
            </w:tcBorders>
            <w:vAlign w:val="center"/>
          </w:tcPr>
          <w:p>
            <w:pPr>
              <w:widowControl/>
              <w:adjustRightInd w:val="0"/>
              <w:snapToGrid w:val="0"/>
              <w:spacing w:line="40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92" w:type="dxa"/>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Cs/>
                <w:sz w:val="24"/>
                <w:szCs w:val="24"/>
                <w:lang w:eastAsia="zh-CN"/>
              </w:rPr>
            </w:pPr>
            <w:r>
              <w:rPr>
                <w:rFonts w:hint="eastAsia" w:ascii="宋体" w:hAnsi="宋体" w:cs="宋体"/>
                <w:bCs/>
                <w:sz w:val="24"/>
                <w:szCs w:val="24"/>
                <w:lang w:val="en-US" w:eastAsia="zh-CN"/>
              </w:rPr>
              <w:t>7</w:t>
            </w:r>
          </w:p>
        </w:tc>
        <w:tc>
          <w:tcPr>
            <w:tcW w:w="1470" w:type="dxa"/>
            <w:tcBorders>
              <w:top w:val="single" w:color="auto" w:sz="4" w:space="0"/>
              <w:left w:val="single" w:color="auto" w:sz="4" w:space="0"/>
              <w:right w:val="single" w:color="auto" w:sz="4" w:space="0"/>
            </w:tcBorders>
            <w:vAlign w:val="center"/>
          </w:tcPr>
          <w:p>
            <w:pPr>
              <w:widowControl/>
              <w:autoSpaceDE w:val="0"/>
              <w:autoSpaceDN w:val="0"/>
              <w:adjustRightInd w:val="0"/>
              <w:snapToGrid w:val="0"/>
              <w:spacing w:line="400" w:lineRule="exact"/>
              <w:jc w:val="center"/>
              <w:rPr>
                <w:rFonts w:hint="eastAsia" w:ascii="宋体" w:hAnsi="宋体" w:eastAsia="宋体" w:cs="宋体"/>
                <w:sz w:val="24"/>
                <w:szCs w:val="24"/>
              </w:rPr>
            </w:pPr>
            <w:r>
              <w:rPr>
                <w:rFonts w:hint="eastAsia" w:ascii="宋体" w:hAnsi="宋体" w:eastAsia="宋体" w:cs="宋体"/>
                <w:bCs/>
                <w:sz w:val="24"/>
                <w:szCs w:val="24"/>
                <w:lang w:val="zh-CN"/>
              </w:rPr>
              <w:t>赛事</w:t>
            </w:r>
            <w:r>
              <w:rPr>
                <w:rFonts w:hint="eastAsia" w:ascii="宋体" w:hAnsi="宋体" w:eastAsia="宋体" w:cs="宋体"/>
                <w:sz w:val="24"/>
                <w:szCs w:val="24"/>
              </w:rPr>
              <w:t>场地布置方案</w:t>
            </w:r>
          </w:p>
          <w:p>
            <w:pPr>
              <w:widowControl/>
              <w:autoSpaceDE w:val="0"/>
              <w:autoSpaceDN w:val="0"/>
              <w:adjustRightInd w:val="0"/>
              <w:snapToGrid w:val="0"/>
              <w:spacing w:line="400" w:lineRule="exact"/>
              <w:jc w:val="center"/>
              <w:rPr>
                <w:rFonts w:hint="eastAsia" w:ascii="宋体" w:hAnsi="宋体" w:eastAsia="宋体" w:cs="宋体"/>
                <w:sz w:val="24"/>
                <w:szCs w:val="24"/>
              </w:rPr>
            </w:pPr>
          </w:p>
        </w:tc>
        <w:tc>
          <w:tcPr>
            <w:tcW w:w="6213" w:type="dxa"/>
            <w:tcBorders>
              <w:top w:val="single" w:color="auto" w:sz="4" w:space="0"/>
              <w:left w:val="single" w:color="auto" w:sz="4" w:space="0"/>
              <w:right w:val="single" w:color="auto" w:sz="4" w:space="0"/>
            </w:tcBorders>
            <w:vAlign w:val="center"/>
          </w:tcPr>
          <w:p>
            <w:pPr>
              <w:widowControl/>
              <w:adjustRightInd w:val="0"/>
              <w:snapToGrid w:val="0"/>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供应商根据本项目情况制定合理的</w:t>
            </w:r>
            <w:r>
              <w:rPr>
                <w:rFonts w:hint="eastAsia" w:ascii="宋体" w:hAnsi="宋体" w:eastAsia="宋体" w:cs="宋体"/>
                <w:bCs/>
                <w:sz w:val="24"/>
                <w:szCs w:val="24"/>
                <w:lang w:val="zh-CN"/>
              </w:rPr>
              <w:t>赛事</w:t>
            </w:r>
            <w:r>
              <w:rPr>
                <w:rFonts w:hint="eastAsia" w:ascii="宋体" w:hAnsi="宋体" w:eastAsia="宋体" w:cs="宋体"/>
                <w:kern w:val="0"/>
                <w:sz w:val="24"/>
                <w:szCs w:val="24"/>
              </w:rPr>
              <w:t>场地布置方案。场地布置需设计新颖，有创意，需体现项目所在地元素风格，注重氛围营造，整体现场标识指引清晰。磋商小组根据供应商提交的方案，横向比较，综合打分。</w:t>
            </w:r>
          </w:p>
          <w:p>
            <w:pPr>
              <w:widowControl/>
              <w:snapToGrid w:val="0"/>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1.方案内容完整，极具创新创意，整体布置氛围感浓厚，可以很好的吸引观众眼球，有鲜明特征，并且能充分体现该</w:t>
            </w:r>
            <w:r>
              <w:rPr>
                <w:rFonts w:hint="eastAsia" w:ascii="宋体" w:hAnsi="宋体" w:eastAsia="宋体" w:cs="宋体"/>
                <w:bCs/>
                <w:sz w:val="24"/>
                <w:szCs w:val="24"/>
                <w:lang w:val="zh-CN"/>
              </w:rPr>
              <w:t>赛事</w:t>
            </w:r>
            <w:r>
              <w:rPr>
                <w:rFonts w:hint="eastAsia" w:ascii="宋体" w:hAnsi="宋体" w:eastAsia="宋体" w:cs="宋体"/>
                <w:kern w:val="0"/>
                <w:sz w:val="24"/>
                <w:szCs w:val="24"/>
              </w:rPr>
              <w:t>的性质的得</w:t>
            </w:r>
            <w:r>
              <w:rPr>
                <w:rFonts w:hint="eastAsia" w:ascii="宋体" w:hAnsi="宋体" w:cs="宋体"/>
                <w:sz w:val="24"/>
                <w:szCs w:val="24"/>
                <w:lang w:val="en-US" w:eastAsia="zh-CN"/>
              </w:rPr>
              <w:t>6-8</w:t>
            </w:r>
            <w:r>
              <w:rPr>
                <w:rFonts w:hint="eastAsia" w:ascii="宋体" w:hAnsi="宋体" w:eastAsia="宋体" w:cs="宋体"/>
                <w:kern w:val="0"/>
                <w:sz w:val="24"/>
                <w:szCs w:val="24"/>
              </w:rPr>
              <w:t>分。</w:t>
            </w:r>
          </w:p>
          <w:p>
            <w:pPr>
              <w:widowControl/>
              <w:snapToGrid w:val="0"/>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2.方案内容基本完整，有一定的创新创意，安排比较合理，较能体现该</w:t>
            </w:r>
            <w:r>
              <w:rPr>
                <w:rFonts w:hint="eastAsia" w:ascii="宋体" w:hAnsi="宋体" w:eastAsia="宋体" w:cs="宋体"/>
                <w:bCs/>
                <w:sz w:val="24"/>
                <w:szCs w:val="24"/>
                <w:lang w:val="zh-CN"/>
              </w:rPr>
              <w:t>赛事</w:t>
            </w:r>
            <w:r>
              <w:rPr>
                <w:rFonts w:hint="eastAsia" w:ascii="宋体" w:hAnsi="宋体" w:eastAsia="宋体" w:cs="宋体"/>
                <w:kern w:val="0"/>
                <w:sz w:val="24"/>
                <w:szCs w:val="24"/>
              </w:rPr>
              <w:t>的性质的得</w:t>
            </w:r>
            <w:r>
              <w:rPr>
                <w:rFonts w:hint="eastAsia" w:ascii="宋体" w:hAnsi="宋体" w:cs="宋体"/>
                <w:sz w:val="24"/>
                <w:szCs w:val="24"/>
                <w:lang w:val="en-US" w:eastAsia="zh-CN"/>
              </w:rPr>
              <w:t>4-5</w:t>
            </w:r>
            <w:r>
              <w:rPr>
                <w:rFonts w:hint="eastAsia" w:ascii="宋体" w:hAnsi="宋体" w:eastAsia="宋体" w:cs="宋体"/>
                <w:sz w:val="24"/>
                <w:szCs w:val="24"/>
              </w:rPr>
              <w:t>分</w:t>
            </w:r>
            <w:r>
              <w:rPr>
                <w:rFonts w:hint="eastAsia" w:ascii="宋体" w:hAnsi="宋体" w:eastAsia="宋体" w:cs="宋体"/>
                <w:kern w:val="0"/>
                <w:sz w:val="24"/>
                <w:szCs w:val="24"/>
              </w:rPr>
              <w:t>。</w:t>
            </w:r>
          </w:p>
          <w:p>
            <w:pPr>
              <w:widowControl/>
              <w:adjustRightInd w:val="0"/>
              <w:snapToGrid w:val="0"/>
              <w:spacing w:line="400" w:lineRule="exact"/>
              <w:jc w:val="left"/>
              <w:rPr>
                <w:rFonts w:hint="eastAsia" w:ascii="宋体" w:hAnsi="宋体" w:eastAsia="宋体" w:cs="宋体"/>
                <w:sz w:val="24"/>
                <w:szCs w:val="24"/>
              </w:rPr>
            </w:pPr>
            <w:r>
              <w:rPr>
                <w:rFonts w:hint="eastAsia" w:ascii="宋体" w:hAnsi="宋体" w:eastAsia="宋体" w:cs="宋体"/>
                <w:kern w:val="0"/>
                <w:sz w:val="24"/>
                <w:szCs w:val="24"/>
              </w:rPr>
              <w:t>3.方案内容有所欠缺不够全面，无具体说明，可操作性一般的得</w:t>
            </w:r>
            <w:r>
              <w:rPr>
                <w:rFonts w:hint="eastAsia" w:ascii="宋体" w:hAnsi="宋体" w:cs="宋体"/>
                <w:sz w:val="24"/>
                <w:szCs w:val="24"/>
                <w:lang w:val="en-US" w:eastAsia="zh-CN"/>
              </w:rPr>
              <w:t>1-3</w:t>
            </w:r>
            <w:r>
              <w:rPr>
                <w:rFonts w:hint="eastAsia" w:ascii="宋体" w:hAnsi="宋体" w:eastAsia="宋体" w:cs="宋体"/>
                <w:sz w:val="24"/>
                <w:szCs w:val="24"/>
              </w:rPr>
              <w:t>分</w:t>
            </w:r>
            <w:r>
              <w:rPr>
                <w:rFonts w:hint="eastAsia" w:ascii="宋体" w:hAnsi="宋体" w:eastAsia="宋体" w:cs="宋体"/>
                <w:kern w:val="0"/>
                <w:sz w:val="24"/>
                <w:szCs w:val="24"/>
              </w:rPr>
              <w:t>。</w:t>
            </w:r>
          </w:p>
        </w:tc>
        <w:tc>
          <w:tcPr>
            <w:tcW w:w="992" w:type="dxa"/>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892" w:type="dxa"/>
            <w:vMerge w:val="restart"/>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Cs/>
                <w:sz w:val="24"/>
                <w:szCs w:val="24"/>
                <w:lang w:eastAsia="zh-CN"/>
              </w:rPr>
            </w:pPr>
            <w:r>
              <w:rPr>
                <w:rFonts w:hint="eastAsia" w:ascii="宋体" w:hAnsi="宋体" w:cs="宋体"/>
                <w:bCs/>
                <w:sz w:val="24"/>
                <w:szCs w:val="24"/>
                <w:lang w:val="en-US" w:eastAsia="zh-CN"/>
              </w:rPr>
              <w:t>8</w:t>
            </w:r>
          </w:p>
        </w:tc>
        <w:tc>
          <w:tcPr>
            <w:tcW w:w="1470" w:type="dxa"/>
            <w:vMerge w:val="restart"/>
            <w:tcBorders>
              <w:left w:val="single" w:color="auto" w:sz="4" w:space="0"/>
              <w:right w:val="single" w:color="auto" w:sz="4" w:space="0"/>
            </w:tcBorders>
            <w:vAlign w:val="center"/>
          </w:tcPr>
          <w:p>
            <w:pPr>
              <w:widowControl/>
              <w:autoSpaceDE w:val="0"/>
              <w:autoSpaceDN w:val="0"/>
              <w:adjustRightInd w:val="0"/>
              <w:snapToGrid w:val="0"/>
              <w:spacing w:line="400" w:lineRule="exact"/>
              <w:jc w:val="center"/>
              <w:rPr>
                <w:rFonts w:hint="eastAsia" w:ascii="宋体" w:hAnsi="宋体" w:eastAsia="宋体" w:cs="宋体"/>
                <w:sz w:val="24"/>
                <w:szCs w:val="24"/>
              </w:rPr>
            </w:pPr>
            <w:r>
              <w:rPr>
                <w:rFonts w:hint="eastAsia" w:ascii="宋体" w:hAnsi="宋体" w:cs="宋体"/>
                <w:bCs/>
                <w:kern w:val="0"/>
                <w:sz w:val="24"/>
                <w:szCs w:val="24"/>
              </w:rPr>
              <w:t>管理制度、措施</w:t>
            </w:r>
          </w:p>
        </w:tc>
        <w:tc>
          <w:tcPr>
            <w:tcW w:w="62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hint="eastAsia" w:ascii="宋体" w:hAnsi="宋体" w:eastAsia="宋体" w:cs="宋体"/>
                <w:sz w:val="24"/>
                <w:szCs w:val="24"/>
              </w:rPr>
            </w:pPr>
            <w:r>
              <w:rPr>
                <w:rFonts w:hint="eastAsia" w:ascii="宋体" w:hAnsi="宋体"/>
                <w:sz w:val="24"/>
                <w:szCs w:val="24"/>
              </w:rPr>
              <w:t>该项目的管理模式以及组织架构的完善性、科学性、合理性，以及保证项目管理落实到位的具体措施。措施内容完整、考虑周全、全权满足采购需求的得8分，内容缺项或不足的每处扣1分，扣完为止。</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92"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Cs/>
                <w:sz w:val="24"/>
                <w:szCs w:val="24"/>
              </w:rPr>
            </w:pPr>
          </w:p>
        </w:tc>
        <w:tc>
          <w:tcPr>
            <w:tcW w:w="1470" w:type="dxa"/>
            <w:vMerge w:val="continue"/>
            <w:tcBorders>
              <w:left w:val="single" w:color="auto" w:sz="4" w:space="0"/>
              <w:right w:val="single" w:color="auto" w:sz="4" w:space="0"/>
            </w:tcBorders>
            <w:vAlign w:val="center"/>
          </w:tcPr>
          <w:p>
            <w:pPr>
              <w:widowControl/>
              <w:autoSpaceDE w:val="0"/>
              <w:autoSpaceDN w:val="0"/>
              <w:adjustRightInd w:val="0"/>
              <w:snapToGrid w:val="0"/>
              <w:spacing w:line="400" w:lineRule="exact"/>
              <w:jc w:val="center"/>
              <w:rPr>
                <w:rFonts w:hint="eastAsia" w:ascii="宋体" w:hAnsi="宋体" w:cs="宋体"/>
                <w:bCs/>
                <w:kern w:val="0"/>
                <w:sz w:val="24"/>
                <w:szCs w:val="24"/>
              </w:rPr>
            </w:pPr>
          </w:p>
        </w:tc>
        <w:tc>
          <w:tcPr>
            <w:tcW w:w="62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hint="eastAsia" w:ascii="宋体" w:hAnsi="宋体"/>
                <w:sz w:val="24"/>
                <w:szCs w:val="24"/>
              </w:rPr>
            </w:pPr>
            <w:r>
              <w:rPr>
                <w:rFonts w:hint="eastAsia" w:ascii="宋体" w:hAnsi="宋体"/>
                <w:sz w:val="24"/>
                <w:szCs w:val="24"/>
              </w:rPr>
              <w:t>各岗位有明确的分工，并有对应的管理办法。管理办法内容完整、考虑周全、全权满足采购需求的得8分，内容缺项或不足的每处扣1分，扣完为止。</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892"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Cs/>
                <w:sz w:val="24"/>
                <w:szCs w:val="24"/>
              </w:rPr>
            </w:pPr>
          </w:p>
        </w:tc>
        <w:tc>
          <w:tcPr>
            <w:tcW w:w="1470" w:type="dxa"/>
            <w:vMerge w:val="continue"/>
            <w:tcBorders>
              <w:left w:val="single" w:color="auto" w:sz="4" w:space="0"/>
              <w:right w:val="single" w:color="auto" w:sz="4" w:space="0"/>
            </w:tcBorders>
            <w:vAlign w:val="center"/>
          </w:tcPr>
          <w:p>
            <w:pPr>
              <w:widowControl/>
              <w:autoSpaceDE w:val="0"/>
              <w:autoSpaceDN w:val="0"/>
              <w:adjustRightInd w:val="0"/>
              <w:snapToGrid w:val="0"/>
              <w:spacing w:line="400" w:lineRule="exact"/>
              <w:jc w:val="center"/>
              <w:rPr>
                <w:rFonts w:hint="eastAsia" w:ascii="宋体" w:hAnsi="宋体" w:cs="宋体"/>
                <w:bCs/>
                <w:kern w:val="0"/>
                <w:sz w:val="24"/>
                <w:szCs w:val="24"/>
              </w:rPr>
            </w:pPr>
          </w:p>
        </w:tc>
        <w:tc>
          <w:tcPr>
            <w:tcW w:w="62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hint="eastAsia" w:ascii="宋体" w:hAnsi="宋体"/>
                <w:sz w:val="24"/>
                <w:szCs w:val="24"/>
              </w:rPr>
            </w:pPr>
            <w:r>
              <w:rPr>
                <w:rFonts w:ascii="宋体" w:hAnsi="宋体"/>
                <w:sz w:val="24"/>
                <w:szCs w:val="24"/>
              </w:rPr>
              <w:t>建立与</w:t>
            </w:r>
            <w:r>
              <w:rPr>
                <w:rFonts w:hint="eastAsia" w:ascii="宋体" w:hAnsi="宋体"/>
                <w:sz w:val="24"/>
                <w:szCs w:val="24"/>
              </w:rPr>
              <w:t>该</w:t>
            </w:r>
            <w:r>
              <w:rPr>
                <w:rFonts w:ascii="宋体" w:hAnsi="宋体"/>
                <w:sz w:val="24"/>
                <w:szCs w:val="24"/>
              </w:rPr>
              <w:t>项目实施相适应的管理服务制度</w:t>
            </w:r>
            <w:r>
              <w:rPr>
                <w:rFonts w:hint="eastAsia" w:ascii="宋体" w:hAnsi="宋体"/>
                <w:sz w:val="24"/>
                <w:szCs w:val="24"/>
              </w:rPr>
              <w:t>，制度完善、科学、合理。制度内容完整、考虑周全、全权满足采购需求的得8分，内容缺项或不足的每处扣1分，扣完为止。</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92" w:type="dxa"/>
            <w:tcBorders>
              <w:left w:val="single" w:color="auto" w:sz="4" w:space="0"/>
              <w:right w:val="single" w:color="auto" w:sz="4" w:space="0"/>
            </w:tcBorders>
            <w:vAlign w:val="center"/>
          </w:tcPr>
          <w:p>
            <w:pPr>
              <w:widowControl/>
              <w:snapToGrid w:val="0"/>
              <w:spacing w:line="400" w:lineRule="exact"/>
              <w:jc w:val="center"/>
              <w:rPr>
                <w:rFonts w:hint="default" w:ascii="宋体" w:hAnsi="宋体" w:cs="宋体"/>
                <w:bCs/>
                <w:sz w:val="24"/>
                <w:szCs w:val="24"/>
                <w:lang w:val="en-US" w:eastAsia="zh-CN"/>
              </w:rPr>
            </w:pPr>
            <w:r>
              <w:rPr>
                <w:rFonts w:hint="eastAsia" w:ascii="宋体" w:hAnsi="宋体" w:cs="宋体"/>
                <w:bCs/>
                <w:sz w:val="24"/>
                <w:szCs w:val="24"/>
                <w:lang w:val="en-US" w:eastAsia="zh-CN"/>
              </w:rPr>
              <w:t>9</w:t>
            </w:r>
          </w:p>
        </w:tc>
        <w:tc>
          <w:tcPr>
            <w:tcW w:w="1470" w:type="dxa"/>
            <w:tcBorders>
              <w:left w:val="single" w:color="auto" w:sz="4" w:space="0"/>
              <w:right w:val="single" w:color="auto" w:sz="4" w:space="0"/>
            </w:tcBorders>
            <w:vAlign w:val="center"/>
          </w:tcPr>
          <w:p>
            <w:pPr>
              <w:widowControl/>
              <w:adjustRightInd w:val="0"/>
              <w:snapToGrid w:val="0"/>
              <w:spacing w:line="400" w:lineRule="exact"/>
              <w:rPr>
                <w:rFonts w:hint="eastAsia" w:ascii="宋体" w:hAnsi="宋体" w:cs="宋体"/>
                <w:bCs/>
                <w:kern w:val="0"/>
                <w:sz w:val="24"/>
                <w:szCs w:val="24"/>
              </w:rPr>
            </w:pPr>
            <w:r>
              <w:rPr>
                <w:rFonts w:hint="eastAsia" w:ascii="宋体" w:hAnsi="宋体" w:cs="宋体"/>
                <w:bCs/>
                <w:kern w:val="0"/>
                <w:sz w:val="24"/>
                <w:szCs w:val="24"/>
              </w:rPr>
              <w:t>服务力量保障</w:t>
            </w:r>
          </w:p>
          <w:p>
            <w:pPr>
              <w:pStyle w:val="4"/>
              <w:rPr>
                <w:rFonts w:hint="eastAsia" w:eastAsia="仿宋_GB2312"/>
                <w:sz w:val="24"/>
                <w:szCs w:val="24"/>
                <w:lang w:eastAsia="zh-CN"/>
              </w:rPr>
            </w:pPr>
          </w:p>
        </w:tc>
        <w:tc>
          <w:tcPr>
            <w:tcW w:w="621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hint="default" w:ascii="宋体" w:hAnsi="宋体" w:eastAsia="宋体" w:cs="宋体"/>
                <w:bCs/>
                <w:color w:val="auto"/>
                <w:kern w:val="0"/>
                <w:sz w:val="24"/>
                <w:szCs w:val="24"/>
                <w:lang w:val="en-US" w:eastAsia="zh-CN"/>
              </w:rPr>
            </w:pPr>
            <w:r>
              <w:rPr>
                <w:rFonts w:hint="eastAsia" w:ascii="宋体" w:hAnsi="宋体" w:cs="宋体"/>
                <w:bCs/>
                <w:kern w:val="0"/>
                <w:sz w:val="24"/>
                <w:szCs w:val="24"/>
                <w:lang w:val="en-US" w:eastAsia="zh-CN"/>
              </w:rPr>
              <w:t>1、拟派成员中配备1名</w:t>
            </w:r>
            <w:r>
              <w:rPr>
                <w:rFonts w:hint="eastAsia" w:ascii="宋体" w:hAnsi="宋体" w:cs="宋体"/>
                <w:bCs/>
                <w:color w:val="auto"/>
                <w:kern w:val="0"/>
                <w:sz w:val="24"/>
                <w:szCs w:val="24"/>
                <w:lang w:val="en-US" w:eastAsia="zh-CN"/>
              </w:rPr>
              <w:t>国际级铁人三项</w:t>
            </w:r>
            <w:r>
              <w:rPr>
                <w:rFonts w:hint="eastAsia" w:ascii="宋体" w:hAnsi="宋体" w:cs="宋体"/>
                <w:bCs/>
                <w:strike w:val="0"/>
                <w:dstrike w:val="0"/>
                <w:color w:val="auto"/>
                <w:kern w:val="0"/>
                <w:sz w:val="24"/>
                <w:szCs w:val="24"/>
                <w:lang w:val="en-US" w:eastAsia="zh-CN"/>
              </w:rPr>
              <w:t>或铁人三项分项运动</w:t>
            </w:r>
            <w:r>
              <w:rPr>
                <w:rFonts w:hint="eastAsia" w:ascii="宋体" w:hAnsi="宋体" w:cs="宋体"/>
                <w:bCs/>
                <w:color w:val="auto"/>
                <w:kern w:val="0"/>
                <w:sz w:val="24"/>
                <w:szCs w:val="24"/>
                <w:lang w:val="en-US" w:eastAsia="zh-CN"/>
              </w:rPr>
              <w:t>技术官员，得3分；</w:t>
            </w:r>
          </w:p>
          <w:p>
            <w:pPr>
              <w:widowControl/>
              <w:snapToGrid w:val="0"/>
              <w:spacing w:line="360" w:lineRule="auto"/>
              <w:jc w:val="left"/>
              <w:rPr>
                <w:rFonts w:hint="eastAsia" w:ascii="宋体" w:hAnsi="宋体" w:cs="宋体"/>
                <w:bCs/>
                <w:color w:val="auto"/>
                <w:kern w:val="0"/>
                <w:sz w:val="24"/>
                <w:szCs w:val="24"/>
              </w:rPr>
            </w:pPr>
            <w:r>
              <w:rPr>
                <w:rFonts w:hint="eastAsia" w:ascii="宋体" w:hAnsi="宋体" w:cs="宋体"/>
                <w:bCs/>
                <w:color w:val="auto"/>
                <w:kern w:val="0"/>
                <w:sz w:val="24"/>
                <w:szCs w:val="24"/>
                <w:lang w:val="en-US" w:eastAsia="zh-CN"/>
              </w:rPr>
              <w:t>2</w:t>
            </w:r>
            <w:r>
              <w:rPr>
                <w:rFonts w:hint="eastAsia" w:ascii="宋体" w:hAnsi="宋体" w:cs="宋体"/>
                <w:bCs/>
                <w:color w:val="auto"/>
                <w:kern w:val="0"/>
                <w:sz w:val="24"/>
                <w:szCs w:val="24"/>
              </w:rPr>
              <w:t>、配备国家级</w:t>
            </w:r>
            <w:r>
              <w:rPr>
                <w:rFonts w:hint="eastAsia" w:ascii="宋体" w:hAnsi="宋体" w:cs="宋体"/>
                <w:bCs/>
                <w:strike w:val="0"/>
                <w:dstrike w:val="0"/>
                <w:color w:val="auto"/>
                <w:kern w:val="0"/>
                <w:sz w:val="24"/>
                <w:szCs w:val="24"/>
                <w:lang w:val="en-US" w:eastAsia="zh-CN"/>
              </w:rPr>
              <w:t>铁人三项或铁人三项分项运动的技术官员，每位</w:t>
            </w:r>
            <w:r>
              <w:rPr>
                <w:rFonts w:hint="eastAsia" w:ascii="宋体" w:hAnsi="宋体" w:cs="宋体"/>
                <w:bCs/>
                <w:color w:val="auto"/>
                <w:kern w:val="0"/>
                <w:sz w:val="24"/>
                <w:szCs w:val="24"/>
              </w:rPr>
              <w:t>得</w:t>
            </w:r>
            <w:r>
              <w:rPr>
                <w:rFonts w:hint="eastAsia" w:ascii="宋体" w:hAnsi="宋体" w:cs="宋体"/>
                <w:bCs/>
                <w:color w:val="auto"/>
                <w:kern w:val="0"/>
                <w:sz w:val="24"/>
                <w:szCs w:val="24"/>
                <w:lang w:val="en-US" w:eastAsia="zh-CN"/>
              </w:rPr>
              <w:t>2</w:t>
            </w:r>
            <w:r>
              <w:rPr>
                <w:rFonts w:hint="eastAsia" w:ascii="宋体" w:hAnsi="宋体" w:cs="宋体"/>
                <w:bCs/>
                <w:color w:val="auto"/>
                <w:kern w:val="0"/>
                <w:sz w:val="24"/>
                <w:szCs w:val="24"/>
              </w:rPr>
              <w:t>分</w:t>
            </w:r>
            <w:r>
              <w:rPr>
                <w:rFonts w:hint="eastAsia" w:ascii="宋体" w:hAnsi="宋体" w:cs="宋体"/>
                <w:bCs/>
                <w:color w:val="auto"/>
                <w:kern w:val="0"/>
                <w:sz w:val="24"/>
                <w:szCs w:val="24"/>
                <w:lang w:eastAsia="zh-CN"/>
              </w:rPr>
              <w:t>，最高</w:t>
            </w:r>
            <w:r>
              <w:rPr>
                <w:rFonts w:hint="eastAsia" w:ascii="宋体" w:hAnsi="宋体" w:cs="宋体"/>
                <w:bCs/>
                <w:color w:val="auto"/>
                <w:kern w:val="0"/>
                <w:sz w:val="24"/>
                <w:szCs w:val="24"/>
                <w:lang w:val="en-US" w:eastAsia="zh-CN"/>
              </w:rPr>
              <w:t>4分</w:t>
            </w:r>
            <w:r>
              <w:rPr>
                <w:rFonts w:hint="eastAsia" w:ascii="宋体" w:hAnsi="宋体" w:cs="宋体"/>
                <w:bCs/>
                <w:color w:val="auto"/>
                <w:kern w:val="0"/>
                <w:sz w:val="24"/>
                <w:szCs w:val="24"/>
              </w:rPr>
              <w:t>；</w:t>
            </w:r>
          </w:p>
          <w:p>
            <w:pPr>
              <w:widowControl/>
              <w:snapToGrid w:val="0"/>
              <w:spacing w:line="360" w:lineRule="auto"/>
              <w:jc w:val="left"/>
              <w:rPr>
                <w:rFonts w:hint="eastAsia" w:ascii="宋体" w:hAnsi="宋体" w:cs="宋体"/>
                <w:bCs/>
                <w:color w:val="auto"/>
                <w:kern w:val="0"/>
                <w:sz w:val="24"/>
                <w:szCs w:val="24"/>
              </w:rPr>
            </w:pPr>
            <w:r>
              <w:rPr>
                <w:rFonts w:hint="eastAsia" w:ascii="宋体" w:hAnsi="宋体" w:cs="宋体"/>
                <w:bCs/>
                <w:color w:val="auto"/>
                <w:kern w:val="0"/>
                <w:sz w:val="24"/>
                <w:szCs w:val="24"/>
                <w:lang w:val="en-US" w:eastAsia="zh-CN"/>
              </w:rPr>
              <w:t>3</w:t>
            </w:r>
            <w:r>
              <w:rPr>
                <w:rFonts w:hint="eastAsia" w:ascii="宋体" w:hAnsi="宋体" w:cs="宋体"/>
                <w:bCs/>
                <w:color w:val="auto"/>
                <w:kern w:val="0"/>
                <w:sz w:val="24"/>
                <w:szCs w:val="24"/>
              </w:rPr>
              <w:t>、配备</w:t>
            </w:r>
            <w:r>
              <w:rPr>
                <w:rFonts w:hint="eastAsia" w:ascii="宋体" w:hAnsi="宋体" w:cs="宋体"/>
                <w:bCs/>
                <w:strike w:val="0"/>
                <w:dstrike w:val="0"/>
                <w:color w:val="auto"/>
                <w:kern w:val="0"/>
                <w:sz w:val="24"/>
                <w:szCs w:val="24"/>
                <w:lang w:val="en-US" w:eastAsia="zh-CN"/>
              </w:rPr>
              <w:t>铁人三项或铁人三项分项运动</w:t>
            </w:r>
            <w:r>
              <w:rPr>
                <w:rFonts w:hint="eastAsia" w:ascii="宋体" w:hAnsi="宋体" w:cs="宋体"/>
                <w:bCs/>
                <w:color w:val="auto"/>
                <w:kern w:val="0"/>
                <w:sz w:val="24"/>
                <w:szCs w:val="24"/>
                <w:lang w:eastAsia="zh-CN"/>
              </w:rPr>
              <w:t>一</w:t>
            </w:r>
            <w:r>
              <w:rPr>
                <w:rFonts w:hint="eastAsia" w:ascii="宋体" w:hAnsi="宋体" w:cs="宋体"/>
                <w:bCs/>
                <w:color w:val="auto"/>
                <w:kern w:val="0"/>
                <w:sz w:val="24"/>
                <w:szCs w:val="24"/>
              </w:rPr>
              <w:t>级</w:t>
            </w:r>
            <w:r>
              <w:rPr>
                <w:rFonts w:hint="eastAsia" w:ascii="宋体" w:hAnsi="宋体" w:cs="宋体"/>
                <w:bCs/>
                <w:strike w:val="0"/>
                <w:dstrike w:val="0"/>
                <w:color w:val="auto"/>
                <w:kern w:val="0"/>
                <w:sz w:val="24"/>
                <w:szCs w:val="24"/>
                <w:lang w:val="en-US" w:eastAsia="zh-CN"/>
              </w:rPr>
              <w:t>技术官员</w:t>
            </w:r>
            <w:r>
              <w:rPr>
                <w:rFonts w:hint="eastAsia" w:ascii="宋体" w:hAnsi="宋体" w:cs="宋体"/>
                <w:bCs/>
                <w:color w:val="auto"/>
                <w:kern w:val="0"/>
                <w:sz w:val="24"/>
                <w:szCs w:val="24"/>
              </w:rPr>
              <w:t>，每名得</w:t>
            </w:r>
            <w:r>
              <w:rPr>
                <w:rFonts w:hint="eastAsia" w:ascii="宋体" w:hAnsi="宋体" w:cs="宋体"/>
                <w:bCs/>
                <w:color w:val="auto"/>
                <w:kern w:val="0"/>
                <w:sz w:val="24"/>
                <w:szCs w:val="24"/>
                <w:lang w:val="en-US" w:eastAsia="zh-CN"/>
              </w:rPr>
              <w:t>1</w:t>
            </w:r>
            <w:r>
              <w:rPr>
                <w:rFonts w:hint="eastAsia" w:ascii="宋体" w:hAnsi="宋体" w:cs="宋体"/>
                <w:bCs/>
                <w:color w:val="auto"/>
                <w:kern w:val="0"/>
                <w:sz w:val="24"/>
                <w:szCs w:val="24"/>
              </w:rPr>
              <w:t>分，最高得</w:t>
            </w:r>
            <w:r>
              <w:rPr>
                <w:rFonts w:hint="eastAsia" w:ascii="宋体" w:hAnsi="宋体" w:cs="宋体"/>
                <w:bCs/>
                <w:color w:val="auto"/>
                <w:kern w:val="0"/>
                <w:sz w:val="24"/>
                <w:szCs w:val="24"/>
                <w:lang w:val="en-US" w:eastAsia="zh-CN"/>
              </w:rPr>
              <w:t>8</w:t>
            </w:r>
            <w:r>
              <w:rPr>
                <w:rFonts w:hint="eastAsia" w:ascii="宋体" w:hAnsi="宋体" w:cs="宋体"/>
                <w:bCs/>
                <w:color w:val="auto"/>
                <w:kern w:val="0"/>
                <w:sz w:val="24"/>
                <w:szCs w:val="24"/>
              </w:rPr>
              <w:t>分；</w:t>
            </w:r>
          </w:p>
          <w:p>
            <w:pPr>
              <w:widowControl/>
              <w:snapToGrid w:val="0"/>
              <w:spacing w:line="360" w:lineRule="auto"/>
              <w:jc w:val="left"/>
              <w:rPr>
                <w:rFonts w:hint="eastAsia" w:eastAsia="仿宋_GB2312"/>
                <w:sz w:val="24"/>
                <w:szCs w:val="24"/>
                <w:lang w:val="en-US" w:eastAsia="zh-CN"/>
              </w:rPr>
            </w:pPr>
            <w:r>
              <w:rPr>
                <w:rFonts w:hint="eastAsia" w:ascii="宋体" w:hAnsi="宋体" w:cs="宋体"/>
                <w:bCs/>
                <w:kern w:val="0"/>
                <w:sz w:val="24"/>
                <w:szCs w:val="24"/>
                <w:lang w:val="en-US" w:eastAsia="zh-CN"/>
              </w:rPr>
              <w:t>4</w:t>
            </w:r>
            <w:r>
              <w:rPr>
                <w:rFonts w:hint="eastAsia" w:ascii="宋体" w:hAnsi="宋体" w:cs="宋体"/>
                <w:bCs/>
                <w:kern w:val="0"/>
                <w:sz w:val="24"/>
                <w:szCs w:val="24"/>
              </w:rPr>
              <w:t>、配备救生员每增名得</w:t>
            </w:r>
            <w:r>
              <w:rPr>
                <w:rFonts w:hint="eastAsia" w:ascii="宋体" w:hAnsi="宋体" w:cs="宋体"/>
                <w:bCs/>
                <w:kern w:val="0"/>
                <w:sz w:val="24"/>
                <w:szCs w:val="24"/>
                <w:lang w:val="en-US" w:eastAsia="zh-CN"/>
              </w:rPr>
              <w:t>0.5</w:t>
            </w:r>
            <w:r>
              <w:rPr>
                <w:rFonts w:hint="eastAsia" w:ascii="宋体" w:hAnsi="宋体" w:cs="宋体"/>
                <w:bCs/>
                <w:kern w:val="0"/>
                <w:sz w:val="24"/>
                <w:szCs w:val="24"/>
              </w:rPr>
              <w:t>分，最高得</w:t>
            </w:r>
            <w:r>
              <w:rPr>
                <w:rFonts w:hint="eastAsia" w:ascii="宋体" w:hAnsi="宋体" w:cs="宋体"/>
                <w:bCs/>
                <w:kern w:val="0"/>
                <w:sz w:val="24"/>
                <w:szCs w:val="24"/>
                <w:lang w:val="en-US" w:eastAsia="zh-CN"/>
              </w:rPr>
              <w:t>5</w:t>
            </w:r>
            <w:r>
              <w:rPr>
                <w:rFonts w:hint="eastAsia" w:ascii="宋体" w:hAnsi="宋体" w:cs="宋体"/>
                <w:bCs/>
                <w:kern w:val="0"/>
                <w:sz w:val="24"/>
                <w:szCs w:val="24"/>
              </w:rPr>
              <w:t>分。</w:t>
            </w:r>
          </w:p>
          <w:p>
            <w:pPr>
              <w:widowControl/>
              <w:adjustRightInd w:val="0"/>
              <w:spacing w:line="400" w:lineRule="exact"/>
              <w:jc w:val="left"/>
              <w:rPr>
                <w:rFonts w:hint="default" w:eastAsia="仿宋_GB2312"/>
                <w:color w:val="FF0000"/>
                <w:sz w:val="24"/>
                <w:szCs w:val="24"/>
                <w:lang w:val="en-US" w:eastAsia="zh-CN"/>
              </w:rPr>
            </w:pPr>
            <w:r>
              <w:rPr>
                <w:rFonts w:hint="eastAsia" w:ascii="宋体" w:hAnsi="宋体" w:cs="宋体"/>
                <w:bCs/>
                <w:kern w:val="0"/>
                <w:sz w:val="24"/>
                <w:szCs w:val="24"/>
              </w:rPr>
              <w:t>（</w:t>
            </w:r>
            <w:r>
              <w:rPr>
                <w:rFonts w:hint="eastAsia" w:ascii="宋体" w:hAnsi="宋体" w:cs="宋体"/>
                <w:bCs/>
                <w:kern w:val="0"/>
                <w:sz w:val="24"/>
                <w:szCs w:val="24"/>
                <w:lang w:val="en-US" w:eastAsia="zh-CN"/>
              </w:rPr>
              <w:t>须</w:t>
            </w:r>
            <w:r>
              <w:rPr>
                <w:rFonts w:hint="eastAsia" w:ascii="宋体" w:hAnsi="宋体" w:cs="宋体"/>
                <w:bCs/>
                <w:kern w:val="0"/>
                <w:sz w:val="24"/>
                <w:szCs w:val="24"/>
              </w:rPr>
              <w:t>提供证书扫描件</w:t>
            </w:r>
            <w:r>
              <w:rPr>
                <w:rFonts w:hint="eastAsia" w:ascii="宋体" w:hAnsi="宋体" w:eastAsia="宋体" w:cs="宋体"/>
                <w:sz w:val="24"/>
                <w:szCs w:val="24"/>
              </w:rPr>
              <w:t>并加盖公章未提供不得分</w:t>
            </w:r>
            <w:r>
              <w:rPr>
                <w:rFonts w:hint="eastAsia" w:ascii="宋体" w:hAnsi="宋体" w:cs="宋体"/>
                <w:bCs/>
                <w:kern w:val="0"/>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92" w:type="dxa"/>
            <w:tcBorders>
              <w:left w:val="single" w:color="auto" w:sz="4" w:space="0"/>
              <w:right w:val="single" w:color="auto" w:sz="4" w:space="0"/>
            </w:tcBorders>
            <w:vAlign w:val="center"/>
          </w:tcPr>
          <w:p>
            <w:pPr>
              <w:widowControl/>
              <w:snapToGrid w:val="0"/>
              <w:spacing w:line="400" w:lineRule="exact"/>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10</w:t>
            </w:r>
          </w:p>
        </w:tc>
        <w:tc>
          <w:tcPr>
            <w:tcW w:w="1470" w:type="dxa"/>
            <w:tcBorders>
              <w:left w:val="single" w:color="auto" w:sz="4" w:space="0"/>
              <w:right w:val="single" w:color="auto" w:sz="4" w:space="0"/>
            </w:tcBorders>
            <w:vAlign w:val="center"/>
          </w:tcPr>
          <w:p>
            <w:pPr>
              <w:widowControl/>
              <w:adjustRightInd w:val="0"/>
              <w:snapToGrid w:val="0"/>
              <w:spacing w:line="400" w:lineRule="exact"/>
              <w:rPr>
                <w:rFonts w:hint="eastAsia" w:ascii="宋体" w:hAnsi="宋体" w:eastAsia="宋体" w:cs="宋体"/>
                <w:sz w:val="24"/>
                <w:szCs w:val="24"/>
              </w:rPr>
            </w:pPr>
            <w:r>
              <w:rPr>
                <w:rFonts w:hint="eastAsia" w:ascii="宋体" w:hAnsi="宋体" w:eastAsia="宋体" w:cs="宋体"/>
                <w:sz w:val="24"/>
                <w:szCs w:val="24"/>
              </w:rPr>
              <w:t>工作计划和进度安排</w:t>
            </w:r>
          </w:p>
          <w:p>
            <w:pPr>
              <w:widowControl/>
              <w:adjustRightInd w:val="0"/>
              <w:snapToGrid w:val="0"/>
              <w:spacing w:line="400" w:lineRule="exact"/>
              <w:rPr>
                <w:rFonts w:hint="eastAsia" w:ascii="宋体" w:hAnsi="宋体" w:eastAsia="宋体" w:cs="宋体"/>
                <w:kern w:val="0"/>
                <w:sz w:val="24"/>
                <w:szCs w:val="24"/>
              </w:rPr>
            </w:pPr>
          </w:p>
        </w:tc>
        <w:tc>
          <w:tcPr>
            <w:tcW w:w="621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400" w:lineRule="exact"/>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rPr>
              <w:t>磋商小组</w:t>
            </w:r>
            <w:r>
              <w:rPr>
                <w:rFonts w:hint="eastAsia" w:ascii="宋体" w:hAnsi="宋体" w:eastAsia="宋体" w:cs="宋体"/>
                <w:b w:val="0"/>
                <w:bCs w:val="0"/>
                <w:sz w:val="24"/>
                <w:szCs w:val="24"/>
              </w:rPr>
              <w:t>根据供应商提供的</w:t>
            </w:r>
            <w:r>
              <w:rPr>
                <w:rFonts w:hint="eastAsia" w:ascii="宋体" w:hAnsi="宋体" w:eastAsia="宋体" w:cs="宋体"/>
                <w:b w:val="0"/>
                <w:bCs w:val="0"/>
                <w:kern w:val="0"/>
                <w:sz w:val="24"/>
                <w:szCs w:val="24"/>
              </w:rPr>
              <w:t>项目前期、中期、后期</w:t>
            </w:r>
            <w:r>
              <w:rPr>
                <w:rFonts w:hint="eastAsia" w:ascii="宋体" w:hAnsi="宋体" w:eastAsia="宋体" w:cs="宋体"/>
                <w:bCs/>
                <w:sz w:val="24"/>
                <w:szCs w:val="24"/>
                <w:lang w:val="zh-CN"/>
              </w:rPr>
              <w:t>赛事</w:t>
            </w:r>
            <w:r>
              <w:rPr>
                <w:rFonts w:hint="eastAsia" w:ascii="宋体" w:hAnsi="宋体" w:eastAsia="宋体" w:cs="宋体"/>
                <w:b w:val="0"/>
                <w:bCs w:val="0"/>
                <w:kern w:val="0"/>
                <w:sz w:val="24"/>
                <w:szCs w:val="24"/>
              </w:rPr>
              <w:t>工作计划</w:t>
            </w:r>
            <w:r>
              <w:rPr>
                <w:rFonts w:hint="eastAsia" w:ascii="宋体" w:hAnsi="宋体" w:eastAsia="宋体" w:cs="宋体"/>
                <w:b w:val="0"/>
                <w:bCs w:val="0"/>
                <w:sz w:val="24"/>
                <w:szCs w:val="24"/>
              </w:rPr>
              <w:t>的完整性、</w:t>
            </w:r>
            <w:r>
              <w:rPr>
                <w:rFonts w:hint="eastAsia" w:ascii="宋体" w:hAnsi="宋体" w:eastAsia="宋体" w:cs="宋体"/>
                <w:b w:val="0"/>
                <w:bCs w:val="0"/>
                <w:kern w:val="0"/>
                <w:sz w:val="24"/>
                <w:szCs w:val="24"/>
              </w:rPr>
              <w:t>考虑全面性、切实可行、合理性</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sz w:val="24"/>
                <w:szCs w:val="24"/>
              </w:rPr>
              <w:t>内容齐全完整的得</w:t>
            </w:r>
            <w:r>
              <w:rPr>
                <w:rFonts w:hint="eastAsia" w:ascii="宋体" w:hAnsi="宋体" w:cs="宋体"/>
                <w:b w:val="0"/>
                <w:bCs w:val="0"/>
                <w:sz w:val="24"/>
                <w:szCs w:val="24"/>
                <w:lang w:val="en-US" w:eastAsia="zh-CN"/>
              </w:rPr>
              <w:t>7</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分，内容较为完整的得</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-4分，内容不够完整有欠缺的0-2分。</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92" w:type="dxa"/>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rPr>
              <w:t>1</w:t>
            </w:r>
            <w:r>
              <w:rPr>
                <w:rFonts w:hint="eastAsia" w:ascii="宋体" w:hAnsi="宋体" w:cs="宋体"/>
                <w:bCs/>
                <w:sz w:val="24"/>
                <w:szCs w:val="24"/>
                <w:lang w:val="en-US" w:eastAsia="zh-CN"/>
              </w:rPr>
              <w:t>1</w:t>
            </w:r>
          </w:p>
        </w:tc>
        <w:tc>
          <w:tcPr>
            <w:tcW w:w="1470" w:type="dxa"/>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应急预案</w:t>
            </w:r>
          </w:p>
          <w:p>
            <w:pPr>
              <w:widowControl/>
              <w:adjustRightInd w:val="0"/>
              <w:snapToGrid w:val="0"/>
              <w:spacing w:line="400" w:lineRule="exact"/>
              <w:jc w:val="center"/>
              <w:rPr>
                <w:rFonts w:hint="eastAsia" w:ascii="宋体" w:hAnsi="宋体" w:eastAsia="宋体" w:cs="宋体"/>
                <w:sz w:val="24"/>
                <w:szCs w:val="24"/>
              </w:rPr>
            </w:pPr>
          </w:p>
        </w:tc>
        <w:tc>
          <w:tcPr>
            <w:tcW w:w="62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b w:val="0"/>
                <w:bCs w:val="0"/>
                <w:sz w:val="24"/>
                <w:szCs w:val="24"/>
              </w:rPr>
            </w:pPr>
            <w:r>
              <w:rPr>
                <w:rFonts w:hint="eastAsia" w:ascii="宋体" w:hAnsi="宋体" w:eastAsia="宋体" w:cs="宋体"/>
                <w:b w:val="0"/>
                <w:bCs w:val="0"/>
                <w:kern w:val="0"/>
                <w:sz w:val="24"/>
                <w:szCs w:val="24"/>
              </w:rPr>
              <w:t>磋商小组</w:t>
            </w:r>
            <w:r>
              <w:rPr>
                <w:rFonts w:hint="eastAsia" w:ascii="宋体" w:hAnsi="宋体" w:eastAsia="宋体" w:cs="宋体"/>
                <w:b w:val="0"/>
                <w:bCs w:val="0"/>
                <w:sz w:val="24"/>
                <w:szCs w:val="24"/>
              </w:rPr>
              <w:t>根据供应商提供的对各种突发情况相应的应急预案的科学性、合理性、完整性等，内容齐全完整的得</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分，内容较为完整的得</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分，内容不够完整有欠缺的0-2分。</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5</w:t>
            </w:r>
          </w:p>
        </w:tc>
      </w:tr>
      <w:bookmarkEnd w:id="29"/>
      <w:bookmarkEnd w:id="30"/>
      <w:bookmarkEnd w:id="31"/>
    </w:tbl>
    <w:p>
      <w:pPr>
        <w:snapToGrid w:val="0"/>
        <w:spacing w:line="360" w:lineRule="auto"/>
        <w:rPr>
          <w:rFonts w:ascii="宋体" w:hAnsi="宋体" w:cs="宋体"/>
          <w:sz w:val="20"/>
          <w:szCs w:val="20"/>
          <w:shd w:val="clear" w:color="auto" w:fill="FFFFFF"/>
        </w:rPr>
      </w:pPr>
    </w:p>
    <w:p>
      <w:pPr>
        <w:snapToGrid w:val="0"/>
        <w:spacing w:line="360" w:lineRule="auto"/>
        <w:rPr>
          <w:rFonts w:ascii="宋体" w:hAnsi="宋体" w:cs="宋体"/>
          <w:b/>
          <w:sz w:val="24"/>
        </w:rPr>
      </w:pPr>
      <w:r>
        <w:rPr>
          <w:rFonts w:hint="eastAsia" w:ascii="宋体" w:hAnsi="宋体" w:cs="宋体"/>
          <w:sz w:val="20"/>
          <w:szCs w:val="20"/>
          <w:shd w:val="clear" w:color="auto" w:fill="FFFFFF"/>
        </w:rPr>
        <w:t>*</w:t>
      </w:r>
      <w:r>
        <w:rPr>
          <w:rFonts w:hint="eastAsia" w:ascii="宋体" w:hAnsi="宋体" w:cs="宋体"/>
          <w:b/>
          <w:sz w:val="24"/>
        </w:rPr>
        <w:t>备注：</w:t>
      </w:r>
    </w:p>
    <w:p>
      <w:pPr>
        <w:snapToGrid w:val="0"/>
        <w:spacing w:line="360" w:lineRule="auto"/>
        <w:ind w:firstLine="482" w:firstLineChars="200"/>
        <w:rPr>
          <w:rFonts w:ascii="宋体" w:hAnsi="宋体" w:cs="宋体"/>
          <w:sz w:val="24"/>
        </w:rPr>
      </w:pPr>
      <w:r>
        <w:rPr>
          <w:rFonts w:hint="eastAsia" w:ascii="宋体" w:hAnsi="宋体" w:cs="宋体"/>
          <w:b/>
          <w:sz w:val="24"/>
        </w:rPr>
        <w:t>1、</w:t>
      </w:r>
      <w:r>
        <w:rPr>
          <w:rFonts w:hint="eastAsia" w:ascii="宋体" w:hAnsi="宋体" w:cs="宋体"/>
          <w:sz w:val="24"/>
        </w:rPr>
        <w:t>供应商编制磋商响应文件（商务技术文件部分）时，建议按此目录（序号和内容）提供评标标准相应的商务技术资料。 </w:t>
      </w:r>
    </w:p>
    <w:p>
      <w:pPr>
        <w:snapToGrid w:val="0"/>
        <w:spacing w:line="360" w:lineRule="auto"/>
        <w:ind w:firstLine="482" w:firstLineChars="200"/>
        <w:rPr>
          <w:rFonts w:ascii="宋体" w:hAnsi="宋体" w:cs="宋体"/>
          <w:sz w:val="24"/>
        </w:rPr>
      </w:pPr>
      <w:r>
        <w:rPr>
          <w:rFonts w:hint="eastAsia" w:ascii="宋体" w:hAnsi="宋体" w:cs="宋体"/>
          <w:b/>
          <w:sz w:val="24"/>
        </w:rPr>
        <w:t>2、</w:t>
      </w:r>
      <w:r>
        <w:rPr>
          <w:rFonts w:hint="eastAsia" w:ascii="宋体" w:hAnsi="宋体" w:cs="宋体"/>
          <w:sz w:val="24"/>
        </w:rPr>
        <w:t>投标人提供的合同、证书等资料弄虚作假的，报政府采购监督部门查处。</w:t>
      </w:r>
    </w:p>
    <w:p>
      <w:pPr>
        <w:snapToGrid w:val="0"/>
        <w:spacing w:line="360" w:lineRule="auto"/>
        <w:ind w:firstLine="482" w:firstLineChars="200"/>
        <w:rPr>
          <w:rFonts w:ascii="宋体" w:hAnsi="宋体" w:cs="宋体"/>
          <w:b/>
          <w:sz w:val="32"/>
        </w:rPr>
      </w:pPr>
      <w:r>
        <w:rPr>
          <w:rFonts w:hint="eastAsia" w:ascii="宋体" w:hAnsi="宋体" w:cs="宋体"/>
          <w:b/>
          <w:sz w:val="24"/>
        </w:rPr>
        <w:t>3、</w:t>
      </w:r>
      <w:r>
        <w:rPr>
          <w:rFonts w:hint="eastAsia" w:ascii="宋体" w:hAnsi="宋体" w:cs="宋体"/>
          <w:sz w:val="24"/>
        </w:rPr>
        <w:t>以上评分项目，以投标人在投标书中做出的书面承诺或加盖公章的相关材料复印件为准。若未按上述要求提供书面及相关材料，或提供的书面及相关材料与事实不符，或提供的书面及相关材料无法提供完整的投标响应信息的均不给分。任何由于投标人原因导致书面及相关材料缺失、字迹模糊无法分辨、内容错漏的情形，均可能导致该投标人的评审项失分。</w:t>
      </w:r>
    </w:p>
    <w:p>
      <w:pPr>
        <w:snapToGrid w:val="0"/>
        <w:spacing w:line="360" w:lineRule="auto"/>
        <w:jc w:val="center"/>
        <w:outlineLvl w:val="0"/>
        <w:rPr>
          <w:rFonts w:hint="eastAsia" w:ascii="宋体" w:hAnsi="宋体" w:cs="宋体"/>
          <w:b/>
          <w:sz w:val="32"/>
          <w:szCs w:val="32"/>
        </w:rPr>
      </w:pPr>
    </w:p>
    <w:p>
      <w:pPr>
        <w:snapToGrid w:val="0"/>
        <w:spacing w:line="360" w:lineRule="auto"/>
        <w:jc w:val="center"/>
        <w:outlineLvl w:val="0"/>
        <w:rPr>
          <w:rFonts w:hint="eastAsia" w:ascii="宋体" w:hAnsi="宋体" w:cs="宋体"/>
          <w:b/>
          <w:sz w:val="32"/>
          <w:szCs w:val="32"/>
        </w:rPr>
      </w:pPr>
    </w:p>
    <w:p>
      <w:pPr>
        <w:snapToGrid w:val="0"/>
        <w:spacing w:line="360" w:lineRule="auto"/>
        <w:jc w:val="center"/>
        <w:outlineLvl w:val="0"/>
        <w:rPr>
          <w:rFonts w:hint="eastAsia" w:ascii="宋体" w:hAnsi="宋体" w:cs="宋体"/>
          <w:b/>
          <w:sz w:val="32"/>
          <w:szCs w:val="32"/>
        </w:rPr>
      </w:pPr>
    </w:p>
    <w:p>
      <w:pPr>
        <w:snapToGrid w:val="0"/>
        <w:spacing w:line="360" w:lineRule="auto"/>
        <w:jc w:val="center"/>
        <w:outlineLvl w:val="0"/>
        <w:rPr>
          <w:rFonts w:hint="eastAsia" w:ascii="宋体" w:hAnsi="宋体" w:cs="宋体"/>
          <w:b/>
          <w:sz w:val="32"/>
          <w:szCs w:val="32"/>
        </w:rPr>
      </w:pPr>
    </w:p>
    <w:p>
      <w:pPr>
        <w:snapToGrid w:val="0"/>
        <w:spacing w:line="360" w:lineRule="auto"/>
        <w:jc w:val="center"/>
        <w:outlineLvl w:val="0"/>
        <w:rPr>
          <w:rFonts w:ascii="宋体" w:hAnsi="宋体" w:cs="宋体"/>
          <w:b/>
          <w:sz w:val="32"/>
          <w:szCs w:val="32"/>
        </w:rPr>
      </w:pPr>
      <w:r>
        <w:rPr>
          <w:rFonts w:hint="eastAsia" w:ascii="宋体" w:hAnsi="宋体" w:cs="宋体"/>
          <w:b/>
          <w:sz w:val="32"/>
          <w:szCs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综合评分法，是指磋商响应文件满足竞争性磋商文件全部实质性要求，且按照评审因素的量化指标评审得分最高的供应商为中标候选人的评标方法。</w:t>
      </w:r>
    </w:p>
    <w:p>
      <w:pPr>
        <w:snapToGrid w:val="0"/>
        <w:spacing w:line="360" w:lineRule="auto"/>
        <w:jc w:val="center"/>
        <w:outlineLvl w:val="0"/>
        <w:rPr>
          <w:rFonts w:ascii="宋体" w:hAnsi="宋体" w:cs="宋体"/>
          <w:b/>
          <w:sz w:val="32"/>
          <w:szCs w:val="32"/>
        </w:rPr>
      </w:pPr>
      <w:r>
        <w:rPr>
          <w:rFonts w:hint="eastAsia" w:ascii="宋体" w:hAnsi="宋体" w:cs="宋体"/>
          <w:b/>
          <w:sz w:val="32"/>
          <w:szCs w:val="32"/>
        </w:rPr>
        <w:t>二、评标标准</w:t>
      </w:r>
    </w:p>
    <w:p>
      <w:pPr>
        <w:spacing w:line="360" w:lineRule="auto"/>
        <w:ind w:firstLine="472" w:firstLineChars="196"/>
        <w:rPr>
          <w:rFonts w:ascii="宋体" w:hAnsi="宋体" w:cs="宋体"/>
          <w:b/>
          <w:sz w:val="24"/>
        </w:rPr>
      </w:pPr>
      <w:r>
        <w:rPr>
          <w:rFonts w:hint="eastAsia" w:ascii="宋体" w:hAnsi="宋体" w:cs="宋体"/>
          <w:b/>
          <w:sz w:val="24"/>
        </w:rPr>
        <w:t>2.评标标准：</w:t>
      </w:r>
      <w:r>
        <w:rPr>
          <w:rFonts w:hint="eastAsia" w:ascii="宋体" w:hAnsi="宋体" w:cs="宋体"/>
          <w:kern w:val="0"/>
          <w:sz w:val="24"/>
        </w:rPr>
        <w:t>见评标办法前附表。</w:t>
      </w:r>
    </w:p>
    <w:p>
      <w:pPr>
        <w:snapToGrid w:val="0"/>
        <w:spacing w:line="360" w:lineRule="auto"/>
        <w:jc w:val="center"/>
        <w:outlineLvl w:val="0"/>
        <w:rPr>
          <w:rFonts w:ascii="宋体" w:hAnsi="宋体" w:cs="宋体"/>
          <w:b/>
          <w:sz w:val="32"/>
          <w:szCs w:val="32"/>
        </w:rPr>
      </w:pPr>
      <w:r>
        <w:rPr>
          <w:rFonts w:hint="eastAsia" w:ascii="宋体" w:hAnsi="宋体" w:cs="宋体"/>
          <w:b/>
          <w:sz w:val="32"/>
          <w:szCs w:val="32"/>
        </w:rPr>
        <w:t>三、磋商程序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磋商小组应当对符合资格的供应商的磋商响应文件进行符合性审查，以确定其是否满足竞争性磋商文件的实质性要求。不满足竞争性磋商文件的实质性要求的，投标无效。</w:t>
      </w:r>
    </w:p>
    <w:p>
      <w:pPr>
        <w:spacing w:line="360" w:lineRule="auto"/>
        <w:ind w:firstLine="472" w:firstLineChars="196"/>
        <w:rPr>
          <w:rFonts w:ascii="宋体" w:hAnsi="宋体" w:cs="宋体"/>
          <w:b/>
          <w:kern w:val="0"/>
          <w:sz w:val="24"/>
        </w:rPr>
      </w:pPr>
      <w:r>
        <w:rPr>
          <w:rFonts w:hint="eastAsia" w:ascii="宋体" w:hAnsi="宋体" w:cs="宋体"/>
          <w:b/>
          <w:kern w:val="0"/>
          <w:sz w:val="24"/>
        </w:rPr>
        <w:t>3.2 与各磋商响应方进行磋商。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3.2.1磋商小组与符合要求的供应商进行磋商。磋商小组所有成员按照响应文件解密次序集中与单一供应商分别进行磋商，并给予所有参加磋商的供应商平等的磋商机会。磋商过程中，磋商小组可以根据磋商情况调整轮次。</w:t>
      </w:r>
    </w:p>
    <w:p>
      <w:pPr>
        <w:tabs>
          <w:tab w:val="left" w:pos="0"/>
        </w:tabs>
        <w:spacing w:line="360" w:lineRule="auto"/>
        <w:ind w:firstLine="480"/>
        <w:rPr>
          <w:rFonts w:ascii="宋体" w:hAnsi="宋体" w:cs="宋体"/>
          <w:kern w:val="0"/>
          <w:sz w:val="24"/>
        </w:rPr>
      </w:pPr>
      <w:r>
        <w:rPr>
          <w:rFonts w:hint="eastAsia" w:ascii="宋体" w:hAnsi="宋体" w:cs="宋体"/>
          <w:kern w:val="0"/>
          <w:sz w:val="24"/>
        </w:rPr>
        <w:t>3.2.2经磋商确定采购文件的变动情况。对采购文件作出的实质性变动是采购文件的有效组成部分，磋商小组应当及时以书面形式同时通知所有参加磋商的供应商。</w:t>
      </w:r>
    </w:p>
    <w:p>
      <w:pPr>
        <w:spacing w:line="360" w:lineRule="auto"/>
        <w:ind w:firstLine="470" w:firstLineChars="196"/>
        <w:rPr>
          <w:rFonts w:ascii="宋体" w:hAnsi="宋体" w:cs="宋体"/>
          <w:kern w:val="0"/>
          <w:sz w:val="24"/>
        </w:rPr>
      </w:pPr>
      <w:r>
        <w:rPr>
          <w:rFonts w:hint="eastAsia" w:ascii="宋体" w:hAnsi="宋体" w:cs="宋体"/>
          <w:kern w:val="0"/>
          <w:sz w:val="24"/>
        </w:rPr>
        <w:t>3.2.3磋商小组应当按照采购文件中规定的评标方法和标准，对符合性审查合格的投标文件进行商务和技术评估，综合比较与评价。磋商小组各成员应当独立对每个磋商响应方的商务和技术文件进行评价，并汇总商务技术得分情况。</w:t>
      </w:r>
    </w:p>
    <w:p>
      <w:pPr>
        <w:snapToGrid w:val="0"/>
        <w:spacing w:line="360" w:lineRule="auto"/>
        <w:ind w:firstLine="470" w:firstLineChars="196"/>
        <w:rPr>
          <w:rFonts w:ascii="宋体" w:hAnsi="宋体" w:cs="宋体"/>
          <w:kern w:val="0"/>
          <w:sz w:val="24"/>
          <w:highlight w:val="yellow"/>
        </w:rPr>
      </w:pPr>
      <w:r>
        <w:rPr>
          <w:rFonts w:hint="eastAsia" w:ascii="宋体" w:hAnsi="宋体" w:cs="宋体"/>
          <w:kern w:val="0"/>
          <w:sz w:val="24"/>
        </w:rPr>
        <w:t>3.2.4各磋商响应方在本标项全部磋商结束后在规定时间内进行最后报价</w:t>
      </w:r>
      <w:r>
        <w:rPr>
          <w:rFonts w:hint="eastAsia" w:ascii="宋体" w:hAnsi="宋体" w:cs="宋体"/>
          <w:kern w:val="0"/>
          <w:sz w:val="24"/>
          <w:highlight w:val="yellow"/>
        </w:rPr>
        <w:t>（供应商需在30分钟内提交最终报价）。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磋商小组各成员应当独立对每个供应商的商务和技术文件进行评价，并汇总商务技术得分情况。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1"/>
        <w:spacing w:before="0"/>
        <w:ind w:firstLine="508" w:firstLineChars="212"/>
        <w:rPr>
          <w:rFonts w:ascii="宋体" w:hAnsi="宋体" w:cs="宋体"/>
          <w:kern w:val="0"/>
        </w:rPr>
      </w:pPr>
      <w:r>
        <w:rPr>
          <w:rFonts w:hint="eastAsia" w:ascii="宋体" w:hAnsi="宋体" w:cs="宋体"/>
          <w:kern w:val="0"/>
        </w:rPr>
        <w:t>3.4.1磋商响应文件报价出现前后不一致的，按照下列规定修正：</w:t>
      </w:r>
    </w:p>
    <w:p>
      <w:pPr>
        <w:pStyle w:val="131"/>
        <w:spacing w:before="0"/>
        <w:ind w:firstLine="480"/>
        <w:rPr>
          <w:rFonts w:ascii="宋体" w:hAnsi="宋体" w:cs="宋体"/>
          <w:kern w:val="0"/>
          <w:szCs w:val="24"/>
        </w:rPr>
      </w:pPr>
      <w:r>
        <w:rPr>
          <w:rFonts w:hint="eastAsia" w:ascii="宋体" w:hAnsi="宋体" w:cs="宋体"/>
          <w:kern w:val="0"/>
          <w:szCs w:val="24"/>
        </w:rPr>
        <w:t>3.4.1.1磋商响应文件中开标一览表(报价表)内容与磋商响应文件中相应内容不一致的，以开标一览表(报价表)为准;</w:t>
      </w:r>
    </w:p>
    <w:p>
      <w:pPr>
        <w:pStyle w:val="131"/>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1"/>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1"/>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1"/>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《政府采购货物和服务招标投标管理办法》第五十一条第二款的规定经供应商确认后产生约束力。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3.4.2磋商响应文件出现不是唯一的、有选择性投标报价的，投标无效。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3.4.3投标报价超过竞争性磋商文件中规定的预算金额或者最高限价的，投标无效。</w:t>
      </w:r>
    </w:p>
    <w:p>
      <w:pPr>
        <w:pStyle w:val="131"/>
        <w:spacing w:before="0"/>
        <w:ind w:firstLine="480"/>
        <w:rPr>
          <w:rFonts w:ascii="宋体" w:hAnsi="宋体" w:cs="宋体"/>
          <w:kern w:val="0"/>
          <w:szCs w:val="24"/>
        </w:rPr>
      </w:pPr>
      <w:r>
        <w:rPr>
          <w:rFonts w:hint="eastAsia" w:ascii="宋体" w:hAnsi="宋体" w:cs="宋体"/>
          <w:kern w:val="0"/>
          <w:szCs w:val="24"/>
        </w:rPr>
        <w:t>3.4.4磋商小组认为供应商的报价明显低于其他通过符合性审查供应商的报价，有可能影响产品质量或者不能诚信履约的，应当要求其在合理的时间内提供书面说明，必要时提交相关证明材料;供应商不能证明其报价合理性的，磋商小组应当将其作为无效投标处理。</w:t>
      </w:r>
    </w:p>
    <w:p>
      <w:pPr>
        <w:pStyle w:val="131"/>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磋商响应文件满足竞争性磋商文件全部实质性要求，且按照评审因素的量化指标评审得分最高的供应商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供应商提供相同品牌产品（单一产品采购项目中的该产品或者非单一产品采购项目的核心产品）且通过资格审查、符合性审查的不同供应商参加同一合同项下投标的，按一家供应商计算，评审后得分最高的同品牌供应商获得中标人推荐资格；评审得分相同的，采取随机抽取方式确定，其他同品牌供应商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磋商小组根据全体评标成员签字的原始评标记录和评标结果编写评标报告。磋商小组成员对需要共同认定的事项存在争议的，应当按照少数服从多数的原则作出结论。持不同意见的磋商小组成员应当在评标报告上签署不同意见及理由，否则视为同意评标报告。</w:t>
      </w:r>
    </w:p>
    <w:p>
      <w:pPr>
        <w:snapToGrid w:val="0"/>
        <w:spacing w:line="360" w:lineRule="auto"/>
        <w:jc w:val="center"/>
        <w:outlineLvl w:val="0"/>
        <w:rPr>
          <w:rFonts w:ascii="宋体" w:hAnsi="宋体" w:cs="宋体"/>
          <w:b/>
          <w:sz w:val="32"/>
          <w:szCs w:val="32"/>
        </w:rPr>
      </w:pPr>
      <w:r>
        <w:rPr>
          <w:rFonts w:hint="eastAsia" w:ascii="宋体" w:hAnsi="宋体" w:cs="宋体"/>
          <w:b/>
          <w:sz w:val="32"/>
          <w:szCs w:val="32"/>
        </w:rPr>
        <w:t>四、评标中的其他事项</w:t>
      </w:r>
    </w:p>
    <w:p>
      <w:pPr>
        <w:pStyle w:val="131"/>
        <w:spacing w:before="0"/>
        <w:ind w:firstLine="472" w:firstLineChars="196"/>
        <w:rPr>
          <w:rFonts w:ascii="宋体" w:hAnsi="宋体" w:cs="宋体"/>
          <w:kern w:val="0"/>
          <w:szCs w:val="24"/>
        </w:rPr>
      </w:pPr>
      <w:r>
        <w:rPr>
          <w:rFonts w:hint="eastAsia" w:ascii="宋体" w:hAnsi="宋体" w:cs="宋体"/>
          <w:b/>
          <w:kern w:val="0"/>
          <w:szCs w:val="24"/>
        </w:rPr>
        <w:t>4.1供应商澄清、说明或者补正。</w:t>
      </w:r>
      <w:r>
        <w:rPr>
          <w:rFonts w:hint="eastAsia" w:ascii="宋体" w:hAnsi="宋体" w:cs="宋体"/>
          <w:kern w:val="0"/>
          <w:szCs w:val="24"/>
        </w:rPr>
        <w:t>对于磋商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磋商响应文件的范围或者改变磋商响应文件的实质性内容。</w:t>
      </w:r>
    </w:p>
    <w:p>
      <w:pPr>
        <w:pStyle w:val="18"/>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有下列情况之一的，投标无效：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4.2.1供应商不具备竞争性磋商文件中规定的资格要求的（供应商未提供有效的资格文件的，视为供应商不具备竞争性磋商文件中规定的资格要求）；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4.2.2磋商响应文件未按照竞争性磋商文件要求签署、盖章的；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4.2.3采购人拟采购的产品属于政府强制采购的节能产品品目清单范围的，供应商未按竞争性磋商文件要求提供国家确定的认证机构出具的、处于有效期之内的节能产品认证证书的；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4.2.4磋商响应文件含有采购人不能接受的附加条件的；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4.2.5磋商响应文件中承诺的投标有效期少于竞争性磋商文件中载明的投标有效期的；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4.2.6磋商响应文件出现不是唯一的、有选择性投标报价的;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4.2.7投标报价超过竞争性磋商文件中规定的预算金额或者最高限价的;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4.2.10供应商提供虚假材料投标的；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4.2.12供应商仅提交备份磋商响应文件，没有在电子交易平台传输递交磋商响应文件的，投标无效；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4.2.13 磋商响应文件不满足竞争性磋商文件的其它实质性要求的；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18"/>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18"/>
        <w:snapToGrid w:val="0"/>
        <w:spacing w:line="360" w:lineRule="auto"/>
        <w:rPr>
          <w:rFonts w:cs="宋体"/>
        </w:rPr>
      </w:pPr>
      <w:r>
        <w:rPr>
          <w:rFonts w:hint="eastAsia" w:cs="宋体"/>
        </w:rPr>
        <w:t>5.1符合专业条件的供应商或者对竞争性磋商文件作实质响应的供应商不足3家的；</w:t>
      </w:r>
    </w:p>
    <w:p>
      <w:pPr>
        <w:pStyle w:val="18"/>
        <w:snapToGrid w:val="0"/>
        <w:spacing w:line="360" w:lineRule="auto"/>
        <w:rPr>
          <w:rFonts w:cs="宋体"/>
        </w:rPr>
      </w:pPr>
      <w:r>
        <w:rPr>
          <w:rFonts w:hint="eastAsia" w:cs="宋体"/>
        </w:rPr>
        <w:t>5.2出现影响采购公正的违法、违规行为的；</w:t>
      </w:r>
    </w:p>
    <w:p>
      <w:pPr>
        <w:pStyle w:val="18"/>
        <w:snapToGrid w:val="0"/>
        <w:spacing w:line="360" w:lineRule="auto"/>
        <w:rPr>
          <w:rFonts w:cs="宋体"/>
        </w:rPr>
      </w:pPr>
      <w:r>
        <w:rPr>
          <w:rFonts w:hint="eastAsia" w:cs="宋体"/>
        </w:rPr>
        <w:t>5.3供应商的报价均超过了采购预算，采购人不能支付的；</w:t>
      </w:r>
    </w:p>
    <w:p>
      <w:pPr>
        <w:pStyle w:val="18"/>
        <w:snapToGrid w:val="0"/>
        <w:spacing w:line="360" w:lineRule="auto"/>
        <w:rPr>
          <w:rFonts w:cs="宋体"/>
        </w:rPr>
      </w:pPr>
      <w:r>
        <w:rPr>
          <w:rFonts w:hint="eastAsia" w:cs="宋体"/>
        </w:rPr>
        <w:t>5.4因重大变故，采购任务取消的。</w:t>
      </w:r>
    </w:p>
    <w:p>
      <w:pPr>
        <w:pStyle w:val="18"/>
        <w:snapToGrid w:val="0"/>
        <w:spacing w:line="360" w:lineRule="auto"/>
        <w:rPr>
          <w:rFonts w:cs="宋体"/>
        </w:rPr>
      </w:pPr>
      <w:r>
        <w:rPr>
          <w:rFonts w:hint="eastAsia" w:cs="宋体"/>
        </w:rPr>
        <w:t>废标后，采购机构应当将废标理由通知所有供应商。</w:t>
      </w:r>
    </w:p>
    <w:p>
      <w:pPr>
        <w:pStyle w:val="18"/>
        <w:snapToGrid w:val="0"/>
        <w:spacing w:line="360" w:lineRule="auto"/>
        <w:ind w:firstLine="590" w:firstLineChars="245"/>
        <w:rPr>
          <w:rFonts w:cs="宋体"/>
        </w:rPr>
      </w:pPr>
      <w:r>
        <w:rPr>
          <w:rFonts w:hint="eastAsia" w:cs="宋体"/>
          <w:b/>
        </w:rPr>
        <w:t>6.修改竞争性磋商文件，重新组织采购活动。</w:t>
      </w:r>
      <w:r>
        <w:rPr>
          <w:rFonts w:hint="eastAsia" w:cs="宋体"/>
        </w:rPr>
        <w:t>磋商小组发现竞争性磋商文件存在歧义、重大缺陷导致评标工作无法进行，或者竞争性磋商文件内容违反国家有关强制性规定的，将停止评标工作，并与采购人、采购机构沟通并作书面记录。采购人、采购机构确认后，将修改竞争性磋商文件，重新组织采购活动。</w:t>
      </w:r>
    </w:p>
    <w:p>
      <w:pPr>
        <w:pStyle w:val="18"/>
        <w:snapToGrid w:val="0"/>
        <w:spacing w:line="360" w:lineRule="auto"/>
        <w:ind w:firstLine="590" w:firstLineChars="245"/>
        <w:rPr>
          <w:rFonts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18"/>
        <w:snapToGrid w:val="0"/>
        <w:spacing w:line="360" w:lineRule="auto"/>
        <w:ind w:firstLine="600" w:firstLineChars="250"/>
        <w:rPr>
          <w:rFonts w:cs="宋体"/>
        </w:rPr>
      </w:pPr>
      <w:r>
        <w:rPr>
          <w:rFonts w:hint="eastAsia" w:cs="宋体"/>
        </w:rPr>
        <w:t>7.1未确定中标或者中标人的，终止本次政府采购活动，重新开展政府采购活动。</w:t>
      </w:r>
    </w:p>
    <w:p>
      <w:pPr>
        <w:pStyle w:val="18"/>
        <w:snapToGrid w:val="0"/>
        <w:spacing w:line="360" w:lineRule="auto"/>
        <w:ind w:firstLine="600" w:firstLineChars="250"/>
        <w:rPr>
          <w:rFonts w:cs="宋体"/>
        </w:rPr>
      </w:pPr>
      <w:r>
        <w:rPr>
          <w:rFonts w:hint="eastAsia"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8"/>
        <w:snapToGrid w:val="0"/>
        <w:spacing w:line="360" w:lineRule="auto"/>
        <w:ind w:firstLine="600" w:firstLineChars="250"/>
        <w:rPr>
          <w:rFonts w:cs="宋体"/>
        </w:rPr>
      </w:pPr>
      <w:r>
        <w:rPr>
          <w:rFonts w:hint="eastAsia" w:cs="宋体"/>
        </w:rPr>
        <w:t>7.3政府采购合同已签订但尚未履行的，撤销合同，从合格的中标或者成交候选人中另行确定中标或者中标人；没有合格的中标或者成交候选人的，重新开展政府采购活动。</w:t>
      </w:r>
    </w:p>
    <w:p>
      <w:pPr>
        <w:pStyle w:val="18"/>
        <w:snapToGrid w:val="0"/>
        <w:spacing w:line="360" w:lineRule="auto"/>
        <w:rPr>
          <w:rFonts w:cs="宋体"/>
        </w:rPr>
      </w:pPr>
      <w:r>
        <w:rPr>
          <w:rFonts w:hint="eastAsia" w:cs="宋体"/>
        </w:rPr>
        <w:t>7.4政府采购合同已经履行，给采购人、供应商造成损失的，由责任人承担赔偿责任。</w:t>
      </w:r>
    </w:p>
    <w:p>
      <w:pPr>
        <w:pStyle w:val="18"/>
        <w:snapToGrid w:val="0"/>
        <w:spacing w:line="360" w:lineRule="auto"/>
        <w:rPr>
          <w:rFonts w:cs="宋体"/>
        </w:rPr>
      </w:pPr>
      <w:r>
        <w:rPr>
          <w:rFonts w:hint="eastAsia" w:cs="宋体"/>
        </w:rPr>
        <w:t>7.5政府采购当事人有其他违反政府采购法</w:t>
      </w:r>
      <w:r>
        <w:rPr>
          <w:rFonts w:hint="eastAsia" w:cs="宋体"/>
          <w:kern w:val="0"/>
        </w:rPr>
        <w:t>或者政府采购法实施条例等法律法规规定</w:t>
      </w:r>
      <w:r>
        <w:rPr>
          <w:rFonts w:hint="eastAsia" w:cs="宋体"/>
        </w:rPr>
        <w:t>的行为，经改正后仍然影响或者可能影响中标、成交结果或者依法被认定为中标、成交无效的，依照7.1-7.4规定处理。</w:t>
      </w:r>
    </w:p>
    <w:bookmarkEnd w:id="25"/>
    <w:p>
      <w:pPr>
        <w:spacing w:line="360" w:lineRule="auto"/>
        <w:rPr>
          <w:rFonts w:ascii="宋体" w:hAnsi="宋体" w:cs="宋体"/>
          <w:b/>
          <w:sz w:val="36"/>
          <w:szCs w:val="36"/>
        </w:rPr>
      </w:pPr>
      <w:bookmarkStart w:id="32" w:name="_Toc86217003"/>
      <w:bookmarkStart w:id="33" w:name="第五部分"/>
    </w:p>
    <w:p>
      <w:pPr>
        <w:rPr>
          <w:rFonts w:ascii="宋体" w:hAnsi="宋体" w:cs="宋体"/>
          <w:b/>
          <w:sz w:val="36"/>
          <w:szCs w:val="36"/>
        </w:rPr>
      </w:pPr>
      <w:r>
        <w:rPr>
          <w:rFonts w:hint="eastAsia" w:ascii="宋体" w:hAnsi="宋体" w:cs="宋体"/>
          <w:b/>
          <w:sz w:val="36"/>
          <w:szCs w:val="36"/>
        </w:rPr>
        <w:br w:type="page"/>
      </w:r>
    </w:p>
    <w:p>
      <w:pPr>
        <w:pStyle w:val="3"/>
        <w:spacing w:before="48" w:after="48"/>
        <w:jc w:val="center"/>
        <w:rPr>
          <w:rFonts w:ascii="宋体" w:hAnsi="宋体" w:cs="宋体"/>
        </w:rPr>
      </w:pPr>
      <w:bookmarkStart w:id="34" w:name="_Toc92901625"/>
      <w:r>
        <w:rPr>
          <w:rFonts w:hint="eastAsia" w:ascii="宋体" w:hAnsi="宋体" w:cs="宋体"/>
        </w:rPr>
        <w:t>第五部分拟签订的合同文本</w:t>
      </w:r>
      <w:bookmarkEnd w:id="34"/>
    </w:p>
    <w:p>
      <w:pPr>
        <w:rPr>
          <w:rFonts w:ascii="宋体" w:hAnsi="宋体" w:cs="宋体"/>
          <w:sz w:val="24"/>
          <w:u w:val="single"/>
        </w:rPr>
      </w:pPr>
      <w:r>
        <w:rPr>
          <w:rFonts w:hint="eastAsia" w:ascii="宋体" w:hAnsi="宋体" w:cs="宋体"/>
          <w:sz w:val="24"/>
        </w:rPr>
        <w:t>合同编号：</w:t>
      </w:r>
    </w:p>
    <w:p>
      <w:pPr>
        <w:spacing w:line="480" w:lineRule="auto"/>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（具体合同文本以实际签署的为准）</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1"/>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4"/>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9"/>
        <w:spacing w:before="120" w:line="22" w:lineRule="atLeast"/>
        <w:rPr>
          <w:rFonts w:ascii="宋体" w:hAnsi="宋体" w:eastAsia="宋体" w:cs="宋体"/>
          <w:szCs w:val="24"/>
        </w:rPr>
      </w:pPr>
    </w:p>
    <w:p>
      <w:pPr>
        <w:pStyle w:val="599"/>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kern w:val="0"/>
          <w:sz w:val="24"/>
        </w:rPr>
        <w:sectPr>
          <w:pgSz w:w="11907" w:h="16840"/>
          <w:pgMar w:top="1474" w:right="1814" w:bottom="1474" w:left="1814" w:header="851" w:footer="851" w:gutter="0"/>
          <w:cols w:space="720" w:num="1"/>
        </w:sect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560" w:lineRule="exact"/>
        <w:rPr>
          <w:rFonts w:asciiTheme="minorEastAsia" w:hAnsiTheme="minorEastAsia" w:eastAsiaTheme="minorEastAsia"/>
          <w:sz w:val="24"/>
          <w:u w:val="single"/>
          <w:lang w:val="zh-CN"/>
        </w:rPr>
      </w:pP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年</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月</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日</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（采购人名称）   </w:t>
      </w:r>
      <w:r>
        <w:rPr>
          <w:rFonts w:hint="eastAsia" w:asciiTheme="minorEastAsia" w:hAnsiTheme="minorEastAsia" w:eastAsiaTheme="minorEastAsia"/>
          <w:sz w:val="24"/>
        </w:rPr>
        <w:t>以</w:t>
      </w:r>
      <w:r>
        <w:rPr>
          <w:rFonts w:asciiTheme="minorEastAsia" w:hAnsiTheme="minorEastAsia" w:eastAsiaTheme="minorEastAsia"/>
          <w:sz w:val="24"/>
          <w:u w:val="single"/>
        </w:rPr>
        <w:t xml:space="preserve">   （政府采购方式）  </w:t>
      </w:r>
      <w:r>
        <w:rPr>
          <w:rFonts w:hint="eastAsia" w:asciiTheme="minorEastAsia" w:hAnsiTheme="minorEastAsia" w:eastAsiaTheme="minorEastAsia"/>
          <w:sz w:val="24"/>
        </w:rPr>
        <w:t>对</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项目名称）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项目进行了采购。经</w:t>
      </w:r>
      <w:r>
        <w:rPr>
          <w:rFonts w:asciiTheme="minorEastAsia" w:hAnsiTheme="minorEastAsia" w:eastAsiaTheme="minorEastAsia"/>
          <w:sz w:val="24"/>
          <w:u w:val="single"/>
        </w:rPr>
        <w:t xml:space="preserve">   （相关评定主体名称）   </w:t>
      </w:r>
      <w:r>
        <w:rPr>
          <w:rFonts w:hint="eastAsia" w:asciiTheme="minorEastAsia" w:hAnsiTheme="minorEastAsia" w:eastAsiaTheme="minorEastAsia"/>
          <w:sz w:val="24"/>
        </w:rPr>
        <w:t>评定，</w:t>
      </w:r>
      <w:r>
        <w:rPr>
          <w:rFonts w:asciiTheme="minorEastAsia" w:hAnsiTheme="minorEastAsia" w:eastAsiaTheme="minorEastAsia"/>
          <w:sz w:val="24"/>
          <w:u w:val="single"/>
        </w:rPr>
        <w:t xml:space="preserve">   （中标供应商名称） </w:t>
      </w:r>
      <w:r>
        <w:rPr>
          <w:rFonts w:hint="eastAsia" w:asciiTheme="minorEastAsia" w:hAnsiTheme="minorEastAsia" w:eastAsiaTheme="minorEastAsia"/>
          <w:sz w:val="24"/>
        </w:rPr>
        <w:t>为该项目中标供应商。现于中标通知书发出之日起三十日内，按照采购文件确定的事项签订本合同。</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zh-CN"/>
        </w:rPr>
        <w:t>根据《中华人民共和国民法典》《中华人民共和国政府采购法》等相关法律法规之规定，按照平等、自愿、公平和诚实信用的原则，经</w:t>
      </w:r>
      <w:r>
        <w:rPr>
          <w:rFonts w:asciiTheme="minorEastAsia" w:hAnsiTheme="minorEastAsia" w:eastAsiaTheme="minorEastAsia"/>
          <w:sz w:val="24"/>
          <w:u w:val="single"/>
        </w:rPr>
        <w:t xml:space="preserve">   （采购人名称）   </w:t>
      </w:r>
      <w:r>
        <w:rPr>
          <w:rFonts w:asciiTheme="minorEastAsia" w:hAnsiTheme="minorEastAsia" w:eastAsiaTheme="minorEastAsia"/>
          <w:sz w:val="24"/>
          <w:lang w:val="zh-CN"/>
        </w:rPr>
        <w:t>(以下简称：甲方)和</w:t>
      </w:r>
      <w:r>
        <w:rPr>
          <w:rFonts w:asciiTheme="minorEastAsia" w:hAnsiTheme="minorEastAsia" w:eastAsiaTheme="minorEastAsia"/>
          <w:sz w:val="24"/>
          <w:u w:val="single"/>
        </w:rPr>
        <w:t xml:space="preserve">   （中标供应商名称）   </w:t>
      </w:r>
      <w:r>
        <w:rPr>
          <w:rFonts w:asciiTheme="minorEastAsia" w:hAnsiTheme="minorEastAsia" w:eastAsiaTheme="minorEastAsia"/>
          <w:sz w:val="24"/>
          <w:lang w:val="zh-CN"/>
        </w:rPr>
        <w:t>(以下简称：乙方)协商一致，约定以下合同</w:t>
      </w:r>
      <w:r>
        <w:rPr>
          <w:rFonts w:hint="eastAsia" w:asciiTheme="minorEastAsia" w:hAnsiTheme="minorEastAsia" w:eastAsiaTheme="minorEastAsia"/>
          <w:sz w:val="24"/>
        </w:rPr>
        <w:t>条款，以兹共同遵守、全面履行。</w:t>
      </w:r>
    </w:p>
    <w:p>
      <w:pPr>
        <w:spacing w:line="560" w:lineRule="exact"/>
        <w:ind w:firstLine="482" w:firstLineChars="200"/>
        <w:outlineLvl w:val="0"/>
        <w:rPr>
          <w:rFonts w:asciiTheme="minorEastAsia" w:hAnsiTheme="minorEastAsia" w:eastAsiaTheme="minorEastAsia"/>
          <w:sz w:val="24"/>
        </w:rPr>
      </w:pPr>
      <w:bookmarkStart w:id="35" w:name="_Toc28855"/>
      <w:bookmarkStart w:id="36" w:name="_Toc20421"/>
      <w:bookmarkStart w:id="37" w:name="_Toc19273"/>
      <w:bookmarkStart w:id="38" w:name="_Toc15367"/>
      <w:bookmarkStart w:id="39" w:name="_Toc22967"/>
      <w:r>
        <w:rPr>
          <w:rFonts w:asciiTheme="minorEastAsia" w:hAnsiTheme="minorEastAsia" w:eastAsiaTheme="minorEastAsia"/>
          <w:b/>
          <w:sz w:val="24"/>
        </w:rPr>
        <w:t xml:space="preserve">1.1 </w:t>
      </w:r>
      <w:r>
        <w:rPr>
          <w:rFonts w:hint="eastAsia" w:asciiTheme="minorEastAsia" w:hAnsiTheme="minorEastAsia" w:eastAsiaTheme="minorEastAsia"/>
          <w:b/>
          <w:sz w:val="24"/>
        </w:rPr>
        <w:t>合同组成部分</w:t>
      </w:r>
      <w:bookmarkEnd w:id="35"/>
      <w:bookmarkEnd w:id="36"/>
      <w:bookmarkEnd w:id="37"/>
      <w:bookmarkEnd w:id="38"/>
      <w:bookmarkEnd w:id="39"/>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本合同及其补充合同、变更协议；</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中标通知书；</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投标文件（含澄清或者说明文件）；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招标文件（含澄清或者修改文件）；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其他相关采购文件。</w:t>
      </w:r>
    </w:p>
    <w:p>
      <w:pPr>
        <w:spacing w:line="560" w:lineRule="exact"/>
        <w:ind w:firstLine="482" w:firstLineChars="200"/>
        <w:outlineLvl w:val="0"/>
        <w:rPr>
          <w:rFonts w:asciiTheme="minorEastAsia" w:hAnsiTheme="minorEastAsia" w:eastAsiaTheme="minorEastAsia"/>
          <w:b/>
          <w:sz w:val="24"/>
        </w:rPr>
      </w:pPr>
      <w:bookmarkStart w:id="40" w:name="_Toc6311"/>
      <w:bookmarkStart w:id="41" w:name="_Toc6773"/>
      <w:bookmarkStart w:id="42" w:name="_Toc18585"/>
      <w:bookmarkStart w:id="43" w:name="_Toc22185"/>
      <w:bookmarkStart w:id="44" w:name="_Toc2918"/>
      <w:r>
        <w:rPr>
          <w:rFonts w:asciiTheme="minorEastAsia" w:hAnsiTheme="minorEastAsia" w:eastAsiaTheme="minorEastAsia"/>
          <w:b/>
          <w:sz w:val="24"/>
        </w:rPr>
        <w:t xml:space="preserve">1.2 </w:t>
      </w:r>
      <w:r>
        <w:rPr>
          <w:rFonts w:hint="eastAsia" w:asciiTheme="minorEastAsia" w:hAnsiTheme="minorEastAsia" w:eastAsiaTheme="minorEastAsia"/>
          <w:b/>
          <w:sz w:val="24"/>
        </w:rPr>
        <w:t>标的</w:t>
      </w:r>
      <w:bookmarkEnd w:id="40"/>
      <w:bookmarkEnd w:id="41"/>
      <w:bookmarkEnd w:id="42"/>
      <w:bookmarkEnd w:id="43"/>
      <w:bookmarkEnd w:id="44"/>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1.2.1 </w:t>
      </w:r>
      <w:r>
        <w:rPr>
          <w:rFonts w:hint="eastAsia" w:asciiTheme="minorEastAsia" w:hAnsiTheme="minorEastAsia" w:eastAsiaTheme="minorEastAsia"/>
          <w:sz w:val="24"/>
        </w:rPr>
        <w:t>标的</w:t>
      </w:r>
      <w:r>
        <w:rPr>
          <w:rFonts w:asciiTheme="minorEastAsia" w:hAnsiTheme="minorEastAsia" w:eastAsiaTheme="minorEastAsia"/>
          <w:sz w:val="24"/>
        </w:rPr>
        <w:t>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1.2.2 </w:t>
      </w:r>
      <w:r>
        <w:rPr>
          <w:rFonts w:hint="eastAsia" w:asciiTheme="minorEastAsia" w:hAnsiTheme="minorEastAsia" w:eastAsiaTheme="minorEastAsia"/>
          <w:sz w:val="24"/>
        </w:rPr>
        <w:t>标的</w:t>
      </w:r>
      <w:r>
        <w:rPr>
          <w:rFonts w:asciiTheme="minorEastAsia" w:hAnsiTheme="minorEastAsia" w:eastAsiaTheme="minorEastAsia"/>
          <w:sz w:val="24"/>
        </w:rPr>
        <w:t>数量：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标的质量：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18"/>
      </w:pPr>
      <w:r>
        <w:rPr>
          <w:rFonts w:hint="eastAsia"/>
        </w:rPr>
        <w:t>1.2.4</w:t>
      </w:r>
      <w:r>
        <w:t xml:space="preserve"> </w:t>
      </w:r>
      <w:r>
        <w:rPr>
          <w:rFonts w:hint="eastAsia"/>
        </w:rPr>
        <w:t>根据报批需要，本项目方案以乡镇街道为单位，分为若干个可研报告（不多于5个），中标单位须无条件执行。</w:t>
      </w:r>
    </w:p>
    <w:p>
      <w:pPr>
        <w:spacing w:line="560" w:lineRule="exact"/>
        <w:ind w:firstLine="482" w:firstLineChars="200"/>
        <w:outlineLvl w:val="0"/>
        <w:rPr>
          <w:rFonts w:asciiTheme="minorEastAsia" w:hAnsiTheme="minorEastAsia" w:eastAsiaTheme="minorEastAsia"/>
          <w:b/>
          <w:sz w:val="24"/>
        </w:rPr>
      </w:pPr>
      <w:bookmarkStart w:id="45" w:name="_Toc13918"/>
      <w:bookmarkStart w:id="46" w:name="_Toc21124"/>
      <w:bookmarkStart w:id="47" w:name="_Toc5635"/>
      <w:bookmarkStart w:id="48" w:name="_Toc4929"/>
      <w:bookmarkStart w:id="49" w:name="_Toc1386"/>
      <w:r>
        <w:rPr>
          <w:rFonts w:asciiTheme="minorEastAsia" w:hAnsiTheme="minorEastAsia" w:eastAsiaTheme="minorEastAsia"/>
          <w:b/>
          <w:sz w:val="24"/>
        </w:rPr>
        <w:t>1.3 价款</w:t>
      </w:r>
      <w:bookmarkEnd w:id="45"/>
      <w:bookmarkEnd w:id="46"/>
      <w:bookmarkEnd w:id="47"/>
      <w:bookmarkEnd w:id="48"/>
      <w:bookmarkEnd w:id="4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w:t>
      </w:r>
      <w:r>
        <w:rPr>
          <w:rFonts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分项名称</w:t>
            </w:r>
          </w:p>
        </w:tc>
        <w:tc>
          <w:tcPr>
            <w:tcW w:w="2552" w:type="dxa"/>
            <w:vAlign w:val="center"/>
          </w:tcPr>
          <w:p>
            <w:pPr>
              <w:pStyle w:val="320"/>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Theme="minorEastAsia" w:hAnsiTheme="minorEastAsia" w:eastAsiaTheme="minorEastAsia"/>
                <w:sz w:val="24"/>
                <w:szCs w:val="24"/>
              </w:rPr>
            </w:pP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Theme="minorEastAsia" w:hAnsiTheme="minorEastAsia" w:eastAsiaTheme="minorEastAsia"/>
                <w:sz w:val="24"/>
                <w:szCs w:val="24"/>
              </w:rPr>
            </w:pP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Theme="minorEastAsia" w:hAnsiTheme="minorEastAsia" w:eastAsiaTheme="minorEastAsia"/>
                <w:sz w:val="24"/>
                <w:szCs w:val="24"/>
              </w:rPr>
            </w:pP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Theme="minorEastAsia" w:hAnsiTheme="minorEastAsia" w:eastAsiaTheme="minorEastAsia"/>
                <w:sz w:val="24"/>
                <w:szCs w:val="24"/>
              </w:rPr>
            </w:pP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0"/>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bl>
    <w:p>
      <w:pPr>
        <w:spacing w:line="560" w:lineRule="exact"/>
        <w:ind w:firstLine="482" w:firstLineChars="200"/>
        <w:outlineLvl w:val="0"/>
        <w:rPr>
          <w:rFonts w:hint="eastAsia" w:asciiTheme="minorEastAsia" w:hAnsiTheme="minorEastAsia" w:eastAsiaTheme="minorEastAsia"/>
          <w:b/>
          <w:sz w:val="24"/>
          <w:lang w:eastAsia="zh-CN"/>
        </w:rPr>
      </w:pPr>
      <w:bookmarkStart w:id="50" w:name="_Toc3654"/>
      <w:bookmarkStart w:id="51" w:name="_Toc30506"/>
      <w:bookmarkStart w:id="52" w:name="_Toc26916"/>
      <w:bookmarkStart w:id="53" w:name="_Toc30158"/>
      <w:bookmarkStart w:id="54" w:name="_Toc14993"/>
      <w:r>
        <w:rPr>
          <w:rFonts w:asciiTheme="minorEastAsia" w:hAnsiTheme="minorEastAsia" w:eastAsiaTheme="minorEastAsia"/>
          <w:b/>
          <w:sz w:val="24"/>
        </w:rPr>
        <w:t>1.4 付款方式和发票开具方式</w:t>
      </w:r>
      <w:bookmarkEnd w:id="50"/>
      <w:bookmarkEnd w:id="51"/>
      <w:bookmarkEnd w:id="52"/>
      <w:bookmarkEnd w:id="53"/>
      <w:bookmarkEnd w:id="54"/>
      <w:r>
        <w:rPr>
          <w:rFonts w:hint="eastAsia" w:asciiTheme="minorEastAsia" w:hAnsiTheme="minorEastAsia" w:eastAsiaTheme="minorEastAsia"/>
          <w:b/>
          <w:sz w:val="24"/>
          <w:lang w:eastAsia="zh-CN"/>
        </w:rPr>
        <w:t>（</w:t>
      </w:r>
      <w:r>
        <w:rPr>
          <w:rFonts w:hint="eastAsia" w:asciiTheme="minorEastAsia" w:hAnsiTheme="minorEastAsia" w:eastAsiaTheme="minorEastAsia"/>
          <w:b/>
          <w:sz w:val="24"/>
          <w:lang w:val="en-US" w:eastAsia="zh-CN"/>
        </w:rPr>
        <w:t>范本参考</w:t>
      </w:r>
      <w:r>
        <w:rPr>
          <w:rFonts w:hint="eastAsia" w:asciiTheme="minorEastAsia" w:hAnsiTheme="minorEastAsia" w:eastAsiaTheme="minorEastAsia"/>
          <w:b/>
          <w:sz w:val="24"/>
          <w:lang w:eastAsia="zh-CN"/>
        </w:rPr>
        <w:t>）</w:t>
      </w:r>
    </w:p>
    <w:p>
      <w:pPr>
        <w:pStyle w:val="958"/>
        <w:spacing w:before="0" w:beforeAutospacing="0" w:after="0" w:afterAutospacing="0" w:line="360" w:lineRule="auto"/>
        <w:ind w:firstLine="480"/>
        <w:rPr>
          <w:rFonts w:cs="Times New Roman" w:asciiTheme="minorEastAsia" w:hAnsiTheme="minorEastAsia" w:eastAsiaTheme="minorEastAsia"/>
        </w:rPr>
      </w:pPr>
      <w:r>
        <w:rPr>
          <w:rFonts w:cs="Times New Roman" w:asciiTheme="minorEastAsia" w:hAnsiTheme="minorEastAsia" w:eastAsiaTheme="minorEastAsia"/>
        </w:rPr>
        <w:t>1.4.1</w:t>
      </w:r>
      <w:r>
        <w:rPr>
          <w:rFonts w:hint="eastAsia" w:cs="Times New Roman" w:asciiTheme="minorEastAsia" w:hAnsiTheme="minorEastAsia" w:eastAsiaTheme="minorEastAsia"/>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Theme="minorEastAsia" w:hAnsiTheme="minorEastAsia" w:eastAsiaTheme="minorEastAsia"/>
          <w:color w:val="558ED5" w:themeColor="text2" w:themeTint="99"/>
          <w:sz w:val="24"/>
          <w14:textFill>
            <w14:solidFill>
              <w14:schemeClr w14:val="tx2">
                <w14:lumMod w14:val="60000"/>
                <w14:lumOff w14:val="40000"/>
              </w14:schemeClr>
            </w14:solidFill>
          </w14:textFill>
        </w:rPr>
      </w:pPr>
      <w:r>
        <w:rPr>
          <w:rFonts w:asciiTheme="minorEastAsia" w:hAnsiTheme="minorEastAsia" w:eastAsiaTheme="minorEastAsia"/>
          <w:sz w:val="24"/>
        </w:rPr>
        <w:t xml:space="preserve">1.4.2 </w:t>
      </w:r>
      <w:r>
        <w:rPr>
          <w:rFonts w:hint="eastAsia" w:asciiTheme="minorEastAsia" w:hAnsiTheme="minorEastAsia" w:eastAsiaTheme="minorEastAsia"/>
          <w:color w:val="000000" w:themeColor="text1"/>
          <w:sz w:val="24"/>
          <w14:textFill>
            <w14:solidFill>
              <w14:schemeClr w14:val="tx1"/>
            </w14:solidFill>
          </w14:textFill>
        </w:rPr>
        <w:t>合同预付款比例为合同金额的</w:t>
      </w:r>
      <w:r>
        <w:rPr>
          <w:rFonts w:hint="eastAsia" w:asciiTheme="minorEastAsia" w:hAnsiTheme="minorEastAsia" w:eastAsiaTheme="minorEastAsia"/>
          <w:color w:val="000000" w:themeColor="text1"/>
          <w:sz w:val="24"/>
          <w:lang w:val="en-US" w:eastAsia="zh-CN"/>
          <w14:textFill>
            <w14:solidFill>
              <w14:schemeClr w14:val="tx1"/>
            </w14:solidFill>
          </w14:textFill>
        </w:rPr>
        <w:t>6</w:t>
      </w:r>
      <w:r>
        <w:rPr>
          <w:rFonts w:asciiTheme="minorEastAsia" w:hAnsiTheme="minorEastAsia" w:eastAsiaTheme="minorEastAsia"/>
          <w:color w:val="000000" w:themeColor="text1"/>
          <w:sz w:val="24"/>
          <w14:textFill>
            <w14:solidFill>
              <w14:schemeClr w14:val="tx1"/>
            </w14:solidFill>
          </w14:textFill>
        </w:rPr>
        <w:t>0％；项目分年安排预算的，每年预付款比例为项目年度计划支付资金额的</w:t>
      </w:r>
      <w:r>
        <w:rPr>
          <w:rFonts w:hint="eastAsia" w:asciiTheme="minorEastAsia" w:hAnsiTheme="minorEastAsia" w:eastAsiaTheme="minorEastAsia"/>
          <w:color w:val="000000" w:themeColor="text1"/>
          <w:sz w:val="24"/>
          <w:lang w:val="en-US" w:eastAsia="zh-CN"/>
          <w14:textFill>
            <w14:solidFill>
              <w14:schemeClr w14:val="tx1"/>
            </w14:solidFill>
          </w14:textFill>
        </w:rPr>
        <w:t>6</w:t>
      </w:r>
      <w:r>
        <w:rPr>
          <w:rFonts w:asciiTheme="minorEastAsia" w:hAnsiTheme="minorEastAsia" w:eastAsiaTheme="minorEastAsia"/>
          <w:color w:val="000000" w:themeColor="text1"/>
          <w:sz w:val="24"/>
          <w14:textFill>
            <w14:solidFill>
              <w14:schemeClr w14:val="tx1"/>
            </w14:solidFill>
          </w14:textFill>
        </w:rPr>
        <w:t>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w:t>
      </w:r>
      <w:r>
        <w:rPr>
          <w:rFonts w:hint="eastAsia" w:asciiTheme="minorEastAsia" w:hAnsiTheme="minorEastAsia" w:eastAsiaTheme="minorEastAsia"/>
          <w:color w:val="000000" w:themeColor="text1"/>
          <w:sz w:val="24"/>
          <w14:textFill>
            <w14:solidFill>
              <w14:schemeClr w14:val="tx1"/>
            </w14:solidFill>
          </w14:textFill>
        </w:rPr>
        <w:t>政府采购工程以及与工程建设有关的货物、服务，采用招标方式采购的，预付款从其相关规定。乙方可登录政采云前台大厅选择金融服务</w:t>
      </w:r>
      <w:r>
        <w:rPr>
          <w:rFonts w:asciiTheme="minorEastAsia" w:hAnsiTheme="minorEastAsia" w:eastAsiaTheme="minorEastAsia"/>
          <w:color w:val="000000" w:themeColor="text1"/>
          <w:sz w:val="24"/>
          <w14:textFill>
            <w14:solidFill>
              <w14:schemeClr w14:val="tx1"/>
            </w14:solidFill>
          </w14:textFill>
        </w:rPr>
        <w:t xml:space="preserve"> - </w:t>
      </w:r>
      <w:r>
        <w:rPr>
          <w:rFonts w:hint="eastAsia" w:asciiTheme="minorEastAsia" w:hAnsiTheme="minorEastAsia" w:eastAsiaTheme="minorEastAsia"/>
          <w:color w:val="000000" w:themeColor="text1"/>
          <w:sz w:val="24"/>
          <w14:textFill>
            <w14:solidFill>
              <w14:schemeClr w14:val="tx1"/>
            </w14:solidFill>
          </w14:textFill>
        </w:rPr>
        <w:t>【保函保险服务】出具预付款保函，具体步骤：选择产品—填写供应商信息—选择中标项目—确认信息—等待保险</w:t>
      </w:r>
      <w:r>
        <w:rPr>
          <w:rFonts w:asciiTheme="minorEastAsia" w:hAnsiTheme="minorEastAsia" w:eastAsiaTheme="minorEastAsia"/>
          <w:color w:val="000000" w:themeColor="text1"/>
          <w:sz w:val="24"/>
          <w14:textFill>
            <w14:solidFill>
              <w14:schemeClr w14:val="tx1"/>
            </w14:solidFill>
          </w14:textFill>
        </w:rPr>
        <w:t>/保函受理—确认保单—支付保费—成功出单。政</w:t>
      </w:r>
      <w:r>
        <w:rPr>
          <w:rFonts w:hint="eastAsia" w:asciiTheme="minorEastAsia" w:hAnsiTheme="minorEastAsia" w:eastAsiaTheme="minorEastAsia"/>
          <w:color w:val="000000" w:themeColor="text1"/>
          <w:sz w:val="24"/>
          <w14:textFill>
            <w14:solidFill>
              <w14:schemeClr w14:val="tx1"/>
            </w14:solidFill>
          </w14:textFill>
        </w:rPr>
        <w:t>采云金融专线</w:t>
      </w:r>
      <w:r>
        <w:rPr>
          <w:rFonts w:asciiTheme="minorEastAsia" w:hAnsiTheme="minorEastAsia" w:eastAsiaTheme="minorEastAsia"/>
          <w:color w:val="000000" w:themeColor="text1"/>
          <w:sz w:val="24"/>
          <w14:textFill>
            <w14:solidFill>
              <w14:schemeClr w14:val="tx1"/>
            </w14:solidFill>
          </w14:textFill>
        </w:rPr>
        <w:t>400-903-9583。</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甲方迟延支付乙方款项的，向乙方支付逾期利息。双方可以在合同专用条款中约定逾期利率，约定利率不得低于合同订立时</w:t>
      </w:r>
      <w:r>
        <w:rPr>
          <w:rFonts w:asciiTheme="minorEastAsia" w:hAnsiTheme="minorEastAsia" w:eastAsiaTheme="minorEastAsia"/>
          <w:sz w:val="24"/>
        </w:rPr>
        <w:t>1年</w:t>
      </w:r>
      <w:r>
        <w:rPr>
          <w:rFonts w:hint="eastAsia" w:asciiTheme="minorEastAsia" w:hAnsiTheme="minorEastAsia" w:eastAsiaTheme="minorEastAsia"/>
          <w:sz w:val="24"/>
        </w:rPr>
        <w:t>期贷款市场报价利率；未作约定的，按照每日利率万分之五支付逾期利息。</w:t>
      </w:r>
    </w:p>
    <w:p>
      <w:pPr>
        <w:spacing w:line="560" w:lineRule="exact"/>
        <w:ind w:firstLine="480" w:firstLineChars="200"/>
        <w:outlineLvl w:val="0"/>
        <w:rPr>
          <w:rFonts w:asciiTheme="minorEastAsia" w:hAnsiTheme="minorEastAsia" w:eastAsiaTheme="minorEastAsia"/>
          <w:sz w:val="24"/>
        </w:rPr>
      </w:pPr>
      <w:r>
        <w:rPr>
          <w:rFonts w:asciiTheme="minorEastAsia" w:hAnsiTheme="minorEastAsia" w:eastAsiaTheme="minorEastAsia"/>
          <w:sz w:val="24"/>
        </w:rPr>
        <w:t>1.4.4资金支付的方式、时间和条件详见</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outlineLvl w:val="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sz w:val="24"/>
        </w:rPr>
        <w:t>1.4.5</w:t>
      </w:r>
      <w:r>
        <w:rPr>
          <w:rFonts w:hint="eastAsia" w:asciiTheme="minorEastAsia" w:hAnsiTheme="minorEastAsia" w:eastAsiaTheme="minorEastAsia"/>
          <w:color w:val="000000" w:themeColor="text1"/>
          <w:sz w:val="24"/>
          <w14:textFill>
            <w14:solidFill>
              <w14:schemeClr w14:val="tx1"/>
            </w14:solidFill>
          </w14:textFill>
        </w:rPr>
        <w:t>乙方</w:t>
      </w:r>
      <w:r>
        <w:rPr>
          <w:rFonts w:asciiTheme="minorEastAsia" w:hAnsiTheme="minorEastAsia" w:eastAsiaTheme="minorEastAsia"/>
          <w:color w:val="000000" w:themeColor="text1"/>
          <w:sz w:val="24"/>
          <w14:textFill>
            <w14:solidFill>
              <w14:schemeClr w14:val="tx1"/>
            </w14:solidFill>
          </w14:textFill>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Theme="minorEastAsia" w:hAnsiTheme="minorEastAsia" w:eastAsiaTheme="minorEastAsia"/>
          <w:color w:val="000000" w:themeColor="text1"/>
          <w:sz w:val="24"/>
          <w14:textFill>
            <w14:solidFill>
              <w14:schemeClr w14:val="tx1"/>
            </w14:solidFill>
          </w14:textFill>
        </w:rPr>
        <w:t>杭财采监〔</w:t>
      </w:r>
      <w:r>
        <w:rPr>
          <w:rFonts w:asciiTheme="minorEastAsia" w:hAnsiTheme="minorEastAsia" w:eastAsiaTheme="minorEastAsia"/>
          <w:color w:val="000000" w:themeColor="text1"/>
          <w:sz w:val="24"/>
          <w14:textFill>
            <w14:solidFill>
              <w14:schemeClr w14:val="tx1"/>
            </w14:solidFill>
          </w14:textFill>
        </w:rPr>
        <w:t>2021〕17号）。</w:t>
      </w:r>
    </w:p>
    <w:p>
      <w:pPr>
        <w:spacing w:line="560" w:lineRule="exact"/>
        <w:ind w:firstLine="482" w:firstLineChars="200"/>
        <w:outlineLvl w:val="0"/>
        <w:rPr>
          <w:rFonts w:asciiTheme="minorEastAsia" w:hAnsiTheme="minorEastAsia" w:eastAsiaTheme="minorEastAsia"/>
          <w:b/>
          <w:sz w:val="24"/>
        </w:rPr>
      </w:pPr>
      <w:bookmarkStart w:id="55" w:name="_Toc4760"/>
      <w:bookmarkStart w:id="56" w:name="_Toc8772"/>
      <w:bookmarkStart w:id="57" w:name="_Toc11108"/>
      <w:bookmarkStart w:id="58" w:name="_Toc3625"/>
      <w:bookmarkStart w:id="59" w:name="_Toc31421"/>
      <w:r>
        <w:rPr>
          <w:rFonts w:asciiTheme="minorEastAsia" w:hAnsiTheme="minorEastAsia" w:eastAsiaTheme="minorEastAsia"/>
          <w:b/>
          <w:sz w:val="24"/>
        </w:rPr>
        <w:t>1.5 履行期限</w:t>
      </w:r>
      <w:r>
        <w:rPr>
          <w:rFonts w:hint="eastAsia" w:asciiTheme="minorEastAsia" w:hAnsiTheme="minorEastAsia" w:eastAsiaTheme="minorEastAsia"/>
          <w:b/>
          <w:sz w:val="24"/>
        </w:rPr>
        <w:t>、地点和方式</w:t>
      </w:r>
      <w:bookmarkEnd w:id="55"/>
      <w:bookmarkEnd w:id="56"/>
      <w:bookmarkEnd w:id="57"/>
      <w:bookmarkEnd w:id="58"/>
      <w:bookmarkEnd w:id="59"/>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1.5.1 </w:t>
      </w:r>
      <w:r>
        <w:rPr>
          <w:rFonts w:hint="eastAsia" w:asciiTheme="minorEastAsia" w:hAnsiTheme="minorEastAsia" w:eastAsiaTheme="minorEastAsia"/>
          <w:sz w:val="24"/>
        </w:rPr>
        <w:t>履行期限</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履行地点</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1.5.3 </w:t>
      </w:r>
      <w:r>
        <w:rPr>
          <w:rFonts w:hint="eastAsia" w:asciiTheme="minorEastAsia" w:hAnsiTheme="minorEastAsia" w:eastAsiaTheme="minorEastAsia"/>
          <w:sz w:val="24"/>
        </w:rPr>
        <w:t>履行方式：</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sz w:val="24"/>
          <w:u w:val="single"/>
        </w:rPr>
      </w:pPr>
      <w:bookmarkStart w:id="60" w:name="_Toc24662"/>
      <w:bookmarkStart w:id="61" w:name="_Toc5698"/>
      <w:bookmarkStart w:id="62" w:name="_Toc8586"/>
      <w:bookmarkStart w:id="63" w:name="_Toc2375"/>
      <w:bookmarkStart w:id="64" w:name="_Toc3079"/>
      <w:r>
        <w:rPr>
          <w:rFonts w:asciiTheme="minorEastAsia" w:hAnsiTheme="minorEastAsia" w:eastAsiaTheme="minorEastAsia"/>
          <w:b/>
          <w:sz w:val="24"/>
        </w:rPr>
        <w:t xml:space="preserve">1.6 </w:t>
      </w:r>
      <w:r>
        <w:rPr>
          <w:rFonts w:hint="eastAsia" w:asciiTheme="minorEastAsia" w:hAnsiTheme="minorEastAsia" w:eastAsiaTheme="minorEastAsia"/>
          <w:b/>
          <w:sz w:val="24"/>
        </w:rPr>
        <w:t>违约责任</w:t>
      </w:r>
      <w:bookmarkEnd w:id="60"/>
      <w:bookmarkEnd w:id="61"/>
      <w:bookmarkEnd w:id="62"/>
      <w:bookmarkEnd w:id="63"/>
      <w:bookmarkEnd w:id="6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1.6.1 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w:t>
      </w:r>
      <w:r>
        <w:rPr>
          <w:rFonts w:hint="eastAsia" w:asciiTheme="minorEastAsia" w:hAnsiTheme="minorEastAsia" w:eastAsiaTheme="minorEastAsia"/>
          <w:sz w:val="24"/>
        </w:rPr>
        <w:t>履行</w:t>
      </w:r>
      <w:r>
        <w:rPr>
          <w:rFonts w:asciiTheme="minorEastAsia" w:hAnsiTheme="minorEastAsia" w:eastAsiaTheme="minorEastAsia"/>
          <w:sz w:val="24"/>
        </w:rPr>
        <w:t>，那么甲方可要求乙方支付违约金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履行</w:t>
      </w:r>
      <w:r>
        <w:rPr>
          <w:rFonts w:asciiTheme="minorEastAsia" w:hAnsiTheme="minorEastAsia" w:eastAsiaTheme="minorEastAsia"/>
          <w:sz w:val="24"/>
        </w:rPr>
        <w:t>一日的应提供而未</w:t>
      </w:r>
      <w:r>
        <w:rPr>
          <w:rFonts w:hint="eastAsia" w:asciiTheme="minorEastAsia" w:hAnsiTheme="minorEastAsia" w:eastAsiaTheme="minorEastAsia"/>
          <w:sz w:val="24"/>
        </w:rPr>
        <w:t>提供</w:t>
      </w:r>
      <w:r>
        <w:rPr>
          <w:rFonts w:asciiTheme="minorEastAsia" w:hAnsiTheme="minorEastAsia" w:eastAsiaTheme="minorEastAsia"/>
          <w:sz w:val="24"/>
        </w:rPr>
        <w:t>服务价格的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履行</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1.6.2 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1.6.4 </w:t>
      </w:r>
      <w:r>
        <w:rPr>
          <w:rFonts w:hint="eastAsia" w:asciiTheme="minorEastAsia" w:hAnsiTheme="minorEastAsia" w:eastAsiaTheme="minor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1.6.5 </w:t>
      </w:r>
      <w:r>
        <w:rPr>
          <w:rFonts w:hint="eastAsia" w:asciiTheme="minorEastAsia" w:hAnsiTheme="minorEastAsia" w:eastAsiaTheme="minor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eastAsiaTheme="minorEastAsia"/>
        </w:rPr>
      </w:pPr>
      <w:r>
        <w:rPr>
          <w:rFonts w:asciiTheme="minorEastAsia" w:hAnsiTheme="minorEastAsia" w:eastAsiaTheme="minorEastAsia"/>
          <w:sz w:val="24"/>
        </w:rPr>
        <w:t xml:space="preserve">1.6.6 </w:t>
      </w:r>
      <w:r>
        <w:rPr>
          <w:rFonts w:hint="eastAsia" w:asciiTheme="minorEastAsia" w:hAnsiTheme="minorEastAsia" w:eastAsiaTheme="minorEastAsia"/>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right="-420" w:rightChars="-200" w:firstLine="240" w:firstLineChars="100"/>
        <w:rPr>
          <w:rFonts w:asciiTheme="minorEastAsia" w:hAnsiTheme="minorEastAsia" w:eastAsiaTheme="minorEastAsia"/>
        </w:rPr>
      </w:pPr>
      <w:r>
        <w:rPr>
          <w:rFonts w:asciiTheme="minorEastAsia" w:hAnsiTheme="minorEastAsia" w:eastAsiaTheme="minorEastAsia"/>
          <w:sz w:val="24"/>
        </w:rPr>
        <w:t>1.6.7违约责任</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另有约定的，从其约定。</w:t>
      </w:r>
    </w:p>
    <w:p>
      <w:pPr>
        <w:spacing w:line="560" w:lineRule="exact"/>
        <w:ind w:firstLine="482" w:firstLineChars="200"/>
        <w:outlineLvl w:val="0"/>
        <w:rPr>
          <w:rFonts w:asciiTheme="minorEastAsia" w:hAnsiTheme="minorEastAsia" w:eastAsiaTheme="minorEastAsia"/>
          <w:b/>
          <w:sz w:val="24"/>
        </w:rPr>
      </w:pPr>
      <w:bookmarkStart w:id="65" w:name="_Toc18683"/>
      <w:bookmarkStart w:id="66" w:name="_Toc30329"/>
      <w:bookmarkStart w:id="67" w:name="_Toc26807"/>
      <w:bookmarkStart w:id="68" w:name="_Toc32454"/>
      <w:bookmarkStart w:id="69" w:name="_Toc9497"/>
      <w:r>
        <w:rPr>
          <w:rFonts w:asciiTheme="minorEastAsia" w:hAnsiTheme="minorEastAsia" w:eastAsiaTheme="minorEastAsia"/>
          <w:b/>
          <w:sz w:val="24"/>
        </w:rPr>
        <w:t xml:space="preserve">1.7 </w:t>
      </w:r>
      <w:r>
        <w:rPr>
          <w:rFonts w:hint="eastAsia" w:asciiTheme="minorEastAsia" w:hAnsiTheme="minorEastAsia" w:eastAsiaTheme="minorEastAsia"/>
          <w:b/>
          <w:sz w:val="24"/>
        </w:rPr>
        <w:t>合同</w:t>
      </w:r>
      <w:r>
        <w:rPr>
          <w:rFonts w:asciiTheme="minorEastAsia" w:hAnsiTheme="minorEastAsia" w:eastAsiaTheme="minorEastAsia"/>
          <w:b/>
          <w:sz w:val="24"/>
        </w:rPr>
        <w:t>争议的解决</w:t>
      </w:r>
      <w:bookmarkEnd w:id="65"/>
      <w:bookmarkEnd w:id="66"/>
      <w:bookmarkEnd w:id="67"/>
      <w:bookmarkEnd w:id="68"/>
      <w:bookmarkEnd w:id="69"/>
    </w:p>
    <w:p>
      <w:pPr>
        <w:spacing w:line="560" w:lineRule="exact"/>
        <w:ind w:left="-61" w:leftChars="-29" w:right="-420" w:rightChars="-200" w:firstLine="240" w:firstLineChars="100"/>
        <w:rPr>
          <w:rFonts w:asciiTheme="minorEastAsia" w:hAnsiTheme="minorEastAsia" w:eastAsiaTheme="minorEastAsia"/>
          <w:sz w:val="24"/>
        </w:rPr>
      </w:pPr>
      <w:r>
        <w:rPr>
          <w:rFonts w:hint="eastAsia" w:asciiTheme="minorEastAsia" w:hAnsiTheme="minorEastAsia" w:eastAsiaTheme="minorEastAsia"/>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sz w:val="24"/>
          <w:u w:val="single"/>
        </w:rPr>
        <w:t xml:space="preserve"> 合同专用条款  </w:t>
      </w:r>
      <w:r>
        <w:rPr>
          <w:rFonts w:hint="eastAsia" w:asciiTheme="minorEastAsia" w:hAnsiTheme="minorEastAsia" w:eastAsiaTheme="minorEastAsia"/>
          <w:sz w:val="24"/>
        </w:rPr>
        <w:t>条款规定的方式解决：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将争议提交</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仲裁委员会依申请仲裁时其现行有效的仲裁规则裁决；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向</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人民法院起诉。</w:t>
      </w:r>
    </w:p>
    <w:p>
      <w:pPr>
        <w:spacing w:line="560" w:lineRule="exact"/>
        <w:ind w:firstLine="241" w:firstLineChars="100"/>
        <w:outlineLvl w:val="0"/>
        <w:rPr>
          <w:rFonts w:asciiTheme="minorEastAsia" w:hAnsiTheme="minorEastAsia" w:eastAsiaTheme="minorEastAsia"/>
          <w:b/>
          <w:sz w:val="24"/>
        </w:rPr>
      </w:pPr>
      <w:bookmarkStart w:id="70" w:name="_Toc12273"/>
      <w:bookmarkStart w:id="71" w:name="_Toc15827"/>
      <w:bookmarkStart w:id="72" w:name="_Toc23784"/>
      <w:bookmarkStart w:id="73" w:name="_Toc26227"/>
      <w:bookmarkStart w:id="74" w:name="_Toc16417"/>
      <w:r>
        <w:rPr>
          <w:rFonts w:asciiTheme="minorEastAsia" w:hAnsiTheme="minorEastAsia" w:eastAsiaTheme="minorEastAsia"/>
          <w:b/>
          <w:sz w:val="24"/>
        </w:rPr>
        <w:t>1.8 合同生效</w:t>
      </w:r>
      <w:bookmarkEnd w:id="70"/>
      <w:bookmarkEnd w:id="71"/>
      <w:bookmarkEnd w:id="72"/>
      <w:bookmarkEnd w:id="73"/>
      <w:bookmarkEnd w:id="74"/>
    </w:p>
    <w:p>
      <w:pPr>
        <w:spacing w:line="5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双方当事人盖章或者签字时</w:t>
      </w:r>
      <w:r>
        <w:rPr>
          <w:rFonts w:asciiTheme="minorEastAsia" w:hAnsiTheme="minorEastAsia" w:eastAsiaTheme="minorEastAsia"/>
          <w:sz w:val="24"/>
        </w:rPr>
        <w:t>生效。</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b/>
          <w:sz w:val="24"/>
          <w:lang w:val="zh-CN"/>
        </w:rPr>
        <w:t>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r>
        <w:rPr>
          <w:rFonts w:asciiTheme="minorEastAsia" w:hAnsiTheme="minorEastAsia" w:eastAsiaTheme="minorEastAsia"/>
          <w:b/>
          <w:sz w:val="24"/>
          <w:lang w:val="zh-CN"/>
        </w:rPr>
        <w:t xml:space="preserve">      乙方</w:t>
      </w:r>
      <w:r>
        <w:rPr>
          <w:rFonts w:hint="eastAsia"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统一社会信用代码：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统一社会信用代码或身份证号码：</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住所：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住所：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法定代表人或</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法定代表人或</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授权代表（签字）：</w:t>
      </w:r>
      <w:r>
        <w:rPr>
          <w:rFonts w:asciiTheme="minorEastAsia" w:hAnsiTheme="minorEastAsia" w:eastAsiaTheme="minorEastAsia"/>
          <w:sz w:val="24"/>
          <w:lang w:val="zh-CN"/>
        </w:rPr>
        <w:t xml:space="preserve">                       授权代表（签字）: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联系人：</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联系人：</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约定送达地址：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约定送达地址：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邮政编码：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邮政编码：</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电话</w:t>
      </w:r>
      <w:r>
        <w:rPr>
          <w:rFonts w:asciiTheme="minorEastAsia" w:hAnsiTheme="minorEastAsia" w:eastAsiaTheme="minorEastAsia"/>
          <w:sz w:val="24"/>
          <w:lang w:val="zh-CN"/>
        </w:rPr>
        <w:t xml:space="preserve">:                                    电话: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lang w:val="zh-CN"/>
        </w:rPr>
        <w:t>电子邮箱：</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电子邮箱：</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开户银行：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开户名称：</w:t>
      </w:r>
      <w:r>
        <w:rPr>
          <w:rFonts w:asciiTheme="minorEastAsia" w:hAnsiTheme="minorEastAsia" w:eastAsiaTheme="minorEastAsia"/>
          <w:sz w:val="24"/>
        </w:rPr>
        <w:t xml:space="preserve">                               开户名称：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开户账号：</w:t>
      </w:r>
      <w:r>
        <w:rPr>
          <w:rFonts w:asciiTheme="minorEastAsia" w:hAnsiTheme="minorEastAsia" w:eastAsiaTheme="minorEastAsia"/>
          <w:sz w:val="24"/>
          <w:lang w:val="zh-CN"/>
        </w:rPr>
        <w:t xml:space="preserve">                               </w:t>
      </w:r>
      <w:r>
        <w:rPr>
          <w:rFonts w:hint="eastAsia" w:asciiTheme="minorEastAsia" w:hAnsiTheme="minorEastAsia" w:eastAsiaTheme="minorEastAsia"/>
          <w:sz w:val="24"/>
        </w:rPr>
        <w:t>开户账号：</w:t>
      </w:r>
    </w:p>
    <w:p>
      <w:pPr>
        <w:widowControl/>
        <w:spacing w:line="560" w:lineRule="exact"/>
        <w:jc w:val="left"/>
        <w:rPr>
          <w:rFonts w:asciiTheme="minorEastAsia" w:hAnsiTheme="minorEastAsia" w:eastAsiaTheme="minorEastAsia"/>
          <w:b/>
          <w:sz w:val="24"/>
        </w:rPr>
      </w:pPr>
    </w:p>
    <w:p>
      <w:pPr>
        <w:pStyle w:val="701"/>
        <w:spacing w:line="560" w:lineRule="exact"/>
        <w:ind w:firstLine="482"/>
        <w:jc w:val="center"/>
        <w:rPr>
          <w:rFonts w:asciiTheme="minorEastAsia" w:hAnsiTheme="minorEastAsia" w:eastAsiaTheme="minorEastAsia"/>
          <w:b/>
          <w:szCs w:val="24"/>
        </w:rPr>
      </w:pPr>
      <w:r>
        <w:rPr>
          <w:rFonts w:hint="eastAsia" w:asciiTheme="minorEastAsia" w:hAnsiTheme="minorEastAsia" w:eastAsiaTheme="minorEastAsia"/>
          <w:b/>
          <w:szCs w:val="24"/>
        </w:rPr>
        <w:t>第二部分</w:t>
      </w:r>
      <w:r>
        <w:rPr>
          <w:rFonts w:asciiTheme="minorEastAsia" w:hAnsiTheme="minorEastAsia" w:eastAsiaTheme="minorEastAsia"/>
          <w:b/>
          <w:szCs w:val="24"/>
        </w:rPr>
        <w:t xml:space="preserve"> </w:t>
      </w:r>
      <w:r>
        <w:rPr>
          <w:rFonts w:hint="eastAsia" w:asciiTheme="minorEastAsia" w:hAnsiTheme="minorEastAsia" w:eastAsiaTheme="minorEastAsia"/>
          <w:b/>
          <w:szCs w:val="24"/>
        </w:rPr>
        <w:t>合同一般条款</w:t>
      </w:r>
    </w:p>
    <w:p>
      <w:pPr>
        <w:spacing w:line="560" w:lineRule="exact"/>
        <w:ind w:firstLine="482" w:firstLineChars="200"/>
        <w:outlineLvl w:val="0"/>
        <w:rPr>
          <w:rFonts w:asciiTheme="minorEastAsia" w:hAnsiTheme="minorEastAsia" w:eastAsiaTheme="minorEastAsia"/>
          <w:b/>
          <w:sz w:val="24"/>
        </w:rPr>
      </w:pPr>
      <w:bookmarkStart w:id="75" w:name="_Toc25079"/>
      <w:bookmarkStart w:id="76" w:name="_Toc19680"/>
      <w:bookmarkStart w:id="77" w:name="_Toc31297"/>
      <w:bookmarkStart w:id="78" w:name="_Toc14021"/>
      <w:bookmarkStart w:id="79" w:name="_Toc5228"/>
      <w:r>
        <w:rPr>
          <w:rFonts w:asciiTheme="minorEastAsia" w:hAnsiTheme="minorEastAsia" w:eastAsiaTheme="minorEastAsia"/>
          <w:b/>
          <w:sz w:val="24"/>
        </w:rPr>
        <w:t>2.1 定义</w:t>
      </w:r>
      <w:bookmarkEnd w:id="75"/>
      <w:bookmarkEnd w:id="76"/>
      <w:bookmarkEnd w:id="77"/>
      <w:bookmarkEnd w:id="78"/>
      <w:bookmarkEnd w:id="7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 “合同”系指采购人和中标供应商签订的载明双方当事人所达成的协议，并包括所有的附件、附录和构成合同的其他文件。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2.1.2 “合同价”系指根据合同约定，中标供应商在完全履行合同义务后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采购人应支付给中标供应商的价格。</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2.1.3 “</w:t>
      </w:r>
      <w:r>
        <w:rPr>
          <w:rFonts w:hint="eastAsia" w:asciiTheme="minorEastAsia" w:hAnsiTheme="minorEastAsia" w:eastAsiaTheme="minorEastAsia"/>
          <w:sz w:val="24"/>
        </w:rPr>
        <w:t>服务</w:t>
      </w:r>
      <w:r>
        <w:rPr>
          <w:rFonts w:asciiTheme="minorEastAsia" w:hAnsiTheme="minorEastAsia" w:eastAsiaTheme="minorEastAsia"/>
          <w:sz w:val="24"/>
        </w:rPr>
        <w:t>”系指</w:t>
      </w:r>
      <w:r>
        <w:rPr>
          <w:rFonts w:hint="eastAsia" w:asciiTheme="minorEastAsia" w:hAnsiTheme="minorEastAsia" w:eastAsiaTheme="minorEastAsia"/>
          <w:sz w:val="24"/>
        </w:rPr>
        <w:t>中标供应商</w:t>
      </w:r>
      <w:r>
        <w:rPr>
          <w:rFonts w:asciiTheme="minorEastAsia" w:hAnsiTheme="minorEastAsia" w:eastAsiaTheme="minorEastAsia"/>
          <w:sz w:val="24"/>
        </w:rPr>
        <w:t>根据合同约定应向采购人</w:t>
      </w:r>
      <w:r>
        <w:rPr>
          <w:rFonts w:hint="eastAsia" w:asciiTheme="minorEastAsia" w:hAnsiTheme="minorEastAsia" w:eastAsiaTheme="minorEastAsia"/>
          <w:sz w:val="24"/>
        </w:rPr>
        <w:t>履行</w:t>
      </w:r>
      <w:r>
        <w:rPr>
          <w:rFonts w:asciiTheme="minorEastAsia" w:hAnsiTheme="minorEastAsia" w:eastAsiaTheme="minorEastAsia"/>
          <w:sz w:val="24"/>
        </w:rPr>
        <w:t>的</w:t>
      </w:r>
      <w:r>
        <w:rPr>
          <w:rFonts w:hint="eastAsia" w:asciiTheme="minorEastAsia" w:hAnsiTheme="minorEastAsia" w:eastAsiaTheme="minorEastAsia"/>
          <w:sz w:val="24"/>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 “</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中标供应商</w:t>
      </w:r>
      <w:r>
        <w:rPr>
          <w:rFonts w:asciiTheme="minorEastAsia" w:hAnsiTheme="minorEastAsia" w:eastAsiaTheme="minorEastAsia"/>
          <w:sz w:val="24"/>
        </w:rPr>
        <w:t>签署合同的采购人</w:t>
      </w:r>
      <w:r>
        <w:rPr>
          <w:rFonts w:hint="eastAsia" w:asciiTheme="minorEastAsia" w:hAnsiTheme="minorEastAsia" w:eastAsiaTheme="minorEastAsia"/>
          <w:sz w:val="24"/>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 “乙方”系指根据合同约定提供服务的中标供应商</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2.1.6 “现场”系指合同约定提供服务的地点。</w:t>
      </w:r>
    </w:p>
    <w:p>
      <w:pPr>
        <w:spacing w:line="560" w:lineRule="exact"/>
        <w:ind w:firstLine="482" w:firstLineChars="200"/>
        <w:outlineLvl w:val="0"/>
        <w:rPr>
          <w:rFonts w:asciiTheme="minorEastAsia" w:hAnsiTheme="minorEastAsia" w:eastAsiaTheme="minorEastAsia"/>
          <w:b/>
          <w:sz w:val="24"/>
        </w:rPr>
      </w:pPr>
      <w:bookmarkStart w:id="80" w:name="_Toc23289"/>
      <w:bookmarkStart w:id="81" w:name="_Toc19539"/>
      <w:bookmarkStart w:id="82" w:name="_Toc3769"/>
      <w:bookmarkStart w:id="83" w:name="_Toc31402"/>
      <w:bookmarkStart w:id="84" w:name="_Toc16752"/>
      <w:r>
        <w:rPr>
          <w:rFonts w:asciiTheme="minorEastAsia" w:hAnsiTheme="minorEastAsia" w:eastAsiaTheme="minorEastAsia"/>
          <w:b/>
          <w:sz w:val="24"/>
        </w:rPr>
        <w:t>2.2 技术规范</w:t>
      </w:r>
      <w:bookmarkEnd w:id="80"/>
      <w:bookmarkEnd w:id="81"/>
      <w:bookmarkEnd w:id="82"/>
      <w:bookmarkEnd w:id="83"/>
      <w:bookmarkEnd w:id="84"/>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服务</w:t>
      </w:r>
      <w:r>
        <w:rPr>
          <w:rFonts w:asciiTheme="minorEastAsia" w:hAnsiTheme="minorEastAsia" w:eastAsiaTheme="minorEastAsia"/>
          <w:sz w:val="24"/>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560" w:lineRule="exact"/>
        <w:ind w:firstLine="482" w:firstLineChars="200"/>
        <w:outlineLvl w:val="0"/>
        <w:rPr>
          <w:rFonts w:asciiTheme="minorEastAsia" w:hAnsiTheme="minorEastAsia" w:eastAsiaTheme="minorEastAsia"/>
          <w:b/>
          <w:sz w:val="24"/>
        </w:rPr>
      </w:pPr>
      <w:bookmarkStart w:id="85" w:name="_Toc4133"/>
      <w:bookmarkStart w:id="86" w:name="_Toc12412"/>
      <w:bookmarkStart w:id="87" w:name="_Toc13673"/>
      <w:bookmarkStart w:id="88" w:name="_Toc9161"/>
      <w:bookmarkStart w:id="89" w:name="_Toc27945"/>
      <w:r>
        <w:rPr>
          <w:rFonts w:asciiTheme="minorEastAsia" w:hAnsiTheme="minorEastAsia" w:eastAsiaTheme="minorEastAsia"/>
          <w:b/>
          <w:sz w:val="24"/>
        </w:rPr>
        <w:t>2.3 知识产权</w:t>
      </w:r>
      <w:bookmarkEnd w:id="85"/>
      <w:bookmarkEnd w:id="86"/>
      <w:bookmarkEnd w:id="87"/>
      <w:bookmarkEnd w:id="88"/>
      <w:bookmarkEnd w:id="8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乙</w:t>
      </w:r>
      <w:r>
        <w:rPr>
          <w:rFonts w:asciiTheme="minorEastAsia" w:hAnsiTheme="minorEastAsia" w:eastAsiaTheme="minorEastAsia"/>
          <w:sz w:val="24"/>
        </w:rPr>
        <w:t>方应保证</w:t>
      </w:r>
      <w:r>
        <w:rPr>
          <w:rFonts w:hint="eastAsia" w:asciiTheme="minorEastAsia" w:hAnsiTheme="minorEastAsia" w:eastAsiaTheme="minorEastAsia"/>
          <w:sz w:val="24"/>
        </w:rPr>
        <w:t>其提供的服务</w:t>
      </w:r>
      <w:r>
        <w:rPr>
          <w:rFonts w:asciiTheme="minorEastAsia" w:hAnsiTheme="minorEastAsia" w:eastAsiaTheme="minorEastAsia"/>
          <w:sz w:val="24"/>
        </w:rPr>
        <w:t>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2.3.2 </w:t>
      </w:r>
      <w:r>
        <w:rPr>
          <w:rFonts w:hint="eastAsia" w:asciiTheme="minorEastAsia" w:hAnsiTheme="minorEastAsia" w:eastAsiaTheme="minorEastAsia"/>
          <w:sz w:val="24"/>
        </w:rPr>
        <w:t>合同涉及技术成果的归属和收益的分成办法的，</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履约检查和问题反馈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2.4.1甲方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Theme="minorEastAsia" w:hAnsiTheme="minorEastAsia" w:eastAsiaTheme="minorEastAsia"/>
          <w:b/>
          <w:sz w:val="24"/>
        </w:rPr>
      </w:pPr>
      <w:bookmarkStart w:id="90" w:name="_Toc22011"/>
      <w:bookmarkStart w:id="91" w:name="_Toc26555"/>
      <w:bookmarkStart w:id="92" w:name="_Toc15447"/>
      <w:bookmarkStart w:id="93" w:name="_Toc31233"/>
      <w:bookmarkStart w:id="94" w:name="_Toc32670"/>
      <w:r>
        <w:rPr>
          <w:rFonts w:asciiTheme="minorEastAsia" w:hAnsiTheme="minorEastAsia" w:eastAsiaTheme="minorEastAsia"/>
          <w:b/>
          <w:sz w:val="24"/>
        </w:rPr>
        <w:t>2.5 结算方式和付款条件</w:t>
      </w:r>
      <w:bookmarkEnd w:id="90"/>
      <w:bookmarkEnd w:id="91"/>
      <w:bookmarkEnd w:id="92"/>
      <w:bookmarkEnd w:id="93"/>
      <w:bookmarkEnd w:id="9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95" w:name="_Toc30507"/>
      <w:bookmarkStart w:id="96" w:name="_Toc13154"/>
      <w:bookmarkStart w:id="97" w:name="_Toc13467"/>
      <w:bookmarkStart w:id="98" w:name="_Toc16163"/>
      <w:bookmarkStart w:id="99" w:name="_Toc18990"/>
      <w:r>
        <w:rPr>
          <w:rFonts w:asciiTheme="minorEastAsia" w:hAnsiTheme="minorEastAsia" w:eastAsiaTheme="minorEastAsia"/>
          <w:b/>
          <w:sz w:val="24"/>
        </w:rPr>
        <w:t>2.6 技术资料和保密义务</w:t>
      </w:r>
      <w:bookmarkEnd w:id="95"/>
      <w:bookmarkEnd w:id="96"/>
      <w:bookmarkEnd w:id="97"/>
      <w:bookmarkEnd w:id="98"/>
      <w:bookmarkEnd w:id="9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2.6.1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乙方有义务妥善保管和保护由甲方提供的前款信息和资料等；</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Theme="minorEastAsia" w:hAnsiTheme="minorEastAsia" w:eastAsiaTheme="minorEastAsia"/>
          <w:b/>
          <w:sz w:val="24"/>
        </w:rPr>
      </w:pPr>
      <w:bookmarkStart w:id="100" w:name="_Toc19069"/>
      <w:r>
        <w:rPr>
          <w:rFonts w:asciiTheme="minorEastAsia" w:hAnsiTheme="minorEastAsia" w:eastAsiaTheme="minorEastAsia"/>
          <w:b/>
          <w:sz w:val="24"/>
        </w:rPr>
        <w:t xml:space="preserve">2.7 </w:t>
      </w:r>
      <w:r>
        <w:rPr>
          <w:rFonts w:hint="eastAsia" w:asciiTheme="minorEastAsia" w:hAnsiTheme="minorEastAsia" w:eastAsiaTheme="minorEastAsia"/>
          <w:b/>
          <w:sz w:val="24"/>
        </w:rPr>
        <w:t>质量保证</w:t>
      </w:r>
      <w:bookmarkEnd w:id="100"/>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乙方应保证履行合同的人员数量和素质、软件和硬件设备的配置、场地、环境和设施等满足全面履行合同的要求，并应接受甲方的监督检查。若乙方参与项目人员确需调整，须以书面形式告知甲方，无特殊情况实际参与人员须与投标文件相一致。</w:t>
      </w:r>
    </w:p>
    <w:p>
      <w:pPr>
        <w:spacing w:line="560" w:lineRule="exact"/>
        <w:ind w:firstLine="482" w:firstLineChars="200"/>
        <w:outlineLvl w:val="0"/>
        <w:rPr>
          <w:rFonts w:asciiTheme="minorEastAsia" w:hAnsiTheme="minorEastAsia" w:eastAsiaTheme="minorEastAsia"/>
          <w:b/>
          <w:sz w:val="24"/>
        </w:rPr>
      </w:pPr>
      <w:bookmarkStart w:id="101" w:name="_Toc22267"/>
      <w:r>
        <w:rPr>
          <w:rFonts w:asciiTheme="minorEastAsia" w:hAnsiTheme="minorEastAsia" w:eastAsiaTheme="minorEastAsia"/>
          <w:b/>
          <w:sz w:val="24"/>
        </w:rPr>
        <w:t xml:space="preserve">2.8 </w:t>
      </w:r>
      <w:r>
        <w:rPr>
          <w:rFonts w:hint="eastAsia" w:asciiTheme="minorEastAsia" w:hAnsiTheme="minorEastAsia" w:eastAsiaTheme="minorEastAsia"/>
          <w:b/>
          <w:sz w:val="24"/>
        </w:rPr>
        <w:t>延迟履行</w:t>
      </w:r>
      <w:bookmarkEnd w:id="10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在合同履行过程中，如果乙方遇到不能按时</w:t>
      </w:r>
      <w:r>
        <w:rPr>
          <w:rFonts w:hint="eastAsia" w:asciiTheme="minorEastAsia" w:hAnsiTheme="minorEastAsia" w:eastAsiaTheme="minorEastAsia"/>
          <w:sz w:val="24"/>
        </w:rPr>
        <w:t>提供服务</w:t>
      </w:r>
      <w:r>
        <w:rPr>
          <w:rFonts w:asciiTheme="minorEastAsia" w:hAnsiTheme="minorEastAsia" w:eastAsiaTheme="minorEastAsia"/>
          <w:sz w:val="24"/>
        </w:rPr>
        <w:t>的情况，应及时以书面形式将不能按时</w:t>
      </w:r>
      <w:r>
        <w:rPr>
          <w:rFonts w:hint="eastAsia" w:asciiTheme="minorEastAsia" w:hAnsiTheme="minorEastAsia" w:eastAsiaTheme="minorEastAsia"/>
          <w:sz w:val="24"/>
        </w:rPr>
        <w:t>提供服务</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w:t>
      </w:r>
      <w:r>
        <w:rPr>
          <w:rFonts w:hint="eastAsia" w:asciiTheme="minorEastAsia" w:hAnsiTheme="minorEastAsia" w:eastAsiaTheme="minorEastAsia"/>
          <w:sz w:val="24"/>
        </w:rPr>
        <w:t>履行</w:t>
      </w:r>
      <w:r>
        <w:rPr>
          <w:rFonts w:asciiTheme="minorEastAsia" w:hAnsiTheme="minorEastAsia" w:eastAsiaTheme="minorEastAsia"/>
          <w:sz w:val="24"/>
        </w:rPr>
        <w:t>的具体时间。</w:t>
      </w:r>
    </w:p>
    <w:p>
      <w:pPr>
        <w:spacing w:line="560" w:lineRule="exact"/>
        <w:ind w:firstLine="482" w:firstLineChars="200"/>
        <w:outlineLvl w:val="0"/>
        <w:rPr>
          <w:rFonts w:asciiTheme="minorEastAsia" w:hAnsiTheme="minorEastAsia" w:eastAsiaTheme="minorEastAsia"/>
          <w:b/>
          <w:sz w:val="24"/>
        </w:rPr>
      </w:pPr>
      <w:bookmarkStart w:id="102" w:name="_Toc10611"/>
      <w:r>
        <w:rPr>
          <w:rFonts w:asciiTheme="minorEastAsia" w:hAnsiTheme="minorEastAsia" w:eastAsiaTheme="minorEastAsia"/>
          <w:b/>
          <w:sz w:val="24"/>
        </w:rPr>
        <w:t xml:space="preserve">2.9 </w:t>
      </w:r>
      <w:r>
        <w:rPr>
          <w:rFonts w:hint="eastAsia" w:asciiTheme="minorEastAsia" w:hAnsiTheme="minorEastAsia" w:eastAsiaTheme="minorEastAsia"/>
          <w:b/>
          <w:sz w:val="24"/>
        </w:rPr>
        <w:t>合同变更</w:t>
      </w:r>
      <w:bookmarkEnd w:id="102"/>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103" w:name="_Toc10663"/>
      <w:bookmarkStart w:id="104" w:name="_Toc23368"/>
      <w:bookmarkStart w:id="105" w:name="_Toc21830"/>
      <w:bookmarkStart w:id="106" w:name="_Toc42"/>
      <w:bookmarkStart w:id="107" w:name="_Toc26689"/>
      <w:r>
        <w:rPr>
          <w:rFonts w:asciiTheme="minorEastAsia" w:hAnsiTheme="minorEastAsia" w:eastAsiaTheme="minorEastAsia"/>
          <w:b/>
          <w:sz w:val="24"/>
        </w:rPr>
        <w:t>2.10 合同转让和分包</w:t>
      </w:r>
      <w:bookmarkEnd w:id="103"/>
      <w:bookmarkEnd w:id="104"/>
      <w:bookmarkEnd w:id="105"/>
      <w:bookmarkEnd w:id="106"/>
      <w:bookmarkEnd w:id="107"/>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560" w:lineRule="exact"/>
        <w:ind w:firstLine="482" w:firstLineChars="200"/>
        <w:outlineLvl w:val="0"/>
        <w:rPr>
          <w:rFonts w:asciiTheme="minorEastAsia" w:hAnsiTheme="minorEastAsia" w:eastAsiaTheme="minorEastAsia"/>
          <w:b/>
          <w:sz w:val="24"/>
        </w:rPr>
      </w:pPr>
      <w:bookmarkStart w:id="108" w:name="_Toc14371"/>
      <w:bookmarkStart w:id="109" w:name="_Toc4720"/>
      <w:bookmarkStart w:id="110" w:name="_Toc26633"/>
      <w:bookmarkStart w:id="111" w:name="_Toc32494"/>
      <w:bookmarkStart w:id="112" w:name="_Toc25571"/>
      <w:r>
        <w:rPr>
          <w:rFonts w:asciiTheme="minorEastAsia" w:hAnsiTheme="minorEastAsia" w:eastAsiaTheme="minorEastAsia"/>
          <w:b/>
          <w:sz w:val="24"/>
        </w:rPr>
        <w:t>2.11 不可抗力</w:t>
      </w:r>
      <w:bookmarkEnd w:id="108"/>
      <w:bookmarkEnd w:id="109"/>
      <w:bookmarkEnd w:id="110"/>
      <w:bookmarkEnd w:id="111"/>
      <w:bookmarkEnd w:id="11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2.11.2 </w:t>
      </w:r>
      <w:r>
        <w:rPr>
          <w:rFonts w:hint="eastAsia" w:asciiTheme="minorEastAsia" w:hAnsiTheme="minorEastAsia" w:eastAsiaTheme="minorEastAsia"/>
          <w:sz w:val="24"/>
        </w:rPr>
        <w:t>因不可抗力致使不能实现合同目的的，当事人可以解除合同；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2.11.3 </w:t>
      </w:r>
      <w:r>
        <w:rPr>
          <w:rFonts w:hint="eastAsia" w:asciiTheme="minorEastAsia" w:hAnsiTheme="minorEastAsia" w:eastAsiaTheme="minorEastAsia"/>
          <w:sz w:val="24"/>
        </w:rPr>
        <w:t>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2.11.4受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113" w:name="_Toc3638"/>
      <w:bookmarkStart w:id="114" w:name="_Toc24465"/>
      <w:bookmarkStart w:id="115" w:name="_Toc25783"/>
      <w:bookmarkStart w:id="116" w:name="_Toc14115"/>
      <w:bookmarkStart w:id="117" w:name="_Toc23854"/>
      <w:r>
        <w:rPr>
          <w:rFonts w:asciiTheme="minorEastAsia" w:hAnsiTheme="minorEastAsia" w:eastAsiaTheme="minorEastAsia"/>
          <w:b/>
          <w:sz w:val="24"/>
        </w:rPr>
        <w:t>2.12 税费</w:t>
      </w:r>
      <w:bookmarkEnd w:id="113"/>
      <w:bookmarkEnd w:id="114"/>
      <w:bookmarkEnd w:id="115"/>
      <w:bookmarkEnd w:id="116"/>
      <w:bookmarkEnd w:id="117"/>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均按照中华人民共和国法律的相关规定缴纳。</w:t>
      </w:r>
    </w:p>
    <w:p>
      <w:pPr>
        <w:spacing w:line="560" w:lineRule="exact"/>
        <w:ind w:firstLine="482" w:firstLineChars="200"/>
        <w:outlineLvl w:val="0"/>
        <w:rPr>
          <w:rFonts w:asciiTheme="minorEastAsia" w:hAnsiTheme="minorEastAsia" w:eastAsiaTheme="minorEastAsia"/>
          <w:b/>
          <w:sz w:val="24"/>
        </w:rPr>
      </w:pPr>
      <w:bookmarkStart w:id="118" w:name="_Toc7315"/>
      <w:bookmarkStart w:id="119" w:name="_Toc26883"/>
      <w:bookmarkStart w:id="120" w:name="_Toc14814"/>
      <w:bookmarkStart w:id="121" w:name="_Toc30105"/>
      <w:bookmarkStart w:id="122" w:name="_Toc25525"/>
      <w:r>
        <w:rPr>
          <w:rFonts w:asciiTheme="minorEastAsia" w:hAnsiTheme="minorEastAsia" w:eastAsiaTheme="minorEastAsia"/>
          <w:b/>
          <w:sz w:val="24"/>
        </w:rPr>
        <w:t>2.13 乙方破产</w:t>
      </w:r>
      <w:bookmarkEnd w:id="118"/>
      <w:bookmarkEnd w:id="119"/>
      <w:bookmarkEnd w:id="120"/>
      <w:bookmarkEnd w:id="121"/>
      <w:bookmarkEnd w:id="12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123" w:name="_Toc23323"/>
      <w:bookmarkStart w:id="124" w:name="_Toc1123"/>
      <w:bookmarkStart w:id="125" w:name="_Toc2016"/>
      <w:r>
        <w:rPr>
          <w:rFonts w:asciiTheme="minorEastAsia" w:hAnsiTheme="minorEastAsia" w:eastAsiaTheme="minorEastAsia"/>
          <w:b/>
          <w:sz w:val="24"/>
        </w:rPr>
        <w:t>2.14 合同中止、终止</w:t>
      </w:r>
      <w:bookmarkEnd w:id="123"/>
      <w:bookmarkEnd w:id="124"/>
      <w:bookmarkEnd w:id="125"/>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2.14.1 </w:t>
      </w:r>
      <w:r>
        <w:rPr>
          <w:rFonts w:hint="eastAsia" w:asciiTheme="minorEastAsia" w:hAnsiTheme="minorEastAsia" w:eastAsiaTheme="minorEastAsia"/>
          <w:sz w:val="24"/>
        </w:rPr>
        <w:t>双方当事人不得擅自中止或者终止合同；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126" w:name="_Toc17363"/>
      <w:bookmarkStart w:id="127" w:name="_Toc14525"/>
      <w:bookmarkStart w:id="128" w:name="_Toc1969"/>
      <w:r>
        <w:rPr>
          <w:rFonts w:asciiTheme="minorEastAsia" w:hAnsiTheme="minorEastAsia" w:eastAsiaTheme="minorEastAsia"/>
          <w:b/>
          <w:sz w:val="24"/>
        </w:rPr>
        <w:t>2.15 检验和验收</w:t>
      </w:r>
      <w:bookmarkEnd w:id="126"/>
      <w:bookmarkEnd w:id="127"/>
      <w:bookmarkEnd w:id="128"/>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2.15.1 </w:t>
      </w:r>
      <w:r>
        <w:rPr>
          <w:rFonts w:hint="eastAsia" w:asciiTheme="minorEastAsia" w:hAnsiTheme="minorEastAsia" w:eastAsiaTheme="minorEastAsia"/>
          <w:sz w:val="24"/>
        </w:rPr>
        <w:t>乙方按照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w:t>
      </w:r>
      <w:r>
        <w:rPr>
          <w:rFonts w:hint="eastAsia" w:asciiTheme="minorEastAsia" w:hAnsiTheme="minorEastAsia" w:eastAsiaTheme="minorEastAsia"/>
          <w:sz w:val="24"/>
        </w:rPr>
        <w:t>，</w:t>
      </w:r>
      <w:r>
        <w:rPr>
          <w:rFonts w:asciiTheme="minorEastAsia" w:hAnsiTheme="minorEastAsia" w:eastAsiaTheme="minorEastAsia"/>
          <w:sz w:val="24"/>
        </w:rPr>
        <w:t>定期提交服务报告</w:t>
      </w:r>
      <w:r>
        <w:rPr>
          <w:rFonts w:hint="eastAsia" w:asciiTheme="minorEastAsia" w:hAnsiTheme="minorEastAsia" w:eastAsiaTheme="minorEastAsia"/>
          <w:sz w:val="24"/>
        </w:rPr>
        <w:t>，甲方按照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的约定进行定期验收</w:t>
      </w:r>
      <w:r>
        <w:rPr>
          <w:rFonts w:hint="eastAsia" w:asciiTheme="minorEastAsia" w:hAnsiTheme="minorEastAsia" w:eastAsiaTheme="minorEastAsia"/>
          <w:sz w:val="24"/>
        </w:rPr>
        <w:t>；</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2.15.2 </w:t>
      </w:r>
      <w:r>
        <w:rPr>
          <w:rFonts w:hint="eastAsia" w:asciiTheme="minorEastAsia" w:hAnsiTheme="minorEastAsia" w:eastAsiaTheme="minor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2.15.3 </w:t>
      </w:r>
      <w:r>
        <w:rPr>
          <w:rFonts w:hint="eastAsia" w:asciiTheme="minorEastAsia" w:hAnsiTheme="minorEastAsia" w:eastAsiaTheme="minorEastAsia"/>
          <w:sz w:val="24"/>
        </w:rPr>
        <w:t>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p>
      <w:pPr>
        <w:spacing w:line="560" w:lineRule="exact"/>
        <w:ind w:firstLine="482" w:firstLineChars="200"/>
        <w:outlineLvl w:val="0"/>
        <w:rPr>
          <w:rFonts w:asciiTheme="minorEastAsia" w:hAnsiTheme="minorEastAsia" w:eastAsiaTheme="minorEastAsia"/>
          <w:b/>
          <w:sz w:val="24"/>
        </w:rPr>
      </w:pPr>
      <w:bookmarkStart w:id="129" w:name="_Toc9808"/>
      <w:bookmarkStart w:id="130" w:name="_Toc12666"/>
      <w:bookmarkStart w:id="131" w:name="_Toc2308"/>
      <w:bookmarkStart w:id="132" w:name="_Toc31892"/>
      <w:bookmarkStart w:id="133" w:name="_Toc25198"/>
      <w:r>
        <w:rPr>
          <w:rFonts w:asciiTheme="minorEastAsia" w:hAnsiTheme="minorEastAsia" w:eastAsiaTheme="minorEastAsia"/>
          <w:b/>
          <w:sz w:val="24"/>
        </w:rPr>
        <w:t>2.16 通知和送达</w:t>
      </w:r>
      <w:bookmarkEnd w:id="129"/>
      <w:bookmarkEnd w:id="130"/>
      <w:bookmarkEnd w:id="131"/>
      <w:bookmarkEnd w:id="132"/>
      <w:bookmarkEnd w:id="133"/>
    </w:p>
    <w:p>
      <w:pPr>
        <w:spacing w:line="560" w:lineRule="exact"/>
        <w:ind w:firstLine="480" w:firstLineChars="200"/>
        <w:rPr>
          <w:rFonts w:asciiTheme="minorEastAsia" w:hAnsiTheme="minorEastAsia" w:eastAsiaTheme="minorEastAsia"/>
          <w:sz w:val="24"/>
        </w:rPr>
      </w:pPr>
      <w:bookmarkStart w:id="134" w:name="_Toc18401"/>
      <w:bookmarkStart w:id="135" w:name="_Toc27674"/>
      <w:r>
        <w:rPr>
          <w:rFonts w:asciiTheme="minorEastAsia" w:hAnsiTheme="minorEastAsia" w:eastAsiaTheme="minorEastAsia"/>
          <w:sz w:val="24"/>
        </w:rPr>
        <w:t>2.17.1</w:t>
      </w:r>
      <w:r>
        <w:rPr>
          <w:rFonts w:hint="eastAsia" w:asciiTheme="minorEastAsia" w:hAnsiTheme="minorEastAsia" w:eastAsiaTheme="minorEastAsia"/>
          <w:sz w:val="24"/>
        </w:rPr>
        <w:t>任何一方因履行合同而以合同第一部分尾部所列明的传真或电子邮件</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发出的所有通知、文件、材料，均视为已向对方当事人送达；任何一方变更上述送达方式或者地址的，应于</w:t>
      </w:r>
      <w:r>
        <w:rPr>
          <w:rFonts w:asciiTheme="minorEastAsia" w:hAnsiTheme="minorEastAsia" w:eastAsiaTheme="minorEastAsia"/>
          <w:sz w:val="24"/>
          <w:u w:val="single"/>
        </w:rPr>
        <w:t>3</w:t>
      </w:r>
      <w:r>
        <w:rPr>
          <w:rFonts w:hint="eastAsia" w:asciiTheme="minorEastAsia" w:hAnsiTheme="minorEastAsia" w:eastAsiaTheme="minorEastAsia"/>
          <w:sz w:val="24"/>
        </w:rPr>
        <w:t>个工作日内书面通知对方当事人，在对方当事人收到有关变更通知之前，变更前的约定送达方式或者地址仍视为有效。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rPr>
        <w:t>的，邮件挂号寄出或者交邮之日之次日视为送达。</w:t>
      </w:r>
      <w:bookmarkEnd w:id="134"/>
      <w:bookmarkEnd w:id="135"/>
    </w:p>
    <w:p>
      <w:pPr>
        <w:spacing w:line="560" w:lineRule="exact"/>
        <w:ind w:firstLine="482" w:firstLineChars="200"/>
        <w:outlineLvl w:val="0"/>
        <w:rPr>
          <w:rFonts w:asciiTheme="minorEastAsia" w:hAnsiTheme="minorEastAsia" w:eastAsiaTheme="minorEastAsia"/>
          <w:b/>
          <w:sz w:val="24"/>
        </w:rPr>
      </w:pPr>
      <w:bookmarkStart w:id="136" w:name="_Toc28906"/>
      <w:bookmarkStart w:id="137" w:name="_Toc5063"/>
      <w:bookmarkStart w:id="138" w:name="_Toc12254"/>
      <w:bookmarkStart w:id="139" w:name="_Toc20808"/>
      <w:bookmarkStart w:id="140" w:name="_Toc27644"/>
      <w:r>
        <w:rPr>
          <w:rFonts w:asciiTheme="minorEastAsia" w:hAnsiTheme="minorEastAsia" w:eastAsiaTheme="minorEastAsia"/>
          <w:b/>
          <w:sz w:val="24"/>
        </w:rPr>
        <w:t xml:space="preserve">2.17 </w:t>
      </w:r>
      <w:r>
        <w:rPr>
          <w:rFonts w:hint="eastAsia" w:asciiTheme="minorEastAsia" w:hAnsiTheme="minorEastAsia" w:eastAsiaTheme="minorEastAsia"/>
          <w:b/>
          <w:sz w:val="24"/>
        </w:rPr>
        <w:t>合同使用的文字和</w:t>
      </w:r>
      <w:r>
        <w:rPr>
          <w:rFonts w:asciiTheme="minorEastAsia" w:hAnsiTheme="minorEastAsia" w:eastAsiaTheme="minorEastAsia"/>
          <w:b/>
          <w:sz w:val="24"/>
        </w:rPr>
        <w:t>适用的法律</w:t>
      </w:r>
      <w:bookmarkEnd w:id="136"/>
      <w:bookmarkEnd w:id="137"/>
      <w:bookmarkEnd w:id="138"/>
      <w:bookmarkEnd w:id="139"/>
      <w:bookmarkEnd w:id="140"/>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2.17.1 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2.17.2 </w:t>
      </w:r>
      <w:r>
        <w:rPr>
          <w:rFonts w:hint="eastAsia" w:asciiTheme="minorEastAsia" w:hAnsiTheme="minorEastAsia" w:eastAsiaTheme="minorEastAsia"/>
          <w:sz w:val="24"/>
        </w:rPr>
        <w:t>合同适用</w:t>
      </w:r>
      <w:r>
        <w:rPr>
          <w:rFonts w:asciiTheme="minorEastAsia" w:hAnsiTheme="minorEastAsia" w:eastAsiaTheme="minorEastAsia"/>
          <w:sz w:val="24"/>
        </w:rPr>
        <w:t>中华人民共和国法律。</w:t>
      </w:r>
    </w:p>
    <w:p>
      <w:pPr>
        <w:spacing w:line="560" w:lineRule="exact"/>
        <w:ind w:firstLine="482" w:firstLineChars="200"/>
        <w:outlineLvl w:val="0"/>
        <w:rPr>
          <w:rFonts w:asciiTheme="minorEastAsia" w:hAnsiTheme="minorEastAsia" w:eastAsiaTheme="minorEastAsia"/>
          <w:b/>
          <w:sz w:val="24"/>
        </w:rPr>
      </w:pPr>
      <w:bookmarkStart w:id="141" w:name="_Toc1492"/>
      <w:bookmarkStart w:id="142" w:name="_Toc22266"/>
      <w:bookmarkStart w:id="143" w:name="_Toc30096"/>
      <w:bookmarkStart w:id="144" w:name="_Toc27403"/>
      <w:bookmarkStart w:id="145" w:name="_Toc27127"/>
      <w:r>
        <w:rPr>
          <w:rFonts w:asciiTheme="minorEastAsia" w:hAnsiTheme="minorEastAsia" w:eastAsiaTheme="minorEastAsia"/>
          <w:b/>
          <w:sz w:val="24"/>
        </w:rPr>
        <w:t>2.18 履约保证金</w:t>
      </w:r>
      <w:bookmarkEnd w:id="141"/>
      <w:bookmarkEnd w:id="142"/>
      <w:bookmarkEnd w:id="143"/>
      <w:bookmarkEnd w:id="144"/>
      <w:bookmarkEnd w:id="145"/>
    </w:p>
    <w:p>
      <w:pPr>
        <w:pStyle w:val="958"/>
        <w:spacing w:before="0" w:beforeAutospacing="0" w:after="0" w:afterAutospacing="0" w:line="360" w:lineRule="auto"/>
        <w:ind w:firstLine="420"/>
        <w:rPr>
          <w:rFonts w:asciiTheme="minorEastAsia" w:hAnsiTheme="minorEastAsia" w:eastAsiaTheme="minorEastAsia"/>
        </w:rPr>
      </w:pPr>
      <w:r>
        <w:rPr>
          <w:rFonts w:asciiTheme="minorEastAsia" w:hAnsiTheme="minorEastAsia" w:eastAsiaTheme="minorEastAsia"/>
        </w:rPr>
        <w:t xml:space="preserve">2.18.1 </w:t>
      </w:r>
      <w:r>
        <w:rPr>
          <w:rFonts w:hint="eastAsia" w:asciiTheme="minorEastAsia" w:hAnsiTheme="minorEastAsia" w:eastAsiaTheme="minorEastAsia"/>
        </w:rPr>
        <w:t>采购文件要求乙方提交履约保证金的，乙方应按</w:t>
      </w:r>
      <w:r>
        <w:rPr>
          <w:rFonts w:hint="eastAsia" w:asciiTheme="minorEastAsia" w:hAnsiTheme="minorEastAsia" w:eastAsiaTheme="minorEastAsia"/>
          <w:b/>
          <w:i/>
          <w:u w:val="single"/>
        </w:rPr>
        <w:t>合同专用条款</w:t>
      </w:r>
      <w:r>
        <w:rPr>
          <w:rFonts w:hint="eastAsia" w:asciiTheme="minorEastAsia" w:hAnsiTheme="minorEastAsia" w:eastAsiaTheme="minorEastAsia"/>
        </w:rPr>
        <w:t>约定的方式，以支票、汇票、本票或者金融机构、担保机构出具的保函等非现金形式，提交不超过合同金额1</w:t>
      </w:r>
      <w:r>
        <w:rPr>
          <w:rFonts w:asciiTheme="minorEastAsia" w:hAnsiTheme="minorEastAsia" w:eastAsiaTheme="minorEastAsia"/>
        </w:rPr>
        <w:t>%的履约保证金；鼓励和支持乙方以银行、保险公司出具的保函形式提供履约保证</w:t>
      </w:r>
      <w:r>
        <w:rPr>
          <w:rFonts w:hint="eastAsia" w:asciiTheme="minorEastAsia" w:hAnsiTheme="minorEastAsia" w:eastAsiaTheme="minorEastAsia"/>
        </w:rPr>
        <w:t>，乙方以银行、保险公司出具保函形式提交履约保证金的，甲方不得拒收。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2.18.2  </w:t>
      </w:r>
      <w:r>
        <w:rPr>
          <w:rFonts w:hint="eastAsia" w:asciiTheme="minorEastAsia" w:hAnsiTheme="minorEastAsia" w:eastAsiaTheme="minorEastAsia"/>
          <w:sz w:val="24"/>
        </w:rPr>
        <w:t>甲方在项目验收结束后及时退还履约保证金。甲方在项目通过验收之日起</w:t>
      </w:r>
      <w:r>
        <w:rPr>
          <w:rFonts w:asciiTheme="minorEastAsia" w:hAnsiTheme="minorEastAsia" w:eastAsiaTheme="minorEastAsia"/>
          <w:sz w:val="24"/>
          <w:u w:val="single"/>
        </w:rPr>
        <w:t xml:space="preserve"> 5 </w:t>
      </w:r>
      <w:r>
        <w:rPr>
          <w:rFonts w:hint="eastAsia" w:asciiTheme="minorEastAsia" w:hAnsiTheme="minorEastAsia" w:eastAsiaTheme="minorEastAsia"/>
          <w:sz w:val="24"/>
        </w:rPr>
        <w:t>个工作日内，按</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约定的方式将履约保证金退还乙方，逾期退还的，乙方可要求甲方支付违约金，违约金按每迟延退还一日的应退还而未退还金额的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%计算，最高限额为本合同履约保证金的</w:t>
      </w:r>
      <w:r>
        <w:rPr>
          <w:rFonts w:asciiTheme="minorEastAsia" w:hAnsiTheme="minorEastAsia" w:eastAsiaTheme="minorEastAsia"/>
          <w:sz w:val="24"/>
          <w:u w:val="single"/>
        </w:rPr>
        <w:t xml:space="preserve">  20   </w:t>
      </w:r>
      <w:r>
        <w:rPr>
          <w:rFonts w:asciiTheme="minorEastAsia" w:hAnsiTheme="minorEastAsia" w:eastAsiaTheme="minorEastAsia"/>
          <w:sz w:val="24"/>
        </w:rPr>
        <w:t xml:space="preserve">%； </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2.18.3 </w:t>
      </w:r>
      <w:r>
        <w:rPr>
          <w:rFonts w:hint="eastAsia" w:asciiTheme="minorEastAsia" w:hAnsiTheme="minorEastAsia" w:eastAsia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2.18.4</w:t>
      </w:r>
      <w:r>
        <w:rPr>
          <w:rFonts w:hint="eastAsia" w:asciiTheme="minorEastAsia" w:hAnsiTheme="minorEastAsia" w:eastAsiaTheme="minorEastAsia"/>
          <w:sz w:val="24"/>
        </w:rPr>
        <w:t> 甲方根据杭州市政府采购网公布的供应商履约评价情况减免履约保证金。乙方履约验收评价总分为</w:t>
      </w:r>
      <w:r>
        <w:rPr>
          <w:rFonts w:asciiTheme="minorEastAsia" w:hAnsiTheme="minorEastAsia" w:eastAsiaTheme="minorEastAsia"/>
          <w:sz w:val="24"/>
        </w:rPr>
        <w:t>100分的，甲方免收履约保证金；</w:t>
      </w:r>
    </w:p>
    <w:p>
      <w:pPr>
        <w:spacing w:line="560" w:lineRule="exact"/>
        <w:ind w:firstLine="480" w:firstLineChars="200"/>
        <w:rPr>
          <w:rFonts w:asciiTheme="minorEastAsia" w:hAnsiTheme="minorEastAsia" w:eastAsiaTheme="minorEastAsia"/>
        </w:rPr>
      </w:pPr>
      <w:r>
        <w:rPr>
          <w:rFonts w:asciiTheme="minorEastAsia" w:hAnsiTheme="minorEastAsia" w:eastAsiaTheme="minorEastAsia"/>
          <w:sz w:val="24"/>
        </w:rPr>
        <w:t>2.18.5</w:t>
      </w:r>
      <w:r>
        <w:rPr>
          <w:rFonts w:hint="eastAsia" w:asciiTheme="minorEastAsia" w:hAnsiTheme="minorEastAsia" w:eastAsiaTheme="minorEastAsia"/>
          <w:sz w:val="24"/>
        </w:rPr>
        <w:t>甲方</w:t>
      </w:r>
      <w:r>
        <w:rPr>
          <w:rFonts w:asciiTheme="minorEastAsia" w:hAnsiTheme="minorEastAsia" w:eastAsiaTheme="minorEastAsia"/>
          <w:sz w:val="24"/>
        </w:rPr>
        <w:t>在</w:t>
      </w:r>
      <w:r>
        <w:rPr>
          <w:rFonts w:hint="eastAsia" w:asciiTheme="minorEastAsia" w:hAnsiTheme="minorEastAsia" w:eastAsiaTheme="minorEastAsia"/>
          <w:sz w:val="24"/>
        </w:rPr>
        <w:t>乙方</w:t>
      </w:r>
      <w:r>
        <w:rPr>
          <w:rFonts w:asciiTheme="minorEastAsia" w:hAnsiTheme="minorEastAsia" w:eastAsiaTheme="minorEastAsia"/>
          <w:sz w:val="24"/>
        </w:rPr>
        <w:t>履行完合同约定义务事项后及时退还，延迟退还的，应当按照合同约定和法律规定承担相应的赔偿责任。</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bCs/>
          <w:sz w:val="24"/>
        </w:rPr>
        <w:t>2.19</w:t>
      </w:r>
      <w:r>
        <w:rPr>
          <w:rFonts w:asciiTheme="minorEastAsia" w:hAnsiTheme="minorEastAsia" w:eastAsiaTheme="minorEastAsia"/>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2.20合同份数</w:t>
      </w:r>
    </w:p>
    <w:p>
      <w:pPr>
        <w:pStyle w:val="701"/>
        <w:spacing w:line="560" w:lineRule="exact"/>
        <w:jc w:val="left"/>
        <w:rPr>
          <w:rFonts w:asciiTheme="minorEastAsia" w:hAnsiTheme="minorEastAsia" w:eastAsiaTheme="minorEastAsia"/>
        </w:rPr>
      </w:pPr>
      <w:r>
        <w:rPr>
          <w:rFonts w:asciiTheme="minorEastAsia" w:hAnsiTheme="minorEastAsia" w:eastAsiaTheme="minorEastAsia"/>
        </w:rPr>
        <w:t>合同份数按</w:t>
      </w:r>
      <w:r>
        <w:rPr>
          <w:rFonts w:asciiTheme="minorEastAsia" w:hAnsiTheme="minorEastAsia" w:eastAsiaTheme="minorEastAsia"/>
          <w:b/>
          <w:i/>
          <w:u w:val="single"/>
        </w:rPr>
        <w:t>合同专用条款</w:t>
      </w:r>
      <w:r>
        <w:rPr>
          <w:rFonts w:asciiTheme="minorEastAsia" w:hAnsiTheme="minorEastAsia" w:eastAsiaTheme="minorEastAsia"/>
        </w:rPr>
        <w:t>规定</w:t>
      </w:r>
      <w:r>
        <w:rPr>
          <w:rFonts w:hint="eastAsia" w:asciiTheme="minorEastAsia" w:hAnsiTheme="minorEastAsia" w:eastAsiaTheme="minorEastAsia"/>
        </w:rPr>
        <w:t>，</w:t>
      </w:r>
      <w:r>
        <w:rPr>
          <w:rFonts w:asciiTheme="minorEastAsia" w:hAnsiTheme="minorEastAsia" w:eastAsiaTheme="minorEastAsia"/>
        </w:rPr>
        <w:t>每份均具有同等法律效力</w:t>
      </w:r>
      <w:r>
        <w:rPr>
          <w:rFonts w:hint="eastAsia" w:asciiTheme="minorEastAsia" w:hAnsiTheme="minorEastAsia" w:eastAsiaTheme="minorEastAsia"/>
        </w:rPr>
        <w:t>。</w:t>
      </w:r>
    </w:p>
    <w:p>
      <w:pPr>
        <w:pStyle w:val="701"/>
        <w:spacing w:line="560" w:lineRule="exact"/>
        <w:ind w:firstLine="482"/>
        <w:jc w:val="center"/>
        <w:rPr>
          <w:rFonts w:ascii="宋体" w:hAnsi="宋体" w:cs="宋体"/>
          <w:b/>
          <w:szCs w:val="24"/>
        </w:rPr>
      </w:pPr>
      <w:r>
        <w:rPr>
          <w:rFonts w:hint="eastAsia" w:ascii="宋体" w:hAnsi="宋体" w:cs="宋体"/>
          <w:b/>
          <w:szCs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3"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4533" w:type="pct"/>
            <w:vAlign w:val="center"/>
          </w:tcPr>
          <w:p>
            <w:pPr>
              <w:spacing w:line="360" w:lineRule="auto"/>
              <w:ind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53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53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53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453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453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3"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533"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53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533"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53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53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.1</w:t>
            </w:r>
          </w:p>
        </w:tc>
        <w:tc>
          <w:tcPr>
            <w:tcW w:w="453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w:t>
            </w:r>
            <w:r>
              <w:rPr>
                <w:rFonts w:ascii="宋体" w:hAnsi="宋体" w:cs="宋体"/>
                <w:sz w:val="24"/>
              </w:rPr>
              <w:t>2</w:t>
            </w:r>
          </w:p>
        </w:tc>
        <w:tc>
          <w:tcPr>
            <w:tcW w:w="453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2.20</w:t>
            </w:r>
          </w:p>
        </w:tc>
        <w:tc>
          <w:tcPr>
            <w:tcW w:w="4533" w:type="pct"/>
          </w:tcPr>
          <w:p>
            <w:pPr>
              <w:spacing w:line="360" w:lineRule="auto"/>
              <w:rPr>
                <w:rFonts w:ascii="宋体" w:hAnsi="宋体" w:cs="宋体"/>
                <w:sz w:val="24"/>
              </w:rPr>
            </w:pPr>
          </w:p>
        </w:tc>
      </w:tr>
    </w:tbl>
    <w:p>
      <w:pPr>
        <w:pStyle w:val="60"/>
        <w:ind w:firstLine="0"/>
        <w:rPr>
          <w:rFonts w:hAnsi="宋体" w:cs="宋体"/>
        </w:rPr>
      </w:pPr>
    </w:p>
    <w:p>
      <w:pPr>
        <w:spacing w:line="360" w:lineRule="auto"/>
        <w:jc w:val="center"/>
        <w:outlineLvl w:val="0"/>
        <w:rPr>
          <w:rFonts w:ascii="宋体" w:hAnsi="宋体" w:cs="宋体"/>
          <w:b/>
          <w:sz w:val="36"/>
          <w:szCs w:val="20"/>
        </w:rPr>
      </w:pPr>
    </w:p>
    <w:p>
      <w:pPr>
        <w:pStyle w:val="81"/>
        <w:spacing w:before="120"/>
        <w:ind w:firstLine="723"/>
        <w:rPr>
          <w:rFonts w:ascii="宋体" w:hAnsi="宋体" w:cs="宋体"/>
          <w:b/>
          <w:sz w:val="36"/>
          <w:szCs w:val="20"/>
        </w:rPr>
      </w:pPr>
    </w:p>
    <w:p>
      <w:pPr>
        <w:pStyle w:val="81"/>
        <w:spacing w:before="120"/>
        <w:ind w:firstLine="0" w:firstLineChars="0"/>
        <w:rPr>
          <w:rFonts w:ascii="宋体" w:hAnsi="宋体" w:cs="宋体"/>
          <w:b/>
          <w:sz w:val="36"/>
          <w:szCs w:val="20"/>
        </w:rPr>
      </w:pP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2"/>
      <w:bookmarkEnd w:id="33"/>
      <w:r>
        <w:rPr>
          <w:rFonts w:hint="eastAsia" w:ascii="宋体" w:hAnsi="宋体" w:cs="宋体"/>
          <w:b/>
          <w:sz w:val="36"/>
          <w:szCs w:val="20"/>
        </w:rPr>
        <w:t>应提交的有关格式范例</w:t>
      </w:r>
    </w:p>
    <w:p>
      <w:pPr>
        <w:spacing w:line="360" w:lineRule="auto"/>
        <w:jc w:val="center"/>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outlineLvl w:val="0"/>
        <w:rPr>
          <w:rFonts w:ascii="宋体" w:hAnsi="宋体" w:cs="宋体"/>
          <w:b/>
          <w:kern w:val="0"/>
          <w:sz w:val="36"/>
          <w:szCs w:val="36"/>
        </w:rPr>
      </w:pPr>
    </w:p>
    <w:p>
      <w:pPr>
        <w:numPr>
          <w:ilvl w:val="0"/>
          <w:numId w:val="7"/>
        </w:numPr>
        <w:snapToGrid w:val="0"/>
        <w:spacing w:line="360" w:lineRule="auto"/>
        <w:rPr>
          <w:rFonts w:ascii="宋体" w:hAnsi="宋体" w:cs="仿宋_GB2312"/>
          <w:sz w:val="24"/>
        </w:rPr>
      </w:pPr>
      <w:r>
        <w:rPr>
          <w:rFonts w:hint="eastAsia" w:ascii="宋体" w:hAnsi="宋体" w:cs="仿宋_GB2312"/>
          <w:sz w:val="24"/>
        </w:rPr>
        <w:t>提供有效的营业执照副本并加盖公章（或事业单位法人登记证或其他工商等登记证明材料）</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………（页码）</w:t>
      </w:r>
    </w:p>
    <w:p>
      <w:pPr>
        <w:numPr>
          <w:ilvl w:val="0"/>
          <w:numId w:val="7"/>
        </w:numPr>
        <w:snapToGrid w:val="0"/>
        <w:spacing w:line="360" w:lineRule="auto"/>
        <w:rPr>
          <w:rFonts w:ascii="宋体" w:hAnsi="宋体" w:cs="仿宋_GB2312"/>
          <w:sz w:val="24"/>
        </w:rPr>
      </w:pPr>
      <w:r>
        <w:rPr>
          <w:rFonts w:hint="eastAsia" w:ascii="宋体" w:hAnsi="宋体" w:cs="仿宋_GB2312"/>
          <w:sz w:val="24"/>
        </w:rPr>
        <w:t>符合参加政府采购活动应当具备的一般条件的承诺函</w:t>
      </w:r>
      <w:r>
        <w:rPr>
          <w:rFonts w:hint="eastAsia" w:ascii="宋体" w:hAnsi="宋体" w:cs="宋体"/>
          <w:sz w:val="24"/>
        </w:rPr>
        <w:t>………… （页码）</w:t>
      </w:r>
    </w:p>
    <w:p>
      <w:pPr>
        <w:snapToGrid w:val="0"/>
        <w:spacing w:line="360" w:lineRule="auto"/>
        <w:rPr>
          <w:rFonts w:ascii="宋体" w:hAnsi="宋体" w:cs="宋体"/>
          <w:sz w:val="24"/>
        </w:rPr>
      </w:pPr>
      <w:r>
        <w:rPr>
          <w:rFonts w:hint="eastAsia" w:ascii="宋体" w:hAnsi="宋体" w:cs="宋体"/>
          <w:sz w:val="24"/>
        </w:rPr>
        <w:t>（3）落实政府采购政策需满足的资格要求………………………………（页码）</w:t>
      </w:r>
    </w:p>
    <w:p>
      <w:pPr>
        <w:snapToGrid w:val="0"/>
        <w:spacing w:line="360" w:lineRule="auto"/>
        <w:rPr>
          <w:rFonts w:ascii="宋体" w:hAnsi="宋体" w:cs="宋体"/>
          <w:sz w:val="24"/>
        </w:rPr>
      </w:pPr>
      <w:r>
        <w:rPr>
          <w:rFonts w:hint="eastAsia" w:ascii="宋体" w:hAnsi="宋体" w:cs="宋体"/>
          <w:sz w:val="24"/>
        </w:rPr>
        <w:t>（4）本项目的特定资格要求………………………………………………（页码）</w:t>
      </w:r>
    </w:p>
    <w:p>
      <w:pPr>
        <w:snapToGrid w:val="0"/>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lang w:eastAsia="zh-CN"/>
        </w:rPr>
        <w:t>2024第四届桐庐生仙里铁人三项赛赛事运营服务采购项目</w:t>
      </w:r>
      <w:r>
        <w:rPr>
          <w:rFonts w:hint="eastAsia" w:ascii="宋体" w:hAnsi="宋体" w:cs="宋体"/>
          <w:sz w:val="24"/>
        </w:rPr>
        <w:t>）【招标编号：（采购编号）】政府采购活动，郑重承诺：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供应商名称(电子签名)：</w:t>
      </w:r>
    </w:p>
    <w:p>
      <w:pPr>
        <w:snapToGrid w:val="0"/>
        <w:spacing w:line="360" w:lineRule="auto"/>
        <w:ind w:firstLine="5760" w:firstLineChars="2400"/>
        <w:rPr>
          <w:rFonts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 xml:space="preserve">月  日 </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jc w:val="center"/>
        <w:rPr>
          <w:rFonts w:ascii="宋体" w:hAnsi="宋体" w:cs="宋体"/>
          <w:b/>
          <w:kern w:val="0"/>
          <w:sz w:val="32"/>
          <w:szCs w:val="32"/>
        </w:rPr>
      </w:pPr>
    </w:p>
    <w:p>
      <w:pPr>
        <w:widowControl/>
        <w:spacing w:line="360" w:lineRule="auto"/>
        <w:jc w:val="center"/>
        <w:rPr>
          <w:rFonts w:ascii="宋体" w:hAnsi="宋体" w:cs="宋体"/>
          <w:b/>
          <w:kern w:val="0"/>
          <w:sz w:val="32"/>
          <w:szCs w:val="32"/>
        </w:rPr>
      </w:pPr>
    </w:p>
    <w:p>
      <w:pPr>
        <w:widowControl/>
        <w:spacing w:line="360" w:lineRule="auto"/>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widowControl/>
        <w:spacing w:line="360" w:lineRule="auto"/>
        <w:ind w:firstLine="480"/>
        <w:jc w:val="left"/>
        <w:rPr>
          <w:rFonts w:ascii="宋体" w:hAnsi="宋体" w:cs="宋体"/>
          <w:sz w:val="24"/>
        </w:rPr>
      </w:pPr>
    </w:p>
    <w:p>
      <w:pPr>
        <w:widowControl/>
        <w:spacing w:line="360" w:lineRule="auto"/>
        <w:ind w:firstLine="480" w:firstLineChars="200"/>
        <w:jc w:val="left"/>
        <w:rPr>
          <w:rFonts w:ascii="宋体" w:hAnsi="宋体" w:cs="宋体"/>
          <w:sz w:val="24"/>
        </w:rPr>
      </w:pP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三、本项目的特定资格要求</w:t>
      </w:r>
    </w:p>
    <w:p>
      <w:pPr>
        <w:spacing w:line="360" w:lineRule="auto"/>
        <w:jc w:val="center"/>
        <w:rPr>
          <w:rFonts w:ascii="宋体" w:hAnsi="宋体" w:cs="宋体"/>
          <w:sz w:val="24"/>
        </w:rPr>
      </w:pPr>
      <w:r>
        <w:rPr>
          <w:rFonts w:hint="eastAsia" w:ascii="宋体" w:hAnsi="宋体" w:cs="宋体"/>
          <w:sz w:val="24"/>
        </w:rPr>
        <w:t>（根据竞争性磋商公告本项目的特定资格要求提供相应的材料；未要求的，无需提供）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4"/>
        <w:rPr>
          <w:rFonts w:ascii="宋体" w:hAnsi="宋体" w:cs="宋体"/>
          <w:kern w:val="0"/>
          <w:sz w:val="36"/>
          <w:szCs w:val="36"/>
        </w:rPr>
      </w:pPr>
    </w:p>
    <w:p>
      <w:pPr>
        <w:rPr>
          <w:rFonts w:ascii="宋体" w:hAnsi="宋体" w:cs="宋体"/>
          <w:b/>
          <w:kern w:val="0"/>
          <w:sz w:val="36"/>
          <w:szCs w:val="36"/>
        </w:rPr>
      </w:pPr>
    </w:p>
    <w:p>
      <w:pPr>
        <w:pStyle w:val="4"/>
        <w:rPr>
          <w:rFonts w:ascii="宋体" w:hAnsi="宋体" w:cs="宋体"/>
          <w:kern w:val="0"/>
          <w:sz w:val="36"/>
          <w:szCs w:val="36"/>
        </w:rPr>
      </w:pPr>
    </w:p>
    <w:p/>
    <w:p>
      <w:pPr>
        <w:pStyle w:val="4"/>
        <w:rPr>
          <w:rFonts w:ascii="宋体" w:hAnsi="宋体" w:cs="宋体"/>
          <w:kern w:val="0"/>
          <w:sz w:val="36"/>
          <w:szCs w:val="36"/>
        </w:rPr>
      </w:pPr>
    </w:p>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（3）分包意向协议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（6）投标标的清单</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r>
        <w:rPr>
          <w:rFonts w:ascii="宋体" w:hAnsi="宋体" w:cs="宋体"/>
          <w:b/>
          <w:kern w:val="0"/>
          <w:sz w:val="32"/>
          <w:szCs w:val="32"/>
          <w:lang w:val="zh-CN"/>
        </w:rPr>
        <w:br w:type="page"/>
      </w:r>
    </w:p>
    <w:p>
      <w:pPr>
        <w:snapToGrid w:val="0"/>
        <w:spacing w:line="360" w:lineRule="auto"/>
        <w:jc w:val="center"/>
        <w:rPr>
          <w:rFonts w:ascii="宋体" w:hAnsi="宋体" w:cs="宋体"/>
          <w:b/>
          <w:kern w:val="0"/>
          <w:sz w:val="32"/>
          <w:szCs w:val="32"/>
        </w:r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ind w:left="420" w:leftChars="200" w:firstLine="480" w:firstLineChars="200"/>
        <w:jc w:val="left"/>
        <w:rPr>
          <w:rFonts w:ascii="宋体" w:hAnsi="宋体" w:cs="宋体"/>
          <w:sz w:val="24"/>
        </w:rPr>
      </w:pPr>
      <w:r>
        <w:rPr>
          <w:rFonts w:hint="eastAsia" w:ascii="宋体" w:hAnsi="宋体" w:cs="宋体"/>
          <w:sz w:val="24"/>
        </w:rPr>
        <w:t>2.1.1提供有效的营业执照副本并加盖公章（或事业单位法人登记证或其他工商等登记证明材料）</w:t>
      </w:r>
    </w:p>
    <w:p>
      <w:pPr>
        <w:snapToGrid w:val="0"/>
        <w:ind w:left="420" w:leftChars="200" w:firstLine="480" w:firstLineChars="200"/>
        <w:jc w:val="left"/>
        <w:rPr>
          <w:rFonts w:ascii="宋体" w:hAnsi="宋体" w:cs="宋体"/>
          <w:sz w:val="24"/>
        </w:rPr>
      </w:pPr>
      <w:r>
        <w:rPr>
          <w:rFonts w:hint="eastAsia" w:ascii="宋体" w:hAnsi="宋体" w:cs="宋体"/>
          <w:sz w:val="24"/>
        </w:rPr>
        <w:t>2.1.2符合参加政府采购活动应当具备的一般条件的承诺函；</w:t>
      </w:r>
    </w:p>
    <w:p>
      <w:pPr>
        <w:snapToGrid w:val="0"/>
        <w:ind w:left="420" w:leftChars="200" w:firstLine="480" w:firstLineChars="200"/>
        <w:jc w:val="left"/>
        <w:rPr>
          <w:rFonts w:ascii="宋体" w:hAnsi="宋体" w:cs="宋体"/>
          <w:sz w:val="24"/>
        </w:rPr>
      </w:pPr>
      <w:r>
        <w:rPr>
          <w:rFonts w:hint="eastAsia" w:ascii="宋体" w:hAnsi="宋体" w:cs="宋体"/>
          <w:sz w:val="24"/>
        </w:rPr>
        <w:t>2.1.3落实政府采购政策需满足的资格要求；</w:t>
      </w:r>
    </w:p>
    <w:p>
      <w:pPr>
        <w:snapToGrid w:val="0"/>
        <w:ind w:left="420" w:leftChars="200" w:firstLine="480" w:firstLineChars="200"/>
        <w:jc w:val="left"/>
        <w:rPr>
          <w:rFonts w:ascii="宋体" w:hAnsi="宋体" w:cs="宋体"/>
          <w:sz w:val="24"/>
        </w:rPr>
      </w:pPr>
      <w:r>
        <w:rPr>
          <w:rFonts w:hint="eastAsia" w:ascii="宋体" w:hAnsi="宋体" w:cs="宋体"/>
          <w:sz w:val="24"/>
        </w:rPr>
        <w:t>2.1.4本项目的特定资格要求。</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ind w:left="420" w:leftChars="200" w:firstLine="480" w:firstLineChars="200"/>
        <w:rPr>
          <w:rFonts w:ascii="宋体" w:hAnsi="宋体" w:cs="宋体"/>
          <w:sz w:val="24"/>
        </w:rPr>
      </w:pPr>
      <w:r>
        <w:rPr>
          <w:rFonts w:hint="eastAsia" w:ascii="宋体" w:hAnsi="宋体" w:cs="宋体"/>
          <w:sz w:val="24"/>
        </w:rPr>
        <w:t>2.2.3符合性审查资料；</w:t>
      </w:r>
    </w:p>
    <w:p>
      <w:pPr>
        <w:snapToGrid w:val="0"/>
        <w:ind w:left="420" w:leftChars="200" w:firstLine="480" w:firstLineChars="200"/>
        <w:rPr>
          <w:rFonts w:ascii="宋体" w:hAnsi="宋体" w:cs="宋体"/>
          <w:sz w:val="24"/>
        </w:rPr>
      </w:pPr>
      <w:r>
        <w:rPr>
          <w:rFonts w:hint="eastAsia" w:ascii="宋体" w:hAnsi="宋体" w:cs="宋体"/>
          <w:sz w:val="24"/>
        </w:rPr>
        <w:t>2.2.4评标标准相应的商务技术资料；</w:t>
      </w:r>
    </w:p>
    <w:p>
      <w:pPr>
        <w:snapToGrid w:val="0"/>
        <w:ind w:left="420" w:leftChars="200" w:firstLine="480" w:firstLineChars="200"/>
        <w:rPr>
          <w:rFonts w:ascii="宋体" w:hAnsi="宋体" w:cs="宋体"/>
          <w:sz w:val="24"/>
        </w:rPr>
      </w:pPr>
      <w:r>
        <w:rPr>
          <w:rFonts w:hint="eastAsia" w:ascii="宋体" w:hAnsi="宋体" w:cs="宋体"/>
          <w:sz w:val="24"/>
        </w:rPr>
        <w:t>2.2.5投标标的清单；</w:t>
      </w:r>
    </w:p>
    <w:p>
      <w:pPr>
        <w:snapToGrid w:val="0"/>
        <w:ind w:left="420" w:leftChars="200" w:firstLine="480" w:firstLineChars="200"/>
        <w:rPr>
          <w:rFonts w:ascii="宋体" w:hAnsi="宋体" w:cs="宋体"/>
          <w:sz w:val="24"/>
        </w:rPr>
      </w:pPr>
      <w:r>
        <w:rPr>
          <w:rFonts w:hint="eastAsia" w:ascii="宋体" w:hAnsi="宋体" w:cs="宋体"/>
          <w:sz w:val="24"/>
        </w:rPr>
        <w:t>2.2.6商务技术偏离表；</w:t>
      </w:r>
    </w:p>
    <w:p>
      <w:pPr>
        <w:snapToGrid w:val="0"/>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p>
    <w:p>
      <w:pPr>
        <w:snapToGrid w:val="0"/>
        <w:ind w:left="420" w:leftChars="200" w:firstLine="480" w:firstLineChars="200"/>
        <w:rPr>
          <w:rFonts w:ascii="宋体" w:hAnsi="宋体" w:cs="宋体"/>
          <w:sz w:val="24"/>
          <w:lang w:val="zh-CN"/>
        </w:rPr>
      </w:pPr>
      <w:r>
        <w:rPr>
          <w:rFonts w:hint="eastAsia" w:ascii="宋体" w:hAnsi="宋体" w:cs="宋体"/>
          <w:sz w:val="24"/>
        </w:rPr>
        <w:t>2.2.8</w:t>
      </w:r>
      <w:r>
        <w:rPr>
          <w:rFonts w:hint="eastAsia" w:ascii="宋体" w:hAnsi="宋体" w:cs="宋体"/>
          <w:sz w:val="24"/>
          <w:lang w:val="zh-CN"/>
        </w:rPr>
        <w:t>2024第四届桐庐生仙里铁人三项赛赛事运营服务采购项目承诺书；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ind w:left="420" w:leftChars="200" w:firstLine="480" w:firstLineChars="200"/>
        <w:rPr>
          <w:rFonts w:ascii="宋体" w:hAnsi="宋体" w:cs="宋体"/>
          <w:sz w:val="24"/>
        </w:rPr>
      </w:pPr>
      <w:r>
        <w:rPr>
          <w:rFonts w:hint="eastAsia" w:ascii="宋体" w:hAnsi="宋体" w:cs="宋体"/>
          <w:sz w:val="24"/>
        </w:rPr>
        <w:t>2.3.1开标一览表（报价表）；</w:t>
      </w:r>
    </w:p>
    <w:p>
      <w:pPr>
        <w:snapToGrid w:val="0"/>
        <w:ind w:left="420" w:leftChars="200" w:firstLine="480" w:firstLineChars="200"/>
        <w:rPr>
          <w:rFonts w:ascii="宋体" w:hAnsi="宋体" w:cs="宋体"/>
          <w:sz w:val="24"/>
        </w:rPr>
      </w:pPr>
      <w:r>
        <w:rPr>
          <w:rFonts w:hint="eastAsia" w:ascii="宋体" w:hAnsi="宋体" w:cs="宋体"/>
          <w:sz w:val="24"/>
        </w:rPr>
        <w:t>2.3.2 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jc w:val="right"/>
        <w:rPr>
          <w:rFonts w:ascii="宋体" w:hAnsi="宋体" w:cs="宋体"/>
          <w:sz w:val="24"/>
        </w:rPr>
      </w:pPr>
      <w:r>
        <w:rPr>
          <w:rFonts w:hint="eastAsia" w:ascii="宋体" w:hAnsi="宋体" w:cs="宋体"/>
          <w:sz w:val="24"/>
        </w:rPr>
        <w:t xml:space="preserve">投标人名称（电子签名）：                          </w:t>
      </w:r>
    </w:p>
    <w:p>
      <w:pPr>
        <w:spacing w:line="360" w:lineRule="auto"/>
        <w:ind w:firstLine="480"/>
        <w:jc w:val="right"/>
        <w:rPr>
          <w:rFonts w:ascii="宋体" w:hAnsi="宋体" w:cs="宋体"/>
          <w:b/>
          <w:kern w:val="0"/>
          <w:sz w:val="32"/>
          <w:szCs w:val="32"/>
          <w:lang w:val="zh-CN"/>
        </w:rPr>
      </w:pPr>
      <w:r>
        <w:rPr>
          <w:rFonts w:hint="eastAsia" w:ascii="宋体" w:hAnsi="宋体" w:cs="宋体"/>
          <w:sz w:val="24"/>
        </w:rPr>
        <w:t>日期：  年   月  日</w:t>
      </w:r>
    </w:p>
    <w:p>
      <w:pPr>
        <w:rPr>
          <w:rFonts w:ascii="宋体" w:hAnsi="宋体" w:cs="宋体"/>
          <w:b/>
          <w:kern w:val="0"/>
          <w:sz w:val="32"/>
          <w:szCs w:val="32"/>
          <w:lang w:val="zh-CN"/>
        </w:rPr>
      </w:pPr>
    </w:p>
    <w:p>
      <w:pP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w:t>
      </w:r>
      <w:r>
        <w:rPr>
          <w:rFonts w:hint="eastAsia" w:ascii="宋体" w:hAnsi="宋体" w:cs="宋体"/>
          <w:sz w:val="24"/>
          <w:lang w:eastAsia="zh-CN"/>
        </w:rPr>
        <w:t>2024第四届桐庐生仙里铁人三项赛赛事运营服务采购项目</w:t>
      </w:r>
      <w:r>
        <w:rPr>
          <w:rFonts w:hint="eastAsia" w:ascii="宋体" w:hAnsi="宋体" w:cs="宋体"/>
          <w:sz w:val="24"/>
        </w:rPr>
        <w:t>）【招标编号：（采购编号）】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snapToGrid w:val="0"/>
        <w:spacing w:line="360" w:lineRule="auto"/>
        <w:ind w:firstLine="6000" w:firstLineChars="2500"/>
        <w:rPr>
          <w:rFonts w:ascii="宋体" w:hAnsi="宋体" w:cs="宋体"/>
          <w:kern w:val="0"/>
          <w:sz w:val="24"/>
        </w:rPr>
      </w:pPr>
      <w:r>
        <w:rPr>
          <w:rFonts w:hint="eastAsia" w:ascii="宋体" w:hAnsi="宋体" w:cs="宋体"/>
          <w:kern w:val="0"/>
          <w:sz w:val="24"/>
          <w:lang w:val="zh-CN"/>
        </w:rPr>
        <w:t>供应商名称(电子签名)：</w:t>
      </w:r>
    </w:p>
    <w:p>
      <w:pPr>
        <w:snapToGrid w:val="0"/>
        <w:spacing w:line="360" w:lineRule="auto"/>
        <w:rPr>
          <w:rFonts w:ascii="宋体" w:hAnsi="宋体" w:cs="宋体"/>
          <w:sz w:val="24"/>
        </w:rPr>
      </w:pPr>
      <w:r>
        <w:rPr>
          <w:rFonts w:hint="eastAsia" w:ascii="宋体" w:hAnsi="宋体" w:cs="宋体"/>
          <w:kern w:val="0"/>
          <w:sz w:val="24"/>
          <w:lang w:val="zh-CN"/>
        </w:rPr>
        <w:t xml:space="preserve">                                                 签发日期：  年  月   日</w:t>
      </w:r>
    </w:p>
    <w:p>
      <w:pPr>
        <w:pStyle w:val="7"/>
        <w:rPr>
          <w:rFonts w:ascii="宋体" w:hAnsi="宋体" w:eastAsia="宋体" w:cs="宋体"/>
        </w:rPr>
      </w:pPr>
    </w:p>
    <w:p>
      <w:pPr>
        <w:autoSpaceDE w:val="0"/>
        <w:autoSpaceDN w:val="0"/>
        <w:spacing w:line="360" w:lineRule="auto"/>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的身份证明（适用于法定代表人、单位负责人或者自然人本人代表供应商参加投标）</w:t>
      </w:r>
    </w:p>
    <w:p>
      <w:pPr>
        <w:pStyle w:val="149"/>
        <w:spacing w:line="360" w:lineRule="auto"/>
        <w:rPr>
          <w:rFonts w:hAnsi="宋体" w:cs="宋体"/>
          <w:bCs/>
          <w:sz w:val="24"/>
        </w:rPr>
      </w:pP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4" w:hRule="atLeast"/>
          <w:jc w:val="center"/>
        </w:trPr>
        <w:tc>
          <w:tcPr>
            <w:tcW w:w="9207" w:type="dxa"/>
          </w:tcPr>
          <w:p>
            <w:pPr>
              <w:pStyle w:val="149"/>
              <w:adjustRightInd w:val="0"/>
              <w:spacing w:line="360" w:lineRule="auto"/>
              <w:rPr>
                <w:rFonts w:hAnsi="宋体" w:cs="宋体"/>
                <w:bCs/>
                <w:sz w:val="24"/>
              </w:rPr>
            </w:pPr>
            <w:r>
              <w:rPr>
                <w:rFonts w:hint="eastAsia" w:hAnsi="宋体" w:cs="宋体"/>
                <w:bCs/>
                <w:sz w:val="24"/>
              </w:rPr>
              <w:t>正面：反面：</w:t>
            </w:r>
          </w:p>
          <w:p>
            <w:pPr>
              <w:pStyle w:val="149"/>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0" w:firstLineChars="2400"/>
        <w:rPr>
          <w:rFonts w:ascii="宋体" w:hAnsi="宋体" w:cs="宋体"/>
          <w:kern w:val="0"/>
          <w:sz w:val="24"/>
        </w:rPr>
      </w:pPr>
      <w:r>
        <w:rPr>
          <w:rFonts w:hint="eastAsia" w:ascii="宋体" w:hAnsi="宋体" w:cs="宋体"/>
          <w:kern w:val="0"/>
          <w:sz w:val="24"/>
          <w:lang w:val="zh-CN"/>
        </w:rPr>
        <w:t>供应商名称(电子签名)：</w:t>
      </w:r>
    </w:p>
    <w:p>
      <w:pPr>
        <w:snapToGrid w:val="0"/>
        <w:spacing w:line="360" w:lineRule="auto"/>
        <w:rPr>
          <w:rFonts w:ascii="宋体" w:hAnsi="宋体" w:cs="宋体"/>
          <w:sz w:val="24"/>
        </w:rPr>
      </w:pPr>
      <w:r>
        <w:rPr>
          <w:rFonts w:hint="eastAsia" w:ascii="宋体" w:hAnsi="宋体" w:cs="宋体"/>
          <w:kern w:val="0"/>
          <w:sz w:val="24"/>
          <w:lang w:val="zh-CN"/>
        </w:rPr>
        <w:t xml:space="preserve">                                                 签发日期：  年  月   日</w:t>
      </w:r>
    </w:p>
    <w:p>
      <w:pPr>
        <w:snapToGrid w:val="0"/>
        <w:spacing w:line="360" w:lineRule="auto"/>
        <w:ind w:firstLine="3534" w:firstLineChars="1100"/>
        <w:rPr>
          <w:rFonts w:ascii="宋体" w:hAnsi="宋体" w:cs="宋体"/>
          <w:b/>
          <w:kern w:val="0"/>
          <w:sz w:val="32"/>
          <w:szCs w:val="32"/>
        </w:rPr>
      </w:pPr>
    </w:p>
    <w:p>
      <w:pPr>
        <w:snapToGrid w:val="0"/>
        <w:spacing w:line="360" w:lineRule="auto"/>
        <w:ind w:firstLine="3534" w:firstLineChars="1100"/>
        <w:rPr>
          <w:rFonts w:ascii="仿宋" w:hAnsi="仿宋" w:eastAsia="仿宋" w:cs="仿宋"/>
          <w:b/>
          <w:kern w:val="0"/>
          <w:sz w:val="32"/>
          <w:szCs w:val="32"/>
        </w:rPr>
      </w:pPr>
      <w:r>
        <w:rPr>
          <w:rFonts w:hint="eastAsia" w:ascii="宋体" w:hAnsi="宋体" w:cs="宋体"/>
          <w:b/>
          <w:kern w:val="0"/>
          <w:sz w:val="32"/>
          <w:szCs w:val="32"/>
        </w:rPr>
        <w:t>三、分包意向协议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snapToGrid w:val="0"/>
        <w:spacing w:line="360" w:lineRule="auto"/>
        <w:rPr>
          <w:rFonts w:ascii="仿宋" w:hAnsi="仿宋" w:eastAsia="仿宋" w:cs="仿宋"/>
          <w:kern w:val="0"/>
          <w:sz w:val="24"/>
        </w:rPr>
      </w:pPr>
    </w:p>
    <w:p>
      <w:pPr>
        <w:spacing w:line="360" w:lineRule="auto"/>
        <w:jc w:val="center"/>
        <w:rPr>
          <w:rFonts w:ascii="宋体" w:hAnsi="宋体" w:cs="宋体"/>
          <w:kern w:val="0"/>
          <w:sz w:val="24"/>
          <w:lang w:val="zh-CN"/>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3"/>
        <w:tblW w:w="9721"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61"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磋商响应文件中的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61" w:type="dxa"/>
            <w:vAlign w:val="center"/>
          </w:tcPr>
          <w:p>
            <w:pPr>
              <w:jc w:val="center"/>
              <w:rPr>
                <w:rFonts w:ascii="宋体" w:hAnsi="宋体" w:cs="宋体"/>
                <w:sz w:val="24"/>
              </w:rPr>
            </w:pPr>
            <w:r>
              <w:rPr>
                <w:rFonts w:hint="eastAsia" w:ascii="宋体" w:hAnsi="宋体" w:cs="宋体"/>
                <w:sz w:val="24"/>
              </w:rPr>
              <w:t>1</w:t>
            </w:r>
          </w:p>
        </w:tc>
        <w:tc>
          <w:tcPr>
            <w:tcW w:w="4991" w:type="dxa"/>
            <w:vAlign w:val="center"/>
          </w:tcPr>
          <w:p>
            <w:pPr>
              <w:spacing w:line="360" w:lineRule="auto"/>
              <w:rPr>
                <w:rFonts w:ascii="宋体" w:hAnsi="宋体" w:cs="宋体"/>
                <w:sz w:val="24"/>
              </w:rPr>
            </w:pPr>
            <w:r>
              <w:rPr>
                <w:rFonts w:hint="eastAsia" w:ascii="宋体" w:hAnsi="宋体" w:cs="宋体"/>
                <w:sz w:val="24"/>
              </w:rPr>
              <w:t>磋商响应文件按照竞争性磋商文件要求签署、盖章。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需要使用电子签名或者签字盖章的磋商响应文件的组成部分</w:t>
            </w:r>
          </w:p>
        </w:tc>
        <w:tc>
          <w:tcPr>
            <w:tcW w:w="1418" w:type="dxa"/>
            <w:vAlign w:val="center"/>
          </w:tcPr>
          <w:p>
            <w:pPr>
              <w:rPr>
                <w:rFonts w:ascii="宋体" w:hAnsi="宋体" w:cs="宋体"/>
                <w:sz w:val="24"/>
              </w:rPr>
            </w:pPr>
            <w:r>
              <w:rPr>
                <w:rFonts w:hint="eastAsia" w:ascii="宋体" w:hAnsi="宋体" w:cs="宋体"/>
                <w:sz w:val="24"/>
              </w:rPr>
              <w:t>见磋商响应文件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61" w:type="dxa"/>
            <w:vAlign w:val="center"/>
          </w:tcPr>
          <w:p>
            <w:pPr>
              <w:spacing w:line="360" w:lineRule="auto"/>
              <w:jc w:val="center"/>
              <w:rPr>
                <w:rFonts w:ascii="宋体" w:hAnsi="宋体" w:cs="宋体"/>
                <w:sz w:val="24"/>
              </w:rPr>
            </w:pPr>
            <w:r>
              <w:rPr>
                <w:rFonts w:hint="eastAsia" w:ascii="宋体" w:hAnsi="宋体" w:cs="宋体"/>
                <w:sz w:val="24"/>
              </w:rPr>
              <w:t>2</w:t>
            </w:r>
          </w:p>
        </w:tc>
        <w:tc>
          <w:tcPr>
            <w:tcW w:w="4991" w:type="dxa"/>
            <w:vAlign w:val="center"/>
          </w:tcPr>
          <w:p>
            <w:pPr>
              <w:spacing w:line="360" w:lineRule="auto"/>
              <w:rPr>
                <w:rFonts w:ascii="宋体" w:hAns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rPr>
            </w:pPr>
            <w:r>
              <w:rPr>
                <w:rFonts w:hint="eastAsia" w:ascii="宋体" w:hAnsi="宋体" w:cs="宋体"/>
                <w:sz w:val="24"/>
              </w:rPr>
              <w:t>节能产品认证证书（本项目拟采购的产品不属于政府强制采购的节能产品品目清单范围的，无需提供）</w:t>
            </w:r>
          </w:p>
        </w:tc>
        <w:tc>
          <w:tcPr>
            <w:tcW w:w="1418" w:type="dxa"/>
            <w:vAlign w:val="center"/>
          </w:tcPr>
          <w:p>
            <w:pPr>
              <w:rPr>
                <w:rFonts w:ascii="宋体" w:hAnsi="宋体" w:cs="宋体"/>
                <w:sz w:val="24"/>
              </w:rPr>
            </w:pPr>
            <w:r>
              <w:rPr>
                <w:rFonts w:hint="eastAsia" w:ascii="宋体" w:hAnsi="宋体" w:cs="宋体"/>
                <w:sz w:val="24"/>
              </w:rPr>
              <w:t>见投标文件</w:t>
            </w:r>
          </w:p>
          <w:p>
            <w:pPr>
              <w:rPr>
                <w:rFonts w:ascii="宋体" w:hAnsi="宋体" w:cs="宋体"/>
                <w:sz w:val="24"/>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61" w:type="dxa"/>
            <w:vAlign w:val="center"/>
          </w:tcPr>
          <w:p>
            <w:pPr>
              <w:spacing w:line="360" w:lineRule="auto"/>
              <w:jc w:val="center"/>
              <w:rPr>
                <w:rFonts w:ascii="宋体" w:hAnsi="宋体" w:cs="宋体"/>
                <w:sz w:val="24"/>
              </w:rPr>
            </w:pPr>
            <w:r>
              <w:rPr>
                <w:rFonts w:hint="eastAsia" w:ascii="宋体" w:hAnsi="宋体" w:cs="宋体"/>
                <w:sz w:val="24"/>
              </w:rPr>
              <w:t>3</w:t>
            </w:r>
          </w:p>
        </w:tc>
        <w:tc>
          <w:tcPr>
            <w:tcW w:w="4991" w:type="dxa"/>
            <w:vAlign w:val="center"/>
          </w:tcPr>
          <w:p>
            <w:pPr>
              <w:spacing w:line="360" w:lineRule="auto"/>
              <w:rPr>
                <w:rFonts w:ascii="宋体" w:hAnsi="宋体" w:cs="宋体"/>
                <w:sz w:val="24"/>
              </w:rPr>
            </w:pPr>
            <w:r>
              <w:rPr>
                <w:rFonts w:hint="eastAsia" w:ascii="宋体" w:hAnsi="宋体" w:cs="宋体"/>
                <w:sz w:val="24"/>
              </w:rPr>
              <w:t>磋商响应文件中承诺的投标有效期不少于竞争性磋商文件中载明的投标有效期。</w:t>
            </w:r>
          </w:p>
        </w:tc>
        <w:tc>
          <w:tcPr>
            <w:tcW w:w="2551" w:type="dxa"/>
            <w:vAlign w:val="center"/>
          </w:tcPr>
          <w:p>
            <w:pPr>
              <w:rPr>
                <w:rFonts w:ascii="宋体" w:hAnsi="宋体" w:cs="宋体"/>
                <w:sz w:val="24"/>
              </w:rPr>
            </w:pPr>
            <w:r>
              <w:rPr>
                <w:rFonts w:hint="eastAsia" w:ascii="宋体" w:hAnsi="宋体" w:cs="宋体"/>
                <w:sz w:val="24"/>
              </w:rPr>
              <w:t>磋商承诺函</w:t>
            </w:r>
          </w:p>
        </w:tc>
        <w:tc>
          <w:tcPr>
            <w:tcW w:w="1418" w:type="dxa"/>
            <w:vAlign w:val="center"/>
          </w:tcPr>
          <w:p>
            <w:pPr>
              <w:rPr>
                <w:rFonts w:ascii="宋体" w:hAnsi="宋体" w:cs="宋体"/>
              </w:rPr>
            </w:pPr>
            <w:r>
              <w:rPr>
                <w:rFonts w:hint="eastAsia" w:ascii="宋体" w:hAnsi="宋体" w:cs="宋体"/>
                <w:sz w:val="24"/>
              </w:rPr>
              <w:t>见磋商响应文件第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61" w:type="dxa"/>
            <w:vAlign w:val="center"/>
          </w:tcPr>
          <w:p>
            <w:pPr>
              <w:jc w:val="center"/>
              <w:rPr>
                <w:rFonts w:ascii="宋体" w:hAnsi="宋体" w:cs="宋体"/>
                <w:sz w:val="24"/>
              </w:rPr>
            </w:pPr>
            <w:r>
              <w:rPr>
                <w:rFonts w:hint="eastAsia" w:ascii="宋体" w:hAnsi="宋体" w:cs="宋体"/>
                <w:sz w:val="24"/>
              </w:rPr>
              <w:t>4</w:t>
            </w:r>
          </w:p>
        </w:tc>
        <w:tc>
          <w:tcPr>
            <w:tcW w:w="4991" w:type="dxa"/>
            <w:vAlign w:val="center"/>
          </w:tcPr>
          <w:p>
            <w:pPr>
              <w:spacing w:line="360" w:lineRule="auto"/>
              <w:rPr>
                <w:rFonts w:ascii="宋体" w:hAnsi="宋体" w:cs="宋体"/>
                <w:sz w:val="24"/>
              </w:rPr>
            </w:pPr>
            <w:r>
              <w:rPr>
                <w:rFonts w:hint="eastAsia" w:ascii="宋体" w:hAnsi="宋体" w:cs="宋体"/>
                <w:sz w:val="24"/>
              </w:rPr>
              <w:t>磋商响应文件满足竞争性磋商文件的其它实质性要求。</w:t>
            </w:r>
          </w:p>
        </w:tc>
        <w:tc>
          <w:tcPr>
            <w:tcW w:w="2551" w:type="dxa"/>
            <w:vAlign w:val="center"/>
          </w:tcPr>
          <w:p>
            <w:pPr>
              <w:rPr>
                <w:rFonts w:ascii="宋体" w:hAnsi="宋体" w:cs="宋体"/>
                <w:sz w:val="24"/>
              </w:rPr>
            </w:pPr>
            <w:r>
              <w:rPr>
                <w:rFonts w:hint="eastAsia" w:ascii="宋体" w:hAnsi="宋体" w:cs="宋体"/>
                <w:kern w:val="0"/>
                <w:sz w:val="24"/>
              </w:rPr>
              <w:t>竞争性磋商文件其它实质性要求相应的材料（“▲”系指实质性要求条款，竞争性磋商文件无其它实质性要求的，无需提供）</w:t>
            </w:r>
          </w:p>
        </w:tc>
        <w:tc>
          <w:tcPr>
            <w:tcW w:w="1418" w:type="dxa"/>
            <w:vAlign w:val="center"/>
          </w:tcPr>
          <w:p>
            <w:pPr>
              <w:rPr>
                <w:rFonts w:ascii="宋体" w:hAnsi="宋体" w:cs="宋体"/>
              </w:rPr>
            </w:pPr>
            <w:r>
              <w:rPr>
                <w:rFonts w:hint="eastAsia" w:ascii="宋体" w:hAnsi="宋体" w:cs="宋体"/>
                <w:sz w:val="24"/>
              </w:rPr>
              <w:t>见磋商响应文件第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p>
    <w:p>
      <w:pPr>
        <w:pStyle w:val="61"/>
        <w:ind w:left="0" w:leftChars="0" w:firstLine="0" w:firstLineChars="0"/>
        <w:rPr>
          <w:rFonts w:cs="宋体"/>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p>
    <w:p>
      <w:pPr>
        <w:snapToGrid w:val="0"/>
        <w:spacing w:line="360" w:lineRule="auto"/>
        <w:jc w:val="left"/>
      </w:pPr>
      <w:r>
        <w:rPr>
          <w:rFonts w:hint="eastAsia" w:ascii="宋体" w:hAnsi="宋体" w:cs="宋体"/>
          <w:b/>
          <w:sz w:val="24"/>
        </w:rPr>
        <w:t>（按竞争性磋商文件第四部分评标办法前附表中“磋商响应文件中评标标准相应的商务技术资料目录”提供资料）</w:t>
      </w:r>
    </w:p>
    <w:p>
      <w:pPr>
        <w:rPr>
          <w:rFonts w:ascii="宋体" w:hAnsi="宋体" w:cs="宋体"/>
        </w:rPr>
      </w:pPr>
    </w:p>
    <w:p>
      <w:pPr>
        <w:rPr>
          <w:rFonts w:ascii="宋体" w:hAnsi="宋体" w:cs="宋体"/>
        </w:rPr>
      </w:pPr>
    </w:p>
    <w:p>
      <w:pPr>
        <w:ind w:left="2940"/>
        <w:rPr>
          <w:rFonts w:ascii="宋体" w:hAnsi="宋体" w:cs="宋体"/>
          <w:b/>
          <w:kern w:val="0"/>
          <w:sz w:val="32"/>
          <w:szCs w:val="32"/>
          <w:highlight w:val="yellow"/>
        </w:rPr>
      </w:pPr>
      <w:r>
        <w:rPr>
          <w:rFonts w:hint="eastAsia" w:ascii="宋体" w:hAnsi="宋体" w:cs="宋体"/>
          <w:b/>
          <w:kern w:val="0"/>
          <w:sz w:val="32"/>
          <w:szCs w:val="32"/>
          <w:highlight w:val="yellow"/>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FF0000"/>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FF0000"/>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color w:val="FF0000"/>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FF0000"/>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FF0000"/>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FF0000"/>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r>
              <w:rPr>
                <w:rFonts w:hint="eastAsia" w:ascii="宋体" w:hAnsi="宋体" w:cs="宋体"/>
                <w:color w:val="FF0000"/>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r>
              <w:rPr>
                <w:rFonts w:hint="eastAsia" w:ascii="宋体" w:hAnsi="宋体" w:cs="宋体"/>
                <w:color w:val="FF0000"/>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r>
              <w:rPr>
                <w:rFonts w:hint="eastAsia" w:ascii="宋体" w:hAnsi="宋体" w:cs="宋体"/>
                <w:color w:val="FF0000"/>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r>
    </w:tbl>
    <w:p>
      <w:pPr>
        <w:pStyle w:val="4"/>
        <w:ind w:left="0" w:firstLine="0"/>
      </w:pPr>
    </w:p>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rPr>
          <w:rFonts w:ascii="宋体" w:hAnsi="宋体" w:cs="宋体"/>
          <w:kern w:val="0"/>
        </w:rPr>
      </w:pPr>
    </w:p>
    <w:p>
      <w:pPr>
        <w:rPr>
          <w:rFonts w:ascii="宋体" w:hAnsi="宋体" w:cs="宋体"/>
          <w:b/>
          <w:kern w:val="0"/>
          <w:sz w:val="32"/>
          <w:szCs w:val="32"/>
        </w:rPr>
      </w:pPr>
    </w:p>
    <w:p>
      <w:pPr>
        <w:pStyle w:val="4"/>
        <w:rPr>
          <w:rFonts w:ascii="宋体" w:hAnsi="宋体" w:cs="宋体"/>
          <w:kern w:val="0"/>
        </w:rPr>
      </w:pPr>
    </w:p>
    <w:p>
      <w:pPr>
        <w:rPr>
          <w:rFonts w:ascii="宋体" w:hAnsi="宋体" w:cs="宋体"/>
          <w:kern w:val="0"/>
        </w:rPr>
      </w:pPr>
      <w:r>
        <w:rPr>
          <w:rFonts w:ascii="宋体" w:hAnsi="宋体" w:cs="宋体"/>
          <w:kern w:val="0"/>
        </w:rPr>
        <w:br w:type="page"/>
      </w: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825"/>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宋体" w:hAnsi="宋体" w:cs="宋体"/>
                <w:b/>
                <w:bCs/>
                <w:sz w:val="24"/>
              </w:rPr>
            </w:pPr>
            <w:r>
              <w:rPr>
                <w:rFonts w:hint="eastAsia" w:ascii="宋体" w:hAnsi="宋体" w:cs="宋体"/>
                <w:b/>
                <w:bCs/>
                <w:sz w:val="24"/>
              </w:rPr>
              <w:t>序号</w:t>
            </w:r>
          </w:p>
        </w:tc>
        <w:tc>
          <w:tcPr>
            <w:tcW w:w="3825" w:type="dxa"/>
          </w:tcPr>
          <w:p>
            <w:pPr>
              <w:jc w:val="center"/>
              <w:rPr>
                <w:rFonts w:ascii="宋体" w:hAnsi="宋体" w:cs="宋体"/>
                <w:b/>
                <w:bCs/>
                <w:sz w:val="24"/>
              </w:rPr>
            </w:pPr>
            <w:r>
              <w:rPr>
                <w:rFonts w:hint="eastAsia" w:ascii="宋体" w:hAnsi="宋体" w:cs="宋体"/>
                <w:b/>
                <w:bCs/>
                <w:sz w:val="24"/>
              </w:rPr>
              <w:t>竞争性磋商文件章节及具体内容</w:t>
            </w:r>
          </w:p>
        </w:tc>
        <w:tc>
          <w:tcPr>
            <w:tcW w:w="3546" w:type="dxa"/>
          </w:tcPr>
          <w:p>
            <w:pPr>
              <w:jc w:val="center"/>
              <w:rPr>
                <w:rFonts w:ascii="宋体" w:hAnsi="宋体" w:cs="宋体"/>
                <w:b/>
                <w:bCs/>
                <w:sz w:val="24"/>
              </w:rPr>
            </w:pPr>
            <w:r>
              <w:rPr>
                <w:rFonts w:hint="eastAsia" w:ascii="宋体" w:hAnsi="宋体" w:cs="宋体"/>
                <w:b/>
                <w:bCs/>
                <w:sz w:val="24"/>
              </w:rPr>
              <w:t>磋商响应文件章节及具体内容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kern w:val="0"/>
                <w:sz w:val="24"/>
                <w:lang w:val="zh-CN"/>
              </w:rPr>
            </w:pPr>
            <w:r>
              <w:rPr>
                <w:rFonts w:hint="eastAsia" w:ascii="宋体" w:hAnsi="宋体" w:cs="宋体"/>
                <w:kern w:val="0"/>
                <w:sz w:val="24"/>
                <w:lang w:val="zh-CN"/>
              </w:rPr>
              <w:t>1</w:t>
            </w:r>
          </w:p>
        </w:tc>
        <w:tc>
          <w:tcPr>
            <w:tcW w:w="3825" w:type="dxa"/>
          </w:tcPr>
          <w:p>
            <w:pPr>
              <w:jc w:val="left"/>
              <w:rPr>
                <w:rFonts w:ascii="宋体" w:hAnsi="宋体" w:cs="宋体"/>
                <w:kern w:val="0"/>
                <w:sz w:val="24"/>
                <w:lang w:val="zh-CN"/>
              </w:rPr>
            </w:pPr>
          </w:p>
        </w:tc>
        <w:tc>
          <w:tcPr>
            <w:tcW w:w="3546" w:type="dxa"/>
            <w:vAlign w:val="center"/>
          </w:tcPr>
          <w:p>
            <w:pPr>
              <w:jc w:val="center"/>
              <w:rPr>
                <w:rFonts w:ascii="宋体" w:hAnsi="宋体" w:cs="宋体"/>
                <w:kern w:val="0"/>
                <w:sz w:val="24"/>
                <w:lang w:val="zh-CN"/>
              </w:rPr>
            </w:pPr>
          </w:p>
        </w:tc>
        <w:tc>
          <w:tcPr>
            <w:tcW w:w="1276" w:type="dxa"/>
          </w:tcPr>
          <w:p>
            <w:pPr>
              <w:jc w:val="center"/>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kern w:val="0"/>
                <w:sz w:val="24"/>
                <w:lang w:val="zh-CN"/>
              </w:rPr>
            </w:pPr>
            <w:r>
              <w:rPr>
                <w:rFonts w:hint="eastAsia" w:ascii="宋体" w:hAnsi="宋体" w:cs="宋体"/>
                <w:kern w:val="0"/>
                <w:sz w:val="24"/>
                <w:lang w:val="zh-CN"/>
              </w:rPr>
              <w:t>2</w:t>
            </w:r>
          </w:p>
        </w:tc>
        <w:tc>
          <w:tcPr>
            <w:tcW w:w="3825" w:type="dxa"/>
          </w:tcPr>
          <w:p>
            <w:pPr>
              <w:jc w:val="left"/>
              <w:rPr>
                <w:rFonts w:ascii="宋体" w:hAnsi="宋体" w:cs="宋体"/>
                <w:kern w:val="0"/>
                <w:sz w:val="24"/>
                <w:lang w:val="zh-CN"/>
              </w:rPr>
            </w:pPr>
          </w:p>
        </w:tc>
        <w:tc>
          <w:tcPr>
            <w:tcW w:w="3546" w:type="dxa"/>
            <w:vAlign w:val="center"/>
          </w:tcPr>
          <w:p>
            <w:pPr>
              <w:jc w:val="center"/>
              <w:rPr>
                <w:rFonts w:ascii="宋体" w:hAnsi="宋体" w:cs="宋体"/>
                <w:kern w:val="0"/>
                <w:sz w:val="24"/>
                <w:lang w:val="zh-CN"/>
              </w:rPr>
            </w:pPr>
          </w:p>
        </w:tc>
        <w:tc>
          <w:tcPr>
            <w:tcW w:w="1276" w:type="dxa"/>
          </w:tcPr>
          <w:p>
            <w:pPr>
              <w:jc w:val="center"/>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kern w:val="0"/>
                <w:sz w:val="24"/>
                <w:lang w:val="zh-CN"/>
              </w:rPr>
            </w:pPr>
            <w:r>
              <w:rPr>
                <w:rFonts w:hint="eastAsia" w:ascii="宋体" w:hAnsi="宋体" w:cs="宋体"/>
                <w:kern w:val="0"/>
                <w:sz w:val="24"/>
              </w:rPr>
              <w:t>……</w:t>
            </w:r>
          </w:p>
        </w:tc>
        <w:tc>
          <w:tcPr>
            <w:tcW w:w="3825" w:type="dxa"/>
          </w:tcPr>
          <w:p>
            <w:pPr>
              <w:jc w:val="left"/>
              <w:rPr>
                <w:rFonts w:ascii="宋体" w:hAnsi="宋体" w:cs="宋体"/>
                <w:kern w:val="0"/>
                <w:sz w:val="24"/>
                <w:lang w:val="zh-CN"/>
              </w:rPr>
            </w:pPr>
          </w:p>
        </w:tc>
        <w:tc>
          <w:tcPr>
            <w:tcW w:w="3546" w:type="dxa"/>
            <w:vAlign w:val="center"/>
          </w:tcPr>
          <w:p>
            <w:pPr>
              <w:jc w:val="center"/>
              <w:rPr>
                <w:rFonts w:ascii="宋体" w:hAnsi="宋体" w:cs="宋体"/>
                <w:kern w:val="0"/>
                <w:sz w:val="24"/>
                <w:lang w:val="zh-CN"/>
              </w:rPr>
            </w:pPr>
          </w:p>
        </w:tc>
        <w:tc>
          <w:tcPr>
            <w:tcW w:w="1276" w:type="dxa"/>
          </w:tcPr>
          <w:p>
            <w:pPr>
              <w:jc w:val="center"/>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kern w:val="0"/>
                <w:sz w:val="24"/>
                <w:lang w:val="zh-CN"/>
              </w:rPr>
            </w:pPr>
          </w:p>
        </w:tc>
        <w:tc>
          <w:tcPr>
            <w:tcW w:w="3825" w:type="dxa"/>
          </w:tcPr>
          <w:p>
            <w:pPr>
              <w:jc w:val="left"/>
              <w:rPr>
                <w:rFonts w:ascii="宋体" w:hAnsi="宋体" w:cs="宋体"/>
                <w:kern w:val="0"/>
                <w:sz w:val="24"/>
                <w:lang w:val="zh-CN"/>
              </w:rPr>
            </w:pPr>
          </w:p>
        </w:tc>
        <w:tc>
          <w:tcPr>
            <w:tcW w:w="3546" w:type="dxa"/>
            <w:vAlign w:val="center"/>
          </w:tcPr>
          <w:p>
            <w:pPr>
              <w:jc w:val="center"/>
              <w:rPr>
                <w:rFonts w:ascii="宋体" w:hAnsi="宋体" w:cs="宋体"/>
                <w:kern w:val="0"/>
                <w:sz w:val="24"/>
                <w:lang w:val="zh-CN"/>
              </w:rPr>
            </w:pPr>
          </w:p>
        </w:tc>
        <w:tc>
          <w:tcPr>
            <w:tcW w:w="1276" w:type="dxa"/>
          </w:tcPr>
          <w:p>
            <w:pPr>
              <w:jc w:val="center"/>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kern w:val="0"/>
                <w:sz w:val="24"/>
                <w:lang w:val="zh-CN"/>
              </w:rPr>
            </w:pPr>
          </w:p>
        </w:tc>
        <w:tc>
          <w:tcPr>
            <w:tcW w:w="3825" w:type="dxa"/>
          </w:tcPr>
          <w:p>
            <w:pPr>
              <w:jc w:val="left"/>
              <w:rPr>
                <w:rFonts w:ascii="宋体" w:hAnsi="宋体" w:cs="宋体"/>
                <w:kern w:val="0"/>
                <w:sz w:val="24"/>
                <w:lang w:val="zh-CN"/>
              </w:rPr>
            </w:pPr>
          </w:p>
        </w:tc>
        <w:tc>
          <w:tcPr>
            <w:tcW w:w="3546" w:type="dxa"/>
            <w:vAlign w:val="center"/>
          </w:tcPr>
          <w:p>
            <w:pPr>
              <w:jc w:val="center"/>
              <w:rPr>
                <w:rFonts w:ascii="宋体" w:hAnsi="宋体" w:cs="宋体"/>
                <w:kern w:val="0"/>
                <w:sz w:val="24"/>
                <w:lang w:val="zh-CN"/>
              </w:rPr>
            </w:pPr>
          </w:p>
        </w:tc>
        <w:tc>
          <w:tcPr>
            <w:tcW w:w="1276" w:type="dxa"/>
          </w:tcPr>
          <w:p>
            <w:pPr>
              <w:jc w:val="center"/>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kern w:val="0"/>
                <w:sz w:val="24"/>
                <w:lang w:val="zh-CN"/>
              </w:rPr>
            </w:pPr>
          </w:p>
        </w:tc>
        <w:tc>
          <w:tcPr>
            <w:tcW w:w="3825" w:type="dxa"/>
          </w:tcPr>
          <w:p>
            <w:pPr>
              <w:jc w:val="left"/>
              <w:rPr>
                <w:rFonts w:ascii="宋体" w:hAnsi="宋体" w:cs="宋体"/>
                <w:kern w:val="0"/>
                <w:sz w:val="24"/>
                <w:lang w:val="zh-CN"/>
              </w:rPr>
            </w:pPr>
          </w:p>
        </w:tc>
        <w:tc>
          <w:tcPr>
            <w:tcW w:w="3546" w:type="dxa"/>
            <w:vAlign w:val="center"/>
          </w:tcPr>
          <w:p>
            <w:pPr>
              <w:jc w:val="center"/>
              <w:rPr>
                <w:rFonts w:ascii="宋体" w:hAnsi="宋体" w:cs="宋体"/>
                <w:kern w:val="0"/>
                <w:sz w:val="24"/>
                <w:lang w:val="zh-CN"/>
              </w:rPr>
            </w:pPr>
          </w:p>
        </w:tc>
        <w:tc>
          <w:tcPr>
            <w:tcW w:w="1276" w:type="dxa"/>
          </w:tcPr>
          <w:p>
            <w:pPr>
              <w:jc w:val="center"/>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kern w:val="0"/>
                <w:sz w:val="24"/>
                <w:lang w:val="zh-CN"/>
              </w:rPr>
            </w:pPr>
          </w:p>
        </w:tc>
        <w:tc>
          <w:tcPr>
            <w:tcW w:w="3825" w:type="dxa"/>
          </w:tcPr>
          <w:p>
            <w:pPr>
              <w:jc w:val="left"/>
              <w:rPr>
                <w:rFonts w:ascii="宋体" w:hAnsi="宋体" w:cs="宋体"/>
                <w:kern w:val="0"/>
                <w:sz w:val="24"/>
                <w:lang w:val="zh-CN"/>
              </w:rPr>
            </w:pPr>
          </w:p>
        </w:tc>
        <w:tc>
          <w:tcPr>
            <w:tcW w:w="3546" w:type="dxa"/>
            <w:vAlign w:val="center"/>
          </w:tcPr>
          <w:p>
            <w:pPr>
              <w:jc w:val="center"/>
              <w:rPr>
                <w:rFonts w:ascii="宋体" w:hAnsi="宋体" w:cs="宋体"/>
                <w:kern w:val="0"/>
                <w:sz w:val="24"/>
                <w:lang w:val="zh-CN"/>
              </w:rPr>
            </w:pPr>
          </w:p>
        </w:tc>
        <w:tc>
          <w:tcPr>
            <w:tcW w:w="1276" w:type="dxa"/>
          </w:tcPr>
          <w:p>
            <w:pPr>
              <w:jc w:val="center"/>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kern w:val="0"/>
                <w:sz w:val="24"/>
                <w:lang w:val="zh-CN"/>
              </w:rPr>
            </w:pPr>
          </w:p>
        </w:tc>
        <w:tc>
          <w:tcPr>
            <w:tcW w:w="3825" w:type="dxa"/>
          </w:tcPr>
          <w:p>
            <w:pPr>
              <w:jc w:val="left"/>
              <w:rPr>
                <w:rFonts w:ascii="宋体" w:hAnsi="宋体" w:cs="宋体"/>
                <w:kern w:val="0"/>
                <w:sz w:val="24"/>
                <w:lang w:val="zh-CN"/>
              </w:rPr>
            </w:pPr>
          </w:p>
        </w:tc>
        <w:tc>
          <w:tcPr>
            <w:tcW w:w="3546" w:type="dxa"/>
            <w:vAlign w:val="center"/>
          </w:tcPr>
          <w:p>
            <w:pPr>
              <w:jc w:val="center"/>
              <w:rPr>
                <w:rFonts w:ascii="宋体" w:hAnsi="宋体" w:cs="宋体"/>
                <w:kern w:val="0"/>
                <w:sz w:val="24"/>
                <w:lang w:val="zh-CN"/>
              </w:rPr>
            </w:pPr>
          </w:p>
        </w:tc>
        <w:tc>
          <w:tcPr>
            <w:tcW w:w="1276" w:type="dxa"/>
          </w:tcPr>
          <w:p>
            <w:pPr>
              <w:jc w:val="center"/>
              <w:rPr>
                <w:rFonts w:ascii="宋体" w:hAnsi="宋体" w:cs="宋体"/>
                <w:kern w:val="0"/>
                <w:sz w:val="24"/>
                <w:lang w:val="zh-CN"/>
              </w:rPr>
            </w:pPr>
          </w:p>
        </w:tc>
      </w:tr>
    </w:tbl>
    <w:p>
      <w:pPr>
        <w:jc w:val="left"/>
        <w:rPr>
          <w:rFonts w:ascii="宋体" w:hAnsi="宋体" w:cs="宋体"/>
          <w:kern w:val="0"/>
          <w:sz w:val="24"/>
        </w:rPr>
      </w:pPr>
      <w:r>
        <w:rPr>
          <w:rFonts w:hint="eastAsia" w:ascii="宋体" w:hAnsi="宋体" w:cs="宋体"/>
          <w:kern w:val="0"/>
          <w:sz w:val="24"/>
        </w:rPr>
        <w:t>供应商保证：除商务技术偏离表列出的偏离外，供应商响应竞争性磋商文件的全部要求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ind w:left="0" w:firstLine="0"/>
        <w:rPr>
          <w:lang w:val="en-US"/>
        </w:rPr>
      </w:pPr>
    </w:p>
    <w:p/>
    <w:p>
      <w:pPr>
        <w:pStyle w:val="4"/>
        <w:rPr>
          <w:lang w:val="en-US"/>
        </w:rPr>
      </w:pPr>
    </w:p>
    <w:p/>
    <w:p>
      <w:pPr>
        <w:pStyle w:val="4"/>
        <w:rPr>
          <w:lang w:val="en-US"/>
        </w:rPr>
      </w:pPr>
    </w:p>
    <w:p/>
    <w:p>
      <w:pPr>
        <w:pStyle w:val="4"/>
        <w:ind w:left="0" w:firstLine="0"/>
        <w:rPr>
          <w:lang w:val="en-US"/>
        </w:rPr>
      </w:pPr>
    </w:p>
    <w:p>
      <w:pPr>
        <w:rPr>
          <w:rFonts w:hint="eastAsia" w:ascii="宋体" w:hAnsi="宋体" w:cs="宋体"/>
          <w:b/>
          <w:kern w:val="0"/>
          <w:sz w:val="32"/>
          <w:szCs w:val="32"/>
        </w:rPr>
      </w:pPr>
      <w:r>
        <w:rPr>
          <w:rFonts w:hint="eastAsia" w:ascii="宋体" w:hAnsi="宋体" w:cs="宋体"/>
          <w:b/>
          <w:kern w:val="0"/>
          <w:sz w:val="32"/>
          <w:szCs w:val="32"/>
        </w:rPr>
        <w:br w:type="page"/>
      </w:r>
    </w:p>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八、</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等法律法规，诚实守信，合法经营，坚决抵制各种违法违纪行为。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供应商名称（</w:t>
      </w:r>
      <w:r>
        <w:rPr>
          <w:rFonts w:hint="eastAsia" w:ascii="宋体" w:hAnsi="宋体" w:cs="宋体"/>
          <w:sz w:val="24"/>
        </w:rPr>
        <w:t>电子签名</w:t>
      </w:r>
      <w:r>
        <w:rPr>
          <w:rFonts w:hint="eastAsia" w:ascii="宋体" w:hAnsi="宋体" w:cs="宋体"/>
          <w:kern w:val="0"/>
          <w:sz w:val="24"/>
          <w:lang w:val="zh-CN"/>
        </w:rPr>
        <w:t>）：</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ind w:right="420"/>
        <w:rPr>
          <w:rFonts w:ascii="宋体" w:hAnsi="宋体" w:cs="宋体"/>
          <w:sz w:val="24"/>
        </w:rPr>
      </w:pP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spacing w:line="360" w:lineRule="auto"/>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pStyle w:val="692"/>
        <w:keepNext w:val="0"/>
        <w:pageBreakBefore w:val="0"/>
        <w:tabs>
          <w:tab w:val="left" w:pos="360"/>
          <w:tab w:val="clear" w:pos="720"/>
        </w:tabs>
        <w:snapToGrid w:val="0"/>
        <w:spacing w:before="96" w:after="96"/>
        <w:ind w:left="1280" w:hanging="1280"/>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ind w:firstLine="482"/>
        <w:rPr>
          <w:rFonts w:ascii="宋体" w:hAnsi="宋体" w:cs="宋体"/>
          <w:kern w:val="0"/>
          <w:lang w:val="zh-CN"/>
        </w:rPr>
      </w:pPr>
      <w:r>
        <w:rPr>
          <w:rFonts w:hint="eastAsia" w:ascii="宋体" w:hAnsi="宋体" w:cs="宋体"/>
          <w:kern w:val="0"/>
          <w:lang w:val="zh-CN"/>
        </w:rPr>
        <w:t>按你方招标文件要求，我们，本投标文件签字方，谨此向你方发出要约如下：如你方接受本投标，我方承诺按照如下开标一览表（报价表）的价格完成</w:t>
      </w:r>
      <w:r>
        <w:rPr>
          <w:rFonts w:hint="eastAsia" w:ascii="宋体" w:hAnsi="宋体" w:cs="宋体"/>
        </w:rPr>
        <w:t>（项目名称）</w:t>
      </w:r>
      <w:r>
        <w:rPr>
          <w:rFonts w:hint="eastAsia" w:ascii="宋体" w:hAnsi="宋体" w:cs="宋体"/>
          <w:kern w:val="0"/>
          <w:lang w:val="zh-CN"/>
        </w:rPr>
        <w:t>【招标编号：</w:t>
      </w:r>
      <w:r>
        <w:rPr>
          <w:rFonts w:hint="eastAsia" w:ascii="宋体" w:hAnsi="宋体" w:cs="宋体"/>
        </w:rPr>
        <w:t>（采购编号）】的实施</w:t>
      </w:r>
      <w:r>
        <w:rPr>
          <w:rFonts w:hint="eastAsia" w:ascii="宋体" w:hAnsi="宋体" w:cs="宋体"/>
          <w:kern w:val="0"/>
          <w:lang w:val="zh-CN"/>
        </w:rPr>
        <w:t>。</w:t>
      </w:r>
    </w:p>
    <w:p>
      <w:pPr>
        <w:jc w:val="center"/>
        <w:rPr>
          <w:rFonts w:ascii="宋体" w:hAnsi="宋体" w:cs="宋体"/>
          <w:b/>
          <w:kern w:val="0"/>
          <w:lang w:val="zh-CN"/>
        </w:rPr>
      </w:pPr>
      <w:r>
        <w:rPr>
          <w:rFonts w:hint="eastAsia" w:ascii="宋体" w:hAnsi="宋体" w:cs="宋体"/>
          <w:b/>
          <w:kern w:val="0"/>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779"/>
        <w:gridCol w:w="780"/>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jc w:val="center"/>
              <w:rPr>
                <w:rFonts w:ascii="宋体" w:hAnsi="宋体" w:cs="宋体"/>
                <w:b/>
              </w:rPr>
            </w:pPr>
            <w:r>
              <w:rPr>
                <w:rFonts w:hint="eastAsia" w:ascii="宋体" w:hAnsi="宋体" w:cs="宋体"/>
                <w:b/>
              </w:rPr>
              <w:t>序号</w:t>
            </w:r>
          </w:p>
        </w:tc>
        <w:tc>
          <w:tcPr>
            <w:tcW w:w="1417" w:type="dxa"/>
            <w:vAlign w:val="center"/>
          </w:tcPr>
          <w:p>
            <w:pPr>
              <w:jc w:val="center"/>
              <w:rPr>
                <w:rFonts w:ascii="宋体" w:hAnsi="宋体" w:cs="宋体"/>
                <w:b/>
              </w:rPr>
            </w:pPr>
            <w:r>
              <w:rPr>
                <w:rFonts w:hint="eastAsia" w:ascii="宋体" w:hAnsi="宋体" w:cs="宋体"/>
                <w:b/>
              </w:rPr>
              <w:t>名称</w:t>
            </w:r>
          </w:p>
        </w:tc>
        <w:tc>
          <w:tcPr>
            <w:tcW w:w="1843" w:type="dxa"/>
          </w:tcPr>
          <w:p>
            <w:pPr>
              <w:jc w:val="center"/>
              <w:rPr>
                <w:rFonts w:ascii="宋体" w:hAnsi="宋体" w:cs="宋体"/>
                <w:b/>
              </w:rPr>
            </w:pPr>
          </w:p>
          <w:p>
            <w:pPr>
              <w:jc w:val="center"/>
              <w:rPr>
                <w:rFonts w:ascii="宋体" w:hAnsi="宋体" w:cs="宋体"/>
                <w:b/>
              </w:rPr>
            </w:pPr>
            <w:r>
              <w:rPr>
                <w:rFonts w:hint="eastAsia" w:ascii="宋体" w:hAnsi="宋体" w:cs="宋体"/>
                <w:b/>
              </w:rPr>
              <w:t>品牌</w:t>
            </w:r>
          </w:p>
        </w:tc>
        <w:tc>
          <w:tcPr>
            <w:tcW w:w="3118" w:type="dxa"/>
            <w:vAlign w:val="center"/>
          </w:tcPr>
          <w:p>
            <w:pPr>
              <w:jc w:val="center"/>
              <w:rPr>
                <w:rFonts w:ascii="宋体" w:hAnsi="宋体" w:cs="宋体"/>
                <w:b/>
              </w:rPr>
            </w:pPr>
            <w:r>
              <w:rPr>
                <w:rFonts w:hint="eastAsia" w:ascii="宋体" w:hAnsi="宋体" w:cs="宋体"/>
                <w:b/>
              </w:rPr>
              <w:t>规格型号</w:t>
            </w:r>
          </w:p>
        </w:tc>
        <w:tc>
          <w:tcPr>
            <w:tcW w:w="993" w:type="dxa"/>
            <w:vAlign w:val="center"/>
          </w:tcPr>
          <w:p>
            <w:pPr>
              <w:jc w:val="center"/>
              <w:rPr>
                <w:rFonts w:ascii="宋体" w:hAnsi="宋体" w:cs="宋体"/>
                <w:b/>
              </w:rPr>
            </w:pPr>
            <w:r>
              <w:rPr>
                <w:rFonts w:hint="eastAsia" w:ascii="宋体" w:hAnsi="宋体" w:cs="宋体"/>
                <w:b/>
              </w:rPr>
              <w:t>数量</w:t>
            </w:r>
          </w:p>
        </w:tc>
        <w:tc>
          <w:tcPr>
            <w:tcW w:w="779" w:type="dxa"/>
            <w:vAlign w:val="center"/>
          </w:tcPr>
          <w:p>
            <w:pPr>
              <w:jc w:val="center"/>
              <w:rPr>
                <w:rFonts w:hint="eastAsia" w:ascii="宋体" w:hAnsi="宋体" w:eastAsia="宋体" w:cs="宋体"/>
                <w:b/>
                <w:lang w:eastAsia="zh-CN"/>
              </w:rPr>
            </w:pPr>
            <w:r>
              <w:rPr>
                <w:rFonts w:hint="eastAsia" w:ascii="宋体" w:hAnsi="宋体" w:cs="宋体"/>
                <w:b/>
              </w:rPr>
              <w:t>单</w:t>
            </w:r>
            <w:r>
              <w:rPr>
                <w:rFonts w:hint="eastAsia" w:ascii="宋体" w:hAnsi="宋体" w:cs="宋体"/>
                <w:b/>
                <w:lang w:val="en-US" w:eastAsia="zh-CN"/>
              </w:rPr>
              <w:t>位</w:t>
            </w:r>
          </w:p>
        </w:tc>
        <w:tc>
          <w:tcPr>
            <w:tcW w:w="780" w:type="dxa"/>
            <w:vAlign w:val="center"/>
          </w:tcPr>
          <w:p>
            <w:pPr>
              <w:jc w:val="center"/>
              <w:rPr>
                <w:rFonts w:hint="eastAsia" w:ascii="宋体" w:hAnsi="宋体" w:cs="宋体"/>
                <w:b/>
              </w:rPr>
            </w:pPr>
            <w:r>
              <w:rPr>
                <w:rFonts w:hint="eastAsia" w:ascii="宋体" w:hAnsi="宋体" w:cs="宋体"/>
                <w:b/>
              </w:rPr>
              <w:t>单价</w:t>
            </w:r>
          </w:p>
        </w:tc>
        <w:tc>
          <w:tcPr>
            <w:tcW w:w="1984" w:type="dxa"/>
            <w:vAlign w:val="center"/>
          </w:tcPr>
          <w:p>
            <w:pPr>
              <w:jc w:val="center"/>
              <w:rPr>
                <w:rFonts w:ascii="宋体" w:hAnsi="宋体" w:cs="宋体"/>
                <w:b/>
              </w:rPr>
            </w:pPr>
            <w:r>
              <w:rPr>
                <w:rFonts w:hint="eastAsia" w:ascii="宋体" w:hAnsi="宋体" w:cs="宋体"/>
                <w:b/>
              </w:rPr>
              <w:t>总价</w:t>
            </w:r>
          </w:p>
        </w:tc>
        <w:tc>
          <w:tcPr>
            <w:tcW w:w="3119" w:type="dxa"/>
            <w:vAlign w:val="center"/>
          </w:tcPr>
          <w:p>
            <w:pPr>
              <w:jc w:val="center"/>
              <w:rPr>
                <w:rFonts w:hint="eastAsia" w:ascii="宋体" w:hAnsi="宋体" w:eastAsia="宋体" w:cs="宋体"/>
                <w:b/>
                <w:lang w:eastAsia="zh-CN"/>
              </w:rPr>
            </w:pPr>
            <w:r>
              <w:rPr>
                <w:rFonts w:hint="eastAsia" w:ascii="宋体" w:hAnsi="宋体" w:cs="宋体"/>
                <w:b/>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jc w:val="center"/>
              <w:rPr>
                <w:rFonts w:ascii="宋体" w:hAnsi="宋体" w:cs="宋体"/>
                <w:color w:val="FF0000"/>
              </w:rPr>
            </w:pPr>
            <w:r>
              <w:rPr>
                <w:rFonts w:hint="eastAsia" w:ascii="宋体" w:hAnsi="宋体" w:cs="宋体"/>
                <w:color w:val="FF0000"/>
              </w:rPr>
              <w:t>1</w:t>
            </w:r>
          </w:p>
        </w:tc>
        <w:tc>
          <w:tcPr>
            <w:tcW w:w="1417" w:type="dxa"/>
            <w:vAlign w:val="center"/>
          </w:tcPr>
          <w:p>
            <w:pPr>
              <w:snapToGrid w:val="0"/>
              <w:jc w:val="center"/>
              <w:rPr>
                <w:rFonts w:hint="eastAsia" w:ascii="宋体" w:hAnsi="宋体" w:eastAsia="宋体" w:cs="宋体"/>
                <w:color w:val="FF0000"/>
                <w:lang w:val="en-US" w:eastAsia="zh-CN"/>
              </w:rPr>
            </w:pPr>
            <w:r>
              <w:rPr>
                <w:rFonts w:hint="eastAsia" w:ascii="宋体" w:hAnsi="宋体" w:cs="宋体"/>
                <w:color w:val="FF0000"/>
                <w:lang w:val="en-US" w:eastAsia="zh-CN"/>
              </w:rPr>
              <w:t>选手奖金</w:t>
            </w:r>
          </w:p>
        </w:tc>
        <w:tc>
          <w:tcPr>
            <w:tcW w:w="1843" w:type="dxa"/>
            <w:vAlign w:val="center"/>
          </w:tcPr>
          <w:p>
            <w:pPr>
              <w:snapToGrid w:val="0"/>
              <w:jc w:val="center"/>
              <w:rPr>
                <w:rFonts w:ascii="宋体" w:hAnsi="宋体" w:cs="宋体"/>
                <w:color w:val="FF0000"/>
              </w:rPr>
            </w:pPr>
          </w:p>
        </w:tc>
        <w:tc>
          <w:tcPr>
            <w:tcW w:w="3118" w:type="dxa"/>
            <w:vAlign w:val="center"/>
          </w:tcPr>
          <w:p>
            <w:pPr>
              <w:snapToGrid w:val="0"/>
              <w:jc w:val="center"/>
              <w:rPr>
                <w:rFonts w:ascii="宋体" w:hAnsi="宋体" w:cs="宋体"/>
                <w:color w:val="FF0000"/>
              </w:rPr>
            </w:pPr>
          </w:p>
        </w:tc>
        <w:tc>
          <w:tcPr>
            <w:tcW w:w="993" w:type="dxa"/>
            <w:vAlign w:val="center"/>
          </w:tcPr>
          <w:p>
            <w:pPr>
              <w:snapToGrid w:val="0"/>
              <w:jc w:val="center"/>
              <w:rPr>
                <w:rFonts w:ascii="宋体" w:hAnsi="宋体" w:cs="宋体"/>
                <w:color w:val="FF0000"/>
              </w:rPr>
            </w:pPr>
          </w:p>
        </w:tc>
        <w:tc>
          <w:tcPr>
            <w:tcW w:w="779" w:type="dxa"/>
            <w:vAlign w:val="center"/>
          </w:tcPr>
          <w:p>
            <w:pPr>
              <w:jc w:val="center"/>
              <w:rPr>
                <w:rFonts w:ascii="宋体" w:hAnsi="宋体" w:cs="宋体"/>
                <w:color w:val="FF0000"/>
              </w:rPr>
            </w:pPr>
          </w:p>
        </w:tc>
        <w:tc>
          <w:tcPr>
            <w:tcW w:w="780" w:type="dxa"/>
            <w:vAlign w:val="center"/>
          </w:tcPr>
          <w:p>
            <w:pPr>
              <w:jc w:val="center"/>
              <w:rPr>
                <w:rFonts w:ascii="宋体" w:hAnsi="宋体" w:cs="宋体"/>
                <w:color w:val="FF0000"/>
              </w:rPr>
            </w:pPr>
          </w:p>
        </w:tc>
        <w:tc>
          <w:tcPr>
            <w:tcW w:w="1984" w:type="dxa"/>
            <w:vAlign w:val="center"/>
          </w:tcPr>
          <w:p>
            <w:pPr>
              <w:jc w:val="center"/>
              <w:rPr>
                <w:rFonts w:hint="default" w:ascii="宋体" w:hAnsi="宋体" w:eastAsia="宋体" w:cs="宋体"/>
                <w:color w:val="FF0000"/>
                <w:lang w:val="en-US" w:eastAsia="zh-CN"/>
              </w:rPr>
            </w:pPr>
            <w:r>
              <w:rPr>
                <w:rFonts w:hint="eastAsia" w:ascii="宋体" w:hAnsi="宋体" w:cs="宋体"/>
                <w:color w:val="FF0000"/>
                <w:lang w:val="en-US" w:eastAsia="zh-CN"/>
              </w:rPr>
              <w:t>151300</w:t>
            </w:r>
          </w:p>
        </w:tc>
        <w:tc>
          <w:tcPr>
            <w:tcW w:w="31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jc w:val="center"/>
              <w:rPr>
                <w:rFonts w:ascii="宋体" w:hAnsi="宋体" w:cs="宋体"/>
                <w:color w:val="FF0000"/>
              </w:rPr>
            </w:pPr>
          </w:p>
        </w:tc>
        <w:tc>
          <w:tcPr>
            <w:tcW w:w="1417" w:type="dxa"/>
            <w:vAlign w:val="center"/>
          </w:tcPr>
          <w:p>
            <w:pPr>
              <w:snapToGrid w:val="0"/>
              <w:jc w:val="center"/>
              <w:rPr>
                <w:rFonts w:hint="default" w:ascii="宋体" w:hAnsi="宋体" w:eastAsia="宋体" w:cs="宋体"/>
                <w:color w:val="FF0000"/>
                <w:lang w:val="en-US" w:eastAsia="zh-CN"/>
              </w:rPr>
            </w:pPr>
          </w:p>
        </w:tc>
        <w:tc>
          <w:tcPr>
            <w:tcW w:w="1843" w:type="dxa"/>
            <w:vAlign w:val="center"/>
          </w:tcPr>
          <w:p>
            <w:pPr>
              <w:snapToGrid w:val="0"/>
              <w:jc w:val="center"/>
              <w:rPr>
                <w:rFonts w:ascii="宋体" w:hAnsi="宋体" w:cs="宋体"/>
                <w:color w:val="FF0000"/>
              </w:rPr>
            </w:pPr>
          </w:p>
        </w:tc>
        <w:tc>
          <w:tcPr>
            <w:tcW w:w="3118" w:type="dxa"/>
            <w:vAlign w:val="center"/>
          </w:tcPr>
          <w:p>
            <w:pPr>
              <w:snapToGrid w:val="0"/>
              <w:jc w:val="center"/>
              <w:rPr>
                <w:rFonts w:ascii="宋体" w:hAnsi="宋体" w:cs="宋体"/>
                <w:color w:val="FF0000"/>
              </w:rPr>
            </w:pPr>
          </w:p>
        </w:tc>
        <w:tc>
          <w:tcPr>
            <w:tcW w:w="993" w:type="dxa"/>
            <w:vAlign w:val="center"/>
          </w:tcPr>
          <w:p>
            <w:pPr>
              <w:snapToGrid w:val="0"/>
              <w:jc w:val="center"/>
              <w:rPr>
                <w:rFonts w:ascii="宋体" w:hAnsi="宋体" w:cs="宋体"/>
                <w:color w:val="FF0000"/>
              </w:rPr>
            </w:pPr>
          </w:p>
        </w:tc>
        <w:tc>
          <w:tcPr>
            <w:tcW w:w="779" w:type="dxa"/>
            <w:vAlign w:val="center"/>
          </w:tcPr>
          <w:p>
            <w:pPr>
              <w:jc w:val="center"/>
              <w:rPr>
                <w:rFonts w:ascii="宋体" w:hAnsi="宋体" w:cs="宋体"/>
                <w:color w:val="FF0000"/>
              </w:rPr>
            </w:pPr>
          </w:p>
        </w:tc>
        <w:tc>
          <w:tcPr>
            <w:tcW w:w="780" w:type="dxa"/>
            <w:vAlign w:val="center"/>
          </w:tcPr>
          <w:p>
            <w:pPr>
              <w:jc w:val="center"/>
              <w:rPr>
                <w:rFonts w:ascii="宋体" w:hAnsi="宋体" w:cs="宋体"/>
                <w:color w:val="FF0000"/>
              </w:rPr>
            </w:pPr>
          </w:p>
        </w:tc>
        <w:tc>
          <w:tcPr>
            <w:tcW w:w="1984" w:type="dxa"/>
            <w:vAlign w:val="center"/>
          </w:tcPr>
          <w:p>
            <w:pPr>
              <w:jc w:val="center"/>
              <w:rPr>
                <w:rFonts w:hint="default" w:ascii="宋体" w:hAnsi="宋体" w:eastAsia="宋体" w:cs="宋体"/>
                <w:color w:val="FF0000"/>
                <w:lang w:val="en-US" w:eastAsia="zh-CN"/>
              </w:rPr>
            </w:pPr>
          </w:p>
        </w:tc>
        <w:tc>
          <w:tcPr>
            <w:tcW w:w="31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jc w:val="center"/>
              <w:rPr>
                <w:rFonts w:ascii="宋体" w:hAnsi="宋体" w:cs="宋体"/>
              </w:rPr>
            </w:pPr>
            <w:r>
              <w:rPr>
                <w:rFonts w:hint="eastAsia" w:ascii="宋体" w:hAnsi="宋体" w:cs="宋体"/>
              </w:rPr>
              <w:t>…</w:t>
            </w:r>
          </w:p>
        </w:tc>
        <w:tc>
          <w:tcPr>
            <w:tcW w:w="1417" w:type="dxa"/>
            <w:vAlign w:val="center"/>
          </w:tcPr>
          <w:p>
            <w:pPr>
              <w:snapToGrid w:val="0"/>
              <w:jc w:val="center"/>
              <w:rPr>
                <w:rFonts w:ascii="宋体" w:hAnsi="宋体" w:cs="宋体"/>
              </w:rPr>
            </w:pPr>
          </w:p>
        </w:tc>
        <w:tc>
          <w:tcPr>
            <w:tcW w:w="1843" w:type="dxa"/>
            <w:vAlign w:val="center"/>
          </w:tcPr>
          <w:p>
            <w:pPr>
              <w:snapToGrid w:val="0"/>
              <w:jc w:val="center"/>
              <w:rPr>
                <w:rFonts w:ascii="宋体" w:hAnsi="宋体" w:cs="宋体"/>
              </w:rPr>
            </w:pPr>
          </w:p>
        </w:tc>
        <w:tc>
          <w:tcPr>
            <w:tcW w:w="3118" w:type="dxa"/>
            <w:vAlign w:val="center"/>
          </w:tcPr>
          <w:p>
            <w:pPr>
              <w:snapToGrid w:val="0"/>
              <w:jc w:val="center"/>
              <w:rPr>
                <w:rFonts w:ascii="宋体" w:hAnsi="宋体" w:cs="宋体"/>
              </w:rPr>
            </w:pPr>
          </w:p>
        </w:tc>
        <w:tc>
          <w:tcPr>
            <w:tcW w:w="993" w:type="dxa"/>
            <w:vAlign w:val="center"/>
          </w:tcPr>
          <w:p>
            <w:pPr>
              <w:snapToGrid w:val="0"/>
              <w:jc w:val="center"/>
              <w:rPr>
                <w:rFonts w:ascii="宋体" w:hAnsi="宋体" w:cs="宋体"/>
              </w:rPr>
            </w:pPr>
          </w:p>
        </w:tc>
        <w:tc>
          <w:tcPr>
            <w:tcW w:w="779" w:type="dxa"/>
            <w:vAlign w:val="center"/>
          </w:tcPr>
          <w:p>
            <w:pPr>
              <w:jc w:val="center"/>
              <w:rPr>
                <w:rFonts w:ascii="宋体" w:hAnsi="宋体" w:cs="宋体"/>
              </w:rPr>
            </w:pPr>
          </w:p>
        </w:tc>
        <w:tc>
          <w:tcPr>
            <w:tcW w:w="780" w:type="dxa"/>
            <w:vAlign w:val="center"/>
          </w:tcPr>
          <w:p>
            <w:pPr>
              <w:jc w:val="center"/>
              <w:rPr>
                <w:rFonts w:ascii="宋体" w:hAnsi="宋体" w:cs="宋体"/>
              </w:rPr>
            </w:pPr>
          </w:p>
        </w:tc>
        <w:tc>
          <w:tcPr>
            <w:tcW w:w="1984" w:type="dxa"/>
            <w:vAlign w:val="center"/>
          </w:tcPr>
          <w:p>
            <w:pPr>
              <w:jc w:val="center"/>
              <w:rPr>
                <w:rFonts w:ascii="宋体" w:hAnsi="宋体" w:cs="宋体"/>
              </w:rPr>
            </w:pPr>
          </w:p>
        </w:tc>
        <w:tc>
          <w:tcPr>
            <w:tcW w:w="31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jc w:val="center"/>
              <w:rPr>
                <w:rFonts w:ascii="宋体" w:hAnsi="宋体" w:cs="宋体"/>
              </w:rPr>
            </w:pPr>
          </w:p>
        </w:tc>
        <w:tc>
          <w:tcPr>
            <w:tcW w:w="1417" w:type="dxa"/>
            <w:vAlign w:val="center"/>
          </w:tcPr>
          <w:p>
            <w:pPr>
              <w:snapToGrid w:val="0"/>
              <w:jc w:val="center"/>
              <w:rPr>
                <w:rFonts w:ascii="宋体" w:hAnsi="宋体" w:cs="宋体"/>
              </w:rPr>
            </w:pPr>
          </w:p>
        </w:tc>
        <w:tc>
          <w:tcPr>
            <w:tcW w:w="1843" w:type="dxa"/>
            <w:vAlign w:val="center"/>
          </w:tcPr>
          <w:p>
            <w:pPr>
              <w:snapToGrid w:val="0"/>
              <w:jc w:val="center"/>
              <w:rPr>
                <w:rFonts w:ascii="宋体" w:hAnsi="宋体" w:cs="宋体"/>
              </w:rPr>
            </w:pPr>
          </w:p>
        </w:tc>
        <w:tc>
          <w:tcPr>
            <w:tcW w:w="3118" w:type="dxa"/>
            <w:vAlign w:val="center"/>
          </w:tcPr>
          <w:p>
            <w:pPr>
              <w:snapToGrid w:val="0"/>
              <w:jc w:val="center"/>
              <w:rPr>
                <w:rFonts w:ascii="宋体" w:hAnsi="宋体" w:cs="宋体"/>
              </w:rPr>
            </w:pPr>
          </w:p>
        </w:tc>
        <w:tc>
          <w:tcPr>
            <w:tcW w:w="993" w:type="dxa"/>
            <w:vAlign w:val="center"/>
          </w:tcPr>
          <w:p>
            <w:pPr>
              <w:snapToGrid w:val="0"/>
              <w:jc w:val="center"/>
              <w:rPr>
                <w:rFonts w:ascii="宋体" w:hAnsi="宋体" w:cs="宋体"/>
              </w:rPr>
            </w:pPr>
          </w:p>
        </w:tc>
        <w:tc>
          <w:tcPr>
            <w:tcW w:w="779" w:type="dxa"/>
            <w:vAlign w:val="center"/>
          </w:tcPr>
          <w:p>
            <w:pPr>
              <w:jc w:val="center"/>
              <w:rPr>
                <w:rFonts w:ascii="宋体" w:hAnsi="宋体" w:cs="宋体"/>
              </w:rPr>
            </w:pPr>
          </w:p>
        </w:tc>
        <w:tc>
          <w:tcPr>
            <w:tcW w:w="780" w:type="dxa"/>
            <w:vAlign w:val="center"/>
          </w:tcPr>
          <w:p>
            <w:pPr>
              <w:jc w:val="center"/>
              <w:rPr>
                <w:rFonts w:ascii="宋体" w:hAnsi="宋体" w:cs="宋体"/>
              </w:rPr>
            </w:pPr>
          </w:p>
        </w:tc>
        <w:tc>
          <w:tcPr>
            <w:tcW w:w="1984" w:type="dxa"/>
            <w:vAlign w:val="center"/>
          </w:tcPr>
          <w:p>
            <w:pPr>
              <w:jc w:val="center"/>
              <w:rPr>
                <w:rFonts w:ascii="宋体" w:hAnsi="宋体" w:cs="宋体"/>
              </w:rPr>
            </w:pPr>
          </w:p>
        </w:tc>
        <w:tc>
          <w:tcPr>
            <w:tcW w:w="31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jc w:val="center"/>
              <w:rPr>
                <w:rFonts w:ascii="宋体" w:hAnsi="宋体" w:cs="宋体"/>
              </w:rPr>
            </w:pPr>
          </w:p>
        </w:tc>
        <w:tc>
          <w:tcPr>
            <w:tcW w:w="1417" w:type="dxa"/>
            <w:vAlign w:val="center"/>
          </w:tcPr>
          <w:p>
            <w:pPr>
              <w:snapToGrid w:val="0"/>
              <w:jc w:val="center"/>
              <w:rPr>
                <w:rFonts w:ascii="宋体" w:hAnsi="宋体" w:cs="宋体"/>
              </w:rPr>
            </w:pPr>
          </w:p>
        </w:tc>
        <w:tc>
          <w:tcPr>
            <w:tcW w:w="1843" w:type="dxa"/>
            <w:vAlign w:val="center"/>
          </w:tcPr>
          <w:p>
            <w:pPr>
              <w:snapToGrid w:val="0"/>
              <w:jc w:val="center"/>
              <w:rPr>
                <w:rFonts w:ascii="宋体" w:hAnsi="宋体" w:cs="宋体"/>
              </w:rPr>
            </w:pPr>
          </w:p>
        </w:tc>
        <w:tc>
          <w:tcPr>
            <w:tcW w:w="3118" w:type="dxa"/>
            <w:vAlign w:val="center"/>
          </w:tcPr>
          <w:p>
            <w:pPr>
              <w:snapToGrid w:val="0"/>
              <w:jc w:val="center"/>
              <w:rPr>
                <w:rFonts w:ascii="宋体" w:hAnsi="宋体" w:cs="宋体"/>
              </w:rPr>
            </w:pPr>
          </w:p>
        </w:tc>
        <w:tc>
          <w:tcPr>
            <w:tcW w:w="993" w:type="dxa"/>
            <w:vAlign w:val="center"/>
          </w:tcPr>
          <w:p>
            <w:pPr>
              <w:snapToGrid w:val="0"/>
              <w:jc w:val="center"/>
              <w:rPr>
                <w:rFonts w:ascii="宋体" w:hAnsi="宋体" w:cs="宋体"/>
              </w:rPr>
            </w:pPr>
          </w:p>
        </w:tc>
        <w:tc>
          <w:tcPr>
            <w:tcW w:w="779" w:type="dxa"/>
            <w:vAlign w:val="center"/>
          </w:tcPr>
          <w:p>
            <w:pPr>
              <w:jc w:val="center"/>
              <w:rPr>
                <w:rFonts w:ascii="宋体" w:hAnsi="宋体" w:cs="宋体"/>
              </w:rPr>
            </w:pPr>
          </w:p>
        </w:tc>
        <w:tc>
          <w:tcPr>
            <w:tcW w:w="780" w:type="dxa"/>
            <w:vAlign w:val="center"/>
          </w:tcPr>
          <w:p>
            <w:pPr>
              <w:jc w:val="center"/>
              <w:rPr>
                <w:rFonts w:ascii="宋体" w:hAnsi="宋体" w:cs="宋体"/>
              </w:rPr>
            </w:pPr>
          </w:p>
        </w:tc>
        <w:tc>
          <w:tcPr>
            <w:tcW w:w="1984" w:type="dxa"/>
            <w:vAlign w:val="center"/>
          </w:tcPr>
          <w:p>
            <w:pPr>
              <w:jc w:val="center"/>
              <w:rPr>
                <w:rFonts w:ascii="宋体" w:hAnsi="宋体" w:cs="宋体"/>
              </w:rPr>
            </w:pPr>
          </w:p>
        </w:tc>
        <w:tc>
          <w:tcPr>
            <w:tcW w:w="31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jc w:val="center"/>
              <w:rPr>
                <w:rFonts w:ascii="宋体" w:hAnsi="宋体" w:cs="宋体"/>
                <w:b/>
              </w:rPr>
            </w:pPr>
            <w:r>
              <w:rPr>
                <w:rFonts w:hint="eastAsia" w:ascii="宋体" w:hAnsi="宋体" w:cs="宋体"/>
                <w:b/>
              </w:rPr>
              <w:t>投标报价（小写）</w:t>
            </w:r>
          </w:p>
        </w:tc>
        <w:tc>
          <w:tcPr>
            <w:tcW w:w="7655" w:type="dxa"/>
            <w:gridSpan w:val="5"/>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jc w:val="center"/>
              <w:rPr>
                <w:rFonts w:ascii="宋体" w:hAnsi="宋体" w:cs="宋体"/>
                <w:b/>
              </w:rPr>
            </w:pPr>
            <w:r>
              <w:rPr>
                <w:rFonts w:hint="eastAsia" w:ascii="宋体" w:hAnsi="宋体" w:cs="宋体"/>
                <w:b/>
              </w:rPr>
              <w:t>投标报价（大写）</w:t>
            </w:r>
          </w:p>
        </w:tc>
        <w:tc>
          <w:tcPr>
            <w:tcW w:w="7655" w:type="dxa"/>
            <w:gridSpan w:val="5"/>
            <w:vAlign w:val="center"/>
          </w:tcPr>
          <w:p>
            <w:pPr>
              <w:jc w:val="center"/>
              <w:rPr>
                <w:rFonts w:ascii="宋体" w:hAnsi="宋体" w:cs="宋体"/>
              </w:rPr>
            </w:pPr>
          </w:p>
        </w:tc>
      </w:tr>
    </w:tbl>
    <w:p>
      <w:pPr>
        <w:snapToGrid w:val="0"/>
        <w:ind w:left="480"/>
        <w:rPr>
          <w:rFonts w:ascii="宋体" w:hAnsi="宋体" w:cs="宋体"/>
          <w:b/>
          <w:kern w:val="0"/>
          <w:lang w:val="zh-CN"/>
        </w:rPr>
      </w:pPr>
      <w:r>
        <w:rPr>
          <w:rFonts w:hint="eastAsia" w:ascii="宋体" w:hAnsi="宋体" w:cs="宋体"/>
          <w:b/>
          <w:kern w:val="0"/>
          <w:lang w:val="zh-CN"/>
        </w:rPr>
        <w:t>注：</w:t>
      </w:r>
    </w:p>
    <w:p>
      <w:pPr>
        <w:ind w:left="-2" w:leftChars="-1" w:firstLine="420" w:firstLineChars="200"/>
        <w:rPr>
          <w:rFonts w:ascii="宋体" w:hAnsi="宋体" w:cs="宋体"/>
          <w:kern w:val="0"/>
          <w:lang w:val="zh-CN"/>
        </w:rPr>
      </w:pPr>
      <w:r>
        <w:rPr>
          <w:rFonts w:hint="eastAsia" w:ascii="宋体" w:hAnsi="宋体" w:cs="宋体"/>
          <w:kern w:val="0"/>
          <w:lang w:val="zh-CN"/>
        </w:rPr>
        <w:t>1、投标人需按本表格式填写，不得自行更改。</w:t>
      </w:r>
    </w:p>
    <w:p>
      <w:pPr>
        <w:ind w:firstLine="420" w:firstLineChars="200"/>
        <w:rPr>
          <w:rFonts w:cs="宋体" w:asciiTheme="minorEastAsia" w:hAnsiTheme="minorEastAsia" w:eastAsiaTheme="minorEastAsia"/>
          <w:kern w:val="0"/>
          <w:lang w:val="zh-CN"/>
        </w:rPr>
        <w:sectPr>
          <w:pgSz w:w="16838" w:h="11906" w:orient="landscape"/>
          <w:pgMar w:top="1588" w:right="1418" w:bottom="1418" w:left="1418" w:header="851" w:footer="992" w:gutter="0"/>
          <w:cols w:space="720" w:num="1"/>
          <w:docGrid w:linePitch="312" w:charSpace="0"/>
        </w:sectPr>
      </w:pPr>
    </w:p>
    <w:p>
      <w:pPr>
        <w:spacing w:line="360" w:lineRule="auto"/>
        <w:ind w:firstLine="480" w:firstLineChars="200"/>
        <w:rPr>
          <w:rFonts w:ascii="宋体" w:hAnsi="宋体" w:cs="宋体"/>
          <w:color w:val="FF0000"/>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color w:val="FF0000"/>
          <w:kern w:val="0"/>
          <w:sz w:val="24"/>
          <w:lang w:val="zh-CN"/>
        </w:rPr>
        <w:t>采购人将以合同形式有偿取得货物或服务，不接受投标人给予的赠品、回扣或者与采购无关的其他商品、服务</w:t>
      </w:r>
      <w:r>
        <w:rPr>
          <w:rFonts w:hint="eastAsia" w:ascii="宋体" w:hAnsi="宋体" w:cs="宋体"/>
          <w:color w:val="FF0000"/>
          <w:kern w:val="0"/>
          <w:sz w:val="24"/>
          <w:lang w:val="zh-CN"/>
        </w:rPr>
        <w:t>，</w:t>
      </w:r>
      <w:r>
        <w:rPr>
          <w:rFonts w:hint="eastAsia" w:ascii="宋体" w:hAnsi="宋体" w:cs="宋体"/>
          <w:b/>
          <w:color w:val="FF0000"/>
          <w:kern w:val="0"/>
          <w:sz w:val="24"/>
          <w:lang w:val="zh-CN"/>
        </w:rPr>
        <w:t>不得出现“0元”“免费赠送”等形式的无偿报价，</w:t>
      </w:r>
      <w:r>
        <w:rPr>
          <w:rFonts w:hint="eastAsia" w:ascii="宋体" w:hAnsi="宋体" w:cs="宋体"/>
          <w:b/>
          <w:color w:val="FF0000"/>
          <w:kern w:val="0"/>
          <w:sz w:val="24"/>
        </w:rPr>
        <w:t>否则视为</w:t>
      </w:r>
      <w:r>
        <w:rPr>
          <w:rFonts w:hint="eastAsia" w:ascii="宋体" w:hAnsi="宋体" w:cs="宋体"/>
          <w:b/>
          <w:color w:val="FF0000"/>
          <w:sz w:val="24"/>
        </w:rPr>
        <w:t>投标文件含有采购人不能接受的附加条件，投标无效</w:t>
      </w:r>
      <w:r>
        <w:rPr>
          <w:rFonts w:hint="eastAsia" w:ascii="宋体" w:hAnsi="宋体" w:cs="宋体"/>
          <w:b/>
          <w:color w:val="FF0000"/>
          <w:kern w:val="0"/>
          <w:sz w:val="24"/>
          <w:lang w:val="zh-CN"/>
        </w:rPr>
        <w:t>；采购内容未包含在《开标一览表（报价表）》名称栏中，投标人不能作出合理解释的，</w:t>
      </w:r>
      <w:r>
        <w:rPr>
          <w:rFonts w:hint="eastAsia" w:ascii="宋体" w:hAnsi="宋体" w:cs="宋体"/>
          <w:b/>
          <w:color w:val="FF0000"/>
          <w:kern w:val="0"/>
          <w:sz w:val="24"/>
        </w:rPr>
        <w:t>视为</w:t>
      </w:r>
      <w:r>
        <w:rPr>
          <w:rFonts w:hint="eastAsia" w:ascii="宋体" w:hAnsi="宋体" w:cs="宋体"/>
          <w:b/>
          <w:color w:val="FF0000"/>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w:t>
      </w:r>
      <w:r>
        <w:rPr>
          <w:rFonts w:hint="eastAsia" w:ascii="宋体" w:hAnsi="宋体" w:cs="宋体"/>
          <w:kern w:val="0"/>
          <w:sz w:val="24"/>
          <w:highlight w:val="yellow"/>
          <w:lang w:val="zh-CN"/>
        </w:rPr>
        <w:t>名称、服务范围、服务要求、服务时间、服务标准</w:t>
      </w:r>
      <w:r>
        <w:rPr>
          <w:rFonts w:hint="eastAsia" w:ascii="宋体" w:hAnsi="宋体" w:cs="宋体"/>
          <w:kern w:val="0"/>
          <w:sz w:val="24"/>
          <w:lang w:val="zh-CN"/>
        </w:rPr>
        <w:t>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rPr>
          <w:rFonts w:ascii="宋体" w:hAnsi="宋体" w:cs="宋体"/>
          <w:kern w:val="0"/>
          <w:sz w:val="24"/>
          <w:lang w:val="zh-CN"/>
        </w:rPr>
      </w:pPr>
    </w:p>
    <w:p>
      <w:pPr>
        <w:rPr>
          <w:rFonts w:ascii="宋体" w:hAnsi="宋体" w:cs="宋体"/>
          <w:kern w:val="0"/>
          <w:sz w:val="24"/>
          <w:lang w:val="zh-CN"/>
        </w:rPr>
      </w:pPr>
    </w:p>
    <w:p>
      <w:pPr>
        <w:autoSpaceDE w:val="0"/>
        <w:autoSpaceDN w:val="0"/>
        <w:spacing w:line="360" w:lineRule="auto"/>
        <w:ind w:left="2" w:leftChars="1" w:right="1120" w:firstLine="4560" w:firstLineChars="1900"/>
        <w:jc w:val="right"/>
        <w:rPr>
          <w:rFonts w:ascii="宋体" w:hAnsi="宋体" w:cs="宋体"/>
          <w:kern w:val="0"/>
          <w:sz w:val="24"/>
          <w:lang w:val="zh-CN"/>
        </w:rPr>
      </w:pPr>
      <w:r>
        <w:rPr>
          <w:rFonts w:hint="eastAsia" w:ascii="宋体" w:hAnsi="宋体" w:cs="宋体"/>
          <w:kern w:val="0"/>
          <w:sz w:val="24"/>
          <w:lang w:val="zh-CN"/>
        </w:rPr>
        <w:t>供应商名称（</w:t>
      </w:r>
      <w:r>
        <w:rPr>
          <w:rFonts w:hint="eastAsia" w:ascii="宋体" w:hAnsi="宋体" w:cs="宋体"/>
          <w:sz w:val="24"/>
        </w:rPr>
        <w:t>电子签名</w:t>
      </w:r>
      <w:r>
        <w:rPr>
          <w:rFonts w:hint="eastAsia" w:ascii="宋体" w:hAnsi="宋体" w:cs="宋体"/>
          <w:kern w:val="0"/>
          <w:sz w:val="24"/>
          <w:lang w:val="zh-CN"/>
        </w:rPr>
        <w:t>）：</w:t>
      </w:r>
    </w:p>
    <w:p>
      <w:pPr>
        <w:spacing w:line="360" w:lineRule="auto"/>
        <w:ind w:left="4620" w:leftChars="2200"/>
        <w:jc w:val="center"/>
        <w:rPr>
          <w:rFonts w:ascii="宋体" w:hAnsi="宋体" w:cs="宋体"/>
          <w:sz w:val="24"/>
        </w:rPr>
      </w:pP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rPr>
          <w:rFonts w:ascii="宋体" w:hAnsi="宋体" w:cs="宋体"/>
          <w:kern w:val="0"/>
          <w:sz w:val="24"/>
          <w:lang w:val="zh-CN"/>
        </w:rPr>
        <w:sectPr>
          <w:headerReference r:id="rId16" w:type="first"/>
          <w:footerReference r:id="rId18" w:type="first"/>
          <w:headerReference r:id="rId15" w:type="default"/>
          <w:footerReference r:id="rId17" w:type="default"/>
          <w:pgSz w:w="16838" w:h="11906" w:orient="landscape"/>
          <w:pgMar w:top="1417" w:right="1276" w:bottom="1417" w:left="1247" w:header="851" w:footer="992" w:gutter="0"/>
          <w:cols w:space="0" w:num="1"/>
          <w:titlePg/>
          <w:docGrid w:linePitch="312" w:charSpace="0"/>
        </w:sectPr>
      </w:pPr>
    </w:p>
    <w:p>
      <w:pPr>
        <w:pStyle w:val="692"/>
        <w:keepNext w:val="0"/>
        <w:pageBreakBefore w:val="0"/>
        <w:tabs>
          <w:tab w:val="clear" w:pos="720"/>
        </w:tabs>
        <w:snapToGrid w:val="0"/>
        <w:spacing w:before="120" w:after="120"/>
        <w:jc w:val="both"/>
        <w:outlineLvl w:val="9"/>
        <w:rPr>
          <w:rFonts w:ascii="宋体" w:hAnsi="宋体" w:eastAsia="宋体" w:cs="宋体"/>
          <w:kern w:val="2"/>
          <w:sz w:val="32"/>
          <w:szCs w:val="32"/>
          <w:highlight w:val="yellow"/>
        </w:rPr>
      </w:pPr>
    </w:p>
    <w:p>
      <w:pPr>
        <w:pStyle w:val="692"/>
        <w:keepNext w:val="0"/>
        <w:pageBreakBefore w:val="0"/>
        <w:tabs>
          <w:tab w:val="clear" w:pos="720"/>
        </w:tabs>
        <w:snapToGrid w:val="0"/>
        <w:spacing w:before="120" w:after="120"/>
        <w:ind w:firstLine="643"/>
        <w:outlineLvl w:val="9"/>
        <w:rPr>
          <w:rFonts w:ascii="宋体" w:hAnsi="宋体" w:eastAsia="宋体" w:cs="宋体"/>
          <w:sz w:val="32"/>
          <w:szCs w:val="32"/>
          <w:highlight w:val="yellow"/>
        </w:rPr>
      </w:pPr>
      <w:r>
        <w:rPr>
          <w:rFonts w:hint="eastAsia" w:ascii="宋体" w:hAnsi="宋体" w:eastAsia="宋体" w:cs="宋体"/>
          <w:kern w:val="2"/>
          <w:sz w:val="32"/>
          <w:szCs w:val="32"/>
          <w:highlight w:val="yellow"/>
        </w:rPr>
        <w:t>二、</w:t>
      </w:r>
      <w:r>
        <w:rPr>
          <w:rFonts w:hint="eastAsia" w:ascii="宋体" w:hAnsi="宋体" w:eastAsia="宋体" w:cs="宋体"/>
          <w:sz w:val="32"/>
          <w:szCs w:val="32"/>
          <w:highlight w:val="yellow"/>
        </w:rPr>
        <w:t>中小企业声明函（如果有）</w:t>
      </w:r>
    </w:p>
    <w:p>
      <w:pPr>
        <w:widowControl/>
        <w:spacing w:line="360" w:lineRule="auto"/>
        <w:ind w:firstLine="120" w:firstLineChars="50"/>
        <w:jc w:val="left"/>
        <w:rPr>
          <w:rFonts w:ascii="宋体" w:hAnsi="宋体" w:cs="宋体"/>
          <w:b/>
          <w:sz w:val="24"/>
          <w:highlight w:val="yellow"/>
        </w:rPr>
      </w:pPr>
      <w:r>
        <w:rPr>
          <w:rFonts w:hint="eastAsia" w:ascii="宋体" w:hAnsi="宋体" w:cs="宋体"/>
          <w:b/>
          <w:sz w:val="24"/>
          <w:highlight w:val="yellow"/>
        </w:rPr>
        <w:t>[竞争性磋商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highlight w:val="yellow"/>
        </w:rPr>
        <w:t>7</w:t>
      </w:r>
      <w:r>
        <w:rPr>
          <w:rFonts w:hint="eastAsia" w:ascii="宋体" w:hAnsi="宋体" w:cs="宋体"/>
          <w:b/>
          <w:sz w:val="24"/>
          <w:highlight w:val="yellow"/>
        </w:rPr>
        <w:t>）。]</w:t>
      </w: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p>
    <w:p>
      <w:pPr>
        <w:pStyle w:val="4"/>
        <w:ind w:left="0" w:firstLine="0"/>
      </w:pPr>
    </w:p>
    <w:p/>
    <w:p>
      <w:pPr>
        <w:pStyle w:val="4"/>
      </w:pPr>
    </w:p>
    <w:p/>
    <w:p>
      <w:pPr>
        <w:pStyle w:val="2"/>
      </w:pPr>
    </w:p>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pStyle w:val="4"/>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4"/>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你方组织的（项目名称）项目【招标编号：（采购编号）】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9itRZ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5"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iZBs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4"/>
        <w:ind w:left="0" w:firstLine="0"/>
      </w:pPr>
    </w:p>
    <w:p/>
    <w:p>
      <w:pPr>
        <w:pStyle w:val="2"/>
      </w:pPr>
    </w:p>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lang w:eastAsia="zh-CN"/>
        </w:rPr>
        <w:t>2024第四届桐庐生仙里铁人三项赛赛事运营服务采购项目</w:t>
      </w:r>
      <w:r>
        <w:rPr>
          <w:rFonts w:hint="eastAsia" w:ascii="宋体" w:hAnsi="宋体" w:cs="宋体"/>
          <w:sz w:val="24"/>
        </w:rPr>
        <w:t>【招标编号：（采购编号）】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hint="eastAsia" w:ascii="宋体" w:hAnsi="宋体" w:cs="宋体"/>
          <w:b/>
          <w:kern w:val="0"/>
          <w:sz w:val="24"/>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rPr>
        <w:t>2</w:t>
      </w:r>
      <w:r>
        <w:rPr>
          <w:rFonts w:hint="eastAsia" w:ascii="宋体" w:hAnsi="宋体" w:cs="宋体"/>
          <w:kern w:val="0"/>
          <w:sz w:val="24"/>
          <w:lang w:val="zh-CN"/>
        </w:rPr>
        <w:t>、本协议提交采购人、采购机构后，联合体各方不得以任何形式对上述内容进行修改或撤销。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4"/>
        <w:rPr>
          <w:rFonts w:ascii="宋体" w:hAnsi="宋体" w:cs="宋体"/>
          <w:spacing w:val="6"/>
        </w:rPr>
      </w:pPr>
    </w:p>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snapToGrid w:val="0"/>
        <w:spacing w:line="360" w:lineRule="auto"/>
        <w:ind w:firstLine="2666" w:firstLineChars="8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lang w:eastAsia="zh-CN"/>
        </w:rPr>
        <w:t>2024第四届桐庐生仙里铁人三项赛赛事运营服务采购项目</w:t>
      </w:r>
      <w:r>
        <w:rPr>
          <w:rFonts w:hint="eastAsia" w:ascii="宋体" w:hAnsi="宋体" w:cs="宋体"/>
          <w:sz w:val="24"/>
        </w:rPr>
        <w:t>【招标编号：（采购编号）】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8" w:firstLineChars="95"/>
        <w:rPr>
          <w:rFonts w:ascii="宋体" w:hAnsi="宋体" w:eastAsia="宋体" w:cs="宋体"/>
          <w:kern w:val="0"/>
          <w:sz w:val="24"/>
          <w:szCs w:val="24"/>
        </w:rPr>
      </w:pPr>
      <w:r>
        <w:rPr>
          <w:rFonts w:hint="eastAsia" w:ascii="宋体" w:hAnsi="宋体" w:eastAsia="宋体" w:cs="宋体"/>
          <w:kern w:val="0"/>
          <w:sz w:val="24"/>
          <w:szCs w:val="24"/>
        </w:rPr>
        <w:t>……</w:t>
      </w:r>
    </w:p>
    <w:p>
      <w:pPr>
        <w:rPr>
          <w:rFonts w:ascii="宋体" w:hAnsi="宋体" w:cs="宋体"/>
        </w:rPr>
      </w:pPr>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hint="eastAsia" w:ascii="宋体" w:hAnsi="宋体" w:cs="宋体"/>
          <w:b/>
          <w:kern w:val="0"/>
          <w:sz w:val="24"/>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2"/>
        <w:rPr>
          <w:rFonts w:ascii="宋体" w:hAnsi="宋体" w:cs="宋体"/>
          <w:b/>
          <w:spacing w:val="6"/>
          <w:sz w:val="32"/>
          <w:szCs w:val="32"/>
        </w:rPr>
      </w:pPr>
    </w:p>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7</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before="156"/>
        <w:jc w:val="center"/>
        <w:rPr>
          <w:rFonts w:ascii="宋体" w:hAnsi="宋体"/>
          <w:b/>
          <w:sz w:val="32"/>
          <w:szCs w:val="32"/>
        </w:rPr>
      </w:pPr>
      <w:r>
        <w:rPr>
          <w:rFonts w:hint="eastAsia" w:ascii="宋体" w:hAnsi="宋体"/>
          <w:b/>
          <w:sz w:val="32"/>
          <w:szCs w:val="32"/>
        </w:rPr>
        <w:t>中小企业声明函（货物）</w:t>
      </w:r>
    </w:p>
    <w:p>
      <w:pPr>
        <w:pStyle w:val="56"/>
        <w:rPr>
          <w:rFonts w:ascii="宋体" w:hAnsi="宋体" w:eastAsia="宋体" w:cs="宋体"/>
          <w:sz w:val="24"/>
        </w:rPr>
      </w:pPr>
      <w:r>
        <w:rPr>
          <w:rFonts w:hint="eastAsia" w:ascii="宋体" w:hAnsi="宋体" w:eastAsia="宋体" w:cs="仿宋"/>
          <w:sz w:val="24"/>
          <w:szCs w:val="24"/>
        </w:rPr>
        <w:t>本公司（联合体）郑重声明，根据《政府采购促进中小企业发展管理办法》（财库﹝2020﹞46 号）的规定，本公司（联合体）参加</w:t>
      </w:r>
      <w:r>
        <w:rPr>
          <w:rFonts w:hint="eastAsia" w:ascii="宋体" w:hAnsi="宋体" w:eastAsia="宋体" w:cs="仿宋"/>
          <w:b/>
          <w:bCs/>
          <w:iCs/>
          <w:sz w:val="24"/>
          <w:szCs w:val="24"/>
          <w:u w:val="single"/>
        </w:rPr>
        <w:t>（        单位名称      ）</w:t>
      </w:r>
      <w:r>
        <w:rPr>
          <w:rFonts w:hint="eastAsia" w:ascii="宋体" w:hAnsi="宋体" w:eastAsia="宋体" w:cs="仿宋"/>
          <w:iCs/>
          <w:sz w:val="24"/>
          <w:szCs w:val="24"/>
        </w:rPr>
        <w:t>的</w:t>
      </w:r>
      <w:r>
        <w:rPr>
          <w:rFonts w:hint="eastAsia" w:ascii="宋体" w:hAnsi="宋体" w:eastAsia="宋体" w:cs="仿宋"/>
          <w:b/>
          <w:bCs/>
          <w:iCs/>
          <w:sz w:val="24"/>
          <w:szCs w:val="24"/>
          <w:u w:val="single"/>
        </w:rPr>
        <w:t>（      项目名称      ）</w:t>
      </w:r>
      <w:r>
        <w:rPr>
          <w:rFonts w:hint="eastAsia" w:ascii="宋体" w:hAnsi="宋体" w:eastAsia="宋体" w:cs="仿宋"/>
          <w:sz w:val="24"/>
          <w:szCs w:val="24"/>
        </w:rPr>
        <w:t>采购活动，提供的货物全部由符合政策要求的中小企业制造。相关企业 （含联合体中的中小企业、签订分包意向协议的中小企业） 的具体情况如下：</w:t>
      </w:r>
    </w:p>
    <w:tbl>
      <w:tblPr>
        <w:tblStyle w:val="64"/>
        <w:tblW w:w="10662" w:type="dxa"/>
        <w:tblInd w:w="-6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2208"/>
        <w:gridCol w:w="1193"/>
        <w:gridCol w:w="1425"/>
        <w:gridCol w:w="1156"/>
        <w:gridCol w:w="1187"/>
        <w:gridCol w:w="108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1099" w:type="dxa"/>
            <w:vAlign w:val="center"/>
          </w:tcPr>
          <w:p>
            <w:pPr>
              <w:pStyle w:val="973"/>
              <w:spacing w:beforeLines="0" w:afterLines="0" w:line="340" w:lineRule="exact"/>
              <w:jc w:val="center"/>
              <w:rPr>
                <w:rFonts w:ascii="宋体" w:hAnsi="宋体"/>
              </w:rPr>
            </w:pPr>
            <w:r>
              <w:rPr>
                <w:rFonts w:hint="eastAsia" w:ascii="宋体" w:hAnsi="宋体"/>
              </w:rPr>
              <w:t>序号</w:t>
            </w:r>
          </w:p>
        </w:tc>
        <w:tc>
          <w:tcPr>
            <w:tcW w:w="2208" w:type="dxa"/>
            <w:vAlign w:val="center"/>
          </w:tcPr>
          <w:p>
            <w:pPr>
              <w:pStyle w:val="973"/>
              <w:spacing w:beforeLines="0" w:afterLines="0" w:line="340" w:lineRule="exact"/>
              <w:jc w:val="center"/>
              <w:rPr>
                <w:rFonts w:ascii="宋体" w:hAnsi="宋体"/>
              </w:rPr>
            </w:pPr>
            <w:r>
              <w:rPr>
                <w:rFonts w:hint="eastAsia" w:ascii="宋体" w:hAnsi="宋体"/>
              </w:rPr>
              <w:t>标的名称</w:t>
            </w:r>
          </w:p>
          <w:p>
            <w:pPr>
              <w:pStyle w:val="973"/>
              <w:spacing w:beforeLines="0" w:afterLines="0" w:line="340" w:lineRule="exact"/>
              <w:jc w:val="center"/>
              <w:rPr>
                <w:rFonts w:ascii="宋体" w:hAnsi="宋体"/>
              </w:rPr>
            </w:pPr>
            <w:r>
              <w:rPr>
                <w:rFonts w:hint="eastAsia" w:ascii="宋体" w:hAnsi="宋体"/>
              </w:rPr>
              <w:t>（即采购需求表所列产品名称）</w:t>
            </w:r>
          </w:p>
        </w:tc>
        <w:tc>
          <w:tcPr>
            <w:tcW w:w="1193" w:type="dxa"/>
            <w:vAlign w:val="center"/>
          </w:tcPr>
          <w:p>
            <w:pPr>
              <w:pStyle w:val="973"/>
              <w:spacing w:beforeLines="0" w:afterLines="0" w:line="340" w:lineRule="exact"/>
              <w:jc w:val="center"/>
              <w:rPr>
                <w:rFonts w:ascii="宋体" w:hAnsi="宋体"/>
              </w:rPr>
            </w:pPr>
            <w:r>
              <w:rPr>
                <w:rFonts w:hint="eastAsia" w:ascii="宋体" w:hAnsi="宋体"/>
              </w:rPr>
              <w:t>采购文件中明确的所属行业</w:t>
            </w:r>
          </w:p>
        </w:tc>
        <w:tc>
          <w:tcPr>
            <w:tcW w:w="1425" w:type="dxa"/>
            <w:vAlign w:val="center"/>
          </w:tcPr>
          <w:p>
            <w:pPr>
              <w:pStyle w:val="973"/>
              <w:spacing w:beforeLines="0" w:afterLines="0" w:line="340" w:lineRule="exact"/>
              <w:jc w:val="center"/>
              <w:rPr>
                <w:rFonts w:ascii="宋体" w:hAnsi="宋体"/>
              </w:rPr>
            </w:pPr>
            <w:r>
              <w:rPr>
                <w:rFonts w:hint="eastAsia" w:ascii="宋体" w:hAnsi="宋体"/>
              </w:rPr>
              <w:t>制造企业（企业名称）</w:t>
            </w:r>
          </w:p>
        </w:tc>
        <w:tc>
          <w:tcPr>
            <w:tcW w:w="1156" w:type="dxa"/>
            <w:vAlign w:val="center"/>
          </w:tcPr>
          <w:p>
            <w:pPr>
              <w:pStyle w:val="973"/>
              <w:spacing w:beforeLines="0" w:afterLines="0" w:line="340" w:lineRule="exact"/>
              <w:jc w:val="center"/>
              <w:rPr>
                <w:rFonts w:ascii="宋体" w:hAnsi="宋体"/>
              </w:rPr>
            </w:pPr>
            <w:r>
              <w:rPr>
                <w:rFonts w:hint="eastAsia" w:ascii="宋体" w:hAnsi="宋体"/>
              </w:rPr>
              <w:t>从业人员（人）</w:t>
            </w:r>
          </w:p>
        </w:tc>
        <w:tc>
          <w:tcPr>
            <w:tcW w:w="1187" w:type="dxa"/>
            <w:vAlign w:val="center"/>
          </w:tcPr>
          <w:p>
            <w:pPr>
              <w:pStyle w:val="973"/>
              <w:spacing w:beforeLines="0" w:afterLines="0" w:line="340" w:lineRule="exact"/>
              <w:jc w:val="center"/>
              <w:rPr>
                <w:rFonts w:ascii="宋体" w:hAnsi="宋体"/>
              </w:rPr>
            </w:pPr>
            <w:r>
              <w:rPr>
                <w:rFonts w:hint="eastAsia" w:ascii="宋体" w:hAnsi="宋体"/>
              </w:rPr>
              <w:t>营业收入（万元）</w:t>
            </w:r>
          </w:p>
        </w:tc>
        <w:tc>
          <w:tcPr>
            <w:tcW w:w="1087" w:type="dxa"/>
            <w:vAlign w:val="center"/>
          </w:tcPr>
          <w:p>
            <w:pPr>
              <w:pStyle w:val="973"/>
              <w:spacing w:beforeLines="0" w:afterLines="0" w:line="340" w:lineRule="exact"/>
              <w:jc w:val="center"/>
              <w:rPr>
                <w:rFonts w:ascii="宋体" w:hAnsi="宋体"/>
              </w:rPr>
            </w:pPr>
            <w:r>
              <w:rPr>
                <w:rFonts w:hint="eastAsia" w:ascii="宋体" w:hAnsi="宋体"/>
              </w:rPr>
              <w:t>资产总额（万元）</w:t>
            </w:r>
          </w:p>
        </w:tc>
        <w:tc>
          <w:tcPr>
            <w:tcW w:w="1307" w:type="dxa"/>
            <w:vAlign w:val="center"/>
          </w:tcPr>
          <w:p>
            <w:pPr>
              <w:pStyle w:val="973"/>
              <w:spacing w:beforeLines="0" w:afterLines="0" w:line="340" w:lineRule="exact"/>
              <w:jc w:val="center"/>
              <w:rPr>
                <w:rFonts w:ascii="宋体" w:hAnsi="宋体"/>
              </w:rPr>
            </w:pPr>
            <w:r>
              <w:rPr>
                <w:rFonts w:hint="eastAsia" w:ascii="宋体" w:hAnsi="宋体"/>
              </w:rPr>
              <w:t>属于</w:t>
            </w:r>
          </w:p>
          <w:p>
            <w:pPr>
              <w:pStyle w:val="973"/>
              <w:spacing w:beforeLines="0" w:afterLines="0" w:line="340" w:lineRule="exact"/>
              <w:jc w:val="center"/>
              <w:rPr>
                <w:rFonts w:ascii="宋体" w:hAnsi="宋体"/>
              </w:rPr>
            </w:pPr>
            <w:r>
              <w:rPr>
                <w:rFonts w:hint="eastAsia" w:ascii="宋体" w:hAnsi="宋体"/>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099" w:type="dxa"/>
            <w:vAlign w:val="center"/>
          </w:tcPr>
          <w:p>
            <w:pPr>
              <w:pStyle w:val="5"/>
              <w:jc w:val="center"/>
              <w:rPr>
                <w:rFonts w:ascii="宋体" w:hAnsi="宋体" w:eastAsia="宋体"/>
                <w:b w:val="0"/>
                <w:bCs w:val="0"/>
                <w:sz w:val="24"/>
                <w:szCs w:val="24"/>
              </w:rPr>
            </w:pPr>
          </w:p>
        </w:tc>
        <w:tc>
          <w:tcPr>
            <w:tcW w:w="2208" w:type="dxa"/>
            <w:vAlign w:val="center"/>
          </w:tcPr>
          <w:p>
            <w:pPr>
              <w:jc w:val="center"/>
              <w:rPr>
                <w:rFonts w:ascii="宋体" w:hAnsi="宋体"/>
              </w:rPr>
            </w:pPr>
          </w:p>
        </w:tc>
        <w:tc>
          <w:tcPr>
            <w:tcW w:w="1193" w:type="dxa"/>
            <w:vAlign w:val="center"/>
          </w:tcPr>
          <w:p>
            <w:pPr>
              <w:jc w:val="center"/>
              <w:rPr>
                <w:rFonts w:ascii="宋体" w:hAnsi="宋体"/>
              </w:rPr>
            </w:pPr>
          </w:p>
        </w:tc>
        <w:tc>
          <w:tcPr>
            <w:tcW w:w="1425" w:type="dxa"/>
            <w:vAlign w:val="center"/>
          </w:tcPr>
          <w:p>
            <w:pPr>
              <w:pStyle w:val="799"/>
              <w:tabs>
                <w:tab w:val="left" w:pos="822"/>
              </w:tabs>
              <w:ind w:left="480"/>
              <w:jc w:val="center"/>
              <w:rPr>
                <w:rFonts w:hAnsi="宋体"/>
                <w:szCs w:val="24"/>
              </w:rPr>
            </w:pPr>
          </w:p>
        </w:tc>
        <w:tc>
          <w:tcPr>
            <w:tcW w:w="1156" w:type="dxa"/>
            <w:vAlign w:val="center"/>
          </w:tcPr>
          <w:p>
            <w:pPr>
              <w:pStyle w:val="799"/>
              <w:tabs>
                <w:tab w:val="left" w:pos="822"/>
              </w:tabs>
              <w:ind w:left="480"/>
              <w:jc w:val="center"/>
              <w:rPr>
                <w:rFonts w:hAnsi="宋体"/>
                <w:szCs w:val="24"/>
              </w:rPr>
            </w:pPr>
          </w:p>
        </w:tc>
        <w:tc>
          <w:tcPr>
            <w:tcW w:w="1187" w:type="dxa"/>
            <w:vAlign w:val="center"/>
          </w:tcPr>
          <w:p>
            <w:pPr>
              <w:pStyle w:val="799"/>
              <w:tabs>
                <w:tab w:val="left" w:pos="822"/>
              </w:tabs>
              <w:ind w:left="480"/>
              <w:jc w:val="center"/>
              <w:rPr>
                <w:rFonts w:hAnsi="宋体"/>
                <w:szCs w:val="24"/>
              </w:rPr>
            </w:pPr>
          </w:p>
        </w:tc>
        <w:tc>
          <w:tcPr>
            <w:tcW w:w="1087" w:type="dxa"/>
            <w:vAlign w:val="center"/>
          </w:tcPr>
          <w:p>
            <w:pPr>
              <w:pStyle w:val="799"/>
              <w:tabs>
                <w:tab w:val="left" w:pos="822"/>
              </w:tabs>
              <w:ind w:left="480"/>
              <w:jc w:val="center"/>
              <w:rPr>
                <w:rFonts w:hAnsi="宋体"/>
                <w:szCs w:val="24"/>
              </w:rPr>
            </w:pPr>
          </w:p>
        </w:tc>
        <w:tc>
          <w:tcPr>
            <w:tcW w:w="1307" w:type="dxa"/>
            <w:vAlign w:val="center"/>
          </w:tcPr>
          <w:p>
            <w:pPr>
              <w:pStyle w:val="799"/>
              <w:tabs>
                <w:tab w:val="left" w:pos="822"/>
              </w:tabs>
              <w:ind w:left="480"/>
              <w:jc w:val="center"/>
              <w:rPr>
                <w:rFonts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99" w:type="dxa"/>
            <w:vAlign w:val="center"/>
          </w:tcPr>
          <w:p>
            <w:pPr>
              <w:pStyle w:val="5"/>
              <w:jc w:val="center"/>
              <w:rPr>
                <w:rFonts w:ascii="宋体" w:hAnsi="宋体" w:eastAsia="宋体"/>
                <w:b w:val="0"/>
                <w:bCs w:val="0"/>
                <w:sz w:val="24"/>
                <w:szCs w:val="24"/>
              </w:rPr>
            </w:pPr>
          </w:p>
        </w:tc>
        <w:tc>
          <w:tcPr>
            <w:tcW w:w="2208" w:type="dxa"/>
            <w:vAlign w:val="center"/>
          </w:tcPr>
          <w:p>
            <w:pPr>
              <w:pStyle w:val="799"/>
              <w:tabs>
                <w:tab w:val="left" w:pos="822"/>
              </w:tabs>
              <w:spacing w:line="240" w:lineRule="auto"/>
              <w:jc w:val="center"/>
              <w:rPr>
                <w:rFonts w:hAnsi="宋体"/>
                <w:szCs w:val="24"/>
              </w:rPr>
            </w:pPr>
          </w:p>
        </w:tc>
        <w:tc>
          <w:tcPr>
            <w:tcW w:w="1193" w:type="dxa"/>
            <w:vAlign w:val="center"/>
          </w:tcPr>
          <w:p>
            <w:pPr>
              <w:pStyle w:val="799"/>
              <w:tabs>
                <w:tab w:val="left" w:pos="822"/>
              </w:tabs>
              <w:jc w:val="center"/>
              <w:rPr>
                <w:rFonts w:hAnsi="宋体"/>
                <w:szCs w:val="24"/>
              </w:rPr>
            </w:pPr>
          </w:p>
        </w:tc>
        <w:tc>
          <w:tcPr>
            <w:tcW w:w="1425" w:type="dxa"/>
            <w:vAlign w:val="center"/>
          </w:tcPr>
          <w:p>
            <w:pPr>
              <w:pStyle w:val="799"/>
              <w:tabs>
                <w:tab w:val="left" w:pos="822"/>
              </w:tabs>
              <w:ind w:left="480"/>
              <w:jc w:val="center"/>
              <w:rPr>
                <w:rFonts w:hAnsi="宋体"/>
                <w:szCs w:val="24"/>
              </w:rPr>
            </w:pPr>
          </w:p>
        </w:tc>
        <w:tc>
          <w:tcPr>
            <w:tcW w:w="1156" w:type="dxa"/>
            <w:vAlign w:val="center"/>
          </w:tcPr>
          <w:p>
            <w:pPr>
              <w:pStyle w:val="799"/>
              <w:tabs>
                <w:tab w:val="left" w:pos="822"/>
              </w:tabs>
              <w:ind w:left="480"/>
              <w:jc w:val="center"/>
              <w:rPr>
                <w:rFonts w:hAnsi="宋体"/>
                <w:szCs w:val="24"/>
              </w:rPr>
            </w:pPr>
          </w:p>
        </w:tc>
        <w:tc>
          <w:tcPr>
            <w:tcW w:w="1187" w:type="dxa"/>
            <w:vAlign w:val="center"/>
          </w:tcPr>
          <w:p>
            <w:pPr>
              <w:pStyle w:val="799"/>
              <w:tabs>
                <w:tab w:val="left" w:pos="822"/>
              </w:tabs>
              <w:ind w:left="480"/>
              <w:jc w:val="center"/>
              <w:rPr>
                <w:rFonts w:hAnsi="宋体"/>
                <w:szCs w:val="24"/>
              </w:rPr>
            </w:pPr>
          </w:p>
        </w:tc>
        <w:tc>
          <w:tcPr>
            <w:tcW w:w="1087" w:type="dxa"/>
            <w:vAlign w:val="center"/>
          </w:tcPr>
          <w:p>
            <w:pPr>
              <w:pStyle w:val="799"/>
              <w:tabs>
                <w:tab w:val="left" w:pos="822"/>
              </w:tabs>
              <w:ind w:left="480"/>
              <w:jc w:val="center"/>
              <w:rPr>
                <w:rFonts w:hAnsi="宋体"/>
                <w:szCs w:val="24"/>
              </w:rPr>
            </w:pPr>
          </w:p>
        </w:tc>
        <w:tc>
          <w:tcPr>
            <w:tcW w:w="1307" w:type="dxa"/>
            <w:vAlign w:val="center"/>
          </w:tcPr>
          <w:p>
            <w:pPr>
              <w:pStyle w:val="799"/>
              <w:tabs>
                <w:tab w:val="left" w:pos="822"/>
              </w:tabs>
              <w:ind w:left="480"/>
              <w:jc w:val="center"/>
              <w:rPr>
                <w:rFonts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99" w:type="dxa"/>
            <w:vAlign w:val="center"/>
          </w:tcPr>
          <w:p>
            <w:pPr>
              <w:pStyle w:val="5"/>
              <w:jc w:val="center"/>
              <w:rPr>
                <w:rFonts w:ascii="宋体" w:hAnsi="宋体" w:eastAsia="宋体"/>
                <w:b w:val="0"/>
                <w:bCs w:val="0"/>
                <w:sz w:val="24"/>
                <w:szCs w:val="24"/>
              </w:rPr>
            </w:pPr>
          </w:p>
        </w:tc>
        <w:tc>
          <w:tcPr>
            <w:tcW w:w="2208" w:type="dxa"/>
            <w:vAlign w:val="center"/>
          </w:tcPr>
          <w:p>
            <w:pPr>
              <w:pStyle w:val="799"/>
              <w:tabs>
                <w:tab w:val="left" w:pos="822"/>
              </w:tabs>
              <w:spacing w:line="240" w:lineRule="auto"/>
              <w:jc w:val="center"/>
              <w:rPr>
                <w:rFonts w:hAnsi="宋体"/>
                <w:szCs w:val="24"/>
              </w:rPr>
            </w:pPr>
          </w:p>
        </w:tc>
        <w:tc>
          <w:tcPr>
            <w:tcW w:w="1193" w:type="dxa"/>
            <w:vAlign w:val="center"/>
          </w:tcPr>
          <w:p>
            <w:pPr>
              <w:pStyle w:val="799"/>
              <w:tabs>
                <w:tab w:val="left" w:pos="822"/>
              </w:tabs>
              <w:spacing w:line="240" w:lineRule="auto"/>
              <w:jc w:val="center"/>
              <w:rPr>
                <w:rFonts w:hAnsi="宋体"/>
                <w:szCs w:val="24"/>
              </w:rPr>
            </w:pPr>
          </w:p>
        </w:tc>
        <w:tc>
          <w:tcPr>
            <w:tcW w:w="1425" w:type="dxa"/>
            <w:vAlign w:val="center"/>
          </w:tcPr>
          <w:p>
            <w:pPr>
              <w:pStyle w:val="799"/>
              <w:tabs>
                <w:tab w:val="left" w:pos="822"/>
              </w:tabs>
              <w:ind w:left="480"/>
              <w:jc w:val="center"/>
              <w:rPr>
                <w:rFonts w:hAnsi="宋体"/>
                <w:szCs w:val="24"/>
              </w:rPr>
            </w:pPr>
          </w:p>
        </w:tc>
        <w:tc>
          <w:tcPr>
            <w:tcW w:w="1156" w:type="dxa"/>
            <w:vAlign w:val="center"/>
          </w:tcPr>
          <w:p>
            <w:pPr>
              <w:pStyle w:val="799"/>
              <w:tabs>
                <w:tab w:val="left" w:pos="822"/>
              </w:tabs>
              <w:ind w:left="480"/>
              <w:jc w:val="center"/>
              <w:rPr>
                <w:rFonts w:hAnsi="宋体"/>
                <w:szCs w:val="24"/>
              </w:rPr>
            </w:pPr>
          </w:p>
        </w:tc>
        <w:tc>
          <w:tcPr>
            <w:tcW w:w="1187" w:type="dxa"/>
            <w:vAlign w:val="center"/>
          </w:tcPr>
          <w:p>
            <w:pPr>
              <w:pStyle w:val="799"/>
              <w:tabs>
                <w:tab w:val="left" w:pos="822"/>
              </w:tabs>
              <w:ind w:left="480"/>
              <w:jc w:val="center"/>
              <w:rPr>
                <w:rFonts w:hAnsi="宋体"/>
                <w:szCs w:val="24"/>
              </w:rPr>
            </w:pPr>
          </w:p>
        </w:tc>
        <w:tc>
          <w:tcPr>
            <w:tcW w:w="1087" w:type="dxa"/>
            <w:vAlign w:val="center"/>
          </w:tcPr>
          <w:p>
            <w:pPr>
              <w:pStyle w:val="799"/>
              <w:tabs>
                <w:tab w:val="left" w:pos="822"/>
              </w:tabs>
              <w:ind w:left="480"/>
              <w:jc w:val="center"/>
              <w:rPr>
                <w:rFonts w:hAnsi="宋体"/>
                <w:szCs w:val="24"/>
              </w:rPr>
            </w:pPr>
          </w:p>
        </w:tc>
        <w:tc>
          <w:tcPr>
            <w:tcW w:w="1307" w:type="dxa"/>
            <w:vAlign w:val="center"/>
          </w:tcPr>
          <w:p>
            <w:pPr>
              <w:pStyle w:val="799"/>
              <w:tabs>
                <w:tab w:val="left" w:pos="822"/>
              </w:tabs>
              <w:ind w:left="480"/>
              <w:jc w:val="center"/>
              <w:rPr>
                <w:rFonts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99" w:type="dxa"/>
            <w:vAlign w:val="center"/>
          </w:tcPr>
          <w:p>
            <w:pPr>
              <w:pStyle w:val="5"/>
              <w:jc w:val="center"/>
              <w:rPr>
                <w:rFonts w:ascii="宋体" w:hAnsi="宋体" w:eastAsia="宋体"/>
                <w:b w:val="0"/>
                <w:bCs w:val="0"/>
                <w:sz w:val="24"/>
                <w:szCs w:val="24"/>
              </w:rPr>
            </w:pPr>
          </w:p>
        </w:tc>
        <w:tc>
          <w:tcPr>
            <w:tcW w:w="2208" w:type="dxa"/>
            <w:vAlign w:val="center"/>
          </w:tcPr>
          <w:p>
            <w:pPr>
              <w:pStyle w:val="799"/>
              <w:tabs>
                <w:tab w:val="left" w:pos="822"/>
              </w:tabs>
              <w:spacing w:line="240" w:lineRule="auto"/>
              <w:jc w:val="center"/>
              <w:rPr>
                <w:rFonts w:hAnsi="宋体"/>
                <w:szCs w:val="24"/>
              </w:rPr>
            </w:pPr>
          </w:p>
        </w:tc>
        <w:tc>
          <w:tcPr>
            <w:tcW w:w="1193" w:type="dxa"/>
            <w:vAlign w:val="center"/>
          </w:tcPr>
          <w:p>
            <w:pPr>
              <w:pStyle w:val="799"/>
              <w:tabs>
                <w:tab w:val="left" w:pos="822"/>
              </w:tabs>
              <w:spacing w:line="240" w:lineRule="auto"/>
              <w:jc w:val="center"/>
              <w:rPr>
                <w:rFonts w:hAnsi="宋体"/>
                <w:szCs w:val="24"/>
              </w:rPr>
            </w:pPr>
          </w:p>
        </w:tc>
        <w:tc>
          <w:tcPr>
            <w:tcW w:w="1425" w:type="dxa"/>
            <w:vAlign w:val="center"/>
          </w:tcPr>
          <w:p>
            <w:pPr>
              <w:pStyle w:val="799"/>
              <w:tabs>
                <w:tab w:val="left" w:pos="822"/>
              </w:tabs>
              <w:ind w:left="480"/>
              <w:jc w:val="center"/>
              <w:rPr>
                <w:rFonts w:hAnsi="宋体"/>
                <w:szCs w:val="24"/>
              </w:rPr>
            </w:pPr>
          </w:p>
        </w:tc>
        <w:tc>
          <w:tcPr>
            <w:tcW w:w="1156" w:type="dxa"/>
            <w:vAlign w:val="center"/>
          </w:tcPr>
          <w:p>
            <w:pPr>
              <w:pStyle w:val="799"/>
              <w:tabs>
                <w:tab w:val="left" w:pos="822"/>
              </w:tabs>
              <w:ind w:left="480"/>
              <w:jc w:val="center"/>
              <w:rPr>
                <w:rFonts w:hAnsi="宋体"/>
                <w:szCs w:val="24"/>
              </w:rPr>
            </w:pPr>
          </w:p>
        </w:tc>
        <w:tc>
          <w:tcPr>
            <w:tcW w:w="1187" w:type="dxa"/>
            <w:vAlign w:val="center"/>
          </w:tcPr>
          <w:p>
            <w:pPr>
              <w:pStyle w:val="799"/>
              <w:tabs>
                <w:tab w:val="left" w:pos="822"/>
              </w:tabs>
              <w:ind w:left="480"/>
              <w:jc w:val="center"/>
              <w:rPr>
                <w:rFonts w:hAnsi="宋体"/>
                <w:szCs w:val="24"/>
              </w:rPr>
            </w:pPr>
          </w:p>
        </w:tc>
        <w:tc>
          <w:tcPr>
            <w:tcW w:w="1087" w:type="dxa"/>
            <w:vAlign w:val="center"/>
          </w:tcPr>
          <w:p>
            <w:pPr>
              <w:pStyle w:val="799"/>
              <w:tabs>
                <w:tab w:val="left" w:pos="822"/>
              </w:tabs>
              <w:ind w:left="480"/>
              <w:jc w:val="center"/>
              <w:rPr>
                <w:rFonts w:hAnsi="宋体"/>
                <w:szCs w:val="24"/>
              </w:rPr>
            </w:pPr>
          </w:p>
        </w:tc>
        <w:tc>
          <w:tcPr>
            <w:tcW w:w="1307" w:type="dxa"/>
            <w:vAlign w:val="center"/>
          </w:tcPr>
          <w:p>
            <w:pPr>
              <w:pStyle w:val="799"/>
              <w:tabs>
                <w:tab w:val="left" w:pos="822"/>
              </w:tabs>
              <w:ind w:left="480"/>
              <w:jc w:val="center"/>
              <w:rPr>
                <w:rFonts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99" w:type="dxa"/>
            <w:vAlign w:val="center"/>
          </w:tcPr>
          <w:p>
            <w:pPr>
              <w:pStyle w:val="5"/>
              <w:jc w:val="center"/>
              <w:rPr>
                <w:rFonts w:ascii="宋体" w:hAnsi="宋体" w:eastAsia="宋体"/>
                <w:b w:val="0"/>
                <w:bCs w:val="0"/>
                <w:sz w:val="24"/>
                <w:szCs w:val="24"/>
              </w:rPr>
            </w:pPr>
          </w:p>
        </w:tc>
        <w:tc>
          <w:tcPr>
            <w:tcW w:w="2208" w:type="dxa"/>
            <w:vAlign w:val="center"/>
          </w:tcPr>
          <w:p>
            <w:pPr>
              <w:pStyle w:val="799"/>
              <w:tabs>
                <w:tab w:val="left" w:pos="822"/>
              </w:tabs>
              <w:spacing w:line="240" w:lineRule="auto"/>
              <w:jc w:val="center"/>
              <w:rPr>
                <w:rFonts w:hAnsi="宋体"/>
                <w:szCs w:val="24"/>
              </w:rPr>
            </w:pPr>
          </w:p>
        </w:tc>
        <w:tc>
          <w:tcPr>
            <w:tcW w:w="1193" w:type="dxa"/>
            <w:vAlign w:val="center"/>
          </w:tcPr>
          <w:p>
            <w:pPr>
              <w:pStyle w:val="799"/>
              <w:tabs>
                <w:tab w:val="left" w:pos="822"/>
              </w:tabs>
              <w:spacing w:line="240" w:lineRule="auto"/>
              <w:jc w:val="center"/>
              <w:rPr>
                <w:rFonts w:hAnsi="宋体"/>
                <w:szCs w:val="24"/>
              </w:rPr>
            </w:pPr>
          </w:p>
        </w:tc>
        <w:tc>
          <w:tcPr>
            <w:tcW w:w="1425" w:type="dxa"/>
            <w:vAlign w:val="center"/>
          </w:tcPr>
          <w:p>
            <w:pPr>
              <w:pStyle w:val="799"/>
              <w:tabs>
                <w:tab w:val="left" w:pos="822"/>
              </w:tabs>
              <w:ind w:left="480"/>
              <w:jc w:val="center"/>
              <w:rPr>
                <w:rFonts w:hAnsi="宋体"/>
                <w:szCs w:val="24"/>
              </w:rPr>
            </w:pPr>
          </w:p>
        </w:tc>
        <w:tc>
          <w:tcPr>
            <w:tcW w:w="1156" w:type="dxa"/>
            <w:vAlign w:val="center"/>
          </w:tcPr>
          <w:p>
            <w:pPr>
              <w:pStyle w:val="799"/>
              <w:tabs>
                <w:tab w:val="left" w:pos="822"/>
              </w:tabs>
              <w:ind w:left="480"/>
              <w:jc w:val="center"/>
              <w:rPr>
                <w:rFonts w:hAnsi="宋体"/>
                <w:szCs w:val="24"/>
              </w:rPr>
            </w:pPr>
          </w:p>
        </w:tc>
        <w:tc>
          <w:tcPr>
            <w:tcW w:w="1187" w:type="dxa"/>
            <w:vAlign w:val="center"/>
          </w:tcPr>
          <w:p>
            <w:pPr>
              <w:pStyle w:val="799"/>
              <w:tabs>
                <w:tab w:val="left" w:pos="822"/>
              </w:tabs>
              <w:ind w:left="480"/>
              <w:jc w:val="center"/>
              <w:rPr>
                <w:rFonts w:hAnsi="宋体"/>
                <w:szCs w:val="24"/>
              </w:rPr>
            </w:pPr>
          </w:p>
        </w:tc>
        <w:tc>
          <w:tcPr>
            <w:tcW w:w="1087" w:type="dxa"/>
            <w:vAlign w:val="center"/>
          </w:tcPr>
          <w:p>
            <w:pPr>
              <w:pStyle w:val="799"/>
              <w:tabs>
                <w:tab w:val="left" w:pos="822"/>
              </w:tabs>
              <w:ind w:left="480"/>
              <w:jc w:val="center"/>
              <w:rPr>
                <w:rFonts w:hAnsi="宋体"/>
                <w:szCs w:val="24"/>
              </w:rPr>
            </w:pPr>
          </w:p>
        </w:tc>
        <w:tc>
          <w:tcPr>
            <w:tcW w:w="1307" w:type="dxa"/>
            <w:vAlign w:val="center"/>
          </w:tcPr>
          <w:p>
            <w:pPr>
              <w:pStyle w:val="799"/>
              <w:tabs>
                <w:tab w:val="left" w:pos="822"/>
              </w:tabs>
              <w:ind w:left="480"/>
              <w:jc w:val="center"/>
              <w:rPr>
                <w:rFonts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99" w:type="dxa"/>
            <w:vAlign w:val="center"/>
          </w:tcPr>
          <w:p>
            <w:pPr>
              <w:pStyle w:val="5"/>
              <w:jc w:val="center"/>
              <w:rPr>
                <w:rFonts w:ascii="宋体" w:hAnsi="宋体" w:eastAsia="宋体"/>
                <w:b w:val="0"/>
                <w:bCs w:val="0"/>
                <w:sz w:val="24"/>
                <w:szCs w:val="24"/>
              </w:rPr>
            </w:pPr>
          </w:p>
        </w:tc>
        <w:tc>
          <w:tcPr>
            <w:tcW w:w="2208" w:type="dxa"/>
            <w:vAlign w:val="center"/>
          </w:tcPr>
          <w:p>
            <w:pPr>
              <w:pStyle w:val="799"/>
              <w:tabs>
                <w:tab w:val="left" w:pos="822"/>
              </w:tabs>
              <w:spacing w:line="240" w:lineRule="auto"/>
              <w:jc w:val="center"/>
              <w:rPr>
                <w:rFonts w:hAnsi="宋体"/>
                <w:szCs w:val="24"/>
              </w:rPr>
            </w:pPr>
          </w:p>
        </w:tc>
        <w:tc>
          <w:tcPr>
            <w:tcW w:w="1193" w:type="dxa"/>
            <w:vAlign w:val="center"/>
          </w:tcPr>
          <w:p>
            <w:pPr>
              <w:pStyle w:val="799"/>
              <w:tabs>
                <w:tab w:val="left" w:pos="822"/>
              </w:tabs>
              <w:spacing w:line="240" w:lineRule="auto"/>
              <w:jc w:val="center"/>
              <w:rPr>
                <w:rFonts w:hAnsi="宋体"/>
                <w:szCs w:val="24"/>
              </w:rPr>
            </w:pPr>
          </w:p>
        </w:tc>
        <w:tc>
          <w:tcPr>
            <w:tcW w:w="1425" w:type="dxa"/>
            <w:vAlign w:val="center"/>
          </w:tcPr>
          <w:p>
            <w:pPr>
              <w:pStyle w:val="799"/>
              <w:tabs>
                <w:tab w:val="left" w:pos="822"/>
              </w:tabs>
              <w:ind w:left="480"/>
              <w:jc w:val="center"/>
              <w:rPr>
                <w:rFonts w:hAnsi="宋体"/>
                <w:szCs w:val="24"/>
              </w:rPr>
            </w:pPr>
          </w:p>
        </w:tc>
        <w:tc>
          <w:tcPr>
            <w:tcW w:w="1156" w:type="dxa"/>
            <w:vAlign w:val="center"/>
          </w:tcPr>
          <w:p>
            <w:pPr>
              <w:pStyle w:val="799"/>
              <w:tabs>
                <w:tab w:val="left" w:pos="822"/>
              </w:tabs>
              <w:ind w:left="480"/>
              <w:jc w:val="center"/>
              <w:rPr>
                <w:rFonts w:hAnsi="宋体"/>
                <w:szCs w:val="24"/>
              </w:rPr>
            </w:pPr>
          </w:p>
        </w:tc>
        <w:tc>
          <w:tcPr>
            <w:tcW w:w="1187" w:type="dxa"/>
            <w:vAlign w:val="center"/>
          </w:tcPr>
          <w:p>
            <w:pPr>
              <w:pStyle w:val="799"/>
              <w:tabs>
                <w:tab w:val="left" w:pos="822"/>
              </w:tabs>
              <w:ind w:left="480"/>
              <w:jc w:val="center"/>
              <w:rPr>
                <w:rFonts w:hAnsi="宋体"/>
                <w:szCs w:val="24"/>
              </w:rPr>
            </w:pPr>
          </w:p>
        </w:tc>
        <w:tc>
          <w:tcPr>
            <w:tcW w:w="1087" w:type="dxa"/>
            <w:vAlign w:val="center"/>
          </w:tcPr>
          <w:p>
            <w:pPr>
              <w:pStyle w:val="799"/>
              <w:tabs>
                <w:tab w:val="left" w:pos="822"/>
              </w:tabs>
              <w:ind w:left="480"/>
              <w:jc w:val="center"/>
              <w:rPr>
                <w:rFonts w:hAnsi="宋体"/>
                <w:szCs w:val="24"/>
              </w:rPr>
            </w:pPr>
          </w:p>
        </w:tc>
        <w:tc>
          <w:tcPr>
            <w:tcW w:w="1307" w:type="dxa"/>
            <w:vAlign w:val="center"/>
          </w:tcPr>
          <w:p>
            <w:pPr>
              <w:pStyle w:val="799"/>
              <w:tabs>
                <w:tab w:val="left" w:pos="822"/>
              </w:tabs>
              <w:ind w:left="480"/>
              <w:jc w:val="center"/>
              <w:rPr>
                <w:rFonts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99" w:type="dxa"/>
            <w:vAlign w:val="center"/>
          </w:tcPr>
          <w:p>
            <w:pPr>
              <w:pStyle w:val="5"/>
              <w:jc w:val="center"/>
              <w:rPr>
                <w:rFonts w:ascii="宋体" w:hAnsi="宋体" w:eastAsia="宋体"/>
                <w:b w:val="0"/>
                <w:bCs w:val="0"/>
                <w:sz w:val="24"/>
                <w:szCs w:val="24"/>
              </w:rPr>
            </w:pPr>
          </w:p>
        </w:tc>
        <w:tc>
          <w:tcPr>
            <w:tcW w:w="2208" w:type="dxa"/>
            <w:vAlign w:val="center"/>
          </w:tcPr>
          <w:p>
            <w:pPr>
              <w:pStyle w:val="799"/>
              <w:tabs>
                <w:tab w:val="left" w:pos="822"/>
              </w:tabs>
              <w:spacing w:line="240" w:lineRule="auto"/>
              <w:jc w:val="center"/>
              <w:rPr>
                <w:rFonts w:hAnsi="宋体"/>
                <w:szCs w:val="24"/>
              </w:rPr>
            </w:pPr>
          </w:p>
        </w:tc>
        <w:tc>
          <w:tcPr>
            <w:tcW w:w="1193" w:type="dxa"/>
            <w:vAlign w:val="center"/>
          </w:tcPr>
          <w:p>
            <w:pPr>
              <w:pStyle w:val="799"/>
              <w:tabs>
                <w:tab w:val="left" w:pos="822"/>
              </w:tabs>
              <w:spacing w:line="240" w:lineRule="auto"/>
              <w:jc w:val="center"/>
              <w:rPr>
                <w:rFonts w:hAnsi="宋体"/>
                <w:szCs w:val="24"/>
              </w:rPr>
            </w:pPr>
          </w:p>
        </w:tc>
        <w:tc>
          <w:tcPr>
            <w:tcW w:w="1425" w:type="dxa"/>
            <w:vAlign w:val="center"/>
          </w:tcPr>
          <w:p>
            <w:pPr>
              <w:pStyle w:val="799"/>
              <w:tabs>
                <w:tab w:val="left" w:pos="822"/>
              </w:tabs>
              <w:ind w:left="480"/>
              <w:jc w:val="center"/>
              <w:rPr>
                <w:rFonts w:hAnsi="宋体"/>
                <w:szCs w:val="24"/>
              </w:rPr>
            </w:pPr>
          </w:p>
        </w:tc>
        <w:tc>
          <w:tcPr>
            <w:tcW w:w="1156" w:type="dxa"/>
            <w:vAlign w:val="center"/>
          </w:tcPr>
          <w:p>
            <w:pPr>
              <w:pStyle w:val="799"/>
              <w:tabs>
                <w:tab w:val="left" w:pos="822"/>
              </w:tabs>
              <w:ind w:left="480"/>
              <w:jc w:val="center"/>
              <w:rPr>
                <w:rFonts w:hAnsi="宋体"/>
                <w:szCs w:val="24"/>
              </w:rPr>
            </w:pPr>
          </w:p>
        </w:tc>
        <w:tc>
          <w:tcPr>
            <w:tcW w:w="1187" w:type="dxa"/>
            <w:vAlign w:val="center"/>
          </w:tcPr>
          <w:p>
            <w:pPr>
              <w:pStyle w:val="799"/>
              <w:tabs>
                <w:tab w:val="left" w:pos="822"/>
              </w:tabs>
              <w:ind w:left="480"/>
              <w:jc w:val="center"/>
              <w:rPr>
                <w:rFonts w:hAnsi="宋体"/>
                <w:szCs w:val="24"/>
              </w:rPr>
            </w:pPr>
          </w:p>
        </w:tc>
        <w:tc>
          <w:tcPr>
            <w:tcW w:w="1087" w:type="dxa"/>
            <w:vAlign w:val="center"/>
          </w:tcPr>
          <w:p>
            <w:pPr>
              <w:pStyle w:val="799"/>
              <w:tabs>
                <w:tab w:val="left" w:pos="822"/>
              </w:tabs>
              <w:ind w:left="480"/>
              <w:jc w:val="center"/>
              <w:rPr>
                <w:rFonts w:hAnsi="宋体"/>
                <w:szCs w:val="24"/>
              </w:rPr>
            </w:pPr>
          </w:p>
        </w:tc>
        <w:tc>
          <w:tcPr>
            <w:tcW w:w="1307" w:type="dxa"/>
            <w:vAlign w:val="center"/>
          </w:tcPr>
          <w:p>
            <w:pPr>
              <w:pStyle w:val="799"/>
              <w:tabs>
                <w:tab w:val="left" w:pos="822"/>
              </w:tabs>
              <w:ind w:left="480"/>
              <w:jc w:val="center"/>
              <w:rPr>
                <w:rFonts w:hAnsi="宋体"/>
                <w:szCs w:val="24"/>
              </w:rPr>
            </w:pPr>
          </w:p>
        </w:tc>
      </w:tr>
    </w:tbl>
    <w:p>
      <w:pPr>
        <w:pStyle w:val="56"/>
        <w:spacing w:line="440" w:lineRule="exact"/>
        <w:rPr>
          <w:rFonts w:ascii="宋体" w:hAnsi="宋体" w:eastAsia="宋体"/>
          <w:sz w:val="24"/>
          <w:szCs w:val="24"/>
        </w:rPr>
      </w:pPr>
      <w:r>
        <w:rPr>
          <w:rFonts w:hint="eastAsia" w:ascii="宋体" w:hAnsi="宋体" w:eastAsia="宋体"/>
          <w:sz w:val="24"/>
          <w:szCs w:val="24"/>
        </w:rPr>
        <w:t>以上企业，不属于大企业的分支机构，不存在控股股东为大企业的情形，也不存在与大企业的负责人为同一人的情形。</w:t>
      </w:r>
    </w:p>
    <w:p>
      <w:pPr>
        <w:pStyle w:val="56"/>
        <w:spacing w:line="440" w:lineRule="exact"/>
        <w:rPr>
          <w:rFonts w:ascii="宋体" w:hAnsi="宋体" w:eastAsia="宋体"/>
          <w:sz w:val="24"/>
          <w:szCs w:val="24"/>
        </w:rPr>
      </w:pPr>
      <w:r>
        <w:rPr>
          <w:rFonts w:hint="eastAsia" w:ascii="宋体" w:hAnsi="宋体" w:eastAsia="宋体"/>
          <w:sz w:val="24"/>
          <w:szCs w:val="24"/>
        </w:rPr>
        <w:t>本企业对上述声明内容的真实性负责。如有虚假，将依法承担相应责任。</w:t>
      </w:r>
    </w:p>
    <w:p>
      <w:pPr>
        <w:pStyle w:val="810"/>
        <w:snapToGrid w:val="0"/>
        <w:spacing w:line="440" w:lineRule="exact"/>
        <w:rPr>
          <w:rFonts w:ascii="宋体" w:hAnsi="宋体"/>
          <w:szCs w:val="24"/>
        </w:rPr>
      </w:pPr>
      <w:r>
        <w:rPr>
          <w:rFonts w:hint="eastAsia" w:ascii="宋体" w:hAnsi="宋体"/>
          <w:szCs w:val="24"/>
        </w:rPr>
        <w:t>投标人全称（</w:t>
      </w:r>
      <w:r>
        <w:rPr>
          <w:rFonts w:hint="eastAsia" w:ascii="宋体" w:hAnsi="宋体"/>
          <w:kern w:val="0"/>
          <w:lang w:val="zh-CN"/>
        </w:rPr>
        <w:t>电子签章</w:t>
      </w:r>
      <w:r>
        <w:rPr>
          <w:rFonts w:hint="eastAsia" w:ascii="宋体" w:hAnsi="宋体"/>
          <w:szCs w:val="24"/>
        </w:rPr>
        <w:t>）：</w:t>
      </w:r>
    </w:p>
    <w:p>
      <w:pPr>
        <w:snapToGrid w:val="0"/>
        <w:spacing w:line="440" w:lineRule="exact"/>
        <w:ind w:right="600"/>
        <w:rPr>
          <w:rFonts w:ascii="宋体" w:hAnsi="宋体"/>
        </w:rPr>
      </w:pPr>
      <w:r>
        <w:rPr>
          <w:rFonts w:hint="eastAsia" w:ascii="宋体" w:hAnsi="宋体"/>
        </w:rPr>
        <w:t>法定代表人或授权代表（签名或盖章）：</w:t>
      </w:r>
    </w:p>
    <w:p>
      <w:pPr>
        <w:snapToGrid w:val="0"/>
        <w:spacing w:line="440" w:lineRule="exact"/>
        <w:rPr>
          <w:rFonts w:ascii="宋体" w:hAnsi="宋体"/>
          <w:b/>
          <w:sz w:val="32"/>
          <w:szCs w:val="32"/>
        </w:rPr>
      </w:pPr>
      <w:r>
        <w:rPr>
          <w:rFonts w:hint="eastAsia" w:ascii="宋体" w:hAnsi="宋体"/>
        </w:rPr>
        <w:t>日期：</w:t>
      </w:r>
      <w:r>
        <w:rPr>
          <w:rFonts w:hint="eastAsia" w:ascii="宋体" w:hAnsi="宋体"/>
          <w:u w:val="single"/>
        </w:rPr>
        <w:t xml:space="preserve">       年     月     日</w:t>
      </w:r>
    </w:p>
    <w:p>
      <w:pPr>
        <w:snapToGrid w:val="0"/>
        <w:spacing w:line="440" w:lineRule="exact"/>
        <w:ind w:firstLine="420" w:firstLineChars="200"/>
        <w:rPr>
          <w:rFonts w:ascii="宋体" w:hAnsi="宋体"/>
          <w:b/>
        </w:rPr>
      </w:pPr>
      <w:r>
        <w:rPr>
          <w:rFonts w:hint="eastAsia" w:ascii="宋体" w:hAnsi="宋体"/>
        </w:rPr>
        <w:t>注：从业人员、营业收入、资产总额填报上一年度数据，无上一年度数据的新成立企业可不填报。</w:t>
      </w:r>
    </w:p>
    <w:p>
      <w:pPr>
        <w:pStyle w:val="17"/>
        <w:spacing w:line="400" w:lineRule="exact"/>
        <w:ind w:firstLine="551" w:firstLineChars="196"/>
        <w:rPr>
          <w:rFonts w:hAnsi="宋体"/>
          <w:b/>
          <w:kern w:val="2"/>
          <w:szCs w:val="24"/>
        </w:rPr>
      </w:pPr>
      <w:r>
        <w:rPr>
          <w:rFonts w:hint="eastAsia" w:hAnsi="宋体"/>
          <w:b/>
          <w:kern w:val="2"/>
          <w:szCs w:val="24"/>
        </w:rPr>
        <w:t>▲</w:t>
      </w:r>
      <w:r>
        <w:rPr>
          <w:rFonts w:hint="eastAsia" w:hAnsi="宋体"/>
          <w:b/>
        </w:rPr>
        <w:t>注：</w:t>
      </w:r>
      <w:r>
        <w:rPr>
          <w:rFonts w:hint="eastAsia" w:hAnsi="宋体"/>
          <w:b/>
          <w:kern w:val="2"/>
          <w:szCs w:val="24"/>
        </w:rPr>
        <w:t>投标人应当对其出具的</w:t>
      </w:r>
      <w:r>
        <w:rPr>
          <w:rFonts w:hint="eastAsia" w:hAnsi="宋体"/>
          <w:b/>
          <w:szCs w:val="24"/>
        </w:rPr>
        <w:t>《中小企业声明函》、监狱企业证明文件、《残疾人福利性单位声明函》</w:t>
      </w:r>
      <w:r>
        <w:rPr>
          <w:rFonts w:hint="eastAsia" w:hAnsi="宋体"/>
          <w:b/>
          <w:kern w:val="2"/>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spacing w:line="360" w:lineRule="auto"/>
        <w:ind w:right="420" w:firstLine="720" w:firstLineChars="300"/>
        <w:rPr>
          <w:rFonts w:ascii="宋体" w:hAnsi="宋体" w:cs="宋体"/>
          <w:bCs/>
          <w:sz w:val="24"/>
        </w:rPr>
      </w:pPr>
      <w:r>
        <w:rPr>
          <w:rFonts w:hint="eastAsia" w:ascii="宋体" w:hAnsi="宋体" w:cs="宋体"/>
          <w:sz w:val="24"/>
        </w:rPr>
        <w:t xml:space="preserve">  </w:t>
      </w:r>
    </w:p>
    <w:sectPr>
      <w:pgSz w:w="11906" w:h="16838"/>
      <w:pgMar w:top="1276" w:right="1417" w:bottom="1247" w:left="1417"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szCs w:val="24"/>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tabs>
        <w:tab w:val="left" w:pos="3023"/>
      </w:tabs>
      <w:jc w:val="left"/>
    </w:pPr>
    <w:r>
      <w:rPr>
        <w:rFonts w:hint="eastAsia"/>
      </w:rPr>
      <w:tab/>
    </w: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b/>
        <w:i/>
        <w:u w:val="single"/>
      </w:rPr>
    </w:pPr>
    <w:r>
      <w:rPr>
        <w:rFonts w:hint="eastAsia"/>
        <w:lang w:eastAsia="zh-CN"/>
      </w:rPr>
      <w:t>2024第四届桐庐生仙里铁人三项赛赛事运营服务采购项目</w:t>
    </w:r>
    <w:r>
      <w:rPr>
        <w:rFonts w:hint="eastAsia"/>
      </w:rPr>
      <w:t>竞争性磋商文件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right"/>
      <w:rPr>
        <w:rFonts w:ascii="仿宋_GB2312"/>
        <w:b/>
        <w:i/>
        <w:iCs/>
        <w:u w:val="single"/>
      </w:rPr>
    </w:pP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319D31"/>
    <w:multiLevelType w:val="singleLevel"/>
    <w:tmpl w:val="9C319D31"/>
    <w:lvl w:ilvl="0" w:tentative="0">
      <w:start w:val="1"/>
      <w:numFmt w:val="decimal"/>
      <w:suff w:val="nothing"/>
      <w:lvlText w:val="（%1）"/>
      <w:lvlJc w:val="left"/>
    </w:lvl>
  </w:abstractNum>
  <w:abstractNum w:abstractNumId="1">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2">
    <w:nsid w:val="B625C309"/>
    <w:multiLevelType w:val="singleLevel"/>
    <w:tmpl w:val="B625C309"/>
    <w:lvl w:ilvl="0" w:tentative="0">
      <w:start w:val="4"/>
      <w:numFmt w:val="chineseCounting"/>
      <w:suff w:val="nothing"/>
      <w:lvlText w:val="%1、"/>
      <w:lvlJc w:val="left"/>
      <w:rPr>
        <w:rFonts w:hint="eastAsia"/>
      </w:rPr>
    </w:lvl>
  </w:abstractNum>
  <w:abstractNum w:abstractNumId="3">
    <w:nsid w:val="100406AC"/>
    <w:multiLevelType w:val="singleLevel"/>
    <w:tmpl w:val="100406AC"/>
    <w:lvl w:ilvl="0" w:tentative="0">
      <w:start w:val="2"/>
      <w:numFmt w:val="chineseCounting"/>
      <w:suff w:val="nothing"/>
      <w:lvlText w:val="%1、"/>
      <w:lvlJc w:val="left"/>
      <w:rPr>
        <w:rFonts w:hint="eastAsia"/>
      </w:rPr>
    </w:lvl>
  </w:abstractNum>
  <w:abstractNum w:abstractNumId="4">
    <w:nsid w:val="32F88DAF"/>
    <w:multiLevelType w:val="multilevel"/>
    <w:tmpl w:val="32F88DAF"/>
    <w:lvl w:ilvl="0" w:tentative="0">
      <w:start w:val="1"/>
      <w:numFmt w:val="decimal"/>
      <w:suff w:val="nothing"/>
      <w:lvlText w:val="%1、"/>
      <w:lvlJc w:val="left"/>
    </w:lvl>
    <w:lvl w:ilvl="1" w:tentative="0">
      <w:start w:val="1"/>
      <w:numFmt w:val="lowerLetter"/>
      <w:lvlText w:val="%2)"/>
      <w:lvlJc w:val="left"/>
      <w:pPr>
        <w:ind w:left="3163" w:hanging="420"/>
      </w:pPr>
    </w:lvl>
    <w:lvl w:ilvl="2" w:tentative="0">
      <w:start w:val="1"/>
      <w:numFmt w:val="lowerRoman"/>
      <w:lvlText w:val="%3."/>
      <w:lvlJc w:val="right"/>
      <w:pPr>
        <w:ind w:left="3583" w:hanging="420"/>
      </w:pPr>
    </w:lvl>
    <w:lvl w:ilvl="3" w:tentative="0">
      <w:start w:val="1"/>
      <w:numFmt w:val="decimal"/>
      <w:lvlText w:val="%4."/>
      <w:lvlJc w:val="left"/>
      <w:pPr>
        <w:ind w:left="4003" w:hanging="420"/>
      </w:pPr>
    </w:lvl>
    <w:lvl w:ilvl="4" w:tentative="0">
      <w:start w:val="1"/>
      <w:numFmt w:val="lowerLetter"/>
      <w:lvlText w:val="%5)"/>
      <w:lvlJc w:val="left"/>
      <w:pPr>
        <w:ind w:left="4423" w:hanging="420"/>
      </w:pPr>
    </w:lvl>
    <w:lvl w:ilvl="5" w:tentative="0">
      <w:start w:val="1"/>
      <w:numFmt w:val="lowerRoman"/>
      <w:lvlText w:val="%6."/>
      <w:lvlJc w:val="right"/>
      <w:pPr>
        <w:ind w:left="4843" w:hanging="420"/>
      </w:pPr>
    </w:lvl>
    <w:lvl w:ilvl="6" w:tentative="0">
      <w:start w:val="1"/>
      <w:numFmt w:val="decimal"/>
      <w:lvlText w:val="%7."/>
      <w:lvlJc w:val="left"/>
      <w:pPr>
        <w:ind w:left="5263" w:hanging="420"/>
      </w:pPr>
    </w:lvl>
    <w:lvl w:ilvl="7" w:tentative="0">
      <w:start w:val="1"/>
      <w:numFmt w:val="lowerLetter"/>
      <w:lvlText w:val="%8)"/>
      <w:lvlJc w:val="left"/>
      <w:pPr>
        <w:ind w:left="5683" w:hanging="420"/>
      </w:pPr>
    </w:lvl>
    <w:lvl w:ilvl="8" w:tentative="0">
      <w:start w:val="1"/>
      <w:numFmt w:val="lowerRoman"/>
      <w:lvlText w:val="%9."/>
      <w:lvlJc w:val="right"/>
      <w:pPr>
        <w:ind w:left="6103" w:hanging="420"/>
      </w:pPr>
    </w:lvl>
  </w:abstractNum>
  <w:abstractNum w:abstractNumId="5">
    <w:nsid w:val="33ECF4CF"/>
    <w:multiLevelType w:val="singleLevel"/>
    <w:tmpl w:val="33ECF4CF"/>
    <w:lvl w:ilvl="0" w:tentative="0">
      <w:start w:val="1"/>
      <w:numFmt w:val="decimal"/>
      <w:lvlText w:val="%1."/>
      <w:lvlJc w:val="left"/>
      <w:pPr>
        <w:ind w:left="425" w:hanging="425"/>
      </w:pPr>
      <w:rPr>
        <w:rFonts w:hint="default"/>
      </w:rPr>
    </w:lvl>
  </w:abstractNum>
  <w:abstractNum w:abstractNumId="6">
    <w:nsid w:val="398C91A3"/>
    <w:multiLevelType w:val="singleLevel"/>
    <w:tmpl w:val="398C91A3"/>
    <w:lvl w:ilvl="0" w:tentative="0">
      <w:start w:val="1"/>
      <w:numFmt w:val="decimal"/>
      <w:suff w:val="nothing"/>
      <w:lvlText w:val="（%1）"/>
      <w:lvlJc w:val="left"/>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hNGVhMzVmNjg2OWIyYWJjMGIwMjUwNGYwZjFiNTYifQ=="/>
  </w:docVars>
  <w:rsids>
    <w:rsidRoot w:val="00172A27"/>
    <w:rsid w:val="00000451"/>
    <w:rsid w:val="00000C93"/>
    <w:rsid w:val="0000108B"/>
    <w:rsid w:val="0000133D"/>
    <w:rsid w:val="000013FB"/>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561C"/>
    <w:rsid w:val="000168D8"/>
    <w:rsid w:val="000170C8"/>
    <w:rsid w:val="000173F4"/>
    <w:rsid w:val="00020287"/>
    <w:rsid w:val="000202FE"/>
    <w:rsid w:val="00020B5F"/>
    <w:rsid w:val="000211BC"/>
    <w:rsid w:val="00021C8E"/>
    <w:rsid w:val="0002207B"/>
    <w:rsid w:val="0002235F"/>
    <w:rsid w:val="00022788"/>
    <w:rsid w:val="00023010"/>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27ECB"/>
    <w:rsid w:val="00030572"/>
    <w:rsid w:val="00030A97"/>
    <w:rsid w:val="00030CB3"/>
    <w:rsid w:val="0003206A"/>
    <w:rsid w:val="000326A7"/>
    <w:rsid w:val="000326AA"/>
    <w:rsid w:val="00032EA0"/>
    <w:rsid w:val="000331B0"/>
    <w:rsid w:val="000336D4"/>
    <w:rsid w:val="00034FA7"/>
    <w:rsid w:val="0003533D"/>
    <w:rsid w:val="000357E4"/>
    <w:rsid w:val="000359B2"/>
    <w:rsid w:val="00035AAF"/>
    <w:rsid w:val="00035ACA"/>
    <w:rsid w:val="00040447"/>
    <w:rsid w:val="00040494"/>
    <w:rsid w:val="00040B70"/>
    <w:rsid w:val="00042441"/>
    <w:rsid w:val="00042533"/>
    <w:rsid w:val="00042DBB"/>
    <w:rsid w:val="00042E65"/>
    <w:rsid w:val="0004347C"/>
    <w:rsid w:val="00043907"/>
    <w:rsid w:val="00044F48"/>
    <w:rsid w:val="00047354"/>
    <w:rsid w:val="00050430"/>
    <w:rsid w:val="00050656"/>
    <w:rsid w:val="00050A19"/>
    <w:rsid w:val="000511B6"/>
    <w:rsid w:val="00051B00"/>
    <w:rsid w:val="00051C72"/>
    <w:rsid w:val="00052192"/>
    <w:rsid w:val="0005238F"/>
    <w:rsid w:val="00052787"/>
    <w:rsid w:val="00052BB8"/>
    <w:rsid w:val="0005350F"/>
    <w:rsid w:val="0005417A"/>
    <w:rsid w:val="00054D39"/>
    <w:rsid w:val="0005501B"/>
    <w:rsid w:val="000550F5"/>
    <w:rsid w:val="000552B2"/>
    <w:rsid w:val="00055337"/>
    <w:rsid w:val="000554C7"/>
    <w:rsid w:val="00056145"/>
    <w:rsid w:val="000563B2"/>
    <w:rsid w:val="00056402"/>
    <w:rsid w:val="00056791"/>
    <w:rsid w:val="00056868"/>
    <w:rsid w:val="00056876"/>
    <w:rsid w:val="000568DF"/>
    <w:rsid w:val="000578A3"/>
    <w:rsid w:val="00057D4C"/>
    <w:rsid w:val="00060C48"/>
    <w:rsid w:val="00061A3C"/>
    <w:rsid w:val="00061C48"/>
    <w:rsid w:val="00064278"/>
    <w:rsid w:val="000646CA"/>
    <w:rsid w:val="00066551"/>
    <w:rsid w:val="000665C4"/>
    <w:rsid w:val="000665D1"/>
    <w:rsid w:val="00067821"/>
    <w:rsid w:val="0006785E"/>
    <w:rsid w:val="00067F92"/>
    <w:rsid w:val="00067FA7"/>
    <w:rsid w:val="0007038E"/>
    <w:rsid w:val="0007077C"/>
    <w:rsid w:val="00070825"/>
    <w:rsid w:val="00071CD8"/>
    <w:rsid w:val="00071DB2"/>
    <w:rsid w:val="0007214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946"/>
    <w:rsid w:val="00077B7F"/>
    <w:rsid w:val="000808C1"/>
    <w:rsid w:val="00080970"/>
    <w:rsid w:val="00081671"/>
    <w:rsid w:val="00081E45"/>
    <w:rsid w:val="0008212F"/>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758"/>
    <w:rsid w:val="0009690D"/>
    <w:rsid w:val="00096DFF"/>
    <w:rsid w:val="000A0729"/>
    <w:rsid w:val="000A0E69"/>
    <w:rsid w:val="000A1A52"/>
    <w:rsid w:val="000A1B0A"/>
    <w:rsid w:val="000A1F98"/>
    <w:rsid w:val="000A3147"/>
    <w:rsid w:val="000A3D58"/>
    <w:rsid w:val="000A3FE3"/>
    <w:rsid w:val="000A47B0"/>
    <w:rsid w:val="000A4851"/>
    <w:rsid w:val="000A49BB"/>
    <w:rsid w:val="000A4F22"/>
    <w:rsid w:val="000A4F51"/>
    <w:rsid w:val="000A5149"/>
    <w:rsid w:val="000A5674"/>
    <w:rsid w:val="000A5A46"/>
    <w:rsid w:val="000A7299"/>
    <w:rsid w:val="000A752E"/>
    <w:rsid w:val="000B06F8"/>
    <w:rsid w:val="000B0E04"/>
    <w:rsid w:val="000B268D"/>
    <w:rsid w:val="000B291B"/>
    <w:rsid w:val="000B456C"/>
    <w:rsid w:val="000B45B9"/>
    <w:rsid w:val="000B47CE"/>
    <w:rsid w:val="000B4B56"/>
    <w:rsid w:val="000B4C62"/>
    <w:rsid w:val="000B541D"/>
    <w:rsid w:val="000B54BD"/>
    <w:rsid w:val="000B54C1"/>
    <w:rsid w:val="000B5553"/>
    <w:rsid w:val="000B5FE8"/>
    <w:rsid w:val="000B666E"/>
    <w:rsid w:val="000B7143"/>
    <w:rsid w:val="000C0860"/>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A45"/>
    <w:rsid w:val="000C6B28"/>
    <w:rsid w:val="000C7BEB"/>
    <w:rsid w:val="000D0124"/>
    <w:rsid w:val="000D0174"/>
    <w:rsid w:val="000D040E"/>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1A3"/>
    <w:rsid w:val="000E2785"/>
    <w:rsid w:val="000E27BB"/>
    <w:rsid w:val="000E3153"/>
    <w:rsid w:val="000E3484"/>
    <w:rsid w:val="000E386F"/>
    <w:rsid w:val="000E4051"/>
    <w:rsid w:val="000E4139"/>
    <w:rsid w:val="000E4765"/>
    <w:rsid w:val="000E5B7E"/>
    <w:rsid w:val="000E5FF9"/>
    <w:rsid w:val="000E669F"/>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888"/>
    <w:rsid w:val="00101967"/>
    <w:rsid w:val="00102850"/>
    <w:rsid w:val="00103251"/>
    <w:rsid w:val="00103509"/>
    <w:rsid w:val="0010393D"/>
    <w:rsid w:val="00103991"/>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81D"/>
    <w:rsid w:val="00111C7D"/>
    <w:rsid w:val="00112038"/>
    <w:rsid w:val="001127FF"/>
    <w:rsid w:val="00112B0B"/>
    <w:rsid w:val="00112EB5"/>
    <w:rsid w:val="0011383E"/>
    <w:rsid w:val="00113EE3"/>
    <w:rsid w:val="00114847"/>
    <w:rsid w:val="0011585B"/>
    <w:rsid w:val="00115B1A"/>
    <w:rsid w:val="001160FF"/>
    <w:rsid w:val="001164F4"/>
    <w:rsid w:val="001165D6"/>
    <w:rsid w:val="001168F8"/>
    <w:rsid w:val="001176FF"/>
    <w:rsid w:val="0012153F"/>
    <w:rsid w:val="0012159D"/>
    <w:rsid w:val="00121804"/>
    <w:rsid w:val="00121EC9"/>
    <w:rsid w:val="00121F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409"/>
    <w:rsid w:val="00135769"/>
    <w:rsid w:val="00135BE9"/>
    <w:rsid w:val="00135E5C"/>
    <w:rsid w:val="00136762"/>
    <w:rsid w:val="00136E33"/>
    <w:rsid w:val="0013773D"/>
    <w:rsid w:val="0014042F"/>
    <w:rsid w:val="00140693"/>
    <w:rsid w:val="00140D7A"/>
    <w:rsid w:val="00141D28"/>
    <w:rsid w:val="00141DFE"/>
    <w:rsid w:val="00142185"/>
    <w:rsid w:val="001422E2"/>
    <w:rsid w:val="0014283B"/>
    <w:rsid w:val="001433BC"/>
    <w:rsid w:val="00143872"/>
    <w:rsid w:val="00143A85"/>
    <w:rsid w:val="00144216"/>
    <w:rsid w:val="00144649"/>
    <w:rsid w:val="00145022"/>
    <w:rsid w:val="00145662"/>
    <w:rsid w:val="00145C6D"/>
    <w:rsid w:val="001460FC"/>
    <w:rsid w:val="00146151"/>
    <w:rsid w:val="00146326"/>
    <w:rsid w:val="00147032"/>
    <w:rsid w:val="0014757B"/>
    <w:rsid w:val="00147EA7"/>
    <w:rsid w:val="00151820"/>
    <w:rsid w:val="00151B2F"/>
    <w:rsid w:val="001524DC"/>
    <w:rsid w:val="001525E5"/>
    <w:rsid w:val="00153859"/>
    <w:rsid w:val="00153915"/>
    <w:rsid w:val="001539F0"/>
    <w:rsid w:val="00154BBA"/>
    <w:rsid w:val="00155310"/>
    <w:rsid w:val="00155626"/>
    <w:rsid w:val="00155B95"/>
    <w:rsid w:val="00156853"/>
    <w:rsid w:val="00157432"/>
    <w:rsid w:val="00161185"/>
    <w:rsid w:val="001620BA"/>
    <w:rsid w:val="001623AC"/>
    <w:rsid w:val="00162BAA"/>
    <w:rsid w:val="0016367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3D6"/>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107"/>
    <w:rsid w:val="001827B7"/>
    <w:rsid w:val="001827EF"/>
    <w:rsid w:val="00182982"/>
    <w:rsid w:val="001829BC"/>
    <w:rsid w:val="00182D68"/>
    <w:rsid w:val="00183031"/>
    <w:rsid w:val="00183449"/>
    <w:rsid w:val="00183468"/>
    <w:rsid w:val="0018397E"/>
    <w:rsid w:val="00184466"/>
    <w:rsid w:val="00184DBF"/>
    <w:rsid w:val="001850F6"/>
    <w:rsid w:val="001852A8"/>
    <w:rsid w:val="0018620A"/>
    <w:rsid w:val="00186A13"/>
    <w:rsid w:val="00186EB0"/>
    <w:rsid w:val="00187121"/>
    <w:rsid w:val="001871AD"/>
    <w:rsid w:val="00187243"/>
    <w:rsid w:val="00187C29"/>
    <w:rsid w:val="00190782"/>
    <w:rsid w:val="00190942"/>
    <w:rsid w:val="001909A7"/>
    <w:rsid w:val="001909C3"/>
    <w:rsid w:val="00191459"/>
    <w:rsid w:val="00191603"/>
    <w:rsid w:val="0019173E"/>
    <w:rsid w:val="0019174E"/>
    <w:rsid w:val="0019196B"/>
    <w:rsid w:val="001923B3"/>
    <w:rsid w:val="001923D5"/>
    <w:rsid w:val="00192623"/>
    <w:rsid w:val="00192991"/>
    <w:rsid w:val="001929CE"/>
    <w:rsid w:val="00193470"/>
    <w:rsid w:val="00193657"/>
    <w:rsid w:val="00193B94"/>
    <w:rsid w:val="0019405D"/>
    <w:rsid w:val="001940A7"/>
    <w:rsid w:val="00194BB1"/>
    <w:rsid w:val="00194BC6"/>
    <w:rsid w:val="00195070"/>
    <w:rsid w:val="00195245"/>
    <w:rsid w:val="0019526D"/>
    <w:rsid w:val="0019553F"/>
    <w:rsid w:val="001956BE"/>
    <w:rsid w:val="00195C7D"/>
    <w:rsid w:val="0019602C"/>
    <w:rsid w:val="0019641A"/>
    <w:rsid w:val="001969F2"/>
    <w:rsid w:val="00196CD6"/>
    <w:rsid w:val="0019756A"/>
    <w:rsid w:val="001A06B5"/>
    <w:rsid w:val="001A07F8"/>
    <w:rsid w:val="001A0A23"/>
    <w:rsid w:val="001A0C98"/>
    <w:rsid w:val="001A128B"/>
    <w:rsid w:val="001A1475"/>
    <w:rsid w:val="001A1F0E"/>
    <w:rsid w:val="001A3335"/>
    <w:rsid w:val="001A36C4"/>
    <w:rsid w:val="001A473A"/>
    <w:rsid w:val="001A4ED9"/>
    <w:rsid w:val="001A5785"/>
    <w:rsid w:val="001A5FD7"/>
    <w:rsid w:val="001A66A6"/>
    <w:rsid w:val="001A6BAF"/>
    <w:rsid w:val="001A6BBB"/>
    <w:rsid w:val="001A6E76"/>
    <w:rsid w:val="001A79A2"/>
    <w:rsid w:val="001B06A6"/>
    <w:rsid w:val="001B12F1"/>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83C"/>
    <w:rsid w:val="001C4D68"/>
    <w:rsid w:val="001C6047"/>
    <w:rsid w:val="001C63E6"/>
    <w:rsid w:val="001C6698"/>
    <w:rsid w:val="001C6C5B"/>
    <w:rsid w:val="001C7114"/>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010"/>
    <w:rsid w:val="001D5281"/>
    <w:rsid w:val="001D564B"/>
    <w:rsid w:val="001D6D0E"/>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BB5"/>
    <w:rsid w:val="001F2F92"/>
    <w:rsid w:val="001F5DA1"/>
    <w:rsid w:val="001F612E"/>
    <w:rsid w:val="001F6A92"/>
    <w:rsid w:val="001F6CDC"/>
    <w:rsid w:val="001F77E8"/>
    <w:rsid w:val="001F79AF"/>
    <w:rsid w:val="00201A0C"/>
    <w:rsid w:val="00201B0F"/>
    <w:rsid w:val="00202484"/>
    <w:rsid w:val="0020255A"/>
    <w:rsid w:val="00202800"/>
    <w:rsid w:val="00202D33"/>
    <w:rsid w:val="00202E58"/>
    <w:rsid w:val="00202F99"/>
    <w:rsid w:val="00203344"/>
    <w:rsid w:val="00203C85"/>
    <w:rsid w:val="0020449A"/>
    <w:rsid w:val="00204E9B"/>
    <w:rsid w:val="00205298"/>
    <w:rsid w:val="002055C0"/>
    <w:rsid w:val="002055DC"/>
    <w:rsid w:val="0020569E"/>
    <w:rsid w:val="00206698"/>
    <w:rsid w:val="00206736"/>
    <w:rsid w:val="00206C88"/>
    <w:rsid w:val="00210B9C"/>
    <w:rsid w:val="00211185"/>
    <w:rsid w:val="00211961"/>
    <w:rsid w:val="00211A94"/>
    <w:rsid w:val="002126F2"/>
    <w:rsid w:val="0021303C"/>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8EF"/>
    <w:rsid w:val="00221AF7"/>
    <w:rsid w:val="00222494"/>
    <w:rsid w:val="00222775"/>
    <w:rsid w:val="00222A31"/>
    <w:rsid w:val="00222CF6"/>
    <w:rsid w:val="00224037"/>
    <w:rsid w:val="002244E4"/>
    <w:rsid w:val="00224C28"/>
    <w:rsid w:val="00224D2A"/>
    <w:rsid w:val="00224D8D"/>
    <w:rsid w:val="0022555A"/>
    <w:rsid w:val="00226300"/>
    <w:rsid w:val="002265CA"/>
    <w:rsid w:val="00227214"/>
    <w:rsid w:val="00227DDC"/>
    <w:rsid w:val="0023079F"/>
    <w:rsid w:val="00231135"/>
    <w:rsid w:val="00231B0B"/>
    <w:rsid w:val="00232555"/>
    <w:rsid w:val="00233538"/>
    <w:rsid w:val="00234248"/>
    <w:rsid w:val="0023449F"/>
    <w:rsid w:val="002344F5"/>
    <w:rsid w:val="0023454D"/>
    <w:rsid w:val="00234679"/>
    <w:rsid w:val="00234C9D"/>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4A13"/>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0BD7"/>
    <w:rsid w:val="0026119C"/>
    <w:rsid w:val="00261AFE"/>
    <w:rsid w:val="0026212A"/>
    <w:rsid w:val="002621D7"/>
    <w:rsid w:val="00262996"/>
    <w:rsid w:val="00263044"/>
    <w:rsid w:val="00263759"/>
    <w:rsid w:val="002638BD"/>
    <w:rsid w:val="0026470B"/>
    <w:rsid w:val="0026486D"/>
    <w:rsid w:val="00264C4B"/>
    <w:rsid w:val="00264ED0"/>
    <w:rsid w:val="00265346"/>
    <w:rsid w:val="00265CD0"/>
    <w:rsid w:val="00265D05"/>
    <w:rsid w:val="00266045"/>
    <w:rsid w:val="002660C3"/>
    <w:rsid w:val="00266C21"/>
    <w:rsid w:val="00266DE1"/>
    <w:rsid w:val="00267A92"/>
    <w:rsid w:val="00267E43"/>
    <w:rsid w:val="00270282"/>
    <w:rsid w:val="00270325"/>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4AB"/>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6BE"/>
    <w:rsid w:val="00294012"/>
    <w:rsid w:val="0029431D"/>
    <w:rsid w:val="002945B0"/>
    <w:rsid w:val="0029499D"/>
    <w:rsid w:val="00294A13"/>
    <w:rsid w:val="00294B10"/>
    <w:rsid w:val="00294DF9"/>
    <w:rsid w:val="00294EB7"/>
    <w:rsid w:val="00295073"/>
    <w:rsid w:val="00295468"/>
    <w:rsid w:val="00296C32"/>
    <w:rsid w:val="002977CE"/>
    <w:rsid w:val="00297AF5"/>
    <w:rsid w:val="002A02D6"/>
    <w:rsid w:val="002A07C4"/>
    <w:rsid w:val="002A0921"/>
    <w:rsid w:val="002A0CB3"/>
    <w:rsid w:val="002A1887"/>
    <w:rsid w:val="002A2001"/>
    <w:rsid w:val="002A3B38"/>
    <w:rsid w:val="002A4060"/>
    <w:rsid w:val="002A4868"/>
    <w:rsid w:val="002A486F"/>
    <w:rsid w:val="002A4A05"/>
    <w:rsid w:val="002A4EB3"/>
    <w:rsid w:val="002A4F02"/>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9BD"/>
    <w:rsid w:val="002C0A9F"/>
    <w:rsid w:val="002C1AB3"/>
    <w:rsid w:val="002C1BB7"/>
    <w:rsid w:val="002C1FB3"/>
    <w:rsid w:val="002C2665"/>
    <w:rsid w:val="002C28E1"/>
    <w:rsid w:val="002C327D"/>
    <w:rsid w:val="002C3890"/>
    <w:rsid w:val="002C3AD9"/>
    <w:rsid w:val="002C41D0"/>
    <w:rsid w:val="002C4286"/>
    <w:rsid w:val="002C43FC"/>
    <w:rsid w:val="002C45C3"/>
    <w:rsid w:val="002C483B"/>
    <w:rsid w:val="002C4DFE"/>
    <w:rsid w:val="002C519E"/>
    <w:rsid w:val="002C5A91"/>
    <w:rsid w:val="002C5D5E"/>
    <w:rsid w:val="002C6116"/>
    <w:rsid w:val="002C643D"/>
    <w:rsid w:val="002C66B8"/>
    <w:rsid w:val="002C6D80"/>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736"/>
    <w:rsid w:val="002D7CC2"/>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399"/>
    <w:rsid w:val="002E37C5"/>
    <w:rsid w:val="002E3956"/>
    <w:rsid w:val="002E3C08"/>
    <w:rsid w:val="002E3CF2"/>
    <w:rsid w:val="002E469E"/>
    <w:rsid w:val="002E4C01"/>
    <w:rsid w:val="002E4D50"/>
    <w:rsid w:val="002E55FF"/>
    <w:rsid w:val="002E587E"/>
    <w:rsid w:val="002E672A"/>
    <w:rsid w:val="002E6853"/>
    <w:rsid w:val="002E6BFD"/>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D00"/>
    <w:rsid w:val="003025FE"/>
    <w:rsid w:val="00302A27"/>
    <w:rsid w:val="00303463"/>
    <w:rsid w:val="00303AB6"/>
    <w:rsid w:val="00303DAA"/>
    <w:rsid w:val="00304640"/>
    <w:rsid w:val="00304AC1"/>
    <w:rsid w:val="00305090"/>
    <w:rsid w:val="00305318"/>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C66"/>
    <w:rsid w:val="00315D77"/>
    <w:rsid w:val="00315D8E"/>
    <w:rsid w:val="00316002"/>
    <w:rsid w:val="00316CDE"/>
    <w:rsid w:val="0031752D"/>
    <w:rsid w:val="00317709"/>
    <w:rsid w:val="00320688"/>
    <w:rsid w:val="00320B75"/>
    <w:rsid w:val="00321DB7"/>
    <w:rsid w:val="00321E7A"/>
    <w:rsid w:val="0032226D"/>
    <w:rsid w:val="00323415"/>
    <w:rsid w:val="003235E6"/>
    <w:rsid w:val="00324038"/>
    <w:rsid w:val="00324524"/>
    <w:rsid w:val="00324951"/>
    <w:rsid w:val="003249F6"/>
    <w:rsid w:val="00324B2F"/>
    <w:rsid w:val="00325FCC"/>
    <w:rsid w:val="00326106"/>
    <w:rsid w:val="00326805"/>
    <w:rsid w:val="003269B7"/>
    <w:rsid w:val="00326C0E"/>
    <w:rsid w:val="003272A3"/>
    <w:rsid w:val="003272E4"/>
    <w:rsid w:val="0032748A"/>
    <w:rsid w:val="00327B71"/>
    <w:rsid w:val="00331461"/>
    <w:rsid w:val="003316A8"/>
    <w:rsid w:val="00331C80"/>
    <w:rsid w:val="00331CC9"/>
    <w:rsid w:val="003320D7"/>
    <w:rsid w:val="00332265"/>
    <w:rsid w:val="00332862"/>
    <w:rsid w:val="00332D52"/>
    <w:rsid w:val="003332F8"/>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8C8"/>
    <w:rsid w:val="00350C31"/>
    <w:rsid w:val="00350C9F"/>
    <w:rsid w:val="00351391"/>
    <w:rsid w:val="003519CD"/>
    <w:rsid w:val="00351A3A"/>
    <w:rsid w:val="0035384B"/>
    <w:rsid w:val="0035455F"/>
    <w:rsid w:val="003546EB"/>
    <w:rsid w:val="0035494F"/>
    <w:rsid w:val="00355D75"/>
    <w:rsid w:val="00355D8F"/>
    <w:rsid w:val="00356A73"/>
    <w:rsid w:val="00356FF0"/>
    <w:rsid w:val="003577EF"/>
    <w:rsid w:val="00357A60"/>
    <w:rsid w:val="00357C96"/>
    <w:rsid w:val="00360304"/>
    <w:rsid w:val="00360A78"/>
    <w:rsid w:val="00361750"/>
    <w:rsid w:val="00363894"/>
    <w:rsid w:val="00363B2A"/>
    <w:rsid w:val="00363BF1"/>
    <w:rsid w:val="003647D3"/>
    <w:rsid w:val="00366779"/>
    <w:rsid w:val="003668E5"/>
    <w:rsid w:val="003669C8"/>
    <w:rsid w:val="00366CEB"/>
    <w:rsid w:val="003672B3"/>
    <w:rsid w:val="003674B6"/>
    <w:rsid w:val="003676DF"/>
    <w:rsid w:val="00367783"/>
    <w:rsid w:val="00367814"/>
    <w:rsid w:val="00367898"/>
    <w:rsid w:val="003679D3"/>
    <w:rsid w:val="00367A87"/>
    <w:rsid w:val="00367EE7"/>
    <w:rsid w:val="003703BB"/>
    <w:rsid w:val="003705EA"/>
    <w:rsid w:val="00370A56"/>
    <w:rsid w:val="00371213"/>
    <w:rsid w:val="00372842"/>
    <w:rsid w:val="003729A5"/>
    <w:rsid w:val="00372AF4"/>
    <w:rsid w:val="00372C89"/>
    <w:rsid w:val="00372E9A"/>
    <w:rsid w:val="003735B9"/>
    <w:rsid w:val="00373634"/>
    <w:rsid w:val="00374677"/>
    <w:rsid w:val="0037510C"/>
    <w:rsid w:val="00375850"/>
    <w:rsid w:val="00376215"/>
    <w:rsid w:val="00376314"/>
    <w:rsid w:val="0037632F"/>
    <w:rsid w:val="00377B26"/>
    <w:rsid w:val="00377F05"/>
    <w:rsid w:val="00381014"/>
    <w:rsid w:val="00381604"/>
    <w:rsid w:val="00381C68"/>
    <w:rsid w:val="00381F60"/>
    <w:rsid w:val="00383204"/>
    <w:rsid w:val="003835BC"/>
    <w:rsid w:val="00383AB0"/>
    <w:rsid w:val="003847BB"/>
    <w:rsid w:val="00384814"/>
    <w:rsid w:val="00384C0A"/>
    <w:rsid w:val="0038553B"/>
    <w:rsid w:val="00385B16"/>
    <w:rsid w:val="00385B96"/>
    <w:rsid w:val="00385F07"/>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43"/>
    <w:rsid w:val="00393FCD"/>
    <w:rsid w:val="003944EA"/>
    <w:rsid w:val="00394639"/>
    <w:rsid w:val="00394DF6"/>
    <w:rsid w:val="00394EC6"/>
    <w:rsid w:val="00395A02"/>
    <w:rsid w:val="00395CD9"/>
    <w:rsid w:val="003962E6"/>
    <w:rsid w:val="00396831"/>
    <w:rsid w:val="003971A1"/>
    <w:rsid w:val="003A0D33"/>
    <w:rsid w:val="003A0F6B"/>
    <w:rsid w:val="003A12B6"/>
    <w:rsid w:val="003A17F5"/>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C7"/>
    <w:rsid w:val="003B0D79"/>
    <w:rsid w:val="003B2930"/>
    <w:rsid w:val="003B31A7"/>
    <w:rsid w:val="003B4587"/>
    <w:rsid w:val="003B4B51"/>
    <w:rsid w:val="003B4FE1"/>
    <w:rsid w:val="003B514E"/>
    <w:rsid w:val="003B5531"/>
    <w:rsid w:val="003B636A"/>
    <w:rsid w:val="003B69CE"/>
    <w:rsid w:val="003B7403"/>
    <w:rsid w:val="003B7EA6"/>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B5"/>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22"/>
    <w:rsid w:val="003D5ADB"/>
    <w:rsid w:val="003D6448"/>
    <w:rsid w:val="003D646C"/>
    <w:rsid w:val="003D663E"/>
    <w:rsid w:val="003D664B"/>
    <w:rsid w:val="003D6793"/>
    <w:rsid w:val="003D6B03"/>
    <w:rsid w:val="003D75D8"/>
    <w:rsid w:val="003D7F14"/>
    <w:rsid w:val="003E006E"/>
    <w:rsid w:val="003E00DA"/>
    <w:rsid w:val="003E0947"/>
    <w:rsid w:val="003E0E96"/>
    <w:rsid w:val="003E20F7"/>
    <w:rsid w:val="003E336A"/>
    <w:rsid w:val="003E3E2F"/>
    <w:rsid w:val="003E4048"/>
    <w:rsid w:val="003E4CE5"/>
    <w:rsid w:val="003E604C"/>
    <w:rsid w:val="003E60DA"/>
    <w:rsid w:val="003E6E00"/>
    <w:rsid w:val="003E7111"/>
    <w:rsid w:val="003E7940"/>
    <w:rsid w:val="003E7D47"/>
    <w:rsid w:val="003F01BD"/>
    <w:rsid w:val="003F0486"/>
    <w:rsid w:val="003F048E"/>
    <w:rsid w:val="003F09FA"/>
    <w:rsid w:val="003F0AFF"/>
    <w:rsid w:val="003F1570"/>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55F"/>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44"/>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8CD"/>
    <w:rsid w:val="0042022C"/>
    <w:rsid w:val="00420E45"/>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3E"/>
    <w:rsid w:val="0044105D"/>
    <w:rsid w:val="00441424"/>
    <w:rsid w:val="00442027"/>
    <w:rsid w:val="00442731"/>
    <w:rsid w:val="00442C12"/>
    <w:rsid w:val="004434DF"/>
    <w:rsid w:val="0044354B"/>
    <w:rsid w:val="0044493E"/>
    <w:rsid w:val="00444A1F"/>
    <w:rsid w:val="00444D52"/>
    <w:rsid w:val="00444FC6"/>
    <w:rsid w:val="00445874"/>
    <w:rsid w:val="00445C38"/>
    <w:rsid w:val="0044686B"/>
    <w:rsid w:val="00447141"/>
    <w:rsid w:val="004475F7"/>
    <w:rsid w:val="0045057B"/>
    <w:rsid w:val="0045069B"/>
    <w:rsid w:val="00450B22"/>
    <w:rsid w:val="00451709"/>
    <w:rsid w:val="004518FA"/>
    <w:rsid w:val="00451A02"/>
    <w:rsid w:val="0045277C"/>
    <w:rsid w:val="00453507"/>
    <w:rsid w:val="00453592"/>
    <w:rsid w:val="004540BC"/>
    <w:rsid w:val="004543AB"/>
    <w:rsid w:val="004545EC"/>
    <w:rsid w:val="00455967"/>
    <w:rsid w:val="00455F71"/>
    <w:rsid w:val="00456272"/>
    <w:rsid w:val="004570EF"/>
    <w:rsid w:val="004574AE"/>
    <w:rsid w:val="00457517"/>
    <w:rsid w:val="00457CF7"/>
    <w:rsid w:val="00457D37"/>
    <w:rsid w:val="0046028A"/>
    <w:rsid w:val="00460E3A"/>
    <w:rsid w:val="00460E68"/>
    <w:rsid w:val="004614BC"/>
    <w:rsid w:val="004619A5"/>
    <w:rsid w:val="00461F80"/>
    <w:rsid w:val="0046240D"/>
    <w:rsid w:val="004625FE"/>
    <w:rsid w:val="00462898"/>
    <w:rsid w:val="00462D84"/>
    <w:rsid w:val="00462F0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77C"/>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202"/>
    <w:rsid w:val="004A4E3B"/>
    <w:rsid w:val="004A4F9F"/>
    <w:rsid w:val="004A6110"/>
    <w:rsid w:val="004A61B8"/>
    <w:rsid w:val="004A6415"/>
    <w:rsid w:val="004A64F9"/>
    <w:rsid w:val="004A65F4"/>
    <w:rsid w:val="004A6D2C"/>
    <w:rsid w:val="004B026C"/>
    <w:rsid w:val="004B0271"/>
    <w:rsid w:val="004B0BE8"/>
    <w:rsid w:val="004B0E4A"/>
    <w:rsid w:val="004B18F4"/>
    <w:rsid w:val="004B1A98"/>
    <w:rsid w:val="004B1E3C"/>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B7EB1"/>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3C18"/>
    <w:rsid w:val="004D3D0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B8A"/>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0F5"/>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7E"/>
    <w:rsid w:val="005148CD"/>
    <w:rsid w:val="00515180"/>
    <w:rsid w:val="005153FC"/>
    <w:rsid w:val="005157C6"/>
    <w:rsid w:val="00515973"/>
    <w:rsid w:val="00516069"/>
    <w:rsid w:val="00516854"/>
    <w:rsid w:val="00517AC8"/>
    <w:rsid w:val="00517C3E"/>
    <w:rsid w:val="005207D8"/>
    <w:rsid w:val="0052091D"/>
    <w:rsid w:val="005212F4"/>
    <w:rsid w:val="00521908"/>
    <w:rsid w:val="00521FB0"/>
    <w:rsid w:val="005224BC"/>
    <w:rsid w:val="00522928"/>
    <w:rsid w:val="00522FF1"/>
    <w:rsid w:val="00523946"/>
    <w:rsid w:val="0052397A"/>
    <w:rsid w:val="00524B42"/>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0FF"/>
    <w:rsid w:val="005324D7"/>
    <w:rsid w:val="005326F0"/>
    <w:rsid w:val="00532764"/>
    <w:rsid w:val="00532AA5"/>
    <w:rsid w:val="00532C5F"/>
    <w:rsid w:val="00533233"/>
    <w:rsid w:val="005335A2"/>
    <w:rsid w:val="00533D13"/>
    <w:rsid w:val="00533DEC"/>
    <w:rsid w:val="00534026"/>
    <w:rsid w:val="005344C1"/>
    <w:rsid w:val="0053471A"/>
    <w:rsid w:val="00534D55"/>
    <w:rsid w:val="00535B53"/>
    <w:rsid w:val="00536107"/>
    <w:rsid w:val="00536B03"/>
    <w:rsid w:val="00537190"/>
    <w:rsid w:val="00537456"/>
    <w:rsid w:val="0053790C"/>
    <w:rsid w:val="00537B3D"/>
    <w:rsid w:val="00537FD3"/>
    <w:rsid w:val="00540401"/>
    <w:rsid w:val="005405B2"/>
    <w:rsid w:val="0054076A"/>
    <w:rsid w:val="00540A09"/>
    <w:rsid w:val="00540D47"/>
    <w:rsid w:val="00540EE7"/>
    <w:rsid w:val="00541A22"/>
    <w:rsid w:val="00541EAD"/>
    <w:rsid w:val="005424C2"/>
    <w:rsid w:val="005426B2"/>
    <w:rsid w:val="00543519"/>
    <w:rsid w:val="00543640"/>
    <w:rsid w:val="00544019"/>
    <w:rsid w:val="005444C6"/>
    <w:rsid w:val="00544BF9"/>
    <w:rsid w:val="00544F05"/>
    <w:rsid w:val="00544FCC"/>
    <w:rsid w:val="00545391"/>
    <w:rsid w:val="005454B8"/>
    <w:rsid w:val="00545ACB"/>
    <w:rsid w:val="00545DB9"/>
    <w:rsid w:val="005462ED"/>
    <w:rsid w:val="00546585"/>
    <w:rsid w:val="0054680A"/>
    <w:rsid w:val="00546BF8"/>
    <w:rsid w:val="005472C5"/>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14"/>
    <w:rsid w:val="00570763"/>
    <w:rsid w:val="00571AC0"/>
    <w:rsid w:val="00571DF3"/>
    <w:rsid w:val="0057200B"/>
    <w:rsid w:val="00572297"/>
    <w:rsid w:val="0057345D"/>
    <w:rsid w:val="0057347D"/>
    <w:rsid w:val="00573560"/>
    <w:rsid w:val="005744D6"/>
    <w:rsid w:val="00574E7B"/>
    <w:rsid w:val="00574F36"/>
    <w:rsid w:val="005767C8"/>
    <w:rsid w:val="00576B5C"/>
    <w:rsid w:val="005770CC"/>
    <w:rsid w:val="005802F9"/>
    <w:rsid w:val="005806D5"/>
    <w:rsid w:val="00580DFC"/>
    <w:rsid w:val="0058134C"/>
    <w:rsid w:val="005815CD"/>
    <w:rsid w:val="00581989"/>
    <w:rsid w:val="005827A7"/>
    <w:rsid w:val="00583D43"/>
    <w:rsid w:val="00584189"/>
    <w:rsid w:val="005846C3"/>
    <w:rsid w:val="00584F04"/>
    <w:rsid w:val="0058544C"/>
    <w:rsid w:val="00585623"/>
    <w:rsid w:val="005857F7"/>
    <w:rsid w:val="005865E9"/>
    <w:rsid w:val="005868FD"/>
    <w:rsid w:val="00587D7B"/>
    <w:rsid w:val="0059000A"/>
    <w:rsid w:val="005904DB"/>
    <w:rsid w:val="005905ED"/>
    <w:rsid w:val="00590D11"/>
    <w:rsid w:val="005916F7"/>
    <w:rsid w:val="00591BA6"/>
    <w:rsid w:val="00592825"/>
    <w:rsid w:val="005938B4"/>
    <w:rsid w:val="00594437"/>
    <w:rsid w:val="00594B70"/>
    <w:rsid w:val="00595AB7"/>
    <w:rsid w:val="00596CFA"/>
    <w:rsid w:val="00596EC6"/>
    <w:rsid w:val="005975CE"/>
    <w:rsid w:val="005978CC"/>
    <w:rsid w:val="005A0088"/>
    <w:rsid w:val="005A04F6"/>
    <w:rsid w:val="005A053C"/>
    <w:rsid w:val="005A1409"/>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5AC2"/>
    <w:rsid w:val="005B6474"/>
    <w:rsid w:val="005B666D"/>
    <w:rsid w:val="005B667A"/>
    <w:rsid w:val="005B6865"/>
    <w:rsid w:val="005C039B"/>
    <w:rsid w:val="005C059F"/>
    <w:rsid w:val="005C07CE"/>
    <w:rsid w:val="005C0B8F"/>
    <w:rsid w:val="005C194E"/>
    <w:rsid w:val="005C1B9F"/>
    <w:rsid w:val="005C1C83"/>
    <w:rsid w:val="005C1DB1"/>
    <w:rsid w:val="005C1E1A"/>
    <w:rsid w:val="005C226F"/>
    <w:rsid w:val="005C2294"/>
    <w:rsid w:val="005C2AC5"/>
    <w:rsid w:val="005C2AD7"/>
    <w:rsid w:val="005C2E48"/>
    <w:rsid w:val="005C3344"/>
    <w:rsid w:val="005C4E4D"/>
    <w:rsid w:val="005C58F2"/>
    <w:rsid w:val="005C5A97"/>
    <w:rsid w:val="005C5F77"/>
    <w:rsid w:val="005C60F3"/>
    <w:rsid w:val="005C676C"/>
    <w:rsid w:val="005C69D5"/>
    <w:rsid w:val="005C6AAB"/>
    <w:rsid w:val="005C6D5D"/>
    <w:rsid w:val="005C6FD0"/>
    <w:rsid w:val="005C75B6"/>
    <w:rsid w:val="005D01C3"/>
    <w:rsid w:val="005D05FF"/>
    <w:rsid w:val="005D0FB4"/>
    <w:rsid w:val="005D1176"/>
    <w:rsid w:val="005D1747"/>
    <w:rsid w:val="005D266D"/>
    <w:rsid w:val="005D306D"/>
    <w:rsid w:val="005D3327"/>
    <w:rsid w:val="005D4531"/>
    <w:rsid w:val="005D4854"/>
    <w:rsid w:val="005D5BCF"/>
    <w:rsid w:val="005D65BF"/>
    <w:rsid w:val="005D6D84"/>
    <w:rsid w:val="005D70A1"/>
    <w:rsid w:val="005D7676"/>
    <w:rsid w:val="005D79F2"/>
    <w:rsid w:val="005D7CB1"/>
    <w:rsid w:val="005D7F57"/>
    <w:rsid w:val="005E0067"/>
    <w:rsid w:val="005E0141"/>
    <w:rsid w:val="005E09CA"/>
    <w:rsid w:val="005E121A"/>
    <w:rsid w:val="005E1AB4"/>
    <w:rsid w:val="005E2530"/>
    <w:rsid w:val="005E255B"/>
    <w:rsid w:val="005E29EE"/>
    <w:rsid w:val="005E2CF7"/>
    <w:rsid w:val="005E4543"/>
    <w:rsid w:val="005E4A1C"/>
    <w:rsid w:val="005E56C9"/>
    <w:rsid w:val="005E5CF7"/>
    <w:rsid w:val="005E5FF0"/>
    <w:rsid w:val="005E642A"/>
    <w:rsid w:val="005E65A7"/>
    <w:rsid w:val="005E721E"/>
    <w:rsid w:val="005E788A"/>
    <w:rsid w:val="005F0857"/>
    <w:rsid w:val="005F0AF2"/>
    <w:rsid w:val="005F1323"/>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D3B"/>
    <w:rsid w:val="005F6ED2"/>
    <w:rsid w:val="005F701C"/>
    <w:rsid w:val="005F745B"/>
    <w:rsid w:val="005F77F8"/>
    <w:rsid w:val="005F7CA8"/>
    <w:rsid w:val="00600DE1"/>
    <w:rsid w:val="00601333"/>
    <w:rsid w:val="00601506"/>
    <w:rsid w:val="00601596"/>
    <w:rsid w:val="00601C92"/>
    <w:rsid w:val="00601F66"/>
    <w:rsid w:val="00602764"/>
    <w:rsid w:val="00602B29"/>
    <w:rsid w:val="00602B2A"/>
    <w:rsid w:val="00602DAD"/>
    <w:rsid w:val="00603373"/>
    <w:rsid w:val="006036D0"/>
    <w:rsid w:val="00603B1C"/>
    <w:rsid w:val="00604119"/>
    <w:rsid w:val="006042CD"/>
    <w:rsid w:val="00605217"/>
    <w:rsid w:val="006054A5"/>
    <w:rsid w:val="006059E4"/>
    <w:rsid w:val="00605D60"/>
    <w:rsid w:val="006062A0"/>
    <w:rsid w:val="00607015"/>
    <w:rsid w:val="00607D5A"/>
    <w:rsid w:val="0061098D"/>
    <w:rsid w:val="00610B78"/>
    <w:rsid w:val="00611935"/>
    <w:rsid w:val="00611A6A"/>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978"/>
    <w:rsid w:val="00622B22"/>
    <w:rsid w:val="00622F67"/>
    <w:rsid w:val="00623571"/>
    <w:rsid w:val="00623A5E"/>
    <w:rsid w:val="00624187"/>
    <w:rsid w:val="00625008"/>
    <w:rsid w:val="0062548B"/>
    <w:rsid w:val="00625D9F"/>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BF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C06"/>
    <w:rsid w:val="00654CAA"/>
    <w:rsid w:val="00654EA5"/>
    <w:rsid w:val="0065587E"/>
    <w:rsid w:val="006558CD"/>
    <w:rsid w:val="00655C26"/>
    <w:rsid w:val="0065637A"/>
    <w:rsid w:val="00656998"/>
    <w:rsid w:val="00656E4D"/>
    <w:rsid w:val="006576BA"/>
    <w:rsid w:val="00657851"/>
    <w:rsid w:val="006600BF"/>
    <w:rsid w:val="00660AF7"/>
    <w:rsid w:val="00660D3E"/>
    <w:rsid w:val="00661691"/>
    <w:rsid w:val="00662D3D"/>
    <w:rsid w:val="00662F1F"/>
    <w:rsid w:val="0066360A"/>
    <w:rsid w:val="00663D15"/>
    <w:rsid w:val="0066489A"/>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36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384"/>
    <w:rsid w:val="006977DE"/>
    <w:rsid w:val="00697D5F"/>
    <w:rsid w:val="006A035B"/>
    <w:rsid w:val="006A0582"/>
    <w:rsid w:val="006A060C"/>
    <w:rsid w:val="006A06F8"/>
    <w:rsid w:val="006A071C"/>
    <w:rsid w:val="006A0DC7"/>
    <w:rsid w:val="006A145C"/>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1E5F"/>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0CB9"/>
    <w:rsid w:val="006C25AB"/>
    <w:rsid w:val="006C2DA6"/>
    <w:rsid w:val="006C3581"/>
    <w:rsid w:val="006C39A0"/>
    <w:rsid w:val="006C3EFE"/>
    <w:rsid w:val="006C46C7"/>
    <w:rsid w:val="006C4767"/>
    <w:rsid w:val="006C4A1A"/>
    <w:rsid w:val="006C4D02"/>
    <w:rsid w:val="006C53A4"/>
    <w:rsid w:val="006C54DF"/>
    <w:rsid w:val="006C5D5D"/>
    <w:rsid w:val="006C622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1D5F"/>
    <w:rsid w:val="006E20D9"/>
    <w:rsid w:val="006E27DC"/>
    <w:rsid w:val="006E2902"/>
    <w:rsid w:val="006E2F9D"/>
    <w:rsid w:val="006E321E"/>
    <w:rsid w:val="006E37C6"/>
    <w:rsid w:val="006E3CF3"/>
    <w:rsid w:val="006E41ED"/>
    <w:rsid w:val="006E4667"/>
    <w:rsid w:val="006E46B7"/>
    <w:rsid w:val="006E475A"/>
    <w:rsid w:val="006E486D"/>
    <w:rsid w:val="006E4880"/>
    <w:rsid w:val="006E48BB"/>
    <w:rsid w:val="006E5889"/>
    <w:rsid w:val="006E727B"/>
    <w:rsid w:val="006E76C8"/>
    <w:rsid w:val="006E7A92"/>
    <w:rsid w:val="006F01FF"/>
    <w:rsid w:val="006F0CB2"/>
    <w:rsid w:val="006F0E20"/>
    <w:rsid w:val="006F1DE9"/>
    <w:rsid w:val="006F2046"/>
    <w:rsid w:val="006F2F59"/>
    <w:rsid w:val="006F311E"/>
    <w:rsid w:val="006F3442"/>
    <w:rsid w:val="006F36A5"/>
    <w:rsid w:val="006F41F4"/>
    <w:rsid w:val="006F4576"/>
    <w:rsid w:val="006F5813"/>
    <w:rsid w:val="006F59A8"/>
    <w:rsid w:val="006F5A1D"/>
    <w:rsid w:val="006F6787"/>
    <w:rsid w:val="006F71A6"/>
    <w:rsid w:val="006F7974"/>
    <w:rsid w:val="006F7C2C"/>
    <w:rsid w:val="006F7FD5"/>
    <w:rsid w:val="00700405"/>
    <w:rsid w:val="00700D18"/>
    <w:rsid w:val="0070168D"/>
    <w:rsid w:val="00701C36"/>
    <w:rsid w:val="00702F2D"/>
    <w:rsid w:val="0070353F"/>
    <w:rsid w:val="00703BA9"/>
    <w:rsid w:val="0070415E"/>
    <w:rsid w:val="00704631"/>
    <w:rsid w:val="00704B79"/>
    <w:rsid w:val="00704E7D"/>
    <w:rsid w:val="00705060"/>
    <w:rsid w:val="00705351"/>
    <w:rsid w:val="00705619"/>
    <w:rsid w:val="00705E93"/>
    <w:rsid w:val="00705EE8"/>
    <w:rsid w:val="007062AF"/>
    <w:rsid w:val="007069AE"/>
    <w:rsid w:val="007069D4"/>
    <w:rsid w:val="00706C89"/>
    <w:rsid w:val="00707967"/>
    <w:rsid w:val="00710257"/>
    <w:rsid w:val="00710587"/>
    <w:rsid w:val="007107D5"/>
    <w:rsid w:val="0071180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62"/>
    <w:rsid w:val="00716C67"/>
    <w:rsid w:val="007170AB"/>
    <w:rsid w:val="0071779C"/>
    <w:rsid w:val="00717808"/>
    <w:rsid w:val="007178E6"/>
    <w:rsid w:val="007208A7"/>
    <w:rsid w:val="00720B6A"/>
    <w:rsid w:val="007210F6"/>
    <w:rsid w:val="0072129A"/>
    <w:rsid w:val="0072139F"/>
    <w:rsid w:val="0072198A"/>
    <w:rsid w:val="00721AD9"/>
    <w:rsid w:val="00721FC3"/>
    <w:rsid w:val="00722A86"/>
    <w:rsid w:val="00722BC6"/>
    <w:rsid w:val="00722C69"/>
    <w:rsid w:val="0072311F"/>
    <w:rsid w:val="0072388C"/>
    <w:rsid w:val="00723F8A"/>
    <w:rsid w:val="0072415B"/>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2B5"/>
    <w:rsid w:val="00733772"/>
    <w:rsid w:val="00733A43"/>
    <w:rsid w:val="00733AE4"/>
    <w:rsid w:val="00733D5F"/>
    <w:rsid w:val="00734932"/>
    <w:rsid w:val="00735D53"/>
    <w:rsid w:val="0073618A"/>
    <w:rsid w:val="007364A3"/>
    <w:rsid w:val="00736740"/>
    <w:rsid w:val="00736D00"/>
    <w:rsid w:val="007378FD"/>
    <w:rsid w:val="007403FE"/>
    <w:rsid w:val="00740563"/>
    <w:rsid w:val="007413EB"/>
    <w:rsid w:val="007413FB"/>
    <w:rsid w:val="00742D32"/>
    <w:rsid w:val="00742E9B"/>
    <w:rsid w:val="00743660"/>
    <w:rsid w:val="007444E6"/>
    <w:rsid w:val="0074592C"/>
    <w:rsid w:val="00745C91"/>
    <w:rsid w:val="00746098"/>
    <w:rsid w:val="00746D58"/>
    <w:rsid w:val="00747578"/>
    <w:rsid w:val="007478B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87C"/>
    <w:rsid w:val="00761950"/>
    <w:rsid w:val="00761CB5"/>
    <w:rsid w:val="0076216B"/>
    <w:rsid w:val="00762698"/>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A52"/>
    <w:rsid w:val="00783BA5"/>
    <w:rsid w:val="007844A9"/>
    <w:rsid w:val="00784B41"/>
    <w:rsid w:val="00785091"/>
    <w:rsid w:val="0078638C"/>
    <w:rsid w:val="007869F9"/>
    <w:rsid w:val="00786CBB"/>
    <w:rsid w:val="00786E21"/>
    <w:rsid w:val="0079038E"/>
    <w:rsid w:val="00790D80"/>
    <w:rsid w:val="00790EBB"/>
    <w:rsid w:val="00791C6E"/>
    <w:rsid w:val="0079213A"/>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EBC"/>
    <w:rsid w:val="007A130E"/>
    <w:rsid w:val="007A18B1"/>
    <w:rsid w:val="007A1BBD"/>
    <w:rsid w:val="007A1F08"/>
    <w:rsid w:val="007A2555"/>
    <w:rsid w:val="007A25FA"/>
    <w:rsid w:val="007A2955"/>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4C0"/>
    <w:rsid w:val="007B08E4"/>
    <w:rsid w:val="007B0D86"/>
    <w:rsid w:val="007B2649"/>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0D4"/>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1F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F48"/>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15DE"/>
    <w:rsid w:val="007F20C4"/>
    <w:rsid w:val="007F20EE"/>
    <w:rsid w:val="007F2275"/>
    <w:rsid w:val="007F23D8"/>
    <w:rsid w:val="007F307A"/>
    <w:rsid w:val="007F30C6"/>
    <w:rsid w:val="007F38FD"/>
    <w:rsid w:val="007F3C18"/>
    <w:rsid w:val="007F4318"/>
    <w:rsid w:val="007F4709"/>
    <w:rsid w:val="007F47DA"/>
    <w:rsid w:val="007F4C13"/>
    <w:rsid w:val="007F4E52"/>
    <w:rsid w:val="007F4F84"/>
    <w:rsid w:val="007F5382"/>
    <w:rsid w:val="007F55A4"/>
    <w:rsid w:val="007F5D28"/>
    <w:rsid w:val="007F5F6C"/>
    <w:rsid w:val="007F6260"/>
    <w:rsid w:val="007F67BE"/>
    <w:rsid w:val="007F682B"/>
    <w:rsid w:val="007F78E8"/>
    <w:rsid w:val="007F7F8F"/>
    <w:rsid w:val="00800509"/>
    <w:rsid w:val="0080078E"/>
    <w:rsid w:val="00800A66"/>
    <w:rsid w:val="00800B7F"/>
    <w:rsid w:val="00801256"/>
    <w:rsid w:val="008012B1"/>
    <w:rsid w:val="00801D63"/>
    <w:rsid w:val="00802B16"/>
    <w:rsid w:val="0080348B"/>
    <w:rsid w:val="00803D82"/>
    <w:rsid w:val="00803D98"/>
    <w:rsid w:val="008052CE"/>
    <w:rsid w:val="008058D0"/>
    <w:rsid w:val="00806A4C"/>
    <w:rsid w:val="0080705B"/>
    <w:rsid w:val="0080723C"/>
    <w:rsid w:val="008078F3"/>
    <w:rsid w:val="00807F71"/>
    <w:rsid w:val="0081000F"/>
    <w:rsid w:val="00812657"/>
    <w:rsid w:val="00812A1A"/>
    <w:rsid w:val="00812DD2"/>
    <w:rsid w:val="00812DFF"/>
    <w:rsid w:val="0081362F"/>
    <w:rsid w:val="0081383A"/>
    <w:rsid w:val="0081497F"/>
    <w:rsid w:val="00814B90"/>
    <w:rsid w:val="00814FC7"/>
    <w:rsid w:val="0081660C"/>
    <w:rsid w:val="0081681F"/>
    <w:rsid w:val="00817195"/>
    <w:rsid w:val="00817416"/>
    <w:rsid w:val="00817658"/>
    <w:rsid w:val="008206AE"/>
    <w:rsid w:val="00820F59"/>
    <w:rsid w:val="00821271"/>
    <w:rsid w:val="00821306"/>
    <w:rsid w:val="008213D9"/>
    <w:rsid w:val="008216CE"/>
    <w:rsid w:val="008218AE"/>
    <w:rsid w:val="00821D85"/>
    <w:rsid w:val="00821E47"/>
    <w:rsid w:val="008220F6"/>
    <w:rsid w:val="00822456"/>
    <w:rsid w:val="008225FC"/>
    <w:rsid w:val="0082363C"/>
    <w:rsid w:val="00823819"/>
    <w:rsid w:val="00823C4B"/>
    <w:rsid w:val="0082427D"/>
    <w:rsid w:val="00825441"/>
    <w:rsid w:val="008255EA"/>
    <w:rsid w:val="00826855"/>
    <w:rsid w:val="00830052"/>
    <w:rsid w:val="008300D0"/>
    <w:rsid w:val="008308D8"/>
    <w:rsid w:val="00831C66"/>
    <w:rsid w:val="008320D2"/>
    <w:rsid w:val="008321CE"/>
    <w:rsid w:val="0083257C"/>
    <w:rsid w:val="0083261B"/>
    <w:rsid w:val="00832B44"/>
    <w:rsid w:val="00832EC9"/>
    <w:rsid w:val="0083315C"/>
    <w:rsid w:val="00833307"/>
    <w:rsid w:val="00833583"/>
    <w:rsid w:val="00833B5B"/>
    <w:rsid w:val="00833E9A"/>
    <w:rsid w:val="00834829"/>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DDD"/>
    <w:rsid w:val="008465B4"/>
    <w:rsid w:val="00846D25"/>
    <w:rsid w:val="00850013"/>
    <w:rsid w:val="008500DD"/>
    <w:rsid w:val="00850630"/>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3AF"/>
    <w:rsid w:val="0088093C"/>
    <w:rsid w:val="00880BC0"/>
    <w:rsid w:val="0088127A"/>
    <w:rsid w:val="00881D59"/>
    <w:rsid w:val="00882991"/>
    <w:rsid w:val="00882EC1"/>
    <w:rsid w:val="0088324E"/>
    <w:rsid w:val="0088434F"/>
    <w:rsid w:val="00884371"/>
    <w:rsid w:val="008848E2"/>
    <w:rsid w:val="00884B7A"/>
    <w:rsid w:val="00884D47"/>
    <w:rsid w:val="008856C5"/>
    <w:rsid w:val="0088592E"/>
    <w:rsid w:val="00886112"/>
    <w:rsid w:val="00886852"/>
    <w:rsid w:val="008872B3"/>
    <w:rsid w:val="00887392"/>
    <w:rsid w:val="00890A64"/>
    <w:rsid w:val="00890C40"/>
    <w:rsid w:val="0089122E"/>
    <w:rsid w:val="008912A7"/>
    <w:rsid w:val="0089183A"/>
    <w:rsid w:val="008920B4"/>
    <w:rsid w:val="00892154"/>
    <w:rsid w:val="008925EB"/>
    <w:rsid w:val="0089275E"/>
    <w:rsid w:val="00892B43"/>
    <w:rsid w:val="00893432"/>
    <w:rsid w:val="00893936"/>
    <w:rsid w:val="00893CE2"/>
    <w:rsid w:val="00893F41"/>
    <w:rsid w:val="00895144"/>
    <w:rsid w:val="00895963"/>
    <w:rsid w:val="008972B6"/>
    <w:rsid w:val="00897339"/>
    <w:rsid w:val="0089757C"/>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70B"/>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853"/>
    <w:rsid w:val="008B69B8"/>
    <w:rsid w:val="008B7042"/>
    <w:rsid w:val="008B770C"/>
    <w:rsid w:val="008C0325"/>
    <w:rsid w:val="008C094A"/>
    <w:rsid w:val="008C1570"/>
    <w:rsid w:val="008C1792"/>
    <w:rsid w:val="008C17B2"/>
    <w:rsid w:val="008C1E3E"/>
    <w:rsid w:val="008C2059"/>
    <w:rsid w:val="008C21D0"/>
    <w:rsid w:val="008C224F"/>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270"/>
    <w:rsid w:val="008D7247"/>
    <w:rsid w:val="008D7567"/>
    <w:rsid w:val="008D7E76"/>
    <w:rsid w:val="008E0CCA"/>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6F1"/>
    <w:rsid w:val="008F1764"/>
    <w:rsid w:val="008F1E3D"/>
    <w:rsid w:val="008F235C"/>
    <w:rsid w:val="008F290B"/>
    <w:rsid w:val="008F2F11"/>
    <w:rsid w:val="008F3369"/>
    <w:rsid w:val="008F33A6"/>
    <w:rsid w:val="008F35EC"/>
    <w:rsid w:val="008F4FE8"/>
    <w:rsid w:val="008F4FED"/>
    <w:rsid w:val="008F536C"/>
    <w:rsid w:val="008F5770"/>
    <w:rsid w:val="008F5D5A"/>
    <w:rsid w:val="008F6200"/>
    <w:rsid w:val="008F62F8"/>
    <w:rsid w:val="008F6893"/>
    <w:rsid w:val="008F7292"/>
    <w:rsid w:val="008F76C0"/>
    <w:rsid w:val="009000F2"/>
    <w:rsid w:val="0090079D"/>
    <w:rsid w:val="0090086A"/>
    <w:rsid w:val="00900D2C"/>
    <w:rsid w:val="00901807"/>
    <w:rsid w:val="00901D05"/>
    <w:rsid w:val="00901F0E"/>
    <w:rsid w:val="00902A26"/>
    <w:rsid w:val="00902A57"/>
    <w:rsid w:val="00902AA6"/>
    <w:rsid w:val="00902B29"/>
    <w:rsid w:val="00902E17"/>
    <w:rsid w:val="00903C83"/>
    <w:rsid w:val="00903D77"/>
    <w:rsid w:val="0090408F"/>
    <w:rsid w:val="0090446A"/>
    <w:rsid w:val="00904537"/>
    <w:rsid w:val="00904DC3"/>
    <w:rsid w:val="00905032"/>
    <w:rsid w:val="0090534A"/>
    <w:rsid w:val="00905469"/>
    <w:rsid w:val="00906078"/>
    <w:rsid w:val="0090629C"/>
    <w:rsid w:val="00906E94"/>
    <w:rsid w:val="00906EA2"/>
    <w:rsid w:val="00907278"/>
    <w:rsid w:val="00910041"/>
    <w:rsid w:val="00910B33"/>
    <w:rsid w:val="0091112B"/>
    <w:rsid w:val="00911D61"/>
    <w:rsid w:val="00912850"/>
    <w:rsid w:val="009128B8"/>
    <w:rsid w:val="00913C0B"/>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322"/>
    <w:rsid w:val="00931445"/>
    <w:rsid w:val="0093156B"/>
    <w:rsid w:val="00931AB8"/>
    <w:rsid w:val="00931C19"/>
    <w:rsid w:val="00931C63"/>
    <w:rsid w:val="00931D10"/>
    <w:rsid w:val="0093218A"/>
    <w:rsid w:val="0093386D"/>
    <w:rsid w:val="00934C8E"/>
    <w:rsid w:val="00935194"/>
    <w:rsid w:val="009368E7"/>
    <w:rsid w:val="009369DF"/>
    <w:rsid w:val="00936EA5"/>
    <w:rsid w:val="00937114"/>
    <w:rsid w:val="0094015D"/>
    <w:rsid w:val="00940916"/>
    <w:rsid w:val="009412B7"/>
    <w:rsid w:val="00941B13"/>
    <w:rsid w:val="0094215C"/>
    <w:rsid w:val="0094243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549"/>
    <w:rsid w:val="00957ED2"/>
    <w:rsid w:val="009604AE"/>
    <w:rsid w:val="009609AF"/>
    <w:rsid w:val="00960DE4"/>
    <w:rsid w:val="009610C7"/>
    <w:rsid w:val="00961164"/>
    <w:rsid w:val="00961867"/>
    <w:rsid w:val="00961A4F"/>
    <w:rsid w:val="00961F46"/>
    <w:rsid w:val="009625B7"/>
    <w:rsid w:val="00962D63"/>
    <w:rsid w:val="00962FB8"/>
    <w:rsid w:val="00963183"/>
    <w:rsid w:val="00963550"/>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3AD0"/>
    <w:rsid w:val="00974022"/>
    <w:rsid w:val="009743E8"/>
    <w:rsid w:val="009745D8"/>
    <w:rsid w:val="00974F3B"/>
    <w:rsid w:val="0097552A"/>
    <w:rsid w:val="0097564A"/>
    <w:rsid w:val="0097591F"/>
    <w:rsid w:val="00975974"/>
    <w:rsid w:val="009759CA"/>
    <w:rsid w:val="00975D06"/>
    <w:rsid w:val="00975D63"/>
    <w:rsid w:val="00975DAE"/>
    <w:rsid w:val="00976BBE"/>
    <w:rsid w:val="0098055B"/>
    <w:rsid w:val="00980B2B"/>
    <w:rsid w:val="00980B30"/>
    <w:rsid w:val="00980C72"/>
    <w:rsid w:val="009810BE"/>
    <w:rsid w:val="009817BC"/>
    <w:rsid w:val="009819A7"/>
    <w:rsid w:val="0098220A"/>
    <w:rsid w:val="00982E75"/>
    <w:rsid w:val="00983337"/>
    <w:rsid w:val="009836AA"/>
    <w:rsid w:val="0098413B"/>
    <w:rsid w:val="009846BF"/>
    <w:rsid w:val="00984D8E"/>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505"/>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5AB1"/>
    <w:rsid w:val="009B5E4E"/>
    <w:rsid w:val="009B628F"/>
    <w:rsid w:val="009B66F5"/>
    <w:rsid w:val="009B7505"/>
    <w:rsid w:val="009C0020"/>
    <w:rsid w:val="009C03F7"/>
    <w:rsid w:val="009C10DA"/>
    <w:rsid w:val="009C19FC"/>
    <w:rsid w:val="009C27F7"/>
    <w:rsid w:val="009C3BC4"/>
    <w:rsid w:val="009C3C93"/>
    <w:rsid w:val="009C3E97"/>
    <w:rsid w:val="009C4017"/>
    <w:rsid w:val="009C404E"/>
    <w:rsid w:val="009C424E"/>
    <w:rsid w:val="009C4708"/>
    <w:rsid w:val="009C4870"/>
    <w:rsid w:val="009C4C4E"/>
    <w:rsid w:val="009C4D37"/>
    <w:rsid w:val="009C574C"/>
    <w:rsid w:val="009C5753"/>
    <w:rsid w:val="009C5E42"/>
    <w:rsid w:val="009C620F"/>
    <w:rsid w:val="009C657D"/>
    <w:rsid w:val="009C724B"/>
    <w:rsid w:val="009C7266"/>
    <w:rsid w:val="009C748A"/>
    <w:rsid w:val="009C74A2"/>
    <w:rsid w:val="009D03B7"/>
    <w:rsid w:val="009D07AD"/>
    <w:rsid w:val="009D0824"/>
    <w:rsid w:val="009D1172"/>
    <w:rsid w:val="009D13CC"/>
    <w:rsid w:val="009D1654"/>
    <w:rsid w:val="009D1AAC"/>
    <w:rsid w:val="009D1BDB"/>
    <w:rsid w:val="009D298F"/>
    <w:rsid w:val="009D2F9C"/>
    <w:rsid w:val="009D4207"/>
    <w:rsid w:val="009D4396"/>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F4C"/>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4C6"/>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6A"/>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362"/>
    <w:rsid w:val="00A16961"/>
    <w:rsid w:val="00A176DD"/>
    <w:rsid w:val="00A21838"/>
    <w:rsid w:val="00A22C3E"/>
    <w:rsid w:val="00A22C4D"/>
    <w:rsid w:val="00A2334E"/>
    <w:rsid w:val="00A23442"/>
    <w:rsid w:val="00A23BE5"/>
    <w:rsid w:val="00A24960"/>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D13"/>
    <w:rsid w:val="00A35F3C"/>
    <w:rsid w:val="00A36CF6"/>
    <w:rsid w:val="00A37309"/>
    <w:rsid w:val="00A37329"/>
    <w:rsid w:val="00A37558"/>
    <w:rsid w:val="00A3786A"/>
    <w:rsid w:val="00A4008C"/>
    <w:rsid w:val="00A402A8"/>
    <w:rsid w:val="00A40685"/>
    <w:rsid w:val="00A409B0"/>
    <w:rsid w:val="00A40E2F"/>
    <w:rsid w:val="00A41819"/>
    <w:rsid w:val="00A41C9A"/>
    <w:rsid w:val="00A41D73"/>
    <w:rsid w:val="00A42406"/>
    <w:rsid w:val="00A433E8"/>
    <w:rsid w:val="00A43A1D"/>
    <w:rsid w:val="00A43AB0"/>
    <w:rsid w:val="00A44854"/>
    <w:rsid w:val="00A44969"/>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56E35"/>
    <w:rsid w:val="00A6054E"/>
    <w:rsid w:val="00A60799"/>
    <w:rsid w:val="00A6170B"/>
    <w:rsid w:val="00A61991"/>
    <w:rsid w:val="00A61B7F"/>
    <w:rsid w:val="00A61B91"/>
    <w:rsid w:val="00A61C3A"/>
    <w:rsid w:val="00A6203E"/>
    <w:rsid w:val="00A620E8"/>
    <w:rsid w:val="00A63335"/>
    <w:rsid w:val="00A634EB"/>
    <w:rsid w:val="00A63685"/>
    <w:rsid w:val="00A63EA5"/>
    <w:rsid w:val="00A64545"/>
    <w:rsid w:val="00A645AC"/>
    <w:rsid w:val="00A64C79"/>
    <w:rsid w:val="00A65EFB"/>
    <w:rsid w:val="00A66E28"/>
    <w:rsid w:val="00A67429"/>
    <w:rsid w:val="00A6763C"/>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6E"/>
    <w:rsid w:val="00A803A6"/>
    <w:rsid w:val="00A8073D"/>
    <w:rsid w:val="00A80D02"/>
    <w:rsid w:val="00A815FB"/>
    <w:rsid w:val="00A81906"/>
    <w:rsid w:val="00A81AEB"/>
    <w:rsid w:val="00A82D32"/>
    <w:rsid w:val="00A82EAE"/>
    <w:rsid w:val="00A82FC7"/>
    <w:rsid w:val="00A847F9"/>
    <w:rsid w:val="00A84F27"/>
    <w:rsid w:val="00A85038"/>
    <w:rsid w:val="00A8519C"/>
    <w:rsid w:val="00A855EE"/>
    <w:rsid w:val="00A8597A"/>
    <w:rsid w:val="00A85B87"/>
    <w:rsid w:val="00A85F83"/>
    <w:rsid w:val="00A86019"/>
    <w:rsid w:val="00A86EED"/>
    <w:rsid w:val="00A8733A"/>
    <w:rsid w:val="00A91432"/>
    <w:rsid w:val="00A9151F"/>
    <w:rsid w:val="00A9196B"/>
    <w:rsid w:val="00A91BB5"/>
    <w:rsid w:val="00A91BEE"/>
    <w:rsid w:val="00A91D4B"/>
    <w:rsid w:val="00A920B2"/>
    <w:rsid w:val="00A92A96"/>
    <w:rsid w:val="00A92AF0"/>
    <w:rsid w:val="00A933FE"/>
    <w:rsid w:val="00A9370E"/>
    <w:rsid w:val="00A937D5"/>
    <w:rsid w:val="00A93C70"/>
    <w:rsid w:val="00A94A32"/>
    <w:rsid w:val="00A94AFC"/>
    <w:rsid w:val="00A94BF5"/>
    <w:rsid w:val="00A9686A"/>
    <w:rsid w:val="00A96B4A"/>
    <w:rsid w:val="00A97132"/>
    <w:rsid w:val="00A97BDA"/>
    <w:rsid w:val="00AA043A"/>
    <w:rsid w:val="00AA0779"/>
    <w:rsid w:val="00AA08F3"/>
    <w:rsid w:val="00AA0A7E"/>
    <w:rsid w:val="00AA0F23"/>
    <w:rsid w:val="00AA1067"/>
    <w:rsid w:val="00AA1163"/>
    <w:rsid w:val="00AA17EC"/>
    <w:rsid w:val="00AA1D4C"/>
    <w:rsid w:val="00AA1DA8"/>
    <w:rsid w:val="00AA222C"/>
    <w:rsid w:val="00AA2264"/>
    <w:rsid w:val="00AA238E"/>
    <w:rsid w:val="00AA2483"/>
    <w:rsid w:val="00AA253B"/>
    <w:rsid w:val="00AA29F8"/>
    <w:rsid w:val="00AA2E71"/>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9F6"/>
    <w:rsid w:val="00AB3BBB"/>
    <w:rsid w:val="00AB408C"/>
    <w:rsid w:val="00AB43AF"/>
    <w:rsid w:val="00AB4425"/>
    <w:rsid w:val="00AB4E41"/>
    <w:rsid w:val="00AB594A"/>
    <w:rsid w:val="00AB5BA0"/>
    <w:rsid w:val="00AB5EB1"/>
    <w:rsid w:val="00AB6003"/>
    <w:rsid w:val="00AB759A"/>
    <w:rsid w:val="00AB7B06"/>
    <w:rsid w:val="00AB7EAA"/>
    <w:rsid w:val="00AC0432"/>
    <w:rsid w:val="00AC0770"/>
    <w:rsid w:val="00AC1683"/>
    <w:rsid w:val="00AC1D82"/>
    <w:rsid w:val="00AC2051"/>
    <w:rsid w:val="00AC2D5F"/>
    <w:rsid w:val="00AC4094"/>
    <w:rsid w:val="00AC415C"/>
    <w:rsid w:val="00AC42B6"/>
    <w:rsid w:val="00AC435F"/>
    <w:rsid w:val="00AC4AB7"/>
    <w:rsid w:val="00AC51E0"/>
    <w:rsid w:val="00AC69EE"/>
    <w:rsid w:val="00AC6D24"/>
    <w:rsid w:val="00AC6E18"/>
    <w:rsid w:val="00AC7F64"/>
    <w:rsid w:val="00AD04E4"/>
    <w:rsid w:val="00AD1065"/>
    <w:rsid w:val="00AD159E"/>
    <w:rsid w:val="00AD2AB1"/>
    <w:rsid w:val="00AD3132"/>
    <w:rsid w:val="00AD3DA6"/>
    <w:rsid w:val="00AD3F3C"/>
    <w:rsid w:val="00AD447E"/>
    <w:rsid w:val="00AD46F8"/>
    <w:rsid w:val="00AD4B2F"/>
    <w:rsid w:val="00AD5F0A"/>
    <w:rsid w:val="00AD5F26"/>
    <w:rsid w:val="00AD6A5B"/>
    <w:rsid w:val="00AD6B4F"/>
    <w:rsid w:val="00AD6D19"/>
    <w:rsid w:val="00AD7812"/>
    <w:rsid w:val="00AD7C42"/>
    <w:rsid w:val="00AD7CBD"/>
    <w:rsid w:val="00AD7CFA"/>
    <w:rsid w:val="00AE06B0"/>
    <w:rsid w:val="00AE0BD6"/>
    <w:rsid w:val="00AE11C1"/>
    <w:rsid w:val="00AE163D"/>
    <w:rsid w:val="00AE1A42"/>
    <w:rsid w:val="00AE1C5C"/>
    <w:rsid w:val="00AE315E"/>
    <w:rsid w:val="00AE319F"/>
    <w:rsid w:val="00AE31D9"/>
    <w:rsid w:val="00AE3CF0"/>
    <w:rsid w:val="00AE4546"/>
    <w:rsid w:val="00AE4700"/>
    <w:rsid w:val="00AE628A"/>
    <w:rsid w:val="00AE6575"/>
    <w:rsid w:val="00AE71EE"/>
    <w:rsid w:val="00AE7572"/>
    <w:rsid w:val="00AF01AF"/>
    <w:rsid w:val="00AF031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A75"/>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B0F"/>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2E87"/>
    <w:rsid w:val="00B33AB5"/>
    <w:rsid w:val="00B3412E"/>
    <w:rsid w:val="00B343E0"/>
    <w:rsid w:val="00B35B6D"/>
    <w:rsid w:val="00B35D53"/>
    <w:rsid w:val="00B367C4"/>
    <w:rsid w:val="00B36D3E"/>
    <w:rsid w:val="00B37B8E"/>
    <w:rsid w:val="00B40222"/>
    <w:rsid w:val="00B404C3"/>
    <w:rsid w:val="00B41A04"/>
    <w:rsid w:val="00B41C5B"/>
    <w:rsid w:val="00B42743"/>
    <w:rsid w:val="00B430E9"/>
    <w:rsid w:val="00B4311F"/>
    <w:rsid w:val="00B431AE"/>
    <w:rsid w:val="00B44288"/>
    <w:rsid w:val="00B448BF"/>
    <w:rsid w:val="00B45950"/>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7E8"/>
    <w:rsid w:val="00B55F64"/>
    <w:rsid w:val="00B564B1"/>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1C6"/>
    <w:rsid w:val="00B6440A"/>
    <w:rsid w:val="00B65788"/>
    <w:rsid w:val="00B65844"/>
    <w:rsid w:val="00B66054"/>
    <w:rsid w:val="00B6677F"/>
    <w:rsid w:val="00B66C7A"/>
    <w:rsid w:val="00B672EA"/>
    <w:rsid w:val="00B6747B"/>
    <w:rsid w:val="00B67A70"/>
    <w:rsid w:val="00B70200"/>
    <w:rsid w:val="00B702D7"/>
    <w:rsid w:val="00B70389"/>
    <w:rsid w:val="00B70E01"/>
    <w:rsid w:val="00B72CF0"/>
    <w:rsid w:val="00B72D6C"/>
    <w:rsid w:val="00B7380E"/>
    <w:rsid w:val="00B740F6"/>
    <w:rsid w:val="00B74615"/>
    <w:rsid w:val="00B74789"/>
    <w:rsid w:val="00B755B6"/>
    <w:rsid w:val="00B75977"/>
    <w:rsid w:val="00B75A48"/>
    <w:rsid w:val="00B75CC0"/>
    <w:rsid w:val="00B76021"/>
    <w:rsid w:val="00B76FCD"/>
    <w:rsid w:val="00B77475"/>
    <w:rsid w:val="00B7764D"/>
    <w:rsid w:val="00B804F8"/>
    <w:rsid w:val="00B8095A"/>
    <w:rsid w:val="00B81274"/>
    <w:rsid w:val="00B815D3"/>
    <w:rsid w:val="00B81742"/>
    <w:rsid w:val="00B817B5"/>
    <w:rsid w:val="00B823A6"/>
    <w:rsid w:val="00B83E76"/>
    <w:rsid w:val="00B83FA0"/>
    <w:rsid w:val="00B84156"/>
    <w:rsid w:val="00B846E6"/>
    <w:rsid w:val="00B85279"/>
    <w:rsid w:val="00B8537B"/>
    <w:rsid w:val="00B85586"/>
    <w:rsid w:val="00B86289"/>
    <w:rsid w:val="00B863B3"/>
    <w:rsid w:val="00B869D3"/>
    <w:rsid w:val="00B86CF8"/>
    <w:rsid w:val="00B86E44"/>
    <w:rsid w:val="00B87359"/>
    <w:rsid w:val="00B87F1C"/>
    <w:rsid w:val="00B90D8D"/>
    <w:rsid w:val="00B91263"/>
    <w:rsid w:val="00B91B61"/>
    <w:rsid w:val="00B91DE3"/>
    <w:rsid w:val="00B93849"/>
    <w:rsid w:val="00B938BD"/>
    <w:rsid w:val="00B93CF3"/>
    <w:rsid w:val="00B9407F"/>
    <w:rsid w:val="00B944E9"/>
    <w:rsid w:val="00B945D7"/>
    <w:rsid w:val="00B94896"/>
    <w:rsid w:val="00B94CDD"/>
    <w:rsid w:val="00B94DA7"/>
    <w:rsid w:val="00B95163"/>
    <w:rsid w:val="00B954D0"/>
    <w:rsid w:val="00B95C9E"/>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AE6"/>
    <w:rsid w:val="00BA7CD7"/>
    <w:rsid w:val="00BB00E5"/>
    <w:rsid w:val="00BB1688"/>
    <w:rsid w:val="00BB1EFB"/>
    <w:rsid w:val="00BB269F"/>
    <w:rsid w:val="00BB27CC"/>
    <w:rsid w:val="00BB2ACE"/>
    <w:rsid w:val="00BB2E4E"/>
    <w:rsid w:val="00BB2E62"/>
    <w:rsid w:val="00BB36C9"/>
    <w:rsid w:val="00BB3A66"/>
    <w:rsid w:val="00BB40D1"/>
    <w:rsid w:val="00BB7505"/>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72"/>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422"/>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211"/>
    <w:rsid w:val="00BF03C0"/>
    <w:rsid w:val="00BF0CA3"/>
    <w:rsid w:val="00BF0EBF"/>
    <w:rsid w:val="00BF1534"/>
    <w:rsid w:val="00BF2021"/>
    <w:rsid w:val="00BF21D4"/>
    <w:rsid w:val="00BF2DDC"/>
    <w:rsid w:val="00BF32DE"/>
    <w:rsid w:val="00BF4A15"/>
    <w:rsid w:val="00BF4E0E"/>
    <w:rsid w:val="00BF4E27"/>
    <w:rsid w:val="00BF4F7C"/>
    <w:rsid w:val="00BF510B"/>
    <w:rsid w:val="00BF537B"/>
    <w:rsid w:val="00BF5901"/>
    <w:rsid w:val="00BF5975"/>
    <w:rsid w:val="00BF626A"/>
    <w:rsid w:val="00BF688E"/>
    <w:rsid w:val="00BF6D77"/>
    <w:rsid w:val="00BF739A"/>
    <w:rsid w:val="00BF7EF5"/>
    <w:rsid w:val="00C00BF6"/>
    <w:rsid w:val="00C00C65"/>
    <w:rsid w:val="00C018FE"/>
    <w:rsid w:val="00C01A32"/>
    <w:rsid w:val="00C0234A"/>
    <w:rsid w:val="00C0247B"/>
    <w:rsid w:val="00C0378E"/>
    <w:rsid w:val="00C04314"/>
    <w:rsid w:val="00C04BD0"/>
    <w:rsid w:val="00C05730"/>
    <w:rsid w:val="00C05AF4"/>
    <w:rsid w:val="00C05AFD"/>
    <w:rsid w:val="00C060EC"/>
    <w:rsid w:val="00C0661C"/>
    <w:rsid w:val="00C0675F"/>
    <w:rsid w:val="00C0702A"/>
    <w:rsid w:val="00C0724C"/>
    <w:rsid w:val="00C07407"/>
    <w:rsid w:val="00C07C11"/>
    <w:rsid w:val="00C07E10"/>
    <w:rsid w:val="00C10015"/>
    <w:rsid w:val="00C1110A"/>
    <w:rsid w:val="00C11689"/>
    <w:rsid w:val="00C12414"/>
    <w:rsid w:val="00C12ECB"/>
    <w:rsid w:val="00C148B2"/>
    <w:rsid w:val="00C14ABD"/>
    <w:rsid w:val="00C151E0"/>
    <w:rsid w:val="00C155A8"/>
    <w:rsid w:val="00C159FD"/>
    <w:rsid w:val="00C15B31"/>
    <w:rsid w:val="00C15C4C"/>
    <w:rsid w:val="00C15F66"/>
    <w:rsid w:val="00C1604F"/>
    <w:rsid w:val="00C1621C"/>
    <w:rsid w:val="00C166D4"/>
    <w:rsid w:val="00C168E5"/>
    <w:rsid w:val="00C1696D"/>
    <w:rsid w:val="00C16C90"/>
    <w:rsid w:val="00C17A52"/>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B5"/>
    <w:rsid w:val="00C304E9"/>
    <w:rsid w:val="00C30B0B"/>
    <w:rsid w:val="00C31320"/>
    <w:rsid w:val="00C316B4"/>
    <w:rsid w:val="00C332D4"/>
    <w:rsid w:val="00C33A66"/>
    <w:rsid w:val="00C33E51"/>
    <w:rsid w:val="00C341BF"/>
    <w:rsid w:val="00C34C45"/>
    <w:rsid w:val="00C34C47"/>
    <w:rsid w:val="00C34FCE"/>
    <w:rsid w:val="00C35411"/>
    <w:rsid w:val="00C35EED"/>
    <w:rsid w:val="00C36B2C"/>
    <w:rsid w:val="00C3701A"/>
    <w:rsid w:val="00C379EF"/>
    <w:rsid w:val="00C405C8"/>
    <w:rsid w:val="00C40C2F"/>
    <w:rsid w:val="00C415AC"/>
    <w:rsid w:val="00C4195A"/>
    <w:rsid w:val="00C42880"/>
    <w:rsid w:val="00C4297A"/>
    <w:rsid w:val="00C4360C"/>
    <w:rsid w:val="00C439B8"/>
    <w:rsid w:val="00C43A0B"/>
    <w:rsid w:val="00C43AE5"/>
    <w:rsid w:val="00C43EDA"/>
    <w:rsid w:val="00C43FEC"/>
    <w:rsid w:val="00C4414C"/>
    <w:rsid w:val="00C45512"/>
    <w:rsid w:val="00C4602B"/>
    <w:rsid w:val="00C46564"/>
    <w:rsid w:val="00C46BFA"/>
    <w:rsid w:val="00C46DDF"/>
    <w:rsid w:val="00C500A1"/>
    <w:rsid w:val="00C50A02"/>
    <w:rsid w:val="00C50B72"/>
    <w:rsid w:val="00C51149"/>
    <w:rsid w:val="00C5117E"/>
    <w:rsid w:val="00C512D1"/>
    <w:rsid w:val="00C51856"/>
    <w:rsid w:val="00C518BD"/>
    <w:rsid w:val="00C51B04"/>
    <w:rsid w:val="00C51DB5"/>
    <w:rsid w:val="00C5270A"/>
    <w:rsid w:val="00C52B12"/>
    <w:rsid w:val="00C53CE9"/>
    <w:rsid w:val="00C5531B"/>
    <w:rsid w:val="00C55375"/>
    <w:rsid w:val="00C5570F"/>
    <w:rsid w:val="00C56C98"/>
    <w:rsid w:val="00C56DE1"/>
    <w:rsid w:val="00C56DEE"/>
    <w:rsid w:val="00C57120"/>
    <w:rsid w:val="00C571D5"/>
    <w:rsid w:val="00C5748F"/>
    <w:rsid w:val="00C575D4"/>
    <w:rsid w:val="00C61223"/>
    <w:rsid w:val="00C61246"/>
    <w:rsid w:val="00C618A8"/>
    <w:rsid w:val="00C61A78"/>
    <w:rsid w:val="00C629F3"/>
    <w:rsid w:val="00C62B88"/>
    <w:rsid w:val="00C62CD3"/>
    <w:rsid w:val="00C62FF5"/>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96A"/>
    <w:rsid w:val="00C71F09"/>
    <w:rsid w:val="00C72588"/>
    <w:rsid w:val="00C727B9"/>
    <w:rsid w:val="00C72F44"/>
    <w:rsid w:val="00C73670"/>
    <w:rsid w:val="00C737D1"/>
    <w:rsid w:val="00C738A0"/>
    <w:rsid w:val="00C73DE0"/>
    <w:rsid w:val="00C74506"/>
    <w:rsid w:val="00C74609"/>
    <w:rsid w:val="00C749AB"/>
    <w:rsid w:val="00C75A8F"/>
    <w:rsid w:val="00C76129"/>
    <w:rsid w:val="00C76C0C"/>
    <w:rsid w:val="00C76FFC"/>
    <w:rsid w:val="00C774E0"/>
    <w:rsid w:val="00C776BA"/>
    <w:rsid w:val="00C7791E"/>
    <w:rsid w:val="00C803BC"/>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E46"/>
    <w:rsid w:val="00C92F62"/>
    <w:rsid w:val="00C93097"/>
    <w:rsid w:val="00C93B40"/>
    <w:rsid w:val="00C93DB5"/>
    <w:rsid w:val="00C94125"/>
    <w:rsid w:val="00C94CB9"/>
    <w:rsid w:val="00C95853"/>
    <w:rsid w:val="00C95C2F"/>
    <w:rsid w:val="00C95F87"/>
    <w:rsid w:val="00C96035"/>
    <w:rsid w:val="00C968EF"/>
    <w:rsid w:val="00C972CE"/>
    <w:rsid w:val="00CA0492"/>
    <w:rsid w:val="00CA05B0"/>
    <w:rsid w:val="00CA0632"/>
    <w:rsid w:val="00CA0A04"/>
    <w:rsid w:val="00CA2528"/>
    <w:rsid w:val="00CA2CB7"/>
    <w:rsid w:val="00CA3CAB"/>
    <w:rsid w:val="00CA3FC0"/>
    <w:rsid w:val="00CA4753"/>
    <w:rsid w:val="00CA5685"/>
    <w:rsid w:val="00CA6A2E"/>
    <w:rsid w:val="00CA6B56"/>
    <w:rsid w:val="00CA7D3E"/>
    <w:rsid w:val="00CB0317"/>
    <w:rsid w:val="00CB0662"/>
    <w:rsid w:val="00CB0A82"/>
    <w:rsid w:val="00CB0F2F"/>
    <w:rsid w:val="00CB1556"/>
    <w:rsid w:val="00CB1B0E"/>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218"/>
    <w:rsid w:val="00CE14CB"/>
    <w:rsid w:val="00CE2E2E"/>
    <w:rsid w:val="00CE3A51"/>
    <w:rsid w:val="00CE41F9"/>
    <w:rsid w:val="00CE449B"/>
    <w:rsid w:val="00CE59F6"/>
    <w:rsid w:val="00CE5D53"/>
    <w:rsid w:val="00CE6174"/>
    <w:rsid w:val="00CE66CD"/>
    <w:rsid w:val="00CE6BA9"/>
    <w:rsid w:val="00CE71C3"/>
    <w:rsid w:val="00CE727A"/>
    <w:rsid w:val="00CF029C"/>
    <w:rsid w:val="00CF0AF0"/>
    <w:rsid w:val="00CF157E"/>
    <w:rsid w:val="00CF1631"/>
    <w:rsid w:val="00CF1834"/>
    <w:rsid w:val="00CF1AAA"/>
    <w:rsid w:val="00CF1EC2"/>
    <w:rsid w:val="00CF2428"/>
    <w:rsid w:val="00CF2ACF"/>
    <w:rsid w:val="00CF345B"/>
    <w:rsid w:val="00CF475F"/>
    <w:rsid w:val="00CF5008"/>
    <w:rsid w:val="00CF5069"/>
    <w:rsid w:val="00CF5738"/>
    <w:rsid w:val="00CF5E34"/>
    <w:rsid w:val="00CF6707"/>
    <w:rsid w:val="00CF7101"/>
    <w:rsid w:val="00CF7327"/>
    <w:rsid w:val="00CF7385"/>
    <w:rsid w:val="00CF7539"/>
    <w:rsid w:val="00CF75C6"/>
    <w:rsid w:val="00CF7B77"/>
    <w:rsid w:val="00CF7DF5"/>
    <w:rsid w:val="00D001D2"/>
    <w:rsid w:val="00D005CA"/>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0FCD"/>
    <w:rsid w:val="00D11FE3"/>
    <w:rsid w:val="00D12393"/>
    <w:rsid w:val="00D1243E"/>
    <w:rsid w:val="00D1251B"/>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00B"/>
    <w:rsid w:val="00D214D4"/>
    <w:rsid w:val="00D21AAA"/>
    <w:rsid w:val="00D21E6F"/>
    <w:rsid w:val="00D2218A"/>
    <w:rsid w:val="00D22ACB"/>
    <w:rsid w:val="00D22B13"/>
    <w:rsid w:val="00D230F4"/>
    <w:rsid w:val="00D2371E"/>
    <w:rsid w:val="00D237E0"/>
    <w:rsid w:val="00D23A17"/>
    <w:rsid w:val="00D25676"/>
    <w:rsid w:val="00D2579F"/>
    <w:rsid w:val="00D2580E"/>
    <w:rsid w:val="00D265A7"/>
    <w:rsid w:val="00D2690C"/>
    <w:rsid w:val="00D27129"/>
    <w:rsid w:val="00D2744C"/>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CC0"/>
    <w:rsid w:val="00D45DDC"/>
    <w:rsid w:val="00D47021"/>
    <w:rsid w:val="00D47981"/>
    <w:rsid w:val="00D504ED"/>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A48"/>
    <w:rsid w:val="00D57F1F"/>
    <w:rsid w:val="00D60065"/>
    <w:rsid w:val="00D60270"/>
    <w:rsid w:val="00D605C2"/>
    <w:rsid w:val="00D60733"/>
    <w:rsid w:val="00D60C60"/>
    <w:rsid w:val="00D61E1D"/>
    <w:rsid w:val="00D62444"/>
    <w:rsid w:val="00D629A4"/>
    <w:rsid w:val="00D62BDF"/>
    <w:rsid w:val="00D62EEE"/>
    <w:rsid w:val="00D639A5"/>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6A51"/>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0F0"/>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E3E"/>
    <w:rsid w:val="00D95F88"/>
    <w:rsid w:val="00D96698"/>
    <w:rsid w:val="00D96876"/>
    <w:rsid w:val="00D96940"/>
    <w:rsid w:val="00D96B12"/>
    <w:rsid w:val="00D96F59"/>
    <w:rsid w:val="00DA0175"/>
    <w:rsid w:val="00DA099C"/>
    <w:rsid w:val="00DA0F18"/>
    <w:rsid w:val="00DA2125"/>
    <w:rsid w:val="00DA21EC"/>
    <w:rsid w:val="00DA24DE"/>
    <w:rsid w:val="00DA270C"/>
    <w:rsid w:val="00DA2756"/>
    <w:rsid w:val="00DA281F"/>
    <w:rsid w:val="00DA3C5B"/>
    <w:rsid w:val="00DA3D23"/>
    <w:rsid w:val="00DA4A61"/>
    <w:rsid w:val="00DA597C"/>
    <w:rsid w:val="00DA5AFE"/>
    <w:rsid w:val="00DA61AB"/>
    <w:rsid w:val="00DA61CD"/>
    <w:rsid w:val="00DA61FA"/>
    <w:rsid w:val="00DA6EE2"/>
    <w:rsid w:val="00DA718A"/>
    <w:rsid w:val="00DA78CF"/>
    <w:rsid w:val="00DA78D5"/>
    <w:rsid w:val="00DA7A89"/>
    <w:rsid w:val="00DA7BF4"/>
    <w:rsid w:val="00DB052F"/>
    <w:rsid w:val="00DB14D3"/>
    <w:rsid w:val="00DB154B"/>
    <w:rsid w:val="00DB1BDC"/>
    <w:rsid w:val="00DB23A5"/>
    <w:rsid w:val="00DB3490"/>
    <w:rsid w:val="00DB3593"/>
    <w:rsid w:val="00DB440B"/>
    <w:rsid w:val="00DB4426"/>
    <w:rsid w:val="00DB4522"/>
    <w:rsid w:val="00DB4B40"/>
    <w:rsid w:val="00DB4F12"/>
    <w:rsid w:val="00DB4F21"/>
    <w:rsid w:val="00DB4F42"/>
    <w:rsid w:val="00DB540C"/>
    <w:rsid w:val="00DB6F96"/>
    <w:rsid w:val="00DB7012"/>
    <w:rsid w:val="00DB71B9"/>
    <w:rsid w:val="00DB7662"/>
    <w:rsid w:val="00DB7E46"/>
    <w:rsid w:val="00DC1395"/>
    <w:rsid w:val="00DC32FC"/>
    <w:rsid w:val="00DC3D89"/>
    <w:rsid w:val="00DC4567"/>
    <w:rsid w:val="00DC4D6C"/>
    <w:rsid w:val="00DC4F47"/>
    <w:rsid w:val="00DC4F64"/>
    <w:rsid w:val="00DC5059"/>
    <w:rsid w:val="00DC5176"/>
    <w:rsid w:val="00DC5860"/>
    <w:rsid w:val="00DC5BD0"/>
    <w:rsid w:val="00DC5BE2"/>
    <w:rsid w:val="00DC6284"/>
    <w:rsid w:val="00DC628E"/>
    <w:rsid w:val="00DC6747"/>
    <w:rsid w:val="00DC6AF3"/>
    <w:rsid w:val="00DC7608"/>
    <w:rsid w:val="00DC761E"/>
    <w:rsid w:val="00DC7B3B"/>
    <w:rsid w:val="00DC7CFC"/>
    <w:rsid w:val="00DD0602"/>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6F4"/>
    <w:rsid w:val="00DD6CE2"/>
    <w:rsid w:val="00DD720D"/>
    <w:rsid w:val="00DE0229"/>
    <w:rsid w:val="00DE04E0"/>
    <w:rsid w:val="00DE0AB3"/>
    <w:rsid w:val="00DE10C0"/>
    <w:rsid w:val="00DE12F1"/>
    <w:rsid w:val="00DE1A9D"/>
    <w:rsid w:val="00DE1CB1"/>
    <w:rsid w:val="00DE2073"/>
    <w:rsid w:val="00DE30AC"/>
    <w:rsid w:val="00DE38D1"/>
    <w:rsid w:val="00DE4106"/>
    <w:rsid w:val="00DE466B"/>
    <w:rsid w:val="00DE48F4"/>
    <w:rsid w:val="00DE5139"/>
    <w:rsid w:val="00DE5563"/>
    <w:rsid w:val="00DE5C19"/>
    <w:rsid w:val="00DE5D48"/>
    <w:rsid w:val="00DE6720"/>
    <w:rsid w:val="00DE6E4D"/>
    <w:rsid w:val="00DE7498"/>
    <w:rsid w:val="00DE75EF"/>
    <w:rsid w:val="00DE7611"/>
    <w:rsid w:val="00DE7D19"/>
    <w:rsid w:val="00DF05A0"/>
    <w:rsid w:val="00DF1162"/>
    <w:rsid w:val="00DF1BA8"/>
    <w:rsid w:val="00DF1F63"/>
    <w:rsid w:val="00DF25A1"/>
    <w:rsid w:val="00DF28F2"/>
    <w:rsid w:val="00DF2BFF"/>
    <w:rsid w:val="00DF33D2"/>
    <w:rsid w:val="00DF3798"/>
    <w:rsid w:val="00DF4F71"/>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C83"/>
    <w:rsid w:val="00E04D6A"/>
    <w:rsid w:val="00E058DB"/>
    <w:rsid w:val="00E05950"/>
    <w:rsid w:val="00E05CD4"/>
    <w:rsid w:val="00E05DE8"/>
    <w:rsid w:val="00E06100"/>
    <w:rsid w:val="00E0614E"/>
    <w:rsid w:val="00E06E97"/>
    <w:rsid w:val="00E07B8F"/>
    <w:rsid w:val="00E10712"/>
    <w:rsid w:val="00E10DD1"/>
    <w:rsid w:val="00E11027"/>
    <w:rsid w:val="00E1224C"/>
    <w:rsid w:val="00E1246D"/>
    <w:rsid w:val="00E1254C"/>
    <w:rsid w:val="00E12BDF"/>
    <w:rsid w:val="00E13326"/>
    <w:rsid w:val="00E13D07"/>
    <w:rsid w:val="00E14356"/>
    <w:rsid w:val="00E14961"/>
    <w:rsid w:val="00E14D76"/>
    <w:rsid w:val="00E15183"/>
    <w:rsid w:val="00E15D6C"/>
    <w:rsid w:val="00E1720B"/>
    <w:rsid w:val="00E179E9"/>
    <w:rsid w:val="00E201A7"/>
    <w:rsid w:val="00E203DE"/>
    <w:rsid w:val="00E20AD9"/>
    <w:rsid w:val="00E20CE7"/>
    <w:rsid w:val="00E2164F"/>
    <w:rsid w:val="00E217B1"/>
    <w:rsid w:val="00E21C4F"/>
    <w:rsid w:val="00E222FA"/>
    <w:rsid w:val="00E229CE"/>
    <w:rsid w:val="00E22B4A"/>
    <w:rsid w:val="00E2449B"/>
    <w:rsid w:val="00E24A62"/>
    <w:rsid w:val="00E24F52"/>
    <w:rsid w:val="00E255CC"/>
    <w:rsid w:val="00E25636"/>
    <w:rsid w:val="00E25755"/>
    <w:rsid w:val="00E25F90"/>
    <w:rsid w:val="00E263DB"/>
    <w:rsid w:val="00E266DD"/>
    <w:rsid w:val="00E269A9"/>
    <w:rsid w:val="00E26D2E"/>
    <w:rsid w:val="00E279B2"/>
    <w:rsid w:val="00E303C0"/>
    <w:rsid w:val="00E3055B"/>
    <w:rsid w:val="00E31687"/>
    <w:rsid w:val="00E31699"/>
    <w:rsid w:val="00E31761"/>
    <w:rsid w:val="00E31812"/>
    <w:rsid w:val="00E31889"/>
    <w:rsid w:val="00E31CE7"/>
    <w:rsid w:val="00E3244C"/>
    <w:rsid w:val="00E330DA"/>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89"/>
    <w:rsid w:val="00E40BCB"/>
    <w:rsid w:val="00E40E35"/>
    <w:rsid w:val="00E4208F"/>
    <w:rsid w:val="00E42C0A"/>
    <w:rsid w:val="00E42E94"/>
    <w:rsid w:val="00E43006"/>
    <w:rsid w:val="00E4312A"/>
    <w:rsid w:val="00E4331B"/>
    <w:rsid w:val="00E43551"/>
    <w:rsid w:val="00E437FA"/>
    <w:rsid w:val="00E44347"/>
    <w:rsid w:val="00E45A2C"/>
    <w:rsid w:val="00E46A6B"/>
    <w:rsid w:val="00E46A9C"/>
    <w:rsid w:val="00E47DB1"/>
    <w:rsid w:val="00E50BDD"/>
    <w:rsid w:val="00E510CF"/>
    <w:rsid w:val="00E511A3"/>
    <w:rsid w:val="00E513D7"/>
    <w:rsid w:val="00E519FE"/>
    <w:rsid w:val="00E5206C"/>
    <w:rsid w:val="00E52AAB"/>
    <w:rsid w:val="00E5448E"/>
    <w:rsid w:val="00E54E0D"/>
    <w:rsid w:val="00E55247"/>
    <w:rsid w:val="00E556BF"/>
    <w:rsid w:val="00E558E5"/>
    <w:rsid w:val="00E55B3C"/>
    <w:rsid w:val="00E56795"/>
    <w:rsid w:val="00E57626"/>
    <w:rsid w:val="00E57932"/>
    <w:rsid w:val="00E606C4"/>
    <w:rsid w:val="00E60811"/>
    <w:rsid w:val="00E60AB8"/>
    <w:rsid w:val="00E6103E"/>
    <w:rsid w:val="00E6185F"/>
    <w:rsid w:val="00E61B73"/>
    <w:rsid w:val="00E61D32"/>
    <w:rsid w:val="00E63C60"/>
    <w:rsid w:val="00E64050"/>
    <w:rsid w:val="00E64B7B"/>
    <w:rsid w:val="00E6514D"/>
    <w:rsid w:val="00E65161"/>
    <w:rsid w:val="00E652C9"/>
    <w:rsid w:val="00E6593B"/>
    <w:rsid w:val="00E65D74"/>
    <w:rsid w:val="00E66931"/>
    <w:rsid w:val="00E66E11"/>
    <w:rsid w:val="00E672C6"/>
    <w:rsid w:val="00E67F0F"/>
    <w:rsid w:val="00E70192"/>
    <w:rsid w:val="00E70C55"/>
    <w:rsid w:val="00E70E34"/>
    <w:rsid w:val="00E71809"/>
    <w:rsid w:val="00E71D1E"/>
    <w:rsid w:val="00E726F2"/>
    <w:rsid w:val="00E728E2"/>
    <w:rsid w:val="00E738FA"/>
    <w:rsid w:val="00E739B6"/>
    <w:rsid w:val="00E74A2B"/>
    <w:rsid w:val="00E754F4"/>
    <w:rsid w:val="00E755BB"/>
    <w:rsid w:val="00E75667"/>
    <w:rsid w:val="00E756D3"/>
    <w:rsid w:val="00E75A5A"/>
    <w:rsid w:val="00E76004"/>
    <w:rsid w:val="00E7608F"/>
    <w:rsid w:val="00E760D7"/>
    <w:rsid w:val="00E769CC"/>
    <w:rsid w:val="00E76D81"/>
    <w:rsid w:val="00E77124"/>
    <w:rsid w:val="00E77341"/>
    <w:rsid w:val="00E77409"/>
    <w:rsid w:val="00E7783E"/>
    <w:rsid w:val="00E778B8"/>
    <w:rsid w:val="00E801C7"/>
    <w:rsid w:val="00E80AF8"/>
    <w:rsid w:val="00E80BED"/>
    <w:rsid w:val="00E816E8"/>
    <w:rsid w:val="00E82592"/>
    <w:rsid w:val="00E825ED"/>
    <w:rsid w:val="00E827BB"/>
    <w:rsid w:val="00E82D24"/>
    <w:rsid w:val="00E83175"/>
    <w:rsid w:val="00E8357D"/>
    <w:rsid w:val="00E83AA5"/>
    <w:rsid w:val="00E83C4F"/>
    <w:rsid w:val="00E84212"/>
    <w:rsid w:val="00E84C04"/>
    <w:rsid w:val="00E84F72"/>
    <w:rsid w:val="00E856A2"/>
    <w:rsid w:val="00E8572B"/>
    <w:rsid w:val="00E8575B"/>
    <w:rsid w:val="00E85929"/>
    <w:rsid w:val="00E85AD2"/>
    <w:rsid w:val="00E86F84"/>
    <w:rsid w:val="00E8706C"/>
    <w:rsid w:val="00E87A37"/>
    <w:rsid w:val="00E87CF7"/>
    <w:rsid w:val="00E9036E"/>
    <w:rsid w:val="00E9078A"/>
    <w:rsid w:val="00E912FD"/>
    <w:rsid w:val="00E91B26"/>
    <w:rsid w:val="00E92C6E"/>
    <w:rsid w:val="00E92D0B"/>
    <w:rsid w:val="00E92FFF"/>
    <w:rsid w:val="00E93195"/>
    <w:rsid w:val="00E9391C"/>
    <w:rsid w:val="00E93D05"/>
    <w:rsid w:val="00E94AC5"/>
    <w:rsid w:val="00E951D8"/>
    <w:rsid w:val="00E95C2A"/>
    <w:rsid w:val="00E95DCB"/>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45F2"/>
    <w:rsid w:val="00EA613D"/>
    <w:rsid w:val="00EA6744"/>
    <w:rsid w:val="00EA7258"/>
    <w:rsid w:val="00EA7308"/>
    <w:rsid w:val="00EA7474"/>
    <w:rsid w:val="00EB0831"/>
    <w:rsid w:val="00EB089C"/>
    <w:rsid w:val="00EB0AA8"/>
    <w:rsid w:val="00EB0B65"/>
    <w:rsid w:val="00EB0C65"/>
    <w:rsid w:val="00EB1624"/>
    <w:rsid w:val="00EB169F"/>
    <w:rsid w:val="00EB1966"/>
    <w:rsid w:val="00EB2635"/>
    <w:rsid w:val="00EB2961"/>
    <w:rsid w:val="00EB2E1A"/>
    <w:rsid w:val="00EB2F8A"/>
    <w:rsid w:val="00EB3268"/>
    <w:rsid w:val="00EB3298"/>
    <w:rsid w:val="00EB3939"/>
    <w:rsid w:val="00EB3CE6"/>
    <w:rsid w:val="00EB3E92"/>
    <w:rsid w:val="00EB54AB"/>
    <w:rsid w:val="00EB6257"/>
    <w:rsid w:val="00EB6835"/>
    <w:rsid w:val="00EB68E6"/>
    <w:rsid w:val="00EB6AE9"/>
    <w:rsid w:val="00EB6B2D"/>
    <w:rsid w:val="00EB71C9"/>
    <w:rsid w:val="00EB763E"/>
    <w:rsid w:val="00EB7B67"/>
    <w:rsid w:val="00EC07F1"/>
    <w:rsid w:val="00EC0A82"/>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4A1"/>
    <w:rsid w:val="00EC7894"/>
    <w:rsid w:val="00EC7A28"/>
    <w:rsid w:val="00EC7B48"/>
    <w:rsid w:val="00ED0151"/>
    <w:rsid w:val="00ED0257"/>
    <w:rsid w:val="00ED071B"/>
    <w:rsid w:val="00ED139F"/>
    <w:rsid w:val="00ED18B1"/>
    <w:rsid w:val="00ED1ADE"/>
    <w:rsid w:val="00ED33FA"/>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3477"/>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EF7FAA"/>
    <w:rsid w:val="00F0058A"/>
    <w:rsid w:val="00F00630"/>
    <w:rsid w:val="00F00922"/>
    <w:rsid w:val="00F00924"/>
    <w:rsid w:val="00F0187E"/>
    <w:rsid w:val="00F01BE6"/>
    <w:rsid w:val="00F01F75"/>
    <w:rsid w:val="00F0217A"/>
    <w:rsid w:val="00F026D3"/>
    <w:rsid w:val="00F027E8"/>
    <w:rsid w:val="00F03395"/>
    <w:rsid w:val="00F034E6"/>
    <w:rsid w:val="00F03E4C"/>
    <w:rsid w:val="00F043FC"/>
    <w:rsid w:val="00F04D19"/>
    <w:rsid w:val="00F050A3"/>
    <w:rsid w:val="00F062C7"/>
    <w:rsid w:val="00F06340"/>
    <w:rsid w:val="00F0665D"/>
    <w:rsid w:val="00F06D42"/>
    <w:rsid w:val="00F07134"/>
    <w:rsid w:val="00F0724D"/>
    <w:rsid w:val="00F07378"/>
    <w:rsid w:val="00F10B81"/>
    <w:rsid w:val="00F10BC9"/>
    <w:rsid w:val="00F113C9"/>
    <w:rsid w:val="00F11C01"/>
    <w:rsid w:val="00F11D80"/>
    <w:rsid w:val="00F12371"/>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807"/>
    <w:rsid w:val="00F21A5D"/>
    <w:rsid w:val="00F21C13"/>
    <w:rsid w:val="00F221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1F5C"/>
    <w:rsid w:val="00F322B6"/>
    <w:rsid w:val="00F3265C"/>
    <w:rsid w:val="00F32C4A"/>
    <w:rsid w:val="00F33262"/>
    <w:rsid w:val="00F343EE"/>
    <w:rsid w:val="00F34E72"/>
    <w:rsid w:val="00F35238"/>
    <w:rsid w:val="00F353F4"/>
    <w:rsid w:val="00F35494"/>
    <w:rsid w:val="00F35607"/>
    <w:rsid w:val="00F359AB"/>
    <w:rsid w:val="00F35DBA"/>
    <w:rsid w:val="00F3610B"/>
    <w:rsid w:val="00F3619D"/>
    <w:rsid w:val="00F36DDE"/>
    <w:rsid w:val="00F3722A"/>
    <w:rsid w:val="00F37366"/>
    <w:rsid w:val="00F37C99"/>
    <w:rsid w:val="00F37FCC"/>
    <w:rsid w:val="00F419B8"/>
    <w:rsid w:val="00F41C0F"/>
    <w:rsid w:val="00F42856"/>
    <w:rsid w:val="00F42ED7"/>
    <w:rsid w:val="00F43777"/>
    <w:rsid w:val="00F439F8"/>
    <w:rsid w:val="00F447EC"/>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474"/>
    <w:rsid w:val="00F47507"/>
    <w:rsid w:val="00F47A01"/>
    <w:rsid w:val="00F47CEE"/>
    <w:rsid w:val="00F5052D"/>
    <w:rsid w:val="00F51A82"/>
    <w:rsid w:val="00F51B78"/>
    <w:rsid w:val="00F51BDD"/>
    <w:rsid w:val="00F52065"/>
    <w:rsid w:val="00F521CE"/>
    <w:rsid w:val="00F5253E"/>
    <w:rsid w:val="00F5254B"/>
    <w:rsid w:val="00F52CB7"/>
    <w:rsid w:val="00F53A44"/>
    <w:rsid w:val="00F53F5E"/>
    <w:rsid w:val="00F54E5E"/>
    <w:rsid w:val="00F551DB"/>
    <w:rsid w:val="00F55810"/>
    <w:rsid w:val="00F559BE"/>
    <w:rsid w:val="00F56F7E"/>
    <w:rsid w:val="00F56FEF"/>
    <w:rsid w:val="00F57521"/>
    <w:rsid w:val="00F60938"/>
    <w:rsid w:val="00F60C7E"/>
    <w:rsid w:val="00F60E0A"/>
    <w:rsid w:val="00F61606"/>
    <w:rsid w:val="00F61918"/>
    <w:rsid w:val="00F61F16"/>
    <w:rsid w:val="00F62151"/>
    <w:rsid w:val="00F62CA8"/>
    <w:rsid w:val="00F62F92"/>
    <w:rsid w:val="00F630B4"/>
    <w:rsid w:val="00F635EF"/>
    <w:rsid w:val="00F63BF4"/>
    <w:rsid w:val="00F63C55"/>
    <w:rsid w:val="00F63C60"/>
    <w:rsid w:val="00F6481C"/>
    <w:rsid w:val="00F64991"/>
    <w:rsid w:val="00F65B18"/>
    <w:rsid w:val="00F65BA9"/>
    <w:rsid w:val="00F65BC8"/>
    <w:rsid w:val="00F65EEA"/>
    <w:rsid w:val="00F66205"/>
    <w:rsid w:val="00F6630F"/>
    <w:rsid w:val="00F66419"/>
    <w:rsid w:val="00F67079"/>
    <w:rsid w:val="00F67B58"/>
    <w:rsid w:val="00F67BD9"/>
    <w:rsid w:val="00F67DC5"/>
    <w:rsid w:val="00F67E81"/>
    <w:rsid w:val="00F7044B"/>
    <w:rsid w:val="00F70FD4"/>
    <w:rsid w:val="00F71342"/>
    <w:rsid w:val="00F71C68"/>
    <w:rsid w:val="00F72112"/>
    <w:rsid w:val="00F724E2"/>
    <w:rsid w:val="00F73528"/>
    <w:rsid w:val="00F74103"/>
    <w:rsid w:val="00F7410A"/>
    <w:rsid w:val="00F745A4"/>
    <w:rsid w:val="00F74776"/>
    <w:rsid w:val="00F74C0C"/>
    <w:rsid w:val="00F758E1"/>
    <w:rsid w:val="00F75A16"/>
    <w:rsid w:val="00F75BB5"/>
    <w:rsid w:val="00F75FD5"/>
    <w:rsid w:val="00F7604C"/>
    <w:rsid w:val="00F773A9"/>
    <w:rsid w:val="00F8056E"/>
    <w:rsid w:val="00F805B7"/>
    <w:rsid w:val="00F810C1"/>
    <w:rsid w:val="00F81623"/>
    <w:rsid w:val="00F81973"/>
    <w:rsid w:val="00F81D25"/>
    <w:rsid w:val="00F8245C"/>
    <w:rsid w:val="00F82928"/>
    <w:rsid w:val="00F829B9"/>
    <w:rsid w:val="00F83045"/>
    <w:rsid w:val="00F83615"/>
    <w:rsid w:val="00F83EC7"/>
    <w:rsid w:val="00F8421D"/>
    <w:rsid w:val="00F844CF"/>
    <w:rsid w:val="00F85329"/>
    <w:rsid w:val="00F85683"/>
    <w:rsid w:val="00F85841"/>
    <w:rsid w:val="00F86079"/>
    <w:rsid w:val="00F8610A"/>
    <w:rsid w:val="00F86953"/>
    <w:rsid w:val="00F87282"/>
    <w:rsid w:val="00F878CD"/>
    <w:rsid w:val="00F87905"/>
    <w:rsid w:val="00F87A66"/>
    <w:rsid w:val="00F90C1F"/>
    <w:rsid w:val="00F912D9"/>
    <w:rsid w:val="00F91A44"/>
    <w:rsid w:val="00F91BFA"/>
    <w:rsid w:val="00F91F8F"/>
    <w:rsid w:val="00F9217B"/>
    <w:rsid w:val="00F97728"/>
    <w:rsid w:val="00F97A34"/>
    <w:rsid w:val="00F97E4A"/>
    <w:rsid w:val="00F97EA1"/>
    <w:rsid w:val="00FA003A"/>
    <w:rsid w:val="00FA05C8"/>
    <w:rsid w:val="00FA0678"/>
    <w:rsid w:val="00FA0DB6"/>
    <w:rsid w:val="00FA133F"/>
    <w:rsid w:val="00FA23F7"/>
    <w:rsid w:val="00FA27EB"/>
    <w:rsid w:val="00FA35B6"/>
    <w:rsid w:val="00FA3EBC"/>
    <w:rsid w:val="00FA423C"/>
    <w:rsid w:val="00FA44D0"/>
    <w:rsid w:val="00FA4590"/>
    <w:rsid w:val="00FA55A2"/>
    <w:rsid w:val="00FA672F"/>
    <w:rsid w:val="00FA7314"/>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6A97"/>
    <w:rsid w:val="00FB7823"/>
    <w:rsid w:val="00FC05B2"/>
    <w:rsid w:val="00FC08B3"/>
    <w:rsid w:val="00FC09D7"/>
    <w:rsid w:val="00FC0ABE"/>
    <w:rsid w:val="00FC1269"/>
    <w:rsid w:val="00FC22D0"/>
    <w:rsid w:val="00FC299F"/>
    <w:rsid w:val="00FC38D4"/>
    <w:rsid w:val="00FC391E"/>
    <w:rsid w:val="00FC39B3"/>
    <w:rsid w:val="00FC3BB7"/>
    <w:rsid w:val="00FC4345"/>
    <w:rsid w:val="00FC444A"/>
    <w:rsid w:val="00FC453D"/>
    <w:rsid w:val="00FC4A89"/>
    <w:rsid w:val="00FC58F1"/>
    <w:rsid w:val="00FC619B"/>
    <w:rsid w:val="00FC665F"/>
    <w:rsid w:val="00FC6C35"/>
    <w:rsid w:val="00FC6D59"/>
    <w:rsid w:val="00FC7561"/>
    <w:rsid w:val="00FC78F5"/>
    <w:rsid w:val="00FC7ACA"/>
    <w:rsid w:val="00FC7AD2"/>
    <w:rsid w:val="00FD10B3"/>
    <w:rsid w:val="00FD11C3"/>
    <w:rsid w:val="00FD154E"/>
    <w:rsid w:val="00FD17A2"/>
    <w:rsid w:val="00FD24D7"/>
    <w:rsid w:val="00FD29CE"/>
    <w:rsid w:val="00FD3AE2"/>
    <w:rsid w:val="00FD3E41"/>
    <w:rsid w:val="00FD3EFA"/>
    <w:rsid w:val="00FD54A8"/>
    <w:rsid w:val="00FD5AE4"/>
    <w:rsid w:val="00FD5ED3"/>
    <w:rsid w:val="00FD5F25"/>
    <w:rsid w:val="00FD60BE"/>
    <w:rsid w:val="00FD62E2"/>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67726"/>
    <w:rsid w:val="010C7C96"/>
    <w:rsid w:val="0119677B"/>
    <w:rsid w:val="011F62EC"/>
    <w:rsid w:val="011F6449"/>
    <w:rsid w:val="01203FAE"/>
    <w:rsid w:val="01236AFB"/>
    <w:rsid w:val="01374B4F"/>
    <w:rsid w:val="01395A0E"/>
    <w:rsid w:val="013D03CB"/>
    <w:rsid w:val="013D79A5"/>
    <w:rsid w:val="019F7441"/>
    <w:rsid w:val="01B37585"/>
    <w:rsid w:val="01D13611"/>
    <w:rsid w:val="01D55165"/>
    <w:rsid w:val="01D60B10"/>
    <w:rsid w:val="01DF6BF8"/>
    <w:rsid w:val="01EC2C57"/>
    <w:rsid w:val="026B2E25"/>
    <w:rsid w:val="028179D2"/>
    <w:rsid w:val="02824D4D"/>
    <w:rsid w:val="029F53A6"/>
    <w:rsid w:val="02C80459"/>
    <w:rsid w:val="02DC4B10"/>
    <w:rsid w:val="02DD76CE"/>
    <w:rsid w:val="02E1538E"/>
    <w:rsid w:val="02E834D3"/>
    <w:rsid w:val="02ED6112"/>
    <w:rsid w:val="02F36323"/>
    <w:rsid w:val="02F5619C"/>
    <w:rsid w:val="0326446A"/>
    <w:rsid w:val="032D5555"/>
    <w:rsid w:val="03350A88"/>
    <w:rsid w:val="03472442"/>
    <w:rsid w:val="036634D2"/>
    <w:rsid w:val="038C592B"/>
    <w:rsid w:val="03CD2E2D"/>
    <w:rsid w:val="03DD35E4"/>
    <w:rsid w:val="03DD7F34"/>
    <w:rsid w:val="03E312C3"/>
    <w:rsid w:val="04076900"/>
    <w:rsid w:val="040B670E"/>
    <w:rsid w:val="041A5A3B"/>
    <w:rsid w:val="042311BA"/>
    <w:rsid w:val="0424344B"/>
    <w:rsid w:val="04277319"/>
    <w:rsid w:val="042B157A"/>
    <w:rsid w:val="04673CA6"/>
    <w:rsid w:val="047168CE"/>
    <w:rsid w:val="048F763B"/>
    <w:rsid w:val="049F330E"/>
    <w:rsid w:val="04A92DC9"/>
    <w:rsid w:val="04AA775C"/>
    <w:rsid w:val="04AF1889"/>
    <w:rsid w:val="04F66F48"/>
    <w:rsid w:val="04FF6F28"/>
    <w:rsid w:val="050C48D3"/>
    <w:rsid w:val="05251E14"/>
    <w:rsid w:val="052D6C99"/>
    <w:rsid w:val="05353F42"/>
    <w:rsid w:val="05490A35"/>
    <w:rsid w:val="0561517B"/>
    <w:rsid w:val="05960A24"/>
    <w:rsid w:val="05A16594"/>
    <w:rsid w:val="05A7762D"/>
    <w:rsid w:val="05B62428"/>
    <w:rsid w:val="05BA11E1"/>
    <w:rsid w:val="05BE7C2F"/>
    <w:rsid w:val="05ED1CCA"/>
    <w:rsid w:val="05F631CC"/>
    <w:rsid w:val="060B7CB7"/>
    <w:rsid w:val="060D1220"/>
    <w:rsid w:val="060E5941"/>
    <w:rsid w:val="06110FAF"/>
    <w:rsid w:val="062E7AFC"/>
    <w:rsid w:val="063B4A66"/>
    <w:rsid w:val="06493CA7"/>
    <w:rsid w:val="064A5629"/>
    <w:rsid w:val="065A6178"/>
    <w:rsid w:val="066F1CF3"/>
    <w:rsid w:val="06930BB8"/>
    <w:rsid w:val="0699220F"/>
    <w:rsid w:val="06A302FF"/>
    <w:rsid w:val="06A42F8B"/>
    <w:rsid w:val="06B007DA"/>
    <w:rsid w:val="06F4165B"/>
    <w:rsid w:val="06F537E7"/>
    <w:rsid w:val="06FA3E2C"/>
    <w:rsid w:val="07245D42"/>
    <w:rsid w:val="07264C62"/>
    <w:rsid w:val="074D1ADE"/>
    <w:rsid w:val="074D6D56"/>
    <w:rsid w:val="074F5FC5"/>
    <w:rsid w:val="07742EA5"/>
    <w:rsid w:val="0779354C"/>
    <w:rsid w:val="07A04C90"/>
    <w:rsid w:val="07AB56A7"/>
    <w:rsid w:val="07D223B6"/>
    <w:rsid w:val="07EC4BEA"/>
    <w:rsid w:val="08061376"/>
    <w:rsid w:val="080A7038"/>
    <w:rsid w:val="081B54CF"/>
    <w:rsid w:val="081D1247"/>
    <w:rsid w:val="08362D5C"/>
    <w:rsid w:val="08452D77"/>
    <w:rsid w:val="084E3A61"/>
    <w:rsid w:val="085B1E2C"/>
    <w:rsid w:val="086401F8"/>
    <w:rsid w:val="08751CAA"/>
    <w:rsid w:val="087E408A"/>
    <w:rsid w:val="087E4C40"/>
    <w:rsid w:val="087E7120"/>
    <w:rsid w:val="08836BD0"/>
    <w:rsid w:val="08CB0CA3"/>
    <w:rsid w:val="08D66AD6"/>
    <w:rsid w:val="08DA33A3"/>
    <w:rsid w:val="08E80F13"/>
    <w:rsid w:val="09147261"/>
    <w:rsid w:val="09335624"/>
    <w:rsid w:val="0944690F"/>
    <w:rsid w:val="09454757"/>
    <w:rsid w:val="09535675"/>
    <w:rsid w:val="095F057D"/>
    <w:rsid w:val="09642282"/>
    <w:rsid w:val="09733572"/>
    <w:rsid w:val="09772C16"/>
    <w:rsid w:val="098353B5"/>
    <w:rsid w:val="09A92330"/>
    <w:rsid w:val="09B06B87"/>
    <w:rsid w:val="09C13146"/>
    <w:rsid w:val="09CD27F9"/>
    <w:rsid w:val="09D57E6B"/>
    <w:rsid w:val="09E04166"/>
    <w:rsid w:val="09ED5498"/>
    <w:rsid w:val="0A143275"/>
    <w:rsid w:val="0A1C0718"/>
    <w:rsid w:val="0A2E2D1E"/>
    <w:rsid w:val="0A3E7710"/>
    <w:rsid w:val="0A3E7D5E"/>
    <w:rsid w:val="0A44038E"/>
    <w:rsid w:val="0A5B7E63"/>
    <w:rsid w:val="0A892BC4"/>
    <w:rsid w:val="0AA374A5"/>
    <w:rsid w:val="0AAB7649"/>
    <w:rsid w:val="0ABC5606"/>
    <w:rsid w:val="0AF064DE"/>
    <w:rsid w:val="0AF54E47"/>
    <w:rsid w:val="0AFE045A"/>
    <w:rsid w:val="0AFE7B1E"/>
    <w:rsid w:val="0B30404E"/>
    <w:rsid w:val="0B3061AD"/>
    <w:rsid w:val="0B4C6C14"/>
    <w:rsid w:val="0B603C87"/>
    <w:rsid w:val="0B631A88"/>
    <w:rsid w:val="0B683D45"/>
    <w:rsid w:val="0B6947A3"/>
    <w:rsid w:val="0B7F3F11"/>
    <w:rsid w:val="0B882E7B"/>
    <w:rsid w:val="0B884417"/>
    <w:rsid w:val="0B8A593E"/>
    <w:rsid w:val="0B9A578A"/>
    <w:rsid w:val="0BB93F5B"/>
    <w:rsid w:val="0BBF280D"/>
    <w:rsid w:val="0BEF3816"/>
    <w:rsid w:val="0BF6188C"/>
    <w:rsid w:val="0BF73C91"/>
    <w:rsid w:val="0C170175"/>
    <w:rsid w:val="0C3B1C9C"/>
    <w:rsid w:val="0C3C5A14"/>
    <w:rsid w:val="0C571A41"/>
    <w:rsid w:val="0C5C1171"/>
    <w:rsid w:val="0C5E1CBC"/>
    <w:rsid w:val="0C615B50"/>
    <w:rsid w:val="0C670CE3"/>
    <w:rsid w:val="0C8445DA"/>
    <w:rsid w:val="0C87121B"/>
    <w:rsid w:val="0C9B098C"/>
    <w:rsid w:val="0CB63B7A"/>
    <w:rsid w:val="0CBB102F"/>
    <w:rsid w:val="0CC007F7"/>
    <w:rsid w:val="0CD43E9E"/>
    <w:rsid w:val="0CEF36E3"/>
    <w:rsid w:val="0CFE707A"/>
    <w:rsid w:val="0D063BDA"/>
    <w:rsid w:val="0D08375F"/>
    <w:rsid w:val="0D184CFB"/>
    <w:rsid w:val="0D295F98"/>
    <w:rsid w:val="0D4A7419"/>
    <w:rsid w:val="0D5B12F5"/>
    <w:rsid w:val="0D827401"/>
    <w:rsid w:val="0D84094E"/>
    <w:rsid w:val="0D843C06"/>
    <w:rsid w:val="0D8A00E9"/>
    <w:rsid w:val="0D8D589E"/>
    <w:rsid w:val="0DA01C73"/>
    <w:rsid w:val="0DD63300"/>
    <w:rsid w:val="0DD73C46"/>
    <w:rsid w:val="0DF50604"/>
    <w:rsid w:val="0DF702FE"/>
    <w:rsid w:val="0E060E51"/>
    <w:rsid w:val="0E255A26"/>
    <w:rsid w:val="0E3651C7"/>
    <w:rsid w:val="0E3D648A"/>
    <w:rsid w:val="0E4868F2"/>
    <w:rsid w:val="0E5604B2"/>
    <w:rsid w:val="0E5B6625"/>
    <w:rsid w:val="0E6D5D79"/>
    <w:rsid w:val="0E9D0089"/>
    <w:rsid w:val="0EB803EE"/>
    <w:rsid w:val="0EBE7C77"/>
    <w:rsid w:val="0EC0292C"/>
    <w:rsid w:val="0EF94D4B"/>
    <w:rsid w:val="0F1064A0"/>
    <w:rsid w:val="0F201985"/>
    <w:rsid w:val="0F4827FA"/>
    <w:rsid w:val="0F4958DC"/>
    <w:rsid w:val="0F515DF7"/>
    <w:rsid w:val="0F596BA8"/>
    <w:rsid w:val="0F5D30F5"/>
    <w:rsid w:val="0F6248D2"/>
    <w:rsid w:val="0F693536"/>
    <w:rsid w:val="0F7B0511"/>
    <w:rsid w:val="0F7B76D9"/>
    <w:rsid w:val="0F816ACD"/>
    <w:rsid w:val="0F916077"/>
    <w:rsid w:val="0F9832DB"/>
    <w:rsid w:val="0FBF3FD2"/>
    <w:rsid w:val="0FBF7FF3"/>
    <w:rsid w:val="0FD66F70"/>
    <w:rsid w:val="10154E71"/>
    <w:rsid w:val="103A5728"/>
    <w:rsid w:val="10540ECD"/>
    <w:rsid w:val="105C127F"/>
    <w:rsid w:val="10633808"/>
    <w:rsid w:val="10646583"/>
    <w:rsid w:val="107A16D8"/>
    <w:rsid w:val="107D4B15"/>
    <w:rsid w:val="108A3C80"/>
    <w:rsid w:val="10C26171"/>
    <w:rsid w:val="10E454BB"/>
    <w:rsid w:val="10F33360"/>
    <w:rsid w:val="10FC16EA"/>
    <w:rsid w:val="1101402D"/>
    <w:rsid w:val="110F1D40"/>
    <w:rsid w:val="111143B8"/>
    <w:rsid w:val="111B5EE8"/>
    <w:rsid w:val="11266F33"/>
    <w:rsid w:val="112A0531"/>
    <w:rsid w:val="115455AE"/>
    <w:rsid w:val="11731AB6"/>
    <w:rsid w:val="11783ED9"/>
    <w:rsid w:val="118963A1"/>
    <w:rsid w:val="11C6522A"/>
    <w:rsid w:val="11E104CC"/>
    <w:rsid w:val="11E20309"/>
    <w:rsid w:val="12203B9C"/>
    <w:rsid w:val="12255233"/>
    <w:rsid w:val="12326A10"/>
    <w:rsid w:val="123F2F45"/>
    <w:rsid w:val="12530213"/>
    <w:rsid w:val="12540F0C"/>
    <w:rsid w:val="127723A9"/>
    <w:rsid w:val="1281671D"/>
    <w:rsid w:val="12862074"/>
    <w:rsid w:val="12883966"/>
    <w:rsid w:val="128E689D"/>
    <w:rsid w:val="12920DE7"/>
    <w:rsid w:val="12922FDC"/>
    <w:rsid w:val="129E45B4"/>
    <w:rsid w:val="12A4224F"/>
    <w:rsid w:val="12AB2774"/>
    <w:rsid w:val="12B128D1"/>
    <w:rsid w:val="12D81596"/>
    <w:rsid w:val="12EE6D60"/>
    <w:rsid w:val="12F748BF"/>
    <w:rsid w:val="12FC7CAB"/>
    <w:rsid w:val="13072A44"/>
    <w:rsid w:val="13294F44"/>
    <w:rsid w:val="133A1531"/>
    <w:rsid w:val="133D25F0"/>
    <w:rsid w:val="134E0311"/>
    <w:rsid w:val="135F4BE2"/>
    <w:rsid w:val="13966682"/>
    <w:rsid w:val="139B1A0A"/>
    <w:rsid w:val="139D25C7"/>
    <w:rsid w:val="13B80076"/>
    <w:rsid w:val="13BF3CE4"/>
    <w:rsid w:val="13CC2C42"/>
    <w:rsid w:val="13E84D0E"/>
    <w:rsid w:val="141008D8"/>
    <w:rsid w:val="14125FE6"/>
    <w:rsid w:val="142306EA"/>
    <w:rsid w:val="14524026"/>
    <w:rsid w:val="14601C37"/>
    <w:rsid w:val="1464106F"/>
    <w:rsid w:val="146D271E"/>
    <w:rsid w:val="14745ACC"/>
    <w:rsid w:val="14945621"/>
    <w:rsid w:val="14982588"/>
    <w:rsid w:val="149A5AD9"/>
    <w:rsid w:val="14A7619D"/>
    <w:rsid w:val="14BF5C4C"/>
    <w:rsid w:val="14C567C9"/>
    <w:rsid w:val="14C972AD"/>
    <w:rsid w:val="14E00BA8"/>
    <w:rsid w:val="14F52C04"/>
    <w:rsid w:val="150536C3"/>
    <w:rsid w:val="15096242"/>
    <w:rsid w:val="150C1963"/>
    <w:rsid w:val="151447A0"/>
    <w:rsid w:val="15227E9D"/>
    <w:rsid w:val="154A6454"/>
    <w:rsid w:val="155F11EA"/>
    <w:rsid w:val="156608C6"/>
    <w:rsid w:val="15762120"/>
    <w:rsid w:val="158A4119"/>
    <w:rsid w:val="159643E7"/>
    <w:rsid w:val="15C239E5"/>
    <w:rsid w:val="15DD3DC4"/>
    <w:rsid w:val="16117F11"/>
    <w:rsid w:val="162641F5"/>
    <w:rsid w:val="167D51A6"/>
    <w:rsid w:val="16A8729C"/>
    <w:rsid w:val="16B33777"/>
    <w:rsid w:val="16B42F5C"/>
    <w:rsid w:val="16BC70A7"/>
    <w:rsid w:val="16C136E5"/>
    <w:rsid w:val="16C6339E"/>
    <w:rsid w:val="16DE0F82"/>
    <w:rsid w:val="171172B7"/>
    <w:rsid w:val="1716715C"/>
    <w:rsid w:val="1720040C"/>
    <w:rsid w:val="172F2D79"/>
    <w:rsid w:val="173C0FBE"/>
    <w:rsid w:val="174753BE"/>
    <w:rsid w:val="174C5B86"/>
    <w:rsid w:val="17557BEF"/>
    <w:rsid w:val="175859B7"/>
    <w:rsid w:val="17604CAC"/>
    <w:rsid w:val="179066D3"/>
    <w:rsid w:val="17D349C1"/>
    <w:rsid w:val="182950CF"/>
    <w:rsid w:val="182A1059"/>
    <w:rsid w:val="182F6554"/>
    <w:rsid w:val="1830729E"/>
    <w:rsid w:val="1840688C"/>
    <w:rsid w:val="185D11EC"/>
    <w:rsid w:val="1870062C"/>
    <w:rsid w:val="18817102"/>
    <w:rsid w:val="18830A15"/>
    <w:rsid w:val="18852B28"/>
    <w:rsid w:val="188B5321"/>
    <w:rsid w:val="18CF43F7"/>
    <w:rsid w:val="18FF04F5"/>
    <w:rsid w:val="190E515C"/>
    <w:rsid w:val="19632832"/>
    <w:rsid w:val="19932372"/>
    <w:rsid w:val="19A20DD5"/>
    <w:rsid w:val="19A31EA5"/>
    <w:rsid w:val="19AE03F1"/>
    <w:rsid w:val="19B25C13"/>
    <w:rsid w:val="19B34D1E"/>
    <w:rsid w:val="19D465D8"/>
    <w:rsid w:val="19DA61AB"/>
    <w:rsid w:val="19E75500"/>
    <w:rsid w:val="1A041571"/>
    <w:rsid w:val="1A07140F"/>
    <w:rsid w:val="1A071A03"/>
    <w:rsid w:val="1A114253"/>
    <w:rsid w:val="1A180AD2"/>
    <w:rsid w:val="1A1F16AE"/>
    <w:rsid w:val="1A2F6BB8"/>
    <w:rsid w:val="1A384C18"/>
    <w:rsid w:val="1A3B5C77"/>
    <w:rsid w:val="1A650D32"/>
    <w:rsid w:val="1A984BAD"/>
    <w:rsid w:val="1AB8220E"/>
    <w:rsid w:val="1AE4166C"/>
    <w:rsid w:val="1AEE25CF"/>
    <w:rsid w:val="1AF06CFB"/>
    <w:rsid w:val="1AF11B8D"/>
    <w:rsid w:val="1AFF658A"/>
    <w:rsid w:val="1B11359C"/>
    <w:rsid w:val="1B151082"/>
    <w:rsid w:val="1B250F57"/>
    <w:rsid w:val="1B2A271F"/>
    <w:rsid w:val="1B373F76"/>
    <w:rsid w:val="1B530544"/>
    <w:rsid w:val="1B5A1A13"/>
    <w:rsid w:val="1B625456"/>
    <w:rsid w:val="1B713184"/>
    <w:rsid w:val="1B8A1A02"/>
    <w:rsid w:val="1BA209CF"/>
    <w:rsid w:val="1BB4777D"/>
    <w:rsid w:val="1BB76E65"/>
    <w:rsid w:val="1BD75AB8"/>
    <w:rsid w:val="1BE063BC"/>
    <w:rsid w:val="1C0459C2"/>
    <w:rsid w:val="1C1B3B4A"/>
    <w:rsid w:val="1C88086E"/>
    <w:rsid w:val="1CAB240B"/>
    <w:rsid w:val="1CD9554B"/>
    <w:rsid w:val="1CDE733E"/>
    <w:rsid w:val="1CE805CE"/>
    <w:rsid w:val="1CF003B4"/>
    <w:rsid w:val="1D0439D3"/>
    <w:rsid w:val="1D266CE1"/>
    <w:rsid w:val="1D2822C8"/>
    <w:rsid w:val="1D3963AF"/>
    <w:rsid w:val="1D6A673C"/>
    <w:rsid w:val="1D742734"/>
    <w:rsid w:val="1D920819"/>
    <w:rsid w:val="1D9247AE"/>
    <w:rsid w:val="1D993A50"/>
    <w:rsid w:val="1DA21826"/>
    <w:rsid w:val="1DB567EC"/>
    <w:rsid w:val="1DF51A98"/>
    <w:rsid w:val="1E3D060F"/>
    <w:rsid w:val="1E3F7D2E"/>
    <w:rsid w:val="1E4134E4"/>
    <w:rsid w:val="1E4734A9"/>
    <w:rsid w:val="1E5062B3"/>
    <w:rsid w:val="1E522E75"/>
    <w:rsid w:val="1E523514"/>
    <w:rsid w:val="1E714A66"/>
    <w:rsid w:val="1E802593"/>
    <w:rsid w:val="1E89004D"/>
    <w:rsid w:val="1EA703CC"/>
    <w:rsid w:val="1EB7330C"/>
    <w:rsid w:val="1EB82631"/>
    <w:rsid w:val="1EDB1EFC"/>
    <w:rsid w:val="1F0A0FF3"/>
    <w:rsid w:val="1F1F71FB"/>
    <w:rsid w:val="1F295A17"/>
    <w:rsid w:val="1F35126D"/>
    <w:rsid w:val="1F5771FF"/>
    <w:rsid w:val="1F5A0233"/>
    <w:rsid w:val="1F5D7F77"/>
    <w:rsid w:val="1F5F3A9B"/>
    <w:rsid w:val="1F6B3905"/>
    <w:rsid w:val="1F7708A8"/>
    <w:rsid w:val="1F770937"/>
    <w:rsid w:val="1F7B3F3D"/>
    <w:rsid w:val="1F811C64"/>
    <w:rsid w:val="1F833BE5"/>
    <w:rsid w:val="1F947D51"/>
    <w:rsid w:val="1FE868A9"/>
    <w:rsid w:val="1FF30258"/>
    <w:rsid w:val="20034907"/>
    <w:rsid w:val="20173E4B"/>
    <w:rsid w:val="20284CE3"/>
    <w:rsid w:val="203041A1"/>
    <w:rsid w:val="204C112C"/>
    <w:rsid w:val="204E48BC"/>
    <w:rsid w:val="207D242B"/>
    <w:rsid w:val="2087421B"/>
    <w:rsid w:val="208921B3"/>
    <w:rsid w:val="20973DEB"/>
    <w:rsid w:val="20B26522"/>
    <w:rsid w:val="20B44310"/>
    <w:rsid w:val="20C558F3"/>
    <w:rsid w:val="20FD3E81"/>
    <w:rsid w:val="21101501"/>
    <w:rsid w:val="211116EB"/>
    <w:rsid w:val="213879C6"/>
    <w:rsid w:val="214E1BF1"/>
    <w:rsid w:val="216133FC"/>
    <w:rsid w:val="21701BC8"/>
    <w:rsid w:val="21D21F60"/>
    <w:rsid w:val="21D56769"/>
    <w:rsid w:val="21E52EF3"/>
    <w:rsid w:val="21FB5D7B"/>
    <w:rsid w:val="220B1C3D"/>
    <w:rsid w:val="221D1D20"/>
    <w:rsid w:val="22334A87"/>
    <w:rsid w:val="224C6087"/>
    <w:rsid w:val="22AF702A"/>
    <w:rsid w:val="22B2743A"/>
    <w:rsid w:val="22BE6801"/>
    <w:rsid w:val="22F31541"/>
    <w:rsid w:val="22F71F18"/>
    <w:rsid w:val="233500BF"/>
    <w:rsid w:val="23377FF7"/>
    <w:rsid w:val="234E6301"/>
    <w:rsid w:val="236B425F"/>
    <w:rsid w:val="236D61E9"/>
    <w:rsid w:val="237C23D4"/>
    <w:rsid w:val="23836192"/>
    <w:rsid w:val="23901F29"/>
    <w:rsid w:val="239214E4"/>
    <w:rsid w:val="239469C3"/>
    <w:rsid w:val="23984F8B"/>
    <w:rsid w:val="239C0061"/>
    <w:rsid w:val="23A7020F"/>
    <w:rsid w:val="23B02B18"/>
    <w:rsid w:val="23B908A4"/>
    <w:rsid w:val="23C90494"/>
    <w:rsid w:val="23C93BD9"/>
    <w:rsid w:val="23CD191B"/>
    <w:rsid w:val="23CE7C16"/>
    <w:rsid w:val="23E95BEF"/>
    <w:rsid w:val="23F21382"/>
    <w:rsid w:val="23FD0064"/>
    <w:rsid w:val="240E7FB6"/>
    <w:rsid w:val="241C63FF"/>
    <w:rsid w:val="24214E7C"/>
    <w:rsid w:val="244871F4"/>
    <w:rsid w:val="244B2DE8"/>
    <w:rsid w:val="24500FB2"/>
    <w:rsid w:val="245375B0"/>
    <w:rsid w:val="245A4A6F"/>
    <w:rsid w:val="24642C0A"/>
    <w:rsid w:val="24B22173"/>
    <w:rsid w:val="24B95AD9"/>
    <w:rsid w:val="24BE24DA"/>
    <w:rsid w:val="24C300B7"/>
    <w:rsid w:val="24CF5825"/>
    <w:rsid w:val="24D11758"/>
    <w:rsid w:val="24D663E6"/>
    <w:rsid w:val="24D77F2B"/>
    <w:rsid w:val="24DF1230"/>
    <w:rsid w:val="24E0742D"/>
    <w:rsid w:val="24F16DFF"/>
    <w:rsid w:val="256168EF"/>
    <w:rsid w:val="25630182"/>
    <w:rsid w:val="258B00E2"/>
    <w:rsid w:val="25A917A6"/>
    <w:rsid w:val="25BE27CC"/>
    <w:rsid w:val="25F74A5C"/>
    <w:rsid w:val="25FF2AE1"/>
    <w:rsid w:val="2612756C"/>
    <w:rsid w:val="2628662C"/>
    <w:rsid w:val="262D45DE"/>
    <w:rsid w:val="26437C73"/>
    <w:rsid w:val="267C6B2D"/>
    <w:rsid w:val="26884F62"/>
    <w:rsid w:val="269B185D"/>
    <w:rsid w:val="26A53EF9"/>
    <w:rsid w:val="26A94201"/>
    <w:rsid w:val="26AC274F"/>
    <w:rsid w:val="26EF46F4"/>
    <w:rsid w:val="26FE16CF"/>
    <w:rsid w:val="27044A29"/>
    <w:rsid w:val="27160911"/>
    <w:rsid w:val="271D34C8"/>
    <w:rsid w:val="273D41BF"/>
    <w:rsid w:val="276142BF"/>
    <w:rsid w:val="27740B65"/>
    <w:rsid w:val="27783712"/>
    <w:rsid w:val="277C003D"/>
    <w:rsid w:val="27907362"/>
    <w:rsid w:val="279664C8"/>
    <w:rsid w:val="27B5050A"/>
    <w:rsid w:val="27DE3507"/>
    <w:rsid w:val="27EB3E6C"/>
    <w:rsid w:val="281A0EA7"/>
    <w:rsid w:val="28212236"/>
    <w:rsid w:val="28301B9C"/>
    <w:rsid w:val="28333E1D"/>
    <w:rsid w:val="28454BD6"/>
    <w:rsid w:val="28455253"/>
    <w:rsid w:val="284A605F"/>
    <w:rsid w:val="28551971"/>
    <w:rsid w:val="285B1C53"/>
    <w:rsid w:val="285F1B69"/>
    <w:rsid w:val="287179D5"/>
    <w:rsid w:val="28741411"/>
    <w:rsid w:val="28836C0D"/>
    <w:rsid w:val="289F7086"/>
    <w:rsid w:val="28A30E9D"/>
    <w:rsid w:val="28C32028"/>
    <w:rsid w:val="28CC490F"/>
    <w:rsid w:val="28DE40AA"/>
    <w:rsid w:val="28E10F04"/>
    <w:rsid w:val="290207D0"/>
    <w:rsid w:val="29141A3C"/>
    <w:rsid w:val="29177195"/>
    <w:rsid w:val="29345E77"/>
    <w:rsid w:val="293E4722"/>
    <w:rsid w:val="294C65AD"/>
    <w:rsid w:val="295643EC"/>
    <w:rsid w:val="29647013"/>
    <w:rsid w:val="29787747"/>
    <w:rsid w:val="297C0029"/>
    <w:rsid w:val="29806583"/>
    <w:rsid w:val="298B3C4C"/>
    <w:rsid w:val="29A35BF4"/>
    <w:rsid w:val="29DB4666"/>
    <w:rsid w:val="29F0076B"/>
    <w:rsid w:val="29F26D24"/>
    <w:rsid w:val="2A0070A5"/>
    <w:rsid w:val="2A15033F"/>
    <w:rsid w:val="2A1662C1"/>
    <w:rsid w:val="2A1C7367"/>
    <w:rsid w:val="2A2815FA"/>
    <w:rsid w:val="2A6D6092"/>
    <w:rsid w:val="2A7D76B4"/>
    <w:rsid w:val="2AC10462"/>
    <w:rsid w:val="2AED5E51"/>
    <w:rsid w:val="2B0100FD"/>
    <w:rsid w:val="2B2B58B7"/>
    <w:rsid w:val="2B39345C"/>
    <w:rsid w:val="2B437463"/>
    <w:rsid w:val="2B7807EE"/>
    <w:rsid w:val="2B9B5E5B"/>
    <w:rsid w:val="2B9F2B57"/>
    <w:rsid w:val="2BA84C0B"/>
    <w:rsid w:val="2BBF00EC"/>
    <w:rsid w:val="2BC37CFD"/>
    <w:rsid w:val="2BD5237F"/>
    <w:rsid w:val="2BE536CE"/>
    <w:rsid w:val="2BE758D9"/>
    <w:rsid w:val="2C09049E"/>
    <w:rsid w:val="2C0954BB"/>
    <w:rsid w:val="2C0A653C"/>
    <w:rsid w:val="2C130F9E"/>
    <w:rsid w:val="2C191F85"/>
    <w:rsid w:val="2C67477C"/>
    <w:rsid w:val="2C8F6197"/>
    <w:rsid w:val="2CB51339"/>
    <w:rsid w:val="2CC444C4"/>
    <w:rsid w:val="2CE82D6F"/>
    <w:rsid w:val="2CF36521"/>
    <w:rsid w:val="2CF9552F"/>
    <w:rsid w:val="2D343236"/>
    <w:rsid w:val="2D3B5B48"/>
    <w:rsid w:val="2D6F6195"/>
    <w:rsid w:val="2D8A03F2"/>
    <w:rsid w:val="2DAE08D3"/>
    <w:rsid w:val="2DD15014"/>
    <w:rsid w:val="2DD47395"/>
    <w:rsid w:val="2DF72DE4"/>
    <w:rsid w:val="2E0220AF"/>
    <w:rsid w:val="2E1D7197"/>
    <w:rsid w:val="2E400F3C"/>
    <w:rsid w:val="2E4B082A"/>
    <w:rsid w:val="2E5D4E86"/>
    <w:rsid w:val="2E5D790B"/>
    <w:rsid w:val="2E5E3BC7"/>
    <w:rsid w:val="2E900A99"/>
    <w:rsid w:val="2E9A3C18"/>
    <w:rsid w:val="2E9C6C44"/>
    <w:rsid w:val="2EBB0FEE"/>
    <w:rsid w:val="2EBE7ED5"/>
    <w:rsid w:val="2EC53308"/>
    <w:rsid w:val="2EC63002"/>
    <w:rsid w:val="2EFF0123"/>
    <w:rsid w:val="2F0A6B38"/>
    <w:rsid w:val="2F2C3FA3"/>
    <w:rsid w:val="2F2D60BE"/>
    <w:rsid w:val="2F8C1C09"/>
    <w:rsid w:val="2F946CCB"/>
    <w:rsid w:val="2F98522D"/>
    <w:rsid w:val="2FBC2F83"/>
    <w:rsid w:val="2FD25781"/>
    <w:rsid w:val="2FFD7934"/>
    <w:rsid w:val="301E6EDA"/>
    <w:rsid w:val="30204B81"/>
    <w:rsid w:val="30436D89"/>
    <w:rsid w:val="304F05F1"/>
    <w:rsid w:val="30733ACD"/>
    <w:rsid w:val="308C3862"/>
    <w:rsid w:val="309379D8"/>
    <w:rsid w:val="30A270F7"/>
    <w:rsid w:val="30AC12E1"/>
    <w:rsid w:val="30DF1478"/>
    <w:rsid w:val="30E50597"/>
    <w:rsid w:val="30EC586F"/>
    <w:rsid w:val="31012C04"/>
    <w:rsid w:val="313704BF"/>
    <w:rsid w:val="31563938"/>
    <w:rsid w:val="31644F41"/>
    <w:rsid w:val="319C6071"/>
    <w:rsid w:val="31AC537E"/>
    <w:rsid w:val="31C205E6"/>
    <w:rsid w:val="31E3679B"/>
    <w:rsid w:val="31E732FD"/>
    <w:rsid w:val="321367AD"/>
    <w:rsid w:val="324D7B39"/>
    <w:rsid w:val="32517576"/>
    <w:rsid w:val="325A321B"/>
    <w:rsid w:val="326A78B3"/>
    <w:rsid w:val="32853CD8"/>
    <w:rsid w:val="32BE5C2C"/>
    <w:rsid w:val="32FB6478"/>
    <w:rsid w:val="3305755E"/>
    <w:rsid w:val="33263B3F"/>
    <w:rsid w:val="33586324"/>
    <w:rsid w:val="3364747B"/>
    <w:rsid w:val="336963EB"/>
    <w:rsid w:val="33816EEB"/>
    <w:rsid w:val="33D46D22"/>
    <w:rsid w:val="33EB55CD"/>
    <w:rsid w:val="33EC4C02"/>
    <w:rsid w:val="340224E5"/>
    <w:rsid w:val="340D2360"/>
    <w:rsid w:val="3410665D"/>
    <w:rsid w:val="34160775"/>
    <w:rsid w:val="34211214"/>
    <w:rsid w:val="342E63AB"/>
    <w:rsid w:val="343609FE"/>
    <w:rsid w:val="34492E3D"/>
    <w:rsid w:val="344D71DF"/>
    <w:rsid w:val="3472586A"/>
    <w:rsid w:val="3483244D"/>
    <w:rsid w:val="348E1C47"/>
    <w:rsid w:val="348F0527"/>
    <w:rsid w:val="34950E68"/>
    <w:rsid w:val="34986E94"/>
    <w:rsid w:val="349F64DA"/>
    <w:rsid w:val="34AF62C9"/>
    <w:rsid w:val="34BA37F6"/>
    <w:rsid w:val="34CB4388"/>
    <w:rsid w:val="34DD5737"/>
    <w:rsid w:val="34E84A10"/>
    <w:rsid w:val="34FA6E12"/>
    <w:rsid w:val="34FB65A5"/>
    <w:rsid w:val="34FF38FF"/>
    <w:rsid w:val="351B2B1B"/>
    <w:rsid w:val="352275ED"/>
    <w:rsid w:val="35566F74"/>
    <w:rsid w:val="358D5588"/>
    <w:rsid w:val="359A038C"/>
    <w:rsid w:val="35D02D97"/>
    <w:rsid w:val="35D34CB1"/>
    <w:rsid w:val="363A3B40"/>
    <w:rsid w:val="363D46DF"/>
    <w:rsid w:val="365302AE"/>
    <w:rsid w:val="366014D1"/>
    <w:rsid w:val="36607A0A"/>
    <w:rsid w:val="366E227C"/>
    <w:rsid w:val="366F2E0D"/>
    <w:rsid w:val="367B6A5C"/>
    <w:rsid w:val="36A74ADA"/>
    <w:rsid w:val="36AD60D5"/>
    <w:rsid w:val="36B224F9"/>
    <w:rsid w:val="36BD2235"/>
    <w:rsid w:val="36DD473E"/>
    <w:rsid w:val="36EC0CC9"/>
    <w:rsid w:val="371B42F4"/>
    <w:rsid w:val="37227431"/>
    <w:rsid w:val="373347BD"/>
    <w:rsid w:val="373F410B"/>
    <w:rsid w:val="376C6D21"/>
    <w:rsid w:val="377F2114"/>
    <w:rsid w:val="379B2CA5"/>
    <w:rsid w:val="37AB459F"/>
    <w:rsid w:val="37DB3B9C"/>
    <w:rsid w:val="37EE7094"/>
    <w:rsid w:val="38296C89"/>
    <w:rsid w:val="383002EB"/>
    <w:rsid w:val="383B3B2F"/>
    <w:rsid w:val="383D4C75"/>
    <w:rsid w:val="38467DDF"/>
    <w:rsid w:val="38586797"/>
    <w:rsid w:val="38912806"/>
    <w:rsid w:val="38B22A36"/>
    <w:rsid w:val="38BC0149"/>
    <w:rsid w:val="38D87D1C"/>
    <w:rsid w:val="38E04671"/>
    <w:rsid w:val="395D6E46"/>
    <w:rsid w:val="39636459"/>
    <w:rsid w:val="396B7F6C"/>
    <w:rsid w:val="397A2007"/>
    <w:rsid w:val="3991089E"/>
    <w:rsid w:val="399F745E"/>
    <w:rsid w:val="39AA5BB5"/>
    <w:rsid w:val="39B417A9"/>
    <w:rsid w:val="39B93A64"/>
    <w:rsid w:val="39F1513A"/>
    <w:rsid w:val="39F552D0"/>
    <w:rsid w:val="39FC5695"/>
    <w:rsid w:val="39FD5F33"/>
    <w:rsid w:val="3A002DBA"/>
    <w:rsid w:val="3A006D8E"/>
    <w:rsid w:val="3A207807"/>
    <w:rsid w:val="3A30379E"/>
    <w:rsid w:val="3A3651E5"/>
    <w:rsid w:val="3A5539A1"/>
    <w:rsid w:val="3A607983"/>
    <w:rsid w:val="3A744481"/>
    <w:rsid w:val="3A7D77A0"/>
    <w:rsid w:val="3A8C7BEF"/>
    <w:rsid w:val="3A906246"/>
    <w:rsid w:val="3AEF66EC"/>
    <w:rsid w:val="3AF539A8"/>
    <w:rsid w:val="3B181276"/>
    <w:rsid w:val="3B222067"/>
    <w:rsid w:val="3B2349B7"/>
    <w:rsid w:val="3B616CFF"/>
    <w:rsid w:val="3B6259F6"/>
    <w:rsid w:val="3B660234"/>
    <w:rsid w:val="3B722F28"/>
    <w:rsid w:val="3B7566C9"/>
    <w:rsid w:val="3B7B6843"/>
    <w:rsid w:val="3B810D72"/>
    <w:rsid w:val="3B976654"/>
    <w:rsid w:val="3BA174BE"/>
    <w:rsid w:val="3BC01EFC"/>
    <w:rsid w:val="3BCA786A"/>
    <w:rsid w:val="3BD31E2F"/>
    <w:rsid w:val="3BF15831"/>
    <w:rsid w:val="3C071676"/>
    <w:rsid w:val="3C105946"/>
    <w:rsid w:val="3C1065BD"/>
    <w:rsid w:val="3C1862E8"/>
    <w:rsid w:val="3C1F07B3"/>
    <w:rsid w:val="3C3709A6"/>
    <w:rsid w:val="3C444A12"/>
    <w:rsid w:val="3C471448"/>
    <w:rsid w:val="3C492008"/>
    <w:rsid w:val="3C5F759A"/>
    <w:rsid w:val="3C6B626B"/>
    <w:rsid w:val="3C6C525A"/>
    <w:rsid w:val="3C711097"/>
    <w:rsid w:val="3C8666B4"/>
    <w:rsid w:val="3CBB1DEE"/>
    <w:rsid w:val="3CBD0327"/>
    <w:rsid w:val="3CCE23CB"/>
    <w:rsid w:val="3CD17D17"/>
    <w:rsid w:val="3CD967E3"/>
    <w:rsid w:val="3D1E069A"/>
    <w:rsid w:val="3D3C7F39"/>
    <w:rsid w:val="3D440F09"/>
    <w:rsid w:val="3D4504A0"/>
    <w:rsid w:val="3D5B18EE"/>
    <w:rsid w:val="3D8734BB"/>
    <w:rsid w:val="3D9A11D4"/>
    <w:rsid w:val="3DA16D89"/>
    <w:rsid w:val="3DA364BE"/>
    <w:rsid w:val="3DC02F49"/>
    <w:rsid w:val="3DCB19FA"/>
    <w:rsid w:val="3DE041CB"/>
    <w:rsid w:val="3E0D48F6"/>
    <w:rsid w:val="3E1868B4"/>
    <w:rsid w:val="3E377251"/>
    <w:rsid w:val="3E382B9C"/>
    <w:rsid w:val="3E42664B"/>
    <w:rsid w:val="3E5A7334"/>
    <w:rsid w:val="3E6F6DE0"/>
    <w:rsid w:val="3E7A2248"/>
    <w:rsid w:val="3E7B5D6B"/>
    <w:rsid w:val="3E843E66"/>
    <w:rsid w:val="3E8F51FE"/>
    <w:rsid w:val="3E926F87"/>
    <w:rsid w:val="3E937033"/>
    <w:rsid w:val="3E9A59DE"/>
    <w:rsid w:val="3EA64DEB"/>
    <w:rsid w:val="3EAF4836"/>
    <w:rsid w:val="3EC33DFA"/>
    <w:rsid w:val="3ECA6D2C"/>
    <w:rsid w:val="3ED731F7"/>
    <w:rsid w:val="3F060E16"/>
    <w:rsid w:val="3F1D1096"/>
    <w:rsid w:val="3F1E443A"/>
    <w:rsid w:val="3F2F0234"/>
    <w:rsid w:val="3F3C1BF7"/>
    <w:rsid w:val="3F6363FE"/>
    <w:rsid w:val="3F756B8F"/>
    <w:rsid w:val="3F95482B"/>
    <w:rsid w:val="3FFC6E88"/>
    <w:rsid w:val="40003214"/>
    <w:rsid w:val="400F606F"/>
    <w:rsid w:val="4012691F"/>
    <w:rsid w:val="4019356B"/>
    <w:rsid w:val="404368DB"/>
    <w:rsid w:val="40441D63"/>
    <w:rsid w:val="40592157"/>
    <w:rsid w:val="405C2A85"/>
    <w:rsid w:val="406C6770"/>
    <w:rsid w:val="406E1CAE"/>
    <w:rsid w:val="4075256F"/>
    <w:rsid w:val="408178BE"/>
    <w:rsid w:val="40A0133A"/>
    <w:rsid w:val="40A7377B"/>
    <w:rsid w:val="40C31A53"/>
    <w:rsid w:val="40FF545D"/>
    <w:rsid w:val="410067C8"/>
    <w:rsid w:val="41016309"/>
    <w:rsid w:val="41063B11"/>
    <w:rsid w:val="410947F2"/>
    <w:rsid w:val="412D2F49"/>
    <w:rsid w:val="41436921"/>
    <w:rsid w:val="41670C3F"/>
    <w:rsid w:val="4169774F"/>
    <w:rsid w:val="418F0D2A"/>
    <w:rsid w:val="41D01505"/>
    <w:rsid w:val="42115E85"/>
    <w:rsid w:val="423C3E1D"/>
    <w:rsid w:val="423C4AE8"/>
    <w:rsid w:val="42474939"/>
    <w:rsid w:val="424C3C57"/>
    <w:rsid w:val="425976CD"/>
    <w:rsid w:val="42613FF3"/>
    <w:rsid w:val="42660D96"/>
    <w:rsid w:val="428667D2"/>
    <w:rsid w:val="42A87384"/>
    <w:rsid w:val="42AE0712"/>
    <w:rsid w:val="42CD1CE0"/>
    <w:rsid w:val="42E1381E"/>
    <w:rsid w:val="42ED6459"/>
    <w:rsid w:val="42FE58DD"/>
    <w:rsid w:val="43174B3D"/>
    <w:rsid w:val="434B790E"/>
    <w:rsid w:val="4350573E"/>
    <w:rsid w:val="4360274F"/>
    <w:rsid w:val="436112E1"/>
    <w:rsid w:val="43742419"/>
    <w:rsid w:val="43977AB6"/>
    <w:rsid w:val="43A3342B"/>
    <w:rsid w:val="43BC6EAC"/>
    <w:rsid w:val="43C77C27"/>
    <w:rsid w:val="43DE09EE"/>
    <w:rsid w:val="43E81ECB"/>
    <w:rsid w:val="44002FAD"/>
    <w:rsid w:val="440C723F"/>
    <w:rsid w:val="440F02C7"/>
    <w:rsid w:val="441B0312"/>
    <w:rsid w:val="44450371"/>
    <w:rsid w:val="44492B24"/>
    <w:rsid w:val="449101DD"/>
    <w:rsid w:val="44A60DBA"/>
    <w:rsid w:val="44A71C84"/>
    <w:rsid w:val="44D04970"/>
    <w:rsid w:val="44D43AEA"/>
    <w:rsid w:val="44D63558"/>
    <w:rsid w:val="44DE1391"/>
    <w:rsid w:val="451313F6"/>
    <w:rsid w:val="451B225C"/>
    <w:rsid w:val="452410C9"/>
    <w:rsid w:val="45317DFB"/>
    <w:rsid w:val="45432335"/>
    <w:rsid w:val="455033E5"/>
    <w:rsid w:val="45570BED"/>
    <w:rsid w:val="456D3CE4"/>
    <w:rsid w:val="4579042C"/>
    <w:rsid w:val="457F0571"/>
    <w:rsid w:val="45851176"/>
    <w:rsid w:val="458B0897"/>
    <w:rsid w:val="45A2168C"/>
    <w:rsid w:val="45B91910"/>
    <w:rsid w:val="45B95BD9"/>
    <w:rsid w:val="45C63B94"/>
    <w:rsid w:val="45D73ADC"/>
    <w:rsid w:val="45F317DD"/>
    <w:rsid w:val="45FB1BA3"/>
    <w:rsid w:val="460E7DA5"/>
    <w:rsid w:val="46422483"/>
    <w:rsid w:val="4659254A"/>
    <w:rsid w:val="465B0637"/>
    <w:rsid w:val="465E3F0D"/>
    <w:rsid w:val="46612AA5"/>
    <w:rsid w:val="46696E0E"/>
    <w:rsid w:val="466A16E6"/>
    <w:rsid w:val="46893F2B"/>
    <w:rsid w:val="46B61E4A"/>
    <w:rsid w:val="46C4686E"/>
    <w:rsid w:val="46D479B1"/>
    <w:rsid w:val="471B6740"/>
    <w:rsid w:val="472E3326"/>
    <w:rsid w:val="47470357"/>
    <w:rsid w:val="47613FA5"/>
    <w:rsid w:val="476A5EE1"/>
    <w:rsid w:val="47767D9B"/>
    <w:rsid w:val="477B778F"/>
    <w:rsid w:val="478203EC"/>
    <w:rsid w:val="478F28C0"/>
    <w:rsid w:val="47A82EF4"/>
    <w:rsid w:val="47B025FA"/>
    <w:rsid w:val="47B24801"/>
    <w:rsid w:val="47D97FDF"/>
    <w:rsid w:val="47EC2D99"/>
    <w:rsid w:val="4809698F"/>
    <w:rsid w:val="4811697D"/>
    <w:rsid w:val="481800D6"/>
    <w:rsid w:val="48487D19"/>
    <w:rsid w:val="485633DE"/>
    <w:rsid w:val="48594C7C"/>
    <w:rsid w:val="486620A5"/>
    <w:rsid w:val="48730524"/>
    <w:rsid w:val="487A3E25"/>
    <w:rsid w:val="488B5503"/>
    <w:rsid w:val="48937E21"/>
    <w:rsid w:val="489A0361"/>
    <w:rsid w:val="48B94FF3"/>
    <w:rsid w:val="48C44041"/>
    <w:rsid w:val="48DF402C"/>
    <w:rsid w:val="48E37AAB"/>
    <w:rsid w:val="48FD4B4C"/>
    <w:rsid w:val="48FF5824"/>
    <w:rsid w:val="490A68E0"/>
    <w:rsid w:val="491055FE"/>
    <w:rsid w:val="4928486F"/>
    <w:rsid w:val="492E623D"/>
    <w:rsid w:val="494A1428"/>
    <w:rsid w:val="495F5B3E"/>
    <w:rsid w:val="496F77D7"/>
    <w:rsid w:val="497654FD"/>
    <w:rsid w:val="49B64211"/>
    <w:rsid w:val="49D02BCD"/>
    <w:rsid w:val="49F32278"/>
    <w:rsid w:val="49F6167F"/>
    <w:rsid w:val="4A064FA0"/>
    <w:rsid w:val="4A0B1020"/>
    <w:rsid w:val="4A16615C"/>
    <w:rsid w:val="4A2E2284"/>
    <w:rsid w:val="4A397DC3"/>
    <w:rsid w:val="4A413743"/>
    <w:rsid w:val="4A4424D7"/>
    <w:rsid w:val="4AB82D0F"/>
    <w:rsid w:val="4AD14786"/>
    <w:rsid w:val="4AEB7664"/>
    <w:rsid w:val="4AFD7C19"/>
    <w:rsid w:val="4B0567D1"/>
    <w:rsid w:val="4B236AAE"/>
    <w:rsid w:val="4B31071D"/>
    <w:rsid w:val="4B35470D"/>
    <w:rsid w:val="4B46598C"/>
    <w:rsid w:val="4B707271"/>
    <w:rsid w:val="4B9739F7"/>
    <w:rsid w:val="4B99725C"/>
    <w:rsid w:val="4BA84136"/>
    <w:rsid w:val="4BC13F84"/>
    <w:rsid w:val="4BE07B8E"/>
    <w:rsid w:val="4BE11CA7"/>
    <w:rsid w:val="4BEE2503"/>
    <w:rsid w:val="4C0E7157"/>
    <w:rsid w:val="4C245A30"/>
    <w:rsid w:val="4C5B5467"/>
    <w:rsid w:val="4C5E6D05"/>
    <w:rsid w:val="4CA056CC"/>
    <w:rsid w:val="4CB6685F"/>
    <w:rsid w:val="4CB77FE4"/>
    <w:rsid w:val="4CC367FE"/>
    <w:rsid w:val="4CCC1EC1"/>
    <w:rsid w:val="4D077F3C"/>
    <w:rsid w:val="4D123355"/>
    <w:rsid w:val="4D2A3B31"/>
    <w:rsid w:val="4D312C52"/>
    <w:rsid w:val="4D323656"/>
    <w:rsid w:val="4D4C4DB0"/>
    <w:rsid w:val="4D5120F4"/>
    <w:rsid w:val="4D664345"/>
    <w:rsid w:val="4D78636E"/>
    <w:rsid w:val="4D845C8F"/>
    <w:rsid w:val="4D905305"/>
    <w:rsid w:val="4D964A72"/>
    <w:rsid w:val="4D9C1254"/>
    <w:rsid w:val="4DD01D73"/>
    <w:rsid w:val="4DED5BE4"/>
    <w:rsid w:val="4DFC37FF"/>
    <w:rsid w:val="4E243226"/>
    <w:rsid w:val="4E320449"/>
    <w:rsid w:val="4E793892"/>
    <w:rsid w:val="4E800872"/>
    <w:rsid w:val="4E9E3424"/>
    <w:rsid w:val="4EC569ED"/>
    <w:rsid w:val="4ED50EA1"/>
    <w:rsid w:val="4EEB73D6"/>
    <w:rsid w:val="4EEC050C"/>
    <w:rsid w:val="4F104EC3"/>
    <w:rsid w:val="4F194EEB"/>
    <w:rsid w:val="4F1B2C8C"/>
    <w:rsid w:val="4F22250E"/>
    <w:rsid w:val="4F314D2C"/>
    <w:rsid w:val="4F47354A"/>
    <w:rsid w:val="4F477EDB"/>
    <w:rsid w:val="4F4A2293"/>
    <w:rsid w:val="4F4F011D"/>
    <w:rsid w:val="4F4F5EF1"/>
    <w:rsid w:val="4F5F1F66"/>
    <w:rsid w:val="4F8F5E0D"/>
    <w:rsid w:val="4F911C54"/>
    <w:rsid w:val="4F913D2C"/>
    <w:rsid w:val="4F960564"/>
    <w:rsid w:val="4F9C7D11"/>
    <w:rsid w:val="4FE625E0"/>
    <w:rsid w:val="500876B4"/>
    <w:rsid w:val="5021480F"/>
    <w:rsid w:val="50962ECB"/>
    <w:rsid w:val="50A42E38"/>
    <w:rsid w:val="50A4577F"/>
    <w:rsid w:val="50B73D1F"/>
    <w:rsid w:val="50BD5BC9"/>
    <w:rsid w:val="50C11EEE"/>
    <w:rsid w:val="50C555A5"/>
    <w:rsid w:val="50E97CFC"/>
    <w:rsid w:val="50FA4028"/>
    <w:rsid w:val="510D65B7"/>
    <w:rsid w:val="511157AB"/>
    <w:rsid w:val="511E5D46"/>
    <w:rsid w:val="5142540C"/>
    <w:rsid w:val="5147093D"/>
    <w:rsid w:val="516721B8"/>
    <w:rsid w:val="518832C8"/>
    <w:rsid w:val="519B00B4"/>
    <w:rsid w:val="51A0432A"/>
    <w:rsid w:val="51A86090"/>
    <w:rsid w:val="51B7396D"/>
    <w:rsid w:val="51C61DDB"/>
    <w:rsid w:val="51E318DE"/>
    <w:rsid w:val="51E33663"/>
    <w:rsid w:val="51ED2837"/>
    <w:rsid w:val="52054A88"/>
    <w:rsid w:val="520F342F"/>
    <w:rsid w:val="522E4CC3"/>
    <w:rsid w:val="5244713B"/>
    <w:rsid w:val="525D44AE"/>
    <w:rsid w:val="52615633"/>
    <w:rsid w:val="526F3A1A"/>
    <w:rsid w:val="5291789D"/>
    <w:rsid w:val="52926BD1"/>
    <w:rsid w:val="52977FD4"/>
    <w:rsid w:val="529D6DEB"/>
    <w:rsid w:val="52A25790"/>
    <w:rsid w:val="52A96B6F"/>
    <w:rsid w:val="52B45975"/>
    <w:rsid w:val="52D27B05"/>
    <w:rsid w:val="52D94AA4"/>
    <w:rsid w:val="52E837CD"/>
    <w:rsid w:val="52EA3A62"/>
    <w:rsid w:val="52F50BB8"/>
    <w:rsid w:val="52F92020"/>
    <w:rsid w:val="53097272"/>
    <w:rsid w:val="53147BA8"/>
    <w:rsid w:val="5352506A"/>
    <w:rsid w:val="53544462"/>
    <w:rsid w:val="537D2167"/>
    <w:rsid w:val="5397158E"/>
    <w:rsid w:val="53B06098"/>
    <w:rsid w:val="53B96BC5"/>
    <w:rsid w:val="53BF2D78"/>
    <w:rsid w:val="54013861"/>
    <w:rsid w:val="541F1290"/>
    <w:rsid w:val="543D5D65"/>
    <w:rsid w:val="543F5552"/>
    <w:rsid w:val="54487265"/>
    <w:rsid w:val="54496BDA"/>
    <w:rsid w:val="544D6070"/>
    <w:rsid w:val="544D7606"/>
    <w:rsid w:val="54521326"/>
    <w:rsid w:val="54535141"/>
    <w:rsid w:val="54605E1E"/>
    <w:rsid w:val="54A454D1"/>
    <w:rsid w:val="54B3506A"/>
    <w:rsid w:val="54CA0D16"/>
    <w:rsid w:val="54D933CD"/>
    <w:rsid w:val="54D9517B"/>
    <w:rsid w:val="54DD4057"/>
    <w:rsid w:val="54E7490F"/>
    <w:rsid w:val="550764A4"/>
    <w:rsid w:val="550A5C7C"/>
    <w:rsid w:val="550B2BF6"/>
    <w:rsid w:val="55214EB5"/>
    <w:rsid w:val="552A00CC"/>
    <w:rsid w:val="552E728B"/>
    <w:rsid w:val="55364EFD"/>
    <w:rsid w:val="553A145A"/>
    <w:rsid w:val="555D4828"/>
    <w:rsid w:val="557A04A2"/>
    <w:rsid w:val="557A4C8B"/>
    <w:rsid w:val="558931E1"/>
    <w:rsid w:val="55923347"/>
    <w:rsid w:val="55925180"/>
    <w:rsid w:val="55983B1B"/>
    <w:rsid w:val="55A8376B"/>
    <w:rsid w:val="55AA0088"/>
    <w:rsid w:val="55B3366B"/>
    <w:rsid w:val="55DC29B6"/>
    <w:rsid w:val="55DD4241"/>
    <w:rsid w:val="56047AFD"/>
    <w:rsid w:val="56380CAC"/>
    <w:rsid w:val="563828CF"/>
    <w:rsid w:val="564A370C"/>
    <w:rsid w:val="566B6D1E"/>
    <w:rsid w:val="56791AEA"/>
    <w:rsid w:val="56A33C92"/>
    <w:rsid w:val="57032A2C"/>
    <w:rsid w:val="570F5219"/>
    <w:rsid w:val="570F6449"/>
    <w:rsid w:val="57120CCA"/>
    <w:rsid w:val="575D12B5"/>
    <w:rsid w:val="57601B83"/>
    <w:rsid w:val="57607DD5"/>
    <w:rsid w:val="57610A87"/>
    <w:rsid w:val="577B1140"/>
    <w:rsid w:val="577B7F21"/>
    <w:rsid w:val="577F181B"/>
    <w:rsid w:val="57921984"/>
    <w:rsid w:val="579737F0"/>
    <w:rsid w:val="57AB7B30"/>
    <w:rsid w:val="57AF5251"/>
    <w:rsid w:val="57B26373"/>
    <w:rsid w:val="57B63F04"/>
    <w:rsid w:val="57CD20C2"/>
    <w:rsid w:val="57D675AB"/>
    <w:rsid w:val="57D95FDD"/>
    <w:rsid w:val="581E3DE2"/>
    <w:rsid w:val="583A1FD3"/>
    <w:rsid w:val="58522AF3"/>
    <w:rsid w:val="58917D2F"/>
    <w:rsid w:val="5894085C"/>
    <w:rsid w:val="58A03665"/>
    <w:rsid w:val="58AB32D2"/>
    <w:rsid w:val="58AE4F0C"/>
    <w:rsid w:val="58AF6755"/>
    <w:rsid w:val="58B26D6B"/>
    <w:rsid w:val="58B85899"/>
    <w:rsid w:val="58E363A9"/>
    <w:rsid w:val="593E70C4"/>
    <w:rsid w:val="594462CC"/>
    <w:rsid w:val="594F216F"/>
    <w:rsid w:val="595E1678"/>
    <w:rsid w:val="596D5BD4"/>
    <w:rsid w:val="59747B68"/>
    <w:rsid w:val="59757430"/>
    <w:rsid w:val="597E3DD8"/>
    <w:rsid w:val="5987544B"/>
    <w:rsid w:val="59A62D03"/>
    <w:rsid w:val="59C20073"/>
    <w:rsid w:val="59C465C7"/>
    <w:rsid w:val="59D2321E"/>
    <w:rsid w:val="59F80043"/>
    <w:rsid w:val="5A09252F"/>
    <w:rsid w:val="5A0B2778"/>
    <w:rsid w:val="5A2A7C7B"/>
    <w:rsid w:val="5A3E2560"/>
    <w:rsid w:val="5A475E49"/>
    <w:rsid w:val="5A5D3B6E"/>
    <w:rsid w:val="5A637A76"/>
    <w:rsid w:val="5A6D33BA"/>
    <w:rsid w:val="5A792B1F"/>
    <w:rsid w:val="5A874767"/>
    <w:rsid w:val="5A997207"/>
    <w:rsid w:val="5AAD6F28"/>
    <w:rsid w:val="5AD63A24"/>
    <w:rsid w:val="5AE20B01"/>
    <w:rsid w:val="5B0373F5"/>
    <w:rsid w:val="5B180045"/>
    <w:rsid w:val="5B2E1A1D"/>
    <w:rsid w:val="5B2F1F99"/>
    <w:rsid w:val="5B3506A5"/>
    <w:rsid w:val="5B604A66"/>
    <w:rsid w:val="5B64024B"/>
    <w:rsid w:val="5B772874"/>
    <w:rsid w:val="5B843A1C"/>
    <w:rsid w:val="5B8702A3"/>
    <w:rsid w:val="5B873E3F"/>
    <w:rsid w:val="5B8878FB"/>
    <w:rsid w:val="5BAA5741"/>
    <w:rsid w:val="5BAC1F70"/>
    <w:rsid w:val="5BAF30D9"/>
    <w:rsid w:val="5BD16CC3"/>
    <w:rsid w:val="5C02690E"/>
    <w:rsid w:val="5C176471"/>
    <w:rsid w:val="5C196DA7"/>
    <w:rsid w:val="5C2A048C"/>
    <w:rsid w:val="5C484F00"/>
    <w:rsid w:val="5C4B3E69"/>
    <w:rsid w:val="5C4D355C"/>
    <w:rsid w:val="5C653B03"/>
    <w:rsid w:val="5C80234E"/>
    <w:rsid w:val="5C8A680C"/>
    <w:rsid w:val="5CBE5B50"/>
    <w:rsid w:val="5CEC2CBE"/>
    <w:rsid w:val="5CF63E20"/>
    <w:rsid w:val="5CF74D38"/>
    <w:rsid w:val="5D0168DE"/>
    <w:rsid w:val="5D0C4701"/>
    <w:rsid w:val="5D0E2082"/>
    <w:rsid w:val="5D0F0395"/>
    <w:rsid w:val="5D221076"/>
    <w:rsid w:val="5D2B025D"/>
    <w:rsid w:val="5D3677D2"/>
    <w:rsid w:val="5D397964"/>
    <w:rsid w:val="5D3F048D"/>
    <w:rsid w:val="5D4A130C"/>
    <w:rsid w:val="5D5A2E78"/>
    <w:rsid w:val="5D5A391C"/>
    <w:rsid w:val="5D5F10C0"/>
    <w:rsid w:val="5D81369C"/>
    <w:rsid w:val="5D891B7B"/>
    <w:rsid w:val="5D8B4339"/>
    <w:rsid w:val="5DAD38EE"/>
    <w:rsid w:val="5DBB5D65"/>
    <w:rsid w:val="5DC519A9"/>
    <w:rsid w:val="5E006862"/>
    <w:rsid w:val="5E0207B9"/>
    <w:rsid w:val="5E1834A1"/>
    <w:rsid w:val="5E2542AA"/>
    <w:rsid w:val="5E261785"/>
    <w:rsid w:val="5E4A7017"/>
    <w:rsid w:val="5E552BBA"/>
    <w:rsid w:val="5E594D33"/>
    <w:rsid w:val="5E5D2D33"/>
    <w:rsid w:val="5E611C10"/>
    <w:rsid w:val="5E8E2D98"/>
    <w:rsid w:val="5E914D18"/>
    <w:rsid w:val="5E9A1974"/>
    <w:rsid w:val="5E9C5E02"/>
    <w:rsid w:val="5E9F598D"/>
    <w:rsid w:val="5EAB402C"/>
    <w:rsid w:val="5EB1701D"/>
    <w:rsid w:val="5EC155FD"/>
    <w:rsid w:val="5ED13DF8"/>
    <w:rsid w:val="5EE412EC"/>
    <w:rsid w:val="5EE9675A"/>
    <w:rsid w:val="5EFA74F8"/>
    <w:rsid w:val="5EFC7377"/>
    <w:rsid w:val="5F06174D"/>
    <w:rsid w:val="5F3618BE"/>
    <w:rsid w:val="5F3A3602"/>
    <w:rsid w:val="5F5024DD"/>
    <w:rsid w:val="5F6277C6"/>
    <w:rsid w:val="5F6836AD"/>
    <w:rsid w:val="5F6D0B1D"/>
    <w:rsid w:val="5F8D0B82"/>
    <w:rsid w:val="5F8E0C2A"/>
    <w:rsid w:val="5F92354B"/>
    <w:rsid w:val="5F983EEF"/>
    <w:rsid w:val="5F992448"/>
    <w:rsid w:val="5FB0247A"/>
    <w:rsid w:val="5FCC5339"/>
    <w:rsid w:val="5FE34A5B"/>
    <w:rsid w:val="5FFE1E36"/>
    <w:rsid w:val="600A22EF"/>
    <w:rsid w:val="60107EBF"/>
    <w:rsid w:val="60232584"/>
    <w:rsid w:val="602F6597"/>
    <w:rsid w:val="603977A7"/>
    <w:rsid w:val="60600330"/>
    <w:rsid w:val="60680F20"/>
    <w:rsid w:val="607330CE"/>
    <w:rsid w:val="60825176"/>
    <w:rsid w:val="60886EF8"/>
    <w:rsid w:val="608E0A17"/>
    <w:rsid w:val="60905515"/>
    <w:rsid w:val="609F2AC4"/>
    <w:rsid w:val="60A318C7"/>
    <w:rsid w:val="60AA05DE"/>
    <w:rsid w:val="60F375C4"/>
    <w:rsid w:val="60FA2EE8"/>
    <w:rsid w:val="61054A27"/>
    <w:rsid w:val="610A52BC"/>
    <w:rsid w:val="611D2366"/>
    <w:rsid w:val="6123067E"/>
    <w:rsid w:val="61255FEB"/>
    <w:rsid w:val="61421856"/>
    <w:rsid w:val="615227C4"/>
    <w:rsid w:val="61654E3F"/>
    <w:rsid w:val="61800B23"/>
    <w:rsid w:val="6182292A"/>
    <w:rsid w:val="61892DB6"/>
    <w:rsid w:val="619F7F92"/>
    <w:rsid w:val="61CB0541"/>
    <w:rsid w:val="61F94C26"/>
    <w:rsid w:val="62000E56"/>
    <w:rsid w:val="62101F0E"/>
    <w:rsid w:val="621805C2"/>
    <w:rsid w:val="621841D9"/>
    <w:rsid w:val="624F3E49"/>
    <w:rsid w:val="625D676F"/>
    <w:rsid w:val="62632286"/>
    <w:rsid w:val="62885958"/>
    <w:rsid w:val="62EA49F7"/>
    <w:rsid w:val="62F40B65"/>
    <w:rsid w:val="62FC2CFE"/>
    <w:rsid w:val="63024505"/>
    <w:rsid w:val="632B74E9"/>
    <w:rsid w:val="63456B20"/>
    <w:rsid w:val="635051A2"/>
    <w:rsid w:val="635B1DB5"/>
    <w:rsid w:val="63711FED"/>
    <w:rsid w:val="63880DDC"/>
    <w:rsid w:val="638D750D"/>
    <w:rsid w:val="63AC6CC0"/>
    <w:rsid w:val="63B23BB6"/>
    <w:rsid w:val="63CD16B7"/>
    <w:rsid w:val="63D467B7"/>
    <w:rsid w:val="63EC327C"/>
    <w:rsid w:val="63FA627C"/>
    <w:rsid w:val="64055776"/>
    <w:rsid w:val="64240056"/>
    <w:rsid w:val="64265F03"/>
    <w:rsid w:val="643E143A"/>
    <w:rsid w:val="648B6EEF"/>
    <w:rsid w:val="64C158BF"/>
    <w:rsid w:val="64CE2EAA"/>
    <w:rsid w:val="64D560F3"/>
    <w:rsid w:val="6519779D"/>
    <w:rsid w:val="653B09A8"/>
    <w:rsid w:val="653C3090"/>
    <w:rsid w:val="655758CE"/>
    <w:rsid w:val="657A5056"/>
    <w:rsid w:val="65854376"/>
    <w:rsid w:val="658767BE"/>
    <w:rsid w:val="65892531"/>
    <w:rsid w:val="658C78A4"/>
    <w:rsid w:val="65974226"/>
    <w:rsid w:val="65FE7137"/>
    <w:rsid w:val="66195831"/>
    <w:rsid w:val="66245D71"/>
    <w:rsid w:val="662E75B1"/>
    <w:rsid w:val="66342C2E"/>
    <w:rsid w:val="663C5596"/>
    <w:rsid w:val="663E784C"/>
    <w:rsid w:val="66437525"/>
    <w:rsid w:val="664636BE"/>
    <w:rsid w:val="665D4523"/>
    <w:rsid w:val="666C784F"/>
    <w:rsid w:val="66787E45"/>
    <w:rsid w:val="667B0788"/>
    <w:rsid w:val="668B6A45"/>
    <w:rsid w:val="66925AD1"/>
    <w:rsid w:val="66BB545C"/>
    <w:rsid w:val="66C51A03"/>
    <w:rsid w:val="66E37B12"/>
    <w:rsid w:val="672F3F24"/>
    <w:rsid w:val="673E055F"/>
    <w:rsid w:val="67410BBF"/>
    <w:rsid w:val="67551CE3"/>
    <w:rsid w:val="67631739"/>
    <w:rsid w:val="6787315C"/>
    <w:rsid w:val="67A22552"/>
    <w:rsid w:val="67AC63A2"/>
    <w:rsid w:val="67B22DCC"/>
    <w:rsid w:val="67BE71AA"/>
    <w:rsid w:val="67D90273"/>
    <w:rsid w:val="67DB018B"/>
    <w:rsid w:val="67DE5875"/>
    <w:rsid w:val="67E55852"/>
    <w:rsid w:val="67EB1AB4"/>
    <w:rsid w:val="67FA1285"/>
    <w:rsid w:val="68005729"/>
    <w:rsid w:val="6802338F"/>
    <w:rsid w:val="68250B61"/>
    <w:rsid w:val="68366036"/>
    <w:rsid w:val="6837248C"/>
    <w:rsid w:val="68551F4F"/>
    <w:rsid w:val="68683376"/>
    <w:rsid w:val="68735A71"/>
    <w:rsid w:val="687C10C9"/>
    <w:rsid w:val="687D7FB3"/>
    <w:rsid w:val="68840C16"/>
    <w:rsid w:val="68876EFB"/>
    <w:rsid w:val="68884654"/>
    <w:rsid w:val="689C4F6F"/>
    <w:rsid w:val="689F444F"/>
    <w:rsid w:val="68A815DC"/>
    <w:rsid w:val="68B96DBB"/>
    <w:rsid w:val="68CA2805"/>
    <w:rsid w:val="68E937A3"/>
    <w:rsid w:val="69096284"/>
    <w:rsid w:val="690F0DE1"/>
    <w:rsid w:val="69186ADF"/>
    <w:rsid w:val="69280027"/>
    <w:rsid w:val="693E15D3"/>
    <w:rsid w:val="6948576C"/>
    <w:rsid w:val="695035F8"/>
    <w:rsid w:val="69623539"/>
    <w:rsid w:val="69627681"/>
    <w:rsid w:val="69674FF3"/>
    <w:rsid w:val="6977531D"/>
    <w:rsid w:val="69CC2BFF"/>
    <w:rsid w:val="69E403F2"/>
    <w:rsid w:val="69EA2A90"/>
    <w:rsid w:val="69F32FB8"/>
    <w:rsid w:val="69FD55B8"/>
    <w:rsid w:val="6A0556C1"/>
    <w:rsid w:val="6A0B1C62"/>
    <w:rsid w:val="6A116D0D"/>
    <w:rsid w:val="6A127B12"/>
    <w:rsid w:val="6A1D5AB2"/>
    <w:rsid w:val="6A2406C8"/>
    <w:rsid w:val="6A7960FD"/>
    <w:rsid w:val="6ADE0BD1"/>
    <w:rsid w:val="6AE35122"/>
    <w:rsid w:val="6AE54422"/>
    <w:rsid w:val="6AE96859"/>
    <w:rsid w:val="6B040397"/>
    <w:rsid w:val="6B147746"/>
    <w:rsid w:val="6B24787C"/>
    <w:rsid w:val="6B322070"/>
    <w:rsid w:val="6B4A697B"/>
    <w:rsid w:val="6B573233"/>
    <w:rsid w:val="6B5B6274"/>
    <w:rsid w:val="6B5F343C"/>
    <w:rsid w:val="6B63052E"/>
    <w:rsid w:val="6B935D53"/>
    <w:rsid w:val="6BBC44C5"/>
    <w:rsid w:val="6BE203D1"/>
    <w:rsid w:val="6BF66135"/>
    <w:rsid w:val="6C111246"/>
    <w:rsid w:val="6C196F71"/>
    <w:rsid w:val="6C226FCB"/>
    <w:rsid w:val="6C262F44"/>
    <w:rsid w:val="6C31226F"/>
    <w:rsid w:val="6C53435C"/>
    <w:rsid w:val="6C552F0B"/>
    <w:rsid w:val="6C615D2A"/>
    <w:rsid w:val="6C693E42"/>
    <w:rsid w:val="6C6D442B"/>
    <w:rsid w:val="6C8C67B7"/>
    <w:rsid w:val="6C9D744C"/>
    <w:rsid w:val="6CAF652F"/>
    <w:rsid w:val="6CF964A8"/>
    <w:rsid w:val="6D167928"/>
    <w:rsid w:val="6D26299B"/>
    <w:rsid w:val="6D357FAA"/>
    <w:rsid w:val="6D4772EC"/>
    <w:rsid w:val="6D5E670D"/>
    <w:rsid w:val="6D6D06FE"/>
    <w:rsid w:val="6D9078AF"/>
    <w:rsid w:val="6DA74B09"/>
    <w:rsid w:val="6DAA3FEF"/>
    <w:rsid w:val="6DC0172B"/>
    <w:rsid w:val="6DCB690C"/>
    <w:rsid w:val="6DD41A5B"/>
    <w:rsid w:val="6DD716D4"/>
    <w:rsid w:val="6DED1CA3"/>
    <w:rsid w:val="6DF43C2E"/>
    <w:rsid w:val="6DF51CA3"/>
    <w:rsid w:val="6E1119D2"/>
    <w:rsid w:val="6E1F6417"/>
    <w:rsid w:val="6E2434B3"/>
    <w:rsid w:val="6E355542"/>
    <w:rsid w:val="6E57007A"/>
    <w:rsid w:val="6E6158FF"/>
    <w:rsid w:val="6E8335BD"/>
    <w:rsid w:val="6E8E12EF"/>
    <w:rsid w:val="6E972936"/>
    <w:rsid w:val="6EB455F3"/>
    <w:rsid w:val="6EB84DF6"/>
    <w:rsid w:val="6ED446C5"/>
    <w:rsid w:val="6ED80BC6"/>
    <w:rsid w:val="6F101C89"/>
    <w:rsid w:val="6F1277AF"/>
    <w:rsid w:val="6F2A7D94"/>
    <w:rsid w:val="6F8331F1"/>
    <w:rsid w:val="6F8F6016"/>
    <w:rsid w:val="6FAE1A09"/>
    <w:rsid w:val="6FB7415A"/>
    <w:rsid w:val="6FD75BF8"/>
    <w:rsid w:val="6FFB46E7"/>
    <w:rsid w:val="70167FD2"/>
    <w:rsid w:val="70180042"/>
    <w:rsid w:val="701C7042"/>
    <w:rsid w:val="702619F8"/>
    <w:rsid w:val="70390CA2"/>
    <w:rsid w:val="704544D9"/>
    <w:rsid w:val="705735E5"/>
    <w:rsid w:val="70577AE7"/>
    <w:rsid w:val="7071251B"/>
    <w:rsid w:val="707723D0"/>
    <w:rsid w:val="70784A63"/>
    <w:rsid w:val="70795A9C"/>
    <w:rsid w:val="70983CE4"/>
    <w:rsid w:val="70991448"/>
    <w:rsid w:val="70B2149F"/>
    <w:rsid w:val="70C86437"/>
    <w:rsid w:val="70EF0573"/>
    <w:rsid w:val="70F5661B"/>
    <w:rsid w:val="710A7D69"/>
    <w:rsid w:val="71324139"/>
    <w:rsid w:val="71360107"/>
    <w:rsid w:val="713B688E"/>
    <w:rsid w:val="718B3849"/>
    <w:rsid w:val="71A26784"/>
    <w:rsid w:val="71C20057"/>
    <w:rsid w:val="71D43752"/>
    <w:rsid w:val="71D70376"/>
    <w:rsid w:val="71DF1A62"/>
    <w:rsid w:val="71F1796A"/>
    <w:rsid w:val="720D24B0"/>
    <w:rsid w:val="72154626"/>
    <w:rsid w:val="721934AA"/>
    <w:rsid w:val="72262B5D"/>
    <w:rsid w:val="72283FF7"/>
    <w:rsid w:val="722E7212"/>
    <w:rsid w:val="723A0474"/>
    <w:rsid w:val="723A2984"/>
    <w:rsid w:val="72563E57"/>
    <w:rsid w:val="725923E4"/>
    <w:rsid w:val="72864BF7"/>
    <w:rsid w:val="729023FC"/>
    <w:rsid w:val="72A46970"/>
    <w:rsid w:val="72A746B3"/>
    <w:rsid w:val="72A86B25"/>
    <w:rsid w:val="72B80A14"/>
    <w:rsid w:val="72BE4B00"/>
    <w:rsid w:val="72F42D49"/>
    <w:rsid w:val="72FC65DA"/>
    <w:rsid w:val="73283132"/>
    <w:rsid w:val="732B25B2"/>
    <w:rsid w:val="73350B87"/>
    <w:rsid w:val="73426189"/>
    <w:rsid w:val="738B77B1"/>
    <w:rsid w:val="73C0646E"/>
    <w:rsid w:val="73C13B7C"/>
    <w:rsid w:val="73CF6713"/>
    <w:rsid w:val="73F513C4"/>
    <w:rsid w:val="73FE3642"/>
    <w:rsid w:val="742222F5"/>
    <w:rsid w:val="742C1B1A"/>
    <w:rsid w:val="744247A3"/>
    <w:rsid w:val="74476126"/>
    <w:rsid w:val="745B018F"/>
    <w:rsid w:val="74706664"/>
    <w:rsid w:val="747F3682"/>
    <w:rsid w:val="749C4185"/>
    <w:rsid w:val="749D31B0"/>
    <w:rsid w:val="74A23383"/>
    <w:rsid w:val="74D6127F"/>
    <w:rsid w:val="74DD7EB0"/>
    <w:rsid w:val="75067759"/>
    <w:rsid w:val="75284986"/>
    <w:rsid w:val="752E6DCD"/>
    <w:rsid w:val="753722BF"/>
    <w:rsid w:val="7551380D"/>
    <w:rsid w:val="755F7D61"/>
    <w:rsid w:val="75600BE5"/>
    <w:rsid w:val="7564475C"/>
    <w:rsid w:val="756B19C7"/>
    <w:rsid w:val="7583797F"/>
    <w:rsid w:val="75955ED7"/>
    <w:rsid w:val="75A44ED9"/>
    <w:rsid w:val="75A666B5"/>
    <w:rsid w:val="75BA7FB2"/>
    <w:rsid w:val="75CD2EC9"/>
    <w:rsid w:val="75D042A3"/>
    <w:rsid w:val="75D20F1D"/>
    <w:rsid w:val="75D23715"/>
    <w:rsid w:val="75DA2C18"/>
    <w:rsid w:val="75E4177A"/>
    <w:rsid w:val="75F54412"/>
    <w:rsid w:val="76124533"/>
    <w:rsid w:val="76153169"/>
    <w:rsid w:val="761D08E0"/>
    <w:rsid w:val="765D347C"/>
    <w:rsid w:val="767B7FF2"/>
    <w:rsid w:val="76826699"/>
    <w:rsid w:val="768B23FF"/>
    <w:rsid w:val="76B97AD0"/>
    <w:rsid w:val="76BB1DB7"/>
    <w:rsid w:val="76C87133"/>
    <w:rsid w:val="76CD08D5"/>
    <w:rsid w:val="76DB4B92"/>
    <w:rsid w:val="77000835"/>
    <w:rsid w:val="77052AA4"/>
    <w:rsid w:val="77136511"/>
    <w:rsid w:val="77340A39"/>
    <w:rsid w:val="77351FD0"/>
    <w:rsid w:val="77472422"/>
    <w:rsid w:val="777F31F2"/>
    <w:rsid w:val="77C41863"/>
    <w:rsid w:val="77C84EBF"/>
    <w:rsid w:val="77D1700D"/>
    <w:rsid w:val="77D93E31"/>
    <w:rsid w:val="77EC04CC"/>
    <w:rsid w:val="77FE69A9"/>
    <w:rsid w:val="781D72B5"/>
    <w:rsid w:val="7820118F"/>
    <w:rsid w:val="78493682"/>
    <w:rsid w:val="78502E60"/>
    <w:rsid w:val="78775729"/>
    <w:rsid w:val="78857193"/>
    <w:rsid w:val="789B0816"/>
    <w:rsid w:val="78A42DB0"/>
    <w:rsid w:val="78A656AB"/>
    <w:rsid w:val="78B2245C"/>
    <w:rsid w:val="78B41E68"/>
    <w:rsid w:val="78E172CC"/>
    <w:rsid w:val="78E41817"/>
    <w:rsid w:val="78EA1D1F"/>
    <w:rsid w:val="78F543CA"/>
    <w:rsid w:val="7904172F"/>
    <w:rsid w:val="790F7E27"/>
    <w:rsid w:val="791D52BE"/>
    <w:rsid w:val="791F6A7B"/>
    <w:rsid w:val="792410C4"/>
    <w:rsid w:val="792774B2"/>
    <w:rsid w:val="792A231A"/>
    <w:rsid w:val="79316829"/>
    <w:rsid w:val="7967736D"/>
    <w:rsid w:val="797E66A9"/>
    <w:rsid w:val="798E69D0"/>
    <w:rsid w:val="79A97383"/>
    <w:rsid w:val="79B5594D"/>
    <w:rsid w:val="79E27E8B"/>
    <w:rsid w:val="79F850CE"/>
    <w:rsid w:val="79FD443C"/>
    <w:rsid w:val="7A1D1975"/>
    <w:rsid w:val="7A3E5150"/>
    <w:rsid w:val="7A4670D6"/>
    <w:rsid w:val="7A534B63"/>
    <w:rsid w:val="7A5E321F"/>
    <w:rsid w:val="7A615382"/>
    <w:rsid w:val="7A67303B"/>
    <w:rsid w:val="7A704BB9"/>
    <w:rsid w:val="7A796935"/>
    <w:rsid w:val="7A83002B"/>
    <w:rsid w:val="7A8603CC"/>
    <w:rsid w:val="7AAB1D04"/>
    <w:rsid w:val="7ABA4368"/>
    <w:rsid w:val="7AD05746"/>
    <w:rsid w:val="7AD302F4"/>
    <w:rsid w:val="7AF632D9"/>
    <w:rsid w:val="7B017DED"/>
    <w:rsid w:val="7B257FFD"/>
    <w:rsid w:val="7B30793B"/>
    <w:rsid w:val="7B343476"/>
    <w:rsid w:val="7B5A2978"/>
    <w:rsid w:val="7B5A7E4C"/>
    <w:rsid w:val="7B667AF9"/>
    <w:rsid w:val="7B686A75"/>
    <w:rsid w:val="7B7468F8"/>
    <w:rsid w:val="7BA75723"/>
    <w:rsid w:val="7BEE0103"/>
    <w:rsid w:val="7C0A0FE4"/>
    <w:rsid w:val="7C135B9C"/>
    <w:rsid w:val="7C254906"/>
    <w:rsid w:val="7C4020EC"/>
    <w:rsid w:val="7C590818"/>
    <w:rsid w:val="7C7C10F6"/>
    <w:rsid w:val="7C853BEA"/>
    <w:rsid w:val="7C881368"/>
    <w:rsid w:val="7C9D682D"/>
    <w:rsid w:val="7CB40BD0"/>
    <w:rsid w:val="7CE27788"/>
    <w:rsid w:val="7CED4159"/>
    <w:rsid w:val="7CF16106"/>
    <w:rsid w:val="7CF87D41"/>
    <w:rsid w:val="7D0C32F1"/>
    <w:rsid w:val="7D0F408D"/>
    <w:rsid w:val="7D0F74C5"/>
    <w:rsid w:val="7D1D7512"/>
    <w:rsid w:val="7D285093"/>
    <w:rsid w:val="7D491C6C"/>
    <w:rsid w:val="7D5429C0"/>
    <w:rsid w:val="7D6E6D43"/>
    <w:rsid w:val="7D807337"/>
    <w:rsid w:val="7D9A5540"/>
    <w:rsid w:val="7DA64097"/>
    <w:rsid w:val="7DB57A34"/>
    <w:rsid w:val="7DBE2E4A"/>
    <w:rsid w:val="7DE60973"/>
    <w:rsid w:val="7DEF0916"/>
    <w:rsid w:val="7E0C5754"/>
    <w:rsid w:val="7E1A5BD7"/>
    <w:rsid w:val="7E1E5218"/>
    <w:rsid w:val="7E491286"/>
    <w:rsid w:val="7E5A6A7D"/>
    <w:rsid w:val="7E6141F0"/>
    <w:rsid w:val="7E68119A"/>
    <w:rsid w:val="7E74535B"/>
    <w:rsid w:val="7E9006F1"/>
    <w:rsid w:val="7E9941A9"/>
    <w:rsid w:val="7E9A4E1F"/>
    <w:rsid w:val="7EA7723A"/>
    <w:rsid w:val="7EAE5241"/>
    <w:rsid w:val="7ECF04CA"/>
    <w:rsid w:val="7ED93E46"/>
    <w:rsid w:val="7EF43F82"/>
    <w:rsid w:val="7EF56FBB"/>
    <w:rsid w:val="7F0768EB"/>
    <w:rsid w:val="7F143BEC"/>
    <w:rsid w:val="7F1D2519"/>
    <w:rsid w:val="7F1F78A4"/>
    <w:rsid w:val="7F280929"/>
    <w:rsid w:val="7F594F87"/>
    <w:rsid w:val="7F6D0F0B"/>
    <w:rsid w:val="7F715AF2"/>
    <w:rsid w:val="7F886E69"/>
    <w:rsid w:val="7F97654A"/>
    <w:rsid w:val="7FAB466C"/>
    <w:rsid w:val="7FBD7D4A"/>
    <w:rsid w:val="7FD141DD"/>
    <w:rsid w:val="7FF627D5"/>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tabs>
        <w:tab w:val="left" w:pos="432"/>
      </w:tabs>
      <w:adjustRightInd/>
      <w:spacing w:line="360" w:lineRule="auto"/>
      <w:jc w:val="left"/>
      <w:outlineLvl w:val="1"/>
    </w:pPr>
    <w:rPr>
      <w:rFonts w:ascii="仿宋_GB2312" w:hAnsi="仿宋" w:eastAsia="仿宋_GB2312"/>
      <w:sz w:val="32"/>
      <w:szCs w:val="32"/>
      <w:lang w:val="zh-CN"/>
    </w:rPr>
  </w:style>
  <w:style w:type="paragraph" w:styleId="2">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next w:val="15"/>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Balloon Text"/>
    <w:basedOn w:val="1"/>
    <w:next w:val="16"/>
    <w:link w:val="188"/>
    <w:autoRedefine/>
    <w:qFormat/>
    <w:uiPriority w:val="0"/>
    <w:rPr>
      <w:sz w:val="18"/>
      <w:szCs w:val="18"/>
    </w:rPr>
  </w:style>
  <w:style w:type="paragraph" w:styleId="16">
    <w:name w:val="toc 8"/>
    <w:basedOn w:val="1"/>
    <w:next w:val="1"/>
    <w:autoRedefine/>
    <w:qFormat/>
    <w:uiPriority w:val="0"/>
    <w:pPr>
      <w:ind w:left="2940" w:leftChars="1400"/>
    </w:pPr>
  </w:style>
  <w:style w:type="paragraph" w:styleId="17">
    <w:name w:val="Normal Indent"/>
    <w:basedOn w:val="1"/>
    <w:next w:val="18"/>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8">
    <w:name w:val="Body Text Indent"/>
    <w:basedOn w:val="1"/>
    <w:next w:val="17"/>
    <w:link w:val="265"/>
    <w:autoRedefine/>
    <w:qFormat/>
    <w:uiPriority w:val="0"/>
    <w:pPr>
      <w:spacing w:line="480" w:lineRule="exact"/>
      <w:ind w:firstLine="480" w:firstLineChars="200"/>
    </w:pPr>
    <w:rPr>
      <w:rFonts w:ascii="宋体" w:hAnsi="宋体"/>
      <w:sz w:val="24"/>
    </w:rPr>
  </w:style>
  <w:style w:type="paragraph" w:styleId="19">
    <w:name w:val="caption"/>
    <w:basedOn w:val="1"/>
    <w:next w:val="1"/>
    <w:link w:val="229"/>
    <w:autoRedefine/>
    <w:qFormat/>
    <w:uiPriority w:val="0"/>
    <w:rPr>
      <w:b/>
      <w:sz w:val="28"/>
      <w:szCs w:val="20"/>
    </w:rPr>
  </w:style>
  <w:style w:type="paragraph" w:styleId="20">
    <w:name w:val="index 5"/>
    <w:basedOn w:val="1"/>
    <w:next w:val="1"/>
    <w:autoRedefine/>
    <w:qFormat/>
    <w:uiPriority w:val="0"/>
    <w:pPr>
      <w:adjustRightInd/>
      <w:ind w:left="800" w:leftChars="800" w:firstLine="200" w:firstLineChars="200"/>
    </w:pPr>
  </w:style>
  <w:style w:type="paragraph" w:styleId="21">
    <w:name w:val="Document Map"/>
    <w:basedOn w:val="1"/>
    <w:link w:val="202"/>
    <w:autoRedefine/>
    <w:qFormat/>
    <w:uiPriority w:val="0"/>
    <w:pPr>
      <w:shd w:val="clear" w:color="auto" w:fill="000080"/>
    </w:pPr>
  </w:style>
  <w:style w:type="paragraph" w:styleId="22">
    <w:name w:val="annotation text"/>
    <w:basedOn w:val="1"/>
    <w:link w:val="344"/>
    <w:autoRedefine/>
    <w:qFormat/>
    <w:uiPriority w:val="99"/>
    <w:pPr>
      <w:jc w:val="left"/>
    </w:pPr>
  </w:style>
  <w:style w:type="paragraph" w:styleId="23">
    <w:name w:val="Salutation"/>
    <w:basedOn w:val="1"/>
    <w:next w:val="1"/>
    <w:link w:val="298"/>
    <w:autoRedefine/>
    <w:qFormat/>
    <w:uiPriority w:val="0"/>
    <w:rPr>
      <w:rFonts w:ascii="仿宋_GB2312" w:eastAsia="仿宋_GB2312"/>
      <w:sz w:val="28"/>
      <w:szCs w:val="20"/>
    </w:rPr>
  </w:style>
  <w:style w:type="paragraph" w:styleId="24">
    <w:name w:val="Body Text 3"/>
    <w:basedOn w:val="1"/>
    <w:link w:val="330"/>
    <w:autoRedefine/>
    <w:qFormat/>
    <w:uiPriority w:val="0"/>
    <w:pPr>
      <w:jc w:val="center"/>
    </w:pPr>
    <w:rPr>
      <w:szCs w:val="20"/>
    </w:rPr>
  </w:style>
  <w:style w:type="paragraph" w:styleId="25">
    <w:name w:val="List Bullet 3"/>
    <w:basedOn w:val="1"/>
    <w:autoRedefine/>
    <w:unhideWhenUsed/>
    <w:qFormat/>
    <w:uiPriority w:val="0"/>
    <w:pPr>
      <w:snapToGrid w:val="0"/>
      <w:spacing w:line="360" w:lineRule="auto"/>
      <w:ind w:left="360" w:right="238" w:hanging="360"/>
      <w:contextualSpacing/>
    </w:pPr>
    <w:rPr>
      <w:sz w:val="24"/>
    </w:rPr>
  </w:style>
  <w:style w:type="paragraph" w:styleId="26">
    <w:name w:val="Body Text"/>
    <w:basedOn w:val="1"/>
    <w:next w:val="1"/>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5"/>
    <w:autoRedefine/>
    <w:qFormat/>
    <w:uiPriority w:val="99"/>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Date"/>
    <w:basedOn w:val="1"/>
    <w:next w:val="1"/>
    <w:link w:val="181"/>
    <w:autoRedefine/>
    <w:qFormat/>
    <w:uiPriority w:val="0"/>
    <w:pPr>
      <w:ind w:left="100" w:leftChars="2500"/>
    </w:pPr>
    <w:rPr>
      <w:rFonts w:ascii="宋体"/>
      <w:sz w:val="24"/>
      <w:szCs w:val="21"/>
      <w:lang w:val="zh-CN"/>
    </w:rPr>
  </w:style>
  <w:style w:type="paragraph" w:styleId="37">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0"/>
    <w:autoRedefine/>
    <w:qFormat/>
    <w:uiPriority w:val="0"/>
    <w:rPr>
      <w:lang w:val="zh-CN"/>
    </w:rPr>
  </w:style>
  <w:style w:type="paragraph" w:styleId="39">
    <w:name w:val="footer"/>
    <w:basedOn w:val="1"/>
    <w:link w:val="383"/>
    <w:autoRedefine/>
    <w:qFormat/>
    <w:uiPriority w:val="99"/>
    <w:pPr>
      <w:tabs>
        <w:tab w:val="center" w:pos="4153"/>
        <w:tab w:val="right" w:pos="8306"/>
      </w:tabs>
      <w:snapToGrid w:val="0"/>
      <w:jc w:val="left"/>
    </w:pPr>
    <w:rPr>
      <w:sz w:val="18"/>
      <w:szCs w:val="18"/>
    </w:rPr>
  </w:style>
  <w:style w:type="paragraph" w:styleId="40">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7"/>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5"/>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2"/>
    <w:autoRedefine/>
    <w:qFormat/>
    <w:uiPriority w:val="0"/>
    <w:pPr>
      <w:spacing w:after="120" w:line="480" w:lineRule="auto"/>
    </w:pPr>
  </w:style>
  <w:style w:type="paragraph" w:styleId="56">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2"/>
    <w:next w:val="22"/>
    <w:link w:val="96"/>
    <w:autoRedefine/>
    <w:qFormat/>
    <w:uiPriority w:val="0"/>
    <w:rPr>
      <w:b/>
      <w:bCs/>
    </w:rPr>
  </w:style>
  <w:style w:type="paragraph" w:styleId="60">
    <w:name w:val="Body Text First Indent"/>
    <w:basedOn w:val="26"/>
    <w:next w:val="50"/>
    <w:link w:val="321"/>
    <w:autoRedefine/>
    <w:qFormat/>
    <w:uiPriority w:val="0"/>
    <w:pPr>
      <w:ind w:firstLine="420"/>
    </w:pPr>
    <w:rPr>
      <w:rFonts w:hAnsi="Calibri" w:cs="Times New Roman"/>
      <w:snapToGrid/>
      <w:szCs w:val="20"/>
    </w:rPr>
  </w:style>
  <w:style w:type="paragraph" w:styleId="61">
    <w:name w:val="Body Text First Indent 2"/>
    <w:basedOn w:val="18"/>
    <w:next w:val="62"/>
    <w:link w:val="121"/>
    <w:autoRedefine/>
    <w:qFormat/>
    <w:uiPriority w:val="0"/>
    <w:pPr>
      <w:adjustRightInd/>
      <w:spacing w:after="120" w:line="240" w:lineRule="auto"/>
      <w:ind w:left="420" w:leftChars="200" w:firstLine="210"/>
    </w:pPr>
    <w:rPr>
      <w:sz w:val="21"/>
    </w:rPr>
  </w:style>
  <w:style w:type="paragraph" w:customStyle="1" w:styleId="62">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正文1"/>
    <w:basedOn w:val="33"/>
    <w:next w:val="1"/>
    <w:autoRedefine/>
    <w:qFormat/>
    <w:uiPriority w:val="0"/>
    <w:pPr>
      <w:ind w:left="0" w:leftChars="0" w:firstLine="480" w:firstLineChars="200"/>
    </w:pPr>
    <w:rPr>
      <w:rFonts w:ascii="仿宋_GB2312" w:hAnsi="Courier New" w:eastAsia="仿宋_GB2312"/>
      <w:kern w:val="28"/>
      <w:sz w:val="24"/>
    </w:rPr>
  </w:style>
  <w:style w:type="paragraph" w:customStyle="1" w:styleId="81">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字符"/>
    <w:link w:val="59"/>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文本首行缩进 2 字符"/>
    <w:link w:val="61"/>
    <w:autoRedefine/>
    <w:qFormat/>
    <w:uiPriority w:val="0"/>
    <w:rPr>
      <w:rFonts w:ascii="宋体" w:hAnsi="宋体"/>
      <w:kern w:val="2"/>
      <w:sz w:val="21"/>
      <w:szCs w:val="24"/>
    </w:rPr>
  </w:style>
  <w:style w:type="character" w:customStyle="1" w:styleId="122">
    <w:name w:val="font11"/>
    <w:basedOn w:val="70"/>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70"/>
    <w:autoRedefine/>
    <w:qFormat/>
    <w:uiPriority w:val="0"/>
    <w:rPr>
      <w:rFonts w:ascii="Arial" w:hAnsi="Arial" w:eastAsia="黑体" w:cs="Arial"/>
      <w:snapToGrid w:val="0"/>
      <w:kern w:val="0"/>
      <w:szCs w:val="21"/>
    </w:rPr>
  </w:style>
  <w:style w:type="character" w:customStyle="1" w:styleId="125">
    <w:name w:val="纯文本 字符1"/>
    <w:link w:val="34"/>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字符"/>
    <w:link w:val="46"/>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basedOn w:val="70"/>
    <w:autoRedefine/>
    <w:qFormat/>
    <w:uiPriority w:val="0"/>
    <w:rPr>
      <w:rFonts w:hint="eastAsia" w:ascii="仿宋_GB2312" w:eastAsia="仿宋_GB2312" w:cs="仿宋_GB2312"/>
      <w:color w:val="000000"/>
      <w:sz w:val="22"/>
      <w:szCs w:val="22"/>
      <w:u w:val="none"/>
    </w:rPr>
  </w:style>
  <w:style w:type="character" w:customStyle="1" w:styleId="147">
    <w:name w:val="标题 6 字符"/>
    <w:link w:val="7"/>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4"/>
    <w:link w:val="170"/>
    <w:autoRedefine/>
    <w:qFormat/>
    <w:uiPriority w:val="0"/>
    <w:pPr>
      <w:snapToGrid w:val="0"/>
      <w:spacing w:before="240" w:after="240" w:line="240" w:lineRule="auto"/>
      <w:ind w:left="0" w:firstLine="0"/>
      <w:jc w:val="center"/>
    </w:pPr>
    <w:rPr>
      <w:rFonts w:ascii="Calibri" w:hAnsi="Calibri" w:eastAsia="宋体"/>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字符"/>
    <w:link w:val="36"/>
    <w:autoRedefine/>
    <w:qFormat/>
    <w:uiPriority w:val="0"/>
    <w:rPr>
      <w:rFonts w:ascii="宋体"/>
      <w:kern w:val="2"/>
      <w:sz w:val="24"/>
      <w:szCs w:val="21"/>
      <w:lang w:val="zh-CN"/>
    </w:rPr>
  </w:style>
  <w:style w:type="character" w:customStyle="1" w:styleId="182">
    <w:name w:val="标题 9 字符"/>
    <w:link w:val="10"/>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99"/>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字符1"/>
    <w:link w:val="15"/>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17"/>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2"/>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字符"/>
    <w:link w:val="21"/>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70"/>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字符"/>
    <w:link w:val="31"/>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5"/>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字符"/>
    <w:link w:val="19"/>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字符1"/>
    <w:link w:val="18"/>
    <w:autoRedefine/>
    <w:qFormat/>
    <w:uiPriority w:val="0"/>
    <w:rPr>
      <w:rFonts w:ascii="宋体" w:hAnsi="宋体"/>
      <w:kern w:val="2"/>
      <w:sz w:val="24"/>
      <w:szCs w:val="24"/>
    </w:rPr>
  </w:style>
  <w:style w:type="character" w:customStyle="1" w:styleId="266">
    <w:name w:val="font01"/>
    <w:basedOn w:val="70"/>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qFormat/>
    <w:uiPriority w:val="0"/>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字符1"/>
    <w:link w:val="3"/>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字符"/>
    <w:link w:val="58"/>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字符"/>
    <w:link w:val="6"/>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字符"/>
    <w:link w:val="23"/>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字符"/>
    <w:link w:val="56"/>
    <w:autoRedefine/>
    <w:qFormat/>
    <w:uiPriority w:val="0"/>
    <w:rPr>
      <w:rFonts w:ascii="黑体" w:hAnsi="Courier New" w:eastAsia="黑体"/>
    </w:rPr>
  </w:style>
  <w:style w:type="character" w:customStyle="1" w:styleId="302">
    <w:name w:val="正文文本 2 字符1"/>
    <w:link w:val="55"/>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5"/>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字符"/>
    <w:link w:val="8"/>
    <w:autoRedefine/>
    <w:qFormat/>
    <w:uiPriority w:val="0"/>
    <w:rPr>
      <w:b/>
      <w:bCs/>
      <w:kern w:val="2"/>
      <w:sz w:val="24"/>
      <w:szCs w:val="24"/>
    </w:rPr>
  </w:style>
  <w:style w:type="character" w:customStyle="1" w:styleId="308">
    <w:name w:val="正文文本缩进 2 字符"/>
    <w:link w:val="37"/>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字符"/>
    <w:link w:val="49"/>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basedOn w:val="70"/>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文本首行缩进 字符"/>
    <w:link w:val="60"/>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字符1"/>
    <w:link w:val="5"/>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字符"/>
    <w:link w:val="24"/>
    <w:autoRedefine/>
    <w:qFormat/>
    <w:uiPriority w:val="0"/>
    <w:rPr>
      <w:kern w:val="2"/>
      <w:sz w:val="21"/>
    </w:rPr>
  </w:style>
  <w:style w:type="character" w:customStyle="1" w:styleId="331">
    <w:name w:val="font31"/>
    <w:basedOn w:val="70"/>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字符1"/>
    <w:link w:val="22"/>
    <w:autoRedefine/>
    <w:qFormat/>
    <w:uiPriority w:val="0"/>
    <w:rPr>
      <w:kern w:val="2"/>
      <w:sz w:val="21"/>
      <w:szCs w:val="24"/>
    </w:rPr>
  </w:style>
  <w:style w:type="character" w:customStyle="1" w:styleId="345">
    <w:name w:val="签名 字符"/>
    <w:link w:val="41"/>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字符"/>
    <w:link w:val="9"/>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字符"/>
    <w:link w:val="52"/>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字符2"/>
    <w:link w:val="39"/>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字符2"/>
    <w:link w:val="40"/>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70"/>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17"/>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字符"/>
    <w:link w:val="26"/>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70"/>
    <w:autoRedefine/>
    <w:qFormat/>
    <w:uiPriority w:val="0"/>
    <w:rPr>
      <w:rFonts w:ascii="Arial" w:hAnsi="Arial" w:eastAsia="黑体" w:cs="Arial"/>
      <w:snapToGrid w:val="0"/>
      <w:kern w:val="0"/>
      <w:szCs w:val="21"/>
    </w:rPr>
  </w:style>
  <w:style w:type="character" w:customStyle="1" w:styleId="432">
    <w:name w:val="hui"/>
    <w:basedOn w:val="70"/>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18"/>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autoRedefine/>
    <w:qFormat/>
    <w:uiPriority w:val="0"/>
    <w:pPr>
      <w:tabs>
        <w:tab w:val="left" w:pos="2790"/>
        <w:tab w:val="left" w:pos="4230"/>
      </w:tabs>
      <w:spacing w:beforeLines="100"/>
      <w:jc w:val="left"/>
    </w:p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4"/>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outlineLvl w:val="5"/>
    </w:pPr>
  </w:style>
  <w:style w:type="paragraph" w:customStyle="1" w:styleId="474">
    <w:name w:val="5级标题"/>
    <w:basedOn w:val="475"/>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1"/>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4"/>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2"/>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6"/>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2"/>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26"/>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next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autoRedefine/>
    <w:qFormat/>
    <w:uiPriority w:val="0"/>
    <w:rPr>
      <w:rFonts w:ascii="宋体" w:eastAsia="宋体" w:cs="Times New Roman"/>
      <w:color w:val="auto"/>
    </w:rPr>
  </w:style>
  <w:style w:type="paragraph" w:customStyle="1" w:styleId="550">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18"/>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18"/>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5"/>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6">
    <w:name w:val="小节"/>
    <w:basedOn w:val="2"/>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4"/>
    <w:next w:val="1"/>
    <w:autoRedefine/>
    <w:qFormat/>
    <w:uiPriority w:val="0"/>
    <w:pPr>
      <w:tabs>
        <w:tab w:val="left" w:pos="578"/>
        <w:tab w:val="left" w:pos="900"/>
        <w:tab w:val="left" w:pos="1440"/>
      </w:tabs>
      <w:ind w:left="1440" w:hanging="360"/>
    </w:pPr>
    <w:rPr>
      <w:rFonts w:ascii="仿宋" w:eastAsia="仿宋" w:cs="宋体"/>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2"/>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3"/>
    <w:autoRedefine/>
    <w:qFormat/>
    <w:uiPriority w:val="0"/>
    <w:pPr>
      <w:tabs>
        <w:tab w:val="left" w:pos="840"/>
      </w:tabs>
      <w:adjustRightInd/>
      <w:ind w:left="840" w:hanging="420"/>
    </w:pPr>
  </w:style>
  <w:style w:type="paragraph" w:customStyle="1" w:styleId="626">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Lines="0" w:afterLines="0"/>
      <w:ind w:left="1680"/>
      <w:outlineLvl w:val="2"/>
    </w:pPr>
  </w:style>
  <w:style w:type="paragraph" w:customStyle="1" w:styleId="658">
    <w:name w:val="章标题"/>
    <w:next w:val="640"/>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6"/>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18"/>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7"/>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2"/>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9"/>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6"/>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18"/>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2"/>
    <w:next w:val="52"/>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40"/>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5"/>
    <w:next w:val="640"/>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next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4"/>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6"/>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18"/>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2"/>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4"/>
    <w:autoRedefine/>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21"/>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8"/>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8"/>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2"/>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8"/>
    <w:autoRedefine/>
    <w:qFormat/>
    <w:uiPriority w:val="0"/>
    <w:rPr>
      <w:b w:val="0"/>
      <w:sz w:val="20"/>
    </w:rPr>
  </w:style>
  <w:style w:type="paragraph" w:customStyle="1" w:styleId="892">
    <w:name w:val="正文首行缩进1"/>
    <w:basedOn w:val="26"/>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6"/>
    <w:next w:val="1"/>
    <w:autoRedefine/>
    <w:qFormat/>
    <w:uiPriority w:val="0"/>
    <w:pPr>
      <w:tabs>
        <w:tab w:val="left" w:pos="1080"/>
      </w:tabs>
      <w:ind w:left="1080" w:hanging="1080"/>
    </w:pPr>
  </w:style>
  <w:style w:type="paragraph" w:customStyle="1" w:styleId="895">
    <w:name w:val="数字标题1"/>
    <w:basedOn w:val="3"/>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3"/>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2"/>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字符"/>
    <w:link w:val="38"/>
    <w:autoRedefine/>
    <w:qFormat/>
    <w:uiPriority w:val="0"/>
    <w:rPr>
      <w:kern w:val="2"/>
      <w:sz w:val="21"/>
      <w:szCs w:val="24"/>
      <w:lang w:val="zh-CN"/>
    </w:rPr>
  </w:style>
  <w:style w:type="character" w:customStyle="1" w:styleId="931">
    <w:name w:val="无间隔 字符"/>
    <w:link w:val="483"/>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8"/>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autoRedefine/>
    <w:qFormat/>
    <w:uiPriority w:val="0"/>
    <w:pPr>
      <w:tabs>
        <w:tab w:val="clear" w:pos="432"/>
      </w:tabs>
      <w:spacing w:before="160" w:after="160" w:line="720" w:lineRule="exact"/>
      <w:ind w:left="0" w:firstLine="0"/>
      <w:jc w:val="center"/>
    </w:pPr>
    <w:rPr>
      <w:rFonts w:ascii="Arial" w:hAnsi="Arial" w:eastAsia="楷体"/>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标准中文版式_正文"/>
    <w:basedOn w:val="1"/>
    <w:autoRedefine/>
    <w:qFormat/>
    <w:uiPriority w:val="0"/>
    <w:pPr>
      <w:adjustRightInd/>
      <w:spacing w:before="30" w:line="360" w:lineRule="auto"/>
      <w:ind w:firstLine="200" w:firstLineChars="200"/>
    </w:pPr>
    <w:rPr>
      <w:rFonts w:ascii="Arial" w:hAnsi="Arial"/>
      <w:sz w:val="24"/>
    </w:rPr>
  </w:style>
  <w:style w:type="character" w:customStyle="1" w:styleId="963">
    <w:name w:val="UserStyle_20"/>
    <w:autoRedefine/>
    <w:qFormat/>
    <w:uiPriority w:val="0"/>
    <w:rPr>
      <w:sz w:val="24"/>
    </w:rPr>
  </w:style>
  <w:style w:type="character" w:customStyle="1" w:styleId="964">
    <w:name w:val="NormalCharacter"/>
    <w:link w:val="965"/>
    <w:autoRedefine/>
    <w:unhideWhenUsed/>
    <w:qFormat/>
    <w:uiPriority w:val="0"/>
    <w:rPr>
      <w:rFonts w:ascii="Tahoma" w:hAnsi="Tahoma"/>
      <w:sz w:val="24"/>
    </w:rPr>
  </w:style>
  <w:style w:type="paragraph" w:customStyle="1" w:styleId="965">
    <w:name w:val="UserStyle_85"/>
    <w:basedOn w:val="1"/>
    <w:link w:val="964"/>
    <w:autoRedefine/>
    <w:qFormat/>
    <w:uiPriority w:val="0"/>
    <w:rPr>
      <w:rFonts w:ascii="Tahoma" w:hAnsi="Tahoma"/>
      <w:sz w:val="24"/>
    </w:rPr>
  </w:style>
  <w:style w:type="paragraph" w:customStyle="1" w:styleId="966">
    <w:name w:val="Proposals body"/>
    <w:basedOn w:val="1"/>
    <w:next w:val="1"/>
    <w:autoRedefine/>
    <w:qFormat/>
    <w:uiPriority w:val="0"/>
    <w:pPr>
      <w:widowControl/>
      <w:adjustRightInd/>
      <w:spacing w:line="360" w:lineRule="auto"/>
      <w:jc w:val="left"/>
    </w:pPr>
    <w:rPr>
      <w:rFonts w:ascii="宋体" w:hAnsi="Calibri"/>
      <w:snapToGrid w:val="0"/>
      <w:color w:val="000000"/>
      <w:kern w:val="0"/>
      <w:sz w:val="24"/>
      <w:szCs w:val="20"/>
    </w:rPr>
  </w:style>
  <w:style w:type="paragraph" w:customStyle="1" w:styleId="967">
    <w:name w:val="Heading5"/>
    <w:basedOn w:val="1"/>
    <w:next w:val="1"/>
    <w:autoRedefine/>
    <w:qFormat/>
    <w:uiPriority w:val="0"/>
    <w:pPr>
      <w:keepNext/>
      <w:keepLines/>
      <w:spacing w:after="120" w:line="360" w:lineRule="auto"/>
    </w:pPr>
    <w:rPr>
      <w:rFonts w:eastAsia="微软雅黑"/>
      <w:b/>
      <w:bCs/>
      <w:sz w:val="24"/>
    </w:rPr>
  </w:style>
  <w:style w:type="paragraph" w:customStyle="1" w:styleId="968">
    <w:name w:val="表格2"/>
    <w:basedOn w:val="1"/>
    <w:autoRedefine/>
    <w:qFormat/>
    <w:uiPriority w:val="0"/>
    <w:rPr>
      <w:rFonts w:ascii="宋体" w:hAnsi="宋体"/>
      <w:sz w:val="24"/>
      <w:szCs w:val="32"/>
      <w:lang w:val="zh-CN"/>
    </w:rPr>
  </w:style>
  <w:style w:type="paragraph" w:customStyle="1" w:styleId="969">
    <w:name w:val="样式 正文文本"/>
    <w:basedOn w:val="1"/>
    <w:autoRedefine/>
    <w:qFormat/>
    <w:uiPriority w:val="0"/>
    <w:pPr>
      <w:snapToGrid w:val="0"/>
      <w:spacing w:line="400" w:lineRule="exact"/>
      <w:ind w:firstLine="200" w:firstLineChars="200"/>
    </w:pPr>
    <w:rPr>
      <w:rFonts w:ascii="Arial" w:hAnsi="Arial"/>
      <w:snapToGrid w:val="0"/>
      <w:color w:val="000000"/>
      <w:kern w:val="0"/>
      <w:szCs w:val="20"/>
    </w:rPr>
  </w:style>
  <w:style w:type="paragraph" w:customStyle="1" w:styleId="970">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71">
    <w:name w:val="修订5"/>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72">
    <w:name w:val="国普正文"/>
    <w:autoRedefine/>
    <w:qFormat/>
    <w:uiPriority w:val="0"/>
    <w:pPr>
      <w:widowControl w:val="0"/>
      <w:spacing w:line="360" w:lineRule="auto"/>
      <w:ind w:firstLine="600" w:firstLineChars="200"/>
      <w:jc w:val="both"/>
    </w:pPr>
    <w:rPr>
      <w:rFonts w:ascii="仿宋_GB2312" w:hAnsi="Times New Roman" w:eastAsia="仿宋_GB2312" w:cs="Times New Roman"/>
      <w:kern w:val="2"/>
      <w:sz w:val="30"/>
      <w:szCs w:val="30"/>
      <w:lang w:val="en-US" w:eastAsia="zh-CN" w:bidi="ar-SA"/>
    </w:rPr>
  </w:style>
  <w:style w:type="paragraph" w:customStyle="1" w:styleId="973">
    <w:name w:val="正文无缩进 Char"/>
    <w:basedOn w:val="1"/>
    <w:autoRedefine/>
    <w:qFormat/>
    <w:uiPriority w:val="0"/>
    <w:pPr>
      <w:tabs>
        <w:tab w:val="left" w:pos="420"/>
      </w:tabs>
      <w:spacing w:beforeLines="40" w:afterLines="4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CC699C-8838-4E6D-BF2E-D7EEB48DBE7C}">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76</Pages>
  <Words>37822</Words>
  <Characters>40576</Characters>
  <Lines>333</Lines>
  <Paragraphs>93</Paragraphs>
  <TotalTime>1</TotalTime>
  <ScaleCrop>false</ScaleCrop>
  <LinksUpToDate>false</LinksUpToDate>
  <CharactersWithSpaces>45144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2022-08-09T06:53:00Z</dcterms:created>
  <dc:creator>玥</dc:creator>
  <cp:lastModifiedBy>小诚想喝水</cp:lastModifiedBy>
  <cp:lastPrinted>2024-03-26T01:40:00Z</cp:lastPrinted>
  <dcterms:modified xsi:type="dcterms:W3CDTF">2024-03-29T05:50:41Z</dcterms:modified>
  <dc:title>杭州市市民卡扩大发卡工程</dc:title>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9DD575859F8045B7816BC639D7CE4299_13</vt:lpwstr>
  </property>
</Properties>
</file>