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000000" w:themeColor="text1"/>
          <w:sz w:val="84"/>
          <w:szCs w:val="84"/>
          <w14:textFill>
            <w14:solidFill>
              <w14:schemeClr w14:val="tx1"/>
            </w14:solidFill>
          </w14:textFill>
        </w:rPr>
      </w:pPr>
      <w:r>
        <w:rPr>
          <w:rFonts w:ascii="宋体" w:hAnsi="宋体"/>
          <w:b/>
          <w:color w:val="000000" w:themeColor="text1"/>
          <w:sz w:val="84"/>
          <w:szCs w:val="84"/>
          <w14:textFill>
            <w14:solidFill>
              <w14:schemeClr w14:val="tx1"/>
            </w14:solidFill>
          </w14:textFill>
        </w:rPr>
        <w:t xml:space="preserve"> </w:t>
      </w:r>
    </w:p>
    <w:p>
      <w:pPr>
        <w:ind w:firstLine="724" w:firstLineChars="200"/>
        <w:rPr>
          <w:rFonts w:ascii="宋体" w:hAnsi="宋体" w:cs="宋体"/>
          <w:b/>
          <w:color w:val="000000" w:themeColor="text1"/>
          <w:sz w:val="36"/>
          <w:szCs w:val="36"/>
          <w14:textFill>
            <w14:solidFill>
              <w14:schemeClr w14:val="tx1"/>
            </w14:solidFill>
          </w14:textFill>
        </w:rPr>
      </w:pPr>
    </w:p>
    <w:p>
      <w:pPr>
        <w:ind w:firstLine="442" w:firstLineChars="100"/>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常山县乡村振兴特色产业园大数据中心项目</w:t>
      </w:r>
    </w:p>
    <w:p>
      <w:pPr>
        <w:ind w:firstLine="1444" w:firstLineChars="200"/>
        <w:rPr>
          <w:rFonts w:ascii="宋体" w:hAnsi="宋体" w:cs="宋体"/>
          <w:b/>
          <w:color w:val="000000" w:themeColor="text1"/>
          <w:sz w:val="72"/>
          <w:szCs w:val="72"/>
          <w14:textFill>
            <w14:solidFill>
              <w14:schemeClr w14:val="tx1"/>
            </w14:solidFill>
          </w14:textFill>
        </w:rPr>
      </w:pPr>
    </w:p>
    <w:p>
      <w:pPr>
        <w:ind w:firstLine="2166" w:firstLineChars="300"/>
        <w:rPr>
          <w:rFonts w:ascii="宋体" w:hAnsi="宋体" w:cs="宋体"/>
          <w:color w:val="000000" w:themeColor="text1"/>
          <w:sz w:val="32"/>
          <w:szCs w:val="3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招</w:t>
      </w:r>
      <w:r>
        <w:rPr>
          <w:rFonts w:ascii="宋体" w:hAnsi="宋体" w:cs="宋体"/>
          <w:b/>
          <w:color w:val="000000" w:themeColor="text1"/>
          <w:sz w:val="72"/>
          <w:szCs w:val="72"/>
          <w14:textFill>
            <w14:solidFill>
              <w14:schemeClr w14:val="tx1"/>
            </w14:solidFill>
          </w14:textFill>
        </w:rPr>
        <w:t xml:space="preserve">  </w:t>
      </w:r>
      <w:r>
        <w:rPr>
          <w:rFonts w:hint="eastAsia" w:ascii="宋体" w:hAnsi="宋体" w:cs="宋体"/>
          <w:b/>
          <w:color w:val="000000" w:themeColor="text1"/>
          <w:sz w:val="72"/>
          <w:szCs w:val="72"/>
          <w14:textFill>
            <w14:solidFill>
              <w14:schemeClr w14:val="tx1"/>
            </w14:solidFill>
          </w14:textFill>
        </w:rPr>
        <w:t>标</w:t>
      </w:r>
      <w:r>
        <w:rPr>
          <w:rFonts w:ascii="宋体" w:hAnsi="宋体" w:cs="宋体"/>
          <w:b/>
          <w:color w:val="000000" w:themeColor="text1"/>
          <w:sz w:val="72"/>
          <w:szCs w:val="72"/>
          <w14:textFill>
            <w14:solidFill>
              <w14:schemeClr w14:val="tx1"/>
            </w14:solidFill>
          </w14:textFill>
        </w:rPr>
        <w:t xml:space="preserve">  </w:t>
      </w:r>
      <w:r>
        <w:rPr>
          <w:rFonts w:hint="eastAsia" w:ascii="宋体" w:hAnsi="宋体" w:cs="宋体"/>
          <w:b/>
          <w:color w:val="000000" w:themeColor="text1"/>
          <w:sz w:val="72"/>
          <w:szCs w:val="72"/>
          <w14:textFill>
            <w14:solidFill>
              <w14:schemeClr w14:val="tx1"/>
            </w14:solidFill>
          </w14:textFill>
        </w:rPr>
        <w:t>文</w:t>
      </w:r>
      <w:r>
        <w:rPr>
          <w:rFonts w:ascii="宋体" w:hAnsi="宋体" w:cs="宋体"/>
          <w:b/>
          <w:color w:val="000000" w:themeColor="text1"/>
          <w:sz w:val="72"/>
          <w:szCs w:val="72"/>
          <w14:textFill>
            <w14:solidFill>
              <w14:schemeClr w14:val="tx1"/>
            </w14:solidFill>
          </w14:textFill>
        </w:rPr>
        <w:t xml:space="preserve">  </w:t>
      </w:r>
      <w:r>
        <w:rPr>
          <w:rFonts w:hint="eastAsia" w:ascii="宋体" w:hAnsi="宋体" w:cs="宋体"/>
          <w:b/>
          <w:color w:val="000000" w:themeColor="text1"/>
          <w:sz w:val="72"/>
          <w:szCs w:val="72"/>
          <w14:textFill>
            <w14:solidFill>
              <w14:schemeClr w14:val="tx1"/>
            </w14:solidFill>
          </w14:textFill>
        </w:rPr>
        <w:t>件</w:t>
      </w:r>
    </w:p>
    <w:p>
      <w:pPr>
        <w:spacing w:line="1040" w:lineRule="exact"/>
        <w:ind w:firstLine="483" w:firstLineChars="150"/>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w:t>
      </w:r>
      <w:r>
        <w:rPr>
          <w:rFonts w:ascii="宋体" w:hAnsi="宋体" w:cs="宋体"/>
          <w:color w:val="000000" w:themeColor="text1"/>
          <w:sz w:val="32"/>
          <w:szCs w:val="32"/>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项目编号：</w:t>
      </w:r>
      <w:r>
        <w:rPr>
          <w:rFonts w:ascii="宋体" w:hAnsi="宋体" w:cs="宋体"/>
          <w:color w:val="000000" w:themeColor="text1"/>
          <w:sz w:val="32"/>
          <w:szCs w:val="32"/>
          <w14:textFill>
            <w14:solidFill>
              <w14:schemeClr w14:val="tx1"/>
            </w14:solidFill>
          </w14:textFill>
        </w:rPr>
        <w:t>ZJCY</w:t>
      </w:r>
      <w:r>
        <w:rPr>
          <w:rFonts w:ascii="宋体" w:hAnsi="宋体" w:cs="宋体"/>
          <w:color w:val="000000" w:themeColor="text1"/>
          <w:kern w:val="0"/>
          <w:sz w:val="32"/>
          <w:szCs w:val="32"/>
          <w14:textFill>
            <w14:solidFill>
              <w14:schemeClr w14:val="tx1"/>
            </w14:solidFill>
          </w14:textFill>
        </w:rPr>
        <w:t>-GK-2020005</w:t>
      </w:r>
      <w:r>
        <w:rPr>
          <w:rFonts w:hint="eastAsia" w:ascii="宋体" w:hAnsi="宋体" w:cs="宋体"/>
          <w:color w:val="000000" w:themeColor="text1"/>
          <w:kern w:val="0"/>
          <w:sz w:val="32"/>
          <w:szCs w:val="32"/>
          <w14:textFill>
            <w14:solidFill>
              <w14:schemeClr w14:val="tx1"/>
            </w14:solidFill>
          </w14:textFill>
        </w:rPr>
        <w:t>　</w:t>
      </w:r>
    </w:p>
    <w:p>
      <w:pPr>
        <w:spacing w:line="104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　　</w:t>
      </w:r>
      <w:r>
        <w:rPr>
          <w:rFonts w:ascii="宋体" w:hAnsi="宋体" w:cs="宋体"/>
          <w:color w:val="000000" w:themeColor="text1"/>
          <w:kern w:val="0"/>
          <w:sz w:val="32"/>
          <w:szCs w:val="32"/>
          <w14:textFill>
            <w14:solidFill>
              <w14:schemeClr w14:val="tx1"/>
            </w14:solidFill>
          </w14:textFill>
        </w:rPr>
        <w:t xml:space="preserve"> </w:t>
      </w:r>
    </w:p>
    <w:p>
      <w:pPr>
        <w:pStyle w:val="2"/>
        <w:ind w:firstLine="0" w:firstLineChars="0"/>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spacing w:line="1040" w:lineRule="exact"/>
        <w:ind w:firstLine="1288" w:firstLineChars="400"/>
        <w:rPr>
          <w:rFonts w:ascii="宋体" w:hAnsi="宋体" w:cs="宋体"/>
          <w:color w:val="000000" w:themeColor="text1"/>
          <w:sz w:val="32"/>
          <w:szCs w:val="32"/>
          <w14:textFill>
            <w14:solidFill>
              <w14:schemeClr w14:val="tx1"/>
            </w14:solidFill>
          </w14:textFill>
        </w:rPr>
      </w:pPr>
    </w:p>
    <w:p>
      <w:pPr>
        <w:spacing w:line="1040" w:lineRule="exact"/>
        <w:rPr>
          <w:rFonts w:ascii="宋体" w:hAnsi="宋体" w:cs="宋体"/>
          <w:color w:val="000000" w:themeColor="text1"/>
          <w:sz w:val="32"/>
          <w:szCs w:val="32"/>
          <w14:textFill>
            <w14:solidFill>
              <w14:schemeClr w14:val="tx1"/>
            </w14:solidFill>
          </w14:textFill>
        </w:rPr>
      </w:pPr>
    </w:p>
    <w:p>
      <w:pPr>
        <w:spacing w:line="1040" w:lineRule="exact"/>
        <w:ind w:firstLine="1288"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采购人：</w:t>
      </w:r>
      <w:r>
        <w:rPr>
          <w:rFonts w:hint="eastAsia" w:ascii="Arial" w:hAnsi="Arial" w:cs="Arial"/>
          <w:color w:val="000000" w:themeColor="text1"/>
          <w:sz w:val="32"/>
          <w:szCs w:val="32"/>
          <w:shd w:val="clear" w:color="auto" w:fill="FFFFFF"/>
          <w14:textFill>
            <w14:solidFill>
              <w14:schemeClr w14:val="tx1"/>
            </w14:solidFill>
          </w14:textFill>
        </w:rPr>
        <w:t>常山县科学技术局</w:t>
      </w:r>
    </w:p>
    <w:p>
      <w:pPr>
        <w:spacing w:line="1040" w:lineRule="exact"/>
        <w:ind w:firstLine="483" w:firstLineChars="15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w:t>
      </w:r>
      <w:r>
        <w:rPr>
          <w:rFonts w:ascii="宋体" w:hAnsi="宋体" w:cs="宋体"/>
          <w:color w:val="000000" w:themeColor="text1"/>
          <w:sz w:val="32"/>
          <w:szCs w:val="32"/>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采购代理机构：浙江重阳项目管理有限公司</w:t>
      </w:r>
    </w:p>
    <w:p>
      <w:pPr>
        <w:spacing w:line="600" w:lineRule="exact"/>
        <w:rPr>
          <w:rFonts w:ascii="宋体" w:hAnsi="宋体" w:cs="宋体"/>
          <w:color w:val="000000" w:themeColor="text1"/>
          <w:sz w:val="32"/>
          <w14:textFill>
            <w14:solidFill>
              <w14:schemeClr w14:val="tx1"/>
            </w14:solidFill>
          </w14:textFill>
        </w:rPr>
      </w:pPr>
      <w:r>
        <w:rPr>
          <w:rFonts w:ascii="宋体" w:hAnsi="宋体" w:cs="宋体"/>
          <w:color w:val="000000" w:themeColor="text1"/>
          <w:sz w:val="32"/>
          <w14:textFill>
            <w14:solidFill>
              <w14:schemeClr w14:val="tx1"/>
            </w14:solidFill>
          </w14:textFill>
        </w:rPr>
        <w:t xml:space="preserve"> </w:t>
      </w:r>
    </w:p>
    <w:p>
      <w:pPr>
        <w:spacing w:line="600" w:lineRule="exact"/>
        <w:ind w:firstLine="3542" w:firstLineChars="1100"/>
        <w:rPr>
          <w:rFonts w:ascii="宋体" w:hAnsi="宋体" w:cs="宋体"/>
          <w:color w:val="000000" w:themeColor="text1"/>
          <w:sz w:val="32"/>
          <w14:textFill>
            <w14:solidFill>
              <w14:schemeClr w14:val="tx1"/>
            </w14:solidFill>
          </w14:textFill>
        </w:rPr>
      </w:pPr>
    </w:p>
    <w:p>
      <w:pPr>
        <w:spacing w:line="600" w:lineRule="exact"/>
        <w:ind w:firstLine="3542" w:firstLineChars="1100"/>
        <w:rPr>
          <w:rFonts w:ascii="宋体" w:hAnsi="宋体" w:cs="宋体"/>
          <w:color w:val="000000" w:themeColor="text1"/>
          <w:sz w:val="32"/>
          <w14:textFill>
            <w14:solidFill>
              <w14:schemeClr w14:val="tx1"/>
            </w14:solidFill>
          </w14:textFill>
        </w:rPr>
      </w:pPr>
      <w:r>
        <w:rPr>
          <w:rFonts w:hint="eastAsia" w:ascii="宋体" w:hAnsi="宋体" w:cs="宋体"/>
          <w:color w:val="000000" w:themeColor="text1"/>
          <w:sz w:val="32"/>
          <w14:textFill>
            <w14:solidFill>
              <w14:schemeClr w14:val="tx1"/>
            </w14:solidFill>
          </w14:textFill>
        </w:rPr>
        <w:t>二</w:t>
      </w:r>
      <w:r>
        <w:rPr>
          <w:rFonts w:ascii="宋体" w:hAnsi="宋体" w:cs="宋体"/>
          <w:color w:val="000000" w:themeColor="text1"/>
          <w:sz w:val="32"/>
          <w14:textFill>
            <w14:solidFill>
              <w14:schemeClr w14:val="tx1"/>
            </w14:solidFill>
          </w14:textFill>
        </w:rPr>
        <w:t>0</w:t>
      </w:r>
      <w:r>
        <w:rPr>
          <w:rFonts w:hint="eastAsia" w:ascii="宋体" w:hAnsi="宋体" w:cs="宋体"/>
          <w:color w:val="000000" w:themeColor="text1"/>
          <w:sz w:val="32"/>
          <w14:textFill>
            <w14:solidFill>
              <w14:schemeClr w14:val="tx1"/>
            </w14:solidFill>
          </w14:textFill>
        </w:rPr>
        <w:t>二</w:t>
      </w:r>
      <w:r>
        <w:rPr>
          <w:rFonts w:ascii="宋体" w:hAnsi="宋体" w:cs="宋体"/>
          <w:color w:val="000000" w:themeColor="text1"/>
          <w:sz w:val="32"/>
          <w14:textFill>
            <w14:solidFill>
              <w14:schemeClr w14:val="tx1"/>
            </w14:solidFill>
          </w14:textFill>
        </w:rPr>
        <w:t>0</w:t>
      </w:r>
      <w:r>
        <w:rPr>
          <w:rFonts w:hint="eastAsia" w:ascii="宋体" w:hAnsi="宋体" w:cs="宋体"/>
          <w:color w:val="000000" w:themeColor="text1"/>
          <w:sz w:val="32"/>
          <w14:textFill>
            <w14:solidFill>
              <w14:schemeClr w14:val="tx1"/>
            </w14:solidFill>
          </w14:textFill>
        </w:rPr>
        <w:t>年十一月</w:t>
      </w:r>
    </w:p>
    <w:p>
      <w:pPr>
        <w:spacing w:line="600" w:lineRule="exact"/>
        <w:jc w:val="center"/>
        <w:rPr>
          <w:rFonts w:ascii="宋体" w:hAnsi="宋体" w:cs="宋体"/>
          <w:color w:val="000000" w:themeColor="text1"/>
          <w:sz w:val="32"/>
          <w14:textFill>
            <w14:solidFill>
              <w14:schemeClr w14:val="tx1"/>
            </w14:solidFill>
          </w14:textFill>
        </w:rPr>
      </w:pPr>
      <w:r>
        <w:rPr>
          <w:rFonts w:ascii="宋体" w:hAnsi="宋体" w:cs="宋体"/>
          <w:color w:val="000000" w:themeColor="text1"/>
          <w:sz w:val="32"/>
          <w14:textFill>
            <w14:solidFill>
              <w14:schemeClr w14:val="tx1"/>
            </w14:solidFill>
          </w14:textFill>
        </w:rPr>
        <w:br w:type="page"/>
      </w:r>
    </w:p>
    <w:p>
      <w:pPr>
        <w:pStyle w:val="95"/>
        <w:rPr>
          <w:color w:val="000000" w:themeColor="text1"/>
          <w:lang w:val="en-US"/>
          <w14:textFill>
            <w14:solidFill>
              <w14:schemeClr w14:val="tx1"/>
            </w14:solidFill>
          </w14:textFill>
        </w:rPr>
      </w:pPr>
      <w:bookmarkStart w:id="0" w:name="_Toc54798356"/>
      <w:r>
        <w:rPr>
          <w:color w:val="000000" w:themeColor="text1"/>
          <w:lang w:eastAsia="zh-Hans"/>
          <w14:textFill>
            <w14:solidFill>
              <w14:schemeClr w14:val="tx1"/>
            </w14:solidFill>
          </w14:textFill>
        </w:rPr>
        <w:fldChar w:fldCharType="begin"/>
      </w:r>
      <w:r>
        <w:rPr>
          <w:color w:val="000000" w:themeColor="text1"/>
          <w:lang w:eastAsia="zh-Hans"/>
          <w14:textFill>
            <w14:solidFill>
              <w14:schemeClr w14:val="tx1"/>
            </w14:solidFill>
          </w14:textFill>
        </w:rPr>
        <w:instrText xml:space="preserve"> TOC \o "1-1" \h \z \u </w:instrText>
      </w:r>
      <w:r>
        <w:rPr>
          <w:color w:val="000000" w:themeColor="text1"/>
          <w:lang w:eastAsia="zh-Hans"/>
          <w14:textFill>
            <w14:solidFill>
              <w14:schemeClr w14:val="tx1"/>
            </w14:solidFill>
          </w14:textFill>
        </w:rPr>
        <w:fldChar w:fldCharType="separate"/>
      </w:r>
    </w:p>
    <w:p>
      <w:pPr>
        <w:pStyle w:val="4"/>
        <w:jc w:val="center"/>
        <w:rPr>
          <w:color w:val="000000" w:themeColor="text1"/>
          <w:sz w:val="48"/>
          <w:szCs w:val="48"/>
          <w14:textFill>
            <w14:solidFill>
              <w14:schemeClr w14:val="tx1"/>
            </w14:solidFill>
          </w14:textFill>
        </w:rPr>
      </w:pPr>
      <w:r>
        <w:fldChar w:fldCharType="begin"/>
      </w:r>
      <w:r>
        <w:instrText xml:space="preserve"> HYPERLINK \l "_Toc54798356" </w:instrText>
      </w:r>
      <w:r>
        <w:fldChar w:fldCharType="separate"/>
      </w:r>
      <w:r>
        <w:rPr>
          <w:rStyle w:val="45"/>
          <w:rFonts w:hint="eastAsia" w:ascii="宋体" w:hAnsi="宋体"/>
          <w:color w:val="000000" w:themeColor="text1"/>
          <w:sz w:val="48"/>
          <w:szCs w:val="48"/>
          <w:lang w:eastAsia="zh-Hans"/>
          <w14:textFill>
            <w14:solidFill>
              <w14:schemeClr w14:val="tx1"/>
            </w14:solidFill>
          </w14:textFill>
        </w:rPr>
        <w:t>目</w:t>
      </w:r>
      <w:r>
        <w:rPr>
          <w:rStyle w:val="45"/>
          <w:rFonts w:ascii="宋体" w:hAnsi="宋体"/>
          <w:color w:val="000000" w:themeColor="text1"/>
          <w:sz w:val="48"/>
          <w:szCs w:val="48"/>
          <w:lang w:eastAsia="zh-Hans"/>
          <w14:textFill>
            <w14:solidFill>
              <w14:schemeClr w14:val="tx1"/>
            </w14:solidFill>
          </w14:textFill>
        </w:rPr>
        <w:t xml:space="preserve"> </w:t>
      </w:r>
      <w:r>
        <w:rPr>
          <w:rStyle w:val="45"/>
          <w:rFonts w:hint="eastAsia" w:ascii="宋体" w:hAnsi="宋体"/>
          <w:color w:val="000000" w:themeColor="text1"/>
          <w:sz w:val="48"/>
          <w:szCs w:val="48"/>
          <w:lang w:eastAsia="zh-Hans"/>
          <w14:textFill>
            <w14:solidFill>
              <w14:schemeClr w14:val="tx1"/>
            </w14:solidFill>
          </w14:textFill>
        </w:rPr>
        <w:t>录</w:t>
      </w:r>
      <w:r>
        <w:rPr>
          <w:rStyle w:val="45"/>
          <w:rFonts w:hint="eastAsia" w:ascii="宋体" w:hAnsi="宋体"/>
          <w:color w:val="000000" w:themeColor="text1"/>
          <w:sz w:val="48"/>
          <w:szCs w:val="48"/>
          <w:lang w:eastAsia="zh-Hans"/>
          <w14:textFill>
            <w14:solidFill>
              <w14:schemeClr w14:val="tx1"/>
            </w14:solidFill>
          </w14:textFill>
        </w:rPr>
        <w:fldChar w:fldCharType="end"/>
      </w:r>
      <w:bookmarkStart w:id="330" w:name="_GoBack"/>
      <w:bookmarkEnd w:id="330"/>
    </w:p>
    <w:p>
      <w:pPr>
        <w:pStyle w:val="28"/>
        <w:tabs>
          <w:tab w:val="right" w:leader="dot" w:pos="9572"/>
        </w:tabs>
        <w:spacing w:line="480" w:lineRule="auto"/>
        <w:rPr>
          <w:rFonts w:ascii="宋体" w:hAnsi="宋体"/>
          <w:color w:val="000000" w:themeColor="text1"/>
          <w:sz w:val="24"/>
          <w14:textFill>
            <w14:solidFill>
              <w14:schemeClr w14:val="tx1"/>
            </w14:solidFill>
          </w14:textFill>
        </w:rPr>
      </w:pPr>
      <w:r>
        <w:fldChar w:fldCharType="begin"/>
      </w:r>
      <w:r>
        <w:instrText xml:space="preserve"> HYPERLINK \l "_Toc54798358" </w:instrText>
      </w:r>
      <w:r>
        <w:fldChar w:fldCharType="separate"/>
      </w:r>
      <w:r>
        <w:rPr>
          <w:rStyle w:val="45"/>
          <w:rFonts w:hint="eastAsia" w:ascii="宋体" w:hAnsi="宋体"/>
          <w:color w:val="000000" w:themeColor="text1"/>
          <w:sz w:val="24"/>
          <w:lang w:val="zh-CN"/>
          <w14:textFill>
            <w14:solidFill>
              <w14:schemeClr w14:val="tx1"/>
            </w14:solidFill>
          </w14:textFill>
        </w:rPr>
        <w:t>第一章</w:t>
      </w:r>
      <w:r>
        <w:rPr>
          <w:rStyle w:val="45"/>
          <w:rFonts w:ascii="宋体" w:hAnsi="宋体"/>
          <w:color w:val="000000" w:themeColor="text1"/>
          <w:sz w:val="24"/>
          <w:lang w:val="zh-CN"/>
          <w14:textFill>
            <w14:solidFill>
              <w14:schemeClr w14:val="tx1"/>
            </w14:solidFill>
          </w14:textFill>
        </w:rPr>
        <w:t xml:space="preserve"> </w:t>
      </w:r>
      <w:r>
        <w:rPr>
          <w:rStyle w:val="45"/>
          <w:rFonts w:hint="eastAsia" w:ascii="宋体" w:hAnsi="宋体"/>
          <w:color w:val="000000" w:themeColor="text1"/>
          <w:sz w:val="24"/>
          <w:lang w:val="zh-CN"/>
          <w14:textFill>
            <w14:solidFill>
              <w14:schemeClr w14:val="tx1"/>
            </w14:solidFill>
          </w14:textFill>
        </w:rPr>
        <w:t>公开招标采购公告</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fldChar w:fldCharType="end"/>
      </w:r>
    </w:p>
    <w:p>
      <w:pPr>
        <w:pStyle w:val="28"/>
        <w:tabs>
          <w:tab w:val="right" w:leader="dot" w:pos="9572"/>
        </w:tabs>
        <w:spacing w:line="480" w:lineRule="auto"/>
        <w:rPr>
          <w:rFonts w:ascii="宋体" w:hAnsi="宋体"/>
          <w:color w:val="000000" w:themeColor="text1"/>
          <w:sz w:val="24"/>
          <w14:textFill>
            <w14:solidFill>
              <w14:schemeClr w14:val="tx1"/>
            </w14:solidFill>
          </w14:textFill>
        </w:rPr>
      </w:pPr>
      <w:r>
        <w:fldChar w:fldCharType="begin"/>
      </w:r>
      <w:r>
        <w:instrText xml:space="preserve"> HYPERLINK \l "_Toc54798359" </w:instrText>
      </w:r>
      <w:r>
        <w:fldChar w:fldCharType="separate"/>
      </w:r>
      <w:r>
        <w:rPr>
          <w:rStyle w:val="45"/>
          <w:rFonts w:hint="eastAsia" w:ascii="宋体" w:hAnsi="宋体"/>
          <w:color w:val="000000" w:themeColor="text1"/>
          <w:sz w:val="24"/>
          <w:lang w:val="zh-CN"/>
          <w14:textFill>
            <w14:solidFill>
              <w14:schemeClr w14:val="tx1"/>
            </w14:solidFill>
          </w14:textFill>
        </w:rPr>
        <w:t>第二章</w:t>
      </w:r>
      <w:r>
        <w:rPr>
          <w:rStyle w:val="45"/>
          <w:rFonts w:ascii="宋体" w:hAnsi="宋体"/>
          <w:color w:val="000000" w:themeColor="text1"/>
          <w:sz w:val="24"/>
          <w:lang w:val="zh-CN"/>
          <w14:textFill>
            <w14:solidFill>
              <w14:schemeClr w14:val="tx1"/>
            </w14:solidFill>
          </w14:textFill>
        </w:rPr>
        <w:t xml:space="preserve">  </w:t>
      </w:r>
      <w:r>
        <w:rPr>
          <w:rStyle w:val="45"/>
          <w:rFonts w:hint="eastAsia" w:ascii="宋体" w:hAnsi="宋体"/>
          <w:color w:val="000000" w:themeColor="text1"/>
          <w:sz w:val="24"/>
          <w:lang w:val="zh-CN"/>
          <w14:textFill>
            <w14:solidFill>
              <w14:schemeClr w14:val="tx1"/>
            </w14:solidFill>
          </w14:textFill>
        </w:rPr>
        <w:t>投标须知</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_Toc54798359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pPr>
        <w:pStyle w:val="28"/>
        <w:tabs>
          <w:tab w:val="right" w:leader="dot" w:pos="9572"/>
        </w:tabs>
        <w:spacing w:line="480" w:lineRule="auto"/>
        <w:rPr>
          <w:rFonts w:hint="eastAsia" w:ascii="宋体" w:hAnsi="宋体" w:eastAsia="宋体"/>
          <w:color w:val="000000" w:themeColor="text1"/>
          <w:sz w:val="24"/>
          <w:lang w:val="en-US" w:eastAsia="zh-CN"/>
          <w14:textFill>
            <w14:solidFill>
              <w14:schemeClr w14:val="tx1"/>
            </w14:solidFill>
          </w14:textFill>
        </w:rPr>
      </w:pPr>
      <w:r>
        <w:fldChar w:fldCharType="begin"/>
      </w:r>
      <w:r>
        <w:instrText xml:space="preserve"> HYPERLINK \l "_Toc54798360" </w:instrText>
      </w:r>
      <w:r>
        <w:fldChar w:fldCharType="separate"/>
      </w:r>
      <w:r>
        <w:rPr>
          <w:rStyle w:val="45"/>
          <w:rFonts w:hint="eastAsia" w:ascii="宋体" w:hAnsi="宋体"/>
          <w:color w:val="000000" w:themeColor="text1"/>
          <w:sz w:val="24"/>
          <w:lang w:val="zh-CN"/>
          <w14:textFill>
            <w14:solidFill>
              <w14:schemeClr w14:val="tx1"/>
            </w14:solidFill>
          </w14:textFill>
        </w:rPr>
        <w:t>第三章</w:t>
      </w:r>
      <w:r>
        <w:rPr>
          <w:rStyle w:val="45"/>
          <w:rFonts w:ascii="宋体" w:hAnsi="宋体"/>
          <w:color w:val="000000" w:themeColor="text1"/>
          <w:sz w:val="24"/>
          <w:lang w:val="zh-CN"/>
          <w14:textFill>
            <w14:solidFill>
              <w14:schemeClr w14:val="tx1"/>
            </w14:solidFill>
          </w14:textFill>
        </w:rPr>
        <w:t xml:space="preserve"> </w:t>
      </w:r>
      <w:r>
        <w:rPr>
          <w:rStyle w:val="45"/>
          <w:rFonts w:hint="eastAsia" w:ascii="宋体" w:hAnsi="宋体"/>
          <w:color w:val="000000" w:themeColor="text1"/>
          <w:sz w:val="24"/>
          <w:lang w:val="zh-CN"/>
          <w14:textFill>
            <w14:solidFill>
              <w14:schemeClr w14:val="tx1"/>
            </w14:solidFill>
          </w14:textFill>
        </w:rPr>
        <w:t>采购内容及要求采购清单</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lang w:val="en-US" w:eastAsia="zh-CN"/>
          <w14:textFill>
            <w14:solidFill>
              <w14:schemeClr w14:val="tx1"/>
            </w14:solidFill>
          </w14:textFill>
        </w:rPr>
        <w:t>2</w:t>
      </w:r>
    </w:p>
    <w:p>
      <w:pPr>
        <w:pStyle w:val="28"/>
        <w:tabs>
          <w:tab w:val="right" w:leader="dot" w:pos="9572"/>
        </w:tabs>
        <w:spacing w:line="480" w:lineRule="auto"/>
        <w:rPr>
          <w:rFonts w:hint="eastAsia" w:ascii="宋体" w:hAnsi="宋体" w:eastAsia="宋体"/>
          <w:color w:val="000000" w:themeColor="text1"/>
          <w:sz w:val="24"/>
          <w:lang w:val="en-US" w:eastAsia="zh-CN"/>
          <w14:textFill>
            <w14:solidFill>
              <w14:schemeClr w14:val="tx1"/>
            </w14:solidFill>
          </w14:textFill>
        </w:rPr>
      </w:pPr>
      <w:r>
        <w:fldChar w:fldCharType="begin"/>
      </w:r>
      <w:r>
        <w:instrText xml:space="preserve"> HYPERLINK \l "_Toc54798361" </w:instrText>
      </w:r>
      <w:r>
        <w:fldChar w:fldCharType="separate"/>
      </w:r>
      <w:r>
        <w:rPr>
          <w:rStyle w:val="45"/>
          <w:rFonts w:hint="eastAsia" w:ascii="宋体" w:hAnsi="宋体"/>
          <w:color w:val="000000" w:themeColor="text1"/>
          <w:sz w:val="24"/>
          <w:lang w:val="zh-CN"/>
          <w14:textFill>
            <w14:solidFill>
              <w14:schemeClr w14:val="tx1"/>
            </w14:solidFill>
          </w14:textFill>
        </w:rPr>
        <w:t>第四章</w:t>
      </w:r>
      <w:r>
        <w:rPr>
          <w:rStyle w:val="45"/>
          <w:rFonts w:ascii="宋体" w:hAnsi="宋体"/>
          <w:color w:val="000000" w:themeColor="text1"/>
          <w:sz w:val="24"/>
          <w:lang w:val="zh-CN"/>
          <w14:textFill>
            <w14:solidFill>
              <w14:schemeClr w14:val="tx1"/>
            </w14:solidFill>
          </w14:textFill>
        </w:rPr>
        <w:t xml:space="preserve"> </w:t>
      </w:r>
      <w:r>
        <w:rPr>
          <w:rStyle w:val="45"/>
          <w:rFonts w:hint="eastAsia" w:ascii="宋体" w:hAnsi="宋体"/>
          <w:color w:val="000000" w:themeColor="text1"/>
          <w:sz w:val="24"/>
          <w:lang w:val="zh-CN"/>
          <w14:textFill>
            <w14:solidFill>
              <w14:schemeClr w14:val="tx1"/>
            </w14:solidFill>
          </w14:textFill>
        </w:rPr>
        <w:t>评标办法</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lang w:val="en-US" w:eastAsia="zh-CN"/>
          <w14:textFill>
            <w14:solidFill>
              <w14:schemeClr w14:val="tx1"/>
            </w14:solidFill>
          </w14:textFill>
        </w:rPr>
        <w:t>4</w:t>
      </w:r>
    </w:p>
    <w:p>
      <w:pPr>
        <w:pStyle w:val="28"/>
        <w:tabs>
          <w:tab w:val="right" w:leader="dot" w:pos="9572"/>
        </w:tabs>
        <w:spacing w:line="480" w:lineRule="auto"/>
        <w:rPr>
          <w:rFonts w:hint="eastAsia" w:ascii="宋体" w:hAnsi="宋体" w:eastAsia="宋体"/>
          <w:color w:val="000000" w:themeColor="text1"/>
          <w:sz w:val="24"/>
          <w:lang w:eastAsia="zh-CN"/>
          <w14:textFill>
            <w14:solidFill>
              <w14:schemeClr w14:val="tx1"/>
            </w14:solidFill>
          </w14:textFill>
        </w:rPr>
      </w:pPr>
      <w:r>
        <w:fldChar w:fldCharType="begin"/>
      </w:r>
      <w:r>
        <w:instrText xml:space="preserve"> HYPERLINK \l "_Toc54798362" </w:instrText>
      </w:r>
      <w:r>
        <w:fldChar w:fldCharType="separate"/>
      </w:r>
      <w:r>
        <w:rPr>
          <w:rStyle w:val="45"/>
          <w:rFonts w:hint="eastAsia" w:ascii="宋体" w:hAnsi="宋体"/>
          <w:color w:val="000000" w:themeColor="text1"/>
          <w:sz w:val="24"/>
          <w:lang w:val="zh-CN"/>
          <w14:textFill>
            <w14:solidFill>
              <w14:schemeClr w14:val="tx1"/>
            </w14:solidFill>
          </w14:textFill>
        </w:rPr>
        <w:t>第五章</w:t>
      </w:r>
      <w:r>
        <w:rPr>
          <w:rStyle w:val="45"/>
          <w:rFonts w:ascii="宋体" w:hAnsi="宋体"/>
          <w:color w:val="000000" w:themeColor="text1"/>
          <w:sz w:val="24"/>
          <w:lang w:val="zh-CN"/>
          <w14:textFill>
            <w14:solidFill>
              <w14:schemeClr w14:val="tx1"/>
            </w14:solidFill>
          </w14:textFill>
        </w:rPr>
        <w:t xml:space="preserve">  </w:t>
      </w:r>
      <w:r>
        <w:rPr>
          <w:rStyle w:val="45"/>
          <w:rFonts w:hint="eastAsia" w:ascii="宋体" w:hAnsi="宋体"/>
          <w:color w:val="000000" w:themeColor="text1"/>
          <w:sz w:val="24"/>
          <w:lang w:val="zh-CN"/>
          <w14:textFill>
            <w14:solidFill>
              <w14:schemeClr w14:val="tx1"/>
            </w14:solidFill>
          </w14:textFill>
        </w:rPr>
        <w:t>拟签订的合同</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lang w:val="en-US" w:eastAsia="zh-CN"/>
          <w14:textFill>
            <w14:solidFill>
              <w14:schemeClr w14:val="tx1"/>
            </w14:solidFill>
          </w14:textFill>
        </w:rPr>
        <w:t>8</w:t>
      </w:r>
    </w:p>
    <w:p>
      <w:pPr>
        <w:pStyle w:val="28"/>
        <w:tabs>
          <w:tab w:val="right" w:leader="dot" w:pos="9572"/>
        </w:tabs>
        <w:spacing w:line="480" w:lineRule="auto"/>
        <w:rPr>
          <w:rFonts w:hint="default" w:ascii="宋体" w:hAnsi="宋体" w:eastAsia="宋体"/>
          <w:color w:val="000000" w:themeColor="text1"/>
          <w:sz w:val="24"/>
          <w:lang w:val="en-US" w:eastAsia="zh-CN"/>
          <w14:textFill>
            <w14:solidFill>
              <w14:schemeClr w14:val="tx1"/>
            </w14:solidFill>
          </w14:textFill>
        </w:rPr>
      </w:pPr>
      <w:r>
        <w:fldChar w:fldCharType="begin"/>
      </w:r>
      <w:r>
        <w:instrText xml:space="preserve"> HYPERLINK \l "_Toc54798362" </w:instrText>
      </w:r>
      <w:r>
        <w:fldChar w:fldCharType="separate"/>
      </w:r>
      <w:r>
        <w:rPr>
          <w:rStyle w:val="45"/>
          <w:rFonts w:hint="eastAsia" w:ascii="宋体" w:hAnsi="宋体"/>
          <w:color w:val="000000" w:themeColor="text1"/>
          <w:sz w:val="24"/>
          <w:lang w:val="zh-CN"/>
          <w14:textFill>
            <w14:solidFill>
              <w14:schemeClr w14:val="tx1"/>
            </w14:solidFill>
          </w14:textFill>
        </w:rPr>
        <w:t>第七章</w:t>
      </w:r>
      <w:r>
        <w:rPr>
          <w:rStyle w:val="45"/>
          <w:rFonts w:ascii="宋体" w:hAnsi="宋体"/>
          <w:color w:val="000000" w:themeColor="text1"/>
          <w:sz w:val="24"/>
          <w:lang w:val="zh-CN"/>
          <w14:textFill>
            <w14:solidFill>
              <w14:schemeClr w14:val="tx1"/>
            </w14:solidFill>
          </w14:textFill>
        </w:rPr>
        <w:t xml:space="preserve">  </w:t>
      </w:r>
      <w:r>
        <w:rPr>
          <w:rStyle w:val="45"/>
          <w:rFonts w:hint="eastAsia" w:ascii="宋体" w:hAnsi="宋体"/>
          <w:color w:val="000000" w:themeColor="text1"/>
          <w:sz w:val="24"/>
          <w:lang w:val="zh-CN"/>
          <w14:textFill>
            <w14:solidFill>
              <w14:schemeClr w14:val="tx1"/>
            </w14:solidFill>
          </w14:textFill>
        </w:rPr>
        <w:t>投标文件相关格式</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lang w:val="en-US" w:eastAsia="zh-CN"/>
          <w14:textFill>
            <w14:solidFill>
              <w14:schemeClr w14:val="tx1"/>
            </w14:solidFill>
          </w14:textFill>
        </w:rPr>
        <w:t>75</w:t>
      </w:r>
    </w:p>
    <w:p>
      <w:pPr>
        <w:pStyle w:val="95"/>
        <w:rPr>
          <w:color w:val="000000" w:themeColor="text1"/>
          <w14:textFill>
            <w14:solidFill>
              <w14:schemeClr w14:val="tx1"/>
            </w14:solidFill>
          </w14:textFill>
        </w:rPr>
      </w:pPr>
      <w:r>
        <w:rPr>
          <w:color w:val="000000" w:themeColor="text1"/>
          <w:lang w:eastAsia="zh-Hans"/>
          <w14:textFill>
            <w14:solidFill>
              <w14:schemeClr w14:val="tx1"/>
            </w14:solidFill>
          </w14:textFill>
        </w:rPr>
        <w:fldChar w:fldCharType="end"/>
      </w:r>
      <w:bookmarkEnd w:id="0"/>
      <w:r>
        <w:rPr>
          <w:color w:val="000000" w:themeColor="text1"/>
          <w14:textFill>
            <w14:solidFill>
              <w14:schemeClr w14:val="tx1"/>
            </w14:solidFill>
          </w14:textFill>
        </w:rPr>
        <w:t xml:space="preserve"> </w:t>
      </w:r>
    </w:p>
    <w:p>
      <w:pPr>
        <w:pStyle w:val="95"/>
        <w:numPr>
          <w:ilvl w:val="0"/>
          <w:numId w:val="3"/>
        </w:numPr>
        <w:jc w:val="center"/>
        <w:rPr>
          <w:rFonts w:ascii="Calibri" w:hAnsi="Calibri"/>
          <w:b/>
          <w:bCs/>
          <w:color w:val="000000" w:themeColor="text1"/>
          <w:kern w:val="44"/>
          <w:sz w:val="32"/>
          <w:szCs w:val="32"/>
          <w14:textFill>
            <w14:solidFill>
              <w14:schemeClr w14:val="tx1"/>
            </w14:solidFill>
          </w14:textFill>
        </w:rPr>
      </w:pPr>
      <w:r>
        <w:rPr>
          <w:color w:val="000000" w:themeColor="text1"/>
          <w:szCs w:val="21"/>
          <w14:textFill>
            <w14:solidFill>
              <w14:schemeClr w14:val="tx1"/>
            </w14:solidFill>
          </w14:textFill>
        </w:rPr>
        <w:br w:type="page"/>
      </w:r>
      <w:bookmarkStart w:id="1" w:name="_Toc54798358"/>
      <w:bookmarkStart w:id="2" w:name="_Toc1457598368"/>
      <w:bookmarkStart w:id="3" w:name="_Toc803546091"/>
      <w:r>
        <w:rPr>
          <w:rFonts w:hint="eastAsia" w:ascii="Calibri" w:hAnsi="Calibri"/>
          <w:b/>
          <w:bCs/>
          <w:color w:val="000000" w:themeColor="text1"/>
          <w:kern w:val="44"/>
          <w:sz w:val="32"/>
          <w:szCs w:val="32"/>
          <w14:textFill>
            <w14:solidFill>
              <w14:schemeClr w14:val="tx1"/>
            </w14:solidFill>
          </w14:textFill>
        </w:rPr>
        <w:t>公开招标采购公告</w:t>
      </w:r>
      <w:bookmarkEnd w:id="1"/>
      <w:bookmarkEnd w:id="2"/>
      <w:bookmarkEnd w:id="3"/>
    </w:p>
    <w:p>
      <w:pPr>
        <w:pBdr>
          <w:top w:val="single" w:color="auto" w:sz="4" w:space="1"/>
          <w:left w:val="single" w:color="auto" w:sz="4" w:space="4"/>
          <w:bottom w:val="single" w:color="auto" w:sz="4" w:space="1"/>
          <w:right w:val="single" w:color="auto" w:sz="4" w:space="4"/>
        </w:pBdr>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常山县乡村振兴特色产业园大数据中心项目的潜在投标人应在</w:t>
      </w:r>
      <w:r>
        <w:rPr>
          <w:rFonts w:hint="eastAsia" w:ascii="宋体" w:hAnsi="宋体" w:cs="宋体"/>
          <w:color w:val="000000" w:themeColor="text1"/>
          <w:szCs w:val="21"/>
          <w:u w:val="single"/>
          <w14:textFill>
            <w14:solidFill>
              <w14:schemeClr w14:val="tx1"/>
            </w14:solidFill>
          </w14:textFill>
        </w:rPr>
        <w:t>政府采购云平台（</w:t>
      </w:r>
      <w:r>
        <w:rPr>
          <w:rFonts w:ascii="宋体" w:hAnsi="宋体" w:cs="宋体"/>
          <w:color w:val="000000" w:themeColor="text1"/>
          <w:szCs w:val="21"/>
          <w:u w:val="single"/>
          <w14:textFill>
            <w14:solidFill>
              <w14:schemeClr w14:val="tx1"/>
            </w14:solidFill>
          </w14:textFill>
        </w:rPr>
        <w:t>www.zcygov.cn</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2020</w:t>
      </w:r>
      <w:r>
        <w:rPr>
          <w:rFonts w:hint="eastAsia" w:ascii="宋体" w:hAnsi="宋体" w:cs="宋体"/>
          <w:bCs/>
          <w:color w:val="000000" w:themeColor="text1"/>
          <w:szCs w:val="21"/>
          <w:u w:val="single"/>
          <w14:textFill>
            <w14:solidFill>
              <w14:schemeClr w14:val="tx1"/>
            </w14:solidFill>
          </w14:textFill>
        </w:rPr>
        <w:t>年</w:t>
      </w:r>
      <w:r>
        <w:rPr>
          <w:rFonts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14:textFill>
            <w14:solidFill>
              <w14:schemeClr w14:val="tx1"/>
            </w14:solidFill>
          </w14:textFill>
        </w:rPr>
        <w:t>11月2</w:t>
      </w:r>
      <w:r>
        <w:rPr>
          <w:rFonts w:hint="eastAsia" w:ascii="宋体" w:hAnsi="宋体" w:cs="宋体"/>
          <w:bCs/>
          <w:color w:val="000000" w:themeColor="text1"/>
          <w:szCs w:val="21"/>
          <w:u w:val="single"/>
          <w:lang w:val="en-US" w:eastAsia="zh-CN"/>
          <w14:textFill>
            <w14:solidFill>
              <w14:schemeClr w14:val="tx1"/>
            </w14:solidFill>
          </w14:textFill>
        </w:rPr>
        <w:t>5</w:t>
      </w:r>
      <w:r>
        <w:rPr>
          <w:rFonts w:hint="eastAsia" w:ascii="宋体" w:hAnsi="宋体" w:cs="宋体"/>
          <w:bCs/>
          <w:color w:val="000000" w:themeColor="text1"/>
          <w:szCs w:val="21"/>
          <w:u w:val="single"/>
          <w14:textFill>
            <w14:solidFill>
              <w14:schemeClr w14:val="tx1"/>
            </w14:solidFill>
          </w14:textFill>
        </w:rPr>
        <w:t>日9点30分（</w:t>
      </w:r>
      <w:r>
        <w:rPr>
          <w:rFonts w:hint="eastAsia" w:ascii="宋体" w:hAnsi="宋体" w:cs="宋体"/>
          <w:bCs/>
          <w:color w:val="000000" w:themeColor="text1"/>
          <w:szCs w:val="21"/>
          <w14:textFill>
            <w14:solidFill>
              <w14:schemeClr w14:val="tx1"/>
            </w14:solidFill>
          </w14:textFill>
        </w:rPr>
        <w:t>北京时间）前递交（上传）投标文件</w:t>
      </w:r>
      <w:r>
        <w:rPr>
          <w:rFonts w:hint="eastAsia" w:ascii="宋体" w:hAnsi="宋体" w:cs="宋体"/>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p>
    <w:p>
      <w:pPr>
        <w:pStyle w:val="7"/>
        <w:spacing w:before="0" w:after="0" w:line="44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一、项目基本情况</w:t>
      </w:r>
    </w:p>
    <w:p>
      <w:pPr>
        <w:spacing w:line="440" w:lineRule="exact"/>
        <w:ind w:firstLine="212"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ascii="宋体" w:hAnsi="宋体" w:cs="宋体"/>
          <w:color w:val="000000" w:themeColor="text1"/>
          <w:szCs w:val="21"/>
          <w14:textFill>
            <w14:solidFill>
              <w14:schemeClr w14:val="tx1"/>
            </w14:solidFill>
          </w14:textFill>
        </w:rPr>
        <w:t>ZJCY-GK-2020005</w:t>
      </w:r>
    </w:p>
    <w:p>
      <w:pPr>
        <w:spacing w:line="440" w:lineRule="exact"/>
        <w:ind w:firstLine="212"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常山县乡村振兴特色产业园大数据中心项目</w:t>
      </w:r>
    </w:p>
    <w:p>
      <w:pPr>
        <w:spacing w:line="440" w:lineRule="exact"/>
        <w:ind w:firstLine="212"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w:t>
      </w:r>
      <w:r>
        <w:rPr>
          <w:rFonts w:ascii="宋体" w:hAnsi="宋体" w:cs="宋体"/>
          <w:color w:val="000000" w:themeColor="text1"/>
          <w:szCs w:val="21"/>
          <w14:textFill>
            <w14:solidFill>
              <w14:schemeClr w14:val="tx1"/>
            </w14:solidFill>
          </w14:textFill>
        </w:rPr>
        <w:t>2190</w:t>
      </w:r>
      <w:r>
        <w:rPr>
          <w:rFonts w:hint="eastAsia" w:ascii="宋体" w:hAnsi="宋体" w:cs="宋体"/>
          <w:color w:val="000000" w:themeColor="text1"/>
          <w:szCs w:val="21"/>
          <w14:textFill>
            <w14:solidFill>
              <w14:schemeClr w14:val="tx1"/>
            </w14:solidFill>
          </w14:textFill>
        </w:rPr>
        <w:t>万元</w:t>
      </w:r>
    </w:p>
    <w:p>
      <w:pPr>
        <w:autoSpaceDE w:val="0"/>
        <w:autoSpaceDN w:val="0"/>
        <w:spacing w:line="440" w:lineRule="exact"/>
        <w:ind w:firstLine="212"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r>
        <w:rPr>
          <w:rFonts w:ascii="宋体" w:hAnsi="宋体" w:cs="宋体"/>
          <w:color w:val="000000" w:themeColor="text1"/>
          <w:szCs w:val="21"/>
          <w14:textFill>
            <w14:solidFill>
              <w14:schemeClr w14:val="tx1"/>
            </w14:solidFill>
          </w14:textFill>
        </w:rPr>
        <w:t>/</w:t>
      </w:r>
    </w:p>
    <w:p>
      <w:pPr>
        <w:spacing w:line="440" w:lineRule="exact"/>
        <w:ind w:firstLine="212"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p>
    <w:tbl>
      <w:tblPr>
        <w:tblStyle w:val="39"/>
        <w:tblW w:w="88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558"/>
        <w:gridCol w:w="843"/>
        <w:gridCol w:w="807"/>
        <w:gridCol w:w="1403"/>
        <w:gridCol w:w="2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5"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2558"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采购内容</w:t>
            </w:r>
          </w:p>
        </w:tc>
        <w:tc>
          <w:tcPr>
            <w:tcW w:w="843"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w:t>
            </w:r>
          </w:p>
        </w:tc>
        <w:tc>
          <w:tcPr>
            <w:tcW w:w="8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w:t>
            </w:r>
          </w:p>
        </w:tc>
        <w:tc>
          <w:tcPr>
            <w:tcW w:w="14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预算金额</w:t>
            </w:r>
          </w:p>
        </w:tc>
        <w:tc>
          <w:tcPr>
            <w:tcW w:w="2584"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简要的技术规格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85"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2558"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常山县乡村振兴特色产业园大数据中心项目</w:t>
            </w:r>
          </w:p>
        </w:tc>
        <w:tc>
          <w:tcPr>
            <w:tcW w:w="843" w:type="dxa"/>
            <w:tcBorders>
              <w:top w:val="single" w:color="auto" w:sz="4" w:space="0"/>
              <w:left w:val="single" w:color="auto" w:sz="4" w:space="0"/>
              <w:right w:val="single" w:color="auto" w:sz="4" w:space="0"/>
            </w:tcBorders>
            <w:vAlign w:val="center"/>
          </w:tcPr>
          <w:p>
            <w:pPr>
              <w:widowControl/>
              <w:spacing w:line="440" w:lineRule="exact"/>
              <w:ind w:firstLine="212" w:firstLineChars="10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807" w:type="dxa"/>
            <w:tcBorders>
              <w:top w:val="single" w:color="auto" w:sz="4" w:space="0"/>
              <w:left w:val="single" w:color="auto" w:sz="4" w:space="0"/>
              <w:right w:val="single" w:color="auto" w:sz="4" w:space="0"/>
            </w:tcBorders>
            <w:vAlign w:val="center"/>
          </w:tcPr>
          <w:p>
            <w:pPr>
              <w:spacing w:line="440" w:lineRule="exact"/>
              <w:ind w:firstLine="212"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c>
          <w:tcPr>
            <w:tcW w:w="1403" w:type="dxa"/>
            <w:tcBorders>
              <w:top w:val="single" w:color="auto" w:sz="4" w:space="0"/>
              <w:left w:val="single" w:color="auto" w:sz="4" w:space="0"/>
              <w:right w:val="single" w:color="auto" w:sz="4" w:space="0"/>
            </w:tcBorders>
            <w:vAlign w:val="center"/>
          </w:tcPr>
          <w:p>
            <w:pPr>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2190</w:t>
            </w:r>
            <w:r>
              <w:rPr>
                <w:rFonts w:hint="eastAsia" w:ascii="宋体" w:hAnsi="宋体" w:cs="宋体"/>
                <w:color w:val="000000" w:themeColor="text1"/>
                <w:szCs w:val="21"/>
                <w14:textFill>
                  <w14:solidFill>
                    <w14:schemeClr w14:val="tx1"/>
                  </w14:solidFill>
                </w14:textFill>
              </w:rPr>
              <w:t>万元</w:t>
            </w:r>
          </w:p>
        </w:tc>
        <w:tc>
          <w:tcPr>
            <w:tcW w:w="2584"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详见附件</w:t>
            </w:r>
          </w:p>
        </w:tc>
      </w:tr>
    </w:tbl>
    <w:p>
      <w:pPr>
        <w:spacing w:line="42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合同履行期限：三年</w:t>
      </w:r>
    </w:p>
    <w:p>
      <w:pPr>
        <w:spacing w:line="4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本项目接受联合体投标。</w:t>
      </w:r>
    </w:p>
    <w:p>
      <w:pPr>
        <w:pStyle w:val="7"/>
        <w:spacing w:before="0" w:after="0" w:line="42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二、申请人的资格要求：</w:t>
      </w:r>
    </w:p>
    <w:p>
      <w:pPr>
        <w:spacing w:line="420" w:lineRule="exact"/>
        <w:ind w:firstLine="212"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满足《中华人民共和国政府采购法》第二十二条规定；</w:t>
      </w:r>
    </w:p>
    <w:p>
      <w:pPr>
        <w:spacing w:line="420" w:lineRule="exact"/>
        <w:ind w:firstLine="212"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必须为未被列入“信用中国”网站</w:t>
      </w:r>
      <w:r>
        <w:rPr>
          <w:rFonts w:ascii="宋体" w:hAnsi="宋体" w:cs="宋体"/>
          <w:color w:val="000000" w:themeColor="text1"/>
          <w:szCs w:val="21"/>
          <w14:textFill>
            <w14:solidFill>
              <w14:schemeClr w14:val="tx1"/>
            </w14:solidFill>
          </w14:textFill>
        </w:rPr>
        <w:t>(</w:t>
      </w:r>
      <w:r>
        <w:fldChar w:fldCharType="begin"/>
      </w:r>
      <w:r>
        <w:instrText xml:space="preserve"> HYPERLINK "http://www.creditchina.gov.cn/" \t "_blank" </w:instrText>
      </w:r>
      <w:r>
        <w:fldChar w:fldCharType="separate"/>
      </w:r>
      <w:r>
        <w:rPr>
          <w:rFonts w:ascii="宋体" w:hAnsi="宋体" w:cs="宋体"/>
          <w:color w:val="000000" w:themeColor="text1"/>
          <w:szCs w:val="21"/>
          <w14:textFill>
            <w14:solidFill>
              <w14:schemeClr w14:val="tx1"/>
            </w14:solidFill>
          </w14:textFill>
        </w:rPr>
        <w:t>www.creditchina.gov.cn</w:t>
      </w:r>
      <w:r>
        <w:rPr>
          <w:rFonts w:ascii="宋体" w:hAnsi="宋体" w:cs="宋体"/>
          <w:color w:val="000000" w:themeColor="text1"/>
          <w:szCs w:val="21"/>
          <w14:textFill>
            <w14:solidFill>
              <w14:schemeClr w14:val="tx1"/>
            </w14:solidFill>
          </w14:textFill>
        </w:rPr>
        <w:fldChar w:fldCharType="end"/>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、中国政府采购网</w:t>
      </w:r>
      <w:r>
        <w:rPr>
          <w:rFonts w:ascii="宋体" w:hAnsi="宋体" w:cs="宋体"/>
          <w:color w:val="000000" w:themeColor="text1"/>
          <w:szCs w:val="21"/>
          <w14:textFill>
            <w14:solidFill>
              <w14:schemeClr w14:val="tx1"/>
            </w14:solidFill>
          </w14:textFill>
        </w:rPr>
        <w:t>(</w:t>
      </w:r>
      <w:r>
        <w:fldChar w:fldCharType="begin"/>
      </w:r>
      <w:r>
        <w:instrText xml:space="preserve"> HYPERLINK "http://www.ccgp.gov.cn/" \t "_blank" </w:instrText>
      </w:r>
      <w:r>
        <w:fldChar w:fldCharType="separate"/>
      </w:r>
      <w:r>
        <w:rPr>
          <w:rFonts w:ascii="宋体" w:hAnsi="宋体" w:cs="宋体"/>
          <w:color w:val="000000" w:themeColor="text1"/>
          <w:szCs w:val="21"/>
          <w14:textFill>
            <w14:solidFill>
              <w14:schemeClr w14:val="tx1"/>
            </w14:solidFill>
          </w14:textFill>
        </w:rPr>
        <w:t>www.ccgp.gov.cn</w:t>
      </w:r>
      <w:r>
        <w:rPr>
          <w:rFonts w:ascii="宋体" w:hAnsi="宋体" w:cs="宋体"/>
          <w:color w:val="000000" w:themeColor="text1"/>
          <w:szCs w:val="21"/>
          <w14:textFill>
            <w14:solidFill>
              <w14:schemeClr w14:val="tx1"/>
            </w14:solidFill>
          </w14:textFill>
        </w:rPr>
        <w:fldChar w:fldCharType="end"/>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渠道信用记录失信被执行人、重大税收违法案件当事人名单、政府采购严重违法失信行为记录名单的投标人。</w:t>
      </w:r>
    </w:p>
    <w:p>
      <w:pPr>
        <w:spacing w:line="420" w:lineRule="exact"/>
        <w:ind w:firstLine="212" w:firstLineChars="100"/>
        <w:rPr>
          <w:rFonts w:hint="eastAsia" w:ascii="宋体" w:hAnsi="宋体" w:cs="宋体"/>
          <w:color w:val="000000" w:themeColor="text1"/>
          <w:szCs w:val="21"/>
          <w:lang w:eastAsia="zh-CN"/>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落实政府采购政策需满足的资格要求：</w:t>
      </w:r>
      <w:r>
        <w:rPr>
          <w:rFonts w:hint="eastAsia" w:ascii="宋体" w:hAnsi="宋体" w:cs="宋体"/>
          <w:color w:val="000000" w:themeColor="text1"/>
          <w:szCs w:val="21"/>
          <w:u w:val="single"/>
          <w:lang w:eastAsia="zh-CN"/>
          <w14:textFill>
            <w14:solidFill>
              <w14:schemeClr w14:val="tx1"/>
            </w14:solidFill>
          </w14:textFill>
        </w:rPr>
        <w:t>无</w:t>
      </w:r>
    </w:p>
    <w:p>
      <w:pPr>
        <w:spacing w:line="420" w:lineRule="exact"/>
        <w:ind w:firstLine="212" w:firstLineChars="100"/>
        <w:rPr>
          <w:rFonts w:ascii="宋体" w:hAnsi="宋体" w:cs="宋体"/>
          <w:i/>
          <w:iCs/>
          <w:color w:val="000000" w:themeColor="text1"/>
          <w:szCs w:val="21"/>
          <w:u w:val="single"/>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本项目的特定资格要求：</w:t>
      </w:r>
      <w:r>
        <w:rPr>
          <w:rFonts w:hint="eastAsia" w:ascii="宋体" w:hAnsi="宋体" w:cs="宋体"/>
          <w:color w:val="000000" w:themeColor="text1"/>
          <w:szCs w:val="21"/>
          <w:u w:val="single"/>
          <w14:textFill>
            <w14:solidFill>
              <w14:schemeClr w14:val="tx1"/>
            </w14:solidFill>
          </w14:textFill>
        </w:rPr>
        <w:t>无</w:t>
      </w:r>
    </w:p>
    <w:p>
      <w:pPr>
        <w:pStyle w:val="7"/>
        <w:spacing w:before="0" w:after="0" w:line="42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三、获取招标文件</w:t>
      </w:r>
    </w:p>
    <w:p>
      <w:pPr>
        <w:spacing w:line="420" w:lineRule="exact"/>
        <w:ind w:firstLine="212"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r>
        <w:rPr>
          <w:rFonts w:ascii="宋体" w:hAnsi="宋体" w:cs="宋体"/>
          <w:color w:val="000000" w:themeColor="text1"/>
          <w:szCs w:val="21"/>
          <w:u w:val="single"/>
          <w14:textFill>
            <w14:solidFill>
              <w14:schemeClr w14:val="tx1"/>
            </w14:solidFill>
          </w14:textFill>
        </w:rPr>
        <w:t xml:space="preserve"> 2020</w:t>
      </w:r>
      <w:r>
        <w:rPr>
          <w:rFonts w:hint="eastAsia" w:ascii="宋体" w:hAnsi="宋体" w:cs="宋体"/>
          <w:color w:val="000000" w:themeColor="text1"/>
          <w:szCs w:val="21"/>
          <w:u w:val="single"/>
          <w14:textFill>
            <w14:solidFill>
              <w14:schemeClr w14:val="tx1"/>
            </w14:solidFill>
          </w14:textFill>
        </w:rPr>
        <w:t>年11月</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14:textFill>
            <w14:solidFill>
              <w14:schemeClr w14:val="tx1"/>
            </w14:solidFill>
          </w14:textFill>
        </w:rPr>
        <w:t>至</w:t>
      </w:r>
      <w:r>
        <w:rPr>
          <w:rFonts w:ascii="宋体" w:hAnsi="宋体" w:cs="宋体"/>
          <w:color w:val="000000" w:themeColor="text1"/>
          <w:szCs w:val="21"/>
          <w:u w:val="single"/>
          <w14:textFill>
            <w14:solidFill>
              <w14:schemeClr w14:val="tx1"/>
            </w14:solidFill>
          </w14:textFill>
        </w:rPr>
        <w:t xml:space="preserve"> 2020 </w:t>
      </w:r>
      <w:r>
        <w:rPr>
          <w:rFonts w:hint="eastAsia" w:ascii="宋体" w:hAnsi="宋体" w:cs="宋体"/>
          <w:color w:val="000000" w:themeColor="text1"/>
          <w:szCs w:val="21"/>
          <w:u w:val="single"/>
          <w14:textFill>
            <w14:solidFill>
              <w14:schemeClr w14:val="tx1"/>
            </w14:solidFill>
          </w14:textFill>
        </w:rPr>
        <w:t>年11月</w:t>
      </w:r>
      <w:r>
        <w:rPr>
          <w:rFonts w:hint="eastAsia" w:ascii="宋体" w:hAnsi="宋体" w:cs="宋体"/>
          <w:color w:val="000000" w:themeColor="text1"/>
          <w:szCs w:val="21"/>
          <w:u w:val="single"/>
          <w:lang w:val="en-US" w:eastAsia="zh-CN"/>
          <w14:textFill>
            <w14:solidFill>
              <w14:schemeClr w14:val="tx1"/>
            </w14:solidFill>
          </w14:textFill>
        </w:rPr>
        <w:t>25</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14:textFill>
            <w14:solidFill>
              <w14:schemeClr w14:val="tx1"/>
            </w14:solidFill>
          </w14:textFill>
        </w:rPr>
        <w:t>，每天上午</w:t>
      </w:r>
      <w:r>
        <w:rPr>
          <w:rFonts w:ascii="宋体" w:hAnsi="宋体" w:cs="宋体"/>
          <w:color w:val="000000" w:themeColor="text1"/>
          <w:szCs w:val="21"/>
          <w:u w:val="single"/>
          <w14:textFill>
            <w14:solidFill>
              <w14:schemeClr w14:val="tx1"/>
            </w14:solidFill>
          </w14:textFill>
        </w:rPr>
        <w:t>00</w:t>
      </w: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00</w:t>
      </w:r>
      <w:r>
        <w:rPr>
          <w:rFonts w:hint="eastAsia" w:ascii="宋体" w:hAnsi="宋体" w:cs="宋体"/>
          <w:color w:val="000000" w:themeColor="text1"/>
          <w:szCs w:val="21"/>
          <w14:textFill>
            <w14:solidFill>
              <w14:schemeClr w14:val="tx1"/>
            </w14:solidFill>
          </w14:textFill>
        </w:rPr>
        <w:t>至</w:t>
      </w:r>
      <w:r>
        <w:rPr>
          <w:rFonts w:ascii="宋体" w:hAnsi="宋体" w:cs="宋体"/>
          <w:color w:val="000000" w:themeColor="text1"/>
          <w:szCs w:val="21"/>
          <w:u w:val="single"/>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00</w:t>
      </w:r>
      <w:r>
        <w:rPr>
          <w:rFonts w:hint="eastAsia" w:ascii="宋体" w:hAnsi="宋体" w:cs="宋体"/>
          <w:color w:val="000000" w:themeColor="text1"/>
          <w:szCs w:val="21"/>
          <w14:textFill>
            <w14:solidFill>
              <w14:schemeClr w14:val="tx1"/>
            </w14:solidFill>
          </w14:textFill>
        </w:rPr>
        <w:t>，下午</w:t>
      </w:r>
      <w:r>
        <w:rPr>
          <w:rFonts w:ascii="宋体" w:hAnsi="宋体" w:cs="宋体"/>
          <w:color w:val="000000" w:themeColor="text1"/>
          <w:szCs w:val="21"/>
          <w:u w:val="single"/>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00</w:t>
      </w:r>
      <w:r>
        <w:rPr>
          <w:rFonts w:hint="eastAsia" w:ascii="宋体" w:hAnsi="宋体" w:cs="宋体"/>
          <w:color w:val="000000" w:themeColor="text1"/>
          <w:szCs w:val="21"/>
          <w14:textFill>
            <w14:solidFill>
              <w14:schemeClr w14:val="tx1"/>
            </w14:solidFill>
          </w14:textFill>
        </w:rPr>
        <w:t>至</w:t>
      </w:r>
      <w:r>
        <w:rPr>
          <w:rFonts w:ascii="宋体" w:hAnsi="宋体" w:cs="宋体"/>
          <w:color w:val="000000" w:themeColor="text1"/>
          <w:szCs w:val="21"/>
          <w:u w:val="single"/>
          <w14:textFill>
            <w14:solidFill>
              <w14:schemeClr w14:val="tx1"/>
            </w14:solidFill>
          </w14:textFill>
        </w:rPr>
        <w:t>23</w:t>
      </w: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59</w:t>
      </w:r>
      <w:r>
        <w:rPr>
          <w:rFonts w:hint="eastAsia" w:ascii="宋体" w:hAnsi="宋体" w:cs="宋体"/>
          <w:color w:val="000000" w:themeColor="text1"/>
          <w:szCs w:val="21"/>
          <w14:textFill>
            <w14:solidFill>
              <w14:schemeClr w14:val="tx1"/>
            </w14:solidFill>
          </w14:textFill>
        </w:rPr>
        <w:t>（北京时间）</w:t>
      </w:r>
    </w:p>
    <w:p>
      <w:pPr>
        <w:spacing w:line="420" w:lineRule="exact"/>
        <w:ind w:firstLine="212" w:firstLineChars="1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Style w:val="42"/>
          <w:rFonts w:hint="eastAsia" w:ascii="宋体" w:hAnsi="宋体" w:cs="宋体"/>
          <w:b w:val="0"/>
          <w:color w:val="000000" w:themeColor="text1"/>
          <w:szCs w:val="21"/>
          <w14:textFill>
            <w14:solidFill>
              <w14:schemeClr w14:val="tx1"/>
            </w14:solidFill>
          </w14:textFill>
        </w:rPr>
        <w:t>“政府采购云平台（</w:t>
      </w:r>
      <w:r>
        <w:rPr>
          <w:rStyle w:val="42"/>
          <w:rFonts w:ascii="宋体" w:hAnsi="宋体" w:cs="宋体"/>
          <w:b w:val="0"/>
          <w:color w:val="000000" w:themeColor="text1"/>
          <w:szCs w:val="21"/>
          <w14:textFill>
            <w14:solidFill>
              <w14:schemeClr w14:val="tx1"/>
            </w14:solidFill>
          </w14:textFill>
        </w:rPr>
        <w:t>www.zcygov.cn</w:t>
      </w:r>
      <w:r>
        <w:rPr>
          <w:rStyle w:val="42"/>
          <w:rFonts w:hint="eastAsia" w:ascii="宋体" w:hAnsi="宋体" w:cs="宋体"/>
          <w:b w:val="0"/>
          <w:color w:val="000000" w:themeColor="text1"/>
          <w:szCs w:val="21"/>
          <w14:textFill>
            <w14:solidFill>
              <w14:schemeClr w14:val="tx1"/>
            </w14:solidFill>
          </w14:textFill>
        </w:rPr>
        <w:t>）</w:t>
      </w:r>
    </w:p>
    <w:p>
      <w:pPr>
        <w:spacing w:line="420" w:lineRule="exact"/>
        <w:ind w:firstLine="212"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方式：进入“项目采购”应用，在获取采购文件菜单中选择项目，申请获取采购文件，仅需浏览采购文件的供应商可点击“游客，浏览采购文件”直接下载采购文件浏览。</w:t>
      </w:r>
    </w:p>
    <w:p>
      <w:pPr>
        <w:spacing w:line="420" w:lineRule="exact"/>
        <w:ind w:firstLine="212"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售价：</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元</w:t>
      </w:r>
    </w:p>
    <w:p>
      <w:pPr>
        <w:spacing w:line="420" w:lineRule="exact"/>
        <w:ind w:firstLine="424"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供应商获取采购文件前应先完成“政府采购云平台</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政府采购供应商入驻”（网址：</w:t>
      </w:r>
      <w:r>
        <w:rPr>
          <w:rFonts w:ascii="宋体" w:hAnsi="宋体" w:cs="宋体"/>
          <w:color w:val="000000" w:themeColor="text1"/>
          <w:szCs w:val="21"/>
          <w14:textFill>
            <w14:solidFill>
              <w14:schemeClr w14:val="tx1"/>
            </w14:solidFill>
          </w14:textFill>
        </w:rPr>
        <w:t>https://middle.zcygov.cn/settle-front/#/registry</w:t>
      </w:r>
      <w:r>
        <w:rPr>
          <w:rFonts w:hint="eastAsia" w:ascii="宋体" w:hAnsi="宋体" w:cs="宋体"/>
          <w:color w:val="000000" w:themeColor="text1"/>
          <w:szCs w:val="21"/>
          <w14:textFill>
            <w14:solidFill>
              <w14:schemeClr w14:val="tx1"/>
            </w14:solidFill>
          </w14:textFill>
        </w:rPr>
        <w:t>）；已注册供应商：（直接登陆</w:t>
      </w:r>
      <w:r>
        <w:rPr>
          <w:rFonts w:ascii="宋体" w:hAnsi="宋体" w:cs="宋体"/>
          <w:color w:val="000000" w:themeColor="text1"/>
          <w:szCs w:val="21"/>
          <w14:textFill>
            <w14:solidFill>
              <w14:schemeClr w14:val="tx1"/>
            </w14:solidFill>
          </w14:textFill>
        </w:rPr>
        <w:t xml:space="preserve">https://login.zcygov.cn/user-login/#/login </w:t>
      </w:r>
      <w:r>
        <w:rPr>
          <w:rFonts w:hint="eastAsia" w:ascii="宋体" w:hAnsi="宋体" w:cs="宋体"/>
          <w:color w:val="000000" w:themeColor="text1"/>
          <w:szCs w:val="21"/>
          <w14:textFill>
            <w14:solidFill>
              <w14:schemeClr w14:val="tx1"/>
            </w14:solidFill>
          </w14:textFill>
        </w:rPr>
        <w:t>）。</w:t>
      </w:r>
    </w:p>
    <w:p>
      <w:pPr>
        <w:spacing w:line="420" w:lineRule="exact"/>
        <w:ind w:firstLine="424" w:firstLineChars="200"/>
        <w:rPr>
          <w:rFonts w:ascii="宋体" w:hAnsi="宋体" w:cs="宋体"/>
          <w:b/>
          <w:bCs/>
          <w:color w:val="000000" w:themeColor="text1"/>
          <w:spacing w:val="-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示：招标公告附件内的招标文件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420" w:lineRule="exact"/>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注：请供应商按上述要求获取招标文件，如未在“政采云”系统内完成相关流程，引起的投标无效责任自负。</w:t>
      </w:r>
    </w:p>
    <w:p>
      <w:pPr>
        <w:pStyle w:val="7"/>
        <w:spacing w:before="0" w:after="0" w:line="42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四、提交投标文件截止时间、开标时间和地点</w:t>
      </w:r>
    </w:p>
    <w:p>
      <w:pPr>
        <w:pStyle w:val="35"/>
        <w:spacing w:before="0" w:beforeAutospacing="0" w:after="0" w:afterAutospacing="0" w:line="420" w:lineRule="exact"/>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1.</w:t>
      </w:r>
      <w:r>
        <w:rPr>
          <w:rFonts w:hint="eastAsia" w:cs="宋体"/>
          <w:color w:val="000000" w:themeColor="text1"/>
          <w:sz w:val="21"/>
          <w:szCs w:val="21"/>
          <w14:textFill>
            <w14:solidFill>
              <w14:schemeClr w14:val="tx1"/>
            </w14:solidFill>
          </w14:textFill>
        </w:rPr>
        <w:t>投标截止时间：</w:t>
      </w:r>
      <w:r>
        <w:rPr>
          <w:rFonts w:cs="宋体"/>
          <w:color w:val="000000" w:themeColor="text1"/>
          <w:sz w:val="21"/>
          <w:szCs w:val="21"/>
          <w14:textFill>
            <w14:solidFill>
              <w14:schemeClr w14:val="tx1"/>
            </w14:solidFill>
          </w14:textFill>
        </w:rPr>
        <w:t>2020</w:t>
      </w:r>
      <w:r>
        <w:rPr>
          <w:rFonts w:hint="eastAsia" w:cs="宋体"/>
          <w:color w:val="000000" w:themeColor="text1"/>
          <w:sz w:val="21"/>
          <w:szCs w:val="21"/>
          <w14:textFill>
            <w14:solidFill>
              <w14:schemeClr w14:val="tx1"/>
            </w14:solidFill>
          </w14:textFill>
        </w:rPr>
        <w:t>年11月2</w:t>
      </w:r>
      <w:r>
        <w:rPr>
          <w:rFonts w:hint="eastAsia" w:cs="宋体"/>
          <w:color w:val="000000" w:themeColor="text1"/>
          <w:sz w:val="21"/>
          <w:szCs w:val="21"/>
          <w:lang w:val="en-US" w:eastAsia="zh-CN"/>
          <w14:textFill>
            <w14:solidFill>
              <w14:schemeClr w14:val="tx1"/>
            </w14:solidFill>
          </w14:textFill>
        </w:rPr>
        <w:t>5</w:t>
      </w:r>
      <w:r>
        <w:rPr>
          <w:rFonts w:hint="eastAsia" w:cs="宋体"/>
          <w:color w:val="000000" w:themeColor="text1"/>
          <w:sz w:val="21"/>
          <w:szCs w:val="21"/>
          <w14:textFill>
            <w14:solidFill>
              <w14:schemeClr w14:val="tx1"/>
            </w14:solidFill>
          </w14:textFill>
        </w:rPr>
        <w:t>日9时30分（北京时间）</w:t>
      </w:r>
    </w:p>
    <w:p>
      <w:pPr>
        <w:pStyle w:val="35"/>
        <w:spacing w:before="0" w:beforeAutospacing="0" w:after="0" w:afterAutospacing="0" w:line="420" w:lineRule="exact"/>
        <w:rPr>
          <w:rFonts w:cs="宋体"/>
          <w:bCs/>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2.</w:t>
      </w:r>
      <w:r>
        <w:rPr>
          <w:rFonts w:hint="eastAsia" w:cs="宋体"/>
          <w:color w:val="000000" w:themeColor="text1"/>
          <w:sz w:val="21"/>
          <w:szCs w:val="21"/>
          <w14:textFill>
            <w14:solidFill>
              <w14:schemeClr w14:val="tx1"/>
            </w14:solidFill>
          </w14:textFill>
        </w:rPr>
        <w:t>投标地点：</w:t>
      </w:r>
      <w:r>
        <w:rPr>
          <w:rStyle w:val="42"/>
          <w:rFonts w:hint="eastAsia" w:cs="宋体"/>
          <w:b w:val="0"/>
          <w:color w:val="000000" w:themeColor="text1"/>
          <w:sz w:val="21"/>
          <w:szCs w:val="21"/>
          <w14:textFill>
            <w14:solidFill>
              <w14:schemeClr w14:val="tx1"/>
            </w14:solidFill>
          </w14:textFill>
        </w:rPr>
        <w:t>“政府采购云平台（</w:t>
      </w:r>
      <w:r>
        <w:rPr>
          <w:rStyle w:val="42"/>
          <w:rFonts w:cs="宋体"/>
          <w:b w:val="0"/>
          <w:color w:val="000000" w:themeColor="text1"/>
          <w:sz w:val="21"/>
          <w:szCs w:val="21"/>
          <w14:textFill>
            <w14:solidFill>
              <w14:schemeClr w14:val="tx1"/>
            </w14:solidFill>
          </w14:textFill>
        </w:rPr>
        <w:t>www.zcygov.cn</w:t>
      </w:r>
      <w:r>
        <w:rPr>
          <w:rStyle w:val="42"/>
          <w:rFonts w:hint="eastAsia" w:cs="宋体"/>
          <w:b w:val="0"/>
          <w:color w:val="000000" w:themeColor="text1"/>
          <w:sz w:val="21"/>
          <w:szCs w:val="21"/>
          <w14:textFill>
            <w14:solidFill>
              <w14:schemeClr w14:val="tx1"/>
            </w14:solidFill>
          </w14:textFill>
        </w:rPr>
        <w:t>）”在线递交。</w:t>
      </w:r>
    </w:p>
    <w:p>
      <w:pPr>
        <w:pStyle w:val="35"/>
        <w:spacing w:before="0" w:beforeAutospacing="0" w:after="0" w:afterAutospacing="0" w:line="420" w:lineRule="exact"/>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3.</w:t>
      </w:r>
      <w:r>
        <w:rPr>
          <w:rFonts w:hint="eastAsia" w:cs="宋体"/>
          <w:color w:val="000000" w:themeColor="text1"/>
          <w:sz w:val="21"/>
          <w:szCs w:val="21"/>
          <w14:textFill>
            <w14:solidFill>
              <w14:schemeClr w14:val="tx1"/>
            </w14:solidFill>
          </w14:textFill>
        </w:rPr>
        <w:t>开标时间：</w:t>
      </w:r>
      <w:r>
        <w:rPr>
          <w:rFonts w:cs="宋体"/>
          <w:color w:val="000000" w:themeColor="text1"/>
          <w:sz w:val="21"/>
          <w:szCs w:val="21"/>
          <w14:textFill>
            <w14:solidFill>
              <w14:schemeClr w14:val="tx1"/>
            </w14:solidFill>
          </w14:textFill>
        </w:rPr>
        <w:t>2020</w:t>
      </w:r>
      <w:r>
        <w:rPr>
          <w:rFonts w:hint="eastAsia" w:cs="宋体"/>
          <w:color w:val="000000" w:themeColor="text1"/>
          <w:sz w:val="21"/>
          <w:szCs w:val="21"/>
          <w14:textFill>
            <w14:solidFill>
              <w14:schemeClr w14:val="tx1"/>
            </w14:solidFill>
          </w14:textFill>
        </w:rPr>
        <w:t>年11月2</w:t>
      </w:r>
      <w:r>
        <w:rPr>
          <w:rFonts w:hint="eastAsia" w:cs="宋体"/>
          <w:color w:val="000000" w:themeColor="text1"/>
          <w:sz w:val="21"/>
          <w:szCs w:val="21"/>
          <w:lang w:val="en-US" w:eastAsia="zh-CN"/>
          <w14:textFill>
            <w14:solidFill>
              <w14:schemeClr w14:val="tx1"/>
            </w14:solidFill>
          </w14:textFill>
        </w:rPr>
        <w:t>5</w:t>
      </w:r>
      <w:r>
        <w:rPr>
          <w:rFonts w:hint="eastAsia" w:cs="宋体"/>
          <w:color w:val="000000" w:themeColor="text1"/>
          <w:sz w:val="21"/>
          <w:szCs w:val="21"/>
          <w14:textFill>
            <w14:solidFill>
              <w14:schemeClr w14:val="tx1"/>
            </w14:solidFill>
          </w14:textFill>
        </w:rPr>
        <w:t>日9时30分</w:t>
      </w:r>
    </w:p>
    <w:p>
      <w:pPr>
        <w:pStyle w:val="35"/>
        <w:spacing w:before="0" w:beforeAutospacing="0" w:after="0" w:afterAutospacing="0" w:line="420" w:lineRule="exac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开标地点：</w:t>
      </w:r>
      <w:r>
        <w:rPr>
          <w:rStyle w:val="42"/>
          <w:rFonts w:hint="eastAsia" w:cs="宋体"/>
          <w:b w:val="0"/>
          <w:color w:val="000000" w:themeColor="text1"/>
          <w:sz w:val="21"/>
          <w:szCs w:val="21"/>
          <w14:textFill>
            <w14:solidFill>
              <w14:schemeClr w14:val="tx1"/>
            </w14:solidFill>
          </w14:textFill>
        </w:rPr>
        <w:t>“政府采购云平台（</w:t>
      </w:r>
      <w:r>
        <w:rPr>
          <w:rStyle w:val="42"/>
          <w:rFonts w:cs="宋体"/>
          <w:b w:val="0"/>
          <w:color w:val="000000" w:themeColor="text1"/>
          <w:sz w:val="21"/>
          <w:szCs w:val="21"/>
          <w14:textFill>
            <w14:solidFill>
              <w14:schemeClr w14:val="tx1"/>
            </w14:solidFill>
          </w14:textFill>
        </w:rPr>
        <w:t>www.zcygov.cn</w:t>
      </w:r>
      <w:r>
        <w:rPr>
          <w:rStyle w:val="42"/>
          <w:rFonts w:hint="eastAsia" w:cs="宋体"/>
          <w:b w:val="0"/>
          <w:color w:val="000000" w:themeColor="text1"/>
          <w:sz w:val="21"/>
          <w:szCs w:val="21"/>
          <w14:textFill>
            <w14:solidFill>
              <w14:schemeClr w14:val="tx1"/>
            </w14:solidFill>
          </w14:textFill>
        </w:rPr>
        <w:t>）”。</w:t>
      </w:r>
    </w:p>
    <w:p>
      <w:pPr>
        <w:pStyle w:val="7"/>
        <w:spacing w:before="0" w:after="0" w:line="42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五、公告期限</w:t>
      </w:r>
    </w:p>
    <w:p>
      <w:pPr>
        <w:spacing w:line="4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w:t>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个工作日。</w:t>
      </w:r>
    </w:p>
    <w:p>
      <w:pPr>
        <w:pStyle w:val="7"/>
        <w:spacing w:before="0" w:after="0" w:line="42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六、其他补充事宜</w:t>
      </w:r>
    </w:p>
    <w:p>
      <w:pPr>
        <w:spacing w:line="42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投标人认为招标文件、采购过程、中标结果使自己的权益受到损害的，可以在知道或者应知其权益受到损害之日起七个工作日内，以书面形式向采购人和采购代理机构提出质疑（投标人在法定质疑期内一次性提出针对同一采购程序环节的质疑）。质疑投标人对采购人、采购代理机构的答复不满意或者采购人、采购代理机构未在规定的时间内作出答复的，可以在答复期满后十五个工作日内向同级政府采购监管部门投诉。质疑函范本、投诉书范本请到浙江政府采购网下载专区下载。</w:t>
      </w:r>
    </w:p>
    <w:p>
      <w:pPr>
        <w:pStyle w:val="38"/>
        <w:spacing w:line="420" w:lineRule="exact"/>
        <w:ind w:firstLine="424" w:firstLineChars="200"/>
        <w:rPr>
          <w:rFonts w:ascii="宋体" w:hAnsi="宋体" w:eastAsia="宋体" w:cs="宋体"/>
          <w:b/>
          <w:color w:val="000000" w:themeColor="text1"/>
          <w:sz w:val="21"/>
          <w:szCs w:val="21"/>
          <w:lang w:val="en-US"/>
          <w14:textFill>
            <w14:solidFill>
              <w14:schemeClr w14:val="tx1"/>
            </w14:solidFill>
          </w14:textFill>
        </w:rPr>
      </w:pPr>
      <w:r>
        <w:rPr>
          <w:rFonts w:ascii="宋体" w:hAnsi="宋体" w:eastAsia="宋体" w:cs="宋体"/>
          <w:bCs/>
          <w:color w:val="000000" w:themeColor="text1"/>
          <w:sz w:val="21"/>
          <w:szCs w:val="21"/>
          <w:lang w:val="en-US"/>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采购信息发布媒介</w:t>
      </w:r>
      <w:r>
        <w:rPr>
          <w:rFonts w:hint="eastAsia" w:ascii="宋体" w:hAnsi="宋体" w:eastAsia="宋体" w:cs="宋体"/>
          <w:bCs/>
          <w:color w:val="000000" w:themeColor="text1"/>
          <w:sz w:val="21"/>
          <w:szCs w:val="21"/>
          <w:lang w:val="en-US"/>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浙江政府采购网</w:t>
      </w:r>
      <w:r>
        <w:rPr>
          <w:rFonts w:hint="eastAsia" w:ascii="宋体" w:hAnsi="宋体" w:eastAsia="宋体" w:cs="宋体"/>
          <w:color w:val="000000" w:themeColor="text1"/>
          <w:sz w:val="21"/>
          <w:szCs w:val="21"/>
          <w:lang w:val="en-US"/>
          <w14:textFill>
            <w14:solidFill>
              <w14:schemeClr w14:val="tx1"/>
            </w14:solidFill>
          </w14:textFill>
        </w:rPr>
        <w:t>（</w:t>
      </w:r>
      <w:r>
        <w:rPr>
          <w:rFonts w:ascii="宋体" w:hAnsi="宋体" w:eastAsia="宋体" w:cs="宋体"/>
          <w:color w:val="000000" w:themeColor="text1"/>
          <w:sz w:val="21"/>
          <w:szCs w:val="21"/>
          <w:lang w:val="en-US"/>
          <w14:textFill>
            <w14:solidFill>
              <w14:schemeClr w14:val="tx1"/>
            </w14:solidFill>
          </w14:textFill>
        </w:rPr>
        <w:t>http://zfcg.czt.zj.gov.cn/</w:t>
      </w:r>
      <w:r>
        <w:rPr>
          <w:rFonts w:hint="eastAsia" w:ascii="宋体" w:hAnsi="宋体" w:eastAsia="宋体" w:cs="宋体"/>
          <w:color w:val="000000" w:themeColor="text1"/>
          <w:sz w:val="21"/>
          <w:szCs w:val="21"/>
          <w:lang w:val="en-US"/>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、常山县公共资源交易网</w:t>
      </w:r>
      <w:r>
        <w:rPr>
          <w:rFonts w:hint="eastAsia" w:ascii="宋体" w:hAnsi="宋体" w:eastAsia="宋体" w:cs="宋体"/>
          <w:color w:val="000000" w:themeColor="text1"/>
          <w:sz w:val="21"/>
          <w:szCs w:val="21"/>
          <w:lang w:val="en-US"/>
          <w14:textFill>
            <w14:solidFill>
              <w14:schemeClr w14:val="tx1"/>
            </w14:solidFill>
          </w14:textFill>
        </w:rPr>
        <w:t>（</w:t>
      </w:r>
      <w:r>
        <w:rPr>
          <w:rFonts w:ascii="宋体" w:hAnsi="宋体" w:eastAsia="宋体" w:cs="宋体"/>
          <w:color w:val="000000" w:themeColor="text1"/>
          <w:sz w:val="21"/>
          <w:szCs w:val="21"/>
          <w:lang w:val="en-US"/>
          <w14:textFill>
            <w14:solidFill>
              <w14:schemeClr w14:val="tx1"/>
            </w14:solidFill>
          </w14:textFill>
        </w:rPr>
        <w:t>http://qzcs.zjzwfw.gov.cn/col/col1341066/index.html</w:t>
      </w:r>
      <w:r>
        <w:rPr>
          <w:rFonts w:hint="eastAsia" w:ascii="宋体" w:hAnsi="宋体" w:eastAsia="宋体" w:cs="宋体"/>
          <w:color w:val="000000" w:themeColor="text1"/>
          <w:sz w:val="21"/>
          <w:szCs w:val="21"/>
          <w:lang w:val="en-US"/>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widowControl/>
        <w:adjustRightInd w:val="0"/>
        <w:snapToGrid w:val="0"/>
        <w:spacing w:line="420" w:lineRule="exact"/>
        <w:ind w:firstLine="424" w:firstLineChars="200"/>
        <w:jc w:val="left"/>
        <w:rPr>
          <w:rFonts w:ascii="宋体" w:hAns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3.</w:t>
      </w:r>
      <w:r>
        <w:rPr>
          <w:rFonts w:hint="eastAsia" w:ascii="宋体" w:hAnsi="宋体" w:cs="宋体"/>
          <w:b/>
          <w:color w:val="000000" w:themeColor="text1"/>
          <w:kern w:val="0"/>
          <w:szCs w:val="21"/>
          <w14:textFill>
            <w14:solidFill>
              <w14:schemeClr w14:val="tx1"/>
            </w14:solidFill>
          </w14:textFill>
        </w:rPr>
        <w:t>在线投标（电子投标）说明</w:t>
      </w:r>
    </w:p>
    <w:p>
      <w:pPr>
        <w:pStyle w:val="35"/>
        <w:spacing w:before="0" w:beforeAutospacing="0" w:after="0" w:afterAutospacing="0" w:line="420" w:lineRule="exact"/>
        <w:ind w:firstLine="424" w:firstLineChars="20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3.1</w:t>
      </w:r>
      <w:r>
        <w:rPr>
          <w:rFonts w:hint="eastAsia" w:cs="宋体"/>
          <w:color w:val="000000" w:themeColor="text1"/>
          <w:sz w:val="21"/>
          <w:szCs w:val="21"/>
          <w14:textFill>
            <w14:solidFill>
              <w14:schemeClr w14:val="tx1"/>
            </w14:solidFill>
          </w14:textFill>
        </w:rPr>
        <w:t>本项目实行电子招投标，投标人应按照本项目招标文件和政采云平台的要求编制、加密并递交投标文件。投标人在使用系统进行投标的过程中遇到涉及平台使用的任何问题，可致电政采云平台技术支持热线咨询，联系方式：</w:t>
      </w:r>
      <w:r>
        <w:rPr>
          <w:rFonts w:cs="宋体"/>
          <w:color w:val="000000" w:themeColor="text1"/>
          <w:sz w:val="21"/>
          <w:szCs w:val="21"/>
          <w14:textFill>
            <w14:solidFill>
              <w14:schemeClr w14:val="tx1"/>
            </w14:solidFill>
          </w14:textFill>
        </w:rPr>
        <w:t>400-881-7190</w:t>
      </w:r>
      <w:r>
        <w:rPr>
          <w:rFonts w:hint="eastAsia" w:cs="宋体"/>
          <w:color w:val="000000" w:themeColor="text1"/>
          <w:sz w:val="21"/>
          <w:szCs w:val="21"/>
          <w14:textFill>
            <w14:solidFill>
              <w14:schemeClr w14:val="tx1"/>
            </w14:solidFill>
          </w14:textFill>
        </w:rPr>
        <w:t>。</w:t>
      </w:r>
    </w:p>
    <w:p>
      <w:pPr>
        <w:pStyle w:val="35"/>
        <w:spacing w:before="0" w:beforeAutospacing="0" w:after="0" w:afterAutospacing="0" w:line="420" w:lineRule="exact"/>
        <w:ind w:firstLine="424" w:firstLineChars="200"/>
        <w:rPr>
          <w:rFonts w:cs="宋体"/>
          <w:b/>
          <w:bCs/>
          <w:color w:val="000000" w:themeColor="text1"/>
          <w:sz w:val="21"/>
          <w:szCs w:val="21"/>
          <w14:textFill>
            <w14:solidFill>
              <w14:schemeClr w14:val="tx1"/>
            </w14:solidFill>
          </w14:textFill>
        </w:rPr>
      </w:pPr>
      <w:r>
        <w:rPr>
          <w:rFonts w:cs="宋体"/>
          <w:b/>
          <w:bCs/>
          <w:color w:val="000000" w:themeColor="text1"/>
          <w:sz w:val="21"/>
          <w:szCs w:val="21"/>
          <w14:textFill>
            <w14:solidFill>
              <w14:schemeClr w14:val="tx1"/>
            </w14:solidFill>
          </w14:textFill>
        </w:rPr>
        <w:t>3.2</w:t>
      </w:r>
      <w:r>
        <w:rPr>
          <w:rFonts w:hint="eastAsia" w:cs="宋体"/>
          <w:b/>
          <w:bCs/>
          <w:color w:val="000000" w:themeColor="text1"/>
          <w:sz w:val="21"/>
          <w:szCs w:val="21"/>
          <w14:textFill>
            <w14:solidFill>
              <w14:schemeClr w14:val="tx1"/>
            </w14:solidFill>
          </w14:textFill>
        </w:rPr>
        <w:t>电子交易平台为“政府采购云平台（</w:t>
      </w:r>
      <w:r>
        <w:rPr>
          <w:rFonts w:cs="宋体"/>
          <w:b/>
          <w:bCs/>
          <w:color w:val="000000" w:themeColor="text1"/>
          <w:sz w:val="21"/>
          <w:szCs w:val="21"/>
          <w14:textFill>
            <w14:solidFill>
              <w14:schemeClr w14:val="tx1"/>
            </w14:solidFill>
          </w14:textFill>
        </w:rPr>
        <w:t>www.zcygov.cn</w:t>
      </w:r>
      <w:r>
        <w:rPr>
          <w:rFonts w:hint="eastAsia" w:cs="宋体"/>
          <w:b/>
          <w:bCs/>
          <w:color w:val="000000" w:themeColor="text1"/>
          <w:sz w:val="21"/>
          <w:szCs w:val="21"/>
          <w14:textFill>
            <w14:solidFill>
              <w14:schemeClr w14:val="tx1"/>
            </w14:solidFill>
          </w14:textFill>
        </w:rPr>
        <w:t>）”，供应商在投标前，应注册成为政府采购云平台正式供应商。编制电子投标文件前还需申领</w:t>
      </w:r>
      <w:r>
        <w:rPr>
          <w:rFonts w:cs="宋体"/>
          <w:b/>
          <w:bCs/>
          <w:color w:val="000000" w:themeColor="text1"/>
          <w:sz w:val="21"/>
          <w:szCs w:val="21"/>
          <w14:textFill>
            <w14:solidFill>
              <w14:schemeClr w14:val="tx1"/>
            </w14:solidFill>
          </w14:textFill>
        </w:rPr>
        <w:t>CA</w:t>
      </w:r>
      <w:r>
        <w:rPr>
          <w:rFonts w:hint="eastAsia" w:cs="宋体"/>
          <w:b/>
          <w:bCs/>
          <w:color w:val="000000" w:themeColor="text1"/>
          <w:sz w:val="21"/>
          <w:szCs w:val="21"/>
          <w14:textFill>
            <w14:solidFill>
              <w14:schemeClr w14:val="tx1"/>
            </w14:solidFill>
          </w14:textFill>
        </w:rPr>
        <w:t>证书并绑定帐号，确保在电子投标过程中能够对相关数据电文进行加密和使用电子签章。供应商应充分考虑完成平台注册、申领</w:t>
      </w:r>
      <w:r>
        <w:rPr>
          <w:rFonts w:cs="宋体"/>
          <w:b/>
          <w:bCs/>
          <w:color w:val="000000" w:themeColor="text1"/>
          <w:sz w:val="21"/>
          <w:szCs w:val="21"/>
          <w14:textFill>
            <w14:solidFill>
              <w14:schemeClr w14:val="tx1"/>
            </w14:solidFill>
          </w14:textFill>
        </w:rPr>
        <w:t>CA</w:t>
      </w:r>
      <w:r>
        <w:rPr>
          <w:rFonts w:hint="eastAsia" w:cs="宋体"/>
          <w:b/>
          <w:bCs/>
          <w:color w:val="000000" w:themeColor="text1"/>
          <w:sz w:val="21"/>
          <w:szCs w:val="21"/>
          <w14:textFill>
            <w14:solidFill>
              <w14:schemeClr w14:val="tx1"/>
            </w14:solidFill>
          </w14:textFill>
        </w:rPr>
        <w:t>证书等所需的时间。</w:t>
      </w:r>
      <w:r>
        <w:rPr>
          <w:rFonts w:cs="宋体"/>
          <w:b/>
          <w:bCs/>
          <w:color w:val="000000" w:themeColor="text1"/>
          <w:sz w:val="21"/>
          <w:szCs w:val="21"/>
          <w14:textFill>
            <w14:solidFill>
              <w14:schemeClr w14:val="tx1"/>
            </w14:solidFill>
          </w14:textFill>
        </w:rPr>
        <w:t>CA</w:t>
      </w:r>
      <w:r>
        <w:rPr>
          <w:rFonts w:hint="eastAsia" w:cs="宋体"/>
          <w:b/>
          <w:bCs/>
          <w:color w:val="000000" w:themeColor="text1"/>
          <w:sz w:val="21"/>
          <w:szCs w:val="21"/>
          <w14:textFill>
            <w14:solidFill>
              <w14:schemeClr w14:val="tx1"/>
            </w14:solidFill>
          </w14:textFill>
        </w:rPr>
        <w:t>数字证书办理流程详见</w:t>
      </w:r>
      <w:r>
        <w:fldChar w:fldCharType="begin"/>
      </w:r>
      <w:r>
        <w:instrText xml:space="preserve"> HYPERLINK "http://zfcg.czt.zj.gov.cn/bidClientTemplate/2019-05-27/12945.html" </w:instrText>
      </w:r>
      <w:r>
        <w:fldChar w:fldCharType="separate"/>
      </w:r>
      <w:r>
        <w:rPr>
          <w:rStyle w:val="45"/>
          <w:rFonts w:cs="宋体"/>
          <w:color w:val="000000" w:themeColor="text1"/>
          <w:sz w:val="21"/>
          <w:szCs w:val="21"/>
          <w14:textFill>
            <w14:solidFill>
              <w14:schemeClr w14:val="tx1"/>
            </w14:solidFill>
          </w14:textFill>
        </w:rPr>
        <w:t>http://zfcg.czt.zj.gov.cn/bidClientTemplate/2019-05-27/12945.html</w:t>
      </w:r>
      <w:r>
        <w:rPr>
          <w:rStyle w:val="45"/>
          <w:rFonts w:cs="宋体"/>
          <w:color w:val="000000" w:themeColor="text1"/>
          <w:sz w:val="21"/>
          <w:szCs w:val="21"/>
          <w14:textFill>
            <w14:solidFill>
              <w14:schemeClr w14:val="tx1"/>
            </w14:solidFill>
          </w14:textFill>
        </w:rPr>
        <w:fldChar w:fldCharType="end"/>
      </w:r>
      <w:r>
        <w:rPr>
          <w:rFonts w:hint="eastAsia" w:cs="宋体"/>
          <w:b/>
          <w:bCs/>
          <w:color w:val="000000" w:themeColor="text1"/>
          <w:sz w:val="21"/>
          <w:szCs w:val="21"/>
          <w14:textFill>
            <w14:solidFill>
              <w14:schemeClr w14:val="tx1"/>
            </w14:solidFill>
          </w14:textFill>
        </w:rPr>
        <w:t>。完成</w:t>
      </w:r>
      <w:r>
        <w:rPr>
          <w:rFonts w:cs="宋体"/>
          <w:b/>
          <w:bCs/>
          <w:color w:val="000000" w:themeColor="text1"/>
          <w:sz w:val="21"/>
          <w:szCs w:val="21"/>
          <w14:textFill>
            <w14:solidFill>
              <w14:schemeClr w14:val="tx1"/>
            </w14:solidFill>
          </w14:textFill>
        </w:rPr>
        <w:t>CA</w:t>
      </w:r>
      <w:r>
        <w:rPr>
          <w:rFonts w:hint="eastAsia" w:cs="宋体"/>
          <w:b/>
          <w:bCs/>
          <w:color w:val="000000" w:themeColor="text1"/>
          <w:sz w:val="21"/>
          <w:szCs w:val="21"/>
          <w14:textFill>
            <w14:solidFill>
              <w14:schemeClr w14:val="tx1"/>
            </w14:solidFill>
          </w14:textFill>
        </w:rPr>
        <w:t>数字证书办理预计一周左右，建议各投标人抓紧时间办理。</w:t>
      </w:r>
    </w:p>
    <w:p>
      <w:pPr>
        <w:pStyle w:val="35"/>
        <w:spacing w:before="0" w:beforeAutospacing="0" w:after="0" w:afterAutospacing="0" w:line="420" w:lineRule="exact"/>
        <w:ind w:firstLine="424" w:firstLineChars="200"/>
        <w:rPr>
          <w:rFonts w:cs="宋体"/>
          <w:b/>
          <w:bCs/>
          <w:color w:val="000000" w:themeColor="text1"/>
          <w:sz w:val="21"/>
          <w:szCs w:val="21"/>
          <w14:textFill>
            <w14:solidFill>
              <w14:schemeClr w14:val="tx1"/>
            </w14:solidFill>
          </w14:textFill>
        </w:rPr>
      </w:pPr>
      <w:r>
        <w:rPr>
          <w:rFonts w:cs="宋体"/>
          <w:b/>
          <w:bCs/>
          <w:color w:val="000000" w:themeColor="text1"/>
          <w:sz w:val="21"/>
          <w:szCs w:val="21"/>
          <w14:textFill>
            <w14:solidFill>
              <w14:schemeClr w14:val="tx1"/>
            </w14:solidFill>
          </w14:textFill>
        </w:rPr>
        <w:t>3.3</w:t>
      </w:r>
      <w:r>
        <w:rPr>
          <w:rFonts w:hint="eastAsia" w:cs="宋体"/>
          <w:b/>
          <w:bCs/>
          <w:color w:val="000000" w:themeColor="text1"/>
          <w:sz w:val="21"/>
          <w:szCs w:val="21"/>
          <w14:textFill>
            <w14:solidFill>
              <w14:schemeClr w14:val="tx1"/>
            </w14:solidFill>
          </w14:textFill>
        </w:rPr>
        <w:t>供应商编制电子投标文件应安装“电子交易客户端”软件，并按照本招标文件和电子交易平台的要求编制并加密投标文件。未按规定加密的投标文件，将被电子交易平台拒收。“电子交易客户端”请供应商自行前往“浙江政府采购网—</w:t>
      </w:r>
      <w:r>
        <w:rPr>
          <w:rFonts w:cs="宋体"/>
          <w:b/>
          <w:bCs/>
          <w:color w:val="000000" w:themeColor="text1"/>
          <w:sz w:val="21"/>
          <w:szCs w:val="21"/>
          <w14:textFill>
            <w14:solidFill>
              <w14:schemeClr w14:val="tx1"/>
            </w14:solidFill>
          </w14:textFill>
        </w:rPr>
        <w:t xml:space="preserve"> </w:t>
      </w:r>
      <w:r>
        <w:rPr>
          <w:rFonts w:hint="eastAsia" w:cs="宋体"/>
          <w:b/>
          <w:bCs/>
          <w:color w:val="000000" w:themeColor="text1"/>
          <w:sz w:val="21"/>
          <w:szCs w:val="21"/>
          <w14:textFill>
            <w14:solidFill>
              <w14:schemeClr w14:val="tx1"/>
            </w14:solidFill>
          </w14:textFill>
        </w:rPr>
        <w:t>下载专区</w:t>
      </w:r>
      <w:r>
        <w:rPr>
          <w:rFonts w:cs="宋体"/>
          <w:b/>
          <w:bCs/>
          <w:color w:val="000000" w:themeColor="text1"/>
          <w:sz w:val="21"/>
          <w:szCs w:val="21"/>
          <w14:textFill>
            <w14:solidFill>
              <w14:schemeClr w14:val="tx1"/>
            </w14:solidFill>
          </w14:textFill>
        </w:rPr>
        <w:t xml:space="preserve"> </w:t>
      </w:r>
      <w:r>
        <w:rPr>
          <w:rFonts w:hint="eastAsia" w:cs="宋体"/>
          <w:b/>
          <w:bCs/>
          <w:color w:val="000000" w:themeColor="text1"/>
          <w:sz w:val="21"/>
          <w:szCs w:val="21"/>
          <w14:textFill>
            <w14:solidFill>
              <w14:schemeClr w14:val="tx1"/>
            </w14:solidFill>
          </w14:textFill>
        </w:rPr>
        <w:t>—</w:t>
      </w:r>
      <w:r>
        <w:rPr>
          <w:rFonts w:cs="宋体"/>
          <w:b/>
          <w:bCs/>
          <w:color w:val="000000" w:themeColor="text1"/>
          <w:sz w:val="21"/>
          <w:szCs w:val="21"/>
          <w14:textFill>
            <w14:solidFill>
              <w14:schemeClr w14:val="tx1"/>
            </w14:solidFill>
          </w14:textFill>
        </w:rPr>
        <w:t xml:space="preserve"> </w:t>
      </w:r>
      <w:r>
        <w:rPr>
          <w:rFonts w:hint="eastAsia" w:cs="宋体"/>
          <w:b/>
          <w:bCs/>
          <w:color w:val="000000" w:themeColor="text1"/>
          <w:sz w:val="21"/>
          <w:szCs w:val="21"/>
          <w14:textFill>
            <w14:solidFill>
              <w14:schemeClr w14:val="tx1"/>
            </w14:solidFill>
          </w14:textFill>
        </w:rPr>
        <w:t>电子交易客户端”版块获取（下载网址：</w:t>
      </w:r>
      <w:r>
        <w:rPr>
          <w:rFonts w:hint="eastAsia"/>
        </w:rPr>
        <w:fldChar w:fldCharType="begin"/>
      </w:r>
      <w:r>
        <w:instrText xml:space="preserve"> HYPERLINK "http://zfcg.czt.zj.gov.cn/bidClientTemplate/2019-09-24/12975.html）。" </w:instrText>
      </w:r>
      <w:r>
        <w:rPr>
          <w:rFonts w:hint="eastAsia"/>
        </w:rPr>
        <w:fldChar w:fldCharType="separate"/>
      </w:r>
      <w:r>
        <w:rPr>
          <w:rStyle w:val="45"/>
          <w:rFonts w:cs="宋体"/>
          <w:b/>
          <w:bCs/>
          <w:color w:val="000000" w:themeColor="text1"/>
          <w:sz w:val="21"/>
          <w:szCs w:val="21"/>
          <w14:textFill>
            <w14:solidFill>
              <w14:schemeClr w14:val="tx1"/>
            </w14:solidFill>
          </w14:textFill>
        </w:rPr>
        <w:t>http://zfcg.czt.zj.gov.cn/bidClientTemplate/2019-09-24/12975.html</w:t>
      </w:r>
      <w:r>
        <w:rPr>
          <w:rStyle w:val="45"/>
          <w:rFonts w:hint="eastAsia" w:cs="宋体"/>
          <w:b/>
          <w:bCs/>
          <w:color w:val="000000" w:themeColor="text1"/>
          <w:sz w:val="21"/>
          <w:szCs w:val="21"/>
          <w14:textFill>
            <w14:solidFill>
              <w14:schemeClr w14:val="tx1"/>
            </w14:solidFill>
          </w14:textFill>
        </w:rPr>
        <w:t>）。</w:t>
      </w:r>
      <w:r>
        <w:rPr>
          <w:rStyle w:val="45"/>
          <w:rFonts w:hint="eastAsia" w:cs="宋体"/>
          <w:b/>
          <w:bCs/>
          <w:color w:val="000000" w:themeColor="text1"/>
          <w:sz w:val="21"/>
          <w:szCs w:val="21"/>
          <w14:textFill>
            <w14:solidFill>
              <w14:schemeClr w14:val="tx1"/>
            </w14:solidFill>
          </w14:textFill>
        </w:rPr>
        <w:fldChar w:fldCharType="end"/>
      </w:r>
    </w:p>
    <w:p>
      <w:pPr>
        <w:pStyle w:val="35"/>
        <w:spacing w:before="0" w:beforeAutospacing="0" w:after="0" w:afterAutospacing="0" w:line="420" w:lineRule="exact"/>
        <w:ind w:firstLine="424" w:firstLineChars="200"/>
        <w:rPr>
          <w:rFonts w:cs="宋体"/>
          <w:bCs/>
          <w:color w:val="000000" w:themeColor="text1"/>
          <w:sz w:val="21"/>
          <w:szCs w:val="21"/>
          <w14:textFill>
            <w14:solidFill>
              <w14:schemeClr w14:val="tx1"/>
            </w14:solidFill>
          </w14:textFill>
        </w:rPr>
      </w:pPr>
      <w:r>
        <w:rPr>
          <w:rFonts w:cs="宋体"/>
          <w:bCs/>
          <w:color w:val="000000" w:themeColor="text1"/>
          <w:sz w:val="21"/>
          <w:szCs w:val="21"/>
          <w14:textFill>
            <w14:solidFill>
              <w14:schemeClr w14:val="tx1"/>
            </w14:solidFill>
          </w14:textFill>
        </w:rPr>
        <w:t>3.4</w:t>
      </w:r>
      <w:r>
        <w:rPr>
          <w:rFonts w:hint="eastAsia" w:cs="宋体"/>
          <w:bCs/>
          <w:color w:val="000000" w:themeColor="text1"/>
          <w:sz w:val="21"/>
          <w:szCs w:val="21"/>
          <w14:textFill>
            <w14:solidFill>
              <w14:schemeClr w14:val="tx1"/>
            </w14:solidFill>
          </w14:textFill>
        </w:rPr>
        <w:t>电子投标制作具体流程详见政府采购项目电子交易管理操作指南：【请投标供应商点击链接</w:t>
      </w:r>
      <w:r>
        <w:rPr>
          <w:rFonts w:cs="宋体"/>
          <w:bCs/>
          <w:color w:val="000000" w:themeColor="text1"/>
          <w:sz w:val="21"/>
          <w:szCs w:val="21"/>
          <w:u w:val="single"/>
          <w14:textFill>
            <w14:solidFill>
              <w14:schemeClr w14:val="tx1"/>
            </w14:solidFill>
          </w14:textFill>
        </w:rPr>
        <w:t>https://service.zcygov.cn/#/knowledges/CW1EtGwBFdiHxlNd6I3m/6IMVAG0BFdiHxlNdQ8Na</w:t>
      </w:r>
      <w:r>
        <w:rPr>
          <w:rFonts w:hint="eastAsia" w:cs="宋体"/>
          <w:bCs/>
          <w:color w:val="000000" w:themeColor="text1"/>
          <w:sz w:val="21"/>
          <w:szCs w:val="21"/>
          <w14:textFill>
            <w14:solidFill>
              <w14:schemeClr w14:val="tx1"/>
            </w14:solidFill>
          </w14:textFill>
        </w:rPr>
        <w:t>或登录“政府采购云平台（</w:t>
      </w:r>
      <w:r>
        <w:rPr>
          <w:rFonts w:cs="宋体"/>
          <w:bCs/>
          <w:color w:val="000000" w:themeColor="text1"/>
          <w:sz w:val="21"/>
          <w:szCs w:val="21"/>
          <w14:textFill>
            <w14:solidFill>
              <w14:schemeClr w14:val="tx1"/>
            </w14:solidFill>
          </w14:textFill>
        </w:rPr>
        <w:t>www.zcygov.cn</w:t>
      </w:r>
      <w:r>
        <w:rPr>
          <w:rFonts w:hint="eastAsia" w:cs="宋体"/>
          <w:bCs/>
          <w:color w:val="000000" w:themeColor="text1"/>
          <w:sz w:val="21"/>
          <w:szCs w:val="21"/>
          <w14:textFill>
            <w14:solidFill>
              <w14:schemeClr w14:val="tx1"/>
            </w14:solidFill>
          </w14:textFill>
        </w:rPr>
        <w:t>）”，从首页</w:t>
      </w:r>
      <w:r>
        <w:rPr>
          <w:rFonts w:cs="宋体"/>
          <w:bCs/>
          <w:color w:val="000000" w:themeColor="text1"/>
          <w:sz w:val="21"/>
          <w:szCs w:val="21"/>
          <w14:textFill>
            <w14:solidFill>
              <w14:schemeClr w14:val="tx1"/>
            </w14:solidFill>
          </w14:textFill>
        </w:rPr>
        <w:t>-</w:t>
      </w:r>
      <w:r>
        <w:rPr>
          <w:rFonts w:hint="eastAsia" w:cs="宋体"/>
          <w:bCs/>
          <w:color w:val="000000" w:themeColor="text1"/>
          <w:sz w:val="21"/>
          <w:szCs w:val="21"/>
          <w14:textFill>
            <w14:solidFill>
              <w14:schemeClr w14:val="tx1"/>
            </w14:solidFill>
          </w14:textFill>
        </w:rPr>
        <w:t>服务中心</w:t>
      </w:r>
      <w:r>
        <w:rPr>
          <w:rFonts w:cs="宋体"/>
          <w:bCs/>
          <w:color w:val="000000" w:themeColor="text1"/>
          <w:sz w:val="21"/>
          <w:szCs w:val="21"/>
          <w14:textFill>
            <w14:solidFill>
              <w14:schemeClr w14:val="tx1"/>
            </w14:solidFill>
          </w14:textFill>
        </w:rPr>
        <w:t>-</w:t>
      </w:r>
      <w:r>
        <w:rPr>
          <w:rFonts w:hint="eastAsia" w:cs="宋体"/>
          <w:bCs/>
          <w:color w:val="000000" w:themeColor="text1"/>
          <w:sz w:val="21"/>
          <w:szCs w:val="21"/>
          <w14:textFill>
            <w14:solidFill>
              <w14:schemeClr w14:val="tx1"/>
            </w14:solidFill>
          </w14:textFill>
        </w:rPr>
        <w:t>帮助文档</w:t>
      </w:r>
      <w:r>
        <w:rPr>
          <w:rFonts w:cs="宋体"/>
          <w:bCs/>
          <w:color w:val="000000" w:themeColor="text1"/>
          <w:sz w:val="21"/>
          <w:szCs w:val="21"/>
          <w14:textFill>
            <w14:solidFill>
              <w14:schemeClr w14:val="tx1"/>
            </w14:solidFill>
          </w14:textFill>
        </w:rPr>
        <w:t>-</w:t>
      </w:r>
      <w:r>
        <w:rPr>
          <w:rFonts w:hint="eastAsia" w:cs="宋体"/>
          <w:bCs/>
          <w:color w:val="000000" w:themeColor="text1"/>
          <w:sz w:val="21"/>
          <w:szCs w:val="21"/>
          <w14:textFill>
            <w14:solidFill>
              <w14:schemeClr w14:val="tx1"/>
            </w14:solidFill>
          </w14:textFill>
        </w:rPr>
        <w:t>项目采购</w:t>
      </w:r>
      <w:r>
        <w:rPr>
          <w:rFonts w:cs="宋体"/>
          <w:bCs/>
          <w:color w:val="000000" w:themeColor="text1"/>
          <w:sz w:val="21"/>
          <w:szCs w:val="21"/>
          <w14:textFill>
            <w14:solidFill>
              <w14:schemeClr w14:val="tx1"/>
            </w14:solidFill>
          </w14:textFill>
        </w:rPr>
        <w:t>-</w:t>
      </w:r>
      <w:r>
        <w:rPr>
          <w:rFonts w:hint="eastAsia" w:cs="宋体"/>
          <w:bCs/>
          <w:color w:val="000000" w:themeColor="text1"/>
          <w:sz w:val="21"/>
          <w:szCs w:val="21"/>
          <w14:textFill>
            <w14:solidFill>
              <w14:schemeClr w14:val="tx1"/>
            </w14:solidFill>
          </w14:textFill>
        </w:rPr>
        <w:t>操作流程</w:t>
      </w:r>
      <w:r>
        <w:rPr>
          <w:rFonts w:cs="宋体"/>
          <w:bCs/>
          <w:color w:val="000000" w:themeColor="text1"/>
          <w:sz w:val="21"/>
          <w:szCs w:val="21"/>
          <w14:textFill>
            <w14:solidFill>
              <w14:schemeClr w14:val="tx1"/>
            </w14:solidFill>
          </w14:textFill>
        </w:rPr>
        <w:t>-</w:t>
      </w:r>
      <w:r>
        <w:rPr>
          <w:rFonts w:hint="eastAsia" w:cs="宋体"/>
          <w:bCs/>
          <w:color w:val="000000" w:themeColor="text1"/>
          <w:sz w:val="21"/>
          <w:szCs w:val="21"/>
          <w14:textFill>
            <w14:solidFill>
              <w14:schemeClr w14:val="tx1"/>
            </w14:solidFill>
          </w14:textFill>
        </w:rPr>
        <w:t>电子招投标，查看文档和视频】。</w:t>
      </w:r>
    </w:p>
    <w:p>
      <w:pPr>
        <w:pStyle w:val="35"/>
        <w:spacing w:before="0" w:beforeAutospacing="0" w:after="0" w:afterAutospacing="0" w:line="420" w:lineRule="exact"/>
        <w:ind w:firstLine="424" w:firstLineChars="200"/>
        <w:rPr>
          <w:rFonts w:cs="宋体"/>
          <w:bCs/>
          <w:color w:val="000000" w:themeColor="text1"/>
          <w:sz w:val="21"/>
          <w:szCs w:val="21"/>
          <w14:textFill>
            <w14:solidFill>
              <w14:schemeClr w14:val="tx1"/>
            </w14:solidFill>
          </w14:textFill>
        </w:rPr>
      </w:pPr>
      <w:r>
        <w:rPr>
          <w:rFonts w:cs="宋体"/>
          <w:b/>
          <w:color w:val="000000" w:themeColor="text1"/>
          <w:sz w:val="21"/>
          <w:szCs w:val="21"/>
          <w14:textFill>
            <w14:solidFill>
              <w14:schemeClr w14:val="tx1"/>
            </w14:solidFill>
          </w14:textFill>
        </w:rPr>
        <w:t>3.5</w:t>
      </w:r>
      <w:r>
        <w:rPr>
          <w:rFonts w:hint="eastAsia" w:cs="宋体"/>
          <w:b/>
          <w:color w:val="000000" w:themeColor="text1"/>
          <w:sz w:val="21"/>
          <w:szCs w:val="21"/>
          <w14:textFill>
            <w14:solidFill>
              <w14:schemeClr w14:val="tx1"/>
            </w14:solidFill>
          </w14:textFill>
        </w:rPr>
        <w:t>本项目投标文件的解密、报价文件确认等所使用的</w:t>
      </w:r>
      <w:r>
        <w:rPr>
          <w:rFonts w:cs="宋体"/>
          <w:b/>
          <w:color w:val="000000" w:themeColor="text1"/>
          <w:sz w:val="21"/>
          <w:szCs w:val="21"/>
          <w14:textFill>
            <w14:solidFill>
              <w14:schemeClr w14:val="tx1"/>
            </w14:solidFill>
          </w14:textFill>
        </w:rPr>
        <w:t>CA</w:t>
      </w:r>
      <w:r>
        <w:rPr>
          <w:rFonts w:hint="eastAsia" w:cs="宋体"/>
          <w:b/>
          <w:color w:val="000000" w:themeColor="text1"/>
          <w:sz w:val="21"/>
          <w:szCs w:val="21"/>
          <w14:textFill>
            <w14:solidFill>
              <w14:schemeClr w14:val="tx1"/>
            </w14:solidFill>
          </w14:textFill>
        </w:rPr>
        <w:t>必须和制作</w:t>
      </w:r>
      <w:r>
        <w:rPr>
          <w:rFonts w:hint="eastAsia" w:cs="宋体"/>
          <w:b/>
          <w:color w:val="000000" w:themeColor="text1"/>
          <w:sz w:val="21"/>
          <w:szCs w:val="21"/>
          <w:lang w:val="zh-CN"/>
          <w14:textFill>
            <w14:solidFill>
              <w14:schemeClr w14:val="tx1"/>
            </w14:solidFill>
          </w14:textFill>
        </w:rPr>
        <w:t>电子加密投标文件时使用的</w:t>
      </w:r>
      <w:r>
        <w:rPr>
          <w:rFonts w:cs="宋体"/>
          <w:b/>
          <w:color w:val="000000" w:themeColor="text1"/>
          <w:sz w:val="21"/>
          <w:szCs w:val="21"/>
          <w14:textFill>
            <w14:solidFill>
              <w14:schemeClr w14:val="tx1"/>
            </w14:solidFill>
          </w14:textFill>
        </w:rPr>
        <w:t>CA</w:t>
      </w:r>
      <w:r>
        <w:rPr>
          <w:rFonts w:hint="eastAsia" w:cs="宋体"/>
          <w:b/>
          <w:color w:val="000000" w:themeColor="text1"/>
          <w:sz w:val="21"/>
          <w:szCs w:val="21"/>
          <w14:textFill>
            <w14:solidFill>
              <w14:schemeClr w14:val="tx1"/>
            </w14:solidFill>
          </w14:textFill>
        </w:rPr>
        <w:t>为</w:t>
      </w:r>
      <w:r>
        <w:rPr>
          <w:rFonts w:hint="eastAsia" w:cs="宋体"/>
          <w:b/>
          <w:color w:val="000000" w:themeColor="text1"/>
          <w:sz w:val="21"/>
          <w:szCs w:val="21"/>
          <w:lang w:val="zh-CN"/>
          <w14:textFill>
            <w14:solidFill>
              <w14:schemeClr w14:val="tx1"/>
            </w14:solidFill>
          </w14:textFill>
        </w:rPr>
        <w:t>同一个。</w:t>
      </w:r>
    </w:p>
    <w:p>
      <w:pPr>
        <w:pStyle w:val="7"/>
        <w:spacing w:before="0" w:after="0" w:line="420" w:lineRule="exact"/>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七、</w:t>
      </w:r>
      <w:r>
        <w:rPr>
          <w:rStyle w:val="42"/>
          <w:rFonts w:hint="eastAsia" w:ascii="宋体" w:hAnsi="宋体" w:eastAsia="宋体" w:cs="宋体"/>
          <w:b w:val="0"/>
          <w:bCs/>
          <w:color w:val="000000" w:themeColor="text1"/>
          <w:sz w:val="21"/>
          <w:szCs w:val="21"/>
          <w14:textFill>
            <w14:solidFill>
              <w14:schemeClr w14:val="tx1"/>
            </w14:solidFill>
          </w14:textFill>
        </w:rPr>
        <w:t>对本次招标提出询问、质疑、投诉，请按以下方式联系。</w:t>
      </w:r>
      <w:r>
        <w:rPr>
          <w:rFonts w:hint="eastAsia" w:ascii="宋体" w:hAnsi="宋体" w:eastAsia="宋体" w:cs="宋体"/>
          <w:b w:val="0"/>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w:t>
      </w:r>
    </w:p>
    <w:p>
      <w:pPr>
        <w:widowControl/>
        <w:spacing w:line="4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采购人信息</w:t>
      </w:r>
    </w:p>
    <w:p>
      <w:pPr>
        <w:spacing w:line="4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称：常山县科学技术局　　　　　　　　　　　</w:t>
      </w:r>
    </w:p>
    <w:p>
      <w:pPr>
        <w:spacing w:line="420" w:lineRule="exact"/>
        <w:jc w:val="lef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宋体"/>
          <w:color w:val="333333"/>
          <w:szCs w:val="21"/>
          <w:shd w:val="clear" w:color="auto" w:fill="FFFFFF"/>
        </w:rPr>
        <w:t>常山县大桥路18号</w:t>
      </w:r>
    </w:p>
    <w:p>
      <w:pPr>
        <w:widowControl/>
        <w:adjustRightInd w:val="0"/>
        <w:snapToGrid w:val="0"/>
        <w:spacing w:line="4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项目联系人（询问）：</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琚伟红</w:t>
      </w:r>
      <w:r>
        <w:rPr>
          <w:rFonts w:hint="eastAsia" w:ascii="宋体" w:hAnsi="宋体" w:cs="宋体"/>
          <w:color w:val="000000" w:themeColor="text1"/>
          <w:kern w:val="0"/>
          <w:szCs w:val="21"/>
          <w14:textFill>
            <w14:solidFill>
              <w14:schemeClr w14:val="tx1"/>
            </w14:solidFill>
          </w14:textFill>
        </w:rPr>
        <w:t>  　　　　　　　　　　</w:t>
      </w:r>
    </w:p>
    <w:p>
      <w:pPr>
        <w:widowControl/>
        <w:adjustRightInd w:val="0"/>
        <w:snapToGrid w:val="0"/>
        <w:spacing w:line="4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项目联系方式（询问）：13645703636</w:t>
      </w:r>
    </w:p>
    <w:p>
      <w:pPr>
        <w:widowControl/>
        <w:adjustRightInd w:val="0"/>
        <w:snapToGrid w:val="0"/>
        <w:spacing w:line="4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质疑联系人：</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琚伟红</w:t>
      </w:r>
    </w:p>
    <w:p>
      <w:pPr>
        <w:widowControl/>
        <w:adjustRightInd w:val="0"/>
        <w:snapToGrid w:val="0"/>
        <w:spacing w:line="4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质疑联系方式：13645703636　　</w:t>
      </w:r>
      <w:r>
        <w:rPr>
          <w:rFonts w:hint="eastAsia" w:ascii="宋体" w:hAnsi="宋体" w:cs="宋体"/>
          <w:color w:val="000000" w:themeColor="text1"/>
          <w:szCs w:val="21"/>
          <w14:textFill>
            <w14:solidFill>
              <w14:schemeClr w14:val="tx1"/>
            </w14:solidFill>
          </w14:textFill>
        </w:rPr>
        <w:t>　　　　　　　　　　　　　　　　　　　</w:t>
      </w:r>
      <w:r>
        <w:rPr>
          <w:rFonts w:ascii="宋体" w:hAnsi="宋体" w:cs="宋体"/>
          <w:color w:val="000000" w:themeColor="text1"/>
          <w:szCs w:val="21"/>
          <w14:textFill>
            <w14:solidFill>
              <w14:schemeClr w14:val="tx1"/>
            </w14:solidFill>
          </w14:textFill>
        </w:rPr>
        <w:t xml:space="preserve"> </w:t>
      </w:r>
    </w:p>
    <w:p>
      <w:pPr>
        <w:spacing w:line="420" w:lineRule="exact"/>
        <w:ind w:firstLine="212" w:firstLineChars="1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采购代理机构信息</w:t>
      </w:r>
    </w:p>
    <w:p>
      <w:pPr>
        <w:spacing w:line="4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称：浙江重阳项目管理有限公司　　　　　　　　　　</w:t>
      </w:r>
    </w:p>
    <w:p>
      <w:pPr>
        <w:pStyle w:val="17"/>
        <w:spacing w:line="420" w:lineRule="exact"/>
        <w:ind w:firstLine="0"/>
        <w:rPr>
          <w:rFonts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　址：常山县</w:t>
      </w:r>
      <w:r>
        <w:rPr>
          <w:rFonts w:hint="eastAsia" w:ascii="宋体" w:hAnsi="宋体" w:eastAsia="宋体" w:cs="宋体"/>
          <w:color w:val="000000" w:themeColor="text1"/>
          <w:sz w:val="21"/>
          <w:szCs w:val="21"/>
          <w:lang w:val="en-US"/>
          <w14:textFill>
            <w14:solidFill>
              <w14:schemeClr w14:val="tx1"/>
            </w14:solidFill>
          </w14:textFill>
        </w:rPr>
        <w:t>紫港街道东方广场</w:t>
      </w:r>
      <w:r>
        <w:rPr>
          <w:rFonts w:ascii="宋体" w:hAnsi="宋体" w:eastAsia="宋体" w:cs="宋体"/>
          <w:color w:val="000000" w:themeColor="text1"/>
          <w:sz w:val="21"/>
          <w:szCs w:val="21"/>
          <w:lang w:val="en-US"/>
          <w14:textFill>
            <w14:solidFill>
              <w14:schemeClr w14:val="tx1"/>
            </w14:solidFill>
          </w14:textFill>
        </w:rPr>
        <w:t>4</w:t>
      </w:r>
      <w:r>
        <w:rPr>
          <w:rFonts w:hint="eastAsia" w:ascii="宋体" w:hAnsi="宋体" w:eastAsia="宋体" w:cs="宋体"/>
          <w:color w:val="000000" w:themeColor="text1"/>
          <w:sz w:val="21"/>
          <w:szCs w:val="21"/>
          <w:lang w:val="en-US"/>
          <w14:textFill>
            <w14:solidFill>
              <w14:schemeClr w14:val="tx1"/>
            </w14:solidFill>
          </w14:textFill>
        </w:rPr>
        <w:t>幢</w:t>
      </w:r>
      <w:r>
        <w:rPr>
          <w:rFonts w:ascii="宋体" w:hAnsi="宋体" w:eastAsia="宋体" w:cs="宋体"/>
          <w:color w:val="000000" w:themeColor="text1"/>
          <w:sz w:val="21"/>
          <w:szCs w:val="21"/>
          <w:lang w:val="en-US"/>
          <w14:textFill>
            <w14:solidFill>
              <w14:schemeClr w14:val="tx1"/>
            </w14:solidFill>
          </w14:textFill>
        </w:rPr>
        <w:t>12-04</w:t>
      </w:r>
      <w:r>
        <w:rPr>
          <w:rFonts w:hint="eastAsia" w:ascii="宋体" w:hAnsi="宋体" w:eastAsia="宋体" w:cs="宋体"/>
          <w:color w:val="000000" w:themeColor="text1"/>
          <w:sz w:val="21"/>
          <w:szCs w:val="21"/>
          <w:lang w:val="en-US"/>
          <w14:textFill>
            <w14:solidFill>
              <w14:schemeClr w14:val="tx1"/>
            </w14:solidFill>
          </w14:textFill>
        </w:rPr>
        <w:t>／</w:t>
      </w:r>
      <w:r>
        <w:rPr>
          <w:rFonts w:ascii="宋体" w:hAnsi="宋体" w:eastAsia="宋体" w:cs="宋体"/>
          <w:color w:val="000000" w:themeColor="text1"/>
          <w:sz w:val="21"/>
          <w:szCs w:val="21"/>
          <w:lang w:val="en-US"/>
          <w14:textFill>
            <w14:solidFill>
              <w14:schemeClr w14:val="tx1"/>
            </w14:solidFill>
          </w14:textFill>
        </w:rPr>
        <w:t>06</w:t>
      </w:r>
      <w:r>
        <w:rPr>
          <w:rFonts w:hint="eastAsia" w:ascii="宋体" w:hAnsi="宋体" w:eastAsia="宋体" w:cs="宋体"/>
          <w:color w:val="000000" w:themeColor="text1"/>
          <w:sz w:val="21"/>
          <w:szCs w:val="21"/>
          <w:lang w:val="en-US"/>
          <w14:textFill>
            <w14:solidFill>
              <w14:schemeClr w14:val="tx1"/>
            </w14:solidFill>
          </w14:textFill>
        </w:rPr>
        <w:t>号</w:t>
      </w:r>
    </w:p>
    <w:p>
      <w:pPr>
        <w:widowControl/>
        <w:adjustRightInd w:val="0"/>
        <w:snapToGrid w:val="0"/>
        <w:spacing w:line="4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项目联系人（询问）：</w:t>
      </w:r>
      <w:r>
        <w:rPr>
          <w:rFonts w:hint="eastAsia" w:ascii="宋体" w:hAnsi="宋体" w:cs="宋体"/>
          <w:color w:val="000000" w:themeColor="text1"/>
          <w:szCs w:val="21"/>
          <w14:textFill>
            <w14:solidFill>
              <w14:schemeClr w14:val="tx1"/>
            </w14:solidFill>
          </w14:textFill>
        </w:rPr>
        <w:t>严晓婷</w:t>
      </w:r>
      <w:r>
        <w:rPr>
          <w:rFonts w:hint="eastAsia" w:ascii="宋体" w:hAnsi="宋体" w:cs="宋体"/>
          <w:color w:val="000000" w:themeColor="text1"/>
          <w:kern w:val="0"/>
          <w:szCs w:val="21"/>
          <w14:textFill>
            <w14:solidFill>
              <w14:schemeClr w14:val="tx1"/>
            </w14:solidFill>
          </w14:textFill>
        </w:rPr>
        <w:t> 　  </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w:t>
      </w:r>
    </w:p>
    <w:p>
      <w:pPr>
        <w:widowControl/>
        <w:adjustRightInd w:val="0"/>
        <w:snapToGrid w:val="0"/>
        <w:spacing w:line="4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项目联系方式（询问）：</w:t>
      </w:r>
      <w:r>
        <w:rPr>
          <w:rFonts w:ascii="宋体" w:hAnsi="宋体" w:cs="宋体"/>
          <w:color w:val="000000" w:themeColor="text1"/>
          <w:szCs w:val="21"/>
          <w14:textFill>
            <w14:solidFill>
              <w14:schemeClr w14:val="tx1"/>
            </w14:solidFill>
          </w14:textFill>
        </w:rPr>
        <w:t>13567056730</w:t>
      </w:r>
      <w:r>
        <w:rPr>
          <w:rFonts w:hint="eastAsia" w:ascii="宋体" w:hAnsi="宋体" w:cs="宋体"/>
          <w:color w:val="000000" w:themeColor="text1"/>
          <w:kern w:val="0"/>
          <w:szCs w:val="21"/>
          <w14:textFill>
            <w14:solidFill>
              <w14:schemeClr w14:val="tx1"/>
            </w14:solidFill>
          </w14:textFill>
        </w:rPr>
        <w:t> </w:t>
      </w:r>
    </w:p>
    <w:p>
      <w:pPr>
        <w:widowControl/>
        <w:adjustRightInd w:val="0"/>
        <w:snapToGrid w:val="0"/>
        <w:spacing w:line="4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质疑联系人：李工</w:t>
      </w:r>
    </w:p>
    <w:p>
      <w:pPr>
        <w:spacing w:line="4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质疑联系方式：</w:t>
      </w:r>
      <w:r>
        <w:rPr>
          <w:rFonts w:ascii="宋体" w:hAnsi="宋体" w:cs="宋体"/>
          <w:color w:val="000000" w:themeColor="text1"/>
          <w:szCs w:val="21"/>
          <w14:textFill>
            <w14:solidFill>
              <w14:schemeClr w14:val="tx1"/>
            </w14:solidFill>
          </w14:textFill>
        </w:rPr>
        <w:t>0570-5199585</w:t>
      </w:r>
      <w:r>
        <w:rPr>
          <w:rFonts w:hint="eastAsia" w:ascii="宋体" w:hAnsi="宋体" w:cs="宋体"/>
          <w:color w:val="000000" w:themeColor="text1"/>
          <w:kern w:val="0"/>
          <w:szCs w:val="2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　　　　</w:t>
      </w:r>
    </w:p>
    <w:p>
      <w:pPr>
        <w:widowControl/>
        <w:snapToGrid w:val="0"/>
        <w:spacing w:line="420" w:lineRule="exact"/>
        <w:ind w:firstLine="212" w:firstLineChars="1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同级政府采购监管部门：</w:t>
      </w:r>
    </w:p>
    <w:p>
      <w:pPr>
        <w:widowControl/>
        <w:snapToGrid w:val="0"/>
        <w:spacing w:line="4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称：常山县财政局政府采购监管科</w:t>
      </w:r>
    </w:p>
    <w:p>
      <w:pPr>
        <w:widowControl/>
        <w:snapToGrid w:val="0"/>
        <w:spacing w:line="42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地址：</w:t>
      </w:r>
      <w:r>
        <w:rPr>
          <w:rFonts w:hint="eastAsia" w:ascii="宋体" w:hAnsi="宋体" w:cs="宋体"/>
          <w:color w:val="000000" w:themeColor="text1"/>
          <w:szCs w:val="21"/>
          <w14:textFill>
            <w14:solidFill>
              <w14:schemeClr w14:val="tx1"/>
            </w14:solidFill>
          </w14:textFill>
        </w:rPr>
        <w:t>常山县天马街道定阳北路</w:t>
      </w:r>
      <w:r>
        <w:rPr>
          <w:rFonts w:ascii="宋体" w:hAnsi="宋体" w:cs="宋体"/>
          <w:color w:val="000000" w:themeColor="text1"/>
          <w:szCs w:val="21"/>
          <w14:textFill>
            <w14:solidFill>
              <w14:schemeClr w14:val="tx1"/>
            </w14:solidFill>
          </w14:textFill>
        </w:rPr>
        <w:t>415</w:t>
      </w:r>
      <w:r>
        <w:rPr>
          <w:rFonts w:hint="eastAsia" w:ascii="宋体" w:hAnsi="宋体" w:cs="宋体"/>
          <w:color w:val="000000" w:themeColor="text1"/>
          <w:szCs w:val="21"/>
          <w14:textFill>
            <w14:solidFill>
              <w14:schemeClr w14:val="tx1"/>
            </w14:solidFill>
          </w14:textFill>
        </w:rPr>
        <w:t>号</w:t>
      </w:r>
    </w:p>
    <w:p>
      <w:pPr>
        <w:widowControl/>
        <w:snapToGrid w:val="0"/>
        <w:spacing w:line="4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联系人：李卫明</w:t>
      </w:r>
    </w:p>
    <w:p>
      <w:pPr>
        <w:widowControl/>
        <w:snapToGrid w:val="0"/>
        <w:spacing w:line="42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监督投诉电话：</w:t>
      </w:r>
      <w:r>
        <w:rPr>
          <w:rFonts w:ascii="宋体" w:hAnsi="宋体" w:cs="宋体"/>
          <w:color w:val="000000" w:themeColor="text1"/>
          <w:szCs w:val="21"/>
          <w14:textFill>
            <w14:solidFill>
              <w14:schemeClr w14:val="tx1"/>
            </w14:solidFill>
          </w14:textFill>
        </w:rPr>
        <w:t>0570-5015373</w:t>
      </w:r>
    </w:p>
    <w:p>
      <w:pPr>
        <w:wordWrap w:val="0"/>
        <w:spacing w:line="420" w:lineRule="exact"/>
        <w:ind w:right="420"/>
        <w:rPr>
          <w:rFonts w:ascii="宋体" w:hAnsi="宋体" w:cs="宋体"/>
          <w:b/>
          <w:color w:val="000000" w:themeColor="text1"/>
          <w:sz w:val="36"/>
          <w:szCs w:val="36"/>
          <w:lang w:val="zh-CN"/>
          <w14:textFill>
            <w14:solidFill>
              <w14:schemeClr w14:val="tx1"/>
            </w14:solidFill>
          </w14:textFill>
        </w:rPr>
      </w:pPr>
    </w:p>
    <w:p>
      <w:pPr>
        <w:pStyle w:val="95"/>
        <w:rPr>
          <w:color w:val="000000" w:themeColor="text1"/>
          <w14:textFill>
            <w14:solidFill>
              <w14:schemeClr w14:val="tx1"/>
            </w14:solidFill>
          </w14:textFill>
        </w:rPr>
      </w:pPr>
    </w:p>
    <w:p>
      <w:pPr>
        <w:pStyle w:val="4"/>
        <w:spacing w:line="360" w:lineRule="exact"/>
        <w:ind w:firstLine="2576" w:firstLineChars="800"/>
        <w:rPr>
          <w:color w:val="000000" w:themeColor="text1"/>
          <w:sz w:val="32"/>
          <w:szCs w:val="32"/>
          <w:lang w:val="zh-CN"/>
          <w14:textFill>
            <w14:solidFill>
              <w14:schemeClr w14:val="tx1"/>
            </w14:solidFill>
          </w14:textFill>
        </w:rPr>
      </w:pPr>
      <w:bookmarkStart w:id="4" w:name="_Toc54798359"/>
      <w:r>
        <w:rPr>
          <w:rFonts w:hint="eastAsia"/>
          <w:color w:val="000000" w:themeColor="text1"/>
          <w:sz w:val="32"/>
          <w:szCs w:val="32"/>
          <w:lang w:val="zh-CN"/>
          <w14:textFill>
            <w14:solidFill>
              <w14:schemeClr w14:val="tx1"/>
            </w14:solidFill>
          </w14:textFill>
        </w:rPr>
        <w:t>第二章</w:t>
      </w:r>
      <w:r>
        <w:rPr>
          <w:rFonts w:hint="eastAsia"/>
          <w:color w:val="000000" w:themeColor="text1"/>
          <w:sz w:val="32"/>
          <w:szCs w:val="32"/>
          <w14:textFill>
            <w14:solidFill>
              <w14:schemeClr w14:val="tx1"/>
            </w14:solidFill>
          </w14:textFill>
        </w:rPr>
        <w:t xml:space="preserve"> </w:t>
      </w:r>
      <w:r>
        <w:rPr>
          <w:rFonts w:hint="eastAsia"/>
          <w:color w:val="000000" w:themeColor="text1"/>
          <w:sz w:val="32"/>
          <w:szCs w:val="32"/>
          <w:lang w:val="zh-CN"/>
          <w14:textFill>
            <w14:solidFill>
              <w14:schemeClr w14:val="tx1"/>
            </w14:solidFill>
          </w14:textFill>
        </w:rPr>
        <w:t>投标须知</w:t>
      </w:r>
      <w:bookmarkEnd w:id="4"/>
    </w:p>
    <w:p>
      <w:pPr>
        <w:pStyle w:val="4"/>
        <w:spacing w:line="360" w:lineRule="exact"/>
        <w:ind w:firstLine="2820" w:firstLineChars="10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投标人须知前附表</w:t>
      </w:r>
    </w:p>
    <w:tbl>
      <w:tblPr>
        <w:tblStyle w:val="39"/>
        <w:tblpPr w:leftFromText="180" w:rightFromText="180" w:vertAnchor="text" w:horzAnchor="page" w:tblpX="1486" w:tblpY="424"/>
        <w:tblOverlap w:val="never"/>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0"/>
        <w:gridCol w:w="1290"/>
        <w:gridCol w:w="70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70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7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常山县乡村振兴特色产业园大数据中心项目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采购预算价</w:t>
            </w:r>
          </w:p>
        </w:tc>
        <w:tc>
          <w:tcPr>
            <w:tcW w:w="707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2190</w:t>
            </w:r>
            <w:r>
              <w:rPr>
                <w:rFonts w:hint="eastAsia" w:ascii="宋体" w:hAnsi="宋体" w:cs="宋体"/>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现场踏勘</w:t>
            </w:r>
          </w:p>
        </w:tc>
        <w:tc>
          <w:tcPr>
            <w:tcW w:w="707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w:t>
            </w:r>
          </w:p>
        </w:tc>
        <w:tc>
          <w:tcPr>
            <w:tcW w:w="707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本项目投标应以人民币报价；</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p>
        </w:tc>
        <w:tc>
          <w:tcPr>
            <w:tcW w:w="12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评标委员会的组建</w:t>
            </w:r>
          </w:p>
        </w:tc>
        <w:tc>
          <w:tcPr>
            <w:tcW w:w="707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按规定组建评标委员会。</w:t>
            </w:r>
          </w:p>
          <w:p>
            <w:pPr>
              <w:snapToGrid w:val="0"/>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评标专家确定方式：共</w:t>
            </w:r>
            <w:r>
              <w:rPr>
                <w:rFonts w:ascii="宋体" w:hAnsi="宋体" w:cs="宋体"/>
                <w:bCs/>
                <w:color w:val="000000" w:themeColor="text1"/>
                <w:kern w:val="0"/>
                <w:szCs w:val="21"/>
                <w14:textFill>
                  <w14:solidFill>
                    <w14:schemeClr w14:val="tx1"/>
                  </w14:solidFill>
                </w14:textFill>
              </w:rPr>
              <w:t>7</w:t>
            </w:r>
            <w:r>
              <w:rPr>
                <w:rFonts w:hint="eastAsia" w:ascii="宋体" w:hAnsi="宋体" w:cs="宋体"/>
                <w:bCs/>
                <w:color w:val="000000" w:themeColor="text1"/>
                <w:kern w:val="0"/>
                <w:szCs w:val="21"/>
                <w14:textFill>
                  <w14:solidFill>
                    <w14:schemeClr w14:val="tx1"/>
                  </w14:solidFill>
                </w14:textFill>
              </w:rPr>
              <w:t>人</w:t>
            </w:r>
            <w:r>
              <w:rPr>
                <w:rFonts w:ascii="宋体" w:hAnsi="宋体" w:cs="宋体"/>
                <w:bCs/>
                <w:color w:val="000000" w:themeColor="text1"/>
                <w:kern w:val="0"/>
                <w:szCs w:val="21"/>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由采购单位代表</w:t>
            </w:r>
            <w:r>
              <w:rPr>
                <w:rFonts w:ascii="宋体" w:hAnsi="宋体" w:cs="宋体"/>
                <w:bCs/>
                <w:color w:val="000000" w:themeColor="text1"/>
                <w:kern w:val="0"/>
                <w:szCs w:val="21"/>
                <w14:textFill>
                  <w14:solidFill>
                    <w14:schemeClr w14:val="tx1"/>
                  </w14:solidFill>
                </w14:textFill>
              </w:rPr>
              <w:t>2</w:t>
            </w:r>
            <w:r>
              <w:rPr>
                <w:rFonts w:hint="eastAsia" w:ascii="宋体" w:hAnsi="宋体" w:cs="宋体"/>
                <w:bCs/>
                <w:color w:val="000000" w:themeColor="text1"/>
                <w:kern w:val="0"/>
                <w:szCs w:val="21"/>
                <w14:textFill>
                  <w14:solidFill>
                    <w14:schemeClr w14:val="tx1"/>
                  </w14:solidFill>
                </w14:textFill>
              </w:rPr>
              <w:t>名和评审专家组成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w:t>
            </w:r>
          </w:p>
          <w:p>
            <w:pPr>
              <w:autoSpaceDE w:val="0"/>
              <w:autoSpaceDN w:val="0"/>
              <w:adjustRightInd w:val="0"/>
              <w:ind w:firstLine="212" w:firstLineChars="100"/>
              <w:rPr>
                <w:rFonts w:ascii="宋体" w:hAnsi="宋体" w:cs="宋体"/>
                <w:bCs/>
                <w:color w:val="000000" w:themeColor="text1"/>
                <w:kern w:val="0"/>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组成</w:t>
            </w:r>
          </w:p>
        </w:tc>
        <w:tc>
          <w:tcPr>
            <w:tcW w:w="7070" w:type="dxa"/>
            <w:tcBorders>
              <w:top w:val="single" w:color="auto" w:sz="4" w:space="0"/>
              <w:left w:val="single" w:color="auto" w:sz="4" w:space="0"/>
              <w:bottom w:val="single" w:color="auto" w:sz="4" w:space="0"/>
              <w:right w:val="single" w:color="auto" w:sz="4" w:space="0"/>
            </w:tcBorders>
            <w:vAlign w:val="center"/>
          </w:tcPr>
          <w:p>
            <w:pPr>
              <w:pStyle w:val="38"/>
              <w:spacing w:line="360" w:lineRule="auto"/>
              <w:ind w:firstLine="0"/>
              <w:rPr>
                <w:rFonts w:ascii="宋体" w:hAnsi="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投标文件由资格证明资料、商务及技术文件、报价文件组成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w:t>
            </w:r>
          </w:p>
          <w:p>
            <w:pPr>
              <w:autoSpaceDE w:val="0"/>
              <w:autoSpaceDN w:val="0"/>
              <w:adjustRightInd w:val="0"/>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编制</w:t>
            </w:r>
          </w:p>
        </w:tc>
        <w:tc>
          <w:tcPr>
            <w:tcW w:w="70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319" w:hanging="318" w:hangingChars="15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“电子加密投标文件”：</w:t>
            </w:r>
          </w:p>
          <w:p>
            <w:pPr>
              <w:autoSpaceDE w:val="0"/>
              <w:autoSpaceDN w:val="0"/>
              <w:adjustRightInd w:val="0"/>
              <w:spacing w:line="400" w:lineRule="exact"/>
              <w:ind w:left="531" w:hanging="530" w:hangingChars="2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）“电子加密投标文件”是指通过“政采云电子交易客户端”完成投标文件编制后生成并加密的数据电文形式的投标文件。</w:t>
            </w:r>
          </w:p>
          <w:p>
            <w:pPr>
              <w:spacing w:line="400" w:lineRule="exact"/>
              <w:ind w:left="531" w:hanging="530" w:hanging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）供应商应先安装“政采云电子交易客户端”，并按照本招标文件和“政府采购云平台”的要求，通过“政采云电子交易客户端”编制并加密投标文件。</w:t>
            </w:r>
          </w:p>
          <w:p>
            <w:pPr>
              <w:spacing w:line="400" w:lineRule="exact"/>
              <w:ind w:left="319" w:hanging="318" w:hangingChars="15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“电子备份投标文件”：</w:t>
            </w:r>
          </w:p>
          <w:p>
            <w:pPr>
              <w:spacing w:line="400" w:lineRule="exact"/>
              <w:ind w:left="531" w:hanging="530" w:hanging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）“电子备份投标文件”是指与“电子加密投标文件”同时生成的数据电文形式的电子文件。</w:t>
            </w:r>
          </w:p>
          <w:p>
            <w:pPr>
              <w:spacing w:line="400" w:lineRule="exact"/>
              <w:ind w:left="319" w:hanging="318" w:hanging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）供应商可自主选择是否编制“电子备份投标文件”。</w:t>
            </w:r>
          </w:p>
          <w:p>
            <w:pPr>
              <w:snapToGrid w:val="0"/>
              <w:spacing w:line="400" w:lineRule="exact"/>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w:t>
            </w:r>
          </w:p>
          <w:p>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签章</w:t>
            </w:r>
          </w:p>
        </w:tc>
        <w:tc>
          <w:tcPr>
            <w:tcW w:w="70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319" w:hanging="318" w:hangingChars="15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w:t>
            </w:r>
          </w:p>
          <w:p>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递交</w:t>
            </w:r>
          </w:p>
        </w:tc>
        <w:tc>
          <w:tcPr>
            <w:tcW w:w="70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ascii="宋体" w:hAnsi="宋体" w:cs="宋体"/>
                <w:color w:val="000000" w:themeColor="text1"/>
                <w:lang w:val="zh-CN"/>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）“电子加密投标文件”的上传、递交：</w:t>
            </w:r>
          </w:p>
          <w:p>
            <w:pPr>
              <w:autoSpaceDE w:val="0"/>
              <w:autoSpaceDN w:val="0"/>
              <w:adjustRightInd w:val="0"/>
              <w:spacing w:line="400" w:lineRule="exact"/>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供应商应在投标截止时间前将“电子加密投标文件”成功上传递交至“政府采购云平台”，否则投标无效。</w:t>
            </w:r>
          </w:p>
          <w:p>
            <w:pPr>
              <w:autoSpaceDE w:val="0"/>
              <w:autoSpaceDN w:val="0"/>
              <w:adjustRightInd w:val="0"/>
              <w:spacing w:line="400" w:lineRule="exact"/>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ascii="宋体" w:hAnsi="宋体" w:cs="宋体"/>
                <w:color w:val="000000" w:themeColor="text1"/>
                <w:lang w:val="zh-CN"/>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）“备份投标文件”的递交：</w:t>
            </w:r>
          </w:p>
          <w:p>
            <w:pPr>
              <w:autoSpaceDE w:val="0"/>
              <w:autoSpaceDN w:val="0"/>
              <w:adjustRightInd w:val="0"/>
              <w:spacing w:line="400" w:lineRule="exact"/>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a.</w:t>
            </w:r>
            <w:r>
              <w:rPr>
                <w:rFonts w:hint="eastAsia" w:ascii="宋体" w:hAnsi="宋体" w:cs="宋体"/>
                <w:color w:val="000000" w:themeColor="text1"/>
                <w:lang w:val="zh-CN"/>
                <w14:textFill>
                  <w14:solidFill>
                    <w14:schemeClr w14:val="tx1"/>
                  </w14:solidFill>
                </w14:textFill>
              </w:rPr>
              <w:t>供应商在“政府采购云平台”完成“电子加密投标文件”的上传递交后，还可以（以</w:t>
            </w:r>
            <w:r>
              <w:rPr>
                <w:rFonts w:hint="eastAsia" w:ascii="宋体" w:hAnsi="宋体" w:cs="宋体"/>
                <w:color w:val="000000" w:themeColor="text1"/>
                <w14:textFill>
                  <w14:solidFill>
                    <w14:schemeClr w14:val="tx1"/>
                  </w14:solidFill>
                </w14:textFill>
              </w:rPr>
              <w:t>电子邮件的</w:t>
            </w:r>
            <w:r>
              <w:rPr>
                <w:rFonts w:hint="eastAsia" w:ascii="宋体" w:hAnsi="宋体" w:cs="宋体"/>
                <w:color w:val="000000" w:themeColor="text1"/>
                <w:lang w:val="zh-CN"/>
                <w14:textFill>
                  <w14:solidFill>
                    <w14:schemeClr w14:val="tx1"/>
                  </w14:solidFill>
                </w14:textFill>
              </w:rPr>
              <w:t>形式）在投标截止时间前发送一份</w:t>
            </w:r>
            <w:r>
              <w:rPr>
                <w:rFonts w:ascii="宋体" w:hAnsi="宋体" w:cs="宋体"/>
                <w:color w:val="000000" w:themeColor="text1"/>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“备份投标文件”</w:t>
            </w:r>
            <w:r>
              <w:rPr>
                <w:rFonts w:hint="eastAsia"/>
                <w:color w:val="000000" w:themeColor="text1"/>
                <w:lang w:val="zh-CN"/>
                <w14:textFill>
                  <w14:solidFill>
                    <w14:schemeClr w14:val="tx1"/>
                  </w14:solidFill>
                </w14:textFill>
              </w:rPr>
              <w:t>至</w:t>
            </w:r>
            <w:r>
              <w:rPr>
                <w:rFonts w:hint="eastAsia" w:ascii="宋体" w:hAnsi="宋体" w:cs="宋体"/>
                <w:color w:val="000000" w:themeColor="text1"/>
                <w:lang w:val="zh-CN"/>
                <w14:textFill>
                  <w14:solidFill>
                    <w14:schemeClr w14:val="tx1"/>
                  </w14:solidFill>
                </w14:textFill>
              </w:rPr>
              <w:t>邮箱：</w:t>
            </w:r>
            <w:r>
              <w:rPr>
                <w:rFonts w:hint="eastAsia"/>
              </w:rPr>
              <w:fldChar w:fldCharType="begin"/>
            </w:r>
            <w:r>
              <w:instrText xml:space="preserve"> HYPERLINK "mailto:2219650894@qq.com；" </w:instrText>
            </w:r>
            <w:r>
              <w:rPr>
                <w:rFonts w:hint="eastAsia"/>
              </w:rPr>
              <w:fldChar w:fldCharType="separate"/>
            </w:r>
            <w:r>
              <w:rPr>
                <w:rFonts w:ascii="宋体" w:hAnsi="宋体" w:cs="宋体"/>
                <w:color w:val="000000" w:themeColor="text1"/>
                <w:lang w:val="zh-CN"/>
                <w14:textFill>
                  <w14:solidFill>
                    <w14:schemeClr w14:val="tx1"/>
                  </w14:solidFill>
                </w14:textFill>
              </w:rPr>
              <w:t>2219650894</w:t>
            </w:r>
            <w:r>
              <w:rPr>
                <w:rFonts w:ascii="宋体" w:hAnsi="宋体" w:cs="宋体"/>
                <w:color w:val="000000" w:themeColor="text1"/>
                <w14:textFill>
                  <w14:solidFill>
                    <w14:schemeClr w14:val="tx1"/>
                  </w14:solidFill>
                </w14:textFill>
              </w:rPr>
              <w:t>@qq.com</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fldChar w:fldCharType="end"/>
            </w:r>
          </w:p>
          <w:p>
            <w:pPr>
              <w:autoSpaceDE w:val="0"/>
              <w:autoSpaceDN w:val="0"/>
              <w:adjustRightInd w:val="0"/>
              <w:spacing w:line="400" w:lineRule="exact"/>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b.</w:t>
            </w:r>
            <w:r>
              <w:rPr>
                <w:rFonts w:hint="eastAsia" w:ascii="宋体" w:hAnsi="宋体" w:cs="宋体"/>
                <w:color w:val="000000" w:themeColor="text1"/>
                <w:lang w:val="zh-CN"/>
                <w14:textFill>
                  <w14:solidFill>
                    <w14:schemeClr w14:val="tx1"/>
                  </w14:solidFill>
                </w14:textFill>
              </w:rPr>
              <w:t>“备份投标文件”以压缩文件形式加密发送至邮箱：</w:t>
            </w:r>
            <w:r>
              <w:rPr>
                <w:rFonts w:ascii="宋体" w:hAnsi="宋体" w:cs="宋体"/>
                <w:color w:val="000000" w:themeColor="text1"/>
                <w:lang w:val="zh-CN"/>
                <w14:textFill>
                  <w14:solidFill>
                    <w14:schemeClr w14:val="tx1"/>
                  </w14:solidFill>
                </w14:textFill>
              </w:rPr>
              <w:t>2219650894</w:t>
            </w:r>
            <w:r>
              <w:rPr>
                <w:rFonts w:ascii="宋体" w:hAnsi="宋体" w:cs="宋体"/>
                <w:color w:val="000000" w:themeColor="text1"/>
                <w14:textFill>
                  <w14:solidFill>
                    <w14:schemeClr w14:val="tx1"/>
                  </w14:solidFill>
                </w14:textFill>
              </w:rPr>
              <w:t>@qq.com</w:t>
            </w:r>
            <w:r>
              <w:rPr>
                <w:rFonts w:hint="eastAsia" w:ascii="宋体" w:hAnsi="宋体" w:cs="宋体"/>
                <w:color w:val="000000" w:themeColor="text1"/>
                <w14:textFill>
                  <w14:solidFill>
                    <w14:schemeClr w14:val="tx1"/>
                  </w14:solidFill>
                </w14:textFill>
              </w:rPr>
              <w:t>，压缩文件命名为</w:t>
            </w:r>
            <w:r>
              <w:rPr>
                <w:rFonts w:hint="eastAsia" w:ascii="宋体" w:hAnsi="宋体" w:cs="宋体"/>
                <w:color w:val="000000" w:themeColor="text1"/>
                <w:lang w:val="zh-CN"/>
                <w14:textFill>
                  <w14:solidFill>
                    <w14:schemeClr w14:val="tx1"/>
                  </w14:solidFill>
                </w14:textFill>
              </w:rPr>
              <w:t>投标项目编号和投标单位简称。开标时间起半小时内发送压缩文件密码至邮箱：</w:t>
            </w:r>
            <w:r>
              <w:rPr>
                <w:rFonts w:ascii="宋体" w:hAnsi="宋体" w:cs="宋体"/>
                <w:color w:val="000000" w:themeColor="text1"/>
                <w:lang w:val="zh-CN"/>
                <w14:textFill>
                  <w14:solidFill>
                    <w14:schemeClr w14:val="tx1"/>
                  </w14:solidFill>
                </w14:textFill>
              </w:rPr>
              <w:t>2219650894</w:t>
            </w:r>
            <w:r>
              <w:rPr>
                <w:rFonts w:ascii="宋体" w:hAnsi="宋体" w:cs="宋体"/>
                <w:color w:val="000000" w:themeColor="text1"/>
                <w14:textFill>
                  <w14:solidFill>
                    <w14:schemeClr w14:val="tx1"/>
                  </w14:solidFill>
                </w14:textFill>
              </w:rPr>
              <w:t>@qq.com</w:t>
            </w:r>
            <w:r>
              <w:rPr>
                <w:rFonts w:hint="eastAsia" w:ascii="宋体" w:hAnsi="宋体" w:cs="宋体"/>
                <w:color w:val="000000" w:themeColor="text1"/>
                <w:lang w:val="zh-CN"/>
                <w14:textFill>
                  <w14:solidFill>
                    <w14:schemeClr w14:val="tx1"/>
                  </w14:solidFill>
                </w14:textFill>
              </w:rPr>
              <w:t>。</w:t>
            </w:r>
          </w:p>
          <w:p>
            <w:pPr>
              <w:autoSpaceDE w:val="0"/>
              <w:autoSpaceDN w:val="0"/>
              <w:adjustRightInd w:val="0"/>
              <w:spacing w:line="400" w:lineRule="exact"/>
              <w:rPr>
                <w:rFonts w:ascii="宋体" w:hAnsi="宋体" w:cs="宋体"/>
                <w:color w:val="000000" w:themeColor="text1"/>
                <w:lang w:val="zh-CN"/>
                <w14:textFill>
                  <w14:solidFill>
                    <w14:schemeClr w14:val="tx1"/>
                  </w14:solidFill>
                </w14:textFill>
              </w:rPr>
            </w:pPr>
            <w:r>
              <w:rPr>
                <w:rFonts w:ascii="宋体" w:hAnsi="宋体" w:cs="宋体"/>
                <w:color w:val="000000" w:themeColor="text1"/>
                <w14:textFill>
                  <w14:solidFill>
                    <w14:schemeClr w14:val="tx1"/>
                  </w14:solidFill>
                </w14:textFill>
              </w:rPr>
              <w:t>C</w:t>
            </w:r>
            <w:r>
              <w:rPr>
                <w:rFonts w:ascii="宋体" w:hAnsi="宋体" w:cs="宋体"/>
                <w:color w:val="000000" w:themeColor="text1"/>
                <w:lang w:val="zh-CN"/>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autoSpaceDE w:val="0"/>
              <w:autoSpaceDN w:val="0"/>
              <w:adjustRightInd w:val="0"/>
              <w:spacing w:line="400" w:lineRule="exact"/>
              <w:rPr>
                <w:rFonts w:ascii="宋体" w:hAnsi="宋体" w:cs="宋体"/>
                <w:color w:val="auto"/>
                <w:szCs w:val="21"/>
                <w:lang w:val="zh-CN"/>
              </w:rPr>
            </w:pPr>
            <w:r>
              <w:rPr>
                <w:rFonts w:hint="eastAsia" w:ascii="宋体" w:hAnsi="宋体" w:cs="宋体"/>
                <w:color w:val="auto"/>
                <w:szCs w:val="21"/>
              </w:rPr>
              <w:t>(3)演示视频的递交:</w:t>
            </w:r>
            <w:r>
              <w:rPr>
                <w:rFonts w:hint="eastAsia" w:ascii="宋体" w:hAnsi="宋体" w:cs="宋体"/>
                <w:color w:val="auto"/>
                <w:szCs w:val="21"/>
                <w:lang w:val="zh-CN"/>
              </w:rPr>
              <w:t>供应商在投标截止时间前将加密视频发送至邮箱：</w:t>
            </w:r>
            <w:r>
              <w:rPr>
                <w:rFonts w:hint="eastAsia" w:ascii="宋体" w:hAnsi="宋体" w:cs="宋体"/>
                <w:color w:val="auto"/>
                <w:szCs w:val="21"/>
              </w:rPr>
              <w:fldChar w:fldCharType="begin"/>
            </w:r>
            <w:r>
              <w:rPr>
                <w:rFonts w:hint="eastAsia" w:ascii="宋体" w:hAnsi="宋体" w:cs="宋体"/>
                <w:color w:val="auto"/>
                <w:szCs w:val="21"/>
              </w:rPr>
              <w:instrText xml:space="preserve"> HYPERLINK "mailto:2219650894@qq.com；" </w:instrText>
            </w:r>
            <w:r>
              <w:rPr>
                <w:rFonts w:hint="eastAsia" w:ascii="宋体" w:hAnsi="宋体" w:cs="宋体"/>
                <w:color w:val="auto"/>
                <w:szCs w:val="21"/>
              </w:rPr>
              <w:fldChar w:fldCharType="separate"/>
            </w:r>
            <w:r>
              <w:rPr>
                <w:rFonts w:hint="eastAsia" w:ascii="宋体" w:hAnsi="宋体" w:cs="宋体"/>
                <w:color w:val="auto"/>
                <w:szCs w:val="21"/>
                <w:lang w:val="zh-CN"/>
              </w:rPr>
              <w:t>2219650894</w:t>
            </w:r>
            <w:r>
              <w:rPr>
                <w:rFonts w:hint="eastAsia" w:ascii="宋体" w:hAnsi="宋体" w:cs="宋体"/>
                <w:color w:val="auto"/>
                <w:szCs w:val="21"/>
              </w:rPr>
              <w:t>@qq.com</w:t>
            </w:r>
            <w:r>
              <w:rPr>
                <w:rFonts w:hint="eastAsia" w:ascii="宋体" w:hAnsi="宋体" w:cs="宋体"/>
                <w:color w:val="auto"/>
                <w:szCs w:val="21"/>
                <w:lang w:val="zh-CN"/>
              </w:rPr>
              <w:t>；</w:t>
            </w:r>
            <w:r>
              <w:rPr>
                <w:rFonts w:hint="eastAsia" w:ascii="宋体" w:hAnsi="宋体" w:cs="宋体"/>
                <w:color w:val="auto"/>
                <w:szCs w:val="21"/>
                <w:lang w:val="zh-CN"/>
              </w:rPr>
              <w:fldChar w:fldCharType="end"/>
            </w:r>
            <w:r>
              <w:rPr>
                <w:rFonts w:hint="eastAsia" w:ascii="宋体" w:hAnsi="宋体" w:cs="宋体"/>
                <w:color w:val="auto"/>
                <w:lang w:val="zh-CN"/>
              </w:rPr>
              <w:t>开标时间起半小时内发送</w:t>
            </w:r>
            <w:r>
              <w:rPr>
                <w:rFonts w:hint="eastAsia" w:ascii="宋体" w:hAnsi="宋体" w:cs="宋体"/>
                <w:color w:val="auto"/>
                <w:szCs w:val="21"/>
                <w:lang w:val="zh-CN"/>
              </w:rPr>
              <w:t>加密视频</w:t>
            </w:r>
            <w:r>
              <w:rPr>
                <w:rFonts w:hint="eastAsia" w:ascii="宋体" w:hAnsi="宋体" w:cs="宋体"/>
                <w:color w:val="auto"/>
                <w:lang w:val="zh-CN"/>
              </w:rPr>
              <w:t>密码至邮箱：</w:t>
            </w:r>
            <w:r>
              <w:rPr>
                <w:rFonts w:ascii="宋体" w:hAnsi="宋体" w:cs="宋体"/>
                <w:color w:val="auto"/>
                <w:lang w:val="zh-CN"/>
              </w:rPr>
              <w:t>2219650894</w:t>
            </w:r>
            <w:r>
              <w:rPr>
                <w:rFonts w:ascii="宋体" w:hAnsi="宋体" w:cs="宋体"/>
                <w:color w:val="auto"/>
              </w:rPr>
              <w:t>@qq.com</w:t>
            </w:r>
            <w:r>
              <w:rPr>
                <w:rFonts w:hint="eastAsia" w:ascii="宋体" w:hAnsi="宋体" w:cs="宋体"/>
                <w:color w:val="auto"/>
                <w:lang w:val="zh-CN"/>
              </w:rPr>
              <w:t>。</w:t>
            </w:r>
          </w:p>
          <w:p>
            <w:pPr>
              <w:pStyle w:val="38"/>
              <w:spacing w:line="400" w:lineRule="exact"/>
              <w:ind w:firstLine="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投标截止后，在投标有效期内，供应商不能撤销投标文件。供应商强行撤销投标文件的，应按预算金额的2%赔偿对招标代理机构造成的损失。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lang w:val="zh-CN"/>
                <w14:textFill>
                  <w14:solidFill>
                    <w14:schemeClr w14:val="tx1"/>
                  </w14:solidFill>
                </w14:textFill>
              </w:rPr>
              <w:t>电子加密投标文件的解密和异常情况处理</w:t>
            </w:r>
          </w:p>
        </w:tc>
        <w:tc>
          <w:tcPr>
            <w:tcW w:w="70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olor w:val="000000" w:themeColor="text1"/>
                <w:lang w:val="zh-CN"/>
                <w14:textFill>
                  <w14:solidFill>
                    <w14:schemeClr w14:val="tx1"/>
                  </w14:solidFill>
                </w14:textFill>
              </w:rPr>
            </w:pPr>
            <w:r>
              <w:rPr>
                <w:rFonts w:hint="eastAsia" w:ascii="宋体" w:hAnsi="宋体"/>
                <w:color w:val="000000" w:themeColor="text1"/>
                <w:lang w:val="zh-CN"/>
                <w14:textFill>
                  <w14:solidFill>
                    <w14:schemeClr w14:val="tx1"/>
                  </w14:solidFill>
                </w14:textFill>
              </w:rPr>
              <w:t>（</w:t>
            </w:r>
            <w:r>
              <w:rPr>
                <w:rFonts w:ascii="宋体" w:hAnsi="宋体"/>
                <w:color w:val="000000" w:themeColor="text1"/>
                <w:lang w:val="zh-CN"/>
                <w14:textFill>
                  <w14:solidFill>
                    <w14:schemeClr w14:val="tx1"/>
                  </w14:solidFill>
                </w14:textFill>
              </w:rPr>
              <w:t>1</w:t>
            </w:r>
            <w:r>
              <w:rPr>
                <w:rFonts w:hint="eastAsia" w:ascii="宋体" w:hAnsi="宋体"/>
                <w:color w:val="000000" w:themeColor="text1"/>
                <w:lang w:val="zh-CN"/>
                <w14:textFill>
                  <w14:solidFill>
                    <w14:schemeClr w14:val="tx1"/>
                  </w14:solidFill>
                </w14:textFill>
              </w:rPr>
              <w:t>）开标后，采购组织机构将向各供应商发出“电子加密投标文件”的解密通知，各供应商代表应当在接到解密通知后</w:t>
            </w:r>
            <w:r>
              <w:rPr>
                <w:rFonts w:ascii="宋体" w:hAnsi="宋体"/>
                <w:b/>
                <w:bCs/>
                <w:color w:val="000000" w:themeColor="text1"/>
                <w14:textFill>
                  <w14:solidFill>
                    <w14:schemeClr w14:val="tx1"/>
                  </w14:solidFill>
                </w14:textFill>
              </w:rPr>
              <w:t>30</w:t>
            </w:r>
            <w:r>
              <w:rPr>
                <w:rFonts w:hint="eastAsia" w:ascii="宋体" w:hAnsi="宋体"/>
                <w:b/>
                <w:bCs/>
                <w:color w:val="000000" w:themeColor="text1"/>
                <w:lang w:val="zh-CN"/>
                <w14:textFill>
                  <w14:solidFill>
                    <w14:schemeClr w14:val="tx1"/>
                  </w14:solidFill>
                </w14:textFill>
              </w:rPr>
              <w:t>分钟内</w:t>
            </w:r>
            <w:r>
              <w:rPr>
                <w:rFonts w:hint="eastAsia" w:ascii="宋体" w:hAnsi="宋体"/>
                <w:color w:val="000000" w:themeColor="text1"/>
                <w:lang w:val="zh-CN"/>
                <w14:textFill>
                  <w14:solidFill>
                    <w14:schemeClr w14:val="tx1"/>
                  </w14:solidFill>
                </w14:textFill>
              </w:rPr>
              <w:t>自行完成“电子加密投标文件”的在线解密，</w:t>
            </w:r>
            <w:r>
              <w:rPr>
                <w:rFonts w:hint="eastAsia" w:ascii="宋体" w:hAnsi="宋体"/>
                <w:b/>
                <w:bCs/>
                <w:color w:val="000000" w:themeColor="text1"/>
                <w:lang w:val="zh-CN"/>
                <w14:textFill>
                  <w14:solidFill>
                    <w14:schemeClr w14:val="tx1"/>
                  </w14:solidFill>
                </w14:textFill>
              </w:rPr>
              <w:t>超过解密时限，默认供应商自动放弃。</w:t>
            </w:r>
          </w:p>
          <w:p>
            <w:pPr>
              <w:autoSpaceDE w:val="0"/>
              <w:autoSpaceDN w:val="0"/>
              <w:adjustRightInd w:val="0"/>
              <w:spacing w:line="360" w:lineRule="auto"/>
              <w:rPr>
                <w:rFonts w:ascii="宋体" w:hAnsi="宋体"/>
                <w:color w:val="000000" w:themeColor="text1"/>
                <w:lang w:val="zh-CN"/>
                <w14:textFill>
                  <w14:solidFill>
                    <w14:schemeClr w14:val="tx1"/>
                  </w14:solidFill>
                </w14:textFill>
              </w:rPr>
            </w:pPr>
            <w:r>
              <w:rPr>
                <w:rFonts w:hint="eastAsia" w:ascii="宋体" w:hAnsi="宋体"/>
                <w:color w:val="000000" w:themeColor="text1"/>
                <w:lang w:val="zh-CN"/>
                <w14:textFill>
                  <w14:solidFill>
                    <w14:schemeClr w14:val="tx1"/>
                  </w14:solidFill>
                </w14:textFill>
              </w:rPr>
              <w:t>（</w:t>
            </w:r>
            <w:r>
              <w:rPr>
                <w:rFonts w:ascii="宋体" w:hAnsi="宋体"/>
                <w:color w:val="000000" w:themeColor="text1"/>
                <w:lang w:val="zh-CN"/>
                <w14:textFill>
                  <w14:solidFill>
                    <w14:schemeClr w14:val="tx1"/>
                  </w14:solidFill>
                </w14:textFill>
              </w:rPr>
              <w:t>2</w:t>
            </w:r>
            <w:r>
              <w:rPr>
                <w:rFonts w:hint="eastAsia" w:ascii="宋体" w:hAnsi="宋体"/>
                <w:color w:val="000000" w:themeColor="text1"/>
                <w:lang w:val="zh-CN"/>
                <w14:textFill>
                  <w14:solidFill>
                    <w14:schemeClr w14:val="tx1"/>
                  </w14:solidFill>
                </w14:textFill>
              </w:rPr>
              <w:t>）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utoSpaceDE w:val="0"/>
              <w:autoSpaceDN w:val="0"/>
              <w:adjustRightInd w:val="0"/>
              <w:spacing w:line="360" w:lineRule="auto"/>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w:t>
            </w:r>
            <w:r>
              <w:rPr>
                <w:rFonts w:ascii="宋体" w:hAnsi="宋体"/>
                <w:b/>
                <w:bCs/>
                <w:color w:val="000000" w:themeColor="text1"/>
                <w:lang w:val="zh-CN"/>
                <w14:textFill>
                  <w14:solidFill>
                    <w14:schemeClr w14:val="tx1"/>
                  </w14:solidFill>
                </w14:textFill>
              </w:rPr>
              <w:t>3</w:t>
            </w:r>
            <w:r>
              <w:rPr>
                <w:rFonts w:hint="eastAsia" w:ascii="宋体" w:hAnsi="宋体"/>
                <w:b/>
                <w:bCs/>
                <w:color w:val="000000" w:themeColor="text1"/>
                <w:lang w:val="zh-CN"/>
                <w14:textFill>
                  <w14:solidFill>
                    <w14:schemeClr w14:val="tx1"/>
                  </w14:solidFill>
                </w14:textFill>
              </w:rPr>
              <w:t>）投标截止时间前，供应商仅递交了“备份投标文件”而未将电子加密投标文件上传至“政府采购云平台”的，投标无效。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评标办法</w:t>
            </w:r>
          </w:p>
        </w:tc>
        <w:tc>
          <w:tcPr>
            <w:tcW w:w="70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开标时间</w:t>
            </w:r>
          </w:p>
        </w:tc>
        <w:tc>
          <w:tcPr>
            <w:tcW w:w="7070" w:type="dxa"/>
            <w:tcBorders>
              <w:top w:val="single" w:color="auto" w:sz="4" w:space="0"/>
              <w:left w:val="single" w:color="auto" w:sz="4" w:space="0"/>
              <w:bottom w:val="single" w:color="auto" w:sz="4" w:space="0"/>
              <w:right w:val="single" w:color="auto" w:sz="4" w:space="0"/>
            </w:tcBorders>
            <w:vAlign w:val="center"/>
          </w:tcPr>
          <w:p>
            <w:pPr>
              <w:pStyle w:val="38"/>
              <w:spacing w:line="420" w:lineRule="exact"/>
              <w:ind w:firstLine="0"/>
              <w:rPr>
                <w:rFonts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2020年11月2</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14:textFill>
                  <w14:solidFill>
                    <w14:schemeClr w14:val="tx1"/>
                  </w14:solidFill>
                </w14:textFill>
              </w:rPr>
              <w:t>日9时30分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13</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开标地点</w:t>
            </w:r>
          </w:p>
        </w:tc>
        <w:tc>
          <w:tcPr>
            <w:tcW w:w="70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color w:val="000000" w:themeColor="text1"/>
                <w:szCs w:val="21"/>
                <w14:textFill>
                  <w14:solidFill>
                    <w14:schemeClr w14:val="tx1"/>
                  </w14:solidFill>
                </w14:textFill>
              </w:rPr>
            </w:pPr>
            <w:r>
              <w:rPr>
                <w:rStyle w:val="42"/>
                <w:rFonts w:hint="eastAsia" w:cs="宋体"/>
                <w:b w:val="0"/>
                <w:color w:val="000000" w:themeColor="text1"/>
                <w:szCs w:val="21"/>
                <w14:textFill>
                  <w14:solidFill>
                    <w14:schemeClr w14:val="tx1"/>
                  </w14:solidFill>
                </w14:textFill>
              </w:rPr>
              <w:t>“政府采购云平台（</w:t>
            </w:r>
            <w:r>
              <w:rPr>
                <w:rStyle w:val="42"/>
                <w:rFonts w:cs="宋体"/>
                <w:b w:val="0"/>
                <w:color w:val="000000" w:themeColor="text1"/>
                <w:szCs w:val="21"/>
                <w14:textFill>
                  <w14:solidFill>
                    <w14:schemeClr w14:val="tx1"/>
                  </w14:solidFill>
                </w14:textFill>
              </w:rPr>
              <w:t>www.zcygov.cn</w:t>
            </w:r>
            <w:r>
              <w:rPr>
                <w:rStyle w:val="42"/>
                <w:rFonts w:hint="eastAsia" w:cs="宋体"/>
                <w:b w:val="0"/>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14</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w:t>
            </w:r>
          </w:p>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有效期</w:t>
            </w:r>
          </w:p>
        </w:tc>
        <w:tc>
          <w:tcPr>
            <w:tcW w:w="70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投标文件递交截止之日起</w:t>
            </w:r>
            <w:r>
              <w:rPr>
                <w:rFonts w:ascii="宋体" w:hAnsi="宋体" w:cs="宋体"/>
                <w:color w:val="000000" w:themeColor="text1"/>
                <w:szCs w:val="21"/>
                <w14:textFill>
                  <w14:solidFill>
                    <w14:schemeClr w14:val="tx1"/>
                  </w14:solidFill>
                </w14:textFill>
              </w:rPr>
              <w:t>90</w:t>
            </w:r>
            <w:r>
              <w:rPr>
                <w:rFonts w:hint="eastAsia" w:ascii="宋体" w:hAnsi="宋体" w:cs="宋体"/>
                <w:color w:val="000000" w:themeColor="text1"/>
                <w:szCs w:val="2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签订合同</w:t>
            </w:r>
          </w:p>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p>
        </w:tc>
        <w:tc>
          <w:tcPr>
            <w:tcW w:w="70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中标通知书发出后</w:t>
            </w:r>
            <w:r>
              <w:rPr>
                <w:rFonts w:ascii="宋体" w:hAnsi="宋体" w:cs="宋体"/>
                <w:color w:val="000000" w:themeColor="text1"/>
                <w:szCs w:val="21"/>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16</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履约保证金的收取及</w:t>
            </w:r>
          </w:p>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退还</w:t>
            </w:r>
          </w:p>
        </w:tc>
        <w:tc>
          <w:tcPr>
            <w:tcW w:w="70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履约保证金的收取</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按合同总金额的</w:t>
            </w:r>
            <w:r>
              <w:rPr>
                <w:rFonts w:ascii="宋体" w:hAnsi="宋体" w:cs="宋体"/>
                <w:color w:val="000000" w:themeColor="text1"/>
                <w:szCs w:val="21"/>
                <w:u w:val="single"/>
                <w14:textFill>
                  <w14:solidFill>
                    <w14:schemeClr w14:val="tx1"/>
                  </w14:solidFill>
                </w14:textFill>
              </w:rPr>
              <w:t xml:space="preserve">  5 </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计收，中标人应以支票、汇票、本票或者银行、保险公司出具的保函等非现金形式，提交履约保证金。</w:t>
            </w:r>
            <w:r>
              <w:rPr>
                <w:rFonts w:hint="eastAsia" w:ascii="宋体" w:hAnsi="宋体" w:cs="宋体"/>
                <w:color w:val="000000" w:themeColor="text1"/>
                <w:kern w:val="0"/>
                <w:szCs w:val="21"/>
                <w:lang w:val="zh-CN"/>
                <w14:textFill>
                  <w14:solidFill>
                    <w14:schemeClr w14:val="tx1"/>
                  </w14:solidFill>
                </w14:textFill>
              </w:rPr>
              <w:t>合同履行期满后视履约情况</w:t>
            </w:r>
            <w:r>
              <w:rPr>
                <w:rFonts w:ascii="宋体" w:hAnsi="宋体" w:cs="宋体"/>
                <w:color w:val="000000" w:themeColor="text1"/>
                <w:kern w:val="0"/>
                <w:szCs w:val="21"/>
                <w14:textFill>
                  <w14:solidFill>
                    <w14:schemeClr w14:val="tx1"/>
                  </w14:solidFill>
                </w14:textFill>
              </w:rPr>
              <w:t>30</w:t>
            </w:r>
            <w:r>
              <w:rPr>
                <w:rFonts w:hint="eastAsia" w:ascii="宋体" w:hAnsi="宋体" w:cs="宋体"/>
                <w:color w:val="000000" w:themeColor="text1"/>
                <w:kern w:val="0"/>
                <w:szCs w:val="21"/>
                <w14:textFill>
                  <w14:solidFill>
                    <w14:schemeClr w14:val="tx1"/>
                  </w14:solidFill>
                </w14:textFill>
              </w:rPr>
              <w:t>日</w:t>
            </w:r>
            <w:r>
              <w:rPr>
                <w:rFonts w:hint="eastAsia" w:ascii="宋体" w:hAnsi="宋体" w:cs="宋体"/>
                <w:color w:val="000000" w:themeColor="text1"/>
                <w:kern w:val="0"/>
                <w:szCs w:val="21"/>
                <w:lang w:val="zh-CN"/>
                <w14:textFill>
                  <w14:solidFill>
                    <w14:schemeClr w14:val="tx1"/>
                  </w14:solidFill>
                </w14:textFill>
              </w:rPr>
              <w:t>内退还履约保证金</w:t>
            </w:r>
            <w:r>
              <w:rPr>
                <w:rFonts w:hint="eastAsia" w:ascii="宋体" w:hAnsi="宋体" w:cs="宋体"/>
                <w:color w:val="000000" w:themeColor="text1"/>
                <w:kern w:val="0"/>
                <w:szCs w:val="21"/>
                <w14:textFill>
                  <w14:solidFill>
                    <w14:schemeClr w14:val="tx1"/>
                  </w14:solidFill>
                </w14:textFill>
              </w:rPr>
              <w:t>（不计息）。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17</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代理服务费</w:t>
            </w:r>
          </w:p>
        </w:tc>
        <w:tc>
          <w:tcPr>
            <w:tcW w:w="70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themeColor="text1"/>
                <w:szCs w:val="21"/>
                <w14:textFill>
                  <w14:solidFill>
                    <w14:schemeClr w14:val="tx1"/>
                  </w14:solidFill>
                </w14:textFill>
              </w:rPr>
            </w:pPr>
            <w:r>
              <w:rPr>
                <w:rFonts w:hint="eastAsia"/>
                <w:b/>
                <w:bCs/>
                <w:color w:val="000000" w:themeColor="text1"/>
                <w14:textFill>
                  <w14:solidFill>
                    <w14:schemeClr w14:val="tx1"/>
                  </w14:solidFill>
                </w14:textFill>
              </w:rPr>
              <w:t>本项目招标代理费</w:t>
            </w:r>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招标代理费收费标准按照国家计委关于印发《招标代理服务费管理暂行办法》的通知（计价格【</w:t>
            </w:r>
            <w:r>
              <w:rPr>
                <w:b/>
                <w:bCs/>
                <w:color w:val="000000" w:themeColor="text1"/>
                <w14:textFill>
                  <w14:solidFill>
                    <w14:schemeClr w14:val="tx1"/>
                  </w14:solidFill>
                </w14:textFill>
              </w:rPr>
              <w:t>2002</w:t>
            </w:r>
            <w:r>
              <w:rPr>
                <w:rFonts w:hint="eastAsia"/>
                <w:b/>
                <w:bCs/>
                <w:color w:val="000000" w:themeColor="text1"/>
                <w14:textFill>
                  <w14:solidFill>
                    <w14:schemeClr w14:val="tx1"/>
                  </w14:solidFill>
                </w14:textFill>
              </w:rPr>
              <w:t>】</w:t>
            </w:r>
            <w:r>
              <w:rPr>
                <w:b/>
                <w:bCs/>
                <w:color w:val="000000" w:themeColor="text1"/>
                <w14:textFill>
                  <w14:solidFill>
                    <w14:schemeClr w14:val="tx1"/>
                  </w14:solidFill>
                </w14:textFill>
              </w:rPr>
              <w:t>1980</w:t>
            </w:r>
            <w:r>
              <w:rPr>
                <w:rFonts w:hint="eastAsia"/>
                <w:b/>
                <w:bCs/>
                <w:color w:val="000000" w:themeColor="text1"/>
                <w14:textFill>
                  <w14:solidFill>
                    <w14:schemeClr w14:val="tx1"/>
                  </w14:solidFill>
                </w14:textFill>
              </w:rPr>
              <w:t>号）规定的收费标准执行）由中标人支付给代理机构。各投标人在投标报价时自行考虑在投标报价中，由中标人在领取中标通知书前一次性支付给代理机构。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18</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采购公告、更正公告，中标结果公告发布网址</w:t>
            </w:r>
          </w:p>
        </w:tc>
        <w:tc>
          <w:tcPr>
            <w:tcW w:w="707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浙江政府采购网（</w:t>
            </w:r>
            <w:r>
              <w:rPr>
                <w:rFonts w:ascii="宋体" w:hAnsi="宋体" w:cs="宋体"/>
                <w:color w:val="000000" w:themeColor="text1"/>
                <w:szCs w:val="21"/>
                <w14:textFill>
                  <w14:solidFill>
                    <w14:schemeClr w14:val="tx1"/>
                  </w14:solidFill>
                </w14:textFill>
              </w:rPr>
              <w:t>www.zjzfcg.gov.cn</w:t>
            </w:r>
            <w:r>
              <w:rPr>
                <w:rFonts w:hint="eastAsia" w:ascii="宋体" w:hAnsi="宋体" w:cs="宋体"/>
                <w:color w:val="000000" w:themeColor="text1"/>
                <w:szCs w:val="21"/>
                <w14:textFill>
                  <w14:solidFill>
                    <w14:schemeClr w14:val="tx1"/>
                  </w14:solidFill>
                </w14:textFill>
              </w:rPr>
              <w:t>）、常山县公共资源交易网（</w:t>
            </w:r>
            <w:r>
              <w:rPr>
                <w:rFonts w:ascii="宋体" w:hAnsi="宋体" w:cs="宋体"/>
                <w:color w:val="000000" w:themeColor="text1"/>
                <w:szCs w:val="21"/>
                <w14:textFill>
                  <w14:solidFill>
                    <w14:schemeClr w14:val="tx1"/>
                  </w14:solidFill>
                </w14:textFill>
              </w:rPr>
              <w:t>http://qzcs.zjzwfw.gov.cn/col/col1341066/index.html</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0"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19</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政府采购扶持政策</w:t>
            </w:r>
          </w:p>
        </w:tc>
        <w:tc>
          <w:tcPr>
            <w:tcW w:w="707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根据《政府采购促进中小企业发展暂行办法》（财库</w:t>
            </w:r>
            <w:r>
              <w:rPr>
                <w:color w:val="000000" w:themeColor="text1"/>
                <w14:textFill>
                  <w14:solidFill>
                    <w14:schemeClr w14:val="tx1"/>
                  </w14:solidFill>
                </w14:textFill>
              </w:rPr>
              <w:t xml:space="preserve">[2011]181 </w:t>
            </w:r>
            <w:r>
              <w:rPr>
                <w:rFonts w:hint="eastAsia"/>
                <w:color w:val="000000" w:themeColor="text1"/>
                <w14:textFill>
                  <w14:solidFill>
                    <w14:schemeClr w14:val="tx1"/>
                  </w14:solidFill>
                </w14:textFill>
              </w:rPr>
              <w:t>号）、《财政部、司法部关于政府采购支持监狱企业发展有关问题的通知》（财库〔</w:t>
            </w:r>
            <w:r>
              <w:rPr>
                <w:color w:val="000000" w:themeColor="text1"/>
                <w14:textFill>
                  <w14:solidFill>
                    <w14:schemeClr w14:val="tx1"/>
                  </w14:solidFill>
                </w14:textFill>
              </w:rPr>
              <w:t>2014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68</w:t>
            </w:r>
            <w:r>
              <w:rPr>
                <w:rFonts w:hint="eastAsia"/>
                <w:color w:val="000000" w:themeColor="text1"/>
                <w14:textFill>
                  <w14:solidFill>
                    <w14:schemeClr w14:val="tx1"/>
                  </w14:solidFill>
                </w14:textFill>
              </w:rPr>
              <w:t>号）及《关于促进残疾人就业政府采购政策的通知》（财库〔</w:t>
            </w:r>
            <w:r>
              <w:rPr>
                <w:color w:val="000000" w:themeColor="text1"/>
                <w14:textFill>
                  <w14:solidFill>
                    <w14:schemeClr w14:val="tx1"/>
                  </w14:solidFill>
                </w14:textFill>
              </w:rPr>
              <w:t>2017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141</w:t>
            </w:r>
            <w:r>
              <w:rPr>
                <w:rFonts w:hint="eastAsia"/>
                <w:color w:val="000000" w:themeColor="text1"/>
                <w14:textFill>
                  <w14:solidFill>
                    <w14:schemeClr w14:val="tx1"/>
                  </w14:solidFill>
                </w14:textFill>
              </w:rPr>
              <w:t>号）规定，本项目对小型和微型企业（含监狱企业、残疾人福利性企业）制造的产品（提供的服务）的价格给予</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的扣除，用扣除后的价格参与评审。小型、微型企业提供中型企业制造的货物（服务）的，视同中型企业）；上述政策扶持待遇不重复享受，欢迎符合规定的投标人参与本项目投标。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信用查询</w:t>
            </w:r>
          </w:p>
        </w:tc>
        <w:tc>
          <w:tcPr>
            <w:tcW w:w="7070" w:type="dxa"/>
            <w:tcBorders>
              <w:top w:val="single" w:color="auto" w:sz="4" w:space="0"/>
              <w:left w:val="single" w:color="auto" w:sz="4" w:space="0"/>
              <w:bottom w:val="single" w:color="auto" w:sz="4" w:space="0"/>
              <w:right w:val="single" w:color="auto" w:sz="4" w:space="0"/>
            </w:tcBorders>
            <w:vAlign w:val="center"/>
          </w:tcPr>
          <w:p>
            <w:pPr>
              <w:pStyle w:val="112"/>
              <w:spacing w:line="440" w:lineRule="exact"/>
              <w:jc w:val="both"/>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根据《关于在政府采购活动中查询及使用信用记录有关问题的通知》财库</w:t>
            </w:r>
            <w:r>
              <w:rPr>
                <w:b/>
                <w:color w:val="000000" w:themeColor="text1"/>
                <w:szCs w:val="21"/>
                <w14:textFill>
                  <w14:solidFill>
                    <w14:schemeClr w14:val="tx1"/>
                  </w14:solidFill>
                </w14:textFill>
              </w:rPr>
              <w:t>[2016]125</w:t>
            </w:r>
            <w:r>
              <w:rPr>
                <w:rFonts w:hint="eastAsia"/>
                <w:b/>
                <w:color w:val="000000" w:themeColor="text1"/>
                <w:szCs w:val="21"/>
                <w14:textFill>
                  <w14:solidFill>
                    <w14:schemeClr w14:val="tx1"/>
                  </w14:solidFill>
                </w14:textFill>
              </w:rPr>
              <w:t>号的规定：</w:t>
            </w:r>
          </w:p>
          <w:p>
            <w:pPr>
              <w:pStyle w:val="112"/>
              <w:spacing w:line="440" w:lineRule="exact"/>
              <w:jc w:val="both"/>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）采购人或采购代理机构将对本项目投标人的信用记录进行查询。查询渠道为信用中国网站（</w:t>
            </w:r>
            <w:r>
              <w:rPr>
                <w:b/>
                <w:color w:val="000000" w:themeColor="text1"/>
                <w:szCs w:val="21"/>
                <w14:textFill>
                  <w14:solidFill>
                    <w14:schemeClr w14:val="tx1"/>
                  </w14:solidFill>
                </w14:textFill>
              </w:rPr>
              <w:t>www.creditchina.gov.cn</w:t>
            </w:r>
            <w:r>
              <w:rPr>
                <w:rFonts w:hint="eastAsia"/>
                <w:b/>
                <w:color w:val="000000" w:themeColor="text1"/>
                <w:szCs w:val="21"/>
                <w14:textFill>
                  <w14:solidFill>
                    <w14:schemeClr w14:val="tx1"/>
                  </w14:solidFill>
                </w14:textFill>
              </w:rPr>
              <w:t>）、中国政府采购网（</w:t>
            </w:r>
            <w:r>
              <w:rPr>
                <w:b/>
                <w:color w:val="000000" w:themeColor="text1"/>
                <w:szCs w:val="21"/>
                <w14:textFill>
                  <w14:solidFill>
                    <w14:schemeClr w14:val="tx1"/>
                  </w14:solidFill>
                </w14:textFill>
              </w:rPr>
              <w:t>www.ccgp.gov.cn</w:t>
            </w:r>
            <w:r>
              <w:rPr>
                <w:rFonts w:hint="eastAsia"/>
                <w:b/>
                <w:color w:val="000000" w:themeColor="text1"/>
                <w:szCs w:val="21"/>
                <w14:textFill>
                  <w14:solidFill>
                    <w14:schemeClr w14:val="tx1"/>
                  </w14:solidFill>
                </w14:textFill>
              </w:rPr>
              <w:t>）；</w:t>
            </w:r>
          </w:p>
          <w:p>
            <w:pPr>
              <w:pStyle w:val="112"/>
              <w:spacing w:line="440" w:lineRule="exact"/>
              <w:jc w:val="both"/>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w:t>
            </w:r>
            <w:r>
              <w:rPr>
                <w:rFonts w:hint="eastAsia"/>
                <w:b/>
                <w:color w:val="000000" w:themeColor="text1"/>
                <w:szCs w:val="21"/>
                <w14:textFill>
                  <w14:solidFill>
                    <w14:schemeClr w14:val="tx1"/>
                  </w14:solidFill>
                </w14:textFill>
              </w:rPr>
              <w:t>）截止时点：提交投标文件截止时间前</w:t>
            </w:r>
            <w:r>
              <w:rPr>
                <w:b/>
                <w:color w:val="000000" w:themeColor="text1"/>
                <w:szCs w:val="21"/>
                <w14:textFill>
                  <w14:solidFill>
                    <w14:schemeClr w14:val="tx1"/>
                  </w14:solidFill>
                </w14:textFill>
              </w:rPr>
              <w:t>3</w:t>
            </w:r>
            <w:r>
              <w:rPr>
                <w:rFonts w:hint="eastAsia"/>
                <w:b/>
                <w:color w:val="000000" w:themeColor="text1"/>
                <w:szCs w:val="21"/>
                <w14:textFill>
                  <w14:solidFill>
                    <w14:schemeClr w14:val="tx1"/>
                  </w14:solidFill>
                </w14:textFill>
              </w:rPr>
              <w:t>年内；</w:t>
            </w:r>
          </w:p>
          <w:p>
            <w:pPr>
              <w:pStyle w:val="112"/>
              <w:spacing w:line="440" w:lineRule="exact"/>
              <w:jc w:val="both"/>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w:t>
            </w:r>
            <w:r>
              <w:rPr>
                <w:rFonts w:hint="eastAsia"/>
                <w:b/>
                <w:color w:val="000000" w:themeColor="text1"/>
                <w:szCs w:val="21"/>
                <w14:textFill>
                  <w14:solidFill>
                    <w14:schemeClr w14:val="tx1"/>
                  </w14:solidFill>
                </w14:textFill>
              </w:rPr>
              <w:t>）查询记录和证据的留存：信用信息查询记录和证据以网页截图等方式留存。</w:t>
            </w:r>
          </w:p>
          <w:p>
            <w:pPr>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4</w:t>
            </w:r>
            <w:r>
              <w:rPr>
                <w:rFonts w:hint="eastAsia" w:ascii="宋体" w:hAnsi="宋体" w:cs="宋体"/>
                <w:b/>
                <w:color w:val="000000" w:themeColor="text1"/>
                <w:szCs w:val="21"/>
                <w14:textFill>
                  <w14:solidFill>
                    <w14:schemeClr w14:val="tx1"/>
                  </w14:solidFill>
                </w14:textFill>
              </w:rPr>
              <w:t>）使用规则：被列入失信被执行人、重大税收违法案件当事人名单、政府采购严重违法失信行为记录名单及其它不符合《中华人民共和国政府采购法》第二十二条规定条件的，其投标将被拒绝。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失信查询</w:t>
            </w:r>
          </w:p>
        </w:tc>
        <w:tc>
          <w:tcPr>
            <w:tcW w:w="7070" w:type="dxa"/>
            <w:tcBorders>
              <w:top w:val="single" w:color="auto" w:sz="4" w:space="0"/>
              <w:left w:val="single" w:color="auto" w:sz="4" w:space="0"/>
              <w:bottom w:val="single" w:color="auto" w:sz="4" w:space="0"/>
              <w:right w:val="single" w:color="auto" w:sz="4" w:space="0"/>
            </w:tcBorders>
            <w:vAlign w:val="center"/>
          </w:tcPr>
          <w:p>
            <w:pPr>
              <w:pStyle w:val="35"/>
              <w:spacing w:before="0" w:beforeAutospacing="0" w:after="0" w:afterAutospacing="0" w:line="440" w:lineRule="exact"/>
              <w:rPr>
                <w:rFonts w:cs="宋体"/>
                <w:b/>
                <w:iCs/>
                <w:color w:val="000000" w:themeColor="text1"/>
                <w:sz w:val="21"/>
                <w:szCs w:val="21"/>
                <w14:textFill>
                  <w14:solidFill>
                    <w14:schemeClr w14:val="tx1"/>
                  </w14:solidFill>
                </w14:textFill>
              </w:rPr>
            </w:pPr>
            <w:r>
              <w:rPr>
                <w:rFonts w:hint="eastAsia" w:cs="宋体"/>
                <w:b/>
                <w:iCs/>
                <w:color w:val="000000" w:themeColor="text1"/>
                <w:sz w:val="21"/>
                <w:szCs w:val="21"/>
                <w14:textFill>
                  <w14:solidFill>
                    <w14:schemeClr w14:val="tx1"/>
                  </w14:solidFill>
                </w14:textFill>
              </w:rPr>
              <w:t>根据常监管办</w:t>
            </w:r>
            <w:r>
              <w:rPr>
                <w:rFonts w:cs="宋体"/>
                <w:b/>
                <w:iCs/>
                <w:color w:val="000000" w:themeColor="text1"/>
                <w:sz w:val="21"/>
                <w:szCs w:val="21"/>
                <w14:textFill>
                  <w14:solidFill>
                    <w14:schemeClr w14:val="tx1"/>
                  </w14:solidFill>
                </w14:textFill>
              </w:rPr>
              <w:t>[2019]10</w:t>
            </w:r>
            <w:r>
              <w:rPr>
                <w:rFonts w:hint="eastAsia" w:cs="宋体"/>
                <w:b/>
                <w:iCs/>
                <w:color w:val="000000" w:themeColor="text1"/>
                <w:sz w:val="21"/>
                <w:szCs w:val="21"/>
                <w14:textFill>
                  <w14:solidFill>
                    <w14:schemeClr w14:val="tx1"/>
                  </w14:solidFill>
                </w14:textFill>
              </w:rPr>
              <w:t>号文件规定：</w:t>
            </w:r>
          </w:p>
          <w:p>
            <w:pPr>
              <w:pStyle w:val="35"/>
              <w:spacing w:before="0" w:beforeAutospacing="0" w:after="0" w:afterAutospacing="0" w:line="440" w:lineRule="exact"/>
              <w:rPr>
                <w:rFonts w:cs="宋体"/>
                <w:b/>
                <w:iCs/>
                <w:color w:val="000000" w:themeColor="text1"/>
                <w:sz w:val="21"/>
                <w:szCs w:val="21"/>
                <w14:textFill>
                  <w14:solidFill>
                    <w14:schemeClr w14:val="tx1"/>
                  </w14:solidFill>
                </w14:textFill>
              </w:rPr>
            </w:pPr>
            <w:r>
              <w:rPr>
                <w:rFonts w:cs="宋体"/>
                <w:b/>
                <w:iCs/>
                <w:color w:val="000000" w:themeColor="text1"/>
                <w:sz w:val="21"/>
                <w:szCs w:val="21"/>
                <w14:textFill>
                  <w14:solidFill>
                    <w14:schemeClr w14:val="tx1"/>
                  </w14:solidFill>
                </w14:textFill>
              </w:rPr>
              <w:t>1.</w:t>
            </w:r>
            <w:r>
              <w:rPr>
                <w:rFonts w:hint="eastAsia" w:cs="宋体"/>
                <w:b/>
                <w:color w:val="000000" w:themeColor="text1"/>
                <w:sz w:val="21"/>
                <w:szCs w:val="21"/>
                <w14:textFill>
                  <w14:solidFill>
                    <w14:schemeClr w14:val="tx1"/>
                  </w14:solidFill>
                </w14:textFill>
              </w:rPr>
              <w:t>采购人或采购代理机构将对本项目投标人的失信记录进行查询。</w:t>
            </w:r>
          </w:p>
          <w:p>
            <w:pPr>
              <w:pStyle w:val="35"/>
              <w:spacing w:before="0" w:beforeAutospacing="0" w:after="0" w:afterAutospacing="0" w:line="440" w:lineRule="exact"/>
              <w:rPr>
                <w:rFonts w:cs="宋体"/>
                <w:b/>
                <w:color w:val="000000" w:themeColor="text1"/>
                <w:sz w:val="21"/>
                <w:szCs w:val="21"/>
                <w14:textFill>
                  <w14:solidFill>
                    <w14:schemeClr w14:val="tx1"/>
                  </w14:solidFill>
                </w14:textFill>
              </w:rPr>
            </w:pPr>
            <w:r>
              <w:rPr>
                <w:rFonts w:cs="宋体"/>
                <w:b/>
                <w:iCs/>
                <w:color w:val="000000" w:themeColor="text1"/>
                <w:sz w:val="21"/>
                <w:szCs w:val="21"/>
                <w14:textFill>
                  <w14:solidFill>
                    <w14:schemeClr w14:val="tx1"/>
                  </w14:solidFill>
                </w14:textFill>
              </w:rPr>
              <w:t>2.</w:t>
            </w:r>
            <w:r>
              <w:rPr>
                <w:rFonts w:hint="eastAsia" w:cs="宋体"/>
                <w:b/>
                <w:iCs/>
                <w:color w:val="000000" w:themeColor="text1"/>
                <w:sz w:val="21"/>
                <w:szCs w:val="21"/>
                <w14:textFill>
                  <w14:solidFill>
                    <w14:schemeClr w14:val="tx1"/>
                  </w14:solidFill>
                </w14:textFill>
              </w:rPr>
              <w:t>在本项目投标截止时间前，被全国法院失信被执行人名单信息公布与查询平台录入为被失信执行人的潜在投标人不得参加本项目的投标。</w:t>
            </w:r>
          </w:p>
          <w:p>
            <w:pPr>
              <w:pStyle w:val="35"/>
              <w:spacing w:before="0" w:beforeAutospacing="0" w:after="0" w:afterAutospacing="0" w:line="440" w:lineRule="exact"/>
              <w:rPr>
                <w:rFonts w:cs="宋体"/>
                <w:b/>
                <w:color w:val="000000" w:themeColor="text1"/>
                <w:sz w:val="21"/>
                <w:szCs w:val="21"/>
                <w14:textFill>
                  <w14:solidFill>
                    <w14:schemeClr w14:val="tx1"/>
                  </w14:solidFill>
                </w14:textFill>
              </w:rPr>
            </w:pPr>
            <w:r>
              <w:rPr>
                <w:rFonts w:cs="宋体"/>
                <w:b/>
                <w:color w:val="000000" w:themeColor="text1"/>
                <w:sz w:val="21"/>
                <w:szCs w:val="21"/>
                <w14:textFill>
                  <w14:solidFill>
                    <w14:schemeClr w14:val="tx1"/>
                  </w14:solidFill>
                </w14:textFill>
              </w:rPr>
              <w:t>3.</w:t>
            </w:r>
            <w:r>
              <w:rPr>
                <w:rFonts w:hint="eastAsia" w:cs="宋体"/>
                <w:b/>
                <w:color w:val="000000" w:themeColor="text1"/>
                <w:sz w:val="21"/>
                <w:szCs w:val="21"/>
                <w14:textFill>
                  <w14:solidFill>
                    <w14:schemeClr w14:val="tx1"/>
                  </w14:solidFill>
                </w14:textFill>
              </w:rPr>
              <w:t>查询渠道：中国执行信息网（</w:t>
            </w:r>
            <w:r>
              <w:rPr>
                <w:rFonts w:cs="宋体"/>
                <w:b/>
                <w:color w:val="000000" w:themeColor="text1"/>
                <w:sz w:val="21"/>
                <w:szCs w:val="21"/>
                <w14:textFill>
                  <w14:solidFill>
                    <w14:schemeClr w14:val="tx1"/>
                  </w14:solidFill>
                </w14:textFill>
              </w:rPr>
              <w:t>http://zxgk.court.gov.cn/</w:t>
            </w:r>
            <w:r>
              <w:rPr>
                <w:rFonts w:hint="eastAsia" w:cs="宋体"/>
                <w:b/>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22</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解释权</w:t>
            </w:r>
          </w:p>
        </w:tc>
        <w:tc>
          <w:tcPr>
            <w:tcW w:w="7070" w:type="dxa"/>
            <w:tcBorders>
              <w:top w:val="single" w:color="auto" w:sz="4" w:space="0"/>
              <w:left w:val="single" w:color="auto" w:sz="4" w:space="0"/>
              <w:bottom w:val="single" w:color="auto" w:sz="4" w:space="0"/>
              <w:right w:val="single" w:color="auto" w:sz="4" w:space="0"/>
            </w:tcBorders>
            <w:vAlign w:val="center"/>
          </w:tcPr>
          <w:p>
            <w:pPr>
              <w:pStyle w:val="112"/>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本招标文件的解释权属于采购人。</w:t>
            </w:r>
          </w:p>
        </w:tc>
      </w:tr>
    </w:tbl>
    <w:p>
      <w:pPr>
        <w:pStyle w:val="7"/>
        <w:ind w:firstLine="2898" w:firstLineChars="900"/>
        <w:rPr>
          <w:rFonts w:ascii="宋体" w:hAnsi="宋体" w:cs="宋体"/>
          <w:color w:val="000000" w:themeColor="text1"/>
          <w:szCs w:val="21"/>
          <w14:textFill>
            <w14:solidFill>
              <w14:schemeClr w14:val="tx1"/>
            </w14:solidFill>
          </w14:textFill>
        </w:rPr>
      </w:pPr>
      <w:r>
        <w:rPr>
          <w:rFonts w:hint="eastAsia"/>
          <w:b w:val="0"/>
          <w:color w:val="000000" w:themeColor="text1"/>
          <w14:textFill>
            <w14:solidFill>
              <w14:schemeClr w14:val="tx1"/>
            </w14:solidFill>
          </w14:textFill>
        </w:rPr>
        <w:t>一</w:t>
      </w:r>
      <w:r>
        <w:rPr>
          <w:b w:val="0"/>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、综合说明</w:t>
      </w:r>
    </w:p>
    <w:p>
      <w:pPr>
        <w:snapToGrid w:val="0"/>
        <w:spacing w:line="400" w:lineRule="exact"/>
        <w:ind w:firstLine="310" w:firstLineChars="147"/>
        <w:jc w:val="left"/>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（一）适用范围</w:t>
      </w:r>
    </w:p>
    <w:p>
      <w:pPr>
        <w:spacing w:line="40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本招标文件仅适用于</w:t>
      </w:r>
      <w:r>
        <w:rPr>
          <w:rFonts w:hint="eastAsia" w:ascii="宋体" w:hAnsi="宋体"/>
          <w:color w:val="000000" w:themeColor="text1"/>
          <w:szCs w:val="21"/>
          <w14:textFill>
            <w14:solidFill>
              <w14:schemeClr w14:val="tx1"/>
            </w14:solidFill>
          </w14:textFill>
        </w:rPr>
        <w:t>本项目</w:t>
      </w:r>
      <w:r>
        <w:rPr>
          <w:rFonts w:hint="eastAsia" w:ascii="宋体" w:hAnsi="宋体" w:cs="宋体"/>
          <w:color w:val="000000" w:themeColor="text1"/>
          <w:szCs w:val="21"/>
          <w14:textFill>
            <w14:solidFill>
              <w14:schemeClr w14:val="tx1"/>
            </w14:solidFill>
          </w14:textFill>
        </w:rPr>
        <w:t>投标、评标、定标、验收、合同履约、付款等行为（法律、法规另有规定的，从其规定）。</w:t>
      </w:r>
    </w:p>
    <w:p>
      <w:pPr>
        <w:snapToGrid w:val="0"/>
        <w:spacing w:line="400" w:lineRule="exact"/>
        <w:ind w:firstLine="310" w:firstLineChars="147"/>
        <w:jc w:val="left"/>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（二）定义</w:t>
      </w:r>
    </w:p>
    <w:p>
      <w:pPr>
        <w:snapToGrid w:val="0"/>
        <w:spacing w:line="400" w:lineRule="exact"/>
        <w:ind w:firstLine="424"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“采购人”系指常山县科学和技术局。</w:t>
      </w:r>
    </w:p>
    <w:p>
      <w:pPr>
        <w:snapToGrid w:val="0"/>
        <w:spacing w:line="400" w:lineRule="exact"/>
        <w:ind w:firstLine="424"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“投标人”系指向采购人提交投标文件的单位。</w:t>
      </w:r>
    </w:p>
    <w:p>
      <w:pPr>
        <w:spacing w:line="400" w:lineRule="exact"/>
        <w:ind w:right="-231" w:rightChars="-109"/>
        <w:rPr>
          <w:rFonts w:ascii="宋体"/>
          <w:color w:val="000000" w:themeColor="text1"/>
          <w:szCs w:val="21"/>
          <w14:textFill>
            <w14:solidFill>
              <w14:schemeClr w14:val="tx1"/>
            </w14:solidFill>
          </w14:textFill>
        </w:rPr>
      </w:pPr>
      <w:r>
        <w:rPr>
          <w:rFonts w:ascii="宋体" w:hAnsi="宋体"/>
          <w:bCs/>
          <w:color w:val="000000" w:themeColor="text1"/>
          <w:kern w:val="0"/>
          <w:szCs w:val="21"/>
          <w14:textFill>
            <w14:solidFill>
              <w14:schemeClr w14:val="tx1"/>
            </w14:solidFill>
          </w14:textFill>
        </w:rPr>
        <w:t xml:space="preserve">    3.</w:t>
      </w:r>
      <w:r>
        <w:rPr>
          <w:rFonts w:hint="eastAsia" w:ascii="宋体" w:hAnsi="宋体"/>
          <w:bCs/>
          <w:color w:val="000000" w:themeColor="text1"/>
          <w:kern w:val="0"/>
          <w:szCs w:val="21"/>
          <w14:textFill>
            <w14:solidFill>
              <w14:schemeClr w14:val="tx1"/>
            </w14:solidFill>
          </w14:textFill>
        </w:rPr>
        <w:t>“货物”系指按招标文件要求配置的</w:t>
      </w:r>
      <w:r>
        <w:rPr>
          <w:rFonts w:hint="eastAsia" w:ascii="宋体" w:hAnsi="宋体"/>
          <w:color w:val="000000" w:themeColor="text1"/>
          <w:szCs w:val="21"/>
          <w14:textFill>
            <w14:solidFill>
              <w14:schemeClr w14:val="tx1"/>
            </w14:solidFill>
          </w14:textFill>
        </w:rPr>
        <w:t>设备、技术资料、相关使用手册等。</w:t>
      </w:r>
    </w:p>
    <w:p>
      <w:pPr>
        <w:pStyle w:val="3"/>
        <w:numPr>
          <w:ilvl w:val="0"/>
          <w:numId w:val="4"/>
        </w:numPr>
        <w:spacing w:after="0" w:line="400" w:lineRule="exact"/>
        <w:ind w:left="129" w:leftChars="61" w:firstLine="318"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“服务”系指招标文件规定中标人须承担的运输、技术支持及其它类似的服务。</w:t>
      </w:r>
    </w:p>
    <w:p>
      <w:pPr>
        <w:pStyle w:val="3"/>
        <w:numPr>
          <w:ilvl w:val="0"/>
          <w:numId w:val="4"/>
        </w:numPr>
        <w:spacing w:after="0" w:line="400" w:lineRule="exact"/>
        <w:ind w:left="129" w:leftChars="61" w:firstLine="318"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“书面形式”包括信函、传真、电报等。</w:t>
      </w:r>
    </w:p>
    <w:p>
      <w:pPr>
        <w:spacing w:line="400" w:lineRule="exact"/>
        <w:ind w:right="-231" w:rightChars="-109" w:firstLine="424" w:firstLineChars="200"/>
        <w:rPr>
          <w:rFonts w:ascii="宋体" w:hAnsi="宋体"/>
          <w:b/>
          <w:color w:val="000000" w:themeColor="text1"/>
          <w:kern w:val="0"/>
          <w:szCs w:val="21"/>
          <w14:textFill>
            <w14:solidFill>
              <w14:schemeClr w14:val="tx1"/>
            </w14:solidFill>
          </w14:textFill>
        </w:rPr>
      </w:pPr>
      <w:r>
        <w:rPr>
          <w:rFonts w:ascii="宋体" w:hAnsi="宋体"/>
          <w:b/>
          <w:color w:val="000000" w:themeColor="text1"/>
          <w:kern w:val="0"/>
          <w:szCs w:val="21"/>
          <w14:textFill>
            <w14:solidFill>
              <w14:schemeClr w14:val="tx1"/>
            </w14:solidFill>
          </w14:textFill>
        </w:rPr>
        <w:t>6.</w:t>
      </w:r>
      <w:r>
        <w:rPr>
          <w:rFonts w:hint="eastAsia" w:ascii="宋体" w:hAnsi="宋体"/>
          <w:b/>
          <w:color w:val="000000" w:themeColor="text1"/>
          <w:kern w:val="0"/>
          <w:szCs w:val="21"/>
          <w14:textFill>
            <w14:solidFill>
              <w14:schemeClr w14:val="tx1"/>
            </w14:solidFill>
          </w14:textFill>
        </w:rPr>
        <w:t>采用联合体投标的，投标人代表则为联合体牵头方代表。</w:t>
      </w:r>
    </w:p>
    <w:p>
      <w:pPr>
        <w:spacing w:line="400" w:lineRule="exact"/>
        <w:ind w:right="-231" w:rightChars="-109" w:firstLine="424" w:firstLineChars="200"/>
        <w:jc w:val="left"/>
        <w:rPr>
          <w:rFonts w:ascii="宋体" w:hAnsi="宋体"/>
          <w:bCs/>
          <w:color w:val="000000" w:themeColor="text1"/>
          <w:kern w:val="0"/>
          <w:szCs w:val="21"/>
          <w14:textFill>
            <w14:solidFill>
              <w14:schemeClr w14:val="tx1"/>
            </w14:solidFill>
          </w14:textFill>
        </w:rPr>
      </w:pPr>
      <w:r>
        <w:rPr>
          <w:rFonts w:ascii="宋体" w:hAnsi="宋体"/>
          <w:bCs/>
          <w:color w:val="000000" w:themeColor="text1"/>
          <w:kern w:val="0"/>
          <w:szCs w:val="21"/>
          <w14:textFill>
            <w14:solidFill>
              <w14:schemeClr w14:val="tx1"/>
            </w14:solidFill>
          </w14:textFill>
        </w:rPr>
        <w:t>7.</w:t>
      </w:r>
      <w:r>
        <w:rPr>
          <w:rFonts w:hint="eastAsia" w:ascii="宋体" w:hAnsi="宋体"/>
          <w:bCs/>
          <w:color w:val="000000" w:themeColor="text1"/>
          <w:kern w:val="0"/>
          <w:szCs w:val="21"/>
          <w14:textFill>
            <w14:solidFill>
              <w14:schemeClr w14:val="tx1"/>
            </w14:solidFill>
          </w14:textFill>
        </w:rPr>
        <w:t>“▲”系指实质性要求条款。</w:t>
      </w:r>
    </w:p>
    <w:p>
      <w:pPr>
        <w:snapToGrid w:val="0"/>
        <w:spacing w:line="400" w:lineRule="exact"/>
        <w:ind w:firstLine="414" w:firstLineChars="196"/>
        <w:jc w:val="left"/>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（三）采购方式</w:t>
      </w:r>
    </w:p>
    <w:p>
      <w:pPr>
        <w:snapToGrid w:val="0"/>
        <w:spacing w:line="400" w:lineRule="exact"/>
        <w:ind w:firstLine="424"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本次采购采用公开招标方式进行。</w:t>
      </w:r>
    </w:p>
    <w:p>
      <w:pPr>
        <w:snapToGrid w:val="0"/>
        <w:spacing w:line="400" w:lineRule="exact"/>
        <w:ind w:firstLine="414" w:firstLineChars="196"/>
        <w:jc w:val="left"/>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（四）投标费用</w:t>
      </w:r>
    </w:p>
    <w:p>
      <w:pPr>
        <w:tabs>
          <w:tab w:val="left" w:pos="7350"/>
          <w:tab w:val="right" w:pos="8306"/>
        </w:tabs>
        <w:spacing w:line="400" w:lineRule="exact"/>
        <w:ind w:firstLine="424" w:firstLineChars="200"/>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不论投标结果如何，投标人均应自行承担所有与投标有关的全部费用（招标文件有相应规定除外）。</w:t>
      </w:r>
    </w:p>
    <w:p>
      <w:pPr>
        <w:snapToGrid w:val="0"/>
        <w:spacing w:line="400" w:lineRule="exact"/>
        <w:ind w:firstLine="414" w:firstLineChars="196"/>
        <w:jc w:val="left"/>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（五）联合体投标</w:t>
      </w:r>
    </w:p>
    <w:p>
      <w:pPr>
        <w:snapToGrid w:val="0"/>
        <w:spacing w:line="400" w:lineRule="exact"/>
        <w:ind w:firstLine="424"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本项目接受联合体参加投标。应满足下列要求：</w:t>
      </w:r>
    </w:p>
    <w:p>
      <w:pPr>
        <w:snapToGrid w:val="0"/>
        <w:spacing w:line="400" w:lineRule="exact"/>
        <w:ind w:firstLine="530" w:firstLineChars="2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1.联合体申请人组成单位不得超过3家；</w:t>
      </w:r>
    </w:p>
    <w:p>
      <w:pPr>
        <w:snapToGrid w:val="0"/>
        <w:spacing w:line="400" w:lineRule="exact"/>
        <w:ind w:firstLine="530" w:firstLineChars="2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2.组成联合体各方之间须签订联合体投标协议，明确约定联合体牵头单位和联合体成员，载明联合体各方承担的工作和相应的责任，并将联合体投标协议连同投标文件一并提交。联合体各方签订共同投标协议后，不得再以自己名义单独在同一项目中投标，也不得组成新的联合体参加同一项目投标。 </w:t>
      </w:r>
    </w:p>
    <w:p>
      <w:pPr>
        <w:snapToGrid w:val="0"/>
        <w:spacing w:line="400" w:lineRule="exact"/>
        <w:ind w:firstLine="414" w:firstLineChars="196"/>
        <w:jc w:val="left"/>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（六）转包与分包</w:t>
      </w:r>
    </w:p>
    <w:p>
      <w:pPr>
        <w:snapToGrid w:val="0"/>
        <w:spacing w:line="400" w:lineRule="exact"/>
        <w:ind w:firstLine="530" w:firstLineChars="2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本项目不允许转包。</w:t>
      </w:r>
    </w:p>
    <w:p>
      <w:pPr>
        <w:snapToGrid w:val="0"/>
        <w:spacing w:line="400" w:lineRule="exact"/>
        <w:ind w:firstLine="530" w:firstLineChars="250"/>
        <w:rPr>
          <w:rFonts w:ascii="宋体" w:hAnsi="宋体" w:cs="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本项目不可以分包。</w:t>
      </w:r>
    </w:p>
    <w:p>
      <w:pPr>
        <w:snapToGrid w:val="0"/>
        <w:spacing w:line="400" w:lineRule="exact"/>
        <w:ind w:firstLine="414" w:firstLineChars="196"/>
        <w:jc w:val="left"/>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（七）特别说明</w:t>
      </w:r>
    </w:p>
    <w:p>
      <w:pPr>
        <w:snapToGrid w:val="0"/>
        <w:spacing w:line="40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多家投标人参加投标，单位负责人为同一人或者存在直接控股、管理关系的不同投标人，不得参加同一合同项下的政府采购活动。</w:t>
      </w:r>
    </w:p>
    <w:p>
      <w:pPr>
        <w:shd w:val="clear" w:color="auto" w:fill="FFFFFF"/>
        <w:spacing w:line="40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pPr>
        <w:shd w:val="clear" w:color="auto" w:fill="FFFFFF"/>
        <w:spacing w:line="40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非单一产品采购项目中，多家投标人提供的核心产品品牌相同的，按一家投标人认定。</w:t>
      </w:r>
    </w:p>
    <w:p>
      <w:pPr>
        <w:snapToGrid w:val="0"/>
        <w:spacing w:line="40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投标人投标所使用的资格、信誉、荣誉、业绩与企业认证必须为本法人所拥有。投标人投标所使用的采购项目实施人员可以为其控股公司的工作人员。</w:t>
      </w:r>
    </w:p>
    <w:p>
      <w:pPr>
        <w:snapToGrid w:val="0"/>
        <w:spacing w:line="40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投标人应仔细阅读招标文件的所有内容，按照招标文件的要求提交投标文件，并对所提供的全部资料的真实性承担法律责任。</w:t>
      </w:r>
    </w:p>
    <w:p>
      <w:pPr>
        <w:snapToGrid w:val="0"/>
        <w:spacing w:line="400" w:lineRule="exact"/>
        <w:ind w:firstLine="424"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投标人在投标活动中提供任何虚假材料</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其投标无效，并报监管部门查处；中标后发现的</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中标人须依照《中华人民共和国消费者权益保护法》之规定赔偿采购人，且民事赔偿并不免除违法投标人的行政与刑事责任。</w:t>
      </w:r>
    </w:p>
    <w:p>
      <w:pPr>
        <w:snapToGrid w:val="0"/>
        <w:spacing w:line="400" w:lineRule="exact"/>
        <w:rPr>
          <w:rFonts w:ascii="宋体" w:hAnsi="宋体" w:cs="宋体"/>
          <w:bCs/>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r>
        <w:rPr>
          <w:rFonts w:ascii="宋体" w:hAnsi="宋体" w:cs="宋体"/>
          <w:bCs/>
          <w:color w:val="000000" w:themeColor="text1"/>
          <w:szCs w:val="21"/>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关于中小企业参与政府采购活动的规定</w:t>
      </w:r>
    </w:p>
    <w:p>
      <w:pPr>
        <w:spacing w:line="400" w:lineRule="exact"/>
        <w:ind w:firstLine="424" w:firstLineChars="200"/>
        <w:rPr>
          <w:rFonts w:ascii="宋体" w:cs="宋体"/>
          <w:color w:val="000000" w:themeColor="text1"/>
          <w14:textFill>
            <w14:solidFill>
              <w14:schemeClr w14:val="tx1"/>
            </w14:solidFill>
          </w14:textFill>
        </w:rPr>
      </w:pPr>
      <w:r>
        <w:rPr>
          <w:rFonts w:ascii="宋体" w:cs="宋体"/>
          <w:b/>
          <w:bCs/>
          <w:color w:val="000000" w:themeColor="text1"/>
          <w:szCs w:val="21"/>
          <w14:textFill>
            <w14:solidFill>
              <w14:schemeClr w14:val="tx1"/>
            </w14:solidFill>
          </w14:textFill>
        </w:rPr>
        <w:t>5.1</w:t>
      </w:r>
      <w:r>
        <w:rPr>
          <w:rFonts w:hint="eastAsia" w:ascii="宋体" w:cs="宋体"/>
          <w:b/>
          <w:bCs/>
          <w:color w:val="000000" w:themeColor="text1"/>
          <w:szCs w:val="21"/>
          <w14:textFill>
            <w14:solidFill>
              <w14:schemeClr w14:val="tx1"/>
            </w14:solidFill>
          </w14:textFill>
        </w:rPr>
        <w:t>根据</w:t>
      </w:r>
      <w:r>
        <w:rPr>
          <w:rFonts w:hint="eastAsia" w:ascii="宋体" w:cs="宋体"/>
          <w:b/>
          <w:color w:val="000000" w:themeColor="text1"/>
          <w:szCs w:val="21"/>
          <w14:textFill>
            <w14:solidFill>
              <w14:schemeClr w14:val="tx1"/>
            </w14:solidFill>
          </w14:textFill>
        </w:rPr>
        <w:t>《政府采购促进中小企业发展暂行办法》（财库</w:t>
      </w:r>
      <w:r>
        <w:rPr>
          <w:rFonts w:ascii="宋体" w:cs="宋体"/>
          <w:b/>
          <w:color w:val="000000" w:themeColor="text1"/>
          <w:szCs w:val="21"/>
          <w14:textFill>
            <w14:solidFill>
              <w14:schemeClr w14:val="tx1"/>
            </w14:solidFill>
          </w14:textFill>
        </w:rPr>
        <w:t xml:space="preserve">[2011]181 </w:t>
      </w:r>
      <w:r>
        <w:rPr>
          <w:rFonts w:hint="eastAsia" w:ascii="宋体" w:cs="宋体"/>
          <w:b/>
          <w:color w:val="000000" w:themeColor="text1"/>
          <w:szCs w:val="21"/>
          <w14:textFill>
            <w14:solidFill>
              <w14:schemeClr w14:val="tx1"/>
            </w14:solidFill>
          </w14:textFill>
        </w:rPr>
        <w:t>号）、《财政部、司法部关于政府采购支持监狱企业发展有关问题的通知》（财库〔</w:t>
      </w:r>
      <w:r>
        <w:rPr>
          <w:rFonts w:ascii="宋体" w:cs="宋体"/>
          <w:b/>
          <w:color w:val="000000" w:themeColor="text1"/>
          <w:szCs w:val="21"/>
          <w14:textFill>
            <w14:solidFill>
              <w14:schemeClr w14:val="tx1"/>
            </w14:solidFill>
          </w14:textFill>
        </w:rPr>
        <w:t>2014</w:t>
      </w:r>
      <w:r>
        <w:rPr>
          <w:rFonts w:hint="eastAsia" w:ascii="宋体" w:cs="宋体"/>
          <w:b/>
          <w:color w:val="000000" w:themeColor="text1"/>
          <w:szCs w:val="21"/>
          <w14:textFill>
            <w14:solidFill>
              <w14:schemeClr w14:val="tx1"/>
            </w14:solidFill>
          </w14:textFill>
        </w:rPr>
        <w:t>〕</w:t>
      </w:r>
      <w:r>
        <w:rPr>
          <w:rFonts w:ascii="宋体" w:cs="宋体"/>
          <w:b/>
          <w:color w:val="000000" w:themeColor="text1"/>
          <w:szCs w:val="21"/>
          <w14:textFill>
            <w14:solidFill>
              <w14:schemeClr w14:val="tx1"/>
            </w14:solidFill>
          </w14:textFill>
        </w:rPr>
        <w:t>68</w:t>
      </w:r>
      <w:r>
        <w:rPr>
          <w:rFonts w:hint="eastAsia" w:ascii="宋体" w:cs="宋体"/>
          <w:b/>
          <w:color w:val="000000" w:themeColor="text1"/>
          <w:szCs w:val="21"/>
          <w14:textFill>
            <w14:solidFill>
              <w14:schemeClr w14:val="tx1"/>
            </w14:solidFill>
          </w14:textFill>
        </w:rPr>
        <w:t>号）及《关于促进残疾人就业政府采购政策的通知》（财库〔</w:t>
      </w:r>
      <w:r>
        <w:rPr>
          <w:rFonts w:ascii="宋体" w:cs="宋体"/>
          <w:b/>
          <w:color w:val="000000" w:themeColor="text1"/>
          <w:szCs w:val="21"/>
          <w14:textFill>
            <w14:solidFill>
              <w14:schemeClr w14:val="tx1"/>
            </w14:solidFill>
          </w14:textFill>
        </w:rPr>
        <w:t>2017</w:t>
      </w:r>
      <w:r>
        <w:rPr>
          <w:rFonts w:hint="eastAsia" w:ascii="宋体" w:cs="宋体"/>
          <w:b/>
          <w:color w:val="000000" w:themeColor="text1"/>
          <w:szCs w:val="21"/>
          <w14:textFill>
            <w14:solidFill>
              <w14:schemeClr w14:val="tx1"/>
            </w14:solidFill>
          </w14:textFill>
        </w:rPr>
        <w:t>〕</w:t>
      </w:r>
      <w:r>
        <w:rPr>
          <w:rFonts w:ascii="宋体" w:cs="宋体"/>
          <w:b/>
          <w:color w:val="000000" w:themeColor="text1"/>
          <w:szCs w:val="21"/>
          <w14:textFill>
            <w14:solidFill>
              <w14:schemeClr w14:val="tx1"/>
            </w14:solidFill>
          </w14:textFill>
        </w:rPr>
        <w:t>141</w:t>
      </w:r>
      <w:r>
        <w:rPr>
          <w:rFonts w:hint="eastAsia" w:ascii="宋体" w:cs="宋体"/>
          <w:b/>
          <w:color w:val="000000" w:themeColor="text1"/>
          <w:szCs w:val="21"/>
          <w14:textFill>
            <w14:solidFill>
              <w14:schemeClr w14:val="tx1"/>
            </w14:solidFill>
          </w14:textFill>
        </w:rPr>
        <w:t>号）规定，本项目对小型和微型企业（含监狱企业、残疾人福利性企业）制造的产品的价格给予</w:t>
      </w:r>
      <w:r>
        <w:rPr>
          <w:rFonts w:ascii="宋体" w:cs="宋体"/>
          <w:b/>
          <w:color w:val="000000" w:themeColor="text1"/>
          <w:szCs w:val="21"/>
          <w14:textFill>
            <w14:solidFill>
              <w14:schemeClr w14:val="tx1"/>
            </w14:solidFill>
          </w14:textFill>
        </w:rPr>
        <w:t>6%</w:t>
      </w:r>
      <w:r>
        <w:rPr>
          <w:rFonts w:hint="eastAsia" w:ascii="宋体" w:cs="宋体"/>
          <w:b/>
          <w:color w:val="000000" w:themeColor="text1"/>
          <w:szCs w:val="21"/>
          <w14:textFill>
            <w14:solidFill>
              <w14:schemeClr w14:val="tx1"/>
            </w14:solidFill>
          </w14:textFill>
        </w:rPr>
        <w:t>的扣除，用扣除后的价格参与评审。小型、微型企业提供中型企业制造的货物的，视同中型企业）；上述政策扶持待遇不重复享受，欢迎符合规定的投标人参与本项目投标。</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（八）质疑和投诉</w:t>
      </w:r>
    </w:p>
    <w:p>
      <w:pPr>
        <w:pStyle w:val="21"/>
        <w:snapToGrid w:val="0"/>
        <w:spacing w:line="400" w:lineRule="exact"/>
        <w:ind w:firstLine="424" w:firstLineChars="200"/>
        <w:rPr>
          <w:rFonts w:hAnsi="宋体" w:cs="宋体"/>
          <w:bCs/>
          <w:color w:val="000000" w:themeColor="text1"/>
          <w:szCs w:val="21"/>
          <w14:textFill>
            <w14:solidFill>
              <w14:schemeClr w14:val="tx1"/>
            </w14:solidFill>
          </w14:textFill>
        </w:rPr>
      </w:pPr>
      <w:r>
        <w:rPr>
          <w:rFonts w:hAnsi="宋体" w:cs="宋体"/>
          <w:bCs/>
          <w:color w:val="000000" w:themeColor="text1"/>
          <w:szCs w:val="21"/>
          <w14:textFill>
            <w14:solidFill>
              <w14:schemeClr w14:val="tx1"/>
            </w14:solidFill>
          </w14:textFill>
        </w:rPr>
        <w:t>1.</w:t>
      </w:r>
      <w:r>
        <w:rPr>
          <w:rFonts w:hint="eastAsia" w:hAnsi="宋体" w:cs="宋体"/>
          <w:bCs/>
          <w:color w:val="000000" w:themeColor="text1"/>
          <w:szCs w:val="21"/>
          <w14:textFill>
            <w14:solidFill>
              <w14:schemeClr w14:val="tx1"/>
            </w14:solidFill>
          </w14:textFill>
        </w:rPr>
        <w:t>投标人认为招标文件、采购过程或中标结果使自己的合法权益受到损害的，可以在知道或者应知其权益受到损害之日起七个工作日内，以书面形式向采购人、采购代理机构提出质疑。</w:t>
      </w:r>
      <w:r>
        <w:rPr>
          <w:rFonts w:hint="eastAsia" w:hAnsi="宋体" w:cs="宋体"/>
          <w:color w:val="000000" w:themeColor="text1"/>
          <w:szCs w:val="21"/>
          <w14:textFill>
            <w14:solidFill>
              <w14:schemeClr w14:val="tx1"/>
            </w14:solidFill>
          </w14:textFill>
        </w:rPr>
        <w:t>投标人对采购人的质</w:t>
      </w:r>
      <w:r>
        <w:rPr>
          <w:rFonts w:hint="eastAsia" w:hAnsi="宋体" w:cs="宋体"/>
          <w:bCs/>
          <w:color w:val="000000" w:themeColor="text1"/>
          <w:szCs w:val="21"/>
          <w14:textFill>
            <w14:solidFill>
              <w14:schemeClr w14:val="tx1"/>
            </w14:solidFill>
          </w14:textFill>
        </w:rPr>
        <w:t>疑答复不满意或者采购人未在规定时间内作出答复的，可以在答复期满后十五个工作日内向同级采购监管部门投诉。</w:t>
      </w:r>
    </w:p>
    <w:p>
      <w:pPr>
        <w:pStyle w:val="95"/>
        <w:spacing w:line="360" w:lineRule="auto"/>
        <w:ind w:firstLine="424"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质疑书应明确阐述招标文件、投标过程或中标结果中使自己合法权益受到损害的实质性内容，提供相关事实、依据和证据及其来源或线索，便于有关单位调查、答复和处理。</w:t>
      </w:r>
    </w:p>
    <w:p>
      <w:pPr>
        <w:pStyle w:val="95"/>
        <w:spacing w:line="360" w:lineRule="auto"/>
        <w:ind w:firstLine="424"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投标人须在法定质疑期内一次性提出针对同一采购程序环节的质疑，否则采购代理机构有权拒绝第一次质疑以外其他所有质疑。</w:t>
      </w:r>
    </w:p>
    <w:p>
      <w:pPr>
        <w:pStyle w:val="95"/>
        <w:spacing w:line="360" w:lineRule="auto"/>
        <w:ind w:firstLine="318" w:firstLineChars="15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质疑函须采用财政部发布的政府采购投标人质疑函范本（参考样式可从浙江政府采购网下载专区下载），否则采购代理机构有权要求质疑投标人改正后重新提出。</w:t>
      </w:r>
    </w:p>
    <w:p>
      <w:pPr>
        <w:pStyle w:val="95"/>
        <w:spacing w:line="360" w:lineRule="auto"/>
        <w:ind w:firstLine="424"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疫情防控期间，政府采购投标人可以通过登录“浙江政务服务网”（</w:t>
      </w:r>
      <w:r>
        <w:fldChar w:fldCharType="begin"/>
      </w:r>
      <w:r>
        <w:instrText xml:space="preserve"> HYPERLINK "http://www.zjzwfw.gov.cn/" </w:instrText>
      </w:r>
      <w:r>
        <w:fldChar w:fldCharType="separate"/>
      </w:r>
      <w:r>
        <w:rPr>
          <w:color w:val="000000" w:themeColor="text1"/>
          <w:sz w:val="21"/>
          <w:szCs w:val="21"/>
          <w14:textFill>
            <w14:solidFill>
              <w14:schemeClr w14:val="tx1"/>
            </w14:solidFill>
          </w14:textFill>
        </w:rPr>
        <w:t>http://www.zjzwfw.gov.cn/</w:t>
      </w:r>
      <w:r>
        <w:rPr>
          <w:color w:val="000000" w:themeColor="text1"/>
          <w:sz w:val="21"/>
          <w:szCs w:val="21"/>
          <w14:textFill>
            <w14:solidFill>
              <w14:schemeClr w14:val="tx1"/>
            </w14:solidFill>
          </w14:textFill>
        </w:rPr>
        <w:fldChar w:fldCharType="end"/>
      </w:r>
      <w:r>
        <w:rPr>
          <w:rFonts w:hint="eastAsia"/>
          <w:color w:val="000000" w:themeColor="text1"/>
          <w:sz w:val="21"/>
          <w:szCs w:val="21"/>
          <w14:textFill>
            <w14:solidFill>
              <w14:schemeClr w14:val="tx1"/>
            </w14:solidFill>
          </w14:textFill>
        </w:rPr>
        <w:t>），搜索关键字“政府采购投诉处理”，或者选择“部门窗口—省财政厅—行政裁决—政府采购投诉处理”，点击“在线办理”，即可进行在线投诉。财政部门审查受理、处理决定等政府采购投诉处理相关文书均在线送达，政府采购投诉投标人明确表示需要邮寄的除外。</w:t>
      </w:r>
    </w:p>
    <w:p>
      <w:pPr>
        <w:pStyle w:val="95"/>
        <w:spacing w:line="360" w:lineRule="auto"/>
        <w:ind w:firstLine="424"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投标人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，投标人明确表示需要邮寄的除外。</w:t>
      </w:r>
      <w:r>
        <w:rPr>
          <w:color w:val="000000" w:themeColor="text1"/>
          <w:sz w:val="21"/>
          <w:szCs w:val="21"/>
          <w14:textFill>
            <w14:solidFill>
              <w14:schemeClr w14:val="tx1"/>
            </w14:solidFill>
          </w14:textFill>
        </w:rPr>
        <w:br w:type="textWrapping"/>
      </w:r>
      <w:r>
        <w:rPr>
          <w:rFonts w:hint="eastAsia"/>
          <w:color w:val="000000" w:themeColor="text1"/>
          <w:sz w:val="21"/>
          <w:szCs w:val="21"/>
          <w14:textFill>
            <w14:solidFill>
              <w14:schemeClr w14:val="tx1"/>
            </w14:solidFill>
          </w14:textFill>
        </w:rPr>
        <w:t>  </w:t>
      </w:r>
      <w:r>
        <w:rPr>
          <w:color w:val="000000" w:themeColor="text1"/>
          <w:sz w:val="21"/>
          <w:szCs w:val="21"/>
          <w14:textFill>
            <w14:solidFill>
              <w14:schemeClr w14:val="tx1"/>
            </w14:solidFill>
          </w14:textFill>
        </w:rPr>
        <w:t>7.</w:t>
      </w:r>
      <w:r>
        <w:rPr>
          <w:rFonts w:hint="eastAsia"/>
          <w:color w:val="000000" w:themeColor="text1"/>
          <w:sz w:val="21"/>
          <w:szCs w:val="21"/>
          <w14:textFill>
            <w14:solidFill>
              <w14:schemeClr w14:val="tx1"/>
            </w14:solidFill>
          </w14:textFill>
        </w:rPr>
        <w:t>在线或者邮寄政府采购投诉材料当日下班时间点后收到的视为下一个工作日收到。</w:t>
      </w:r>
    </w:p>
    <w:p>
      <w:pPr>
        <w:pStyle w:val="7"/>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二、</w:t>
      </w:r>
      <w:r>
        <w:rPr>
          <w:b w:val="0"/>
          <w:color w:val="000000" w:themeColor="text1"/>
          <w14:textFill>
            <w14:solidFill>
              <w14:schemeClr w14:val="tx1"/>
            </w14:solidFill>
          </w14:textFill>
        </w:rPr>
        <w:t xml:space="preserve"> </w:t>
      </w:r>
      <w:r>
        <w:rPr>
          <w:rFonts w:hint="eastAsia"/>
          <w:b w:val="0"/>
          <w:color w:val="000000" w:themeColor="text1"/>
          <w14:textFill>
            <w14:solidFill>
              <w14:schemeClr w14:val="tx1"/>
            </w14:solidFill>
          </w14:textFill>
        </w:rPr>
        <w:t>招标文件</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（一）招标文件的构成。本招标文件由以下部份组成：</w:t>
      </w:r>
    </w:p>
    <w:p>
      <w:pPr>
        <w:snapToGrid w:val="0"/>
        <w:spacing w:line="440" w:lineRule="exact"/>
        <w:ind w:firstLine="424"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采购公告</w:t>
      </w:r>
    </w:p>
    <w:p>
      <w:pPr>
        <w:snapToGrid w:val="0"/>
        <w:spacing w:line="440" w:lineRule="exact"/>
        <w:ind w:firstLine="424"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投标须知</w:t>
      </w:r>
    </w:p>
    <w:p>
      <w:pPr>
        <w:snapToGrid w:val="0"/>
        <w:spacing w:line="440" w:lineRule="exact"/>
        <w:ind w:firstLine="424"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采购内容及要求</w:t>
      </w:r>
    </w:p>
    <w:p>
      <w:pPr>
        <w:snapToGrid w:val="0"/>
        <w:spacing w:line="440" w:lineRule="exact"/>
        <w:ind w:firstLine="424"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评标办法</w:t>
      </w:r>
    </w:p>
    <w:p>
      <w:pPr>
        <w:snapToGrid w:val="0"/>
        <w:spacing w:line="440" w:lineRule="exact"/>
        <w:ind w:firstLine="424"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拟签订的合同文本</w:t>
      </w:r>
    </w:p>
    <w:p>
      <w:pPr>
        <w:snapToGrid w:val="0"/>
        <w:spacing w:line="440" w:lineRule="exact"/>
        <w:ind w:firstLine="424"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投标文件格式</w:t>
      </w:r>
    </w:p>
    <w:p>
      <w:pPr>
        <w:snapToGrid w:val="0"/>
        <w:spacing w:line="440" w:lineRule="exact"/>
        <w:ind w:firstLine="424"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本项目招标文件的澄清、答复、修改、补充的内容</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（二）投标人的风险</w:t>
      </w:r>
    </w:p>
    <w:p>
      <w:pPr>
        <w:pStyle w:val="31"/>
        <w:spacing w:line="360" w:lineRule="auto"/>
        <w:ind w:firstLine="408"/>
        <w:rPr>
          <w:rFonts w:ascii="宋体" w:eastAsia="宋体"/>
          <w:color w:val="000000" w:themeColor="text1"/>
          <w:sz w:val="21"/>
          <w:szCs w:val="21"/>
          <w14:textFill>
            <w14:solidFill>
              <w14:schemeClr w14:val="tx1"/>
            </w14:solidFill>
          </w14:textFill>
        </w:rPr>
      </w:pPr>
      <w:r>
        <w:rPr>
          <w:rFonts w:ascii="宋体" w:eastAsia="宋体"/>
          <w:color w:val="000000" w:themeColor="text1"/>
          <w:sz w:val="21"/>
          <w:szCs w:val="21"/>
          <w14:textFill>
            <w14:solidFill>
              <w14:schemeClr w14:val="tx1"/>
            </w14:solidFill>
          </w14:textFill>
        </w:rPr>
        <w:t xml:space="preserve">1. </w:t>
      </w:r>
      <w:r>
        <w:rPr>
          <w:rFonts w:hint="eastAsia" w:ascii="宋体" w:eastAsia="宋体"/>
          <w:color w:val="000000" w:themeColor="text1"/>
          <w:sz w:val="21"/>
          <w:szCs w:val="21"/>
          <w14:textFill>
            <w14:solidFill>
              <w14:schemeClr w14:val="tx1"/>
            </w14:solidFill>
          </w14:textFill>
        </w:rPr>
        <w:t>投标截止时间前，投标供应商仅递交了“</w:t>
      </w:r>
      <w:r>
        <w:rPr>
          <w:rFonts w:ascii="宋体" w:eastAsia="宋体"/>
          <w:color w:val="000000" w:themeColor="text1"/>
          <w:sz w:val="21"/>
          <w:szCs w:val="21"/>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电子备份投标文件”而未将“电子加密投标文件”</w:t>
      </w:r>
      <w:r>
        <w:rPr>
          <w:rFonts w:ascii="宋体" w:eastAsia="宋体"/>
          <w:color w:val="000000" w:themeColor="text1"/>
          <w:sz w:val="21"/>
          <w:szCs w:val="21"/>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成功上传至“政府采购云平台”的，投标无效；通过“政府采购云平台”上传递交的“电子加密投标文件”无法按时解密的，如投标供应商未按规定递交“</w:t>
      </w:r>
      <w:r>
        <w:rPr>
          <w:rFonts w:ascii="宋体" w:eastAsia="宋体"/>
          <w:color w:val="000000" w:themeColor="text1"/>
          <w:sz w:val="21"/>
          <w:szCs w:val="21"/>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电子备份投标文件”的，视为投标文件撤回。</w:t>
      </w:r>
    </w:p>
    <w:p>
      <w:pPr>
        <w:pStyle w:val="31"/>
        <w:spacing w:line="360" w:lineRule="auto"/>
        <w:ind w:firstLine="408"/>
        <w:rPr>
          <w:color w:val="000000" w:themeColor="text1"/>
          <w14:textFill>
            <w14:solidFill>
              <w14:schemeClr w14:val="tx1"/>
            </w14:solidFill>
          </w14:textFill>
        </w:rPr>
      </w:pPr>
      <w:r>
        <w:rPr>
          <w:rFonts w:ascii="宋体" w:eastAsia="宋体"/>
          <w:color w:val="000000" w:themeColor="text1"/>
          <w:sz w:val="21"/>
          <w:szCs w:val="21"/>
          <w14:textFill>
            <w14:solidFill>
              <w14:schemeClr w14:val="tx1"/>
            </w14:solidFill>
          </w14:textFill>
        </w:rPr>
        <w:t>2.</w:t>
      </w:r>
      <w:r>
        <w:rPr>
          <w:rFonts w:hint="eastAsia" w:ascii="宋体" w:eastAsia="宋体"/>
          <w:color w:val="000000" w:themeColor="text1"/>
          <w:sz w:val="21"/>
          <w:szCs w:val="21"/>
          <w14:textFill>
            <w14:solidFill>
              <w14:schemeClr w14:val="tx1"/>
            </w14:solidFill>
          </w14:textFill>
        </w:rPr>
        <w:t>投标人没有按照招标文件要求提供全部资料，或者投标人没有对招标文件在各方面作出实质性响应是投标人的风险，并可能导致其投标无效。</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（三）招标文件的澄清与修改</w:t>
      </w:r>
      <w:r>
        <w:rPr>
          <w:rFonts w:hAnsi="宋体" w:cs="宋体"/>
          <w:b/>
          <w:bCs/>
          <w:color w:val="000000" w:themeColor="text1"/>
          <w:szCs w:val="21"/>
          <w14:textFill>
            <w14:solidFill>
              <w14:schemeClr w14:val="tx1"/>
            </w14:solidFill>
          </w14:textFill>
        </w:rPr>
        <w:t xml:space="preserve"> </w:t>
      </w:r>
    </w:p>
    <w:p>
      <w:pPr>
        <w:snapToGrid w:val="0"/>
        <w:spacing w:line="360" w:lineRule="auto"/>
        <w:ind w:firstLine="424" w:firstLineChars="20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提交投标文件截止之日前，采购人、采购代理机构可以对已发出的招标文件进行必要的澄清或者修改，澄清或者修改的内容作为招标文件的组成部分。澄清或者修改的内容可能影响投标文件编制的，采</w:t>
      </w:r>
      <w:r>
        <w:rPr>
          <w:rFonts w:hint="eastAsia" w:ascii="宋体" w:hAnsi="宋体" w:cs="宋体"/>
          <w:color w:val="000000" w:themeColor="text1"/>
          <w:kern w:val="0"/>
          <w:szCs w:val="21"/>
          <w14:textFill>
            <w14:solidFill>
              <w14:schemeClr w14:val="tx1"/>
            </w14:solidFill>
          </w14:textFill>
        </w:rPr>
        <w:t>购人、采购代理机构应当在提交首次投标文件截止时间至少</w:t>
      </w:r>
      <w:r>
        <w:rPr>
          <w:rFonts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日前，以书面形式通知所有获取招标文件的投标人；不足</w:t>
      </w:r>
      <w:r>
        <w:rPr>
          <w:rFonts w:ascii="宋体" w:hAnsi="宋体" w:cs="宋体"/>
          <w:color w:val="000000" w:themeColor="text1"/>
          <w:kern w:val="0"/>
          <w:szCs w:val="21"/>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日的，采购人、采购代理机构应当顺延提交首次投标文件截止时间。</w:t>
      </w:r>
    </w:p>
    <w:p>
      <w:pPr>
        <w:pStyle w:val="95"/>
        <w:spacing w:line="360" w:lineRule="auto"/>
        <w:ind w:firstLine="318" w:firstLineChars="150"/>
        <w:rPr>
          <w:rFonts w:cs="宋体"/>
          <w:color w:val="000000" w:themeColor="text1"/>
          <w:sz w:val="21"/>
          <w:szCs w:val="21"/>
          <w:lang w:val="en-US"/>
          <w14:textFill>
            <w14:solidFill>
              <w14:schemeClr w14:val="tx1"/>
            </w14:solidFill>
          </w14:textFill>
        </w:rPr>
      </w:pPr>
      <w:r>
        <w:rPr>
          <w:rFonts w:cs="宋体"/>
          <w:color w:val="000000" w:themeColor="text1"/>
          <w:sz w:val="21"/>
          <w:szCs w:val="21"/>
          <w:lang w:val="en-US"/>
          <w14:textFill>
            <w14:solidFill>
              <w14:schemeClr w14:val="tx1"/>
            </w14:solidFill>
          </w14:textFill>
        </w:rPr>
        <w:t>2.</w:t>
      </w:r>
      <w:r>
        <w:rPr>
          <w:rFonts w:hint="eastAsia" w:cs="宋体"/>
          <w:color w:val="000000" w:themeColor="text1"/>
          <w:sz w:val="21"/>
          <w:szCs w:val="21"/>
          <w:lang w:val="en-US"/>
          <w14:textFill>
            <w14:solidFill>
              <w14:schemeClr w14:val="tx1"/>
            </w14:solidFill>
          </w14:textFill>
        </w:rPr>
        <w:t>不论采购人、采购代理机构向投标人发送的资料文件，还是投标人提出的问题，均采用书面形式，任何口头提问及答复一律无效。</w:t>
      </w:r>
    </w:p>
    <w:p>
      <w:pPr>
        <w:pStyle w:val="21"/>
        <w:snapToGrid w:val="0"/>
        <w:spacing w:line="360" w:lineRule="auto"/>
        <w:ind w:firstLine="424" w:firstLineChars="200"/>
        <w:rPr>
          <w:rFonts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3.</w:t>
      </w:r>
      <w:r>
        <w:rPr>
          <w:rFonts w:hint="eastAsia" w:hAnsi="宋体" w:cs="宋体"/>
          <w:color w:val="000000" w:themeColor="text1"/>
          <w:szCs w:val="21"/>
          <w14:textFill>
            <w14:solidFill>
              <w14:schemeClr w14:val="tx1"/>
            </w14:solidFill>
          </w14:textFill>
        </w:rPr>
        <w:t>招标文件澄清、答复、修改、补充的内容为招标文件的组成部分。当招标文件与招标文件的答复、澄清、修改、补充通知就同一内容的表述不一致时，以最后发出的书面文件为准。</w:t>
      </w:r>
    </w:p>
    <w:p>
      <w:pPr>
        <w:pStyle w:val="7"/>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三、投标文件的编制、递交</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（一）投标文件的组成</w:t>
      </w:r>
    </w:p>
    <w:p>
      <w:pPr>
        <w:snapToGrid w:val="0"/>
        <w:spacing w:line="440" w:lineRule="exact"/>
        <w:ind w:firstLine="424"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投标文件由资格证明文件、商务及技术文件和报价文件三部份组成。</w:t>
      </w:r>
      <w:r>
        <w:rPr>
          <w:rFonts w:hint="eastAsia" w:ascii="宋体" w:hAnsi="宋体" w:cs="宋体"/>
          <w:b/>
          <w:color w:val="000000" w:themeColor="text1"/>
          <w:szCs w:val="21"/>
          <w14:textFill>
            <w14:solidFill>
              <w14:schemeClr w14:val="tx1"/>
            </w14:solidFill>
          </w14:textFill>
        </w:rPr>
        <w:t>其中投标文件中所须加盖公章部分均采用</w:t>
      </w:r>
      <w:r>
        <w:rPr>
          <w:rFonts w:ascii="宋体" w:hAnsi="宋体" w:cs="宋体"/>
          <w:b/>
          <w:color w:val="000000" w:themeColor="text1"/>
          <w:szCs w:val="21"/>
          <w14:textFill>
            <w14:solidFill>
              <w14:schemeClr w14:val="tx1"/>
            </w14:solidFill>
          </w14:textFill>
        </w:rPr>
        <w:t>CA</w:t>
      </w:r>
      <w:r>
        <w:rPr>
          <w:rFonts w:hint="eastAsia" w:ascii="宋体" w:hAnsi="宋体" w:cs="宋体"/>
          <w:b/>
          <w:color w:val="000000" w:themeColor="text1"/>
          <w:szCs w:val="21"/>
          <w14:textFill>
            <w14:solidFill>
              <w14:schemeClr w14:val="tx1"/>
            </w14:solidFill>
          </w14:textFill>
        </w:rPr>
        <w:t>签章。</w:t>
      </w:r>
    </w:p>
    <w:p>
      <w:pPr>
        <w:autoSpaceDE w:val="0"/>
        <w:autoSpaceDN w:val="0"/>
        <w:adjustRightInd w:val="0"/>
        <w:spacing w:line="440" w:lineRule="exact"/>
        <w:ind w:firstLine="424" w:firstLineChars="200"/>
        <w:rPr>
          <w:rFonts w:ascii="宋体" w:hAnsi="宋体" w:cs="宋体"/>
          <w:color w:val="000000" w:themeColor="text1"/>
          <w:szCs w:val="21"/>
          <w:lang w:val="zh-CN"/>
          <w14:textFill>
            <w14:solidFill>
              <w14:schemeClr w14:val="tx1"/>
            </w14:solidFill>
          </w14:textFill>
        </w:rPr>
      </w:pPr>
      <w:r>
        <w:rPr>
          <w:rFonts w:ascii="宋体" w:hAnsi="宋体" w:cs="宋体"/>
          <w:b/>
          <w:bCs/>
          <w:color w:val="000000" w:themeColor="text1"/>
          <w:szCs w:val="21"/>
          <w:lang w:val="zh-CN"/>
          <w14:textFill>
            <w14:solidFill>
              <w14:schemeClr w14:val="tx1"/>
            </w14:solidFill>
          </w14:textFill>
        </w:rPr>
        <w:t>1</w:t>
      </w:r>
      <w:r>
        <w:rPr>
          <w:rFonts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lang w:val="zh-CN"/>
          <w14:textFill>
            <w14:solidFill>
              <w14:schemeClr w14:val="tx1"/>
            </w14:solidFill>
          </w14:textFill>
        </w:rPr>
        <w:t>【资</w:t>
      </w:r>
      <w:r>
        <w:rPr>
          <w:rFonts w:hint="eastAsia" w:ascii="宋体" w:hAnsi="宋体" w:cs="宋体"/>
          <w:b/>
          <w:bCs/>
          <w:color w:val="000000" w:themeColor="text1"/>
          <w:szCs w:val="21"/>
          <w14:textFill>
            <w14:solidFill>
              <w14:schemeClr w14:val="tx1"/>
            </w14:solidFill>
          </w14:textFill>
        </w:rPr>
        <w:t>格证明文件</w:t>
      </w:r>
      <w:r>
        <w:rPr>
          <w:rFonts w:hint="eastAsia" w:ascii="宋体" w:hAnsi="宋体" w:cs="宋体"/>
          <w:b/>
          <w:bCs/>
          <w:color w:val="000000" w:themeColor="text1"/>
          <w:szCs w:val="21"/>
          <w:lang w:val="zh-CN"/>
          <w14:textFill>
            <w14:solidFill>
              <w14:schemeClr w14:val="tx1"/>
            </w14:solidFill>
          </w14:textFill>
        </w:rPr>
        <w:t>】</w:t>
      </w:r>
    </w:p>
    <w:p>
      <w:pPr>
        <w:tabs>
          <w:tab w:val="left" w:pos="720"/>
          <w:tab w:val="left" w:pos="5355"/>
        </w:tabs>
        <w:spacing w:line="420" w:lineRule="exact"/>
        <w:ind w:firstLine="212"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）投标声明书（格式见附件）；</w:t>
      </w:r>
    </w:p>
    <w:p>
      <w:pPr>
        <w:pStyle w:val="38"/>
        <w:spacing w:line="420" w:lineRule="exact"/>
        <w:ind w:firstLine="204" w:firstLineChars="1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w:t>
      </w:r>
      <w:r>
        <w:rPr>
          <w:rFonts w:ascii="宋体" w:hAnsi="宋体" w:eastAsia="宋体" w:cs="宋体"/>
          <w:color w:val="000000" w:themeColor="text1"/>
          <w:spacing w:val="-4"/>
          <w:sz w:val="21"/>
          <w:szCs w:val="21"/>
          <w:lang w:val="en-US"/>
          <w14:textFill>
            <w14:solidFill>
              <w14:schemeClr w14:val="tx1"/>
            </w14:solidFill>
          </w14:textFill>
        </w:rPr>
        <w:t>2</w:t>
      </w:r>
      <w:r>
        <w:rPr>
          <w:rFonts w:hint="eastAsia" w:ascii="宋体" w:hAnsi="宋体" w:eastAsia="宋体" w:cs="宋体"/>
          <w:color w:val="000000" w:themeColor="text1"/>
          <w:spacing w:val="-4"/>
          <w:sz w:val="21"/>
          <w:szCs w:val="21"/>
          <w14:textFill>
            <w14:solidFill>
              <w14:schemeClr w14:val="tx1"/>
            </w14:solidFill>
          </w14:textFill>
        </w:rPr>
        <w:t>）法定代表人身份证明</w:t>
      </w:r>
      <w:r>
        <w:rPr>
          <w:rFonts w:hint="eastAsia" w:ascii="宋体" w:hAnsi="宋体" w:eastAsia="宋体" w:cs="宋体"/>
          <w:color w:val="000000" w:themeColor="text1"/>
          <w:spacing w:val="-5"/>
          <w:sz w:val="21"/>
          <w:szCs w:val="21"/>
          <w14:textFill>
            <w14:solidFill>
              <w14:schemeClr w14:val="tx1"/>
            </w14:solidFill>
          </w14:textFill>
        </w:rPr>
        <w:t>或法定代表人授权委托书</w:t>
      </w:r>
      <w:r>
        <w:rPr>
          <w:rFonts w:hint="eastAsia" w:ascii="宋体" w:hAnsi="宋体" w:eastAsia="宋体" w:cs="宋体"/>
          <w:color w:val="000000" w:themeColor="text1"/>
          <w:sz w:val="21"/>
          <w:szCs w:val="21"/>
          <w14:textFill>
            <w14:solidFill>
              <w14:schemeClr w14:val="tx1"/>
            </w14:solidFill>
          </w14:textFill>
        </w:rPr>
        <w:t>（格式见附件）</w:t>
      </w:r>
      <w:r>
        <w:rPr>
          <w:rFonts w:hint="eastAsia" w:ascii="宋体" w:hAnsi="宋体" w:eastAsia="宋体" w:cs="宋体"/>
          <w:b/>
          <w:bCs/>
          <w:color w:val="000000" w:themeColor="text1"/>
          <w:sz w:val="21"/>
          <w:szCs w:val="21"/>
          <w14:textFill>
            <w14:solidFill>
              <w14:schemeClr w14:val="tx1"/>
            </w14:solidFill>
          </w14:textFill>
        </w:rPr>
        <w:t>（电子标书内法定代表人授权委托书需签字的可线下签字后再将其上传至线上投标文件内）</w:t>
      </w:r>
      <w:r>
        <w:rPr>
          <w:rFonts w:hint="eastAsia" w:ascii="宋体" w:hAnsi="宋体" w:eastAsia="宋体" w:cs="宋体"/>
          <w:color w:val="000000" w:themeColor="text1"/>
          <w:sz w:val="21"/>
          <w:szCs w:val="21"/>
          <w14:textFill>
            <w14:solidFill>
              <w14:schemeClr w14:val="tx1"/>
            </w14:solidFill>
          </w14:textFill>
        </w:rPr>
        <w:t>；</w:t>
      </w:r>
    </w:p>
    <w:p>
      <w:pPr>
        <w:spacing w:line="420" w:lineRule="exact"/>
        <w:ind w:firstLine="212"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）有效期内的营业执照扫描件；</w:t>
      </w:r>
      <w:bookmarkStart w:id="5" w:name="_Toc28052"/>
      <w:bookmarkStart w:id="6" w:name="_Toc27119254"/>
    </w:p>
    <w:p>
      <w:pPr>
        <w:spacing w:line="420" w:lineRule="exact"/>
        <w:ind w:firstLine="212" w:firstLineChars="1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近年</w:t>
      </w:r>
      <w:r>
        <w:rPr>
          <w:rFonts w:hint="eastAsia" w:ascii="宋体" w:hAnsi="宋体" w:cs="宋体"/>
          <w:color w:val="000000" w:themeColor="text1"/>
          <w:kern w:val="0"/>
          <w:szCs w:val="21"/>
          <w14:textFill>
            <w14:solidFill>
              <w14:schemeClr w14:val="tx1"/>
            </w14:solidFill>
          </w14:textFill>
        </w:rPr>
        <w:t>财务报表</w:t>
      </w:r>
      <w:r>
        <w:rPr>
          <w:rFonts w:hint="eastAsia" w:ascii="宋体" w:hAnsi="宋体" w:cs="宋体"/>
          <w:color w:val="000000" w:themeColor="text1"/>
          <w:szCs w:val="21"/>
          <w14:textFill>
            <w14:solidFill>
              <w14:schemeClr w14:val="tx1"/>
            </w14:solidFill>
          </w14:textFill>
        </w:rPr>
        <w:t>扫描件</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新成立公司出具银行资信证明扫描件；</w:t>
      </w:r>
    </w:p>
    <w:p>
      <w:pPr>
        <w:spacing w:line="420" w:lineRule="exact"/>
        <w:ind w:firstLine="212"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具有履行合同所必需的设备和专业技术能力的承诺函</w:t>
      </w:r>
      <w:bookmarkEnd w:id="5"/>
      <w:bookmarkEnd w:id="6"/>
      <w:r>
        <w:rPr>
          <w:rFonts w:hint="eastAsia" w:ascii="宋体" w:hAnsi="宋体" w:cs="宋体"/>
          <w:color w:val="000000" w:themeColor="text1"/>
          <w:szCs w:val="21"/>
          <w14:textFill>
            <w14:solidFill>
              <w14:schemeClr w14:val="tx1"/>
            </w14:solidFill>
          </w14:textFill>
        </w:rPr>
        <w:t>（格式见附件）；</w:t>
      </w:r>
    </w:p>
    <w:p>
      <w:pPr>
        <w:pStyle w:val="122"/>
        <w:keepNext w:val="0"/>
        <w:keepLines w:val="0"/>
        <w:pageBreakBefore w:val="0"/>
        <w:kinsoku/>
        <w:wordWrap/>
        <w:overflowPunct/>
        <w:topLinePunct w:val="0"/>
        <w:autoSpaceDE/>
        <w:autoSpaceDN/>
        <w:bidi w:val="0"/>
        <w:adjustRightInd/>
        <w:snapToGrid/>
        <w:spacing w:line="400" w:lineRule="exact"/>
        <w:ind w:firstLine="212" w:firstLineChars="100"/>
        <w:textAlignment w:val="auto"/>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）参加政府采购活动前</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年内在经营活动中没有重大违法记录的声明函（格式见附件）</w:t>
      </w:r>
      <w:r>
        <w:rPr>
          <w:rFonts w:ascii="宋体" w:hAnsi="宋体" w:cs="宋体"/>
          <w:color w:val="000000" w:themeColor="text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212" w:firstLineChars="1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提供依法缴纳税收的证明或者《依法纳税或依法免税证明》</w:t>
      </w:r>
      <w:r>
        <w:rPr>
          <w:rFonts w:hint="eastAsia" w:ascii="宋体" w:hAnsi="宋体" w:cs="宋体"/>
          <w:b/>
          <w:bCs/>
          <w:color w:val="000000" w:themeColor="text1"/>
          <w:szCs w:val="21"/>
          <w14:textFill>
            <w14:solidFill>
              <w14:schemeClr w14:val="tx1"/>
            </w14:solidFill>
          </w14:textFill>
        </w:rPr>
        <w:t>（可以为税务机构官方网站查询结果）</w:t>
      </w:r>
      <w:r>
        <w:rPr>
          <w:rFonts w:hint="eastAsia" w:ascii="宋体" w:hAnsi="宋体" w:cs="宋体"/>
          <w:color w:val="000000" w:themeColor="text1"/>
          <w:szCs w:val="21"/>
          <w14:textFill>
            <w14:solidFill>
              <w14:schemeClr w14:val="tx1"/>
            </w14:solidFill>
          </w14:textFill>
        </w:rPr>
        <w:t>和社保费缴纳的证明</w:t>
      </w:r>
      <w:r>
        <w:rPr>
          <w:rFonts w:hint="eastAsia" w:ascii="宋体" w:hAnsi="宋体" w:cs="宋体"/>
          <w:b/>
          <w:bCs/>
          <w:color w:val="000000" w:themeColor="text1"/>
          <w:szCs w:val="21"/>
          <w14:textFill>
            <w14:solidFill>
              <w14:schemeClr w14:val="tx1"/>
            </w14:solidFill>
          </w14:textFill>
        </w:rPr>
        <w:t>（可以为税务或社保机构官方网站查询结果）（最近一季度的）</w:t>
      </w:r>
      <w:r>
        <w:rPr>
          <w:rFonts w:hint="eastAsia" w:ascii="宋体" w:hAnsi="宋体" w:cs="宋体"/>
          <w:color w:val="000000" w:themeColor="text1"/>
          <w:szCs w:val="21"/>
          <w14:textFill>
            <w14:solidFill>
              <w14:schemeClr w14:val="tx1"/>
            </w14:solidFill>
          </w14:textFill>
        </w:rPr>
        <w:t>；</w:t>
      </w:r>
    </w:p>
    <w:p>
      <w:pPr>
        <w:pStyle w:val="2"/>
        <w:keepNext w:val="0"/>
        <w:keepLines w:val="0"/>
        <w:pageBreakBefore w:val="0"/>
        <w:kinsoku/>
        <w:wordWrap/>
        <w:topLinePunct w:val="0"/>
        <w:bidi w:val="0"/>
        <w:snapToGrid/>
        <w:spacing w:line="400" w:lineRule="exact"/>
        <w:textAlignment w:val="auto"/>
        <w:rPr>
          <w:rFonts w:hint="default" w:eastAsia="宋体"/>
          <w:lang w:val="en-US" w:eastAsia="zh-CN"/>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联合体投标协议书</w:t>
      </w:r>
      <w:r>
        <w:rPr>
          <w:rFonts w:hint="eastAsia" w:ascii="宋体" w:hAnsi="宋体" w:cs="宋体"/>
          <w:color w:val="000000" w:themeColor="text1"/>
          <w:szCs w:val="21"/>
          <w:lang w:val="en-US" w:eastAsia="zh-CN"/>
          <w14:textFill>
            <w14:solidFill>
              <w14:schemeClr w14:val="tx1"/>
            </w14:solidFill>
          </w14:textFill>
        </w:rPr>
        <w:t>(若有)</w:t>
      </w:r>
    </w:p>
    <w:p>
      <w:pPr>
        <w:keepNext w:val="0"/>
        <w:keepLines w:val="0"/>
        <w:pageBreakBefore w:val="0"/>
        <w:tabs>
          <w:tab w:val="center" w:pos="4156"/>
        </w:tabs>
        <w:kinsoku/>
        <w:wordWrap/>
        <w:topLinePunct w:val="0"/>
        <w:autoSpaceDE w:val="0"/>
        <w:autoSpaceDN w:val="0"/>
        <w:bidi w:val="0"/>
        <w:adjustRightInd w:val="0"/>
        <w:snapToGrid/>
        <w:spacing w:line="400" w:lineRule="exact"/>
        <w:textAlignment w:val="auto"/>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投标人认为需要提供的其他投标文件和资料（可自行阐述项目，做出说明）。</w:t>
      </w:r>
    </w:p>
    <w:p>
      <w:pPr>
        <w:keepNext w:val="0"/>
        <w:keepLines w:val="0"/>
        <w:pageBreakBefore w:val="0"/>
        <w:kinsoku/>
        <w:wordWrap/>
        <w:overflowPunct w:val="0"/>
        <w:topLinePunct w:val="0"/>
        <w:bidi w:val="0"/>
        <w:snapToGrid/>
        <w:spacing w:line="400" w:lineRule="exact"/>
        <w:textAlignment w:val="auto"/>
        <w:rPr>
          <w:rFonts w:ascii="宋体" w:hAnsi="宋体" w:cs="宋体"/>
          <w:b/>
          <w:bCs/>
          <w:color w:val="000000" w:themeColor="text1"/>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由于本项目为电子标，投标人的法定代表人（或其委托代理人）无需出席开标现场会议，上传的扫描件</w:t>
      </w:r>
      <w:r>
        <w:rPr>
          <w:rFonts w:hint="eastAsia" w:ascii="宋体" w:hAnsi="宋体" w:cs="宋体"/>
          <w:b/>
          <w:bCs/>
          <w:color w:val="000000" w:themeColor="text1"/>
          <w:szCs w:val="21"/>
          <w14:textFill>
            <w14:solidFill>
              <w14:schemeClr w14:val="tx1"/>
            </w14:solidFill>
          </w14:textFill>
        </w:rPr>
        <w:t>需清晰可辩，并为原件扫描件（彩色）。</w:t>
      </w:r>
    </w:p>
    <w:p>
      <w:pPr>
        <w:tabs>
          <w:tab w:val="left" w:pos="720"/>
          <w:tab w:val="left" w:pos="5355"/>
        </w:tabs>
        <w:spacing w:line="360" w:lineRule="auto"/>
        <w:ind w:firstLine="424" w:firstLineChars="200"/>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注：资格证明资料应包含以上所有内容，投标人提供资格证明资料不完整或不符合招标文件要求的，则资格审查不予通过。</w:t>
      </w:r>
    </w:p>
    <w:p>
      <w:pPr>
        <w:pStyle w:val="38"/>
        <w:rPr>
          <w:color w:val="000000" w:themeColor="text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注：若为联合体投标，须提供共同投标协议书；且联合体各方均应当提供以上证明资料。</w:t>
      </w:r>
    </w:p>
    <w:p>
      <w:pPr>
        <w:autoSpaceDE w:val="0"/>
        <w:autoSpaceDN w:val="0"/>
        <w:adjustRightInd w:val="0"/>
        <w:spacing w:line="440" w:lineRule="exact"/>
        <w:ind w:left="426"/>
        <w:rPr>
          <w:color w:val="000000" w:themeColor="text1"/>
          <w14:textFill>
            <w14:solidFill>
              <w14:schemeClr w14:val="tx1"/>
            </w14:solidFill>
          </w14:textFill>
        </w:rPr>
      </w:pPr>
      <w:r>
        <w:rPr>
          <w:rFonts w:ascii="宋体" w:hAnsi="宋体" w:cs="宋体"/>
          <w:b/>
          <w:bCs/>
          <w:color w:val="000000" w:themeColor="text1"/>
          <w:szCs w:val="21"/>
          <w14:textFill>
            <w14:solidFill>
              <w14:schemeClr w14:val="tx1"/>
            </w14:solidFill>
          </w14:textFill>
        </w:rPr>
        <w:t>2.</w:t>
      </w:r>
      <w:r>
        <w:rPr>
          <w:rFonts w:hint="eastAsia" w:ascii="宋体" w:hAnsi="宋体" w:cs="宋体"/>
          <w:b/>
          <w:bCs/>
          <w:color w:val="000000" w:themeColor="text1"/>
          <w:szCs w:val="21"/>
          <w:lang w:val="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商务及</w:t>
      </w:r>
      <w:r>
        <w:rPr>
          <w:rFonts w:hint="eastAsia" w:ascii="宋体" w:hAnsi="宋体" w:cs="宋体"/>
          <w:b/>
          <w:bCs/>
          <w:color w:val="000000" w:themeColor="text1"/>
          <w:szCs w:val="21"/>
          <w:lang w:val="zh-CN"/>
          <w14:textFill>
            <w14:solidFill>
              <w14:schemeClr w14:val="tx1"/>
            </w14:solidFill>
          </w14:textFill>
        </w:rPr>
        <w:t>技术文件】</w:t>
      </w:r>
    </w:p>
    <w:p>
      <w:pPr>
        <w:spacing w:line="400" w:lineRule="exact"/>
        <w:ind w:firstLine="424"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）企业资质证书、人员、业绩证明材料</w:t>
      </w:r>
      <w:r>
        <w:rPr>
          <w:rFonts w:hint="eastAsia" w:ascii="宋体" w:hAnsi="宋体" w:cs="宋体"/>
          <w:color w:val="000000" w:themeColor="text1"/>
          <w:szCs w:val="21"/>
          <w:lang w:val="zh-CN"/>
          <w14:textFill>
            <w14:solidFill>
              <w14:schemeClr w14:val="tx1"/>
            </w14:solidFill>
          </w14:textFill>
        </w:rPr>
        <w:t>；</w:t>
      </w:r>
    </w:p>
    <w:p>
      <w:pPr>
        <w:pStyle w:val="122"/>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）偏离说明表</w:t>
      </w: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（格式见附件）</w:t>
      </w:r>
    </w:p>
    <w:p>
      <w:pPr>
        <w:pStyle w:val="3"/>
        <w:spacing w:after="0" w:line="40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）项目实施方案</w:t>
      </w:r>
      <w:r>
        <w:rPr>
          <w:rFonts w:hint="eastAsia" w:ascii="宋体" w:hAnsi="宋体" w:cs="宋体"/>
          <w:color w:val="000000" w:themeColor="text1"/>
          <w:szCs w:val="21"/>
          <w:lang w:val="zh-CN"/>
          <w14:textFill>
            <w14:solidFill>
              <w14:schemeClr w14:val="tx1"/>
            </w14:solidFill>
          </w14:textFill>
        </w:rPr>
        <w:t>；</w:t>
      </w:r>
    </w:p>
    <w:p>
      <w:pPr>
        <w:spacing w:line="400" w:lineRule="exact"/>
        <w:ind w:firstLine="424" w:firstLineChars="200"/>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lang w:val="zh-CN"/>
          <w14:textFill>
            <w14:solidFill>
              <w14:schemeClr w14:val="tx1"/>
            </w14:solidFill>
          </w14:textFill>
        </w:rPr>
        <w:t>；</w:t>
      </w:r>
    </w:p>
    <w:p>
      <w:pPr>
        <w:pStyle w:val="38"/>
        <w:spacing w:line="40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lang w:val="en-US"/>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供应商自评表（格式见附件）；</w:t>
      </w:r>
    </w:p>
    <w:p>
      <w:pPr>
        <w:spacing w:line="400" w:lineRule="exact"/>
        <w:ind w:firstLine="424" w:firstLineChars="20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w:t>
      </w:r>
      <w:r>
        <w:rPr>
          <w:rFonts w:ascii="宋体" w:hAnsi="宋体" w:cs="宋体"/>
          <w:color w:val="000000" w:themeColor="text1"/>
          <w:kern w:val="0"/>
          <w:szCs w:val="21"/>
          <w14:textFill>
            <w14:solidFill>
              <w14:schemeClr w14:val="tx1"/>
            </w14:solidFill>
          </w14:textFill>
        </w:rPr>
        <w:t>6</w:t>
      </w:r>
      <w:r>
        <w:rPr>
          <w:rFonts w:hint="eastAsia" w:ascii="宋体" w:hAnsi="宋体" w:cs="宋体"/>
          <w:color w:val="000000" w:themeColor="text1"/>
          <w:kern w:val="0"/>
          <w:szCs w:val="21"/>
          <w:lang w:val="zh-CN"/>
          <w14:textFill>
            <w14:solidFill>
              <w14:schemeClr w14:val="tx1"/>
            </w14:solidFill>
          </w14:textFill>
        </w:rPr>
        <w:t>）认为需要的其他技术文件或说明（可根据评标办法自拟）</w:t>
      </w:r>
      <w:r>
        <w:rPr>
          <w:rFonts w:ascii="宋体" w:hAnsi="宋体" w:cs="宋体"/>
          <w:color w:val="000000" w:themeColor="text1"/>
          <w:kern w:val="0"/>
          <w:szCs w:val="21"/>
          <w:lang w:val="zh-CN"/>
          <w14:textFill>
            <w14:solidFill>
              <w14:schemeClr w14:val="tx1"/>
            </w14:solidFill>
          </w14:textFill>
        </w:rPr>
        <w:t xml:space="preserve"> </w:t>
      </w:r>
    </w:p>
    <w:p>
      <w:pPr>
        <w:tabs>
          <w:tab w:val="left" w:pos="720"/>
          <w:tab w:val="left" w:pos="5355"/>
        </w:tabs>
        <w:spacing w:line="360" w:lineRule="auto"/>
        <w:ind w:firstLine="424"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注：以上资料涉及证书、合同等证明资料的，投标文件中请上传原件扫描件（彩色），以便核查。</w:t>
      </w:r>
    </w:p>
    <w:p>
      <w:pPr>
        <w:autoSpaceDE w:val="0"/>
        <w:autoSpaceDN w:val="0"/>
        <w:adjustRightInd w:val="0"/>
        <w:spacing w:line="400" w:lineRule="exact"/>
        <w:rPr>
          <w:rFonts w:ascii="宋体" w:hAnsi="宋体" w:cs="宋体"/>
          <w:color w:val="000000" w:themeColor="text1"/>
          <w:szCs w:val="21"/>
          <w:lang w:val="zh-CN"/>
          <w14:textFill>
            <w14:solidFill>
              <w14:schemeClr w14:val="tx1"/>
            </w14:solidFill>
          </w14:textFill>
        </w:rPr>
      </w:pPr>
      <w:r>
        <w:rPr>
          <w:rFonts w:ascii="宋体" w:hAnsi="宋体" w:cs="宋体"/>
          <w:b/>
          <w:bCs/>
          <w:color w:val="000000" w:themeColor="text1"/>
          <w:szCs w:val="21"/>
          <w14:textFill>
            <w14:solidFill>
              <w14:schemeClr w14:val="tx1"/>
            </w14:solidFill>
          </w14:textFill>
        </w:rPr>
        <w:t xml:space="preserve">    </w:t>
      </w:r>
      <w:r>
        <w:rPr>
          <w:rFonts w:ascii="宋体" w:hAnsi="宋体" w:cs="宋体"/>
          <w:b/>
          <w:bCs/>
          <w:color w:val="000000" w:themeColor="text1"/>
          <w:szCs w:val="21"/>
          <w:lang w:val="zh-CN"/>
          <w14:textFill>
            <w14:solidFill>
              <w14:schemeClr w14:val="tx1"/>
            </w14:solidFill>
          </w14:textFill>
        </w:rPr>
        <w:t>3</w:t>
      </w:r>
      <w:r>
        <w:rPr>
          <w:rFonts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lang w:val="zh-CN"/>
          <w14:textFill>
            <w14:solidFill>
              <w14:schemeClr w14:val="tx1"/>
            </w14:solidFill>
          </w14:textFill>
        </w:rPr>
        <w:t>【报价文件】</w:t>
      </w:r>
    </w:p>
    <w:p>
      <w:pPr>
        <w:autoSpaceDE w:val="0"/>
        <w:autoSpaceDN w:val="0"/>
        <w:adjustRightInd w:val="0"/>
        <w:spacing w:line="440" w:lineRule="exact"/>
        <w:ind w:firstLine="424" w:firstLineChars="200"/>
        <w:rPr>
          <w:rFonts w:ascii="宋体" w:hAnsi="宋体" w:cs="宋体"/>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w:t>
      </w:r>
      <w:r>
        <w:rPr>
          <w:rFonts w:ascii="宋体" w:hAnsi="宋体" w:cs="宋体"/>
          <w:bCs/>
          <w:color w:val="000000" w:themeColor="text1"/>
          <w:szCs w:val="21"/>
          <w:lang w:val="zh-CN"/>
          <w14:textFill>
            <w14:solidFill>
              <w14:schemeClr w14:val="tx1"/>
            </w14:solidFill>
          </w14:textFill>
        </w:rPr>
        <w:t>1</w:t>
      </w:r>
      <w:r>
        <w:rPr>
          <w:rFonts w:hint="eastAsia" w:ascii="宋体" w:hAnsi="宋体" w:cs="宋体"/>
          <w:bCs/>
          <w:color w:val="000000" w:themeColor="text1"/>
          <w:szCs w:val="21"/>
          <w:lang w:val="zh-CN"/>
          <w14:textFill>
            <w14:solidFill>
              <w14:schemeClr w14:val="tx1"/>
            </w14:solidFill>
          </w14:textFill>
        </w:rPr>
        <w:t>）</w:t>
      </w:r>
      <w:r>
        <w:rPr>
          <w:rFonts w:hint="eastAsia" w:ascii="宋体" w:hAnsi="宋体" w:cs="宋体"/>
          <w:color w:val="000000" w:themeColor="text1"/>
          <w:szCs w:val="21"/>
          <w:lang w:val="zh-CN"/>
          <w14:textFill>
            <w14:solidFill>
              <w14:schemeClr w14:val="tx1"/>
            </w14:solidFill>
          </w14:textFill>
        </w:rPr>
        <w:t>投标函</w:t>
      </w:r>
      <w:r>
        <w:rPr>
          <w:rFonts w:hint="eastAsia" w:ascii="宋体" w:hAnsi="宋体" w:cs="宋体"/>
          <w:color w:val="000000" w:themeColor="text1"/>
          <w:szCs w:val="21"/>
          <w14:textFill>
            <w14:solidFill>
              <w14:schemeClr w14:val="tx1"/>
            </w14:solidFill>
          </w14:textFill>
        </w:rPr>
        <w:t>（格式见附件）</w:t>
      </w:r>
      <w:r>
        <w:rPr>
          <w:rFonts w:hint="eastAsia" w:ascii="宋体" w:hAnsi="宋体" w:cs="宋体"/>
          <w:color w:val="000000" w:themeColor="text1"/>
          <w:szCs w:val="21"/>
          <w:lang w:val="zh-CN"/>
          <w14:textFill>
            <w14:solidFill>
              <w14:schemeClr w14:val="tx1"/>
            </w14:solidFill>
          </w14:textFill>
        </w:rPr>
        <w:t>；</w:t>
      </w:r>
    </w:p>
    <w:p>
      <w:pPr>
        <w:autoSpaceDE w:val="0"/>
        <w:autoSpaceDN w:val="0"/>
        <w:adjustRightInd w:val="0"/>
        <w:spacing w:line="440" w:lineRule="exact"/>
        <w:ind w:firstLine="424" w:firstLineChars="200"/>
        <w:rPr>
          <w:rFonts w:ascii="宋体" w:hAnsi="宋体" w:cs="宋体"/>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w:t>
      </w:r>
      <w:r>
        <w:rPr>
          <w:rFonts w:ascii="宋体" w:hAnsi="宋体" w:cs="宋体"/>
          <w:bCs/>
          <w:color w:val="000000" w:themeColor="text1"/>
          <w:szCs w:val="21"/>
          <w:lang w:val="zh-CN"/>
          <w14:textFill>
            <w14:solidFill>
              <w14:schemeClr w14:val="tx1"/>
            </w14:solidFill>
          </w14:textFill>
        </w:rPr>
        <w:t>2</w:t>
      </w:r>
      <w:r>
        <w:rPr>
          <w:rFonts w:hint="eastAsia" w:ascii="宋体" w:hAnsi="宋体" w:cs="宋体"/>
          <w:bCs/>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开标</w:t>
      </w:r>
      <w:r>
        <w:rPr>
          <w:rFonts w:hint="eastAsia" w:ascii="宋体" w:hAnsi="宋体" w:cs="宋体"/>
          <w:color w:val="000000" w:themeColor="text1"/>
          <w:szCs w:val="21"/>
          <w:lang w:val="zh-CN"/>
          <w14:textFill>
            <w14:solidFill>
              <w14:schemeClr w14:val="tx1"/>
            </w14:solidFill>
          </w14:textFill>
        </w:rPr>
        <w:t>一览表</w:t>
      </w:r>
      <w:r>
        <w:rPr>
          <w:rFonts w:hint="eastAsia" w:ascii="宋体" w:hAnsi="宋体" w:cs="宋体"/>
          <w:color w:val="000000" w:themeColor="text1"/>
          <w:szCs w:val="21"/>
          <w14:textFill>
            <w14:solidFill>
              <w14:schemeClr w14:val="tx1"/>
            </w14:solidFill>
          </w14:textFill>
        </w:rPr>
        <w:t>（格式见附件）</w:t>
      </w:r>
      <w:r>
        <w:rPr>
          <w:rFonts w:hint="eastAsia" w:ascii="宋体" w:hAnsi="宋体" w:cs="宋体"/>
          <w:color w:val="000000" w:themeColor="text1"/>
          <w:szCs w:val="21"/>
          <w:lang w:val="zh-CN"/>
          <w14:textFill>
            <w14:solidFill>
              <w14:schemeClr w14:val="tx1"/>
            </w14:solidFill>
          </w14:textFill>
        </w:rPr>
        <w:t>；</w:t>
      </w:r>
    </w:p>
    <w:p>
      <w:pPr>
        <w:autoSpaceDE w:val="0"/>
        <w:autoSpaceDN w:val="0"/>
        <w:adjustRightInd w:val="0"/>
        <w:spacing w:line="440" w:lineRule="exact"/>
        <w:ind w:firstLine="424" w:firstLineChars="200"/>
        <w:rPr>
          <w:rFonts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w:t>
      </w:r>
      <w:r>
        <w:rPr>
          <w:rFonts w:ascii="宋体" w:hAnsi="宋体" w:cs="宋体"/>
          <w:color w:val="000000" w:themeColor="text1"/>
          <w:szCs w:val="21"/>
          <w:lang w:val="zh-CN"/>
          <w14:textFill>
            <w14:solidFill>
              <w14:schemeClr w14:val="tx1"/>
            </w14:solidFill>
          </w14:textFill>
        </w:rPr>
        <w:t>3</w:t>
      </w:r>
      <w:r>
        <w:rPr>
          <w:rFonts w:hint="eastAsia" w:ascii="宋体" w:hAnsi="宋体" w:cs="宋体"/>
          <w:color w:val="000000" w:themeColor="text1"/>
          <w:szCs w:val="21"/>
          <w:lang w:val="zh-CN"/>
          <w14:textFill>
            <w14:solidFill>
              <w14:schemeClr w14:val="tx1"/>
            </w14:solidFill>
          </w14:textFill>
        </w:rPr>
        <w:t>）报价明细表</w:t>
      </w:r>
      <w:r>
        <w:rPr>
          <w:rFonts w:hint="eastAsia" w:ascii="宋体" w:hAnsi="宋体" w:cs="宋体"/>
          <w:color w:val="000000" w:themeColor="text1"/>
          <w:szCs w:val="21"/>
          <w14:textFill>
            <w14:solidFill>
              <w14:schemeClr w14:val="tx1"/>
            </w14:solidFill>
          </w14:textFill>
        </w:rPr>
        <w:t>（格式见附件）</w:t>
      </w:r>
      <w:r>
        <w:rPr>
          <w:rFonts w:hint="eastAsia" w:ascii="宋体" w:hAnsi="宋体" w:cs="宋体"/>
          <w:color w:val="000000" w:themeColor="text1"/>
          <w:szCs w:val="21"/>
          <w:lang w:val="zh-CN"/>
          <w14:textFill>
            <w14:solidFill>
              <w14:schemeClr w14:val="tx1"/>
            </w14:solidFill>
          </w14:textFill>
        </w:rPr>
        <w:t>；</w:t>
      </w:r>
    </w:p>
    <w:p>
      <w:pPr>
        <w:spacing w:line="440" w:lineRule="exact"/>
        <w:ind w:firstLine="424" w:firstLineChars="200"/>
        <w:rPr>
          <w:rFonts w:ascii="宋体" w:hAnsi="宋体" w:cs="宋体"/>
          <w:color w:val="000000" w:themeColor="text1"/>
          <w:szCs w:val="21"/>
          <w:lang w:val="zh-CN"/>
          <w14:textFill>
            <w14:solidFill>
              <w14:schemeClr w14:val="tx1"/>
            </w14:solidFill>
          </w14:textFill>
        </w:rPr>
      </w:pPr>
      <w:r>
        <w:fldChar w:fldCharType="begin"/>
      </w:r>
      <w:r>
        <w:instrText xml:space="preserve"> HYPERLINK \l "_Toc476230529" </w:instrText>
      </w:r>
      <w:r>
        <w:fldChar w:fldCharType="separate"/>
      </w:r>
      <w:r>
        <w:rPr>
          <w:rFonts w:hint="eastAsia" w:ascii="宋体" w:hAnsi="宋体" w:cs="宋体"/>
          <w:color w:val="000000" w:themeColor="text1"/>
          <w:szCs w:val="21"/>
          <w:lang w:val="zh-CN"/>
          <w14:textFill>
            <w14:solidFill>
              <w14:schemeClr w14:val="tx1"/>
            </w14:solidFill>
          </w14:textFill>
        </w:rPr>
        <w:t>（</w:t>
      </w:r>
      <w:r>
        <w:rPr>
          <w:rFonts w:ascii="宋体" w:hAnsi="宋体" w:cs="宋体"/>
          <w:color w:val="000000" w:themeColor="text1"/>
          <w:szCs w:val="21"/>
          <w:lang w:val="zh-CN"/>
          <w14:textFill>
            <w14:solidFill>
              <w14:schemeClr w14:val="tx1"/>
            </w14:solidFill>
          </w14:textFill>
        </w:rPr>
        <w:t>4</w:t>
      </w: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享受小微企业（含监狱企业、残疾人福利性企业）价格扶持政策的证明材料（</w:t>
      </w:r>
      <w:r>
        <w:rPr>
          <w:rFonts w:hint="eastAsia" w:ascii="宋体" w:hAnsi="宋体" w:cs="宋体"/>
          <w:b/>
          <w:bCs/>
          <w:color w:val="000000" w:themeColor="text1"/>
          <w:szCs w:val="21"/>
          <w14:textFill>
            <w14:solidFill>
              <w14:schemeClr w14:val="tx1"/>
            </w14:solidFill>
          </w14:textFill>
        </w:rPr>
        <w:t>详见“</w:t>
      </w:r>
      <w:r>
        <w:rPr>
          <w:rFonts w:hint="eastAsia"/>
          <w:b/>
          <w:bCs/>
          <w:color w:val="000000" w:themeColor="text1"/>
          <w14:textFill>
            <w14:solidFill>
              <w14:schemeClr w14:val="tx1"/>
            </w14:solidFill>
          </w14:textFill>
        </w:rPr>
        <w:t>政府采购扶持政策说明”</w:t>
      </w:r>
      <w:r>
        <w:rPr>
          <w:rFonts w:hint="eastAsia" w:ascii="宋体" w:hAnsi="宋体" w:cs="宋体"/>
          <w:b/>
          <w:bCs/>
          <w:color w:val="000000" w:themeColor="text1"/>
          <w:szCs w:val="21"/>
          <w14:textFill>
            <w14:solidFill>
              <w14:schemeClr w14:val="tx1"/>
            </w14:solidFill>
          </w14:textFill>
        </w:rPr>
        <w:t>，非小微企业、监狱企业、残疾人福利性企业的，无需提供</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lang w:val="zh-CN"/>
          <w14:textFill>
            <w14:solidFill>
              <w14:schemeClr w14:val="tx1"/>
            </w14:solidFill>
          </w14:textFill>
        </w:rPr>
        <w:t>；</w:t>
      </w:r>
    </w:p>
    <w:p>
      <w:pPr>
        <w:tabs>
          <w:tab w:val="left" w:pos="720"/>
          <w:tab w:val="left" w:pos="5355"/>
        </w:tabs>
        <w:spacing w:line="440" w:lineRule="exact"/>
        <w:ind w:firstLine="424" w:firstLineChars="200"/>
        <w:rPr>
          <w:color w:val="000000" w:themeColor="text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投标人针对报价需要说明的其他文件和资料（格式自拟）。</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（二）投标文件的语言及计量</w:t>
      </w:r>
    </w:p>
    <w:p>
      <w:pPr>
        <w:snapToGrid w:val="0"/>
        <w:spacing w:line="400" w:lineRule="exact"/>
        <w:ind w:firstLine="424"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1.投标文件以及投标方与招标方就有关投标事宜的所有来往函电，均应以中文汉语书写。除签名、盖章、专用名称等特殊情形外，以中文汉语以外的文字表述的投标文件视同未提供。</w:t>
      </w:r>
    </w:p>
    <w:p>
      <w:pPr>
        <w:snapToGrid w:val="0"/>
        <w:spacing w:line="400" w:lineRule="exact"/>
        <w:ind w:firstLine="424" w:firstLineChars="200"/>
        <w:jc w:val="left"/>
        <w:rPr>
          <w:color w:val="000000" w:themeColor="text1"/>
          <w:lang w:val="zh-CN"/>
          <w14:textFill>
            <w14:solidFill>
              <w14:schemeClr w14:val="tx1"/>
            </w14:solidFill>
          </w14:textFill>
        </w:rPr>
      </w:pPr>
      <w:r>
        <w:rPr>
          <w:rFonts w:ascii="宋体" w:hAnsi="宋体"/>
          <w:color w:val="000000" w:themeColor="text1"/>
          <w:szCs w:val="21"/>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（三）投标报价</w:t>
      </w:r>
    </w:p>
    <w:p>
      <w:pPr>
        <w:spacing w:line="40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本项目投标报价不得高于最高限价，否则作无效标处理。</w:t>
      </w:r>
    </w:p>
    <w:p>
      <w:pPr>
        <w:spacing w:line="40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本项目的投标报价应以人民币报价。</w:t>
      </w:r>
    </w:p>
    <w:p>
      <w:pPr>
        <w:spacing w:line="400" w:lineRule="exact"/>
        <w:ind w:firstLine="318"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cs="宋体"/>
          <w:color w:val="000000" w:themeColor="text1"/>
          <w14:textFill>
            <w14:solidFill>
              <w14:schemeClr w14:val="tx1"/>
            </w14:solidFill>
          </w14:textFill>
        </w:rPr>
        <w:t>3.</w:t>
      </w:r>
      <w:r>
        <w:rPr>
          <w:rFonts w:hint="eastAsia" w:ascii="宋体" w:cs="宋体"/>
          <w:color w:val="000000" w:themeColor="text1"/>
          <w14:textFill>
            <w14:solidFill>
              <w14:schemeClr w14:val="tx1"/>
            </w14:solidFill>
          </w14:textFill>
        </w:rPr>
        <w:t>投标报价是履行合同的最终价格，包括合同实施过程中的所有风险责任等各项费用及不可预见费等所需的全部费用，应当由投标人承担。如有漏项，视同已包含在其总项目中，合同总价不做调整。</w:t>
      </w:r>
    </w:p>
    <w:p>
      <w:pPr>
        <w:spacing w:line="400" w:lineRule="exact"/>
        <w:ind w:firstLine="318" w:firstLineChars="15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投标人所报的报价在合同执行过程中是固定不变的，不得以任何理由予以变更。任何包含价格调整的要求，将被认为是非实质性响应而予以拒绝。</w:t>
      </w:r>
    </w:p>
    <w:p>
      <w:pPr>
        <w:spacing w:line="400" w:lineRule="exact"/>
        <w:ind w:firstLine="318" w:firstLineChars="15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5.</w:t>
      </w:r>
      <w:r>
        <w:rPr>
          <w:rFonts w:hint="eastAsia" w:ascii="宋体" w:hAnsi="宋体" w:cs="宋体"/>
          <w:color w:val="000000" w:themeColor="text1"/>
          <w:szCs w:val="21"/>
          <w14:textFill>
            <w14:solidFill>
              <w14:schemeClr w14:val="tx1"/>
            </w14:solidFill>
          </w14:textFill>
        </w:rPr>
        <w:t>采购人不接受任何选择报价，按招标文件要求，每个分项只允许一个报价。</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（四）投标文件的有效期</w:t>
      </w:r>
    </w:p>
    <w:p>
      <w:pPr>
        <w:spacing w:line="440" w:lineRule="exact"/>
        <w:ind w:firstLine="212" w:firstLineChars="1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1.</w:t>
      </w:r>
      <w:r>
        <w:rPr>
          <w:rFonts w:hint="eastAsia" w:ascii="宋体" w:hAnsi="宋体" w:cs="宋体"/>
          <w:color w:val="000000" w:themeColor="text1"/>
          <w:szCs w:val="21"/>
          <w14:textFill>
            <w14:solidFill>
              <w14:schemeClr w14:val="tx1"/>
            </w14:solidFill>
          </w14:textFill>
        </w:rPr>
        <w:t>自投标截止日起</w:t>
      </w:r>
      <w:r>
        <w:rPr>
          <w:rFonts w:ascii="宋体" w:hAnsi="宋体" w:cs="宋体"/>
          <w:color w:val="000000" w:themeColor="text1"/>
          <w:szCs w:val="21"/>
          <w:u w:val="single"/>
          <w14:textFill>
            <w14:solidFill>
              <w14:schemeClr w14:val="tx1"/>
            </w14:solidFill>
          </w14:textFill>
        </w:rPr>
        <w:t xml:space="preserve"> 90 </w:t>
      </w:r>
      <w:r>
        <w:rPr>
          <w:rFonts w:hint="eastAsia" w:ascii="宋体" w:hAnsi="宋体" w:cs="宋体"/>
          <w:color w:val="000000" w:themeColor="text1"/>
          <w:szCs w:val="21"/>
          <w14:textFill>
            <w14:solidFill>
              <w14:schemeClr w14:val="tx1"/>
            </w14:solidFill>
          </w14:textFill>
        </w:rPr>
        <w:t>天投标文件应保持有效。有效期不足的投标文件将被拒绝。</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在特殊情况下，采购人可与投标人协商延长投标文件的有效期，这种要求和答复均以书面形式进行。</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（五）投标保证金</w:t>
      </w:r>
    </w:p>
    <w:p>
      <w:pPr>
        <w:pStyle w:val="35"/>
        <w:spacing w:before="0" w:beforeAutospacing="0" w:after="0" w:afterAutospacing="0" w:line="420" w:lineRule="exact"/>
        <w:ind w:firstLine="424" w:firstLineChars="20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1.</w:t>
      </w:r>
      <w:r>
        <w:rPr>
          <w:rFonts w:hint="eastAsia" w:cs="宋体"/>
          <w:color w:val="000000" w:themeColor="text1"/>
          <w:sz w:val="21"/>
          <w:szCs w:val="21"/>
          <w14:textFill>
            <w14:solidFill>
              <w14:schemeClr w14:val="tx1"/>
            </w14:solidFill>
          </w14:textFill>
        </w:rPr>
        <w:t>根据《浙江省财政厅关于明确政府采购保证金管理工作的通知》（浙财采监〔</w:t>
      </w:r>
      <w:r>
        <w:rPr>
          <w:rFonts w:cs="宋体"/>
          <w:color w:val="000000" w:themeColor="text1"/>
          <w:sz w:val="21"/>
          <w:szCs w:val="21"/>
          <w14:textFill>
            <w14:solidFill>
              <w14:schemeClr w14:val="tx1"/>
            </w14:solidFill>
          </w14:textFill>
        </w:rPr>
        <w:t>2019</w:t>
      </w:r>
      <w:r>
        <w:rPr>
          <w:rFonts w:hint="eastAsia" w:cs="宋体"/>
          <w:color w:val="000000" w:themeColor="text1"/>
          <w:sz w:val="21"/>
          <w:szCs w:val="21"/>
          <w14:textFill>
            <w14:solidFill>
              <w14:schemeClr w14:val="tx1"/>
            </w14:solidFill>
          </w14:textFill>
        </w:rPr>
        <w:t>〕</w:t>
      </w:r>
      <w:r>
        <w:rPr>
          <w:rFonts w:cs="宋体"/>
          <w:color w:val="000000" w:themeColor="text1"/>
          <w:sz w:val="21"/>
          <w:szCs w:val="21"/>
          <w14:textFill>
            <w14:solidFill>
              <w14:schemeClr w14:val="tx1"/>
            </w14:solidFill>
          </w14:textFill>
        </w:rPr>
        <w:t>5</w:t>
      </w:r>
      <w:r>
        <w:rPr>
          <w:rFonts w:hint="eastAsia" w:cs="宋体"/>
          <w:color w:val="000000" w:themeColor="text1"/>
          <w:sz w:val="21"/>
          <w:szCs w:val="21"/>
          <w14:textFill>
            <w14:solidFill>
              <w14:schemeClr w14:val="tx1"/>
            </w14:solidFill>
          </w14:textFill>
        </w:rPr>
        <w:t>号）规定，本项目无需缴纳投标保证金。</w:t>
      </w:r>
    </w:p>
    <w:p>
      <w:pPr>
        <w:spacing w:line="42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投标人在投标有效期内撤回投标文件或者中标人在法定期限内无正当理由不与采购单位签订合同的，应当按照本项目采购预算价</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的标准承担因此给采购单位造成的损失的赔偿责任及相应的法律责任。　</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（六）投标文件的签署和份数</w:t>
      </w:r>
    </w:p>
    <w:p>
      <w:pPr>
        <w:spacing w:line="42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《投标文件》的签章：见《投标须知前附表》。</w:t>
      </w:r>
    </w:p>
    <w:p>
      <w:pPr>
        <w:spacing w:line="42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、《投标文件》应由投标供应商法定代表人或其授权代表签字（或盖章），并加盖投标供应商公章。</w:t>
      </w:r>
      <w:r>
        <w:rPr>
          <w:rFonts w:hint="eastAsia" w:ascii="宋体" w:hAnsi="宋体" w:cs="宋体"/>
          <w:b/>
          <w:bCs/>
          <w:color w:val="000000" w:themeColor="text1"/>
          <w:szCs w:val="21"/>
          <w14:textFill>
            <w14:solidFill>
              <w14:schemeClr w14:val="tx1"/>
            </w14:solidFill>
          </w14:textFill>
        </w:rPr>
        <w:t>联合体投标的，投标文件除联合体协议书须联合体双方盖章外，其余招标文件要求投标人盖章处只需联合体的牵头方盖章</w:t>
      </w:r>
      <w:r>
        <w:rPr>
          <w:rFonts w:hint="eastAsia" w:ascii="宋体" w:hAnsi="宋体" w:cs="宋体"/>
          <w:color w:val="000000" w:themeColor="text1"/>
          <w:szCs w:val="21"/>
          <w14:textFill>
            <w14:solidFill>
              <w14:schemeClr w14:val="tx1"/>
            </w14:solidFill>
          </w14:textFill>
        </w:rPr>
        <w:t>。</w:t>
      </w:r>
    </w:p>
    <w:p>
      <w:pPr>
        <w:spacing w:line="42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、电子签章操作指南详见</w:t>
      </w:r>
      <w:r>
        <w:rPr>
          <w:rFonts w:hint="eastAsia" w:ascii="宋体" w:hAnsi="宋体" w:cs="宋体"/>
          <w:b/>
          <w:color w:val="000000" w:themeColor="text1"/>
          <w:szCs w:val="21"/>
          <w:lang w:bidi="ar"/>
          <w14:textFill>
            <w14:solidFill>
              <w14:schemeClr w14:val="tx1"/>
            </w14:solidFill>
          </w14:textFill>
        </w:rPr>
        <w:t>“政采云投标人项目采购</w:t>
      </w:r>
      <w:r>
        <w:rPr>
          <w:rFonts w:ascii="宋体" w:hAnsi="宋体" w:cs="宋体"/>
          <w:b/>
          <w:color w:val="000000" w:themeColor="text1"/>
          <w:szCs w:val="21"/>
          <w:lang w:bidi="ar"/>
          <w14:textFill>
            <w14:solidFill>
              <w14:schemeClr w14:val="tx1"/>
            </w14:solidFill>
          </w14:textFill>
        </w:rPr>
        <w:t>-</w:t>
      </w:r>
      <w:r>
        <w:rPr>
          <w:rFonts w:hint="eastAsia" w:ascii="宋体" w:hAnsi="宋体" w:cs="宋体"/>
          <w:b/>
          <w:color w:val="000000" w:themeColor="text1"/>
          <w:szCs w:val="21"/>
          <w:lang w:bidi="ar"/>
          <w14:textFill>
            <w14:solidFill>
              <w14:schemeClr w14:val="tx1"/>
            </w14:solidFill>
          </w14:textFill>
        </w:rPr>
        <w:t>电子招投标操作指南”</w:t>
      </w:r>
      <w:r>
        <w:rPr>
          <w:rFonts w:hint="eastAsia" w:ascii="宋体" w:hAnsi="宋体" w:cs="宋体"/>
          <w:color w:val="000000" w:themeColor="text1"/>
          <w:szCs w:val="21"/>
          <w14:textFill>
            <w14:solidFill>
              <w14:schemeClr w14:val="tx1"/>
            </w14:solidFill>
          </w14:textFill>
        </w:rPr>
        <w:t>。</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（七）投标文件的格式和顺序</w:t>
      </w:r>
    </w:p>
    <w:p>
      <w:pPr>
        <w:adjustRightInd w:val="0"/>
        <w:snapToGrid w:val="0"/>
        <w:spacing w:line="440" w:lineRule="exact"/>
        <w:ind w:firstLine="424" w:firstLineChars="200"/>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lang w:bidi="ar"/>
          <w14:textFill>
            <w14:solidFill>
              <w14:schemeClr w14:val="tx1"/>
            </w14:solidFill>
          </w14:textFill>
        </w:rPr>
        <w:t>1.</w:t>
      </w:r>
      <w:r>
        <w:rPr>
          <w:rFonts w:hint="eastAsia" w:ascii="宋体" w:hAnsi="宋体" w:cs="宋体"/>
          <w:b/>
          <w:color w:val="000000" w:themeColor="text1"/>
          <w:szCs w:val="21"/>
          <w:lang w:bidi="ar"/>
          <w14:textFill>
            <w14:solidFill>
              <w14:schemeClr w14:val="tx1"/>
            </w14:solidFill>
          </w14:textFill>
        </w:rPr>
        <w:t>投标人应根据“政采云投标人项目采购</w:t>
      </w:r>
      <w:r>
        <w:rPr>
          <w:rFonts w:ascii="宋体" w:hAnsi="宋体" w:cs="宋体"/>
          <w:b/>
          <w:color w:val="000000" w:themeColor="text1"/>
          <w:szCs w:val="21"/>
          <w:lang w:bidi="ar"/>
          <w14:textFill>
            <w14:solidFill>
              <w14:schemeClr w14:val="tx1"/>
            </w14:solidFill>
          </w14:textFill>
        </w:rPr>
        <w:t>-</w:t>
      </w:r>
      <w:r>
        <w:rPr>
          <w:rFonts w:hint="eastAsia" w:ascii="宋体" w:hAnsi="宋体" w:cs="宋体"/>
          <w:b/>
          <w:color w:val="000000" w:themeColor="text1"/>
          <w:szCs w:val="21"/>
          <w:lang w:bidi="ar"/>
          <w14:textFill>
            <w14:solidFill>
              <w14:schemeClr w14:val="tx1"/>
            </w14:solidFill>
          </w14:textFill>
        </w:rPr>
        <w:t>电子招投标操作指南”及本招标文件规定的格式和顺序编制电子投标文件并进行关联定位。</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（八）出现以下情形，导致电子交易平台无法正常运行，或者无法保证电子交易的公平、公正和安全时，中止电子交易活动：</w:t>
      </w:r>
    </w:p>
    <w:p>
      <w:pPr>
        <w:spacing w:line="440" w:lineRule="exact"/>
        <w:ind w:firstLine="424" w:firstLineChars="20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电子交易平台发生故障而无法登录访问的；</w:t>
      </w:r>
    </w:p>
    <w:p>
      <w:pPr>
        <w:spacing w:line="440" w:lineRule="exact"/>
        <w:ind w:firstLine="424" w:firstLineChars="20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电子交易平台应用或数据库出现错误，不能进行正常操作的；</w:t>
      </w:r>
    </w:p>
    <w:p>
      <w:pPr>
        <w:spacing w:line="440" w:lineRule="exact"/>
        <w:ind w:firstLine="424" w:firstLineChars="20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电子交易平台发现严重安全漏洞，有潜在泄密危险的；</w:t>
      </w:r>
    </w:p>
    <w:p>
      <w:pPr>
        <w:spacing w:line="440" w:lineRule="exact"/>
        <w:ind w:firstLine="424" w:firstLineChars="20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病毒发作导致不能进行正常操作的；</w:t>
      </w:r>
    </w:p>
    <w:p>
      <w:pPr>
        <w:spacing w:line="440" w:lineRule="exact"/>
        <w:ind w:firstLine="424" w:firstLineChars="20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其他无法保证电子交易的公平、公正和安全的情况。</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出现前款规定情形，不影响采购公平、公正性的，采购代理机构可以待上述情形消除后继续组织电子交易活动；影响或可能影响采购公平、公正性的，重新采购。</w:t>
      </w:r>
    </w:p>
    <w:p>
      <w:pPr>
        <w:pStyle w:val="7"/>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四、投标</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Ansi="宋体" w:cs="宋体"/>
          <w:b/>
          <w:bCs/>
          <w:color w:val="000000" w:themeColor="text1"/>
          <w:szCs w:val="21"/>
          <w14:textFill>
            <w14:solidFill>
              <w14:schemeClr w14:val="tx1"/>
            </w14:solidFill>
          </w14:textFill>
        </w:rPr>
        <w:t>(</w:t>
      </w:r>
      <w:r>
        <w:rPr>
          <w:rFonts w:hint="eastAsia" w:hAnsi="宋体" w:cs="宋体"/>
          <w:b/>
          <w:bCs/>
          <w:color w:val="000000" w:themeColor="text1"/>
          <w:szCs w:val="21"/>
          <w14:textFill>
            <w14:solidFill>
              <w14:schemeClr w14:val="tx1"/>
            </w14:solidFill>
          </w14:textFill>
        </w:rPr>
        <w:t>一</w:t>
      </w:r>
      <w:r>
        <w:rPr>
          <w:rFonts w:hAnsi="宋体" w:cs="宋体"/>
          <w:b/>
          <w:bCs/>
          <w:color w:val="000000" w:themeColor="text1"/>
          <w:szCs w:val="21"/>
          <w14:textFill>
            <w14:solidFill>
              <w14:schemeClr w14:val="tx1"/>
            </w14:solidFill>
          </w14:textFill>
        </w:rPr>
        <w:t>)</w:t>
      </w:r>
      <w:r>
        <w:rPr>
          <w:rFonts w:hint="eastAsia" w:hAnsi="宋体" w:cs="宋体"/>
          <w:b/>
          <w:bCs/>
          <w:color w:val="000000" w:themeColor="text1"/>
          <w:szCs w:val="21"/>
          <w14:textFill>
            <w14:solidFill>
              <w14:schemeClr w14:val="tx1"/>
            </w14:solidFill>
          </w14:textFill>
        </w:rPr>
        <w:t>投标文件的递交</w:t>
      </w:r>
    </w:p>
    <w:p>
      <w:pPr>
        <w:pStyle w:val="17"/>
        <w:spacing w:line="400" w:lineRule="exact"/>
        <w:ind w:firstLine="424"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投标人应当在投标截止时间前完成响应文件的传输递交，投标截止时间前可以补充、修改或者撤回响应文件。补充或者修改响应文件的，应当先行撤回原文件，补充、修改后重新传输递交。投标截止时间前未完成传输的，视为撤回响应文件。</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（二）投标文件递交的截止时间</w:t>
      </w:r>
    </w:p>
    <w:p>
      <w:pPr>
        <w:pStyle w:val="17"/>
        <w:spacing w:line="400" w:lineRule="exact"/>
        <w:ind w:left="420" w:hanging="42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z w:val="21"/>
          <w:szCs w:val="21"/>
          <w:lang w:val="en-US"/>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投标文件的截止时间见招标文件投标须知前附表的规定。</w:t>
      </w:r>
    </w:p>
    <w:p>
      <w:pPr>
        <w:pStyle w:val="17"/>
        <w:spacing w:line="400" w:lineRule="exact"/>
        <w:ind w:firstLine="424" w:firstLineChars="20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val="en-US"/>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采购人、采购代理机构可按本招标文件规定以修改补充通知的方式，酌情延长提交投标文件的截止时间。在此情况下，投标人的所有权利和义务以及投标人受制约的截止时间，均以延长后新的投标截止时间为准。</w:t>
      </w:r>
    </w:p>
    <w:p>
      <w:pPr>
        <w:pStyle w:val="17"/>
        <w:spacing w:line="400" w:lineRule="exact"/>
        <w:ind w:left="420" w:hanging="42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z w:val="21"/>
          <w:szCs w:val="21"/>
          <w:lang w:val="en-US"/>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投标人在投标截止时间以后递交的投标文件将被拒绝接受。</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（三）投标文件的补充、修改与撤回</w:t>
      </w:r>
    </w:p>
    <w:p>
      <w:pPr>
        <w:pStyle w:val="17"/>
        <w:spacing w:line="400" w:lineRule="exact"/>
        <w:ind w:firstLine="424" w:firstLineChars="20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．投标人在提交投标文件以后，在规定的投标截止时间之前，可以补充修改或撤回已提交的投标文件：</w:t>
      </w:r>
    </w:p>
    <w:p>
      <w:pPr>
        <w:pStyle w:val="17"/>
        <w:autoSpaceDE/>
        <w:autoSpaceDN/>
        <w:adjustRightInd/>
        <w:spacing w:line="400" w:lineRule="exact"/>
        <w:ind w:firstLine="424" w:firstLineChars="200"/>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递交响应文件截止时间之前补充或者修改响应文件的，应当先行撤回原文件，补充、修改后重新传输递交；</w:t>
      </w:r>
    </w:p>
    <w:p>
      <w:pPr>
        <w:pStyle w:val="17"/>
        <w:spacing w:line="400" w:lineRule="exact"/>
        <w:ind w:firstLine="530" w:firstLineChars="25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．在投标截止时间之后，投标人不得补充、修改投标文件。</w:t>
      </w:r>
    </w:p>
    <w:p>
      <w:pPr>
        <w:pStyle w:val="17"/>
        <w:spacing w:line="400" w:lineRule="exact"/>
        <w:ind w:firstLine="530" w:firstLineChars="25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lang w:val="en-US"/>
          <w14:textFill>
            <w14:solidFill>
              <w14:schemeClr w14:val="tx1"/>
            </w14:solidFill>
          </w14:textFill>
        </w:rPr>
        <w:t>3</w:t>
      </w:r>
      <w:r>
        <w:rPr>
          <w:rFonts w:hint="eastAsia" w:ascii="宋体" w:hAnsi="宋体" w:eastAsia="宋体" w:cs="宋体"/>
          <w:color w:val="000000" w:themeColor="text1"/>
          <w:sz w:val="21"/>
          <w:szCs w:val="21"/>
          <w:lang w:val="en-US"/>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根据招标文件规定，在投标截止时间之后至投标人在投标声明书中规定的投标有效期满之前的这段时间内，投标人不得撤回其投标文件，否则应当按照本项目采购预算价</w:t>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的标准承担因此给采购单位造成的损失的赔偿责任及相应的法律责任。</w:t>
      </w:r>
    </w:p>
    <w:p>
      <w:pPr>
        <w:spacing w:line="400" w:lineRule="exact"/>
        <w:rPr>
          <w:rFonts w:ascii="宋体" w:hAnsi="宋体" w:cs="宋体"/>
          <w:b/>
          <w:color w:val="000000" w:themeColor="text1"/>
          <w:sz w:val="28"/>
          <w:szCs w:val="28"/>
          <w14:textFill>
            <w14:solidFill>
              <w14:schemeClr w14:val="tx1"/>
            </w14:solidFill>
          </w14:textFill>
        </w:rPr>
      </w:pPr>
    </w:p>
    <w:p>
      <w:pPr>
        <w:pStyle w:val="7"/>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五、开标</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（一）开标准备</w:t>
      </w:r>
    </w:p>
    <w:p>
      <w:pPr>
        <w:snapToGrid w:val="0"/>
        <w:spacing w:line="400" w:lineRule="exact"/>
        <w:ind w:firstLine="424" w:firstLineChars="200"/>
        <w:jc w:val="left"/>
        <w:rPr>
          <w:rFonts w:ascii="宋体" w:hAnsi="宋体" w:cs="Arial"/>
          <w:b/>
          <w:color w:val="000000" w:themeColor="text1"/>
          <w:kern w:val="0"/>
          <w:szCs w:val="21"/>
          <w14:textFill>
            <w14:solidFill>
              <w14:schemeClr w14:val="tx1"/>
            </w14:solidFill>
          </w14:textFill>
        </w:rPr>
      </w:pPr>
      <w:r>
        <w:rPr>
          <w:rFonts w:ascii="宋体" w:hAnsi="宋体"/>
          <w:b/>
          <w:color w:val="000000" w:themeColor="text1"/>
          <w:szCs w:val="21"/>
          <w14:textFill>
            <w14:solidFill>
              <w14:schemeClr w14:val="tx1"/>
            </w14:solidFill>
          </w14:textFill>
        </w:rPr>
        <w:t>1.</w:t>
      </w:r>
      <w:r>
        <w:rPr>
          <w:rFonts w:hint="eastAsia" w:ascii="宋体" w:hAnsi="宋体"/>
          <w:b/>
          <w:color w:val="000000" w:themeColor="text1"/>
          <w:szCs w:val="21"/>
          <w14:textFill>
            <w14:solidFill>
              <w14:schemeClr w14:val="tx1"/>
            </w14:solidFill>
          </w14:textFill>
        </w:rPr>
        <w:t>采购组织机构按照招标文件规定的时间通过“政府采购云平台”组织开标、开启投标文件，所有投标人均应当准时在线参加。</w:t>
      </w:r>
      <w:r>
        <w:rPr>
          <w:rFonts w:hint="eastAsia" w:ascii="宋体" w:hAnsi="宋体" w:cs="Arial"/>
          <w:b/>
          <w:color w:val="000000" w:themeColor="text1"/>
          <w:kern w:val="0"/>
          <w:szCs w:val="21"/>
          <w14:textFill>
            <w14:solidFill>
              <w14:schemeClr w14:val="tx1"/>
            </w14:solidFill>
          </w14:textFill>
        </w:rPr>
        <w:t>投标人</w:t>
      </w:r>
      <w:r>
        <w:rPr>
          <w:rFonts w:ascii="宋体" w:hAnsi="宋体" w:cs="Arial"/>
          <w:b/>
          <w:color w:val="000000" w:themeColor="text1"/>
          <w:kern w:val="0"/>
          <w:szCs w:val="21"/>
          <w14:textFill>
            <w14:solidFill>
              <w14:schemeClr w14:val="tx1"/>
            </w14:solidFill>
          </w14:textFill>
        </w:rPr>
        <w:t>如不</w:t>
      </w:r>
      <w:r>
        <w:rPr>
          <w:rFonts w:hint="eastAsia" w:ascii="宋体" w:hAnsi="宋体" w:cs="Arial"/>
          <w:b/>
          <w:color w:val="000000" w:themeColor="text1"/>
          <w:kern w:val="0"/>
          <w:szCs w:val="21"/>
          <w14:textFill>
            <w14:solidFill>
              <w14:schemeClr w14:val="tx1"/>
            </w14:solidFill>
          </w14:textFill>
        </w:rPr>
        <w:t>参加投标</w:t>
      </w:r>
      <w:r>
        <w:rPr>
          <w:rFonts w:ascii="宋体" w:hAnsi="宋体" w:cs="Arial"/>
          <w:b/>
          <w:color w:val="000000" w:themeColor="text1"/>
          <w:kern w:val="0"/>
          <w:szCs w:val="21"/>
          <w14:textFill>
            <w14:solidFill>
              <w14:schemeClr w14:val="tx1"/>
            </w14:solidFill>
          </w14:textFill>
        </w:rPr>
        <w:t>大会的，</w:t>
      </w:r>
      <w:r>
        <w:rPr>
          <w:rFonts w:hint="eastAsia" w:ascii="宋体" w:hAnsi="宋体" w:cs="Arial"/>
          <w:b/>
          <w:color w:val="000000" w:themeColor="text1"/>
          <w:kern w:val="0"/>
          <w:szCs w:val="21"/>
          <w14:textFill>
            <w14:solidFill>
              <w14:schemeClr w14:val="tx1"/>
            </w14:solidFill>
          </w14:textFill>
        </w:rPr>
        <w:t>视同认可投标结果，</w:t>
      </w:r>
      <w:r>
        <w:rPr>
          <w:rFonts w:ascii="宋体" w:hAnsi="宋体" w:cs="Arial"/>
          <w:b/>
          <w:color w:val="000000" w:themeColor="text1"/>
          <w:kern w:val="0"/>
          <w:szCs w:val="21"/>
          <w14:textFill>
            <w14:solidFill>
              <w14:schemeClr w14:val="tx1"/>
            </w14:solidFill>
          </w14:textFill>
        </w:rPr>
        <w:t>事后不得对采购相关人员、</w:t>
      </w:r>
      <w:r>
        <w:rPr>
          <w:rFonts w:hint="eastAsia" w:ascii="宋体" w:hAnsi="宋体" w:cs="Arial"/>
          <w:b/>
          <w:color w:val="000000" w:themeColor="text1"/>
          <w:kern w:val="0"/>
          <w:szCs w:val="21"/>
          <w14:textFill>
            <w14:solidFill>
              <w14:schemeClr w14:val="tx1"/>
            </w14:solidFill>
          </w14:textFill>
        </w:rPr>
        <w:t>投标</w:t>
      </w:r>
      <w:r>
        <w:rPr>
          <w:rFonts w:ascii="宋体" w:hAnsi="宋体" w:cs="Arial"/>
          <w:b/>
          <w:color w:val="000000" w:themeColor="text1"/>
          <w:kern w:val="0"/>
          <w:szCs w:val="21"/>
          <w14:textFill>
            <w14:solidFill>
              <w14:schemeClr w14:val="tx1"/>
            </w14:solidFill>
          </w14:textFill>
        </w:rPr>
        <w:t>过程和</w:t>
      </w:r>
      <w:r>
        <w:rPr>
          <w:rFonts w:hint="eastAsia" w:ascii="宋体" w:hAnsi="宋体" w:cs="Arial"/>
          <w:b/>
          <w:color w:val="000000" w:themeColor="text1"/>
          <w:kern w:val="0"/>
          <w:szCs w:val="21"/>
          <w14:textFill>
            <w14:solidFill>
              <w14:schemeClr w14:val="tx1"/>
            </w14:solidFill>
          </w14:textFill>
        </w:rPr>
        <w:t>投标</w:t>
      </w:r>
      <w:r>
        <w:rPr>
          <w:rFonts w:ascii="宋体" w:hAnsi="宋体" w:cs="Arial"/>
          <w:b/>
          <w:color w:val="000000" w:themeColor="text1"/>
          <w:kern w:val="0"/>
          <w:szCs w:val="21"/>
          <w14:textFill>
            <w14:solidFill>
              <w14:schemeClr w14:val="tx1"/>
            </w14:solidFill>
          </w14:textFill>
        </w:rPr>
        <w:t>结果提出异议</w:t>
      </w:r>
      <w:r>
        <w:rPr>
          <w:rFonts w:hint="eastAsia" w:ascii="宋体" w:hAnsi="宋体" w:cs="Arial"/>
          <w:b/>
          <w:color w:val="000000" w:themeColor="text1"/>
          <w:kern w:val="0"/>
          <w:szCs w:val="21"/>
          <w14:textFill>
            <w14:solidFill>
              <w14:schemeClr w14:val="tx1"/>
            </w14:solidFill>
          </w14:textFill>
        </w:rPr>
        <w:t>，同时投标人因未在线参加投标而导致投标文件无法按时解密等一切后果由投标人自己承担。</w:t>
      </w:r>
    </w:p>
    <w:p>
      <w:pPr>
        <w:pStyle w:val="120"/>
        <w:spacing w:before="0" w:line="400" w:lineRule="exact"/>
        <w:ind w:left="0" w:firstLine="424" w:firstLineChars="200"/>
        <w:contextualSpacing/>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若投标人在规定时间内无法解密或解密失败，采购代理机构将开启投标人递交的备份投标文件，上传至政采云平台项目采购模块，以完成开标，电子加密投标文件自动失效。若因政采云平台原因无法读取或电子开评标无法正常进行，采购代理将开启备份投标文件，以完成开标，电子加密投标文件自动失效。</w:t>
      </w:r>
    </w:p>
    <w:p>
      <w:pPr>
        <w:snapToGrid w:val="0"/>
        <w:spacing w:line="440" w:lineRule="exact"/>
        <w:ind w:firstLine="424" w:firstLineChars="200"/>
        <w:jc w:val="left"/>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shd w:val="clear" w:color="auto" w:fill="FFFFFF"/>
          <w14:textFill>
            <w14:solidFill>
              <w14:schemeClr w14:val="tx1"/>
            </w14:solidFill>
          </w14:textFill>
        </w:rPr>
        <w:t>3.</w:t>
      </w:r>
      <w:r>
        <w:rPr>
          <w:rFonts w:hint="eastAsia" w:ascii="宋体" w:hAnsi="宋体" w:cs="宋体"/>
          <w:b/>
          <w:bCs/>
          <w:color w:val="000000" w:themeColor="text1"/>
          <w:szCs w:val="21"/>
          <w:shd w:val="clear" w:color="auto" w:fill="FFFFFF"/>
          <w14:textFill>
            <w14:solidFill>
              <w14:schemeClr w14:val="tx1"/>
            </w14:solidFill>
          </w14:textFill>
        </w:rPr>
        <w:t>所有询标</w:t>
      </w:r>
      <w:r>
        <w:rPr>
          <w:rFonts w:ascii="宋体" w:hAnsi="宋体" w:cs="宋体"/>
          <w:b/>
          <w:bCs/>
          <w:color w:val="000000" w:themeColor="text1"/>
          <w:szCs w:val="21"/>
          <w:shd w:val="clear" w:color="auto" w:fill="FFFFFF"/>
          <w14:textFill>
            <w14:solidFill>
              <w14:schemeClr w14:val="tx1"/>
            </w14:solidFill>
          </w14:textFill>
        </w:rPr>
        <w:t>流程</w:t>
      </w:r>
      <w:r>
        <w:rPr>
          <w:rFonts w:hint="eastAsia" w:ascii="宋体" w:hAnsi="宋体" w:cs="宋体"/>
          <w:b/>
          <w:bCs/>
          <w:color w:val="000000" w:themeColor="text1"/>
          <w:szCs w:val="21"/>
          <w:shd w:val="clear" w:color="auto" w:fill="FFFFFF"/>
          <w14:textFill>
            <w14:solidFill>
              <w14:schemeClr w14:val="tx1"/>
            </w14:solidFill>
          </w14:textFill>
        </w:rPr>
        <w:t>，均在线上完成，请各投标人务必不要离开电脑太久，并留意手机短信。</w:t>
      </w:r>
      <w:r>
        <w:rPr>
          <w:rFonts w:ascii="宋体" w:hAnsi="宋体" w:cs="宋体"/>
          <w:b/>
          <w:bCs/>
          <w:color w:val="000000" w:themeColor="text1"/>
          <w:szCs w:val="21"/>
          <w:shd w:val="clear" w:color="auto" w:fill="FFFFFF"/>
          <w14:textFill>
            <w14:solidFill>
              <w14:schemeClr w14:val="tx1"/>
            </w14:solidFill>
          </w14:textFill>
        </w:rPr>
        <w:t>（请提前检查“政采云”内，关于‘项目采购’的岗位权限是否已勾选上。如有问题，请致电400-881-7190）</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（二）电子招投标开标及评审程序</w:t>
      </w:r>
    </w:p>
    <w:p>
      <w:pPr>
        <w:spacing w:line="400" w:lineRule="exact"/>
        <w:ind w:firstLine="424" w:firstLineChars="200"/>
        <w:rPr>
          <w:rFonts w:ascii="宋体" w:hAnsi="宋体" w:cs="宋体"/>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1.</w:t>
      </w:r>
      <w:r>
        <w:rPr>
          <w:rFonts w:hint="eastAsia" w:ascii="宋体" w:hAnsi="宋体" w:cs="Arial"/>
          <w:color w:val="000000" w:themeColor="text1"/>
          <w:kern w:val="0"/>
          <w:szCs w:val="21"/>
          <w14:textFill>
            <w14:solidFill>
              <w14:schemeClr w14:val="tx1"/>
            </w14:solidFill>
          </w14:textFill>
        </w:rPr>
        <w:t>向各投标人发出电子加密投标文件【开始解密】通知，</w:t>
      </w:r>
      <w:r>
        <w:rPr>
          <w:rFonts w:hint="eastAsia" w:ascii="宋体" w:hAnsi="宋体" w:cs="宋体"/>
          <w:color w:val="000000" w:themeColor="text1"/>
          <w:szCs w:val="21"/>
          <w:lang w:bidi="ar"/>
          <w14:textFill>
            <w14:solidFill>
              <w14:schemeClr w14:val="tx1"/>
            </w14:solidFill>
          </w14:textFill>
        </w:rPr>
        <w:t>各投标人代表在收到解密通知后</w:t>
      </w:r>
      <w:r>
        <w:rPr>
          <w:rFonts w:ascii="宋体" w:hAnsi="宋体" w:cs="宋体"/>
          <w:color w:val="000000" w:themeColor="text1"/>
          <w:szCs w:val="21"/>
          <w:lang w:bidi="ar"/>
          <w14:textFill>
            <w14:solidFill>
              <w14:schemeClr w14:val="tx1"/>
            </w14:solidFill>
          </w14:textFill>
        </w:rPr>
        <w:t>30</w:t>
      </w:r>
      <w:r>
        <w:rPr>
          <w:rFonts w:hint="eastAsia" w:ascii="宋体" w:hAnsi="宋体" w:cs="宋体"/>
          <w:color w:val="000000" w:themeColor="text1"/>
          <w:szCs w:val="21"/>
          <w:lang w:bidi="ar"/>
          <w14:textFill>
            <w14:solidFill>
              <w14:schemeClr w14:val="tx1"/>
            </w14:solidFill>
          </w14:textFill>
        </w:rPr>
        <w:t>分钟内自行完成“电子加密投标文件”的在线解密。</w:t>
      </w:r>
    </w:p>
    <w:p>
      <w:pPr>
        <w:spacing w:line="400" w:lineRule="exact"/>
        <w:ind w:firstLine="374" w:firstLineChars="177"/>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2.</w:t>
      </w:r>
      <w:r>
        <w:rPr>
          <w:rFonts w:hint="eastAsia" w:ascii="宋体" w:hAnsi="宋体" w:cs="Arial"/>
          <w:color w:val="000000" w:themeColor="text1"/>
          <w:kern w:val="0"/>
          <w:szCs w:val="21"/>
          <w14:textFill>
            <w14:solidFill>
              <w14:schemeClr w14:val="tx1"/>
            </w14:solidFill>
          </w14:textFill>
        </w:rPr>
        <w:t>投标文件解密结束，发送《政府采购活动现场确认声明书》由各投标人签署。</w:t>
      </w:r>
    </w:p>
    <w:p>
      <w:pPr>
        <w:spacing w:line="400" w:lineRule="exact"/>
        <w:ind w:firstLine="424" w:firstLineChars="200"/>
        <w:jc w:val="left"/>
        <w:rPr>
          <w:color w:val="000000" w:themeColor="text1"/>
          <w14:textFill>
            <w14:solidFill>
              <w14:schemeClr w14:val="tx1"/>
            </w14:solidFill>
          </w14:textFill>
        </w:rPr>
      </w:pPr>
      <w:r>
        <w:rPr>
          <w:rFonts w:ascii="宋体" w:hAnsi="宋体" w:cs="Arial"/>
          <w:color w:val="000000" w:themeColor="text1"/>
          <w:kern w:val="0"/>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开启投标文件，</w:t>
      </w:r>
      <w:r>
        <w:rPr>
          <w:rFonts w:hint="eastAsia" w:ascii="宋体" w:hAnsi="宋体" w:cs="宋体"/>
          <w:color w:val="000000" w:themeColor="text1"/>
          <w:szCs w:val="21"/>
          <w14:textFill>
            <w14:solidFill>
              <w14:schemeClr w14:val="tx1"/>
            </w14:solidFill>
          </w14:textFill>
        </w:rPr>
        <w:t>进入资格审查；</w:t>
      </w:r>
    </w:p>
    <w:p>
      <w:pPr>
        <w:spacing w:line="40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开启资格审查通过的供应商的商务及技术文件进入符合性审查、商务技术文件评审；</w:t>
      </w:r>
    </w:p>
    <w:p>
      <w:pPr>
        <w:pStyle w:val="2"/>
        <w:autoSpaceDE/>
        <w:autoSpaceDN/>
        <w:adjustRightInd/>
        <w:spacing w:after="0" w:line="40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在系统上公开资格审查、符合性审查和商务及技术文件评审结果。</w:t>
      </w:r>
    </w:p>
    <w:p>
      <w:pPr>
        <w:spacing w:line="40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开启符合性审查、资信商务技术评审有效供应商的《报价文件》，供应商通过发送邮件形式签字确认（不予确认的应说明理由，否则视为无异议）。唱标结束后，由评标委员会对报价的合理性、准确性等进行审查核实。</w:t>
      </w:r>
    </w:p>
    <w:p>
      <w:pPr>
        <w:spacing w:line="40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在系统上公布评审结果。</w:t>
      </w:r>
    </w:p>
    <w:p>
      <w:pPr>
        <w:spacing w:line="360" w:lineRule="auto"/>
        <w:ind w:firstLine="424"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特别说明：政采云公司如对电子化开标及评审程序有调整的，按调整后的程序操作。</w:t>
      </w:r>
    </w:p>
    <w:p>
      <w:pPr>
        <w:pStyle w:val="7"/>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六、评标</w:t>
      </w:r>
    </w:p>
    <w:p>
      <w:pPr>
        <w:pStyle w:val="21"/>
        <w:snapToGrid w:val="0"/>
        <w:spacing w:line="400" w:lineRule="exact"/>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1.组建评标委员会</w:t>
      </w:r>
    </w:p>
    <w:p>
      <w:pPr>
        <w:pStyle w:val="21"/>
        <w:snapToGrid w:val="0"/>
        <w:spacing w:line="400" w:lineRule="exact"/>
        <w:ind w:firstLine="424"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本项目评标委员会由</w:t>
      </w:r>
      <w:r>
        <w:rPr>
          <w:rFonts w:hAnsi="宋体" w:cs="宋体"/>
          <w:bCs/>
          <w:color w:val="000000" w:themeColor="text1"/>
          <w:szCs w:val="21"/>
          <w14:textFill>
            <w14:solidFill>
              <w14:schemeClr w14:val="tx1"/>
            </w14:solidFill>
          </w14:textFill>
        </w:rPr>
        <w:t>7</w:t>
      </w:r>
      <w:r>
        <w:rPr>
          <w:rFonts w:hint="eastAsia" w:hAnsi="宋体" w:cs="宋体"/>
          <w:bCs/>
          <w:color w:val="000000" w:themeColor="text1"/>
          <w:szCs w:val="21"/>
          <w14:textFill>
            <w14:solidFill>
              <w14:schemeClr w14:val="tx1"/>
            </w14:solidFill>
          </w14:textFill>
        </w:rPr>
        <w:t>人组成，由采购单位代表（</w:t>
      </w:r>
      <w:r>
        <w:rPr>
          <w:rFonts w:hAnsi="宋体" w:cs="宋体"/>
          <w:bCs/>
          <w:color w:val="000000" w:themeColor="text1"/>
          <w:szCs w:val="21"/>
          <w14:textFill>
            <w14:solidFill>
              <w14:schemeClr w14:val="tx1"/>
            </w14:solidFill>
          </w14:textFill>
        </w:rPr>
        <w:t>2</w:t>
      </w:r>
      <w:r>
        <w:rPr>
          <w:rFonts w:hint="eastAsia" w:hAnsi="宋体" w:cs="宋体"/>
          <w:bCs/>
          <w:color w:val="000000" w:themeColor="text1"/>
          <w:szCs w:val="21"/>
          <w14:textFill>
            <w14:solidFill>
              <w14:schemeClr w14:val="tx1"/>
            </w14:solidFill>
          </w14:textFill>
        </w:rPr>
        <w:t>名）和评审专家组成。</w:t>
      </w:r>
    </w:p>
    <w:p>
      <w:pPr>
        <w:pStyle w:val="21"/>
        <w:snapToGrid w:val="0"/>
        <w:spacing w:line="400" w:lineRule="exact"/>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2.评标的方式</w:t>
      </w:r>
    </w:p>
    <w:p>
      <w:pPr>
        <w:pStyle w:val="21"/>
        <w:snapToGrid w:val="0"/>
        <w:spacing w:line="400" w:lineRule="exact"/>
        <w:ind w:left="695" w:leftChars="228" w:hanging="212" w:hangingChars="1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本项目采用不公开方式评标，评标的依据为招标文件和投标文件。</w:t>
      </w:r>
    </w:p>
    <w:p>
      <w:pPr>
        <w:pStyle w:val="21"/>
        <w:snapToGrid w:val="0"/>
        <w:spacing w:line="400" w:lineRule="exact"/>
        <w:rPr>
          <w:rFonts w:hAnsi="宋体"/>
          <w:b/>
          <w:color w:val="000000" w:themeColor="text1"/>
          <w14:textFill>
            <w14:solidFill>
              <w14:schemeClr w14:val="tx1"/>
            </w14:solidFill>
          </w14:textFill>
        </w:rPr>
      </w:pPr>
      <w:r>
        <w:rPr>
          <w:rFonts w:hAnsi="宋体"/>
          <w:b/>
          <w:bCs/>
          <w:color w:val="000000" w:themeColor="text1"/>
          <w14:textFill>
            <w14:solidFill>
              <w14:schemeClr w14:val="tx1"/>
            </w14:solidFill>
          </w14:textFill>
        </w:rPr>
        <w:t>3.评标程序</w:t>
      </w:r>
    </w:p>
    <w:p>
      <w:pPr>
        <w:snapToGrid w:val="0"/>
        <w:spacing w:line="400" w:lineRule="exact"/>
        <w:ind w:firstLine="414" w:firstLineChars="196"/>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3.1形式审查</w:t>
      </w:r>
    </w:p>
    <w:p>
      <w:pPr>
        <w:snapToGrid w:val="0"/>
        <w:spacing w:line="400" w:lineRule="exact"/>
        <w:ind w:firstLine="424"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采购单位代表和代理机构工作人员协助评标委员会对投标人的</w:t>
      </w:r>
      <w:r>
        <w:rPr>
          <w:rFonts w:ascii="宋体" w:hAnsi="宋体"/>
          <w:color w:val="000000" w:themeColor="text1"/>
          <w:szCs w:val="21"/>
          <w14:textFill>
            <w14:solidFill>
              <w14:schemeClr w14:val="tx1"/>
            </w14:solidFill>
          </w14:textFill>
        </w:rPr>
        <w:t>投标文件的完整性、合法性等进行审查。</w:t>
      </w:r>
    </w:p>
    <w:p>
      <w:pPr>
        <w:snapToGrid w:val="0"/>
        <w:spacing w:line="400" w:lineRule="exact"/>
        <w:ind w:firstLine="414" w:firstLineChars="196"/>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3.2实质审查与比较</w:t>
      </w:r>
    </w:p>
    <w:p>
      <w:pPr>
        <w:snapToGrid w:val="0"/>
        <w:spacing w:line="440" w:lineRule="exact"/>
        <w:ind w:firstLine="424"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1）评标委员会审查投标文件的实质性内容是否符合招标文件的实质性要求。</w:t>
      </w:r>
    </w:p>
    <w:p>
      <w:pPr>
        <w:snapToGrid w:val="0"/>
        <w:spacing w:line="440" w:lineRule="exact"/>
        <w:ind w:firstLine="424"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2）评标委员会将根据投标人的投标文件进行审查、核对,如有疑问,将对投标人进行</w:t>
      </w:r>
      <w:r>
        <w:rPr>
          <w:rFonts w:hint="eastAsia" w:ascii="宋体" w:hAnsi="宋体"/>
          <w:color w:val="000000" w:themeColor="text1"/>
          <w:szCs w:val="21"/>
          <w14:textFill>
            <w14:solidFill>
              <w14:schemeClr w14:val="tx1"/>
            </w14:solidFill>
          </w14:textFill>
        </w:rPr>
        <w:t>在线</w:t>
      </w:r>
      <w:r>
        <w:rPr>
          <w:rFonts w:ascii="宋体" w:hAnsi="宋体"/>
          <w:color w:val="000000" w:themeColor="text1"/>
          <w:szCs w:val="21"/>
          <w14:textFill>
            <w14:solidFill>
              <w14:schemeClr w14:val="tx1"/>
            </w14:solidFill>
          </w14:textFill>
        </w:rPr>
        <w:t>询标,投标人要向评标委员会澄清有关问题,并最终以书面形式进行答复。</w:t>
      </w:r>
    </w:p>
    <w:p>
      <w:pPr>
        <w:snapToGrid w:val="0"/>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投标人代表拒绝澄清或者未按规定时间提交澄清文件或者澄清的内容改变了投标文件的实质性内容的，评标委员会有权对该投标文件作出不利于投标人的评判。</w:t>
      </w:r>
    </w:p>
    <w:p>
      <w:pPr>
        <w:snapToGrid w:val="0"/>
        <w:spacing w:line="360" w:lineRule="auto"/>
        <w:ind w:firstLine="424"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3）各投标人的</w:t>
      </w:r>
      <w:r>
        <w:rPr>
          <w:rFonts w:hint="eastAsia" w:ascii="宋体" w:hAnsi="宋体"/>
          <w:color w:val="000000" w:themeColor="text1"/>
          <w:szCs w:val="21"/>
          <w14:textFill>
            <w14:solidFill>
              <w14:schemeClr w14:val="tx1"/>
            </w14:solidFill>
          </w14:textFill>
        </w:rPr>
        <w:t>技术</w:t>
      </w:r>
      <w:r>
        <w:rPr>
          <w:rFonts w:ascii="宋体" w:hAnsi="宋体"/>
          <w:color w:val="000000" w:themeColor="text1"/>
          <w:szCs w:val="21"/>
          <w14:textFill>
            <w14:solidFill>
              <w14:schemeClr w14:val="tx1"/>
            </w14:solidFill>
          </w14:textFill>
        </w:rPr>
        <w:t>分为所有评委的有效评分的算术平均数</w:t>
      </w:r>
      <w:r>
        <w:rPr>
          <w:rFonts w:hint="eastAsia" w:ascii="宋体" w:hAnsi="宋体"/>
          <w:color w:val="000000" w:themeColor="text1"/>
          <w:szCs w:val="21"/>
          <w14:textFill>
            <w14:solidFill>
              <w14:schemeClr w14:val="tx1"/>
            </w14:solidFill>
          </w14:textFill>
        </w:rPr>
        <w:t>，资信分由评委依据评审依据和评审标准打分</w:t>
      </w:r>
      <w:r>
        <w:rPr>
          <w:rFonts w:ascii="宋体" w:hAnsi="宋体"/>
          <w:color w:val="000000" w:themeColor="text1"/>
          <w:szCs w:val="21"/>
          <w14:textFill>
            <w14:solidFill>
              <w14:schemeClr w14:val="tx1"/>
            </w14:solidFill>
          </w14:textFill>
        </w:rPr>
        <w:t>。</w:t>
      </w:r>
    </w:p>
    <w:p>
      <w:pPr>
        <w:snapToGrid w:val="0"/>
        <w:spacing w:line="360" w:lineRule="auto"/>
        <w:ind w:firstLine="424"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采购组织机构可协助评审小组组长对打分结果进行校对、核对并汇总统计；对明显畸高、畸低的评分（其总评分偏离平均分</w:t>
      </w: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以上的），评审小组组长应提醒相关评审人员进行复核或书面说明理由，评审人员拒绝说明的，由现场监督员据实记录。</w:t>
      </w:r>
    </w:p>
    <w:p>
      <w:pPr>
        <w:snapToGrid w:val="0"/>
        <w:spacing w:line="420" w:lineRule="exact"/>
        <w:ind w:firstLine="424"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5）评标委员会完成评标后,评委对各部分得分汇总,</w:t>
      </w:r>
      <w:r>
        <w:rPr>
          <w:rFonts w:hint="eastAsia" w:ascii="宋体" w:hAnsi="宋体"/>
          <w:color w:val="000000" w:themeColor="text1"/>
          <w:szCs w:val="21"/>
          <w14:textFill>
            <w14:solidFill>
              <w14:schemeClr w14:val="tx1"/>
            </w14:solidFill>
          </w14:textFill>
        </w:rPr>
        <w:t>计算</w:t>
      </w:r>
      <w:r>
        <w:rPr>
          <w:rFonts w:ascii="宋体" w:hAnsi="宋体"/>
          <w:color w:val="000000" w:themeColor="text1"/>
          <w:szCs w:val="21"/>
          <w14:textFill>
            <w14:solidFill>
              <w14:schemeClr w14:val="tx1"/>
            </w14:solidFill>
          </w14:textFill>
        </w:rPr>
        <w:t>出本项目</w:t>
      </w:r>
      <w:r>
        <w:rPr>
          <w:rFonts w:hint="eastAsia" w:ascii="宋体" w:hAnsi="宋体"/>
          <w:color w:val="000000" w:themeColor="text1"/>
          <w:szCs w:val="21"/>
          <w14:textFill>
            <w14:solidFill>
              <w14:schemeClr w14:val="tx1"/>
            </w14:solidFill>
          </w14:textFill>
        </w:rPr>
        <w:t>最终得分</w:t>
      </w:r>
      <w:r>
        <w:rPr>
          <w:rFonts w:ascii="宋体" w:hAnsi="宋体"/>
          <w:color w:val="000000" w:themeColor="text1"/>
          <w:szCs w:val="21"/>
          <w14:textFill>
            <w14:solidFill>
              <w14:schemeClr w14:val="tx1"/>
            </w14:solidFill>
          </w14:textFill>
        </w:rPr>
        <w:t>。评标委员会按评标原则推荐中标候选人同时起草评标报告。</w:t>
      </w:r>
    </w:p>
    <w:p>
      <w:pPr>
        <w:snapToGrid w:val="0"/>
        <w:spacing w:line="420" w:lineRule="exact"/>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4.</w:t>
      </w:r>
      <w:r>
        <w:rPr>
          <w:rFonts w:hint="eastAsia" w:ascii="宋体" w:hAnsi="宋体"/>
          <w:b/>
          <w:color w:val="000000" w:themeColor="text1"/>
          <w:szCs w:val="21"/>
          <w14:textFill>
            <w14:solidFill>
              <w14:schemeClr w14:val="tx1"/>
            </w14:solidFill>
          </w14:textFill>
        </w:rPr>
        <w:t>澄清问题的形式</w:t>
      </w:r>
    </w:p>
    <w:p>
      <w:pPr>
        <w:snapToGrid w:val="0"/>
        <w:spacing w:line="420" w:lineRule="exact"/>
        <w:ind w:firstLine="424"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r>
        <w:rPr>
          <w:rFonts w:ascii="宋体" w:hAnsi="宋体"/>
          <w:color w:val="000000" w:themeColor="text1"/>
          <w:szCs w:val="21"/>
          <w14:textFill>
            <w14:solidFill>
              <w14:schemeClr w14:val="tx1"/>
            </w14:solidFill>
          </w14:textFill>
        </w:rPr>
        <w:t xml:space="preserve">  </w:t>
      </w:r>
    </w:p>
    <w:p>
      <w:pPr>
        <w:snapToGrid w:val="0"/>
        <w:spacing w:line="420" w:lineRule="exact"/>
        <w:ind w:firstLine="424"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发出澄清内容后，供应商应当在规定的时间内提交澄清说明或补正，否则视为供应商放弃答复，并自行承担因此而产生的不利后果。澄清、说明或者补正不得超出投标文件的范围或者改变投标文件的实质性内容。</w:t>
      </w:r>
    </w:p>
    <w:p>
      <w:pPr>
        <w:pStyle w:val="21"/>
        <w:snapToGrid w:val="0"/>
        <w:spacing w:line="420" w:lineRule="exact"/>
        <w:textAlignment w:val="auto"/>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5.错误修正</w:t>
      </w:r>
    </w:p>
    <w:p>
      <w:pPr>
        <w:pStyle w:val="21"/>
        <w:snapToGrid w:val="0"/>
        <w:spacing w:line="420" w:lineRule="exact"/>
        <w:ind w:left="695" w:leftChars="228" w:hanging="212" w:hangingChars="100"/>
        <w:textAlignment w:val="auto"/>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投标文件如果出现计算或表达上的错误，修正错误的原则如下：</w:t>
      </w:r>
    </w:p>
    <w:p>
      <w:pPr>
        <w:pStyle w:val="21"/>
        <w:snapToGrid w:val="0"/>
        <w:spacing w:line="360" w:lineRule="auto"/>
        <w:ind w:firstLine="424" w:firstLineChars="200"/>
        <w:textAlignment w:val="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）投标文件中开标一览表（报价表）内容与投标文件中相应内容不一致的，以开标一览表（报价表）为准；</w:t>
      </w:r>
    </w:p>
    <w:p>
      <w:pPr>
        <w:pStyle w:val="21"/>
        <w:snapToGrid w:val="0"/>
        <w:spacing w:line="440" w:lineRule="exact"/>
        <w:ind w:firstLine="424"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）大写金额和小写金额不一致的，以大写金额为准；</w:t>
      </w:r>
    </w:p>
    <w:p>
      <w:pPr>
        <w:pStyle w:val="21"/>
        <w:snapToGrid w:val="0"/>
        <w:spacing w:line="440" w:lineRule="exact"/>
        <w:ind w:firstLine="424"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）单价金额小数点或者百分比有明显错位的，以开标一览表的总价为准，并修改单价；</w:t>
      </w:r>
    </w:p>
    <w:p>
      <w:pPr>
        <w:pStyle w:val="21"/>
        <w:snapToGrid w:val="0"/>
        <w:spacing w:line="400" w:lineRule="exact"/>
        <w:ind w:firstLine="424"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）总价金额与按单价汇总金额不一致的，以单价金额计算结果为准。</w:t>
      </w:r>
    </w:p>
    <w:p>
      <w:pPr>
        <w:snapToGrid w:val="0"/>
        <w:spacing w:line="400" w:lineRule="exact"/>
        <w:ind w:firstLine="424" w:firstLineChars="2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同时出现两种以上不一致的，按照前款规定的顺序修正。</w:t>
      </w:r>
      <w:r>
        <w:rPr>
          <w:rFonts w:hint="eastAsia" w:ascii="宋体" w:hAnsi="宋体"/>
          <w:b/>
          <w:bCs/>
          <w:color w:val="000000" w:themeColor="text1"/>
          <w:szCs w:val="21"/>
          <w14:textFill>
            <w14:solidFill>
              <w14:schemeClr w14:val="tx1"/>
            </w14:solidFill>
          </w14:textFill>
        </w:rPr>
        <w:t>评标委员会应当通过电子交易平台要求投标人对修正后的报价予以确认并对投标人产生约束力。投标人在规定的时间内不予确认的，其投标无效。</w:t>
      </w:r>
    </w:p>
    <w:p>
      <w:pPr>
        <w:pStyle w:val="21"/>
        <w:tabs>
          <w:tab w:val="left" w:pos="630"/>
        </w:tabs>
        <w:snapToGrid w:val="0"/>
        <w:spacing w:line="400" w:lineRule="exact"/>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6.评标原则和评标办法</w:t>
      </w:r>
    </w:p>
    <w:p>
      <w:pPr>
        <w:pStyle w:val="21"/>
        <w:snapToGrid w:val="0"/>
        <w:spacing w:line="400" w:lineRule="exact"/>
        <w:ind w:firstLine="424"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6.1评标原则。评标委员会必须公平、公正、客观，不带任何倾向性和启发性；不得向外界透露任何</w:t>
      </w:r>
      <w:r>
        <w:rPr>
          <w:rFonts w:hint="eastAsia" w:hAnsi="宋体"/>
          <w:color w:val="000000" w:themeColor="text1"/>
          <w14:textFill>
            <w14:solidFill>
              <w14:schemeClr w14:val="tx1"/>
            </w14:solidFill>
          </w14:textFill>
        </w:rPr>
        <w:t>与评标有关的内容；任何单位和个人不得干扰、影响评标的正常进行；评标委员会及有关工作人员不得私下与投标人接触。</w:t>
      </w:r>
    </w:p>
    <w:p>
      <w:pPr>
        <w:pStyle w:val="21"/>
        <w:snapToGrid w:val="0"/>
        <w:spacing w:line="400" w:lineRule="exact"/>
        <w:ind w:firstLine="424"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6.2评标办法。本项目评标办法是</w:t>
      </w:r>
      <w:r>
        <w:rPr>
          <w:rFonts w:hint="eastAsia" w:hAnsi="宋体"/>
          <w:color w:val="000000" w:themeColor="text1"/>
          <w14:textFill>
            <w14:solidFill>
              <w14:schemeClr w14:val="tx1"/>
            </w14:solidFill>
          </w14:textFill>
        </w:rPr>
        <w:t>综合评分法</w:t>
      </w:r>
      <w:r>
        <w:rPr>
          <w:rFonts w:hAnsi="宋体"/>
          <w:color w:val="000000" w:themeColor="text1"/>
          <w14:textFill>
            <w14:solidFill>
              <w14:schemeClr w14:val="tx1"/>
            </w14:solidFill>
          </w14:textFill>
        </w:rPr>
        <w:t>，具体评标内容及评分标准等详见《第</w:t>
      </w:r>
      <w:r>
        <w:rPr>
          <w:rFonts w:hint="eastAsia" w:hAnsi="宋体"/>
          <w:color w:val="000000" w:themeColor="text1"/>
          <w14:textFill>
            <w14:solidFill>
              <w14:schemeClr w14:val="tx1"/>
            </w14:solidFill>
          </w14:textFill>
        </w:rPr>
        <w:t>四</w:t>
      </w:r>
      <w:r>
        <w:rPr>
          <w:rFonts w:hAnsi="宋体"/>
          <w:color w:val="000000" w:themeColor="text1"/>
          <w14:textFill>
            <w14:solidFill>
              <w14:schemeClr w14:val="tx1"/>
            </w14:solidFill>
          </w14:textFill>
        </w:rPr>
        <w:t>章：评标</w:t>
      </w:r>
      <w:r>
        <w:rPr>
          <w:rFonts w:hint="eastAsia" w:hAnsi="宋体"/>
          <w:color w:val="000000" w:themeColor="text1"/>
          <w14:textFill>
            <w14:solidFill>
              <w14:schemeClr w14:val="tx1"/>
            </w14:solidFill>
          </w14:textFill>
        </w:rPr>
        <w:t>原则及方法</w:t>
      </w:r>
      <w:r>
        <w:rPr>
          <w:rFonts w:hAnsi="宋体"/>
          <w:color w:val="000000" w:themeColor="text1"/>
          <w14:textFill>
            <w14:solidFill>
              <w14:schemeClr w14:val="tx1"/>
            </w14:solidFill>
          </w14:textFill>
        </w:rPr>
        <w:t>》。</w:t>
      </w:r>
    </w:p>
    <w:p>
      <w:pPr>
        <w:pStyle w:val="21"/>
        <w:snapToGrid w:val="0"/>
        <w:spacing w:line="440" w:lineRule="exact"/>
        <w:rPr>
          <w:rFonts w:hAnsi="宋体"/>
          <w:b/>
          <w:bCs/>
          <w:color w:val="000000" w:themeColor="text1"/>
          <w14:textFill>
            <w14:solidFill>
              <w14:schemeClr w14:val="tx1"/>
            </w14:solidFill>
          </w14:textFill>
        </w:rPr>
      </w:pPr>
      <w:r>
        <w:rPr>
          <w:rFonts w:hAnsi="宋体"/>
          <w:b/>
          <w:bCs/>
          <w:color w:val="000000" w:themeColor="text1"/>
          <w14:textFill>
            <w14:solidFill>
              <w14:schemeClr w14:val="tx1"/>
            </w14:solidFill>
          </w14:textFill>
        </w:rPr>
        <w:t>7.</w:t>
      </w:r>
      <w:r>
        <w:rPr>
          <w:rFonts w:hint="eastAsia" w:hAnsi="宋体"/>
          <w:b/>
          <w:bCs/>
          <w:color w:val="000000" w:themeColor="text1"/>
          <w14:textFill>
            <w14:solidFill>
              <w14:schemeClr w14:val="tx1"/>
            </w14:solidFill>
          </w14:textFill>
        </w:rPr>
        <w:t>无效标条款</w:t>
      </w:r>
    </w:p>
    <w:p>
      <w:pPr>
        <w:snapToGrid w:val="0"/>
        <w:spacing w:line="360" w:lineRule="auto"/>
        <w:ind w:firstLine="424" w:firstLineChars="200"/>
        <w:rPr>
          <w:rFonts w:ascii="宋体" w:hAnsi="宋体"/>
          <w:b/>
          <w:color w:val="000000" w:themeColor="text1"/>
          <w:szCs w:val="21"/>
          <w14:textFill>
            <w14:solidFill>
              <w14:schemeClr w14:val="tx1"/>
            </w14:solidFill>
          </w14:textFill>
        </w:rPr>
      </w:pPr>
      <w:r>
        <w:rPr>
          <w:rFonts w:hAnsi="宋体"/>
          <w:b/>
          <w:bCs/>
          <w:color w:val="000000" w:themeColor="text1"/>
          <w14:textFill>
            <w14:solidFill>
              <w14:schemeClr w14:val="tx1"/>
            </w14:solidFill>
          </w14:textFill>
        </w:rPr>
        <w:t>7.1</w:t>
      </w:r>
      <w:r>
        <w:rPr>
          <w:rFonts w:hint="eastAsia" w:ascii="宋体" w:hAnsi="宋体"/>
          <w:b/>
          <w:color w:val="000000" w:themeColor="text1"/>
          <w:szCs w:val="21"/>
          <w14:textFill>
            <w14:solidFill>
              <w14:schemeClr w14:val="tx1"/>
            </w14:solidFill>
          </w14:textFill>
        </w:rPr>
        <w:t>开标时，如出现以下情况之一的，则投标文件无效：</w:t>
      </w:r>
    </w:p>
    <w:p>
      <w:pPr>
        <w:snapToGrid w:val="0"/>
        <w:spacing w:line="360" w:lineRule="auto"/>
        <w:ind w:firstLine="424"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1</w:t>
      </w:r>
      <w:r>
        <w:rPr>
          <w:rFonts w:hint="eastAsia" w:ascii="宋体" w:hAnsi="宋体"/>
          <w:b/>
          <w:color w:val="000000" w:themeColor="text1"/>
          <w:szCs w:val="21"/>
          <w14:textFill>
            <w14:solidFill>
              <w14:schemeClr w14:val="tx1"/>
            </w14:solidFill>
          </w14:textFill>
        </w:rPr>
        <w:t>）投标文件未按招标文件要求签署、签章的；</w:t>
      </w:r>
    </w:p>
    <w:p>
      <w:pPr>
        <w:snapToGrid w:val="0"/>
        <w:spacing w:line="360" w:lineRule="auto"/>
        <w:ind w:firstLine="424"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）不具备招标文件中规定的资格要求的；</w:t>
      </w:r>
    </w:p>
    <w:p>
      <w:pPr>
        <w:snapToGrid w:val="0"/>
        <w:spacing w:line="360" w:lineRule="auto"/>
        <w:ind w:firstLine="424"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）报价超过招标文件中规定的预算金额或者最高限价的；</w:t>
      </w:r>
    </w:p>
    <w:p>
      <w:pPr>
        <w:snapToGrid w:val="0"/>
        <w:spacing w:line="360" w:lineRule="auto"/>
        <w:ind w:firstLine="424"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4</w:t>
      </w:r>
      <w:r>
        <w:rPr>
          <w:rFonts w:hint="eastAsia" w:ascii="宋体" w:hAnsi="宋体"/>
          <w:b/>
          <w:color w:val="000000" w:themeColor="text1"/>
          <w:szCs w:val="21"/>
          <w14:textFill>
            <w14:solidFill>
              <w14:schemeClr w14:val="tx1"/>
            </w14:solidFill>
          </w14:textFill>
        </w:rPr>
        <w:t>）投标文件含有采购单位不能接受的附加条件的；</w:t>
      </w:r>
    </w:p>
    <w:p>
      <w:pPr>
        <w:snapToGrid w:val="0"/>
        <w:spacing w:line="360" w:lineRule="auto"/>
        <w:ind w:firstLine="424" w:firstLineChars="200"/>
        <w:rPr>
          <w:rFonts w:ascii="宋体" w:hAnsi="宋体" w:cs="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5</w:t>
      </w:r>
      <w:r>
        <w:rPr>
          <w:rFonts w:hint="eastAsia" w:ascii="宋体" w:hAnsi="宋体"/>
          <w:b/>
          <w:color w:val="000000" w:themeColor="text1"/>
          <w:szCs w:val="21"/>
          <w14:textFill>
            <w14:solidFill>
              <w14:schemeClr w14:val="tx1"/>
            </w14:solidFill>
          </w14:textFill>
        </w:rPr>
        <w:t>）法律、法规和招标文件规定的其他无效情形</w:t>
      </w:r>
      <w:r>
        <w:rPr>
          <w:rFonts w:hint="eastAsia" w:ascii="宋体" w:hAnsi="宋体" w:cs="宋体"/>
          <w:b/>
          <w:color w:val="000000" w:themeColor="text1"/>
          <w:szCs w:val="21"/>
          <w14:textFill>
            <w14:solidFill>
              <w14:schemeClr w14:val="tx1"/>
            </w14:solidFill>
          </w14:textFill>
        </w:rPr>
        <w:t>；</w:t>
      </w:r>
    </w:p>
    <w:p>
      <w:pPr>
        <w:snapToGrid w:val="0"/>
        <w:spacing w:line="360" w:lineRule="auto"/>
        <w:ind w:firstLine="424" w:firstLineChars="200"/>
        <w:rPr>
          <w:rFonts w:ascii="宋体" w:hAnsi="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ascii="宋体" w:hAnsi="宋体" w:cs="宋体"/>
          <w:b/>
          <w:color w:val="000000" w:themeColor="text1"/>
          <w:szCs w:val="21"/>
          <w14:textFill>
            <w14:solidFill>
              <w14:schemeClr w14:val="tx1"/>
            </w14:solidFill>
          </w14:textFill>
        </w:rPr>
        <w:t>6</w:t>
      </w:r>
      <w:r>
        <w:rPr>
          <w:rFonts w:hint="eastAsia" w:ascii="宋体" w:hAnsi="宋体" w:cs="宋体"/>
          <w:b/>
          <w:color w:val="000000" w:themeColor="text1"/>
          <w:szCs w:val="21"/>
          <w14:textFill>
            <w14:solidFill>
              <w14:schemeClr w14:val="tx1"/>
            </w14:solidFill>
          </w14:textFill>
        </w:rPr>
        <w:t>）投标文件明显不符合采购文件要求的或者与采购文件标注“▲”的条款发生实质性负偏离的</w:t>
      </w:r>
      <w:r>
        <w:rPr>
          <w:rFonts w:hint="eastAsia" w:ascii="宋体" w:hAnsi="宋体"/>
          <w:b/>
          <w:color w:val="000000" w:themeColor="text1"/>
          <w:szCs w:val="21"/>
          <w14:textFill>
            <w14:solidFill>
              <w14:schemeClr w14:val="tx1"/>
            </w14:solidFill>
          </w14:textFill>
        </w:rPr>
        <w:t>。</w:t>
      </w:r>
    </w:p>
    <w:p>
      <w:pPr>
        <w:snapToGrid w:val="0"/>
        <w:spacing w:line="360" w:lineRule="auto"/>
        <w:ind w:firstLine="424" w:firstLineChars="200"/>
        <w:rPr>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r>
        <w:rPr>
          <w:rFonts w:ascii="宋体" w:hAnsi="宋体" w:cs="宋体"/>
          <w:b/>
          <w:color w:val="000000" w:themeColor="text1"/>
          <w:szCs w:val="21"/>
          <w14:textFill>
            <w14:solidFill>
              <w14:schemeClr w14:val="tx1"/>
            </w14:solidFill>
          </w14:textFill>
        </w:rPr>
        <w:t>7</w:t>
      </w:r>
      <w:r>
        <w:rPr>
          <w:rFonts w:hint="eastAsia" w:ascii="宋体" w:hAnsi="宋体" w:cs="宋体"/>
          <w:b/>
          <w:color w:val="000000" w:themeColor="text1"/>
          <w:szCs w:val="21"/>
          <w14:textFill>
            <w14:solidFill>
              <w14:schemeClr w14:val="tx1"/>
            </w14:solidFill>
          </w14:textFill>
        </w:rPr>
        <w:t>）响应文件解密失败的。</w:t>
      </w:r>
    </w:p>
    <w:p>
      <w:pPr>
        <w:snapToGrid w:val="0"/>
        <w:spacing w:line="440" w:lineRule="exact"/>
        <w:ind w:firstLine="424" w:firstLineChars="20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7.2</w:t>
      </w:r>
      <w:r>
        <w:rPr>
          <w:rFonts w:hint="eastAsia" w:ascii="宋体" w:hAnsi="宋体"/>
          <w:b/>
          <w:color w:val="000000" w:themeColor="text1"/>
          <w:szCs w:val="21"/>
          <w14:textFill>
            <w14:solidFill>
              <w14:schemeClr w14:val="tx1"/>
            </w14:solidFill>
          </w14:textFill>
        </w:rPr>
        <w:t>有下列情形之一的，视为投标人串通投标，其投标无效：</w:t>
      </w:r>
    </w:p>
    <w:p>
      <w:pPr>
        <w:snapToGrid w:val="0"/>
        <w:spacing w:line="400" w:lineRule="exact"/>
        <w:ind w:firstLine="424"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1</w:t>
      </w:r>
      <w:r>
        <w:rPr>
          <w:rFonts w:hint="eastAsia" w:ascii="宋体" w:hAnsi="宋体"/>
          <w:b/>
          <w:color w:val="000000" w:themeColor="text1"/>
          <w:szCs w:val="21"/>
          <w14:textFill>
            <w14:solidFill>
              <w14:schemeClr w14:val="tx1"/>
            </w14:solidFill>
          </w14:textFill>
        </w:rPr>
        <w:t>）不同投标人的投标文件由同一单位或者个人编制；</w:t>
      </w:r>
    </w:p>
    <w:p>
      <w:pPr>
        <w:snapToGrid w:val="0"/>
        <w:spacing w:line="400" w:lineRule="exact"/>
        <w:ind w:firstLine="424"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）不同投标人委托同一单位或者个人办理投标事宜；</w:t>
      </w:r>
    </w:p>
    <w:p>
      <w:pPr>
        <w:snapToGrid w:val="0"/>
        <w:spacing w:line="400" w:lineRule="exact"/>
        <w:ind w:firstLine="424"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）不同投标人的投标文件载明的项目管理成员或者联系人员为同一人；</w:t>
      </w:r>
    </w:p>
    <w:p>
      <w:pPr>
        <w:snapToGrid w:val="0"/>
        <w:spacing w:line="400" w:lineRule="exact"/>
        <w:ind w:firstLine="424"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4</w:t>
      </w:r>
      <w:r>
        <w:rPr>
          <w:rFonts w:hint="eastAsia" w:ascii="宋体" w:hAnsi="宋体"/>
          <w:b/>
          <w:color w:val="000000" w:themeColor="text1"/>
          <w:szCs w:val="21"/>
          <w14:textFill>
            <w14:solidFill>
              <w14:schemeClr w14:val="tx1"/>
            </w14:solidFill>
          </w14:textFill>
        </w:rPr>
        <w:t>）不同投标人的投标文件异常一致或者投标报价呈规律性差异；</w:t>
      </w:r>
    </w:p>
    <w:p>
      <w:pPr>
        <w:snapToGrid w:val="0"/>
        <w:spacing w:line="400" w:lineRule="exact"/>
        <w:ind w:firstLine="424"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5</w:t>
      </w:r>
      <w:r>
        <w:rPr>
          <w:rFonts w:hint="eastAsia" w:ascii="宋体" w:hAnsi="宋体"/>
          <w:b/>
          <w:color w:val="000000" w:themeColor="text1"/>
          <w:szCs w:val="21"/>
          <w14:textFill>
            <w14:solidFill>
              <w14:schemeClr w14:val="tx1"/>
            </w14:solidFill>
          </w14:textFill>
        </w:rPr>
        <w:t>）不同投标人的投标文件相互混装；</w:t>
      </w:r>
    </w:p>
    <w:p>
      <w:pPr>
        <w:snapToGrid w:val="0"/>
        <w:spacing w:line="400" w:lineRule="exact"/>
        <w:ind w:firstLine="424" w:firstLineChars="20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7.3</w:t>
      </w:r>
      <w:r>
        <w:rPr>
          <w:rFonts w:hint="eastAsia" w:ascii="宋体" w:hAnsi="宋体"/>
          <w:b/>
          <w:color w:val="000000" w:themeColor="text1"/>
          <w:szCs w:val="2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08"/>
        <w:spacing w:line="440" w:lineRule="exact"/>
        <w:ind w:firstLine="424" w:firstLineChars="200"/>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8.</w:t>
      </w:r>
      <w:r>
        <w:rPr>
          <w:rFonts w:hint="eastAsia" w:ascii="宋体" w:hAnsi="宋体"/>
          <w:b/>
          <w:color w:val="000000" w:themeColor="text1"/>
          <w:szCs w:val="21"/>
          <w14:textFill>
            <w14:solidFill>
              <w14:schemeClr w14:val="tx1"/>
            </w14:solidFill>
          </w14:textFill>
        </w:rPr>
        <w:t>废标的情形</w:t>
      </w:r>
    </w:p>
    <w:p>
      <w:pPr>
        <w:pStyle w:val="108"/>
        <w:spacing w:line="440" w:lineRule="exact"/>
        <w:ind w:firstLine="421"/>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8.1 </w:t>
      </w:r>
      <w:r>
        <w:rPr>
          <w:rFonts w:hint="eastAsia" w:ascii="宋体" w:hAnsi="宋体"/>
          <w:b/>
          <w:color w:val="000000" w:themeColor="text1"/>
          <w:szCs w:val="21"/>
          <w14:textFill>
            <w14:solidFill>
              <w14:schemeClr w14:val="tx1"/>
            </w14:solidFill>
          </w14:textFill>
        </w:rPr>
        <w:t>如出现以下情况之一的，则废标：</w:t>
      </w:r>
    </w:p>
    <w:p>
      <w:pPr>
        <w:pStyle w:val="108"/>
        <w:spacing w:line="440" w:lineRule="exact"/>
        <w:ind w:firstLine="421"/>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）投标截止时间后或评审期间，符合专业条件的供应商或者对招标文件作实质响应的投标人不足三家的；</w:t>
      </w:r>
    </w:p>
    <w:p>
      <w:pPr>
        <w:pStyle w:val="108"/>
        <w:spacing w:line="440" w:lineRule="exact"/>
        <w:ind w:firstLine="421"/>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）出现影响采购公正的违法、违规行为的；</w:t>
      </w:r>
    </w:p>
    <w:p>
      <w:pPr>
        <w:pStyle w:val="108"/>
        <w:spacing w:line="440" w:lineRule="exact"/>
        <w:ind w:firstLine="421"/>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3</w:t>
      </w:r>
      <w:r>
        <w:rPr>
          <w:rFonts w:hint="eastAsia" w:ascii="宋体" w:hAnsi="宋体"/>
          <w:bCs/>
          <w:color w:val="000000" w:themeColor="text1"/>
          <w:szCs w:val="21"/>
          <w14:textFill>
            <w14:solidFill>
              <w14:schemeClr w14:val="tx1"/>
            </w14:solidFill>
          </w14:textFill>
        </w:rPr>
        <w:t>）投标人的报价均超过了采购预算，采购人不能支付的；</w:t>
      </w:r>
    </w:p>
    <w:p>
      <w:pPr>
        <w:pStyle w:val="108"/>
        <w:spacing w:line="440" w:lineRule="exact"/>
        <w:ind w:firstLine="421"/>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4</w:t>
      </w:r>
      <w:r>
        <w:rPr>
          <w:rFonts w:hint="eastAsia" w:ascii="宋体" w:hAnsi="宋体"/>
          <w:bCs/>
          <w:color w:val="000000" w:themeColor="text1"/>
          <w:szCs w:val="21"/>
          <w14:textFill>
            <w14:solidFill>
              <w14:schemeClr w14:val="tx1"/>
            </w14:solidFill>
          </w14:textFill>
        </w:rPr>
        <w:t>）因重大变故，采购任务取消的。</w:t>
      </w:r>
    </w:p>
    <w:p>
      <w:pPr>
        <w:pStyle w:val="108"/>
        <w:spacing w:line="440" w:lineRule="exact"/>
        <w:ind w:firstLine="421"/>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8.2 </w:t>
      </w:r>
      <w:r>
        <w:rPr>
          <w:rFonts w:hint="eastAsia" w:ascii="宋体" w:hAnsi="宋体"/>
          <w:b/>
          <w:color w:val="000000" w:themeColor="text1"/>
          <w:szCs w:val="21"/>
          <w14:textFill>
            <w14:solidFill>
              <w14:schemeClr w14:val="tx1"/>
            </w14:solidFill>
          </w14:textFill>
        </w:rPr>
        <w:t>废标后，废标理由将在原招标公告发布媒体上公告通知所有投标人。</w:t>
      </w:r>
    </w:p>
    <w:p>
      <w:pPr>
        <w:pStyle w:val="21"/>
        <w:snapToGrid w:val="0"/>
        <w:spacing w:line="440" w:lineRule="exact"/>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9.评标过程的监控</w:t>
      </w:r>
    </w:p>
    <w:p>
      <w:pPr>
        <w:pStyle w:val="21"/>
        <w:snapToGrid w:val="0"/>
        <w:spacing w:line="440" w:lineRule="exact"/>
        <w:ind w:firstLine="424"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本项目评标过程实行全程录音、录像监控，投标人在评标过程中所进行的</w:t>
      </w:r>
      <w:r>
        <w:rPr>
          <w:rFonts w:hint="eastAsia" w:hAnsi="宋体"/>
          <w:color w:val="000000" w:themeColor="text1"/>
          <w14:textFill>
            <w14:solidFill>
              <w14:schemeClr w14:val="tx1"/>
            </w14:solidFill>
          </w14:textFill>
        </w:rPr>
        <w:t>试</w:t>
      </w:r>
      <w:r>
        <w:rPr>
          <w:rFonts w:hAnsi="宋体"/>
          <w:color w:val="000000" w:themeColor="text1"/>
          <w14:textFill>
            <w14:solidFill>
              <w14:schemeClr w14:val="tx1"/>
            </w14:solidFill>
          </w14:textFill>
        </w:rPr>
        <w:t>图影响评标结果的不公正活动，可能导致其投标被拒绝。</w:t>
      </w:r>
    </w:p>
    <w:p>
      <w:pPr>
        <w:snapToGrid w:val="0"/>
        <w:spacing w:line="440" w:lineRule="exact"/>
        <w:ind w:firstLine="424" w:firstLineChars="200"/>
        <w:rPr>
          <w:rFonts w:hAnsi="宋体" w:cs="宋体"/>
          <w:b/>
          <w:color w:val="000000" w:themeColor="text1"/>
          <w:szCs w:val="21"/>
          <w14:textFill>
            <w14:solidFill>
              <w14:schemeClr w14:val="tx1"/>
            </w14:solidFill>
          </w14:textFill>
        </w:rPr>
      </w:pPr>
      <w:r>
        <w:rPr>
          <w:rFonts w:hAnsi="宋体" w:cs="宋体"/>
          <w:b/>
          <w:color w:val="000000" w:themeColor="text1"/>
          <w:szCs w:val="21"/>
          <w14:textFill>
            <w14:solidFill>
              <w14:schemeClr w14:val="tx1"/>
            </w14:solidFill>
          </w14:textFill>
        </w:rPr>
        <w:t xml:space="preserve">                            </w:t>
      </w:r>
    </w:p>
    <w:p>
      <w:pPr>
        <w:pStyle w:val="7"/>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七、定标</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（一）确定中标人</w:t>
      </w:r>
    </w:p>
    <w:p>
      <w:pPr>
        <w:snapToGrid w:val="0"/>
        <w:spacing w:line="44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采购代理机构在评标结束后</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个工作日内将评标报告交采购人确认</w:t>
      </w:r>
      <w:r>
        <w:rPr>
          <w:rFonts w:ascii="宋体" w:hAnsi="宋体" w:cs="宋体"/>
          <w:color w:val="000000" w:themeColor="text1"/>
          <w:szCs w:val="21"/>
          <w14:textFill>
            <w14:solidFill>
              <w14:schemeClr w14:val="tx1"/>
            </w14:solidFill>
          </w14:textFill>
        </w:rPr>
        <w:t>.</w:t>
      </w:r>
    </w:p>
    <w:p>
      <w:pPr>
        <w:pStyle w:val="38"/>
        <w:rPr>
          <w:color w:val="000000" w:themeColor="text1"/>
          <w14:textFill>
            <w14:solidFill>
              <w14:schemeClr w14:val="tx1"/>
            </w14:solidFill>
          </w14:textFill>
        </w:rPr>
      </w:pPr>
      <w:r>
        <w:rPr>
          <w:rFonts w:ascii="宋体" w:hAnsi="宋体" w:eastAsia="宋体" w:cs="宋体"/>
          <w:color w:val="000000" w:themeColor="text1"/>
          <w:sz w:val="21"/>
          <w:szCs w:val="21"/>
          <w:lang w:val="en-US"/>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投标人对评标结果无异议的，采购人应在收到评标报告后</w:t>
      </w: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个工作日内对评标结果进行确认。</w:t>
      </w:r>
    </w:p>
    <w:p>
      <w:pPr>
        <w:snapToGrid w:val="0"/>
        <w:spacing w:line="440" w:lineRule="exact"/>
        <w:ind w:firstLine="424" w:firstLineChars="200"/>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采购人依法确定中标人后，采购代理机构向中标人发出《中标通知书》。</w:t>
      </w:r>
    </w:p>
    <w:p>
      <w:pPr>
        <w:pStyle w:val="95"/>
        <w:rPr>
          <w:color w:val="000000" w:themeColor="text1"/>
          <w14:textFill>
            <w14:solidFill>
              <w14:schemeClr w14:val="tx1"/>
            </w14:solidFill>
          </w14:textFill>
        </w:rPr>
      </w:pPr>
    </w:p>
    <w:p>
      <w:pPr>
        <w:pStyle w:val="7"/>
        <w:jc w:val="center"/>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八、合同授予</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（一）签订合同</w:t>
      </w:r>
    </w:p>
    <w:p>
      <w:pPr>
        <w:snapToGrid w:val="0"/>
        <w:spacing w:line="44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采购人与中标人应当在《中标通知书》发出之日起</w:t>
      </w:r>
      <w:r>
        <w:rPr>
          <w:rFonts w:ascii="宋体" w:hAnsi="宋体" w:cs="宋体"/>
          <w:color w:val="000000" w:themeColor="text1"/>
          <w:szCs w:val="21"/>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日内签订政府采购合同。</w:t>
      </w:r>
    </w:p>
    <w:p>
      <w:pPr>
        <w:snapToGrid w:val="0"/>
        <w:spacing w:line="440" w:lineRule="exact"/>
        <w:ind w:firstLine="424" w:firstLineChars="200"/>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中标人</w:t>
      </w:r>
      <w:r>
        <w:rPr>
          <w:rFonts w:ascii="宋体" w:hAnsi="宋体"/>
          <w:color w:val="000000" w:themeColor="text1"/>
          <w:szCs w:val="21"/>
          <w14:textFill>
            <w14:solidFill>
              <w14:schemeClr w14:val="tx1"/>
            </w14:solidFill>
          </w14:textFill>
        </w:rPr>
        <w:t>拖延、拒签合同的,</w:t>
      </w:r>
      <w:r>
        <w:rPr>
          <w:rFonts w:hint="eastAsia" w:ascii="宋体" w:hAnsi="宋体" w:cs="宋体"/>
          <w:color w:val="000000" w:themeColor="text1"/>
          <w:szCs w:val="21"/>
          <w14:textFill>
            <w14:solidFill>
              <w14:schemeClr w14:val="tx1"/>
            </w14:solidFill>
          </w14:textFill>
        </w:rPr>
        <w:t>应当按照本项目采购预算价</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的标准承担因此给采购单位造成的损失的赔偿责任及相应的法律责任</w:t>
      </w:r>
      <w:r>
        <w:rPr>
          <w:rFonts w:ascii="宋体" w:hAnsi="宋体"/>
          <w:color w:val="000000" w:themeColor="text1"/>
          <w:szCs w:val="21"/>
          <w14:textFill>
            <w14:solidFill>
              <w14:schemeClr w14:val="tx1"/>
            </w14:solidFill>
          </w14:textFill>
        </w:rPr>
        <w:t>。</w:t>
      </w:r>
    </w:p>
    <w:p>
      <w:pPr>
        <w:pStyle w:val="21"/>
        <w:snapToGrid w:val="0"/>
        <w:spacing w:line="400" w:lineRule="exact"/>
        <w:ind w:firstLine="414" w:firstLineChars="196"/>
        <w:outlineLvl w:val="1"/>
        <w:rPr>
          <w:rFonts w:hAnsi="宋体" w:cs="宋体"/>
          <w:b/>
          <w:bCs/>
          <w:color w:val="000000" w:themeColor="text1"/>
          <w:szCs w:val="21"/>
          <w14:textFill>
            <w14:solidFill>
              <w14:schemeClr w14:val="tx1"/>
            </w14:solidFill>
          </w14:textFill>
        </w:rPr>
      </w:pPr>
      <w:r>
        <w:rPr>
          <w:rFonts w:hint="eastAsia" w:hAnsi="宋体" w:cs="宋体"/>
          <w:b/>
          <w:bCs/>
          <w:color w:val="000000" w:themeColor="text1"/>
          <w:szCs w:val="21"/>
          <w14:textFill>
            <w14:solidFill>
              <w14:schemeClr w14:val="tx1"/>
            </w14:solidFill>
          </w14:textFill>
        </w:rPr>
        <w:t>（二）履约保证金</w:t>
      </w:r>
    </w:p>
    <w:p>
      <w:pPr>
        <w:spacing w:line="440" w:lineRule="exact"/>
        <w:ind w:firstLine="438" w:firstLineChars="207"/>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中标人在收到中标通知书后、签订合同前，需向采购人提交合同金额</w:t>
      </w:r>
      <w:r>
        <w:rPr>
          <w:rFonts w:ascii="宋体" w:hAnsi="宋体"/>
          <w:color w:val="000000" w:themeColor="text1"/>
          <w:szCs w:val="21"/>
          <w:u w:val="single"/>
          <w14:textFill>
            <w14:solidFill>
              <w14:schemeClr w14:val="tx1"/>
            </w14:solidFill>
          </w14:textFill>
        </w:rPr>
        <w:t>5%</w:t>
      </w:r>
      <w:r>
        <w:rPr>
          <w:rFonts w:hint="eastAsia" w:ascii="宋体" w:hAnsi="宋体"/>
          <w:color w:val="000000" w:themeColor="text1"/>
          <w:szCs w:val="21"/>
          <w14:textFill>
            <w14:solidFill>
              <w14:schemeClr w14:val="tx1"/>
            </w14:solidFill>
          </w14:textFill>
        </w:rPr>
        <w:t>的履约保证金。</w:t>
      </w:r>
      <w:r>
        <w:rPr>
          <w:rFonts w:ascii="宋体" w:hAnsi="宋体"/>
          <w:color w:val="000000" w:themeColor="text1"/>
          <w:szCs w:val="21"/>
          <w14:textFill>
            <w14:solidFill>
              <w14:schemeClr w14:val="tx1"/>
            </w14:solidFill>
          </w14:textFill>
        </w:rPr>
        <w:t xml:space="preserve"> </w:t>
      </w:r>
    </w:p>
    <w:p>
      <w:pPr>
        <w:spacing w:line="440" w:lineRule="exact"/>
        <w:ind w:firstLine="424" w:firstLineChars="200"/>
        <w:rPr>
          <w:rFonts w:ascii="宋体" w:hAnsi="宋体" w:cs="宋体"/>
          <w:b/>
          <w:color w:val="000000" w:themeColor="text1"/>
          <w:sz w:val="36"/>
          <w:szCs w:val="36"/>
          <w:lang w:val="zh-CN"/>
          <w14:textFill>
            <w14:solidFill>
              <w14:schemeClr w14:val="tx1"/>
            </w14:solidFill>
          </w14:textFill>
        </w:rPr>
      </w:pPr>
      <w:r>
        <w:rPr>
          <w:rFonts w:ascii="宋体" w:hAnsi="宋体"/>
          <w:color w:val="000000" w:themeColor="text1"/>
          <w:szCs w:val="21"/>
          <w14:textFill>
            <w14:solidFill>
              <w14:schemeClr w14:val="tx1"/>
            </w14:solidFill>
          </w14:textFill>
        </w:rPr>
        <w:t>2.履约保证金用于补偿买方因卖方不能完成其合同义务而蒙受的损失。</w:t>
      </w:r>
    </w:p>
    <w:p>
      <w:pPr>
        <w:pStyle w:val="7"/>
        <w:jc w:val="center"/>
        <w:rPr>
          <w:b w:val="0"/>
          <w:color w:val="000000" w:themeColor="text1"/>
          <w14:textFill>
            <w14:solidFill>
              <w14:schemeClr w14:val="tx1"/>
            </w14:solidFill>
          </w14:textFill>
        </w:rPr>
      </w:pPr>
      <w:bookmarkStart w:id="7" w:name="_Toc16204"/>
      <w:r>
        <w:rPr>
          <w:rFonts w:hint="eastAsia"/>
          <w:b w:val="0"/>
          <w:color w:val="000000" w:themeColor="text1"/>
          <w14:textFill>
            <w14:solidFill>
              <w14:schemeClr w14:val="tx1"/>
            </w14:solidFill>
          </w14:textFill>
        </w:rPr>
        <w:t>九、政府采购扶持政策说明</w:t>
      </w:r>
      <w:bookmarkEnd w:id="7"/>
    </w:p>
    <w:p>
      <w:pPr>
        <w:numPr>
          <w:ilvl w:val="0"/>
          <w:numId w:val="5"/>
        </w:numPr>
        <w:spacing w:line="360" w:lineRule="auto"/>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享受小微企业价格折扣应具备的条件</w:t>
      </w:r>
    </w:p>
    <w:p>
      <w:pPr>
        <w:numPr>
          <w:ilvl w:val="0"/>
          <w:numId w:val="6"/>
        </w:numPr>
        <w:spacing w:line="360" w:lineRule="auto"/>
        <w:ind w:left="424" w:left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符合中小企业划分标准；</w:t>
      </w:r>
    </w:p>
    <w:p>
      <w:pPr>
        <w:spacing w:line="360" w:lineRule="auto"/>
        <w:ind w:firstLine="424"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w:t>
      </w:r>
    </w:p>
    <w:p>
      <w:pPr>
        <w:spacing w:line="360" w:lineRule="auto"/>
        <w:jc w:val="left"/>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、享受小微企业价格折扣应提供以下证明材料（缺一不可）：</w:t>
      </w:r>
    </w:p>
    <w:p>
      <w:pPr>
        <w:spacing w:line="360" w:lineRule="auto"/>
        <w:ind w:firstLine="424"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）《中小企业声明函》【格式见附件一】；</w:t>
      </w:r>
    </w:p>
    <w:p>
      <w:pPr>
        <w:spacing w:line="360" w:lineRule="auto"/>
        <w:ind w:firstLine="424"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）“国家企业信用信息公示系统</w:t>
      </w:r>
      <w:r>
        <w:rPr>
          <w:rFonts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小微企业名录”页面查询结果（查询时间为本项目招标公告发布时间之后，开标时间之前为准）；</w:t>
      </w:r>
    </w:p>
    <w:p>
      <w:pPr>
        <w:pStyle w:val="38"/>
        <w:ind w:firstLine="424" w:firstLineChars="20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r>
        <w:rPr>
          <w:rFonts w:ascii="宋体" w:hAnsi="宋体" w:eastAsia="宋体" w:cs="宋体"/>
          <w:bCs/>
          <w:color w:val="000000" w:themeColor="text1"/>
          <w:sz w:val="21"/>
          <w:szCs w:val="21"/>
          <w14:textFill>
            <w14:solidFill>
              <w14:schemeClr w14:val="tx1"/>
            </w14:solidFill>
          </w14:textFill>
        </w:rPr>
        <w:t>3</w:t>
      </w:r>
      <w:r>
        <w:rPr>
          <w:rFonts w:hint="eastAsia" w:ascii="宋体" w:hAnsi="宋体" w:eastAsia="宋体" w:cs="宋体"/>
          <w:bCs/>
          <w:color w:val="000000" w:themeColor="text1"/>
          <w:sz w:val="21"/>
          <w:szCs w:val="21"/>
          <w14:textFill>
            <w14:solidFill>
              <w14:schemeClr w14:val="tx1"/>
            </w14:solidFill>
          </w14:textFill>
        </w:rPr>
        <w:t>）投标产品（服务）适用中小企业扶持政策情况表【格式见附件三】。</w:t>
      </w:r>
    </w:p>
    <w:p>
      <w:pPr>
        <w:spacing w:line="360" w:lineRule="auto"/>
        <w:jc w:val="left"/>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、享受监狱企业价格折扣应提供以下证明材料（缺一不可）：</w:t>
      </w:r>
    </w:p>
    <w:p>
      <w:pPr>
        <w:spacing w:line="360" w:lineRule="auto"/>
        <w:ind w:firstLine="424"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）监狱企业参加政府采购活动时，应当提供由省级以上监狱管理局、戒毒管理局</w:t>
      </w:r>
      <w:r>
        <w:rPr>
          <w:rFonts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含新疆生产建设兵团</w:t>
      </w:r>
      <w:r>
        <w:rPr>
          <w:rFonts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出具的属于监狱企业的证明文件。在政府采购活动中，监狱企业视同小型、微型企业，享受评审中价格扣除政策；</w:t>
      </w:r>
    </w:p>
    <w:p>
      <w:pPr>
        <w:pStyle w:val="38"/>
        <w:ind w:firstLine="424" w:firstLineChars="20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r>
        <w:rPr>
          <w:rFonts w:ascii="宋体" w:hAnsi="宋体" w:eastAsia="宋体" w:cs="宋体"/>
          <w:bCs/>
          <w:color w:val="000000" w:themeColor="text1"/>
          <w:sz w:val="21"/>
          <w:szCs w:val="21"/>
          <w14:textFill>
            <w14:solidFill>
              <w14:schemeClr w14:val="tx1"/>
            </w14:solidFill>
          </w14:textFill>
        </w:rPr>
        <w:t>2</w:t>
      </w:r>
      <w:r>
        <w:rPr>
          <w:rFonts w:hint="eastAsia" w:ascii="宋体" w:hAnsi="宋体" w:eastAsia="宋体" w:cs="宋体"/>
          <w:bCs/>
          <w:color w:val="000000" w:themeColor="text1"/>
          <w:sz w:val="21"/>
          <w:szCs w:val="21"/>
          <w14:textFill>
            <w14:solidFill>
              <w14:schemeClr w14:val="tx1"/>
            </w14:solidFill>
          </w14:textFill>
        </w:rPr>
        <w:t>）投标产品（服务）适用中小企业扶持政策情况表【格式见附件三】。</w:t>
      </w:r>
    </w:p>
    <w:p>
      <w:pPr>
        <w:spacing w:line="360" w:lineRule="auto"/>
        <w:jc w:val="left"/>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4</w:t>
      </w:r>
      <w:r>
        <w:rPr>
          <w:rFonts w:hint="eastAsia" w:ascii="宋体" w:hAnsi="宋体" w:cs="宋体"/>
          <w:b/>
          <w:color w:val="000000" w:themeColor="text1"/>
          <w:szCs w:val="21"/>
          <w14:textFill>
            <w14:solidFill>
              <w14:schemeClr w14:val="tx1"/>
            </w14:solidFill>
          </w14:textFill>
        </w:rPr>
        <w:t>、享受残疾人福利性单位格折扣应提供以下证明材料（缺一不可）：</w:t>
      </w:r>
    </w:p>
    <w:p>
      <w:pPr>
        <w:spacing w:line="360" w:lineRule="auto"/>
        <w:ind w:firstLine="424" w:firstLineChars="200"/>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）残疾人福利性单位声明函【格式见附件二】；</w:t>
      </w:r>
    </w:p>
    <w:p>
      <w:pPr>
        <w:pStyle w:val="100"/>
        <w:ind w:firstLine="424" w:firstLineChars="200"/>
        <w:jc w:val="left"/>
        <w:rPr>
          <w:rFonts w:ascii="宋体" w:hAnsi="宋体" w:cs="宋体"/>
          <w:bCs/>
          <w:color w:val="000000" w:themeColor="text1"/>
          <w:lang w:val="en-GB"/>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ascii="宋体" w:hAnsi="宋体" w:cs="宋体"/>
          <w:bCs/>
          <w:color w:val="000000" w:themeColor="text1"/>
          <w14:textFill>
            <w14:solidFill>
              <w14:schemeClr w14:val="tx1"/>
            </w14:solidFill>
          </w14:textFill>
        </w:rPr>
        <w:t>2</w:t>
      </w:r>
      <w:r>
        <w:rPr>
          <w:rFonts w:hint="eastAsia" w:ascii="宋体" w:hAnsi="宋体" w:cs="宋体"/>
          <w:bCs/>
          <w:color w:val="000000" w:themeColor="text1"/>
          <w14:textFill>
            <w14:solidFill>
              <w14:schemeClr w14:val="tx1"/>
            </w14:solidFill>
          </w14:textFill>
        </w:rPr>
        <w:t>）投标产品（服务）适用中小企业扶持政策情况表【格式见附件三】</w:t>
      </w:r>
      <w:r>
        <w:rPr>
          <w:rFonts w:hint="eastAsia" w:ascii="宋体" w:hAnsi="宋体" w:cs="宋体"/>
          <w:bCs/>
          <w:color w:val="000000" w:themeColor="text1"/>
          <w:lang w:val="en-GB"/>
          <w14:textFill>
            <w14:solidFill>
              <w14:schemeClr w14:val="tx1"/>
            </w14:solidFill>
          </w14:textFill>
        </w:rPr>
        <w:t>。</w:t>
      </w:r>
    </w:p>
    <w:p>
      <w:pPr>
        <w:spacing w:line="44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附件一：</w:t>
      </w:r>
    </w:p>
    <w:p>
      <w:pPr>
        <w:pStyle w:val="95"/>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中小企业声明函</w:t>
      </w:r>
    </w:p>
    <w:p>
      <w:pPr>
        <w:pStyle w:val="38"/>
        <w:ind w:left="840" w:hanging="420"/>
        <w:rPr>
          <w:color w:val="000000" w:themeColor="text1"/>
          <w14:textFill>
            <w14:solidFill>
              <w14:schemeClr w14:val="tx1"/>
            </w14:solidFill>
          </w14:textFill>
        </w:rPr>
      </w:pPr>
    </w:p>
    <w:p>
      <w:pPr>
        <w:spacing w:line="360" w:lineRule="auto"/>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本公司郑重声明，根据《政府采购促进中小企业发展暂行办法》（财库</w:t>
      </w:r>
      <w:r>
        <w:rPr>
          <w:rFonts w:ascii="宋体" w:hAnsi="宋体" w:cs="宋体"/>
          <w:color w:val="000000" w:themeColor="text1"/>
          <w:szCs w:val="21"/>
          <w14:textFill>
            <w14:solidFill>
              <w14:schemeClr w14:val="tx1"/>
            </w14:solidFill>
          </w14:textFill>
        </w:rPr>
        <w:t>[2011]181</w:t>
      </w:r>
      <w:r>
        <w:rPr>
          <w:rFonts w:hint="eastAsia" w:ascii="宋体" w:hAnsi="宋体" w:cs="宋体"/>
          <w:color w:val="000000" w:themeColor="text1"/>
          <w:szCs w:val="21"/>
          <w14:textFill>
            <w14:solidFill>
              <w14:schemeClr w14:val="tx1"/>
            </w14:solidFill>
          </w14:textFill>
        </w:rPr>
        <w:t>号）的规定，本公司为</w:t>
      </w:r>
      <w:r>
        <w:rPr>
          <w:rFonts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（请填写：中型、小型、微型）企业。即，本公司同时满足以下条件：</w:t>
      </w:r>
      <w:r>
        <w:rPr>
          <w:rFonts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s="宋体"/>
          <w:color w:val="000000" w:themeColor="text1"/>
          <w:szCs w:val="21"/>
          <w14:textFill>
            <w14:solidFill>
              <w14:schemeClr w14:val="tx1"/>
            </w14:solidFill>
          </w14:textFill>
        </w:rPr>
        <w:t>[2011]300</w:t>
      </w:r>
      <w:r>
        <w:rPr>
          <w:rFonts w:hint="eastAsia" w:ascii="宋体" w:hAnsi="宋体" w:cs="宋体"/>
          <w:color w:val="000000" w:themeColor="text1"/>
          <w:szCs w:val="21"/>
          <w14:textFill>
            <w14:solidFill>
              <w14:schemeClr w14:val="tx1"/>
            </w14:solidFill>
          </w14:textFill>
        </w:rPr>
        <w:t>号）规定的划分标准，本公司为</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（请填写：中型、小型、微型）企业。</w:t>
      </w:r>
      <w:r>
        <w:rPr>
          <w:rFonts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本公司参加</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单位的</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项目采购活动提供本企业制造的货物，由本企业承担工程、提供服务，或者提供其他</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（请填写：中型、小型、微型）企业制造的货物。本条所称货物不包括使用大型企业注册商标的货物。</w:t>
      </w:r>
      <w:r>
        <w:rPr>
          <w:rFonts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本公司对上述声明的真实性负责。如有虚假，将依法承担相应责任。</w:t>
      </w:r>
    </w:p>
    <w:p>
      <w:pPr>
        <w:spacing w:line="440" w:lineRule="atLeast"/>
        <w:rPr>
          <w:rFonts w:ascii="宋体" w:hAnsi="宋体" w:cs="宋体"/>
          <w:color w:val="000000" w:themeColor="text1"/>
          <w:szCs w:val="21"/>
          <w14:textFill>
            <w14:solidFill>
              <w14:schemeClr w14:val="tx1"/>
            </w14:solidFill>
          </w14:textFill>
        </w:rPr>
      </w:pPr>
    </w:p>
    <w:p>
      <w:pPr>
        <w:pStyle w:val="108"/>
        <w:rPr>
          <w:rFonts w:ascii="宋体" w:hAnsi="宋体" w:cs="宋体"/>
          <w:color w:val="000000" w:themeColor="text1"/>
          <w:szCs w:val="21"/>
          <w14:textFill>
            <w14:solidFill>
              <w14:schemeClr w14:val="tx1"/>
            </w14:solidFill>
          </w14:textFill>
        </w:rPr>
      </w:pPr>
    </w:p>
    <w:p>
      <w:pPr>
        <w:pStyle w:val="108"/>
        <w:rPr>
          <w:rFonts w:ascii="宋体" w:hAnsi="宋体" w:cs="宋体"/>
          <w:color w:val="000000" w:themeColor="text1"/>
          <w:szCs w:val="21"/>
          <w14:textFill>
            <w14:solidFill>
              <w14:schemeClr w14:val="tx1"/>
            </w14:solidFill>
          </w14:textFill>
        </w:rPr>
      </w:pPr>
    </w:p>
    <w:p>
      <w:pPr>
        <w:spacing w:line="440" w:lineRule="atLeas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投标人（盖章）：  </w:t>
      </w:r>
    </w:p>
    <w:p>
      <w:pPr>
        <w:spacing w:line="440" w:lineRule="atLeas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w:t>
      </w:r>
      <w:r>
        <w:rPr>
          <w:rFonts w:ascii="宋体" w:hAnsi="宋体" w:cs="宋体"/>
          <w:b/>
          <w:bCs/>
          <w:color w:val="000000" w:themeColor="text1"/>
          <w:szCs w:val="21"/>
          <w14:textFill>
            <w14:solidFill>
              <w14:schemeClr w14:val="tx1"/>
            </w14:solidFill>
          </w14:textFill>
        </w:rPr>
        <w:br w:type="textWrapping"/>
      </w:r>
      <w:r>
        <w:rPr>
          <w:rFonts w:hint="eastAsia" w:ascii="宋体" w:hAnsi="宋体" w:cs="宋体"/>
          <w:b/>
          <w:bCs/>
          <w:color w:val="000000" w:themeColor="text1"/>
          <w:szCs w:val="21"/>
          <w14:textFill>
            <w14:solidFill>
              <w14:schemeClr w14:val="tx1"/>
            </w14:solidFill>
          </w14:textFill>
        </w:rPr>
        <w:t>法定代表人或授权代表（签字或盖章）：</w:t>
      </w:r>
    </w:p>
    <w:p>
      <w:pPr>
        <w:pStyle w:val="108"/>
        <w:adjustRightInd/>
        <w:rPr>
          <w:b/>
          <w:bCs/>
          <w:color w:val="000000" w:themeColor="text1"/>
          <w14:textFill>
            <w14:solidFill>
              <w14:schemeClr w14:val="tx1"/>
            </w14:solidFill>
          </w14:textFill>
        </w:rPr>
      </w:pPr>
    </w:p>
    <w:p>
      <w:pPr>
        <w:spacing w:line="440" w:lineRule="atLeas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日</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期：   </w:t>
      </w:r>
    </w:p>
    <w:p>
      <w:pPr>
        <w:spacing w:line="440" w:lineRule="atLeast"/>
        <w:rPr>
          <w:rFonts w:ascii="宋体" w:hAnsi="宋体" w:cs="宋体"/>
          <w:b/>
          <w:bCs/>
          <w:color w:val="000000" w:themeColor="text1"/>
          <w:szCs w:val="21"/>
          <w14:textFill>
            <w14:solidFill>
              <w14:schemeClr w14:val="tx1"/>
            </w14:solidFill>
          </w14:textFill>
        </w:rPr>
      </w:pPr>
    </w:p>
    <w:p>
      <w:pPr>
        <w:spacing w:line="440" w:lineRule="atLeast"/>
        <w:rPr>
          <w:rFonts w:ascii="宋体" w:hAnsi="宋体" w:cs="宋体"/>
          <w:color w:val="000000" w:themeColor="text1"/>
          <w:szCs w:val="21"/>
          <w14:textFill>
            <w14:solidFill>
              <w14:schemeClr w14:val="tx1"/>
            </w14:solidFill>
          </w14:textFill>
        </w:rPr>
      </w:pPr>
    </w:p>
    <w:p>
      <w:pPr>
        <w:spacing w:line="440" w:lineRule="atLeast"/>
        <w:rPr>
          <w:rFonts w:ascii="宋体" w:hAnsi="宋体" w:cs="宋体"/>
          <w:color w:val="000000" w:themeColor="text1"/>
          <w:szCs w:val="21"/>
          <w14:textFill>
            <w14:solidFill>
              <w14:schemeClr w14:val="tx1"/>
            </w14:solidFill>
          </w14:textFill>
        </w:rPr>
      </w:pPr>
    </w:p>
    <w:p>
      <w:pPr>
        <w:spacing w:line="440" w:lineRule="atLeast"/>
        <w:rPr>
          <w:rFonts w:ascii="宋体" w:hAnsi="宋体" w:cs="宋体"/>
          <w:color w:val="000000" w:themeColor="text1"/>
          <w:szCs w:val="21"/>
          <w14:textFill>
            <w14:solidFill>
              <w14:schemeClr w14:val="tx1"/>
            </w14:solidFill>
          </w14:textFill>
        </w:rPr>
      </w:pPr>
    </w:p>
    <w:p>
      <w:pPr>
        <w:pStyle w:val="100"/>
        <w:jc w:val="left"/>
        <w:rPr>
          <w:rFonts w:ascii="宋体"/>
          <w:color w:val="000000" w:themeColor="text1"/>
          <w:sz w:val="22"/>
          <w14:textFill>
            <w14:solidFill>
              <w14:schemeClr w14:val="tx1"/>
            </w14:solidFill>
          </w14:textFill>
        </w:rPr>
      </w:pPr>
      <w:bookmarkStart w:id="8" w:name="_Toc10011"/>
    </w:p>
    <w:p>
      <w:pPr>
        <w:pStyle w:val="100"/>
        <w:jc w:val="left"/>
        <w:rPr>
          <w:rFonts w:ascii="宋体"/>
          <w:color w:val="000000" w:themeColor="text1"/>
          <w:sz w:val="22"/>
          <w14:textFill>
            <w14:solidFill>
              <w14:schemeClr w14:val="tx1"/>
            </w14:solidFill>
          </w14:textFill>
        </w:rPr>
      </w:pPr>
    </w:p>
    <w:p>
      <w:pPr>
        <w:pStyle w:val="100"/>
        <w:jc w:val="left"/>
        <w:rPr>
          <w:rFonts w:ascii="宋体"/>
          <w:color w:val="000000" w:themeColor="text1"/>
          <w:sz w:val="22"/>
          <w14:textFill>
            <w14:solidFill>
              <w14:schemeClr w14:val="tx1"/>
            </w14:solidFill>
          </w14:textFill>
        </w:rPr>
      </w:pPr>
    </w:p>
    <w:p>
      <w:pPr>
        <w:pStyle w:val="100"/>
        <w:jc w:val="left"/>
        <w:rPr>
          <w:rFonts w:ascii="宋体"/>
          <w:color w:val="000000" w:themeColor="text1"/>
          <w:sz w:val="22"/>
          <w14:textFill>
            <w14:solidFill>
              <w14:schemeClr w14:val="tx1"/>
            </w14:solidFill>
          </w14:textFill>
        </w:rPr>
      </w:pPr>
    </w:p>
    <w:p>
      <w:pPr>
        <w:pStyle w:val="100"/>
        <w:jc w:val="left"/>
        <w:rPr>
          <w:rFonts w:ascii="宋体"/>
          <w:color w:val="000000" w:themeColor="text1"/>
          <w:sz w:val="22"/>
          <w14:textFill>
            <w14:solidFill>
              <w14:schemeClr w14:val="tx1"/>
            </w14:solidFill>
          </w14:textFill>
        </w:rPr>
      </w:pPr>
    </w:p>
    <w:p>
      <w:pPr>
        <w:pStyle w:val="100"/>
        <w:jc w:val="left"/>
        <w:rPr>
          <w:rFonts w:ascii="宋体"/>
          <w:color w:val="000000" w:themeColor="text1"/>
          <w:sz w:val="22"/>
          <w14:textFill>
            <w14:solidFill>
              <w14:schemeClr w14:val="tx1"/>
            </w14:solidFill>
          </w14:textFill>
        </w:rPr>
      </w:pPr>
    </w:p>
    <w:p>
      <w:pPr>
        <w:pStyle w:val="100"/>
        <w:jc w:val="left"/>
        <w:rPr>
          <w:rFonts w:ascii="宋体"/>
          <w:color w:val="000000" w:themeColor="text1"/>
          <w:sz w:val="22"/>
          <w14:textFill>
            <w14:solidFill>
              <w14:schemeClr w14:val="tx1"/>
            </w14:solidFill>
          </w14:textFill>
        </w:rPr>
      </w:pPr>
    </w:p>
    <w:p>
      <w:pPr>
        <w:pStyle w:val="100"/>
        <w:jc w:val="left"/>
        <w:rPr>
          <w:rFonts w:ascii="宋体"/>
          <w:color w:val="000000" w:themeColor="text1"/>
          <w:sz w:val="22"/>
          <w14:textFill>
            <w14:solidFill>
              <w14:schemeClr w14:val="tx1"/>
            </w14:solidFill>
          </w14:textFill>
        </w:rPr>
      </w:pPr>
    </w:p>
    <w:p>
      <w:pPr>
        <w:pStyle w:val="100"/>
        <w:jc w:val="left"/>
        <w:rPr>
          <w:rFonts w:ascii="宋体"/>
          <w:color w:val="000000" w:themeColor="text1"/>
          <w:sz w:val="22"/>
          <w14:textFill>
            <w14:solidFill>
              <w14:schemeClr w14:val="tx1"/>
            </w14:solidFill>
          </w14:textFill>
        </w:rPr>
      </w:pPr>
    </w:p>
    <w:p>
      <w:pPr>
        <w:pStyle w:val="100"/>
        <w:jc w:val="left"/>
        <w:rPr>
          <w:rFonts w:ascii="宋体"/>
          <w:color w:val="000000" w:themeColor="text1"/>
          <w:sz w:val="22"/>
          <w14:textFill>
            <w14:solidFill>
              <w14:schemeClr w14:val="tx1"/>
            </w14:solidFill>
          </w14:textFill>
        </w:rPr>
      </w:pPr>
    </w:p>
    <w:p>
      <w:pPr>
        <w:pStyle w:val="100"/>
        <w:jc w:val="left"/>
        <w:rPr>
          <w:rFonts w:ascii="宋体"/>
          <w:color w:val="000000" w:themeColor="text1"/>
          <w:sz w:val="22"/>
          <w14:textFill>
            <w14:solidFill>
              <w14:schemeClr w14:val="tx1"/>
            </w14:solidFill>
          </w14:textFill>
        </w:rPr>
      </w:pPr>
    </w:p>
    <w:p>
      <w:pPr>
        <w:pStyle w:val="100"/>
        <w:jc w:val="left"/>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附件二：</w:t>
      </w:r>
      <w:bookmarkEnd w:id="8"/>
      <w:r>
        <w:rPr>
          <w:rFonts w:ascii="宋体"/>
          <w:color w:val="000000" w:themeColor="text1"/>
          <w:sz w:val="22"/>
          <w14:textFill>
            <w14:solidFill>
              <w14:schemeClr w14:val="tx1"/>
            </w14:solidFill>
          </w14:textFill>
        </w:rPr>
        <w:t xml:space="preserve"> </w:t>
      </w:r>
      <w:bookmarkStart w:id="9" w:name="OLE_LINK14"/>
    </w:p>
    <w:p>
      <w:pPr>
        <w:pStyle w:val="95"/>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残疾人福利性单位声明函</w:t>
      </w:r>
      <w:bookmarkEnd w:id="9"/>
    </w:p>
    <w:p>
      <w:pPr>
        <w:pStyle w:val="95"/>
        <w:rPr>
          <w:color w:val="000000" w:themeColor="text1"/>
          <w14:textFill>
            <w14:solidFill>
              <w14:schemeClr w14:val="tx1"/>
            </w14:solidFill>
          </w14:textFill>
        </w:rPr>
      </w:pPr>
    </w:p>
    <w:p>
      <w:pPr>
        <w:spacing w:line="588" w:lineRule="exact"/>
        <w:ind w:firstLine="444" w:firstLineChars="200"/>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本单位郑重声明，根据《财政部</w:t>
      </w:r>
      <w:r>
        <w:rPr>
          <w:rFonts w:ascii="宋体"/>
          <w:color w:val="000000" w:themeColor="text1"/>
          <w:sz w:val="22"/>
          <w14:textFill>
            <w14:solidFill>
              <w14:schemeClr w14:val="tx1"/>
            </w14:solidFill>
          </w14:textFill>
        </w:rPr>
        <w:t xml:space="preserve"> </w:t>
      </w:r>
      <w:r>
        <w:rPr>
          <w:rFonts w:hint="eastAsia" w:ascii="宋体"/>
          <w:color w:val="000000" w:themeColor="text1"/>
          <w:sz w:val="22"/>
          <w14:textFill>
            <w14:solidFill>
              <w14:schemeClr w14:val="tx1"/>
            </w14:solidFill>
          </w14:textFill>
        </w:rPr>
        <w:t>民政部</w:t>
      </w:r>
      <w:r>
        <w:rPr>
          <w:rFonts w:ascii="宋体"/>
          <w:color w:val="000000" w:themeColor="text1"/>
          <w:sz w:val="22"/>
          <w14:textFill>
            <w14:solidFill>
              <w14:schemeClr w14:val="tx1"/>
            </w14:solidFill>
          </w14:textFill>
        </w:rPr>
        <w:t xml:space="preserve"> </w:t>
      </w:r>
      <w:r>
        <w:rPr>
          <w:rFonts w:hint="eastAsia" w:ascii="宋体"/>
          <w:color w:val="000000" w:themeColor="text1"/>
          <w:sz w:val="22"/>
          <w14:textFill>
            <w14:solidFill>
              <w14:schemeClr w14:val="tx1"/>
            </w14:solidFill>
          </w14:textFill>
        </w:rPr>
        <w:t>中国残疾人联合会关于促进残疾人就业政府采购政策的通知》（财库</w:t>
      </w:r>
      <w:r>
        <w:rPr>
          <w:rFonts w:ascii="宋体"/>
          <w:color w:val="000000" w:themeColor="text1"/>
          <w:sz w:val="22"/>
          <w14:textFill>
            <w14:solidFill>
              <w14:schemeClr w14:val="tx1"/>
            </w14:solidFill>
          </w14:textFill>
        </w:rPr>
        <w:t>[2017]141</w:t>
      </w:r>
      <w:r>
        <w:rPr>
          <w:rFonts w:hint="eastAsia" w:ascii="宋体"/>
          <w:color w:val="000000" w:themeColor="text1"/>
          <w:sz w:val="22"/>
          <w14:textFill>
            <w14:solidFill>
              <w14:schemeClr w14:val="tx1"/>
            </w14:solidFill>
          </w14:textFill>
        </w:rPr>
        <w:t>号）的规定，本单位为符合条件的残疾人福利性单位，且本单位参加</w:t>
      </w:r>
      <w:r>
        <w:rPr>
          <w:rFonts w:ascii="宋体"/>
          <w:color w:val="000000" w:themeColor="text1"/>
          <w:sz w:val="22"/>
          <w:u w:val="single"/>
          <w14:textFill>
            <w14:solidFill>
              <w14:schemeClr w14:val="tx1"/>
            </w14:solidFill>
          </w14:textFill>
        </w:rPr>
        <w:t xml:space="preserve">          </w:t>
      </w:r>
      <w:r>
        <w:rPr>
          <w:rFonts w:hint="eastAsia" w:ascii="宋体"/>
          <w:color w:val="000000" w:themeColor="text1"/>
          <w:sz w:val="22"/>
          <w14:textFill>
            <w14:solidFill>
              <w14:schemeClr w14:val="tx1"/>
            </w14:solidFill>
          </w14:textFill>
        </w:rPr>
        <w:t>的</w:t>
      </w:r>
      <w:r>
        <w:rPr>
          <w:rFonts w:ascii="宋体"/>
          <w:color w:val="000000" w:themeColor="text1"/>
          <w:sz w:val="22"/>
          <w:u w:val="single"/>
          <w14:textFill>
            <w14:solidFill>
              <w14:schemeClr w14:val="tx1"/>
            </w14:solidFill>
          </w14:textFill>
        </w:rPr>
        <w:t xml:space="preserve">   </w:t>
      </w:r>
      <w:r>
        <w:rPr>
          <w:rFonts w:hint="eastAsia" w:ascii="宋体"/>
          <w:color w:val="000000" w:themeColor="text1"/>
          <w:sz w:val="22"/>
          <w:u w:val="single"/>
          <w14:textFill>
            <w14:solidFill>
              <w14:schemeClr w14:val="tx1"/>
            </w14:solidFill>
          </w14:textFill>
        </w:rPr>
        <w:t xml:space="preserve">       </w:t>
      </w:r>
      <w:r>
        <w:rPr>
          <w:rFonts w:ascii="宋体"/>
          <w:color w:val="000000" w:themeColor="text1"/>
          <w:sz w:val="22"/>
          <w:u w:val="single"/>
          <w14:textFill>
            <w14:solidFill>
              <w14:schemeClr w14:val="tx1"/>
            </w14:solidFill>
          </w14:textFill>
        </w:rPr>
        <w:t xml:space="preserve">       </w:t>
      </w:r>
      <w:r>
        <w:rPr>
          <w:rFonts w:hint="eastAsia" w:ascii="宋体"/>
          <w:color w:val="000000" w:themeColor="text1"/>
          <w:sz w:val="22"/>
          <w14:textFill>
            <w14:solidFill>
              <w14:schemeClr w14:val="tx1"/>
            </w14:solidFill>
          </w14:textFill>
        </w:rPr>
        <w:t>项目采购活动提供本单位制造的货物（由本单位承担工程</w:t>
      </w:r>
      <w:r>
        <w:rPr>
          <w:rFonts w:ascii="宋体"/>
          <w:color w:val="000000" w:themeColor="text1"/>
          <w:sz w:val="22"/>
          <w14:textFill>
            <w14:solidFill>
              <w14:schemeClr w14:val="tx1"/>
            </w14:solidFill>
          </w14:textFill>
        </w:rPr>
        <w:t>/</w:t>
      </w:r>
      <w:r>
        <w:rPr>
          <w:rFonts w:hint="eastAsia" w:ascii="宋体"/>
          <w:color w:val="000000" w:themeColor="text1"/>
          <w:sz w:val="22"/>
          <w14:textFill>
            <w14:solidFill>
              <w14:schemeClr w14:val="tx1"/>
            </w14:solidFill>
          </w14:textFill>
        </w:rPr>
        <w:t>提供服务），或者提供其他残疾人福利性单位制造的货物（不包括使用非残疾人福利性单位注册商标的货物）。</w:t>
      </w:r>
    </w:p>
    <w:p>
      <w:pPr>
        <w:spacing w:line="588" w:lineRule="exact"/>
        <w:ind w:firstLine="444" w:firstLineChars="200"/>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本单位对上述声明的真实性负责。如有虚假，将依法承担相应责任。</w:t>
      </w:r>
    </w:p>
    <w:p>
      <w:pPr>
        <w:spacing w:line="588" w:lineRule="exact"/>
        <w:ind w:firstLine="628" w:firstLineChars="200"/>
        <w:rPr>
          <w:color w:val="000000" w:themeColor="text1"/>
          <w:spacing w:val="6"/>
          <w:sz w:val="30"/>
          <w:szCs w:val="30"/>
          <w14:textFill>
            <w14:solidFill>
              <w14:schemeClr w14:val="tx1"/>
            </w14:solidFill>
          </w14:textFill>
        </w:rPr>
      </w:pPr>
    </w:p>
    <w:p>
      <w:pPr>
        <w:spacing w:line="588" w:lineRule="exact"/>
        <w:ind w:firstLine="628" w:firstLineChars="200"/>
        <w:rPr>
          <w:color w:val="000000" w:themeColor="text1"/>
          <w:spacing w:val="6"/>
          <w:sz w:val="30"/>
          <w:szCs w:val="30"/>
          <w14:textFill>
            <w14:solidFill>
              <w14:schemeClr w14:val="tx1"/>
            </w14:solidFill>
          </w14:textFill>
        </w:rPr>
      </w:pPr>
    </w:p>
    <w:p>
      <w:pPr>
        <w:spacing w:line="440" w:lineRule="atLeas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投标人（盖章）：  </w:t>
      </w:r>
    </w:p>
    <w:p>
      <w:pPr>
        <w:spacing w:line="440" w:lineRule="atLeast"/>
        <w:ind w:left="12" w:leftChars="-403" w:hanging="866" w:hangingChars="409"/>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w:t>
      </w:r>
      <w:r>
        <w:rPr>
          <w:rFonts w:ascii="宋体" w:hAnsi="宋体" w:cs="宋体"/>
          <w:b/>
          <w:bCs/>
          <w:color w:val="000000" w:themeColor="text1"/>
          <w:szCs w:val="21"/>
          <w14:textFill>
            <w14:solidFill>
              <w14:schemeClr w14:val="tx1"/>
            </w14:solidFill>
          </w14:textFill>
        </w:rPr>
        <w:br w:type="textWrapping"/>
      </w:r>
      <w:r>
        <w:rPr>
          <w:rFonts w:hint="eastAsia" w:ascii="宋体" w:hAnsi="宋体" w:cs="宋体"/>
          <w:b/>
          <w:bCs/>
          <w:color w:val="000000" w:themeColor="text1"/>
          <w:szCs w:val="21"/>
          <w14:textFill>
            <w14:solidFill>
              <w14:schemeClr w14:val="tx1"/>
            </w14:solidFill>
          </w14:textFill>
        </w:rPr>
        <w:t>法定代表人或授权代表（签字或盖章）：</w:t>
      </w:r>
    </w:p>
    <w:p>
      <w:pPr>
        <w:pStyle w:val="108"/>
        <w:adjustRightInd/>
        <w:rPr>
          <w:b/>
          <w:bCs/>
          <w:color w:val="000000" w:themeColor="text1"/>
          <w14:textFill>
            <w14:solidFill>
              <w14:schemeClr w14:val="tx1"/>
            </w14:solidFill>
          </w14:textFill>
        </w:rPr>
      </w:pPr>
    </w:p>
    <w:p>
      <w:pPr>
        <w:tabs>
          <w:tab w:val="left" w:pos="4860"/>
        </w:tabs>
        <w:spacing w:line="588" w:lineRule="exact"/>
        <w:ind w:right="156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日</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期： </w:t>
      </w:r>
    </w:p>
    <w:p>
      <w:pPr>
        <w:tabs>
          <w:tab w:val="left" w:pos="4860"/>
        </w:tabs>
        <w:spacing w:line="588" w:lineRule="exact"/>
        <w:ind w:right="1560"/>
        <w:rPr>
          <w:color w:val="000000" w:themeColor="text1"/>
          <w:spacing w:val="6"/>
          <w:sz w:val="30"/>
          <w:szCs w:val="30"/>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p>
      <w:pPr>
        <w:tabs>
          <w:tab w:val="left" w:pos="4860"/>
        </w:tabs>
        <w:spacing w:line="588" w:lineRule="exact"/>
        <w:ind w:right="1560"/>
        <w:jc w:val="left"/>
        <w:rPr>
          <w:rFonts w:ascii="宋体"/>
          <w:b/>
          <w:color w:val="000000" w:themeColor="text1"/>
          <w:sz w:val="22"/>
          <w14:textFill>
            <w14:solidFill>
              <w14:schemeClr w14:val="tx1"/>
            </w14:solidFill>
          </w14:textFill>
        </w:rPr>
      </w:pPr>
      <w:r>
        <w:rPr>
          <w:rFonts w:hint="eastAsia" w:ascii="宋体"/>
          <w:b/>
          <w:color w:val="000000" w:themeColor="text1"/>
          <w:sz w:val="22"/>
          <w14:textFill>
            <w14:solidFill>
              <w14:schemeClr w14:val="tx1"/>
            </w14:solidFill>
          </w14:textFill>
        </w:rPr>
        <w:t>备注说明：</w:t>
      </w:r>
    </w:p>
    <w:p>
      <w:pPr>
        <w:tabs>
          <w:tab w:val="left" w:pos="4860"/>
        </w:tabs>
        <w:spacing w:line="588" w:lineRule="exact"/>
        <w:ind w:right="1560"/>
        <w:jc w:val="left"/>
        <w:rPr>
          <w:rFonts w:ascii="宋体"/>
          <w:b/>
          <w:color w:val="000000" w:themeColor="text1"/>
          <w:sz w:val="22"/>
          <w14:textFill>
            <w14:solidFill>
              <w14:schemeClr w14:val="tx1"/>
            </w14:solidFill>
          </w14:textFill>
        </w:rPr>
      </w:pPr>
      <w:r>
        <w:rPr>
          <w:rFonts w:ascii="宋体"/>
          <w:b/>
          <w:color w:val="000000" w:themeColor="text1"/>
          <w:sz w:val="22"/>
          <w14:textFill>
            <w14:solidFill>
              <w14:schemeClr w14:val="tx1"/>
            </w14:solidFill>
          </w14:textFill>
        </w:rPr>
        <w:t>1</w:t>
      </w:r>
      <w:r>
        <w:rPr>
          <w:rFonts w:hint="eastAsia" w:ascii="宋体"/>
          <w:b/>
          <w:color w:val="000000" w:themeColor="text1"/>
          <w:sz w:val="22"/>
          <w14:textFill>
            <w14:solidFill>
              <w14:schemeClr w14:val="tx1"/>
            </w14:solidFill>
          </w14:textFill>
        </w:rPr>
        <w:t>、如中标，将在中标公示中将此残疾人福利性单位声明函予以公示，接受社会监督；</w:t>
      </w:r>
    </w:p>
    <w:p>
      <w:pPr>
        <w:tabs>
          <w:tab w:val="left" w:pos="4860"/>
        </w:tabs>
        <w:spacing w:line="588" w:lineRule="exact"/>
        <w:ind w:right="-94"/>
        <w:jc w:val="left"/>
        <w:rPr>
          <w:rFonts w:ascii="宋体"/>
          <w:b/>
          <w:color w:val="000000" w:themeColor="text1"/>
          <w:sz w:val="22"/>
          <w14:textFill>
            <w14:solidFill>
              <w14:schemeClr w14:val="tx1"/>
            </w14:solidFill>
          </w14:textFill>
        </w:rPr>
      </w:pPr>
      <w:r>
        <w:rPr>
          <w:rFonts w:ascii="宋体"/>
          <w:b/>
          <w:color w:val="000000" w:themeColor="text1"/>
          <w:sz w:val="22"/>
          <w14:textFill>
            <w14:solidFill>
              <w14:schemeClr w14:val="tx1"/>
            </w14:solidFill>
          </w14:textFill>
        </w:rPr>
        <w:t>2</w:t>
      </w:r>
      <w:r>
        <w:rPr>
          <w:rFonts w:hint="eastAsia" w:ascii="宋体"/>
          <w:b/>
          <w:color w:val="000000" w:themeColor="text1"/>
          <w:sz w:val="22"/>
          <w14:textFill>
            <w14:solidFill>
              <w14:schemeClr w14:val="tx1"/>
            </w14:solidFill>
          </w14:textFill>
        </w:rPr>
        <w:t>、供应商提供的《残疾人福利性单位声明函》与事实不符的，依照《政府采购法》第七十七条第一款的规定追究法律责任。</w:t>
      </w:r>
    </w:p>
    <w:p>
      <w:pPr>
        <w:pStyle w:val="38"/>
        <w:rPr>
          <w:rFonts w:ascii="宋体"/>
          <w:b/>
          <w:color w:val="000000" w:themeColor="text1"/>
          <w:sz w:val="22"/>
          <w14:textFill>
            <w14:solidFill>
              <w14:schemeClr w14:val="tx1"/>
            </w14:solidFill>
          </w14:textFill>
        </w:rPr>
      </w:pPr>
    </w:p>
    <w:p>
      <w:pPr>
        <w:pStyle w:val="38"/>
        <w:rPr>
          <w:rFonts w:ascii="宋体"/>
          <w:b/>
          <w:color w:val="000000" w:themeColor="text1"/>
          <w:sz w:val="22"/>
          <w14:textFill>
            <w14:solidFill>
              <w14:schemeClr w14:val="tx1"/>
            </w14:solidFill>
          </w14:textFill>
        </w:rPr>
      </w:pPr>
    </w:p>
    <w:p>
      <w:pPr>
        <w:pStyle w:val="38"/>
        <w:rPr>
          <w:rFonts w:ascii="宋体"/>
          <w:b/>
          <w:color w:val="000000" w:themeColor="text1"/>
          <w:sz w:val="22"/>
          <w14:textFill>
            <w14:solidFill>
              <w14:schemeClr w14:val="tx1"/>
            </w14:solidFill>
          </w14:textFill>
        </w:rPr>
      </w:pPr>
    </w:p>
    <w:p>
      <w:pPr>
        <w:pStyle w:val="21"/>
        <w:snapToGrid w:val="0"/>
        <w:spacing w:line="360" w:lineRule="auto"/>
        <w:ind w:firstLine="424" w:firstLineChars="200"/>
        <w:rPr>
          <w:rFonts w:hAnsi="宋体"/>
          <w:color w:val="000000" w:themeColor="text1"/>
          <w14:textFill>
            <w14:solidFill>
              <w14:schemeClr w14:val="tx1"/>
            </w14:solidFill>
          </w14:textFill>
        </w:rPr>
      </w:pPr>
    </w:p>
    <w:p>
      <w:pPr>
        <w:pStyle w:val="21"/>
        <w:snapToGrid w:val="0"/>
        <w:spacing w:line="360" w:lineRule="auto"/>
        <w:ind w:firstLine="424" w:firstLineChars="200"/>
        <w:rPr>
          <w:rFonts w:hAnsi="宋体"/>
          <w:color w:val="000000" w:themeColor="text1"/>
          <w14:textFill>
            <w14:solidFill>
              <w14:schemeClr w14:val="tx1"/>
            </w14:solidFill>
          </w14:textFill>
        </w:rPr>
      </w:pPr>
    </w:p>
    <w:p>
      <w:pPr>
        <w:pStyle w:val="21"/>
        <w:snapToGrid w:val="0"/>
        <w:spacing w:line="360" w:lineRule="auto"/>
        <w:ind w:firstLine="424" w:firstLineChars="200"/>
        <w:rPr>
          <w:rFonts w:hAnsi="宋体"/>
          <w:color w:val="000000" w:themeColor="text1"/>
          <w14:textFill>
            <w14:solidFill>
              <w14:schemeClr w14:val="tx1"/>
            </w14:solidFill>
          </w14:textFill>
        </w:rPr>
      </w:pPr>
    </w:p>
    <w:p>
      <w:pPr>
        <w:rPr>
          <w:color w:val="000000" w:themeColor="text1"/>
          <w14:textFill>
            <w14:solidFill>
              <w14:schemeClr w14:val="tx1"/>
            </w14:solidFill>
          </w14:textFill>
        </w:rPr>
      </w:pPr>
    </w:p>
    <w:p>
      <w:pPr>
        <w:pStyle w:val="21"/>
        <w:snapToGrid w:val="0"/>
        <w:spacing w:line="360" w:lineRule="auto"/>
        <w:rPr>
          <w:rFonts w:hAnsi="宋体"/>
          <w:color w:val="000000" w:themeColor="text1"/>
          <w14:textFill>
            <w14:solidFill>
              <w14:schemeClr w14:val="tx1"/>
            </w14:solidFill>
          </w14:textFill>
        </w:rPr>
      </w:pPr>
    </w:p>
    <w:p>
      <w:pPr>
        <w:pStyle w:val="100"/>
        <w:jc w:val="left"/>
        <w:rPr>
          <w:rFonts w:ascii="宋体" w:hAnsi="Times New Roman"/>
          <w:color w:val="000000" w:themeColor="text1"/>
          <w:sz w:val="22"/>
          <w14:textFill>
            <w14:solidFill>
              <w14:schemeClr w14:val="tx1"/>
            </w14:solidFill>
          </w14:textFill>
        </w:rPr>
      </w:pPr>
      <w:bookmarkStart w:id="10" w:name="_Toc32693"/>
      <w:r>
        <w:rPr>
          <w:rFonts w:hint="eastAsia" w:ascii="宋体" w:hAnsi="Times New Roman"/>
          <w:color w:val="000000" w:themeColor="text1"/>
          <w:sz w:val="22"/>
          <w14:textFill>
            <w14:solidFill>
              <w14:schemeClr w14:val="tx1"/>
            </w14:solidFill>
          </w14:textFill>
        </w:rPr>
        <w:t>附件三：</w:t>
      </w:r>
      <w:bookmarkEnd w:id="10"/>
    </w:p>
    <w:p>
      <w:pPr>
        <w:pStyle w:val="95"/>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投标产品（服务）适用中小企业扶持政策情况表</w:t>
      </w:r>
    </w:p>
    <w:p>
      <w:pPr>
        <w:pStyle w:val="3"/>
        <w:spacing w:before="9"/>
        <w:rPr>
          <w:b/>
          <w:color w:val="000000" w:themeColor="text1"/>
          <w:sz w:val="14"/>
          <w14:textFill>
            <w14:solidFill>
              <w14:schemeClr w14:val="tx1"/>
            </w14:solidFill>
          </w14:textFill>
        </w:rPr>
      </w:pPr>
    </w:p>
    <w:tbl>
      <w:tblPr>
        <w:tblStyle w:val="39"/>
        <w:tblW w:w="9038"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2"/>
        <w:gridCol w:w="2664"/>
        <w:gridCol w:w="2042"/>
        <w:gridCol w:w="1748"/>
        <w:gridCol w:w="1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0" w:hRule="atLeast"/>
        </w:trPr>
        <w:tc>
          <w:tcPr>
            <w:tcW w:w="9038" w:type="dxa"/>
            <w:gridSpan w:val="5"/>
          </w:tcPr>
          <w:p>
            <w:pPr>
              <w:pStyle w:val="92"/>
              <w:spacing w:line="360" w:lineRule="auto"/>
              <w:ind w:firstLine="212" w:firstLineChars="100"/>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如属所列情形的，请在括号内打“√”：</w:t>
            </w:r>
          </w:p>
          <w:p>
            <w:pPr>
              <w:pStyle w:val="92"/>
              <w:tabs>
                <w:tab w:val="left" w:pos="266"/>
                <w:tab w:val="left" w:pos="6039"/>
              </w:tabs>
              <w:spacing w:line="360" w:lineRule="auto"/>
              <w:ind w:left="106"/>
              <w:jc w:val="left"/>
              <w:rPr>
                <w:color w:val="000000" w:themeColor="text1"/>
                <w:szCs w:val="21"/>
                <w14:textFill>
                  <w14:solidFill>
                    <w14:schemeClr w14:val="tx1"/>
                  </w14:solidFill>
                </w14:textFill>
              </w:rPr>
            </w:pPr>
            <w:r>
              <w:rPr>
                <w:color w:val="000000" w:themeColor="text1"/>
                <w:szCs w:val="21"/>
                <w:lang w:val="en-US"/>
                <w14:textFill>
                  <w14:solidFill>
                    <w14:schemeClr w14:val="tx1"/>
                  </w14:solidFill>
                </w14:textFill>
              </w:rPr>
              <w:t>1</w:t>
            </w:r>
            <w:r>
              <w:rPr>
                <w:rFonts w:hint="eastAsia"/>
                <w:color w:val="000000" w:themeColor="text1"/>
                <w:szCs w:val="21"/>
                <w:lang w:val="en-US"/>
                <w14:textFill>
                  <w14:solidFill>
                    <w14:schemeClr w14:val="tx1"/>
                  </w14:solidFill>
                </w14:textFill>
              </w:rPr>
              <w:t>、</w:t>
            </w:r>
            <w:r>
              <w:rPr>
                <w:rFonts w:hint="eastAsia"/>
                <w:color w:val="000000" w:themeColor="text1"/>
                <w:szCs w:val="21"/>
                <w14:textFill>
                  <w14:solidFill>
                    <w14:schemeClr w14:val="tx1"/>
                  </w14:solidFill>
                </w14:textFill>
              </w:rPr>
              <w:t>小微企业响应且产品由本企业制造或服务由本企业承担的（</w:t>
            </w:r>
            <w:r>
              <w:rPr>
                <w:color w:val="000000" w:themeColor="text1"/>
                <w:szCs w:val="21"/>
                <w14:textFill>
                  <w14:solidFill>
                    <w14:schemeClr w14:val="tx1"/>
                  </w14:solidFill>
                </w14:textFill>
              </w:rPr>
              <w:tab/>
            </w:r>
            <w:r>
              <w:rPr>
                <w:rFonts w:hint="eastAsia"/>
                <w:color w:val="000000" w:themeColor="text1"/>
                <w:szCs w:val="21"/>
                <w14:textFill>
                  <w14:solidFill>
                    <w14:schemeClr w14:val="tx1"/>
                  </w14:solidFill>
                </w14:textFill>
              </w:rPr>
              <w:t>）</w:t>
            </w:r>
          </w:p>
          <w:p>
            <w:pPr>
              <w:pStyle w:val="92"/>
              <w:tabs>
                <w:tab w:val="left" w:pos="266"/>
                <w:tab w:val="left" w:pos="6459"/>
              </w:tabs>
              <w:spacing w:line="360" w:lineRule="auto"/>
              <w:ind w:left="106" w:right="2357"/>
              <w:jc w:val="left"/>
              <w:rPr>
                <w:b/>
                <w:color w:val="000000" w:themeColor="text1"/>
                <w:szCs w:val="21"/>
                <w14:textFill>
                  <w14:solidFill>
                    <w14:schemeClr w14:val="tx1"/>
                  </w14:solidFill>
                </w14:textFill>
              </w:rPr>
            </w:pPr>
            <w:r>
              <w:rPr>
                <w:color w:val="000000" w:themeColor="text1"/>
                <w:szCs w:val="21"/>
                <w:lang w:val="en-US"/>
                <w14:textFill>
                  <w14:solidFill>
                    <w14:schemeClr w14:val="tx1"/>
                  </w14:solidFill>
                </w14:textFill>
              </w:rPr>
              <w:t>2</w:t>
            </w:r>
            <w:r>
              <w:rPr>
                <w:rFonts w:hint="eastAsia"/>
                <w:color w:val="000000" w:themeColor="text1"/>
                <w:szCs w:val="21"/>
                <w:lang w:val="en-US"/>
                <w14:textFill>
                  <w14:solidFill>
                    <w14:schemeClr w14:val="tx1"/>
                  </w14:solidFill>
                </w14:textFill>
              </w:rPr>
              <w:t>、</w:t>
            </w:r>
            <w:r>
              <w:rPr>
                <w:rFonts w:hint="eastAsia"/>
                <w:color w:val="000000" w:themeColor="text1"/>
                <w:szCs w:val="21"/>
                <w14:textFill>
                  <w14:solidFill>
                    <w14:schemeClr w14:val="tx1"/>
                  </w14:solidFill>
                </w14:textFill>
              </w:rPr>
              <w:t>小微企业响应但产品由其他企业制造或服务由其他企业承担的（</w:t>
            </w:r>
            <w:r>
              <w:rPr>
                <w:color w:val="000000" w:themeColor="text1"/>
                <w:szCs w:val="21"/>
                <w14:textFill>
                  <w14:solidFill>
                    <w14:schemeClr w14:val="tx1"/>
                  </w14:solidFill>
                </w14:textFill>
              </w:rPr>
              <w:tab/>
            </w:r>
            <w:r>
              <w:rPr>
                <w:rFonts w:hint="eastAsia"/>
                <w:color w:val="000000" w:themeColor="text1"/>
                <w:spacing w:val="-17"/>
                <w:szCs w:val="21"/>
                <w14:textFill>
                  <w14:solidFill>
                    <w14:schemeClr w14:val="tx1"/>
                  </w14:solidFill>
                </w14:textFill>
              </w:rPr>
              <w:t>）</w:t>
            </w:r>
            <w:r>
              <w:rPr>
                <w:color w:val="000000" w:themeColor="text1"/>
                <w:spacing w:val="-17"/>
                <w:szCs w:val="21"/>
                <w14:textFill>
                  <w14:solidFill>
                    <w14:schemeClr w14:val="tx1"/>
                  </w14:solidFill>
                </w14:textFill>
              </w:rPr>
              <w:t xml:space="preserve"> </w:t>
            </w:r>
            <w:r>
              <w:rPr>
                <w:rFonts w:hint="eastAsia"/>
                <w:b/>
                <w:color w:val="000000" w:themeColor="text1"/>
                <w:szCs w:val="21"/>
                <w14:textFill>
                  <w14:solidFill>
                    <w14:schemeClr w14:val="tx1"/>
                  </w14:solidFill>
                </w14:textFill>
              </w:rPr>
              <w:t>注：监狱企业、残疾人福利性企业视同小微企业。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972" w:type="dxa"/>
          </w:tcPr>
          <w:p>
            <w:pPr>
              <w:pStyle w:val="92"/>
              <w:spacing w:before="2" w:line="360" w:lineRule="auto"/>
              <w:rPr>
                <w:b/>
                <w:color w:val="000000" w:themeColor="text1"/>
                <w:szCs w:val="21"/>
                <w14:textFill>
                  <w14:solidFill>
                    <w14:schemeClr w14:val="tx1"/>
                  </w14:solidFill>
                </w14:textFill>
              </w:rPr>
            </w:pPr>
          </w:p>
          <w:p>
            <w:pPr>
              <w:pStyle w:val="92"/>
              <w:spacing w:line="360" w:lineRule="auto"/>
              <w:ind w:left="253" w:right="249"/>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2664" w:type="dxa"/>
          </w:tcPr>
          <w:p>
            <w:pPr>
              <w:pStyle w:val="92"/>
              <w:spacing w:before="2" w:line="360" w:lineRule="auto"/>
              <w:rPr>
                <w:b/>
                <w:color w:val="000000" w:themeColor="text1"/>
                <w:szCs w:val="21"/>
                <w14:textFill>
                  <w14:solidFill>
                    <w14:schemeClr w14:val="tx1"/>
                  </w14:solidFill>
                </w14:textFill>
              </w:rPr>
            </w:pPr>
          </w:p>
          <w:p>
            <w:pPr>
              <w:pStyle w:val="92"/>
              <w:spacing w:line="360" w:lineRule="auto"/>
              <w:ind w:left="49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产品（服务）名称</w:t>
            </w:r>
          </w:p>
        </w:tc>
        <w:tc>
          <w:tcPr>
            <w:tcW w:w="2042" w:type="dxa"/>
          </w:tcPr>
          <w:p>
            <w:pPr>
              <w:pStyle w:val="92"/>
              <w:spacing w:before="2" w:line="360" w:lineRule="auto"/>
              <w:rPr>
                <w:b/>
                <w:color w:val="000000" w:themeColor="text1"/>
                <w:szCs w:val="21"/>
                <w14:textFill>
                  <w14:solidFill>
                    <w14:schemeClr w14:val="tx1"/>
                  </w14:solidFill>
                </w14:textFill>
              </w:rPr>
            </w:pPr>
          </w:p>
          <w:p>
            <w:pPr>
              <w:pStyle w:val="92"/>
              <w:spacing w:line="360" w:lineRule="auto"/>
              <w:ind w:left="686" w:right="676"/>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制造商</w:t>
            </w:r>
          </w:p>
        </w:tc>
        <w:tc>
          <w:tcPr>
            <w:tcW w:w="1748" w:type="dxa"/>
          </w:tcPr>
          <w:p>
            <w:pPr>
              <w:pStyle w:val="92"/>
              <w:spacing w:before="56" w:line="360" w:lineRule="auto"/>
              <w:ind w:left="431" w:right="424"/>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制造商</w:t>
            </w:r>
          </w:p>
          <w:p>
            <w:pPr>
              <w:pStyle w:val="92"/>
              <w:spacing w:before="110" w:line="360" w:lineRule="auto"/>
              <w:ind w:left="431" w:right="427"/>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企业类型</w:t>
            </w:r>
          </w:p>
        </w:tc>
        <w:tc>
          <w:tcPr>
            <w:tcW w:w="1612" w:type="dxa"/>
          </w:tcPr>
          <w:p>
            <w:pPr>
              <w:pStyle w:val="92"/>
              <w:spacing w:before="2" w:line="360" w:lineRule="auto"/>
              <w:rPr>
                <w:b/>
                <w:color w:val="000000" w:themeColor="text1"/>
                <w:szCs w:val="21"/>
                <w14:textFill>
                  <w14:solidFill>
                    <w14:schemeClr w14:val="tx1"/>
                  </w14:solidFill>
                </w14:textFill>
              </w:rPr>
            </w:pPr>
          </w:p>
          <w:p>
            <w:pPr>
              <w:pStyle w:val="92"/>
              <w:spacing w:line="360" w:lineRule="auto"/>
              <w:ind w:left="574" w:right="567"/>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Pr>
          <w:p>
            <w:pPr>
              <w:pStyle w:val="92"/>
              <w:spacing w:line="360" w:lineRule="auto"/>
              <w:ind w:firstLine="418" w:firstLineChars="200"/>
              <w:rPr>
                <w:color w:val="000000" w:themeColor="text1"/>
                <w:szCs w:val="21"/>
                <w14:textFill>
                  <w14:solidFill>
                    <w14:schemeClr w14:val="tx1"/>
                  </w14:solidFill>
                </w14:textFill>
              </w:rPr>
            </w:pPr>
            <w:r>
              <w:rPr>
                <w:color w:val="000000" w:themeColor="text1"/>
                <w:w w:val="99"/>
                <w:szCs w:val="21"/>
                <w:lang w:val="en-US"/>
                <w14:textFill>
                  <w14:solidFill>
                    <w14:schemeClr w14:val="tx1"/>
                  </w14:solidFill>
                </w14:textFill>
              </w:rPr>
              <w:t>1</w:t>
            </w:r>
          </w:p>
        </w:tc>
        <w:tc>
          <w:tcPr>
            <w:tcW w:w="2664" w:type="dxa"/>
          </w:tcPr>
          <w:p>
            <w:pPr>
              <w:pStyle w:val="92"/>
              <w:spacing w:line="360" w:lineRule="auto"/>
              <w:rPr>
                <w:color w:val="000000" w:themeColor="text1"/>
                <w:szCs w:val="21"/>
                <w14:textFill>
                  <w14:solidFill>
                    <w14:schemeClr w14:val="tx1"/>
                  </w14:solidFill>
                </w14:textFill>
              </w:rPr>
            </w:pPr>
          </w:p>
        </w:tc>
        <w:tc>
          <w:tcPr>
            <w:tcW w:w="2042" w:type="dxa"/>
          </w:tcPr>
          <w:p>
            <w:pPr>
              <w:pStyle w:val="92"/>
              <w:spacing w:line="360" w:lineRule="auto"/>
              <w:rPr>
                <w:color w:val="000000" w:themeColor="text1"/>
                <w:szCs w:val="21"/>
                <w14:textFill>
                  <w14:solidFill>
                    <w14:schemeClr w14:val="tx1"/>
                  </w14:solidFill>
                </w14:textFill>
              </w:rPr>
            </w:pPr>
          </w:p>
        </w:tc>
        <w:tc>
          <w:tcPr>
            <w:tcW w:w="1748" w:type="dxa"/>
          </w:tcPr>
          <w:p>
            <w:pPr>
              <w:pStyle w:val="92"/>
              <w:spacing w:line="360" w:lineRule="auto"/>
              <w:rPr>
                <w:color w:val="000000" w:themeColor="text1"/>
                <w:szCs w:val="21"/>
                <w14:textFill>
                  <w14:solidFill>
                    <w14:schemeClr w14:val="tx1"/>
                  </w14:solidFill>
                </w14:textFill>
              </w:rPr>
            </w:pPr>
          </w:p>
        </w:tc>
        <w:tc>
          <w:tcPr>
            <w:tcW w:w="1612" w:type="dxa"/>
          </w:tcPr>
          <w:p>
            <w:pPr>
              <w:pStyle w:val="92"/>
              <w:spacing w:line="360" w:lineRule="auto"/>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Pr>
          <w:p>
            <w:pPr>
              <w:pStyle w:val="92"/>
              <w:spacing w:line="360" w:lineRule="auto"/>
              <w:ind w:firstLine="418" w:firstLineChars="200"/>
              <w:rPr>
                <w:color w:val="000000" w:themeColor="text1"/>
                <w:szCs w:val="21"/>
                <w14:textFill>
                  <w14:solidFill>
                    <w14:schemeClr w14:val="tx1"/>
                  </w14:solidFill>
                </w14:textFill>
              </w:rPr>
            </w:pPr>
            <w:r>
              <w:rPr>
                <w:color w:val="000000" w:themeColor="text1"/>
                <w:w w:val="99"/>
                <w:szCs w:val="21"/>
                <w14:textFill>
                  <w14:solidFill>
                    <w14:schemeClr w14:val="tx1"/>
                  </w14:solidFill>
                </w14:textFill>
              </w:rPr>
              <w:t>2</w:t>
            </w:r>
          </w:p>
        </w:tc>
        <w:tc>
          <w:tcPr>
            <w:tcW w:w="2664" w:type="dxa"/>
          </w:tcPr>
          <w:p>
            <w:pPr>
              <w:pStyle w:val="92"/>
              <w:spacing w:line="360" w:lineRule="auto"/>
              <w:rPr>
                <w:color w:val="000000" w:themeColor="text1"/>
                <w:szCs w:val="21"/>
                <w14:textFill>
                  <w14:solidFill>
                    <w14:schemeClr w14:val="tx1"/>
                  </w14:solidFill>
                </w14:textFill>
              </w:rPr>
            </w:pPr>
          </w:p>
        </w:tc>
        <w:tc>
          <w:tcPr>
            <w:tcW w:w="2042" w:type="dxa"/>
          </w:tcPr>
          <w:p>
            <w:pPr>
              <w:pStyle w:val="92"/>
              <w:spacing w:line="360" w:lineRule="auto"/>
              <w:rPr>
                <w:color w:val="000000" w:themeColor="text1"/>
                <w:szCs w:val="21"/>
                <w14:textFill>
                  <w14:solidFill>
                    <w14:schemeClr w14:val="tx1"/>
                  </w14:solidFill>
                </w14:textFill>
              </w:rPr>
            </w:pPr>
          </w:p>
        </w:tc>
        <w:tc>
          <w:tcPr>
            <w:tcW w:w="1748" w:type="dxa"/>
          </w:tcPr>
          <w:p>
            <w:pPr>
              <w:pStyle w:val="92"/>
              <w:spacing w:line="360" w:lineRule="auto"/>
              <w:rPr>
                <w:color w:val="000000" w:themeColor="text1"/>
                <w:szCs w:val="21"/>
                <w14:textFill>
                  <w14:solidFill>
                    <w14:schemeClr w14:val="tx1"/>
                  </w14:solidFill>
                </w14:textFill>
              </w:rPr>
            </w:pPr>
          </w:p>
        </w:tc>
        <w:tc>
          <w:tcPr>
            <w:tcW w:w="1612" w:type="dxa"/>
          </w:tcPr>
          <w:p>
            <w:pPr>
              <w:pStyle w:val="92"/>
              <w:spacing w:line="360" w:lineRule="auto"/>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Pr>
          <w:p>
            <w:pPr>
              <w:pStyle w:val="92"/>
              <w:spacing w:line="360" w:lineRule="auto"/>
              <w:ind w:firstLine="418" w:firstLineChars="200"/>
              <w:rPr>
                <w:color w:val="000000" w:themeColor="text1"/>
                <w:szCs w:val="21"/>
                <w14:textFill>
                  <w14:solidFill>
                    <w14:schemeClr w14:val="tx1"/>
                  </w14:solidFill>
                </w14:textFill>
              </w:rPr>
            </w:pPr>
            <w:r>
              <w:rPr>
                <w:color w:val="000000" w:themeColor="text1"/>
                <w:w w:val="99"/>
                <w:szCs w:val="21"/>
                <w14:textFill>
                  <w14:solidFill>
                    <w14:schemeClr w14:val="tx1"/>
                  </w14:solidFill>
                </w14:textFill>
              </w:rPr>
              <w:t>3</w:t>
            </w:r>
          </w:p>
        </w:tc>
        <w:tc>
          <w:tcPr>
            <w:tcW w:w="2664" w:type="dxa"/>
          </w:tcPr>
          <w:p>
            <w:pPr>
              <w:pStyle w:val="92"/>
              <w:spacing w:line="360" w:lineRule="auto"/>
              <w:rPr>
                <w:color w:val="000000" w:themeColor="text1"/>
                <w:szCs w:val="21"/>
                <w14:textFill>
                  <w14:solidFill>
                    <w14:schemeClr w14:val="tx1"/>
                  </w14:solidFill>
                </w14:textFill>
              </w:rPr>
            </w:pPr>
          </w:p>
        </w:tc>
        <w:tc>
          <w:tcPr>
            <w:tcW w:w="2042" w:type="dxa"/>
          </w:tcPr>
          <w:p>
            <w:pPr>
              <w:pStyle w:val="92"/>
              <w:spacing w:line="360" w:lineRule="auto"/>
              <w:rPr>
                <w:color w:val="000000" w:themeColor="text1"/>
                <w:szCs w:val="21"/>
                <w14:textFill>
                  <w14:solidFill>
                    <w14:schemeClr w14:val="tx1"/>
                  </w14:solidFill>
                </w14:textFill>
              </w:rPr>
            </w:pPr>
          </w:p>
        </w:tc>
        <w:tc>
          <w:tcPr>
            <w:tcW w:w="1748" w:type="dxa"/>
          </w:tcPr>
          <w:p>
            <w:pPr>
              <w:pStyle w:val="92"/>
              <w:spacing w:line="360" w:lineRule="auto"/>
              <w:rPr>
                <w:color w:val="000000" w:themeColor="text1"/>
                <w:szCs w:val="21"/>
                <w14:textFill>
                  <w14:solidFill>
                    <w14:schemeClr w14:val="tx1"/>
                  </w14:solidFill>
                </w14:textFill>
              </w:rPr>
            </w:pPr>
          </w:p>
        </w:tc>
        <w:tc>
          <w:tcPr>
            <w:tcW w:w="1612" w:type="dxa"/>
          </w:tcPr>
          <w:p>
            <w:pPr>
              <w:pStyle w:val="92"/>
              <w:spacing w:line="360" w:lineRule="auto"/>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72" w:type="dxa"/>
          </w:tcPr>
          <w:p>
            <w:pPr>
              <w:pStyle w:val="92"/>
              <w:spacing w:line="360" w:lineRule="auto"/>
              <w:ind w:right="249" w:firstLine="212" w:firstLineChars="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2664" w:type="dxa"/>
          </w:tcPr>
          <w:p>
            <w:pPr>
              <w:pStyle w:val="92"/>
              <w:spacing w:line="360" w:lineRule="auto"/>
              <w:rPr>
                <w:color w:val="000000" w:themeColor="text1"/>
                <w:szCs w:val="21"/>
                <w14:textFill>
                  <w14:solidFill>
                    <w14:schemeClr w14:val="tx1"/>
                  </w14:solidFill>
                </w14:textFill>
              </w:rPr>
            </w:pPr>
          </w:p>
        </w:tc>
        <w:tc>
          <w:tcPr>
            <w:tcW w:w="2042" w:type="dxa"/>
          </w:tcPr>
          <w:p>
            <w:pPr>
              <w:pStyle w:val="92"/>
              <w:spacing w:line="360" w:lineRule="auto"/>
              <w:rPr>
                <w:color w:val="000000" w:themeColor="text1"/>
                <w:szCs w:val="21"/>
                <w14:textFill>
                  <w14:solidFill>
                    <w14:schemeClr w14:val="tx1"/>
                  </w14:solidFill>
                </w14:textFill>
              </w:rPr>
            </w:pPr>
          </w:p>
        </w:tc>
        <w:tc>
          <w:tcPr>
            <w:tcW w:w="1748" w:type="dxa"/>
          </w:tcPr>
          <w:p>
            <w:pPr>
              <w:pStyle w:val="92"/>
              <w:spacing w:line="360" w:lineRule="auto"/>
              <w:rPr>
                <w:color w:val="000000" w:themeColor="text1"/>
                <w:szCs w:val="21"/>
                <w14:textFill>
                  <w14:solidFill>
                    <w14:schemeClr w14:val="tx1"/>
                  </w14:solidFill>
                </w14:textFill>
              </w:rPr>
            </w:pPr>
          </w:p>
        </w:tc>
        <w:tc>
          <w:tcPr>
            <w:tcW w:w="1612" w:type="dxa"/>
          </w:tcPr>
          <w:p>
            <w:pPr>
              <w:pStyle w:val="92"/>
              <w:spacing w:line="360" w:lineRule="auto"/>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426" w:type="dxa"/>
            <w:gridSpan w:val="4"/>
          </w:tcPr>
          <w:p>
            <w:pPr>
              <w:pStyle w:val="92"/>
              <w:spacing w:line="360" w:lineRule="auto"/>
              <w:ind w:firstLine="1060" w:firstLineChars="5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小型、微型企业产品（服务）金额合计</w:t>
            </w:r>
          </w:p>
        </w:tc>
        <w:tc>
          <w:tcPr>
            <w:tcW w:w="1612" w:type="dxa"/>
          </w:tcPr>
          <w:p>
            <w:pPr>
              <w:pStyle w:val="92"/>
              <w:spacing w:line="360" w:lineRule="auto"/>
              <w:rPr>
                <w:color w:val="000000" w:themeColor="text1"/>
                <w:szCs w:val="21"/>
                <w14:textFill>
                  <w14:solidFill>
                    <w14:schemeClr w14:val="tx1"/>
                  </w14:solidFill>
                </w14:textFill>
              </w:rPr>
            </w:pPr>
          </w:p>
        </w:tc>
      </w:tr>
    </w:tbl>
    <w:p>
      <w:pPr>
        <w:pStyle w:val="3"/>
        <w:spacing w:before="12" w:line="360" w:lineRule="auto"/>
        <w:rPr>
          <w:rFonts w:ascii="宋体" w:hAnsi="宋体" w:cs="宋体"/>
          <w:b/>
          <w:color w:val="000000" w:themeColor="text1"/>
          <w:szCs w:val="21"/>
          <w14:textFill>
            <w14:solidFill>
              <w14:schemeClr w14:val="tx1"/>
            </w14:solidFill>
          </w14:textFill>
        </w:rPr>
      </w:pPr>
    </w:p>
    <w:p>
      <w:pPr>
        <w:pStyle w:val="3"/>
        <w:spacing w:before="70" w:line="360" w:lineRule="auto"/>
        <w:ind w:left="212"/>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w:t>
      </w:r>
      <w:r>
        <w:rPr>
          <w:rFonts w:ascii="宋体" w:hAnsi="宋体" w:cs="宋体"/>
          <w:b/>
          <w:bCs/>
          <w:color w:val="000000" w:themeColor="text1"/>
          <w:szCs w:val="21"/>
          <w14:textFill>
            <w14:solidFill>
              <w14:schemeClr w14:val="tx1"/>
            </w14:solidFill>
          </w14:textFill>
        </w:rPr>
        <w:t>1</w:t>
      </w:r>
      <w:r>
        <w:rPr>
          <w:rFonts w:hint="eastAsia" w:ascii="宋体" w:hAnsi="宋体" w:cs="宋体"/>
          <w:b/>
          <w:bCs/>
          <w:color w:val="000000" w:themeColor="text1"/>
          <w:szCs w:val="21"/>
          <w14:textFill>
            <w14:solidFill>
              <w14:schemeClr w14:val="tx1"/>
            </w14:solidFill>
          </w14:textFill>
        </w:rPr>
        <w:t>、非小型或微型企业无需填写此表，本表所填产品名称、规格型号和制造商、金额须与《投标报价明细表》相应项一致。</w:t>
      </w:r>
    </w:p>
    <w:p>
      <w:pPr>
        <w:pStyle w:val="3"/>
        <w:spacing w:before="70" w:line="360" w:lineRule="auto"/>
        <w:ind w:left="212"/>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2</w:t>
      </w:r>
      <w:r>
        <w:rPr>
          <w:rFonts w:hint="eastAsia" w:ascii="宋体" w:hAnsi="宋体" w:cs="宋体"/>
          <w:b/>
          <w:bCs/>
          <w:color w:val="000000" w:themeColor="text1"/>
          <w:szCs w:val="21"/>
          <w14:textFill>
            <w14:solidFill>
              <w14:schemeClr w14:val="tx1"/>
            </w14:solidFill>
          </w14:textFill>
        </w:rPr>
        <w:t>、“制造商企业类型”栏，填写内容为“小型”、“微型”或“监狱企业”、“残疾人福利性企业”。</w:t>
      </w:r>
    </w:p>
    <w:p>
      <w:pPr>
        <w:pStyle w:val="3"/>
        <w:spacing w:before="70" w:line="360" w:lineRule="auto"/>
        <w:ind w:left="212"/>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、所填内容将作为报价评分的依据，请投标人正确填写本表并确保内容真实。</w:t>
      </w:r>
    </w:p>
    <w:p>
      <w:pPr>
        <w:spacing w:line="440" w:lineRule="atLeas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投标人（盖章）：  </w:t>
      </w:r>
    </w:p>
    <w:p>
      <w:pPr>
        <w:spacing w:line="440" w:lineRule="atLeast"/>
        <w:ind w:left="12" w:leftChars="-403" w:hanging="866" w:hangingChars="409"/>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w:t>
      </w:r>
      <w:r>
        <w:rPr>
          <w:rFonts w:ascii="宋体" w:hAnsi="宋体" w:cs="宋体"/>
          <w:b/>
          <w:bCs/>
          <w:color w:val="000000" w:themeColor="text1"/>
          <w:szCs w:val="21"/>
          <w14:textFill>
            <w14:solidFill>
              <w14:schemeClr w14:val="tx1"/>
            </w14:solidFill>
          </w14:textFill>
        </w:rPr>
        <w:br w:type="textWrapping"/>
      </w:r>
      <w:r>
        <w:rPr>
          <w:rFonts w:hint="eastAsia" w:ascii="宋体" w:hAnsi="宋体" w:cs="宋体"/>
          <w:b/>
          <w:bCs/>
          <w:color w:val="000000" w:themeColor="text1"/>
          <w:szCs w:val="21"/>
          <w14:textFill>
            <w14:solidFill>
              <w14:schemeClr w14:val="tx1"/>
            </w14:solidFill>
          </w14:textFill>
        </w:rPr>
        <w:t>法定代表人或授权代表（签字或盖章）：</w:t>
      </w:r>
    </w:p>
    <w:p>
      <w:pPr>
        <w:pStyle w:val="21"/>
        <w:snapToGrid w:val="0"/>
        <w:spacing w:line="360" w:lineRule="auto"/>
        <w:rPr>
          <w:rFonts w:hAnsi="宋体"/>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日期：</w:t>
      </w:r>
    </w:p>
    <w:p>
      <w:pPr>
        <w:tabs>
          <w:tab w:val="left" w:pos="900"/>
        </w:tabs>
        <w:spacing w:line="440" w:lineRule="exact"/>
        <w:ind w:firstLine="3258" w:firstLineChars="900"/>
        <w:rPr>
          <w:rFonts w:ascii="宋体" w:hAnsi="宋体" w:cs="宋体"/>
          <w:b/>
          <w:color w:val="000000" w:themeColor="text1"/>
          <w:sz w:val="36"/>
          <w:szCs w:val="36"/>
          <w:lang w:val="zh-CN"/>
          <w14:textFill>
            <w14:solidFill>
              <w14:schemeClr w14:val="tx1"/>
            </w14:solidFill>
          </w14:textFill>
        </w:rPr>
      </w:pPr>
    </w:p>
    <w:p>
      <w:pPr>
        <w:autoSpaceDE w:val="0"/>
        <w:autoSpaceDN w:val="0"/>
        <w:adjustRightInd w:val="0"/>
        <w:spacing w:line="440" w:lineRule="exact"/>
        <w:ind w:firstLine="3666" w:firstLineChars="1300"/>
        <w:rPr>
          <w:rFonts w:ascii="宋体" w:hAnsi="宋体" w:cs="宋体"/>
          <w:b/>
          <w:bCs/>
          <w:color w:val="000000" w:themeColor="text1"/>
          <w:sz w:val="28"/>
          <w:szCs w:val="28"/>
          <w:lang w:val="zh-CN"/>
          <w14:textFill>
            <w14:solidFill>
              <w14:schemeClr w14:val="tx1"/>
            </w14:solidFill>
          </w14:textFill>
        </w:rPr>
      </w:pPr>
    </w:p>
    <w:p>
      <w:pPr>
        <w:autoSpaceDE w:val="0"/>
        <w:autoSpaceDN w:val="0"/>
        <w:adjustRightInd w:val="0"/>
        <w:spacing w:line="440" w:lineRule="exact"/>
        <w:ind w:firstLine="3666" w:firstLineChars="1300"/>
        <w:rPr>
          <w:rFonts w:ascii="宋体" w:hAnsi="宋体" w:cs="宋体"/>
          <w:b/>
          <w:bCs/>
          <w:color w:val="000000" w:themeColor="text1"/>
          <w:sz w:val="28"/>
          <w:szCs w:val="28"/>
          <w:lang w:val="zh-CN"/>
          <w14:textFill>
            <w14:solidFill>
              <w14:schemeClr w14:val="tx1"/>
            </w14:solidFill>
          </w14:textFill>
        </w:rPr>
      </w:pPr>
    </w:p>
    <w:p>
      <w:pPr>
        <w:pStyle w:val="95"/>
        <w:rPr>
          <w:color w:val="000000" w:themeColor="text1"/>
          <w14:textFill>
            <w14:solidFill>
              <w14:schemeClr w14:val="tx1"/>
            </w14:solidFill>
          </w14:textFill>
        </w:rPr>
      </w:pPr>
      <w:bookmarkStart w:id="11" w:name="_Toc1758191685"/>
      <w:bookmarkStart w:id="12" w:name="_Toc566385771"/>
      <w:bookmarkStart w:id="13" w:name="_Toc1512997079"/>
    </w:p>
    <w:bookmarkEnd w:id="11"/>
    <w:bookmarkEnd w:id="12"/>
    <w:bookmarkEnd w:id="13"/>
    <w:p>
      <w:pPr>
        <w:pStyle w:val="4"/>
        <w:jc w:val="center"/>
        <w:rPr>
          <w:color w:val="000000" w:themeColor="text1"/>
          <w:sz w:val="32"/>
          <w:szCs w:val="32"/>
          <w:lang w:val="zh-CN"/>
          <w14:textFill>
            <w14:solidFill>
              <w14:schemeClr w14:val="tx1"/>
            </w14:solidFill>
          </w14:textFill>
        </w:rPr>
      </w:pPr>
      <w:bookmarkStart w:id="14" w:name="_Toc54798360"/>
      <w:r>
        <w:rPr>
          <w:rFonts w:hint="eastAsia"/>
          <w:color w:val="000000" w:themeColor="text1"/>
          <w:sz w:val="32"/>
          <w:szCs w:val="32"/>
          <w:lang w:val="zh-CN"/>
          <w14:textFill>
            <w14:solidFill>
              <w14:schemeClr w14:val="tx1"/>
            </w14:solidFill>
          </w14:textFill>
        </w:rPr>
        <w:t>第三章</w:t>
      </w:r>
      <w:r>
        <w:rPr>
          <w:color w:val="000000" w:themeColor="text1"/>
          <w:sz w:val="32"/>
          <w:szCs w:val="32"/>
          <w:lang w:val="zh-CN"/>
          <w14:textFill>
            <w14:solidFill>
              <w14:schemeClr w14:val="tx1"/>
            </w14:solidFill>
          </w14:textFill>
        </w:rPr>
        <w:t xml:space="preserve"> </w:t>
      </w:r>
      <w:r>
        <w:rPr>
          <w:rFonts w:hint="eastAsia"/>
          <w:color w:val="000000" w:themeColor="text1"/>
          <w:sz w:val="32"/>
          <w:szCs w:val="32"/>
          <w:lang w:val="zh-CN"/>
          <w14:textFill>
            <w14:solidFill>
              <w14:schemeClr w14:val="tx1"/>
            </w14:solidFill>
          </w14:textFill>
        </w:rPr>
        <w:t>采购内容及要求</w:t>
      </w:r>
      <w:r>
        <w:rPr>
          <w:rFonts w:hint="eastAsia"/>
          <w:color w:val="000000" w:themeColor="text1"/>
          <w:sz w:val="32"/>
          <w:szCs w:val="32"/>
          <w14:textFill>
            <w14:solidFill>
              <w14:schemeClr w14:val="tx1"/>
            </w14:solidFill>
          </w14:textFill>
        </w:rPr>
        <w:t>、</w:t>
      </w:r>
      <w:r>
        <w:rPr>
          <w:rFonts w:hint="eastAsia"/>
          <w:color w:val="000000" w:themeColor="text1"/>
          <w:sz w:val="32"/>
          <w:szCs w:val="32"/>
          <w:lang w:val="zh-CN"/>
          <w14:textFill>
            <w14:solidFill>
              <w14:schemeClr w14:val="tx1"/>
            </w14:solidFill>
          </w14:textFill>
        </w:rPr>
        <w:t>采购清单</w:t>
      </w:r>
      <w:bookmarkEnd w:id="14"/>
    </w:p>
    <w:p>
      <w:pPr>
        <w:pStyle w:val="4"/>
        <w:adjustRightInd w:val="0"/>
        <w:snapToGrid w:val="0"/>
        <w:spacing w:before="0" w:after="160" w:afterLines="50" w:line="560" w:lineRule="exact"/>
        <w:ind w:firstLine="644" w:firstLineChars="200"/>
        <w:rPr>
          <w:rFonts w:eastAsia="黑体"/>
          <w:b w:val="0"/>
          <w:bCs w:val="0"/>
          <w:color w:val="000000" w:themeColor="text1"/>
          <w:sz w:val="32"/>
          <w:szCs w:val="32"/>
          <w:lang w:eastAsia="zh-Hans"/>
          <w14:textFill>
            <w14:solidFill>
              <w14:schemeClr w14:val="tx1"/>
            </w14:solidFill>
          </w14:textFill>
        </w:rPr>
      </w:pPr>
      <w:r>
        <w:rPr>
          <w:rFonts w:hint="eastAsia" w:eastAsia="黑体"/>
          <w:b w:val="0"/>
          <w:bCs w:val="0"/>
          <w:color w:val="000000" w:themeColor="text1"/>
          <w:sz w:val="32"/>
          <w:szCs w:val="32"/>
          <w:lang w:eastAsia="zh-Hans"/>
          <w14:textFill>
            <w14:solidFill>
              <w14:schemeClr w14:val="tx1"/>
            </w14:solidFill>
          </w14:textFill>
        </w:rPr>
        <w:t>一、总体设计要求</w:t>
      </w:r>
    </w:p>
    <w:p>
      <w:pPr>
        <w:pStyle w:val="8"/>
        <w:spacing w:before="0" w:after="0" w:line="442" w:lineRule="exact"/>
        <w:rPr>
          <w:color w:val="000000" w:themeColor="text1"/>
          <w14:textFill>
            <w14:solidFill>
              <w14:schemeClr w14:val="tx1"/>
            </w14:solidFill>
          </w14:textFill>
        </w:rPr>
      </w:pPr>
      <w:bookmarkStart w:id="15" w:name="_Toc1598129693"/>
      <w:bookmarkStart w:id="16" w:name="_Toc552667075"/>
      <w:r>
        <w:rPr>
          <w:rFonts w:hint="eastAsia" w:ascii="Times New Roman" w:hAnsi="Times New Roman" w:eastAsia="楷体"/>
          <w:color w:val="000000" w:themeColor="text1"/>
          <w:lang w:eastAsia="zh-Hans"/>
          <w14:textFill>
            <w14:solidFill>
              <w14:schemeClr w14:val="tx1"/>
            </w14:solidFill>
          </w14:textFill>
        </w:rPr>
        <w:t>（一）总体设计原则</w:t>
      </w:r>
      <w:bookmarkEnd w:id="15"/>
      <w:bookmarkEnd w:id="16"/>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14:textFill>
            <w14:solidFill>
              <w14:schemeClr w14:val="tx1"/>
            </w14:solidFill>
          </w14:textFill>
        </w:rPr>
        <w:t>常山县作为浙江省数字乡村试点示范县，</w:t>
      </w:r>
      <w:r>
        <w:rPr>
          <w:rFonts w:hint="eastAsia" w:ascii="宋体" w:hAnsi="宋体" w:eastAsia="宋体" w:cs="宋体"/>
          <w:bCs/>
          <w:color w:val="000000" w:themeColor="text1"/>
          <w:sz w:val="21"/>
          <w:szCs w:val="21"/>
          <w:lang w:val="en-US"/>
          <w14:textFill>
            <w14:solidFill>
              <w14:schemeClr w14:val="tx1"/>
            </w14:solidFill>
          </w14:textFill>
        </w:rPr>
        <w:t>推动建设</w:t>
      </w:r>
      <w:r>
        <w:rPr>
          <w:rFonts w:hint="eastAsia" w:ascii="宋体" w:hAnsi="宋体" w:eastAsia="宋体" w:cs="宋体"/>
          <w:bCs/>
          <w:color w:val="000000" w:themeColor="text1"/>
          <w:sz w:val="21"/>
          <w:szCs w:val="21"/>
          <w:lang w:val="en-US" w:eastAsia="zh-Hans"/>
          <w14:textFill>
            <w14:solidFill>
              <w14:schemeClr w14:val="tx1"/>
            </w14:solidFill>
          </w14:textFill>
        </w:rPr>
        <w:t>常山县乡村振兴特色产业园大数据中心</w:t>
      </w:r>
      <w:r>
        <w:rPr>
          <w:rFonts w:hint="eastAsia" w:ascii="宋体" w:hAnsi="宋体" w:eastAsia="宋体" w:cs="宋体"/>
          <w:bCs/>
          <w:color w:val="000000" w:themeColor="text1"/>
          <w:sz w:val="21"/>
          <w:szCs w:val="21"/>
          <w:lang w:val="en-US"/>
          <w14:textFill>
            <w14:solidFill>
              <w14:schemeClr w14:val="tx1"/>
            </w14:solidFill>
          </w14:textFill>
        </w:rPr>
        <w:t>项目，对常山县的数字乡村建设起到重要的意义。该项目</w:t>
      </w:r>
      <w:r>
        <w:rPr>
          <w:rFonts w:ascii="宋体" w:hAnsi="宋体" w:eastAsia="宋体" w:cs="宋体"/>
          <w:bCs/>
          <w:color w:val="000000" w:themeColor="text1"/>
          <w:sz w:val="21"/>
          <w:szCs w:val="21"/>
          <w:lang w:val="en-US"/>
          <w14:textFill>
            <w14:solidFill>
              <w14:schemeClr w14:val="tx1"/>
            </w14:solidFill>
          </w14:textFill>
        </w:rPr>
        <w:t>围绕</w:t>
      </w:r>
      <w:r>
        <w:rPr>
          <w:rFonts w:ascii="宋体" w:hAnsi="宋体" w:eastAsia="宋体" w:cs="宋体"/>
          <w:bCs/>
          <w:color w:val="000000" w:themeColor="text1"/>
          <w:sz w:val="21"/>
          <w:szCs w:val="21"/>
          <w14:textFill>
            <w14:solidFill>
              <w14:schemeClr w14:val="tx1"/>
            </w14:solidFill>
          </w14:textFill>
        </w:rPr>
        <w:t>浙江省数字乡村的工作</w:t>
      </w:r>
      <w:r>
        <w:rPr>
          <w:rFonts w:ascii="宋体" w:hAnsi="宋体" w:eastAsia="宋体" w:cs="宋体"/>
          <w:bCs/>
          <w:color w:val="000000" w:themeColor="text1"/>
          <w:sz w:val="21"/>
          <w:szCs w:val="21"/>
          <w:lang w:val="en-US"/>
          <w14:textFill>
            <w14:solidFill>
              <w14:schemeClr w14:val="tx1"/>
            </w14:solidFill>
          </w14:textFill>
        </w:rPr>
        <w:t>规划与顶层设计，</w:t>
      </w:r>
      <w:r>
        <w:rPr>
          <w:rFonts w:hint="eastAsia" w:ascii="宋体" w:hAnsi="宋体" w:eastAsia="宋体" w:cs="宋体"/>
          <w:bCs/>
          <w:color w:val="000000" w:themeColor="text1"/>
          <w:sz w:val="21"/>
          <w:szCs w:val="21"/>
          <w:lang w:val="en-US"/>
          <w14:textFill>
            <w14:solidFill>
              <w14:schemeClr w14:val="tx1"/>
            </w14:solidFill>
          </w14:textFill>
        </w:rPr>
        <w:t>整合常山县各涉农部门数据，</w:t>
      </w:r>
      <w:r>
        <w:rPr>
          <w:rFonts w:ascii="宋体" w:hAnsi="宋体" w:eastAsia="宋体" w:cs="宋体"/>
          <w:bCs/>
          <w:color w:val="000000" w:themeColor="text1"/>
          <w:sz w:val="21"/>
          <w:szCs w:val="21"/>
          <w:lang w:val="en-US"/>
          <w14:textFill>
            <w14:solidFill>
              <w14:schemeClr w14:val="tx1"/>
            </w14:solidFill>
          </w14:textFill>
        </w:rPr>
        <w:t>避免各部门各自为政、自成体系、重复投资、重复建设</w:t>
      </w:r>
      <w:r>
        <w:rPr>
          <w:rFonts w:hint="eastAsia" w:ascii="宋体" w:hAnsi="宋体" w:eastAsia="宋体" w:cs="宋体"/>
          <w:bCs/>
          <w:color w:val="000000" w:themeColor="text1"/>
          <w:sz w:val="21"/>
          <w:szCs w:val="21"/>
          <w:lang w:val="en-US"/>
          <w14:textFill>
            <w14:solidFill>
              <w14:schemeClr w14:val="tx1"/>
            </w14:solidFill>
          </w14:textFill>
        </w:rPr>
        <w:t>；</w:t>
      </w:r>
      <w:r>
        <w:rPr>
          <w:rFonts w:hint="eastAsia" w:ascii="宋体" w:hAnsi="宋体" w:eastAsia="宋体" w:cs="宋体"/>
          <w:bCs/>
          <w:color w:val="000000" w:themeColor="text1"/>
          <w:sz w:val="21"/>
          <w:szCs w:val="21"/>
          <w:lang w:val="en-US" w:eastAsia="zh-Hans"/>
          <w14:textFill>
            <w14:solidFill>
              <w14:schemeClr w14:val="tx1"/>
            </w14:solidFill>
          </w14:textFill>
        </w:rPr>
        <w:t>同时</w:t>
      </w:r>
      <w:r>
        <w:rPr>
          <w:rFonts w:hint="eastAsia" w:ascii="宋体" w:hAnsi="宋体" w:eastAsia="宋体" w:cs="宋体"/>
          <w:bCs/>
          <w:color w:val="000000" w:themeColor="text1"/>
          <w:sz w:val="21"/>
          <w:szCs w:val="21"/>
          <w:lang w:val="en-US"/>
          <w14:textFill>
            <w14:solidFill>
              <w14:schemeClr w14:val="tx1"/>
            </w14:solidFill>
          </w14:textFill>
        </w:rPr>
        <w:t>本</w:t>
      </w:r>
      <w:r>
        <w:rPr>
          <w:rFonts w:hint="eastAsia" w:ascii="宋体" w:hAnsi="宋体" w:eastAsia="宋体" w:cs="宋体"/>
          <w:bCs/>
          <w:color w:val="000000" w:themeColor="text1"/>
          <w:sz w:val="21"/>
          <w:szCs w:val="21"/>
          <w:lang w:val="en-US" w:eastAsia="zh-Hans"/>
          <w14:textFill>
            <w14:solidFill>
              <w14:schemeClr w14:val="tx1"/>
            </w14:solidFill>
          </w14:textFill>
        </w:rPr>
        <w:t>项目所有数据要接入“城市大脑·常山数据专区”，手机应用功能接入常山慢城通，保障数据的安全性、共享性、实用性，保障手机应用系统的广泛实用性，实现以科技创新助力乡村振兴。</w:t>
      </w:r>
    </w:p>
    <w:p>
      <w:pPr>
        <w:pStyle w:val="8"/>
        <w:spacing w:before="0" w:after="0" w:line="442" w:lineRule="exact"/>
        <w:rPr>
          <w:color w:val="000000" w:themeColor="text1"/>
          <w14:textFill>
            <w14:solidFill>
              <w14:schemeClr w14:val="tx1"/>
            </w14:solidFill>
          </w14:textFill>
        </w:rPr>
      </w:pPr>
      <w:bookmarkStart w:id="17" w:name="_Toc1215407263"/>
      <w:bookmarkStart w:id="18" w:name="_Toc808756250"/>
      <w:r>
        <w:rPr>
          <w:rFonts w:hint="eastAsia" w:ascii="Times New Roman" w:hAnsi="Times New Roman" w:eastAsia="楷体"/>
          <w:color w:val="000000" w:themeColor="text1"/>
          <w:lang w:eastAsia="zh-Hans"/>
          <w14:textFill>
            <w14:solidFill>
              <w14:schemeClr w14:val="tx1"/>
            </w14:solidFill>
          </w14:textFill>
        </w:rPr>
        <w:t>（二）建设框架</w:t>
      </w:r>
      <w:bookmarkEnd w:id="17"/>
      <w:bookmarkEnd w:id="18"/>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项目按照“数字化＋产业化”建设思维，将大数据、云计算、人工智能、卫星遥感等前沿科技广泛应用于乡村振兴特色产业园大数据中心项目的建设中，全面构建“</w:t>
      </w:r>
      <w:r>
        <w:rPr>
          <w:rFonts w:ascii="宋体" w:hAnsi="宋体" w:eastAsia="宋体" w:cs="宋体"/>
          <w:bCs/>
          <w:color w:val="000000" w:themeColor="text1"/>
          <w:sz w:val="21"/>
          <w:szCs w:val="21"/>
          <w:lang w:val="en-US"/>
          <w14:textFill>
            <w14:solidFill>
              <w14:schemeClr w14:val="tx1"/>
            </w14:solidFill>
          </w14:textFill>
        </w:rPr>
        <w:t>1+1+5N</w:t>
      </w:r>
      <w:r>
        <w:rPr>
          <w:rFonts w:hint="eastAsia" w:ascii="宋体" w:hAnsi="宋体" w:eastAsia="宋体" w:cs="宋体"/>
          <w:bCs/>
          <w:color w:val="000000" w:themeColor="text1"/>
          <w:sz w:val="21"/>
          <w:szCs w:val="21"/>
          <w:lang w:val="en-US"/>
          <w14:textFill>
            <w14:solidFill>
              <w14:schemeClr w14:val="tx1"/>
            </w14:solidFill>
          </w14:textFill>
        </w:rPr>
        <w:t>”农业农村数字化发展体系，即：建设一个数据平台，以此为基础构建应用系统；一个数字驾驶舱，为政府部门提供统一的指挥管理平台；以及五大领域场景建设，包括物联网接入平台、</w:t>
      </w:r>
      <w:r>
        <w:rPr>
          <w:rFonts w:hint="eastAsia" w:ascii="宋体" w:hAnsi="宋体" w:eastAsia="宋体" w:cs="宋体"/>
          <w:bCs/>
          <w:color w:val="000000" w:themeColor="text1"/>
          <w:sz w:val="21"/>
          <w:szCs w:val="21"/>
          <w:lang w:val="en-US" w:eastAsia="zh-Hans"/>
          <w14:textFill>
            <w14:solidFill>
              <w14:schemeClr w14:val="tx1"/>
            </w14:solidFill>
          </w14:textFill>
        </w:rPr>
        <w:t>公共服务平台、</w:t>
      </w:r>
      <w:r>
        <w:rPr>
          <w:rFonts w:hint="eastAsia" w:ascii="宋体" w:hAnsi="宋体" w:eastAsia="宋体" w:cs="宋体"/>
          <w:bCs/>
          <w:color w:val="000000" w:themeColor="text1"/>
          <w:sz w:val="21"/>
          <w:szCs w:val="21"/>
          <w:lang w:val="en-US"/>
          <w14:textFill>
            <w14:solidFill>
              <w14:schemeClr w14:val="tx1"/>
            </w14:solidFill>
          </w14:textFill>
        </w:rPr>
        <w:t>仓储物流集中配送</w:t>
      </w:r>
      <w:r>
        <w:rPr>
          <w:rFonts w:hint="eastAsia" w:ascii="宋体" w:hAnsi="宋体" w:eastAsia="宋体" w:cs="宋体"/>
          <w:bCs/>
          <w:color w:val="000000" w:themeColor="text1"/>
          <w:sz w:val="21"/>
          <w:szCs w:val="21"/>
          <w:lang w:val="en-US" w:eastAsia="zh-Hans"/>
          <w14:textFill>
            <w14:solidFill>
              <w14:schemeClr w14:val="tx1"/>
            </w14:solidFill>
          </w14:textFill>
        </w:rPr>
        <w:t>系统</w:t>
      </w:r>
      <w:r>
        <w:rPr>
          <w:rFonts w:hint="eastAsia" w:ascii="宋体" w:hAnsi="宋体" w:eastAsia="宋体" w:cs="宋体"/>
          <w:bCs/>
          <w:color w:val="000000" w:themeColor="text1"/>
          <w:sz w:val="21"/>
          <w:szCs w:val="21"/>
          <w:lang w:val="en-US"/>
          <w14:textFill>
            <w14:solidFill>
              <w14:schemeClr w14:val="tx1"/>
            </w14:solidFill>
          </w14:textFill>
        </w:rPr>
        <w:t>、</w:t>
      </w:r>
      <w:r>
        <w:rPr>
          <w:rFonts w:hint="eastAsia" w:ascii="宋体" w:hAnsi="宋体" w:eastAsia="宋体" w:cs="宋体"/>
          <w:bCs/>
          <w:color w:val="000000" w:themeColor="text1"/>
          <w:sz w:val="21"/>
          <w:szCs w:val="21"/>
          <w:lang w:val="en-US" w:eastAsia="zh-Hans"/>
          <w14:textFill>
            <w14:solidFill>
              <w14:schemeClr w14:val="tx1"/>
            </w14:solidFill>
          </w14:textFill>
        </w:rPr>
        <w:t>电商平台</w:t>
      </w:r>
      <w:r>
        <w:rPr>
          <w:rFonts w:hint="eastAsia" w:ascii="宋体" w:hAnsi="宋体" w:eastAsia="宋体" w:cs="宋体"/>
          <w:bCs/>
          <w:color w:val="000000" w:themeColor="text1"/>
          <w:sz w:val="21"/>
          <w:szCs w:val="21"/>
          <w:lang w:val="en-US"/>
          <w14:textFill>
            <w14:solidFill>
              <w14:schemeClr w14:val="tx1"/>
            </w14:solidFill>
          </w14:textFill>
        </w:rPr>
        <w:t>、</w:t>
      </w:r>
      <w:r>
        <w:rPr>
          <w:rFonts w:hint="eastAsia" w:ascii="宋体" w:hAnsi="宋体" w:eastAsia="宋体" w:cs="宋体"/>
          <w:bCs/>
          <w:color w:val="000000" w:themeColor="text1"/>
          <w:sz w:val="21"/>
          <w:szCs w:val="21"/>
          <w:lang w:val="en-US" w:eastAsia="zh-Hans"/>
          <w14:textFill>
            <w14:solidFill>
              <w14:schemeClr w14:val="tx1"/>
            </w14:solidFill>
          </w14:textFill>
        </w:rPr>
        <w:t>农村垃圾分类智慧管理系统、全程追溯管理系统</w:t>
      </w:r>
      <w:r>
        <w:rPr>
          <w:rFonts w:ascii="宋体" w:hAnsi="宋体" w:eastAsia="宋体" w:cs="宋体"/>
          <w:bCs/>
          <w:color w:val="000000" w:themeColor="text1"/>
          <w:sz w:val="21"/>
          <w:szCs w:val="21"/>
          <w:lang w:val="en-US" w:eastAsia="zh-Hans"/>
          <w14:textFill>
            <w14:solidFill>
              <w14:schemeClr w14:val="tx1"/>
            </w14:solidFill>
          </w14:textFill>
        </w:rPr>
        <w:t>、</w:t>
      </w:r>
      <w:r>
        <w:rPr>
          <w:rFonts w:hint="eastAsia" w:ascii="宋体" w:hAnsi="宋体" w:eastAsia="宋体" w:cs="宋体"/>
          <w:bCs/>
          <w:color w:val="000000" w:themeColor="text1"/>
          <w:sz w:val="21"/>
          <w:szCs w:val="21"/>
          <w:lang w:val="en-US"/>
          <w14:textFill>
            <w14:solidFill>
              <w14:schemeClr w14:val="tx1"/>
            </w14:solidFill>
          </w14:textFill>
        </w:rPr>
        <w:t>一村一品打造、智慧园区监管系统等。通过构建数字体系，推动产业发展提档升级，打造与资源环境协调共赢的发展新格局。从产业发展、产业融合、基础设施、公共服务、城乡融合等方面整体谋划，抢占高质量发展制高点，打造数字农业农村发展建设的示范样板。</w:t>
      </w:r>
    </w:p>
    <w:p>
      <w:pPr>
        <w:pStyle w:val="8"/>
        <w:spacing w:before="0" w:after="0" w:line="442" w:lineRule="exact"/>
        <w:rPr>
          <w:rFonts w:ascii="Times New Roman" w:hAnsi="Times New Roman" w:eastAsia="楷体"/>
          <w:color w:val="000000" w:themeColor="text1"/>
          <w:lang w:eastAsia="zh-Hans"/>
          <w14:textFill>
            <w14:solidFill>
              <w14:schemeClr w14:val="tx1"/>
            </w14:solidFill>
          </w14:textFill>
        </w:rPr>
      </w:pPr>
      <w:bookmarkStart w:id="19" w:name="_Toc1624386980"/>
      <w:bookmarkStart w:id="20" w:name="_Toc766144850"/>
      <w:r>
        <w:rPr>
          <w:rFonts w:hint="eastAsia" w:ascii="Times New Roman" w:hAnsi="Times New Roman" w:eastAsia="楷体"/>
          <w:color w:val="000000" w:themeColor="text1"/>
          <w:lang w:eastAsia="zh-Hans"/>
          <w14:textFill>
            <w14:solidFill>
              <w14:schemeClr w14:val="tx1"/>
            </w14:solidFill>
          </w14:textFill>
        </w:rPr>
        <w:t>（三）技术标准</w:t>
      </w:r>
      <w:bookmarkEnd w:id="19"/>
      <w:bookmarkEnd w:id="20"/>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bookmarkStart w:id="21" w:name="_Toc284546538"/>
      <w:r>
        <w:rPr>
          <w:rFonts w:ascii="宋体" w:hAnsi="宋体" w:eastAsia="宋体" w:cs="宋体"/>
          <w:b/>
          <w:color w:val="000000" w:themeColor="text1"/>
          <w:sz w:val="21"/>
          <w:szCs w:val="21"/>
          <w:lang w:val="en-US" w:eastAsia="zh-Hans"/>
          <w14:textFill>
            <w14:solidFill>
              <w14:schemeClr w14:val="tx1"/>
            </w14:solidFill>
          </w14:textFill>
        </w:rPr>
        <w:t>1.</w:t>
      </w:r>
      <w:r>
        <w:rPr>
          <w:rFonts w:hint="eastAsia" w:ascii="宋体" w:hAnsi="宋体" w:eastAsia="宋体" w:cs="宋体"/>
          <w:b/>
          <w:color w:val="000000" w:themeColor="text1"/>
          <w:sz w:val="21"/>
          <w:szCs w:val="21"/>
          <w:lang w:val="en-US" w:eastAsia="zh-Hans"/>
          <w14:textFill>
            <w14:solidFill>
              <w14:schemeClr w14:val="tx1"/>
            </w14:solidFill>
          </w14:textFill>
        </w:rPr>
        <w:t>功能性技术标准</w:t>
      </w:r>
      <w:bookmarkEnd w:id="21"/>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访问速度方面：</w:t>
      </w:r>
      <w:r>
        <w:rPr>
          <w:rFonts w:hint="eastAsia" w:ascii="宋体" w:hAnsi="宋体" w:eastAsia="宋体" w:cs="宋体"/>
          <w:bCs/>
          <w:color w:val="000000" w:themeColor="text1"/>
          <w:sz w:val="21"/>
          <w:szCs w:val="21"/>
          <w:lang w:val="en-US"/>
          <w14:textFill>
            <w14:solidFill>
              <w14:schemeClr w14:val="tx1"/>
            </w14:solidFill>
          </w14:textFill>
        </w:rPr>
        <w:t>系统平均响应时间应能够满足系统并发压力负载性能需要，各种操作的响应时间要求如下：</w:t>
      </w:r>
      <w:r>
        <w:rPr>
          <w:rFonts w:ascii="宋体" w:hAnsi="宋体" w:eastAsia="宋体" w:cs="宋体"/>
          <w:bCs/>
          <w:color w:val="000000" w:themeColor="text1"/>
          <w:sz w:val="21"/>
          <w:szCs w:val="21"/>
          <w:lang w:val="en-US"/>
          <w14:textFill>
            <w14:solidFill>
              <w14:schemeClr w14:val="tx1"/>
            </w14:solidFill>
          </w14:textFill>
        </w:rPr>
        <w:t xml:space="preserve"> </w:t>
      </w:r>
      <w:r>
        <w:rPr>
          <w:rFonts w:hint="eastAsia" w:ascii="宋体" w:hAnsi="宋体" w:eastAsia="宋体" w:cs="宋体"/>
          <w:bCs/>
          <w:color w:val="000000" w:themeColor="text1"/>
          <w:sz w:val="21"/>
          <w:szCs w:val="21"/>
          <w:lang w:val="en-US"/>
          <w14:textFill>
            <w14:solidFill>
              <w14:schemeClr w14:val="tx1"/>
            </w14:solidFill>
          </w14:textFill>
        </w:rPr>
        <w:t>页面功能切换：</w:t>
      </w:r>
      <w:r>
        <w:rPr>
          <w:rFonts w:ascii="宋体" w:hAnsi="宋体" w:eastAsia="宋体" w:cs="宋体"/>
          <w:bCs/>
          <w:color w:val="000000" w:themeColor="text1"/>
          <w:sz w:val="21"/>
          <w:szCs w:val="21"/>
          <w:lang w:val="en-US"/>
          <w14:textFill>
            <w14:solidFill>
              <w14:schemeClr w14:val="tx1"/>
            </w14:solidFill>
          </w14:textFill>
        </w:rPr>
        <w:t>1.5</w:t>
      </w:r>
      <w:r>
        <w:rPr>
          <w:rFonts w:hint="eastAsia" w:ascii="宋体" w:hAnsi="宋体" w:eastAsia="宋体" w:cs="宋体"/>
          <w:bCs/>
          <w:color w:val="000000" w:themeColor="text1"/>
          <w:sz w:val="21"/>
          <w:szCs w:val="21"/>
          <w:lang w:val="en-US"/>
          <w14:textFill>
            <w14:solidFill>
              <w14:schemeClr w14:val="tx1"/>
            </w14:solidFill>
          </w14:textFill>
        </w:rPr>
        <w:t>秒；信息浏览：</w:t>
      </w:r>
      <w:r>
        <w:rPr>
          <w:rFonts w:ascii="宋体" w:hAnsi="宋体" w:eastAsia="宋体" w:cs="宋体"/>
          <w:bCs/>
          <w:color w:val="000000" w:themeColor="text1"/>
          <w:sz w:val="21"/>
          <w:szCs w:val="21"/>
          <w:lang w:val="en-US"/>
          <w14:textFill>
            <w14:solidFill>
              <w14:schemeClr w14:val="tx1"/>
            </w14:solidFill>
          </w14:textFill>
        </w:rPr>
        <w:t>1</w:t>
      </w:r>
      <w:r>
        <w:rPr>
          <w:rFonts w:hint="eastAsia" w:ascii="宋体" w:hAnsi="宋体" w:eastAsia="宋体" w:cs="宋体"/>
          <w:bCs/>
          <w:color w:val="000000" w:themeColor="text1"/>
          <w:sz w:val="21"/>
          <w:szCs w:val="21"/>
          <w:lang w:val="en-US"/>
          <w14:textFill>
            <w14:solidFill>
              <w14:schemeClr w14:val="tx1"/>
            </w14:solidFill>
          </w14:textFill>
        </w:rPr>
        <w:t>秒；简单查询：</w:t>
      </w:r>
      <w:r>
        <w:rPr>
          <w:rFonts w:ascii="宋体" w:hAnsi="宋体" w:eastAsia="宋体" w:cs="宋体"/>
          <w:bCs/>
          <w:color w:val="000000" w:themeColor="text1"/>
          <w:sz w:val="21"/>
          <w:szCs w:val="21"/>
          <w:lang w:val="en-US"/>
          <w14:textFill>
            <w14:solidFill>
              <w14:schemeClr w14:val="tx1"/>
            </w14:solidFill>
          </w14:textFill>
        </w:rPr>
        <w:t>1.5</w:t>
      </w:r>
      <w:r>
        <w:rPr>
          <w:rFonts w:hint="eastAsia" w:ascii="宋体" w:hAnsi="宋体" w:eastAsia="宋体" w:cs="宋体"/>
          <w:bCs/>
          <w:color w:val="000000" w:themeColor="text1"/>
          <w:sz w:val="21"/>
          <w:szCs w:val="21"/>
          <w:lang w:val="en-US"/>
          <w14:textFill>
            <w14:solidFill>
              <w14:schemeClr w14:val="tx1"/>
            </w14:solidFill>
          </w14:textFill>
        </w:rPr>
        <w:t>秒；复杂搜索：</w:t>
      </w:r>
      <w:r>
        <w:rPr>
          <w:rFonts w:ascii="宋体" w:hAnsi="宋体" w:eastAsia="宋体" w:cs="宋体"/>
          <w:bCs/>
          <w:color w:val="000000" w:themeColor="text1"/>
          <w:sz w:val="21"/>
          <w:szCs w:val="21"/>
          <w:lang w:val="en-US"/>
          <w14:textFill>
            <w14:solidFill>
              <w14:schemeClr w14:val="tx1"/>
            </w14:solidFill>
          </w14:textFill>
        </w:rPr>
        <w:t>2</w:t>
      </w:r>
      <w:r>
        <w:rPr>
          <w:rFonts w:hint="eastAsia" w:ascii="宋体" w:hAnsi="宋体" w:eastAsia="宋体" w:cs="宋体"/>
          <w:bCs/>
          <w:color w:val="000000" w:themeColor="text1"/>
          <w:sz w:val="21"/>
          <w:szCs w:val="21"/>
          <w:lang w:val="en-US"/>
          <w14:textFill>
            <w14:solidFill>
              <w14:schemeClr w14:val="tx1"/>
            </w14:solidFill>
          </w14:textFill>
        </w:rPr>
        <w:t>秒；表单提交：</w:t>
      </w:r>
      <w:r>
        <w:rPr>
          <w:rFonts w:ascii="宋体" w:hAnsi="宋体" w:eastAsia="宋体" w:cs="宋体"/>
          <w:bCs/>
          <w:color w:val="000000" w:themeColor="text1"/>
          <w:sz w:val="21"/>
          <w:szCs w:val="21"/>
          <w:lang w:val="en-US"/>
          <w14:textFill>
            <w14:solidFill>
              <w14:schemeClr w14:val="tx1"/>
            </w14:solidFill>
          </w14:textFill>
        </w:rPr>
        <w:t>2.5</w:t>
      </w:r>
      <w:r>
        <w:rPr>
          <w:rFonts w:hint="eastAsia" w:ascii="宋体" w:hAnsi="宋体" w:eastAsia="宋体" w:cs="宋体"/>
          <w:bCs/>
          <w:color w:val="000000" w:themeColor="text1"/>
          <w:sz w:val="21"/>
          <w:szCs w:val="21"/>
          <w:lang w:val="en-US"/>
          <w14:textFill>
            <w14:solidFill>
              <w14:schemeClr w14:val="tx1"/>
            </w14:solidFill>
          </w14:textFill>
        </w:rPr>
        <w:t>秒。</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存储系统方面：</w:t>
      </w:r>
      <w:r>
        <w:rPr>
          <w:rFonts w:hint="eastAsia" w:ascii="宋体" w:hAnsi="宋体" w:eastAsia="宋体" w:cs="宋体"/>
          <w:bCs/>
          <w:color w:val="000000" w:themeColor="text1"/>
          <w:sz w:val="21"/>
          <w:szCs w:val="21"/>
          <w:lang w:val="en-US"/>
          <w14:textFill>
            <w14:solidFill>
              <w14:schemeClr w14:val="tx1"/>
            </w14:solidFill>
          </w14:textFill>
        </w:rPr>
        <w:t>平台的存储系统应能够扩容，最小存储量应达到</w:t>
      </w:r>
      <w:r>
        <w:rPr>
          <w:rFonts w:ascii="宋体" w:hAnsi="宋体" w:eastAsia="宋体" w:cs="宋体"/>
          <w:bCs/>
          <w:color w:val="000000" w:themeColor="text1"/>
          <w:sz w:val="21"/>
          <w:szCs w:val="21"/>
          <w:lang w:val="en-US"/>
          <w14:textFill>
            <w14:solidFill>
              <w14:schemeClr w14:val="tx1"/>
            </w14:solidFill>
          </w14:textFill>
        </w:rPr>
        <w:t>2TB</w:t>
      </w:r>
      <w:r>
        <w:rPr>
          <w:rFonts w:hint="eastAsia" w:ascii="宋体" w:hAnsi="宋体" w:eastAsia="宋体" w:cs="宋体"/>
          <w:bCs/>
          <w:color w:val="000000" w:themeColor="text1"/>
          <w:sz w:val="21"/>
          <w:szCs w:val="21"/>
          <w:lang w:val="en-US"/>
          <w14:textFill>
            <w14:solidFill>
              <w14:schemeClr w14:val="tx1"/>
            </w14:solidFill>
          </w14:textFill>
        </w:rPr>
        <w:t>。</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具备高可用方面：</w:t>
      </w:r>
      <w:r>
        <w:rPr>
          <w:rFonts w:hint="eastAsia" w:ascii="宋体" w:hAnsi="宋体" w:eastAsia="宋体" w:cs="宋体"/>
          <w:bCs/>
          <w:color w:val="000000" w:themeColor="text1"/>
          <w:sz w:val="21"/>
          <w:szCs w:val="21"/>
          <w:lang w:val="en-US"/>
          <w14:textFill>
            <w14:solidFill>
              <w14:schemeClr w14:val="tx1"/>
            </w14:solidFill>
          </w14:textFill>
        </w:rPr>
        <w:t>平台应具备高可用性，</w:t>
      </w:r>
      <w:r>
        <w:rPr>
          <w:rFonts w:ascii="宋体" w:hAnsi="宋体" w:eastAsia="宋体" w:cs="宋体"/>
          <w:bCs/>
          <w:color w:val="000000" w:themeColor="text1"/>
          <w:sz w:val="21"/>
          <w:szCs w:val="21"/>
          <w:lang w:val="en-US"/>
          <w14:textFill>
            <w14:solidFill>
              <w14:schemeClr w14:val="tx1"/>
            </w14:solidFill>
          </w14:textFill>
        </w:rPr>
        <w:t>7x24</w:t>
      </w:r>
      <w:r>
        <w:rPr>
          <w:rFonts w:hint="eastAsia" w:ascii="宋体" w:hAnsi="宋体" w:eastAsia="宋体" w:cs="宋体"/>
          <w:bCs/>
          <w:color w:val="000000" w:themeColor="text1"/>
          <w:sz w:val="21"/>
          <w:szCs w:val="21"/>
          <w:lang w:val="en-US"/>
          <w14:textFill>
            <w14:solidFill>
              <w14:schemeClr w14:val="tx1"/>
            </w14:solidFill>
          </w14:textFill>
        </w:rPr>
        <w:t>提供服务，每年故障（非计划）停机时间合计小于</w:t>
      </w:r>
      <w:r>
        <w:rPr>
          <w:rFonts w:ascii="宋体" w:hAnsi="宋体" w:eastAsia="宋体" w:cs="宋体"/>
          <w:bCs/>
          <w:color w:val="000000" w:themeColor="text1"/>
          <w:sz w:val="21"/>
          <w:szCs w:val="21"/>
          <w:lang w:val="en-US"/>
          <w14:textFill>
            <w14:solidFill>
              <w14:schemeClr w14:val="tx1"/>
            </w14:solidFill>
          </w14:textFill>
        </w:rPr>
        <w:t>8.8</w:t>
      </w:r>
      <w:r>
        <w:rPr>
          <w:rFonts w:hint="eastAsia" w:ascii="宋体" w:hAnsi="宋体" w:eastAsia="宋体" w:cs="宋体"/>
          <w:bCs/>
          <w:color w:val="000000" w:themeColor="text1"/>
          <w:sz w:val="21"/>
          <w:szCs w:val="21"/>
          <w:lang w:val="en-US"/>
          <w14:textFill>
            <w14:solidFill>
              <w14:schemeClr w14:val="tx1"/>
            </w14:solidFill>
          </w14:textFill>
        </w:rPr>
        <w:t>小时；同时，关键应用每次因故障（非计划）停止服务至恢复服务的时间小于</w:t>
      </w:r>
      <w:r>
        <w:rPr>
          <w:rFonts w:ascii="宋体" w:hAnsi="宋体" w:eastAsia="宋体" w:cs="宋体"/>
          <w:bCs/>
          <w:color w:val="000000" w:themeColor="text1"/>
          <w:sz w:val="21"/>
          <w:szCs w:val="21"/>
          <w:lang w:val="en-US"/>
          <w14:textFill>
            <w14:solidFill>
              <w14:schemeClr w14:val="tx1"/>
            </w14:solidFill>
          </w14:textFill>
        </w:rPr>
        <w:t>5</w:t>
      </w:r>
      <w:r>
        <w:rPr>
          <w:rFonts w:hint="eastAsia" w:ascii="宋体" w:hAnsi="宋体" w:eastAsia="宋体" w:cs="宋体"/>
          <w:bCs/>
          <w:color w:val="000000" w:themeColor="text1"/>
          <w:sz w:val="21"/>
          <w:szCs w:val="21"/>
          <w:lang w:val="en-US"/>
          <w14:textFill>
            <w14:solidFill>
              <w14:schemeClr w14:val="tx1"/>
            </w14:solidFill>
          </w14:textFill>
        </w:rPr>
        <w:t>分钟，在出现故障时，必须能够及时提供应急措施，以保证对接系统的业务不中断。</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稳定性方面：在利用本系统正常的工作中，不应出现妨碍工作顺利进行的系统错误或意外中止的情况。</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资源利用方面：在进行海量数据的查询、统计、分析的过程中，允许</w:t>
      </w:r>
      <w:r>
        <w:rPr>
          <w:rFonts w:ascii="宋体" w:hAnsi="宋体" w:eastAsia="宋体" w:cs="宋体"/>
          <w:bCs/>
          <w:color w:val="000000" w:themeColor="text1"/>
          <w:sz w:val="21"/>
          <w:szCs w:val="21"/>
          <w:lang w:val="en-US"/>
          <w14:textFill>
            <w14:solidFill>
              <w14:schemeClr w14:val="tx1"/>
            </w14:solidFill>
          </w14:textFill>
        </w:rPr>
        <w:t>CPU</w:t>
      </w:r>
      <w:r>
        <w:rPr>
          <w:rFonts w:hint="eastAsia" w:ascii="宋体" w:hAnsi="宋体" w:eastAsia="宋体" w:cs="宋体"/>
          <w:bCs/>
          <w:color w:val="000000" w:themeColor="text1"/>
          <w:sz w:val="21"/>
          <w:szCs w:val="21"/>
          <w:lang w:val="en-US"/>
          <w14:textFill>
            <w14:solidFill>
              <w14:schemeClr w14:val="tx1"/>
            </w14:solidFill>
          </w14:textFill>
        </w:rPr>
        <w:t>和内存的占用率提升及网络带宽占有量的加大，但在操作结束后，应该及时释放所占用的资源，以保证工作人员利用电脑顺利进行其它的工作。</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系统处理能力方面：系统的用户较多，所以对系统的并发处理能力要求较高；支持用户并发数</w:t>
      </w:r>
      <w:r>
        <w:rPr>
          <w:rFonts w:ascii="宋体" w:hAnsi="宋体" w:eastAsia="宋体" w:cs="宋体"/>
          <w:bCs/>
          <w:color w:val="000000" w:themeColor="text1"/>
          <w:sz w:val="21"/>
          <w:szCs w:val="21"/>
          <w:lang w:val="en-US"/>
          <w14:textFill>
            <w14:solidFill>
              <w14:schemeClr w14:val="tx1"/>
            </w14:solidFill>
          </w14:textFill>
        </w:rPr>
        <w:t>500</w:t>
      </w:r>
      <w:r>
        <w:rPr>
          <w:rFonts w:hint="eastAsia" w:ascii="宋体" w:hAnsi="宋体" w:eastAsia="宋体" w:cs="宋体"/>
          <w:bCs/>
          <w:color w:val="000000" w:themeColor="text1"/>
          <w:sz w:val="21"/>
          <w:szCs w:val="21"/>
          <w:lang w:val="en-US"/>
          <w14:textFill>
            <w14:solidFill>
              <w14:schemeClr w14:val="tx1"/>
            </w14:solidFill>
          </w14:textFill>
        </w:rPr>
        <w:t>，最长时间</w:t>
      </w:r>
      <w:r>
        <w:rPr>
          <w:rFonts w:ascii="宋体" w:hAnsi="宋体" w:eastAsia="宋体" w:cs="宋体"/>
          <w:bCs/>
          <w:color w:val="000000" w:themeColor="text1"/>
          <w:sz w:val="21"/>
          <w:szCs w:val="21"/>
          <w:lang w:val="en-US"/>
          <w14:textFill>
            <w14:solidFill>
              <w14:schemeClr w14:val="tx1"/>
            </w14:solidFill>
          </w14:textFill>
        </w:rPr>
        <w:t>3</w:t>
      </w:r>
      <w:r>
        <w:rPr>
          <w:rFonts w:hint="eastAsia" w:ascii="宋体" w:hAnsi="宋体" w:eastAsia="宋体" w:cs="宋体"/>
          <w:bCs/>
          <w:color w:val="000000" w:themeColor="text1"/>
          <w:sz w:val="21"/>
          <w:szCs w:val="21"/>
          <w:lang w:val="en-US"/>
          <w14:textFill>
            <w14:solidFill>
              <w14:schemeClr w14:val="tx1"/>
            </w14:solidFill>
          </w14:textFill>
        </w:rPr>
        <w:t>秒。</w:t>
      </w:r>
    </w:p>
    <w:p>
      <w:pPr>
        <w:pStyle w:val="17"/>
        <w:spacing w:line="440" w:lineRule="exact"/>
        <w:ind w:firstLine="424" w:firstLineChars="200"/>
        <w:rPr>
          <w:rFonts w:hAnsi="仿宋_GB2312" w:cs="仿宋_GB2312"/>
          <w:color w:val="000000" w:themeColor="text1"/>
          <w:szCs w:val="32"/>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使用灵活性方面：当系统与其它软件的接口发生变化，用户的操作方式、运行环境、对信息获取方式以及对期望获取的信息结果发生变化时，软件系统要做到易于调整，拥有高度的灵活性。</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bookmarkStart w:id="22" w:name="_Toc2075065944"/>
      <w:r>
        <w:rPr>
          <w:rFonts w:ascii="宋体" w:hAnsi="宋体" w:eastAsia="宋体" w:cs="宋体"/>
          <w:b/>
          <w:color w:val="000000" w:themeColor="text1"/>
          <w:sz w:val="21"/>
          <w:szCs w:val="21"/>
          <w:lang w:val="en-US" w:eastAsia="zh-Hans"/>
          <w14:textFill>
            <w14:solidFill>
              <w14:schemeClr w14:val="tx1"/>
            </w14:solidFill>
          </w14:textFill>
        </w:rPr>
        <w:t>2.</w:t>
      </w:r>
      <w:r>
        <w:rPr>
          <w:rFonts w:hint="eastAsia" w:ascii="宋体" w:hAnsi="宋体" w:eastAsia="宋体" w:cs="宋体"/>
          <w:b/>
          <w:color w:val="000000" w:themeColor="text1"/>
          <w:sz w:val="21"/>
          <w:szCs w:val="21"/>
          <w:lang w:val="en-US" w:eastAsia="zh-Hans"/>
          <w14:textFill>
            <w14:solidFill>
              <w14:schemeClr w14:val="tx1"/>
            </w14:solidFill>
          </w14:textFill>
        </w:rPr>
        <w:t>非功能性技术标准</w:t>
      </w:r>
      <w:bookmarkEnd w:id="22"/>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w:t>
      </w:r>
      <w:r>
        <w:rPr>
          <w:rFonts w:ascii="宋体" w:hAnsi="宋体" w:eastAsia="宋体" w:cs="宋体"/>
          <w:b/>
          <w:color w:val="000000" w:themeColor="text1"/>
          <w:sz w:val="21"/>
          <w:szCs w:val="21"/>
          <w:lang w:val="en-US" w:eastAsia="zh-Hans"/>
          <w14:textFill>
            <w14:solidFill>
              <w14:schemeClr w14:val="tx1"/>
            </w14:solidFill>
          </w14:textFill>
        </w:rPr>
        <w:t>1</w:t>
      </w:r>
      <w:r>
        <w:rPr>
          <w:rFonts w:hint="eastAsia" w:ascii="宋体" w:hAnsi="宋体" w:eastAsia="宋体" w:cs="宋体"/>
          <w:b/>
          <w:color w:val="000000" w:themeColor="text1"/>
          <w:sz w:val="21"/>
          <w:szCs w:val="21"/>
          <w:lang w:val="en-US" w:eastAsia="zh-Hans"/>
          <w14:textFill>
            <w14:solidFill>
              <w14:schemeClr w14:val="tx1"/>
            </w14:solidFill>
          </w14:textFill>
        </w:rPr>
        <w:t>）可用性与可靠性</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项目建设应采用应用服务器和数据库服务器的优化技术提高系统的业务处理能力；通过制定完备的备份恢复策略来保证系统在出现问题时能够及时地恢复到故障时间点；保证业务数据不丢失。</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保证系统</w:t>
      </w:r>
      <w:r>
        <w:rPr>
          <w:rFonts w:ascii="宋体" w:hAnsi="宋体" w:eastAsia="宋体" w:cs="宋体"/>
          <w:bCs/>
          <w:color w:val="000000" w:themeColor="text1"/>
          <w:sz w:val="21"/>
          <w:szCs w:val="21"/>
          <w:lang w:val="en-US"/>
          <w14:textFill>
            <w14:solidFill>
              <w14:schemeClr w14:val="tx1"/>
            </w14:solidFill>
          </w14:textFill>
        </w:rPr>
        <w:t>7*24</w:t>
      </w:r>
      <w:r>
        <w:rPr>
          <w:rFonts w:hint="eastAsia" w:ascii="宋体" w:hAnsi="宋体" w:eastAsia="宋体" w:cs="宋体"/>
          <w:bCs/>
          <w:color w:val="000000" w:themeColor="text1"/>
          <w:sz w:val="21"/>
          <w:szCs w:val="21"/>
          <w:lang w:val="en-US"/>
          <w14:textFill>
            <w14:solidFill>
              <w14:schemeClr w14:val="tx1"/>
            </w14:solidFill>
          </w14:textFill>
        </w:rPr>
        <w:t>小时持续可用，可在每日特定时间段内对系统进行维护。</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保证传输数据服务要求准确，不能丢失数据。</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保证系统具备</w:t>
      </w:r>
      <w:r>
        <w:rPr>
          <w:rFonts w:ascii="宋体" w:hAnsi="宋体" w:eastAsia="宋体" w:cs="宋体"/>
          <w:bCs/>
          <w:color w:val="000000" w:themeColor="text1"/>
          <w:sz w:val="21"/>
          <w:szCs w:val="21"/>
          <w:lang w:val="en-US"/>
          <w14:textFill>
            <w14:solidFill>
              <w14:schemeClr w14:val="tx1"/>
            </w14:solidFill>
          </w14:textFill>
        </w:rPr>
        <w:t>7*24</w:t>
      </w:r>
      <w:r>
        <w:rPr>
          <w:rFonts w:hint="eastAsia" w:ascii="宋体" w:hAnsi="宋体" w:eastAsia="宋体" w:cs="宋体"/>
          <w:bCs/>
          <w:color w:val="000000" w:themeColor="text1"/>
          <w:sz w:val="21"/>
          <w:szCs w:val="21"/>
          <w:lang w:val="en-US"/>
          <w14:textFill>
            <w14:solidFill>
              <w14:schemeClr w14:val="tx1"/>
            </w14:solidFill>
          </w14:textFill>
        </w:rPr>
        <w:t>小时持续运行能力；系统主设备环节无单点故障；软件系统具备集群支持。</w:t>
      </w:r>
    </w:p>
    <w:p>
      <w:pPr>
        <w:pStyle w:val="17"/>
        <w:spacing w:line="440" w:lineRule="exact"/>
        <w:ind w:firstLine="424" w:firstLineChars="200"/>
        <w:rPr>
          <w:rFonts w:ascii="宋体" w:hAnsi="宋体" w:eastAsia="宋体" w:cs="宋体"/>
          <w:b/>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w:t>
      </w:r>
      <w:r>
        <w:rPr>
          <w:rFonts w:ascii="宋体" w:hAnsi="宋体" w:eastAsia="宋体" w:cs="宋体"/>
          <w:b/>
          <w:color w:val="000000" w:themeColor="text1"/>
          <w:sz w:val="21"/>
          <w:szCs w:val="21"/>
          <w:lang w:val="en-US" w:eastAsia="zh-Hans"/>
          <w14:textFill>
            <w14:solidFill>
              <w14:schemeClr w14:val="tx1"/>
            </w14:solidFill>
          </w14:textFill>
        </w:rPr>
        <w:t>2</w:t>
      </w:r>
      <w:r>
        <w:rPr>
          <w:rFonts w:hint="eastAsia" w:ascii="宋体" w:hAnsi="宋体" w:eastAsia="宋体" w:cs="宋体"/>
          <w:b/>
          <w:color w:val="000000" w:themeColor="text1"/>
          <w:sz w:val="21"/>
          <w:szCs w:val="21"/>
          <w:lang w:val="en-US" w:eastAsia="zh-Hans"/>
          <w14:textFill>
            <w14:solidFill>
              <w14:schemeClr w14:val="tx1"/>
            </w14:solidFill>
          </w14:textFill>
        </w:rPr>
        <w:t>）</w:t>
      </w:r>
      <w:r>
        <w:rPr>
          <w:rFonts w:hint="eastAsia" w:ascii="宋体" w:hAnsi="宋体" w:eastAsia="宋体" w:cs="宋体"/>
          <w:b/>
          <w:color w:val="000000" w:themeColor="text1"/>
          <w:sz w:val="21"/>
          <w:szCs w:val="21"/>
          <w:lang w:val="en-US"/>
          <w14:textFill>
            <w14:solidFill>
              <w14:schemeClr w14:val="tx1"/>
            </w14:solidFill>
          </w14:textFill>
        </w:rPr>
        <w:t>实用性</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平台以方便、简洁、高效、实用为目标，系统平台实现操作风格的统一、操作环节简洁高效、操作互动性强，提供自助式操作指南，体现人性化设计。</w:t>
      </w:r>
    </w:p>
    <w:p>
      <w:pPr>
        <w:pStyle w:val="17"/>
        <w:spacing w:line="440" w:lineRule="exact"/>
        <w:ind w:firstLine="424" w:firstLineChars="200"/>
        <w:rPr>
          <w:rFonts w:ascii="宋体" w:hAnsi="宋体" w:eastAsia="宋体" w:cs="宋体"/>
          <w:b/>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w:t>
      </w:r>
      <w:r>
        <w:rPr>
          <w:rFonts w:ascii="宋体" w:hAnsi="宋体" w:eastAsia="宋体" w:cs="宋体"/>
          <w:b/>
          <w:color w:val="000000" w:themeColor="text1"/>
          <w:sz w:val="21"/>
          <w:szCs w:val="21"/>
          <w:lang w:val="en-US" w:eastAsia="zh-Hans"/>
          <w14:textFill>
            <w14:solidFill>
              <w14:schemeClr w14:val="tx1"/>
            </w14:solidFill>
          </w14:textFill>
        </w:rPr>
        <w:t>3</w:t>
      </w:r>
      <w:r>
        <w:rPr>
          <w:rFonts w:hint="eastAsia" w:ascii="宋体" w:hAnsi="宋体" w:eastAsia="宋体" w:cs="宋体"/>
          <w:b/>
          <w:color w:val="000000" w:themeColor="text1"/>
          <w:sz w:val="21"/>
          <w:szCs w:val="21"/>
          <w:lang w:val="en-US" w:eastAsia="zh-Hans"/>
          <w14:textFill>
            <w14:solidFill>
              <w14:schemeClr w14:val="tx1"/>
            </w14:solidFill>
          </w14:textFill>
        </w:rPr>
        <w:t>）</w:t>
      </w:r>
      <w:r>
        <w:rPr>
          <w:rFonts w:hint="eastAsia" w:ascii="宋体" w:hAnsi="宋体" w:eastAsia="宋体" w:cs="宋体"/>
          <w:b/>
          <w:color w:val="000000" w:themeColor="text1"/>
          <w:sz w:val="21"/>
          <w:szCs w:val="21"/>
          <w:lang w:val="en-US"/>
          <w14:textFill>
            <w14:solidFill>
              <w14:schemeClr w14:val="tx1"/>
            </w14:solidFill>
          </w14:textFill>
        </w:rPr>
        <w:t>经济性</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系统建设要求能够保护投资，当系统数据量和访问量增大而导致系统配置不能满足要求时，可灵活扩展相应的计算、存储资源。</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要求采用成熟的先进技术，选择性价比高的技术和设备，降低系统一次投资费用和日常的维护、维修成本。</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具备一定的检修和自动恢复功能，在瘫痪后能够在短时间内迅速恢复。在用户出现错误操作时能进行提示，并自动停止该操作。</w:t>
      </w:r>
    </w:p>
    <w:p>
      <w:pPr>
        <w:pStyle w:val="17"/>
        <w:spacing w:line="440" w:lineRule="exact"/>
        <w:ind w:firstLine="424" w:firstLineChars="200"/>
        <w:rPr>
          <w:rFonts w:ascii="宋体" w:hAnsi="宋体" w:eastAsia="宋体" w:cs="宋体"/>
          <w:b/>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w:t>
      </w:r>
      <w:r>
        <w:rPr>
          <w:rFonts w:ascii="宋体" w:hAnsi="宋体" w:eastAsia="宋体" w:cs="宋体"/>
          <w:b/>
          <w:color w:val="000000" w:themeColor="text1"/>
          <w:sz w:val="21"/>
          <w:szCs w:val="21"/>
          <w:lang w:val="en-US" w:eastAsia="zh-Hans"/>
          <w14:textFill>
            <w14:solidFill>
              <w14:schemeClr w14:val="tx1"/>
            </w14:solidFill>
          </w14:textFill>
        </w:rPr>
        <w:t>4</w:t>
      </w:r>
      <w:r>
        <w:rPr>
          <w:rFonts w:hint="eastAsia" w:ascii="宋体" w:hAnsi="宋体" w:eastAsia="宋体" w:cs="宋体"/>
          <w:b/>
          <w:color w:val="000000" w:themeColor="text1"/>
          <w:sz w:val="21"/>
          <w:szCs w:val="21"/>
          <w:lang w:val="en-US" w:eastAsia="zh-Hans"/>
          <w14:textFill>
            <w14:solidFill>
              <w14:schemeClr w14:val="tx1"/>
            </w14:solidFill>
          </w14:textFill>
        </w:rPr>
        <w:t>）</w:t>
      </w:r>
      <w:r>
        <w:rPr>
          <w:rFonts w:hint="eastAsia" w:ascii="宋体" w:hAnsi="宋体" w:eastAsia="宋体" w:cs="宋体"/>
          <w:b/>
          <w:color w:val="000000" w:themeColor="text1"/>
          <w:sz w:val="21"/>
          <w:szCs w:val="21"/>
          <w:lang w:val="en-US"/>
          <w14:textFill>
            <w14:solidFill>
              <w14:schemeClr w14:val="tx1"/>
            </w14:solidFill>
          </w14:textFill>
        </w:rPr>
        <w:t>灵活性和可扩展性</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系统基于应用支撑平台开发，采用构件化的方式，支持随需而变，可灵活定制、配置报表、流程、数据项等。在应用的过程中，当系统与其它软件的接口发生变化，用户的操作方式、运行环境、对信息获取方式以及对期望获取的信息结果发生变化时，软件系统易于调整，拥有高度的灵活性。</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a.</w:t>
      </w:r>
      <w:r>
        <w:rPr>
          <w:rFonts w:hint="eastAsia" w:ascii="宋体" w:hAnsi="宋体" w:eastAsia="宋体" w:cs="宋体"/>
          <w:bCs/>
          <w:color w:val="000000" w:themeColor="text1"/>
          <w:sz w:val="21"/>
          <w:szCs w:val="21"/>
          <w:lang w:val="en-US"/>
          <w14:textFill>
            <w14:solidFill>
              <w14:schemeClr w14:val="tx1"/>
            </w14:solidFill>
          </w14:textFill>
        </w:rPr>
        <w:t>配置化设计</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系统的配置化设计，通过灵活使用配置工具，减少代码的开发，易学易用，尽可能使业务流程的配置化。</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ascii="宋体" w:hAnsi="宋体" w:eastAsia="宋体" w:cs="宋体"/>
          <w:bCs/>
          <w:color w:val="000000" w:themeColor="text1"/>
          <w:sz w:val="21"/>
          <w:szCs w:val="21"/>
          <w:lang w:val="en-US"/>
          <w14:textFill>
            <w14:solidFill>
              <w14:schemeClr w14:val="tx1"/>
            </w14:solidFill>
          </w14:textFill>
        </w:rPr>
        <w:t>b.</w:t>
      </w:r>
      <w:r>
        <w:rPr>
          <w:rFonts w:hint="eastAsia" w:ascii="宋体" w:hAnsi="宋体" w:eastAsia="宋体" w:cs="宋体"/>
          <w:bCs/>
          <w:color w:val="000000" w:themeColor="text1"/>
          <w:sz w:val="21"/>
          <w:szCs w:val="21"/>
          <w:lang w:val="en-US"/>
          <w14:textFill>
            <w14:solidFill>
              <w14:schemeClr w14:val="tx1"/>
            </w14:solidFill>
          </w14:textFill>
        </w:rPr>
        <w:t>组件化设计</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系统的组件化设计，实现真正的软件可重用性和高度的互操作性；编程语言和开发环境具有独立性、可扩充性、可重用性。</w:t>
      </w:r>
    </w:p>
    <w:p>
      <w:pPr>
        <w:pStyle w:val="17"/>
        <w:spacing w:line="440" w:lineRule="exact"/>
        <w:ind w:firstLine="424" w:firstLineChars="200"/>
        <w:rPr>
          <w:rFonts w:ascii="宋体" w:hAnsi="宋体" w:eastAsia="宋体" w:cs="宋体"/>
          <w:b/>
          <w:color w:val="000000" w:themeColor="text1"/>
          <w:sz w:val="21"/>
          <w:szCs w:val="21"/>
          <w:lang w:val="en-U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w:t>
      </w:r>
      <w:r>
        <w:rPr>
          <w:rFonts w:ascii="宋体" w:hAnsi="宋体" w:eastAsia="宋体" w:cs="宋体"/>
          <w:b/>
          <w:color w:val="000000" w:themeColor="text1"/>
          <w:sz w:val="21"/>
          <w:szCs w:val="21"/>
          <w:lang w:val="en-US" w:eastAsia="zh-Hans"/>
          <w14:textFill>
            <w14:solidFill>
              <w14:schemeClr w14:val="tx1"/>
            </w14:solidFill>
          </w14:textFill>
        </w:rPr>
        <w:t>5</w:t>
      </w:r>
      <w:r>
        <w:rPr>
          <w:rFonts w:hint="eastAsia" w:ascii="宋体" w:hAnsi="宋体" w:eastAsia="宋体" w:cs="宋体"/>
          <w:b/>
          <w:color w:val="000000" w:themeColor="text1"/>
          <w:sz w:val="21"/>
          <w:szCs w:val="21"/>
          <w:lang w:val="en-US" w:eastAsia="zh-Hans"/>
          <w14:textFill>
            <w14:solidFill>
              <w14:schemeClr w14:val="tx1"/>
            </w14:solidFill>
          </w14:textFill>
        </w:rPr>
        <w:t>）</w:t>
      </w:r>
      <w:r>
        <w:rPr>
          <w:rFonts w:hint="eastAsia" w:ascii="宋体" w:hAnsi="宋体" w:eastAsia="宋体" w:cs="宋体"/>
          <w:b/>
          <w:color w:val="000000" w:themeColor="text1"/>
          <w:sz w:val="21"/>
          <w:szCs w:val="21"/>
          <w:lang w:val="en-US"/>
          <w14:textFill>
            <w14:solidFill>
              <w14:schemeClr w14:val="tx1"/>
            </w14:solidFill>
          </w14:textFill>
        </w:rPr>
        <w:t>系统安全设计要求</w:t>
      </w:r>
    </w:p>
    <w:p>
      <w:pPr>
        <w:pStyle w:val="17"/>
        <w:spacing w:line="440" w:lineRule="exact"/>
        <w:ind w:firstLine="424" w:firstLineChars="200"/>
        <w:rPr>
          <w:color w:val="000000" w:themeColor="text1"/>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系统设计应满足国家信息系统安全等级保护</w:t>
      </w:r>
      <w:r>
        <w:rPr>
          <w:rFonts w:ascii="宋体" w:hAnsi="宋体" w:eastAsia="宋体" w:cs="宋体"/>
          <w:bCs/>
          <w:color w:val="000000" w:themeColor="text1"/>
          <w:sz w:val="21"/>
          <w:szCs w:val="21"/>
          <w:lang w:val="en-US"/>
          <w14:textFill>
            <w14:solidFill>
              <w14:schemeClr w14:val="tx1"/>
            </w14:solidFill>
          </w14:textFill>
        </w:rPr>
        <w:t>2.0</w:t>
      </w:r>
      <w:r>
        <w:rPr>
          <w:rFonts w:hint="eastAsia" w:ascii="宋体" w:hAnsi="宋体" w:eastAsia="宋体" w:cs="宋体"/>
          <w:bCs/>
          <w:color w:val="000000" w:themeColor="text1"/>
          <w:sz w:val="21"/>
          <w:szCs w:val="21"/>
          <w:lang w:val="en-US"/>
          <w14:textFill>
            <w14:solidFill>
              <w14:schemeClr w14:val="tx1"/>
            </w14:solidFill>
          </w14:textFill>
        </w:rPr>
        <w:t>的要求。系统可与其他安全管理（身份认证）系统结合，可利用身份认证证书实现系统安全登录，提供数字证书接口与数据加密传输功能。</w:t>
      </w:r>
    </w:p>
    <w:p>
      <w:pPr>
        <w:pStyle w:val="4"/>
        <w:adjustRightInd w:val="0"/>
        <w:snapToGrid w:val="0"/>
        <w:spacing w:before="0" w:after="160" w:afterLines="50" w:line="560" w:lineRule="exact"/>
        <w:ind w:firstLine="644" w:firstLineChars="200"/>
        <w:rPr>
          <w:rFonts w:eastAsia="黑体"/>
          <w:b w:val="0"/>
          <w:bCs w:val="0"/>
          <w:color w:val="000000" w:themeColor="text1"/>
          <w:sz w:val="32"/>
          <w:szCs w:val="32"/>
          <w:lang w:eastAsia="zh-Hans"/>
          <w14:textFill>
            <w14:solidFill>
              <w14:schemeClr w14:val="tx1"/>
            </w14:solidFill>
          </w14:textFill>
        </w:rPr>
      </w:pPr>
      <w:r>
        <w:rPr>
          <w:rFonts w:hint="eastAsia" w:eastAsia="黑体"/>
          <w:b w:val="0"/>
          <w:bCs w:val="0"/>
          <w:color w:val="000000" w:themeColor="text1"/>
          <w:sz w:val="32"/>
          <w:szCs w:val="32"/>
          <w:lang w:eastAsia="zh-Hans"/>
          <w14:textFill>
            <w14:solidFill>
              <w14:schemeClr w14:val="tx1"/>
            </w14:solidFill>
          </w14:textFill>
        </w:rPr>
        <w:t>二、建设内容</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依据建设目标及建设内容，常山乡村振兴特色产业园大数据中心，主要完成数据平台、数字驾驶舱和</w:t>
      </w:r>
      <w:r>
        <w:rPr>
          <w:rFonts w:ascii="宋体" w:hAnsi="宋体" w:eastAsia="宋体" w:cs="宋体"/>
          <w:bCs/>
          <w:color w:val="000000" w:themeColor="text1"/>
          <w:sz w:val="21"/>
          <w:szCs w:val="21"/>
          <w:lang w:val="en-US" w:eastAsia="zh-Hans"/>
          <w14:textFill>
            <w14:solidFill>
              <w14:schemeClr w14:val="tx1"/>
            </w14:solidFill>
          </w14:textFill>
        </w:rPr>
        <w:t>5</w:t>
      </w:r>
      <w:r>
        <w:rPr>
          <w:rFonts w:hint="eastAsia" w:ascii="宋体" w:hAnsi="宋体" w:eastAsia="宋体" w:cs="宋体"/>
          <w:bCs/>
          <w:color w:val="000000" w:themeColor="text1"/>
          <w:sz w:val="21"/>
          <w:szCs w:val="21"/>
          <w:lang w:val="en-US" w:eastAsia="zh-Hans"/>
          <w14:textFill>
            <w14:solidFill>
              <w14:schemeClr w14:val="tx1"/>
            </w14:solidFill>
          </w14:textFill>
        </w:rPr>
        <w:t>大领域</w:t>
      </w:r>
      <w:r>
        <w:rPr>
          <w:rFonts w:ascii="宋体" w:hAnsi="宋体" w:eastAsia="宋体" w:cs="宋体"/>
          <w:bCs/>
          <w:color w:val="000000" w:themeColor="text1"/>
          <w:sz w:val="21"/>
          <w:szCs w:val="21"/>
          <w:lang w:val="en-US" w:eastAsia="zh-Hans"/>
          <w14:textFill>
            <w14:solidFill>
              <w14:schemeClr w14:val="tx1"/>
            </w14:solidFill>
          </w14:textFill>
        </w:rPr>
        <w:t>N</w:t>
      </w:r>
      <w:r>
        <w:rPr>
          <w:rFonts w:hint="eastAsia" w:ascii="宋体" w:hAnsi="宋体" w:eastAsia="宋体" w:cs="宋体"/>
          <w:bCs/>
          <w:color w:val="000000" w:themeColor="text1"/>
          <w:sz w:val="21"/>
          <w:szCs w:val="21"/>
          <w:lang w:val="en-US" w:eastAsia="zh-Hans"/>
          <w14:textFill>
            <w14:solidFill>
              <w14:schemeClr w14:val="tx1"/>
            </w14:solidFill>
          </w14:textFill>
        </w:rPr>
        <w:t>个应用场景的建设。</w:t>
      </w:r>
    </w:p>
    <w:p>
      <w:pPr>
        <w:pStyle w:val="8"/>
        <w:adjustRightInd w:val="0"/>
        <w:snapToGrid w:val="0"/>
        <w:spacing w:before="0" w:after="0" w:line="560" w:lineRule="exact"/>
        <w:ind w:firstLine="644" w:firstLineChars="200"/>
        <w:rPr>
          <w:rFonts w:ascii="Times New Roman" w:hAnsi="Times New Roman" w:eastAsia="仿宋_GB2312"/>
          <w:color w:val="000000" w:themeColor="text1"/>
          <w:sz w:val="24"/>
          <w:szCs w:val="24"/>
          <w:lang w:eastAsia="zh-Hans"/>
          <w14:textFill>
            <w14:solidFill>
              <w14:schemeClr w14:val="tx1"/>
            </w14:solidFill>
          </w14:textFill>
        </w:rPr>
      </w:pPr>
      <w:r>
        <w:rPr>
          <w:rFonts w:hint="eastAsia" w:ascii="Times New Roman" w:hAnsi="Times New Roman" w:eastAsia="楷体"/>
          <w:color w:val="000000" w:themeColor="text1"/>
          <w:lang w:eastAsia="zh-Hans"/>
          <w14:textFill>
            <w14:solidFill>
              <w14:schemeClr w14:val="tx1"/>
            </w14:solidFill>
          </w14:textFill>
        </w:rPr>
        <w:t>（一）数据平台建设</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数据平台建设，主要包括数据采集系统、数据质量管理系统、数据资产管理系统、数据共享服务管理系统、统一运维管理系统、</w:t>
      </w:r>
      <w:r>
        <w:rPr>
          <w:rFonts w:ascii="宋体" w:hAnsi="宋体" w:eastAsia="宋体" w:cs="宋体"/>
          <w:bCs/>
          <w:color w:val="000000" w:themeColor="text1"/>
          <w:sz w:val="21"/>
          <w:szCs w:val="21"/>
          <w:lang w:val="en-US" w:eastAsia="zh-Hans"/>
          <w14:textFill>
            <w14:solidFill>
              <w14:schemeClr w14:val="tx1"/>
            </w14:solidFill>
          </w14:textFill>
        </w:rPr>
        <w:t>N</w:t>
      </w:r>
      <w:r>
        <w:rPr>
          <w:rFonts w:hint="eastAsia" w:ascii="宋体" w:hAnsi="宋体" w:eastAsia="宋体" w:cs="宋体"/>
          <w:bCs/>
          <w:color w:val="000000" w:themeColor="text1"/>
          <w:sz w:val="21"/>
          <w:szCs w:val="21"/>
          <w:lang w:val="en-US" w:eastAsia="zh-Hans"/>
          <w14:textFill>
            <w14:solidFill>
              <w14:schemeClr w14:val="tx1"/>
            </w14:solidFill>
          </w14:textFill>
        </w:rPr>
        <w:t>大数据模型、数据仓库等建设内容。</w:t>
      </w:r>
    </w:p>
    <w:p>
      <w:pPr>
        <w:pStyle w:val="17"/>
        <w:spacing w:line="440" w:lineRule="exact"/>
        <w:ind w:firstLine="416" w:firstLineChars="197"/>
        <w:rPr>
          <w:rFonts w:ascii="宋体" w:hAnsi="宋体" w:eastAsia="宋体" w:cs="宋体"/>
          <w:b/>
          <w:color w:val="000000" w:themeColor="text1"/>
          <w:sz w:val="21"/>
          <w:szCs w:val="21"/>
          <w:lang w:val="en-US" w:eastAsia="zh-Hans"/>
          <w14:textFill>
            <w14:solidFill>
              <w14:schemeClr w14:val="tx1"/>
            </w14:solidFill>
          </w14:textFill>
        </w:rPr>
      </w:pPr>
      <w:bookmarkStart w:id="23" w:name="_Toc412447375"/>
      <w:r>
        <w:rPr>
          <w:rFonts w:ascii="宋体" w:hAnsi="宋体" w:eastAsia="宋体" w:cs="宋体"/>
          <w:b/>
          <w:color w:val="000000" w:themeColor="text1"/>
          <w:sz w:val="21"/>
          <w:szCs w:val="21"/>
          <w:lang w:val="en-US" w:eastAsia="zh-Hans"/>
          <w14:textFill>
            <w14:solidFill>
              <w14:schemeClr w14:val="tx1"/>
            </w14:solidFill>
          </w14:textFill>
        </w:rPr>
        <w:t>1.</w:t>
      </w:r>
      <w:r>
        <w:rPr>
          <w:rFonts w:hint="eastAsia" w:ascii="宋体" w:hAnsi="宋体" w:eastAsia="宋体" w:cs="宋体"/>
          <w:b/>
          <w:color w:val="000000" w:themeColor="text1"/>
          <w:sz w:val="21"/>
          <w:szCs w:val="21"/>
          <w:lang w:val="en-US" w:eastAsia="zh-Hans"/>
          <w14:textFill>
            <w14:solidFill>
              <w14:schemeClr w14:val="tx1"/>
            </w14:solidFill>
          </w14:textFill>
        </w:rPr>
        <w:t>数据系统建设</w:t>
      </w:r>
      <w:bookmarkEnd w:id="23"/>
    </w:p>
    <w:p>
      <w:pPr>
        <w:pStyle w:val="17"/>
        <w:spacing w:line="440" w:lineRule="exact"/>
        <w:ind w:firstLine="416" w:firstLineChars="197"/>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w:t>
      </w:r>
      <w:r>
        <w:rPr>
          <w:rFonts w:ascii="宋体" w:hAnsi="宋体" w:eastAsia="宋体" w:cs="宋体"/>
          <w:b/>
          <w:color w:val="000000" w:themeColor="text1"/>
          <w:sz w:val="21"/>
          <w:szCs w:val="21"/>
          <w:lang w:val="en-US" w:eastAsia="zh-Hans"/>
          <w14:textFill>
            <w14:solidFill>
              <w14:schemeClr w14:val="tx1"/>
            </w14:solidFill>
          </w14:textFill>
        </w:rPr>
        <w:t>1</w:t>
      </w:r>
      <w:r>
        <w:rPr>
          <w:rFonts w:hint="eastAsia" w:ascii="宋体" w:hAnsi="宋体" w:eastAsia="宋体" w:cs="宋体"/>
          <w:b/>
          <w:color w:val="000000" w:themeColor="text1"/>
          <w:sz w:val="21"/>
          <w:szCs w:val="21"/>
          <w:lang w:val="en-US" w:eastAsia="zh-Hans"/>
          <w14:textFill>
            <w14:solidFill>
              <w14:schemeClr w14:val="tx1"/>
            </w14:solidFill>
          </w14:textFill>
        </w:rPr>
        <w:t>）数据采集系统</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bookmarkStart w:id="24" w:name="_Toc1951652129"/>
      <w:r>
        <w:rPr>
          <w:rFonts w:hint="eastAsia" w:ascii="宋体" w:hAnsi="宋体" w:eastAsia="宋体" w:cs="宋体"/>
          <w:b/>
          <w:color w:val="000000" w:themeColor="text1"/>
          <w:sz w:val="21"/>
          <w:szCs w:val="21"/>
          <w:lang w:val="en-US" w:eastAsia="zh-Hans"/>
          <w14:textFill>
            <w14:solidFill>
              <w14:schemeClr w14:val="tx1"/>
            </w14:solidFill>
          </w14:textFill>
        </w:rPr>
        <w:t>①</w:t>
      </w:r>
      <w:r>
        <w:rPr>
          <w:rFonts w:hint="eastAsia" w:ascii="宋体" w:hAnsi="宋体" w:eastAsia="宋体" w:cs="宋体"/>
          <w:b/>
          <w:color w:val="000000" w:themeColor="text1"/>
          <w:sz w:val="21"/>
          <w:szCs w:val="21"/>
          <w:lang w:val="en-US"/>
          <w14:textFill>
            <w14:solidFill>
              <w14:schemeClr w14:val="tx1"/>
            </w14:solidFill>
          </w14:textFill>
        </w:rPr>
        <w:t>离线</w:t>
      </w:r>
      <w:r>
        <w:rPr>
          <w:rFonts w:hint="eastAsia" w:ascii="宋体" w:hAnsi="宋体" w:eastAsia="宋体" w:cs="宋体"/>
          <w:b/>
          <w:color w:val="000000" w:themeColor="text1"/>
          <w:sz w:val="21"/>
          <w:szCs w:val="21"/>
          <w:lang w:val="en-US" w:eastAsia="zh-Hans"/>
          <w14:textFill>
            <w14:solidFill>
              <w14:schemeClr w14:val="tx1"/>
            </w14:solidFill>
          </w14:textFill>
        </w:rPr>
        <w:t>数据同步</w:t>
      </w:r>
      <w:bookmarkEnd w:id="24"/>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离线</w:t>
      </w:r>
      <w:r>
        <w:rPr>
          <w:rFonts w:hint="eastAsia" w:ascii="宋体" w:hAnsi="宋体" w:eastAsia="宋体" w:cs="宋体"/>
          <w:bCs/>
          <w:color w:val="000000" w:themeColor="text1"/>
          <w:sz w:val="21"/>
          <w:szCs w:val="21"/>
          <w:lang w:val="en-US"/>
          <w14:textFill>
            <w14:solidFill>
              <w14:schemeClr w14:val="tx1"/>
            </w14:solidFill>
          </w14:textFill>
        </w:rPr>
        <w:t>数据同步模块是在各个存储单元之间执行数据交换的管道。为了在数据平台进行大规模数据集的挖掘与计算，通常的做法是在任务执行前将数据传输至数据平台，并在任务执行结束后将计算结果传输至外部存储单元（例如</w:t>
      </w:r>
      <w:r>
        <w:rPr>
          <w:rFonts w:ascii="宋体" w:hAnsi="宋体" w:eastAsia="宋体" w:cs="宋体"/>
          <w:bCs/>
          <w:color w:val="000000" w:themeColor="text1"/>
          <w:sz w:val="21"/>
          <w:szCs w:val="21"/>
          <w:lang w:val="en-US"/>
          <w14:textFill>
            <w14:solidFill>
              <w14:schemeClr w14:val="tx1"/>
            </w14:solidFill>
          </w14:textFill>
        </w:rPr>
        <w:t>MySQL</w:t>
      </w:r>
      <w:r>
        <w:rPr>
          <w:rFonts w:hint="eastAsia" w:ascii="宋体" w:hAnsi="宋体" w:eastAsia="宋体" w:cs="宋体"/>
          <w:bCs/>
          <w:color w:val="000000" w:themeColor="text1"/>
          <w:sz w:val="21"/>
          <w:szCs w:val="21"/>
          <w:lang w:val="en-US"/>
          <w14:textFill>
            <w14:solidFill>
              <w14:schemeClr w14:val="tx1"/>
            </w14:solidFill>
          </w14:textFill>
        </w:rPr>
        <w:t>等应用数据库）。</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离线</w:t>
      </w:r>
      <w:r>
        <w:rPr>
          <w:rFonts w:hint="eastAsia" w:ascii="宋体" w:hAnsi="宋体" w:eastAsia="宋体" w:cs="宋体"/>
          <w:bCs/>
          <w:color w:val="000000" w:themeColor="text1"/>
          <w:sz w:val="21"/>
          <w:szCs w:val="21"/>
          <w:lang w:val="en-US"/>
          <w14:textFill>
            <w14:solidFill>
              <w14:schemeClr w14:val="tx1"/>
            </w14:solidFill>
          </w14:textFill>
        </w:rPr>
        <w:t>数据同步模块的功能包括数据源配置、同步模式选择、同步任务配置、同步任务调度运行等几个模块</w:t>
      </w:r>
      <w:r>
        <w:rPr>
          <w:rFonts w:hint="eastAsia" w:ascii="宋体" w:hAnsi="宋体" w:eastAsia="宋体" w:cs="宋体"/>
          <w:bCs/>
          <w:color w:val="000000" w:themeColor="text1"/>
          <w:sz w:val="21"/>
          <w:szCs w:val="21"/>
          <w:lang w:val="en-US" w:eastAsia="zh-Hans"/>
          <w14:textFill>
            <w14:solidFill>
              <w14:schemeClr w14:val="tx1"/>
            </w14:solidFill>
          </w14:textFill>
        </w:rPr>
        <w:t>。</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bookmarkStart w:id="25" w:name="_Toc752107825"/>
      <w:r>
        <w:rPr>
          <w:rFonts w:hint="eastAsia" w:ascii="宋体" w:hAnsi="宋体" w:eastAsia="宋体" w:cs="宋体"/>
          <w:b/>
          <w:color w:val="000000" w:themeColor="text1"/>
          <w:sz w:val="21"/>
          <w:szCs w:val="21"/>
          <w:lang w:val="en-US" w:eastAsia="zh-Hans"/>
          <w14:textFill>
            <w14:solidFill>
              <w14:schemeClr w14:val="tx1"/>
            </w14:solidFill>
          </w14:textFill>
        </w:rPr>
        <w:t>②</w:t>
      </w:r>
      <w:r>
        <w:rPr>
          <w:rFonts w:hint="eastAsia" w:ascii="宋体" w:hAnsi="宋体" w:eastAsia="宋体" w:cs="宋体"/>
          <w:b/>
          <w:color w:val="000000" w:themeColor="text1"/>
          <w:sz w:val="21"/>
          <w:szCs w:val="21"/>
          <w:lang w:val="en-US"/>
          <w14:textFill>
            <w14:solidFill>
              <w14:schemeClr w14:val="tx1"/>
            </w14:solidFill>
          </w14:textFill>
        </w:rPr>
        <w:t>离线</w:t>
      </w:r>
      <w:r>
        <w:rPr>
          <w:rFonts w:hint="eastAsia" w:ascii="宋体" w:hAnsi="宋体" w:eastAsia="宋体" w:cs="宋体"/>
          <w:b/>
          <w:color w:val="000000" w:themeColor="text1"/>
          <w:sz w:val="21"/>
          <w:szCs w:val="21"/>
          <w:lang w:val="en-US" w:eastAsia="zh-Hans"/>
          <w14:textFill>
            <w14:solidFill>
              <w14:schemeClr w14:val="tx1"/>
            </w14:solidFill>
          </w14:textFill>
        </w:rPr>
        <w:t>数据开发</w:t>
      </w:r>
      <w:bookmarkEnd w:id="25"/>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离线</w:t>
      </w:r>
      <w:r>
        <w:rPr>
          <w:rFonts w:hint="eastAsia" w:ascii="宋体" w:hAnsi="宋体" w:eastAsia="宋体" w:cs="宋体"/>
          <w:bCs/>
          <w:color w:val="000000" w:themeColor="text1"/>
          <w:sz w:val="21"/>
          <w:szCs w:val="21"/>
          <w:lang w:val="en-US"/>
          <w14:textFill>
            <w14:solidFill>
              <w14:schemeClr w14:val="tx1"/>
            </w14:solidFill>
          </w14:textFill>
        </w:rPr>
        <w:t>数据开发的功能是构建数据清洗、统计或数据挖掘的计算逻辑。</w:t>
      </w:r>
      <w:r>
        <w:rPr>
          <w:rFonts w:ascii="宋体" w:hAnsi="宋体" w:eastAsia="宋体" w:cs="宋体"/>
          <w:bCs/>
          <w:color w:val="000000" w:themeColor="text1"/>
          <w:sz w:val="21"/>
          <w:szCs w:val="21"/>
          <w:lang w:val="en-US"/>
          <w14:textFill>
            <w14:solidFill>
              <w14:schemeClr w14:val="tx1"/>
            </w14:solidFill>
          </w14:textFill>
        </w:rPr>
        <w:t>离线开发平台</w:t>
      </w:r>
      <w:r>
        <w:rPr>
          <w:rFonts w:hint="eastAsia" w:ascii="宋体" w:hAnsi="宋体" w:eastAsia="宋体" w:cs="宋体"/>
          <w:bCs/>
          <w:color w:val="000000" w:themeColor="text1"/>
          <w:sz w:val="21"/>
          <w:szCs w:val="21"/>
          <w:lang w:val="en-US"/>
          <w14:textFill>
            <w14:solidFill>
              <w14:schemeClr w14:val="tx1"/>
            </w14:solidFill>
          </w14:textFill>
        </w:rPr>
        <w:t>具备多个特性来协助用户完成这一过程：支持丰富的任务类型、支持丰富的系统参数，具备优秀的开发体验等。</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bookmarkStart w:id="26" w:name="_Toc19342798"/>
      <w:r>
        <w:rPr>
          <w:rFonts w:hint="eastAsia" w:ascii="宋体" w:hAnsi="宋体" w:eastAsia="宋体" w:cs="宋体"/>
          <w:b/>
          <w:color w:val="000000" w:themeColor="text1"/>
          <w:sz w:val="21"/>
          <w:szCs w:val="21"/>
          <w:lang w:val="en-US" w:eastAsia="zh-Hans"/>
          <w14:textFill>
            <w14:solidFill>
              <w14:schemeClr w14:val="tx1"/>
            </w14:solidFill>
          </w14:textFill>
        </w:rPr>
        <w:t>③实时</w:t>
      </w:r>
      <w:r>
        <w:rPr>
          <w:rFonts w:hint="eastAsia" w:ascii="宋体" w:hAnsi="宋体" w:eastAsia="宋体" w:cs="宋体"/>
          <w:b/>
          <w:color w:val="000000" w:themeColor="text1"/>
          <w:sz w:val="21"/>
          <w:szCs w:val="21"/>
          <w:lang w:val="en-US"/>
          <w14:textFill>
            <w14:solidFill>
              <w14:schemeClr w14:val="tx1"/>
            </w14:solidFill>
          </w14:textFill>
        </w:rPr>
        <w:t>数据</w:t>
      </w:r>
      <w:r>
        <w:rPr>
          <w:rFonts w:hint="eastAsia" w:ascii="宋体" w:hAnsi="宋体" w:eastAsia="宋体" w:cs="宋体"/>
          <w:b/>
          <w:color w:val="000000" w:themeColor="text1"/>
          <w:sz w:val="21"/>
          <w:szCs w:val="21"/>
          <w:lang w:val="en-US" w:eastAsia="zh-Hans"/>
          <w14:textFill>
            <w14:solidFill>
              <w14:schemeClr w14:val="tx1"/>
            </w14:solidFill>
          </w14:textFill>
        </w:rPr>
        <w:t>采集</w:t>
      </w:r>
      <w:bookmarkEnd w:id="26"/>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实时采集类似离线数据同步的概念，实时数据采集依然提供一套抽象化的数据抽取插件（称之为</w:t>
      </w:r>
      <w:r>
        <w:rPr>
          <w:rFonts w:ascii="宋体" w:hAnsi="宋体" w:eastAsia="宋体" w:cs="宋体"/>
          <w:bCs/>
          <w:color w:val="000000" w:themeColor="text1"/>
          <w:sz w:val="21"/>
          <w:szCs w:val="21"/>
          <w:lang w:val="en-US"/>
          <w14:textFill>
            <w14:solidFill>
              <w14:schemeClr w14:val="tx1"/>
            </w14:solidFill>
          </w14:textFill>
        </w:rPr>
        <w:t>Reader</w:t>
      </w:r>
      <w:r>
        <w:rPr>
          <w:rFonts w:hint="eastAsia" w:ascii="宋体" w:hAnsi="宋体" w:eastAsia="宋体" w:cs="宋体"/>
          <w:bCs/>
          <w:color w:val="000000" w:themeColor="text1"/>
          <w:sz w:val="21"/>
          <w:szCs w:val="21"/>
          <w:lang w:val="en-US"/>
          <w14:textFill>
            <w14:solidFill>
              <w14:schemeClr w14:val="tx1"/>
            </w14:solidFill>
          </w14:textFill>
        </w:rPr>
        <w:t>）、数据写入插件（称之为</w:t>
      </w:r>
      <w:r>
        <w:rPr>
          <w:rFonts w:ascii="宋体" w:hAnsi="宋体" w:eastAsia="宋体" w:cs="宋体"/>
          <w:bCs/>
          <w:color w:val="000000" w:themeColor="text1"/>
          <w:sz w:val="21"/>
          <w:szCs w:val="21"/>
          <w:lang w:val="en-US"/>
          <w14:textFill>
            <w14:solidFill>
              <w14:schemeClr w14:val="tx1"/>
            </w14:solidFill>
          </w14:textFill>
        </w:rPr>
        <w:t>Writer</w:t>
      </w:r>
      <w:r>
        <w:rPr>
          <w:rFonts w:hint="eastAsia" w:ascii="宋体" w:hAnsi="宋体" w:eastAsia="宋体" w:cs="宋体"/>
          <w:bCs/>
          <w:color w:val="000000" w:themeColor="text1"/>
          <w:sz w:val="21"/>
          <w:szCs w:val="21"/>
          <w:lang w:val="en-US"/>
          <w14:textFill>
            <w14:solidFill>
              <w14:schemeClr w14:val="tx1"/>
            </w14:solidFill>
          </w14:textFill>
        </w:rPr>
        <w:t>），并基于此框架设计一套简化版的中间数据传输格式，从而达到任意结构化、半结构化数据源之间实时传输。</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实时采集模块在</w:t>
      </w:r>
      <w:r>
        <w:rPr>
          <w:rFonts w:ascii="宋体" w:hAnsi="宋体" w:eastAsia="宋体" w:cs="宋体"/>
          <w:bCs/>
          <w:color w:val="000000" w:themeColor="text1"/>
          <w:sz w:val="21"/>
          <w:szCs w:val="21"/>
          <w:lang w:val="en-US"/>
          <w14:textFill>
            <w14:solidFill>
              <w14:schemeClr w14:val="tx1"/>
            </w14:solidFill>
          </w14:textFill>
        </w:rPr>
        <w:t>WEB</w:t>
      </w:r>
      <w:r>
        <w:rPr>
          <w:rFonts w:hint="eastAsia" w:ascii="宋体" w:hAnsi="宋体" w:eastAsia="宋体" w:cs="宋体"/>
          <w:bCs/>
          <w:color w:val="000000" w:themeColor="text1"/>
          <w:sz w:val="21"/>
          <w:szCs w:val="21"/>
          <w:lang w:val="en-US"/>
          <w14:textFill>
            <w14:solidFill>
              <w14:schemeClr w14:val="tx1"/>
            </w14:solidFill>
          </w14:textFill>
        </w:rPr>
        <w:t>端的配置非常便捷且灵活，类似离线数据同步任务，可支持向导和脚本</w:t>
      </w:r>
      <w:r>
        <w:rPr>
          <w:rFonts w:ascii="宋体" w:hAnsi="宋体" w:eastAsia="宋体" w:cs="宋体"/>
          <w:bCs/>
          <w:color w:val="000000" w:themeColor="text1"/>
          <w:sz w:val="21"/>
          <w:szCs w:val="21"/>
          <w:lang w:val="en-US"/>
          <w14:textFill>
            <w14:solidFill>
              <w14:schemeClr w14:val="tx1"/>
            </w14:solidFill>
          </w14:textFill>
        </w:rPr>
        <w:t>2</w:t>
      </w:r>
      <w:r>
        <w:rPr>
          <w:rFonts w:hint="eastAsia" w:ascii="宋体" w:hAnsi="宋体" w:eastAsia="宋体" w:cs="宋体"/>
          <w:bCs/>
          <w:color w:val="000000" w:themeColor="text1"/>
          <w:sz w:val="21"/>
          <w:szCs w:val="21"/>
          <w:lang w:val="en-US"/>
          <w14:textFill>
            <w14:solidFill>
              <w14:schemeClr w14:val="tx1"/>
            </w14:solidFill>
          </w14:textFill>
        </w:rPr>
        <w:t>种配置模式。以</w:t>
      </w:r>
      <w:r>
        <w:rPr>
          <w:rFonts w:ascii="宋体" w:hAnsi="宋体" w:eastAsia="宋体" w:cs="宋体"/>
          <w:bCs/>
          <w:color w:val="000000" w:themeColor="text1"/>
          <w:sz w:val="21"/>
          <w:szCs w:val="21"/>
          <w:lang w:val="en-US"/>
          <w14:textFill>
            <w14:solidFill>
              <w14:schemeClr w14:val="tx1"/>
            </w14:solidFill>
          </w14:textFill>
        </w:rPr>
        <w:t>MySQL</w:t>
      </w:r>
      <w:r>
        <w:rPr>
          <w:rFonts w:hint="eastAsia" w:ascii="宋体" w:hAnsi="宋体" w:eastAsia="宋体" w:cs="宋体"/>
          <w:bCs/>
          <w:color w:val="000000" w:themeColor="text1"/>
          <w:sz w:val="21"/>
          <w:szCs w:val="21"/>
          <w:lang w:val="en-US"/>
          <w14:textFill>
            <w14:solidFill>
              <w14:schemeClr w14:val="tx1"/>
            </w14:solidFill>
          </w14:textFill>
        </w:rPr>
        <w:t>实时采集为例，用户仅需在页面配置数据源、表和部分过滤条件即可。</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除了配置功能外，实时采集任务在运行时，系统也可对输入、输出的数据量进行实时监控并告警。</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bookmarkStart w:id="27" w:name="_Toc824375289"/>
      <w:r>
        <w:rPr>
          <w:rFonts w:hint="eastAsia" w:ascii="宋体" w:hAnsi="宋体" w:eastAsia="宋体" w:cs="宋体"/>
          <w:b/>
          <w:color w:val="000000" w:themeColor="text1"/>
          <w:sz w:val="21"/>
          <w:szCs w:val="21"/>
          <w:lang w:val="en-US" w:eastAsia="zh-Hans"/>
          <w14:textFill>
            <w14:solidFill>
              <w14:schemeClr w14:val="tx1"/>
            </w14:solidFill>
          </w14:textFill>
        </w:rPr>
        <w:t>④实时</w:t>
      </w:r>
      <w:r>
        <w:rPr>
          <w:rFonts w:hint="eastAsia" w:ascii="宋体" w:hAnsi="宋体" w:eastAsia="宋体" w:cs="宋体"/>
          <w:b/>
          <w:color w:val="000000" w:themeColor="text1"/>
          <w:sz w:val="21"/>
          <w:szCs w:val="21"/>
          <w:lang w:val="en-US"/>
          <w14:textFill>
            <w14:solidFill>
              <w14:schemeClr w14:val="tx1"/>
            </w14:solidFill>
          </w14:textFill>
        </w:rPr>
        <w:t>数据</w:t>
      </w:r>
      <w:r>
        <w:rPr>
          <w:rFonts w:hint="eastAsia" w:ascii="宋体" w:hAnsi="宋体" w:eastAsia="宋体" w:cs="宋体"/>
          <w:b/>
          <w:color w:val="000000" w:themeColor="text1"/>
          <w:sz w:val="21"/>
          <w:szCs w:val="21"/>
          <w:lang w:val="en-US" w:eastAsia="zh-Hans"/>
          <w14:textFill>
            <w14:solidFill>
              <w14:schemeClr w14:val="tx1"/>
            </w14:solidFill>
          </w14:textFill>
        </w:rPr>
        <w:t>开发</w:t>
      </w:r>
      <w:bookmarkEnd w:id="27"/>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实现基于</w:t>
      </w:r>
      <w:r>
        <w:rPr>
          <w:rFonts w:ascii="宋体" w:hAnsi="宋体" w:eastAsia="宋体" w:cs="宋体"/>
          <w:bCs/>
          <w:color w:val="000000" w:themeColor="text1"/>
          <w:sz w:val="21"/>
          <w:szCs w:val="21"/>
          <w:lang w:val="en-US"/>
          <w14:textFill>
            <w14:solidFill>
              <w14:schemeClr w14:val="tx1"/>
            </w14:solidFill>
          </w14:textFill>
        </w:rPr>
        <w:t>FlinkStreamSQL</w:t>
      </w:r>
      <w:r>
        <w:rPr>
          <w:rFonts w:hint="eastAsia" w:ascii="宋体" w:hAnsi="宋体" w:eastAsia="宋体" w:cs="宋体"/>
          <w:bCs/>
          <w:color w:val="000000" w:themeColor="text1"/>
          <w:sz w:val="21"/>
          <w:szCs w:val="21"/>
          <w:lang w:val="en-US"/>
          <w14:textFill>
            <w14:solidFill>
              <w14:schemeClr w14:val="tx1"/>
            </w14:solidFill>
          </w14:textFill>
        </w:rPr>
        <w:t>模式、根据</w:t>
      </w:r>
      <w:r>
        <w:rPr>
          <w:rFonts w:hint="eastAsia" w:ascii="宋体" w:hAnsi="宋体" w:eastAsia="宋体" w:cs="宋体"/>
          <w:bCs/>
          <w:color w:val="000000" w:themeColor="text1"/>
          <w:sz w:val="21"/>
          <w:szCs w:val="21"/>
          <w:lang w:val="en-US"/>
          <w14:textFill>
            <w14:solidFill>
              <w14:schemeClr w14:val="tx1"/>
            </w14:solidFill>
          </w14:textFill>
        </w:rPr>
        <w:fldChar w:fldCharType="begin"/>
      </w:r>
      <w:r>
        <w:rPr>
          <w:rFonts w:ascii="宋体" w:hAnsi="宋体" w:eastAsia="宋体" w:cs="宋体"/>
          <w:bCs/>
          <w:color w:val="000000" w:themeColor="text1"/>
          <w:sz w:val="21"/>
          <w:szCs w:val="21"/>
          <w:lang w:val="en-US"/>
          <w14:textFill>
            <w14:solidFill>
              <w14:schemeClr w14:val="tx1"/>
            </w14:solidFill>
          </w14:textFill>
        </w:rPr>
        <w:instrText xml:space="preserve"> REF _Ref535239710 \h  \* MERGEFORMAT </w:instrText>
      </w:r>
      <w:r>
        <w:rPr>
          <w:rFonts w:hint="eastAsia" w:ascii="宋体" w:hAnsi="宋体" w:eastAsia="宋体" w:cs="宋体"/>
          <w:bCs/>
          <w:color w:val="000000" w:themeColor="text1"/>
          <w:sz w:val="21"/>
          <w:szCs w:val="21"/>
          <w:lang w:val="en-US"/>
          <w14:textFill>
            <w14:solidFill>
              <w14:schemeClr w14:val="tx1"/>
            </w14:solidFill>
          </w14:textFill>
        </w:rPr>
        <w:fldChar w:fldCharType="separate"/>
      </w:r>
      <w:r>
        <w:rPr>
          <w:rFonts w:ascii="宋体" w:hAnsi="宋体" w:eastAsia="宋体" w:cs="宋体"/>
          <w:bCs/>
          <w:color w:val="000000" w:themeColor="text1"/>
          <w:sz w:val="21"/>
          <w:szCs w:val="21"/>
          <w:lang w:val="en-US"/>
          <w14:textFill>
            <w14:solidFill>
              <w14:schemeClr w14:val="tx1"/>
            </w14:solidFill>
          </w14:textFill>
        </w:rPr>
        <w:t>FlinkStreamSQL</w:t>
      </w:r>
      <w:r>
        <w:rPr>
          <w:rFonts w:hint="eastAsia" w:ascii="宋体" w:hAnsi="宋体" w:eastAsia="宋体" w:cs="宋体"/>
          <w:bCs/>
          <w:color w:val="000000" w:themeColor="text1"/>
          <w:sz w:val="21"/>
          <w:szCs w:val="21"/>
          <w:lang w:val="en-US"/>
          <w14:textFill>
            <w14:solidFill>
              <w14:schemeClr w14:val="tx1"/>
            </w14:solidFill>
          </w14:textFill>
        </w:rPr>
        <w:t>的概念模型</w:t>
      </w:r>
      <w:r>
        <w:rPr>
          <w:rFonts w:hint="eastAsia" w:ascii="宋体" w:hAnsi="宋体" w:eastAsia="宋体" w:cs="宋体"/>
          <w:bCs/>
          <w:color w:val="000000" w:themeColor="text1"/>
          <w:sz w:val="21"/>
          <w:szCs w:val="21"/>
          <w:lang w:val="en-US"/>
          <w14:textFill>
            <w14:solidFill>
              <w14:schemeClr w14:val="tx1"/>
            </w14:solidFill>
          </w14:textFill>
        </w:rPr>
        <w:fldChar w:fldCharType="end"/>
      </w:r>
      <w:r>
        <w:rPr>
          <w:rFonts w:hint="eastAsia" w:ascii="宋体" w:hAnsi="宋体" w:eastAsia="宋体" w:cs="宋体"/>
          <w:bCs/>
          <w:color w:val="000000" w:themeColor="text1"/>
          <w:sz w:val="21"/>
          <w:szCs w:val="21"/>
          <w:lang w:val="en-US"/>
          <w14:textFill>
            <w14:solidFill>
              <w14:schemeClr w14:val="tx1"/>
            </w14:solidFill>
          </w14:textFill>
        </w:rPr>
        <w:t>的描述、</w:t>
      </w:r>
      <w:r>
        <w:rPr>
          <w:rFonts w:hint="eastAsia" w:ascii="宋体" w:hAnsi="宋体" w:eastAsia="宋体" w:cs="宋体"/>
          <w:bCs/>
          <w:color w:val="000000" w:themeColor="text1"/>
          <w:sz w:val="21"/>
          <w:szCs w:val="21"/>
          <w:lang w:val="en-US" w:eastAsia="zh-Hans"/>
          <w14:textFill>
            <w14:solidFill>
              <w14:schemeClr w14:val="tx1"/>
            </w14:solidFill>
          </w14:textFill>
        </w:rPr>
        <w:t>插件化扩展、维表</w:t>
      </w:r>
      <w:r>
        <w:rPr>
          <w:rFonts w:ascii="宋体" w:hAnsi="宋体" w:eastAsia="宋体" w:cs="宋体"/>
          <w:bCs/>
          <w:color w:val="000000" w:themeColor="text1"/>
          <w:sz w:val="21"/>
          <w:szCs w:val="21"/>
          <w:lang w:val="en-US" w:eastAsia="zh-Hans"/>
          <w14:textFill>
            <w14:solidFill>
              <w14:schemeClr w14:val="tx1"/>
            </w14:solidFill>
          </w14:textFill>
        </w:rPr>
        <w:t>jion</w:t>
      </w:r>
      <w:r>
        <w:rPr>
          <w:rFonts w:hint="eastAsia" w:ascii="宋体" w:hAnsi="宋体" w:eastAsia="宋体" w:cs="宋体"/>
          <w:bCs/>
          <w:color w:val="000000" w:themeColor="text1"/>
          <w:sz w:val="21"/>
          <w:szCs w:val="21"/>
          <w:lang w:val="en-US"/>
          <w14:textFill>
            <w14:solidFill>
              <w14:schemeClr w14:val="tx1"/>
            </w14:solidFill>
          </w14:textFill>
        </w:rPr>
        <w:t>等实施数据开发，还支持对维表的缓存策略做配置。</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bookmarkStart w:id="28" w:name="_Toc587468533"/>
      <w:r>
        <w:rPr>
          <w:rFonts w:hint="eastAsia" w:ascii="宋体" w:hAnsi="宋体" w:eastAsia="宋体" w:cs="宋体"/>
          <w:b/>
          <w:color w:val="000000" w:themeColor="text1"/>
          <w:sz w:val="21"/>
          <w:szCs w:val="21"/>
          <w:lang w:val="en-US" w:eastAsia="zh-Hans"/>
          <w14:textFill>
            <w14:solidFill>
              <w14:schemeClr w14:val="tx1"/>
            </w14:solidFill>
          </w14:textFill>
        </w:rPr>
        <w:t>⑤调度引擎</w:t>
      </w:r>
      <w:bookmarkEnd w:id="28"/>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调度引擎主要解决任务的“依赖关系”和“周期性运行”的问题。开发平台在每天</w:t>
      </w:r>
      <w:r>
        <w:rPr>
          <w:rFonts w:ascii="宋体" w:hAnsi="宋体" w:eastAsia="宋体" w:cs="宋体"/>
          <w:bCs/>
          <w:color w:val="000000" w:themeColor="text1"/>
          <w:sz w:val="21"/>
          <w:szCs w:val="21"/>
          <w:lang w:val="en-US"/>
          <w14:textFill>
            <w14:solidFill>
              <w14:schemeClr w14:val="tx1"/>
            </w14:solidFill>
          </w14:textFill>
        </w:rPr>
        <w:t>22:00</w:t>
      </w:r>
      <w:r>
        <w:rPr>
          <w:rFonts w:hint="eastAsia" w:ascii="宋体" w:hAnsi="宋体" w:eastAsia="宋体" w:cs="宋体"/>
          <w:bCs/>
          <w:color w:val="000000" w:themeColor="text1"/>
          <w:sz w:val="21"/>
          <w:szCs w:val="21"/>
          <w:lang w:val="en-US"/>
          <w14:textFill>
            <w14:solidFill>
              <w14:schemeClr w14:val="tx1"/>
            </w14:solidFill>
          </w14:textFill>
        </w:rPr>
        <w:t>统一生成第二天所有需要的任务实例。</w:t>
      </w:r>
      <w:r>
        <w:rPr>
          <w:rFonts w:hint="eastAsia" w:ascii="宋体" w:hAnsi="宋体" w:eastAsia="宋体" w:cs="宋体"/>
          <w:bCs/>
          <w:color w:val="000000" w:themeColor="text1"/>
          <w:sz w:val="21"/>
          <w:szCs w:val="21"/>
          <w:lang w:val="en-US" w:eastAsia="zh-Hans"/>
          <w14:textFill>
            <w14:solidFill>
              <w14:schemeClr w14:val="tx1"/>
            </w14:solidFill>
          </w14:textFill>
        </w:rPr>
        <w:t>提供周期性调度、上下游依赖调度、依赖推荐、自动取消等任务调度种类。</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bookmarkStart w:id="29" w:name="_Toc933147500"/>
      <w:r>
        <w:rPr>
          <w:rFonts w:hint="eastAsia" w:ascii="宋体" w:hAnsi="宋体" w:eastAsia="宋体" w:cs="宋体"/>
          <w:b/>
          <w:color w:val="000000" w:themeColor="text1"/>
          <w:sz w:val="21"/>
          <w:szCs w:val="21"/>
          <w:lang w:val="en-US" w:eastAsia="zh-Hans"/>
          <w14:textFill>
            <w14:solidFill>
              <w14:schemeClr w14:val="tx1"/>
            </w14:solidFill>
          </w14:textFill>
        </w:rPr>
        <w:t>⑥项目管理</w:t>
      </w:r>
      <w:bookmarkEnd w:id="29"/>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开发平台采用“项目”的形式进行切分，实现统一与灵活的融合。用户可以根据实际情况来灵活划分项目</w:t>
      </w:r>
      <w:r>
        <w:rPr>
          <w:rFonts w:hint="eastAsia" w:ascii="宋体" w:hAnsi="宋体" w:eastAsia="宋体" w:cs="宋体"/>
          <w:bCs/>
          <w:color w:val="000000" w:themeColor="text1"/>
          <w:sz w:val="21"/>
          <w:szCs w:val="21"/>
          <w:lang w:val="en-US" w:eastAsia="zh-Hans"/>
          <w14:textFill>
            <w14:solidFill>
              <w14:schemeClr w14:val="tx1"/>
            </w14:solidFill>
          </w14:textFill>
        </w:rPr>
        <w:t>。</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bookmarkStart w:id="30" w:name="_Toc1601308872"/>
      <w:r>
        <w:rPr>
          <w:rFonts w:hint="eastAsia" w:ascii="宋体" w:hAnsi="宋体" w:eastAsia="宋体" w:cs="宋体"/>
          <w:b/>
          <w:color w:val="000000" w:themeColor="text1"/>
          <w:sz w:val="21"/>
          <w:szCs w:val="21"/>
          <w:lang w:val="en-US" w:eastAsia="zh-Hans"/>
          <w14:textFill>
            <w14:solidFill>
              <w14:schemeClr w14:val="tx1"/>
            </w14:solidFill>
          </w14:textFill>
        </w:rPr>
        <w:t>⑦运维中心</w:t>
      </w:r>
      <w:bookmarkEnd w:id="30"/>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运维中心用于监控每个任务的运行情况，并记录每个任务的运行日志，协助开发人员排查各种异常问题。主要包括：</w:t>
      </w:r>
      <w:r>
        <w:rPr>
          <w:rFonts w:hint="eastAsia" w:ascii="宋体" w:hAnsi="宋体" w:eastAsia="宋体" w:cs="宋体"/>
          <w:bCs/>
          <w:color w:val="000000" w:themeColor="text1"/>
          <w:sz w:val="21"/>
          <w:szCs w:val="21"/>
          <w:lang w:val="en-US" w:eastAsia="zh-Hans"/>
          <w14:textFill>
            <w14:solidFill>
              <w14:schemeClr w14:val="tx1"/>
            </w14:solidFill>
          </w14:textFill>
        </w:rPr>
        <w:t>运维总览</w:t>
      </w:r>
      <w:r>
        <w:rPr>
          <w:rFonts w:hint="eastAsia" w:ascii="宋体" w:hAnsi="宋体" w:eastAsia="宋体" w:cs="宋体"/>
          <w:bCs/>
          <w:color w:val="000000" w:themeColor="text1"/>
          <w:sz w:val="21"/>
          <w:szCs w:val="21"/>
          <w:lang w:val="en-US"/>
          <w14:textFill>
            <w14:solidFill>
              <w14:schemeClr w14:val="tx1"/>
            </w14:solidFill>
          </w14:textFill>
        </w:rPr>
        <w:t>、</w:t>
      </w:r>
      <w:r>
        <w:rPr>
          <w:rFonts w:hint="eastAsia" w:ascii="宋体" w:hAnsi="宋体" w:eastAsia="宋体" w:cs="宋体"/>
          <w:bCs/>
          <w:color w:val="000000" w:themeColor="text1"/>
          <w:sz w:val="21"/>
          <w:szCs w:val="21"/>
          <w:lang w:val="en-US" w:eastAsia="zh-Hans"/>
          <w14:textFill>
            <w14:solidFill>
              <w14:schemeClr w14:val="tx1"/>
            </w14:solidFill>
          </w14:textFill>
        </w:rPr>
        <w:t>刷新历史数据</w:t>
      </w:r>
      <w:r>
        <w:rPr>
          <w:rFonts w:hint="eastAsia" w:ascii="宋体" w:hAnsi="宋体" w:eastAsia="宋体" w:cs="宋体"/>
          <w:bCs/>
          <w:color w:val="000000" w:themeColor="text1"/>
          <w:sz w:val="21"/>
          <w:szCs w:val="21"/>
          <w:lang w:val="en-US"/>
          <w14:textFill>
            <w14:solidFill>
              <w14:schemeClr w14:val="tx1"/>
            </w14:solidFill>
          </w14:textFill>
        </w:rPr>
        <w:t>、</w:t>
      </w:r>
      <w:r>
        <w:rPr>
          <w:rFonts w:hint="eastAsia" w:ascii="宋体" w:hAnsi="宋体" w:eastAsia="宋体" w:cs="宋体"/>
          <w:bCs/>
          <w:color w:val="000000" w:themeColor="text1"/>
          <w:sz w:val="21"/>
          <w:szCs w:val="21"/>
          <w:lang w:val="en-US" w:eastAsia="zh-Hans"/>
          <w14:textFill>
            <w14:solidFill>
              <w14:schemeClr w14:val="tx1"/>
            </w14:solidFill>
          </w14:textFill>
        </w:rPr>
        <w:t>任务实例管理、监控告警</w:t>
      </w:r>
      <w:r>
        <w:rPr>
          <w:rFonts w:hint="eastAsia" w:ascii="宋体" w:hAnsi="宋体" w:eastAsia="宋体" w:cs="宋体"/>
          <w:bCs/>
          <w:color w:val="000000" w:themeColor="text1"/>
          <w:sz w:val="21"/>
          <w:szCs w:val="21"/>
          <w:lang w:val="en-US"/>
          <w14:textFill>
            <w14:solidFill>
              <w14:schemeClr w14:val="tx1"/>
            </w14:solidFill>
          </w14:textFill>
        </w:rPr>
        <w:t>等</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w:t>
      </w:r>
      <w:r>
        <w:rPr>
          <w:rFonts w:ascii="宋体" w:hAnsi="宋体" w:eastAsia="宋体" w:cs="宋体"/>
          <w:b/>
          <w:color w:val="000000" w:themeColor="text1"/>
          <w:sz w:val="21"/>
          <w:szCs w:val="21"/>
          <w:lang w:val="en-US" w:eastAsia="zh-Hans"/>
          <w14:textFill>
            <w14:solidFill>
              <w14:schemeClr w14:val="tx1"/>
            </w14:solidFill>
          </w14:textFill>
        </w:rPr>
        <w:t>2</w:t>
      </w:r>
      <w:r>
        <w:rPr>
          <w:rFonts w:hint="eastAsia" w:ascii="宋体" w:hAnsi="宋体" w:eastAsia="宋体" w:cs="宋体"/>
          <w:b/>
          <w:color w:val="000000" w:themeColor="text1"/>
          <w:sz w:val="21"/>
          <w:szCs w:val="21"/>
          <w:lang w:val="en-US" w:eastAsia="zh-Hans"/>
          <w14:textFill>
            <w14:solidFill>
              <w14:schemeClr w14:val="tx1"/>
            </w14:solidFill>
          </w14:textFill>
        </w:rPr>
        <w:t>）数据质量管理系统</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ascii="宋体" w:hAnsi="宋体" w:eastAsia="宋体" w:cs="宋体"/>
          <w:b/>
          <w:color w:val="000000" w:themeColor="text1"/>
          <w:sz w:val="21"/>
          <w:szCs w:val="21"/>
          <w:lang w:val="en-US" w:eastAsia="zh-Hans"/>
          <w14:textFill>
            <w14:solidFill>
              <w14:schemeClr w14:val="tx1"/>
            </w14:solidFill>
          </w14:textFill>
        </w:rPr>
        <w:t>①规则配置</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数据质量支持表级、字段级、自定义</w:t>
      </w:r>
      <w:r>
        <w:rPr>
          <w:rFonts w:ascii="宋体" w:hAnsi="宋体" w:eastAsia="宋体" w:cs="宋体"/>
          <w:bCs/>
          <w:color w:val="000000" w:themeColor="text1"/>
          <w:sz w:val="21"/>
          <w:szCs w:val="21"/>
          <w:lang w:val="en-US" w:eastAsia="zh-Hans"/>
          <w14:textFill>
            <w14:solidFill>
              <w14:schemeClr w14:val="tx1"/>
            </w14:solidFill>
          </w14:textFill>
        </w:rPr>
        <w:t>SQL</w:t>
      </w:r>
      <w:r>
        <w:rPr>
          <w:rFonts w:hint="eastAsia" w:ascii="宋体" w:hAnsi="宋体" w:eastAsia="宋体" w:cs="宋体"/>
          <w:bCs/>
          <w:color w:val="000000" w:themeColor="text1"/>
          <w:sz w:val="21"/>
          <w:szCs w:val="21"/>
          <w:lang w:val="en-US" w:eastAsia="zh-Hans"/>
          <w14:textFill>
            <w14:solidFill>
              <w14:schemeClr w14:val="tx1"/>
            </w14:solidFill>
          </w14:textFill>
        </w:rPr>
        <w:t>、格式校验四种形式的规则设定；常规调度、远程触发两种形式的规则调度；邮件、短信、钉钉三种形式的告警通知。满足用户在不同场景下的监控需求。</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ascii="宋体" w:hAnsi="宋体" w:eastAsia="宋体" w:cs="宋体"/>
          <w:b/>
          <w:color w:val="000000" w:themeColor="text1"/>
          <w:sz w:val="21"/>
          <w:szCs w:val="21"/>
          <w:lang w:val="en-US" w:eastAsia="zh-Hans"/>
          <w14:textFill>
            <w14:solidFill>
              <w14:schemeClr w14:val="tx1"/>
            </w14:solidFill>
          </w14:textFill>
        </w:rPr>
        <w:t>②任务查询</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支持字段级的数据监控，并提供监测字段近一段时间的指标波动图。任务查询包括任务列表、详细报告、表级报告。</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ascii="宋体" w:hAnsi="宋体" w:eastAsia="宋体" w:cs="宋体"/>
          <w:b/>
          <w:color w:val="000000" w:themeColor="text1"/>
          <w:sz w:val="21"/>
          <w:szCs w:val="21"/>
          <w:lang w:val="en-US" w:eastAsia="zh-Hans"/>
          <w14:textFill>
            <w14:solidFill>
              <w14:schemeClr w14:val="tx1"/>
            </w14:solidFill>
          </w14:textFill>
        </w:rPr>
        <w:t>③逐行校验</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逐行校验是用户在做数据迁移或数据部分更新场景中的重要功能，通过逐行校验用户可以监控到数据在迁移、更新时的数据完整性、准确性。</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用户仅需在页面上进行简单配置即可完成对数据表的一致性校验。支持源表、目标表的字段映射、主键选择。同时可配置对“微小差异”进行忽略，包括记录数差异、数值差异百分比、数值差异绝对值、字符大小写区分等规则，执行校验时可忽略掉相应的差异数据。</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校验任务运行结束后，系统可输出校验结果，包括俩表的总记录数差异、匹配成功的记录数，有差异记录数的明细列表等。</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ascii="宋体" w:hAnsi="宋体" w:eastAsia="宋体" w:cs="宋体"/>
          <w:b/>
          <w:color w:val="000000" w:themeColor="text1"/>
          <w:sz w:val="21"/>
          <w:szCs w:val="21"/>
          <w:lang w:val="en-US" w:eastAsia="zh-Hans"/>
          <w14:textFill>
            <w14:solidFill>
              <w14:schemeClr w14:val="tx1"/>
            </w14:solidFill>
          </w14:textFill>
        </w:rPr>
        <w:t>④远程触发</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远程触发是指用户可以通过接口调用的形式，对数据质量的校验任务进行触发执行，校验通过后再启动后续的节点任务。便于用户确保数据链路的准确性，与数据开发任务形成闭环，提高整体数据质量。</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数据质量支持根据已配置的校验规则来生成远程触发的地址，用户使用此链接地址即可触发部分规则运行，并获取运行结果。</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ascii="宋体" w:hAnsi="宋体" w:eastAsia="宋体" w:cs="宋体"/>
          <w:b/>
          <w:color w:val="000000" w:themeColor="text1"/>
          <w:sz w:val="21"/>
          <w:szCs w:val="21"/>
          <w:lang w:val="en-US" w:eastAsia="zh-Hans"/>
          <w14:textFill>
            <w14:solidFill>
              <w14:schemeClr w14:val="tx1"/>
            </w14:solidFill>
          </w14:textFill>
        </w:rPr>
        <w:t>⑤项目管理</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不同的业务系统、不同的数据分析主题，如果全都使用同一套开发环境的话，随着时间的推移，平台内的任务、数据表会越来越杂乱。</w:t>
      </w:r>
      <w:r>
        <w:rPr>
          <w:rFonts w:hint="eastAsia" w:ascii="宋体" w:hAnsi="宋体" w:eastAsia="宋体" w:cs="宋体"/>
          <w:bCs/>
          <w:color w:val="000000" w:themeColor="text1"/>
          <w:sz w:val="21"/>
          <w:szCs w:val="21"/>
          <w:lang w:val="en-US"/>
          <w14:textFill>
            <w14:solidFill>
              <w14:schemeClr w14:val="tx1"/>
            </w14:solidFill>
          </w14:textFill>
        </w:rPr>
        <w:t>主要实现</w:t>
      </w:r>
      <w:r>
        <w:rPr>
          <w:rFonts w:ascii="宋体" w:hAnsi="宋体" w:eastAsia="宋体" w:cs="宋体"/>
          <w:bCs/>
          <w:color w:val="000000" w:themeColor="text1"/>
          <w:sz w:val="21"/>
          <w:szCs w:val="21"/>
          <w:lang w:val="en-US" w:eastAsia="zh-Hans"/>
          <w14:textFill>
            <w14:solidFill>
              <w14:schemeClr w14:val="tx1"/>
            </w14:solidFill>
          </w14:textFill>
        </w:rPr>
        <w:t>项目制切分</w:t>
      </w:r>
      <w:r>
        <w:rPr>
          <w:rFonts w:hint="eastAsia" w:ascii="宋体" w:hAnsi="宋体" w:eastAsia="宋体" w:cs="宋体"/>
          <w:bCs/>
          <w:color w:val="000000" w:themeColor="text1"/>
          <w:sz w:val="21"/>
          <w:szCs w:val="21"/>
          <w:lang w:val="en-US" w:eastAsia="zh-Hans"/>
          <w14:textFill>
            <w14:solidFill>
              <w14:schemeClr w14:val="tx1"/>
            </w14:solidFill>
          </w14:textFill>
        </w:rPr>
        <w:t>、</w:t>
      </w:r>
      <w:r>
        <w:rPr>
          <w:rFonts w:ascii="宋体" w:hAnsi="宋体" w:eastAsia="宋体" w:cs="宋体"/>
          <w:bCs/>
          <w:color w:val="000000" w:themeColor="text1"/>
          <w:sz w:val="21"/>
          <w:szCs w:val="21"/>
          <w:lang w:val="en-US" w:eastAsia="zh-Hans"/>
          <w14:textFill>
            <w14:solidFill>
              <w14:schemeClr w14:val="tx1"/>
            </w14:solidFill>
          </w14:textFill>
        </w:rPr>
        <w:t>跨项目数据隔离</w:t>
      </w:r>
      <w:r>
        <w:rPr>
          <w:rFonts w:hint="eastAsia" w:ascii="宋体" w:hAnsi="宋体" w:eastAsia="宋体" w:cs="宋体"/>
          <w:bCs/>
          <w:color w:val="000000" w:themeColor="text1"/>
          <w:sz w:val="21"/>
          <w:szCs w:val="21"/>
          <w:lang w:val="en-US"/>
          <w14:textFill>
            <w14:solidFill>
              <w14:schemeClr w14:val="tx1"/>
            </w14:solidFill>
          </w14:textFill>
        </w:rPr>
        <w:t>等功能。</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bookmarkStart w:id="31" w:name="_Toc2114583415"/>
      <w:r>
        <w:rPr>
          <w:rFonts w:hint="eastAsia" w:ascii="宋体" w:hAnsi="宋体" w:eastAsia="宋体" w:cs="宋体"/>
          <w:b/>
          <w:color w:val="000000" w:themeColor="text1"/>
          <w:sz w:val="21"/>
          <w:szCs w:val="21"/>
          <w:lang w:val="en-US" w:eastAsia="zh-Hans"/>
          <w14:textFill>
            <w14:solidFill>
              <w14:schemeClr w14:val="tx1"/>
            </w14:solidFill>
          </w14:textFill>
        </w:rPr>
        <w:t>（</w:t>
      </w:r>
      <w:r>
        <w:rPr>
          <w:rFonts w:ascii="宋体" w:hAnsi="宋体" w:eastAsia="宋体" w:cs="宋体"/>
          <w:b/>
          <w:color w:val="000000" w:themeColor="text1"/>
          <w:sz w:val="21"/>
          <w:szCs w:val="21"/>
          <w:lang w:val="en-US" w:eastAsia="zh-Hans"/>
          <w14:textFill>
            <w14:solidFill>
              <w14:schemeClr w14:val="tx1"/>
            </w14:solidFill>
          </w14:textFill>
        </w:rPr>
        <w:t>3</w:t>
      </w:r>
      <w:r>
        <w:rPr>
          <w:rFonts w:hint="eastAsia" w:ascii="宋体" w:hAnsi="宋体" w:eastAsia="宋体" w:cs="宋体"/>
          <w:b/>
          <w:color w:val="000000" w:themeColor="text1"/>
          <w:sz w:val="21"/>
          <w:szCs w:val="21"/>
          <w:lang w:val="en-US" w:eastAsia="zh-Hans"/>
          <w14:textFill>
            <w14:solidFill>
              <w14:schemeClr w14:val="tx1"/>
            </w14:solidFill>
          </w14:textFill>
        </w:rPr>
        <w:t>）</w:t>
      </w:r>
      <w:r>
        <w:rPr>
          <w:rFonts w:ascii="宋体" w:hAnsi="宋体" w:eastAsia="宋体" w:cs="宋体"/>
          <w:b/>
          <w:color w:val="000000" w:themeColor="text1"/>
          <w:sz w:val="21"/>
          <w:szCs w:val="21"/>
          <w:lang w:val="en-US" w:eastAsia="zh-Hans"/>
          <w14:textFill>
            <w14:solidFill>
              <w14:schemeClr w14:val="tx1"/>
            </w14:solidFill>
          </w14:textFill>
        </w:rPr>
        <w:t>数据资产管理系统</w:t>
      </w:r>
      <w:bookmarkEnd w:id="31"/>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数据资产管理的最终目的是通过标准管理化的数据，强化数据分析能力，利用应用分析结果使常山县农业数据资产增值。</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形成资源底图，清查全县各类生态资源，明确所有权主体。依托多规合一、乡村振兴数字平台等数字化载体，整合全县相关资源资产，建立常山县生态资源资产管理大数据平台。</w:t>
      </w:r>
      <w:r>
        <w:rPr>
          <w:rFonts w:hint="eastAsia" w:ascii="宋体" w:hAnsi="宋体" w:eastAsia="宋体" w:cs="宋体"/>
          <w:bCs/>
          <w:color w:val="000000" w:themeColor="text1"/>
          <w:sz w:val="21"/>
          <w:szCs w:val="21"/>
          <w:lang w:val="en-US"/>
          <w14:textFill>
            <w14:solidFill>
              <w14:schemeClr w14:val="tx1"/>
            </w14:solidFill>
          </w14:textFill>
        </w:rPr>
        <w:t>二</w:t>
      </w:r>
      <w:r>
        <w:rPr>
          <w:rFonts w:hint="eastAsia" w:ascii="宋体" w:hAnsi="宋体" w:eastAsia="宋体" w:cs="宋体"/>
          <w:bCs/>
          <w:color w:val="000000" w:themeColor="text1"/>
          <w:sz w:val="21"/>
          <w:szCs w:val="21"/>
          <w:lang w:val="en-US" w:eastAsia="zh-Hans"/>
          <w14:textFill>
            <w14:solidFill>
              <w14:schemeClr w14:val="tx1"/>
            </w14:solidFill>
          </w14:textFill>
        </w:rPr>
        <w:t>是开展</w:t>
      </w:r>
      <w:r>
        <w:rPr>
          <w:rFonts w:ascii="宋体" w:hAnsi="宋体" w:eastAsia="宋体" w:cs="宋体"/>
          <w:bCs/>
          <w:color w:val="000000" w:themeColor="text1"/>
          <w:sz w:val="21"/>
          <w:szCs w:val="21"/>
          <w:lang w:val="en-US" w:eastAsia="zh-Hans"/>
          <w14:textFill>
            <w14:solidFill>
              <w14:schemeClr w14:val="tx1"/>
            </w14:solidFill>
          </w14:textFill>
        </w:rPr>
        <w:t>GEP</w:t>
      </w:r>
      <w:r>
        <w:rPr>
          <w:rFonts w:hint="eastAsia" w:ascii="宋体" w:hAnsi="宋体" w:eastAsia="宋体" w:cs="宋体"/>
          <w:bCs/>
          <w:color w:val="000000" w:themeColor="text1"/>
          <w:sz w:val="21"/>
          <w:szCs w:val="21"/>
          <w:lang w:val="en-US" w:eastAsia="zh-Hans"/>
          <w14:textFill>
            <w14:solidFill>
              <w14:schemeClr w14:val="tx1"/>
            </w14:solidFill>
          </w14:textFill>
        </w:rPr>
        <w:t>核算，建立生态资产核算体系，编制年度</w:t>
      </w:r>
      <w:r>
        <w:rPr>
          <w:rFonts w:ascii="宋体" w:hAnsi="宋体" w:eastAsia="宋体" w:cs="宋体"/>
          <w:bCs/>
          <w:color w:val="000000" w:themeColor="text1"/>
          <w:sz w:val="21"/>
          <w:szCs w:val="21"/>
          <w:lang w:val="en-US" w:eastAsia="zh-Hans"/>
          <w14:textFill>
            <w14:solidFill>
              <w14:schemeClr w14:val="tx1"/>
            </w14:solidFill>
          </w14:textFill>
        </w:rPr>
        <w:t>GEP</w:t>
      </w:r>
      <w:r>
        <w:rPr>
          <w:rFonts w:hint="eastAsia" w:ascii="宋体" w:hAnsi="宋体" w:eastAsia="宋体" w:cs="宋体"/>
          <w:bCs/>
          <w:color w:val="000000" w:themeColor="text1"/>
          <w:sz w:val="21"/>
          <w:szCs w:val="21"/>
          <w:lang w:val="en-US" w:eastAsia="zh-Hans"/>
          <w14:textFill>
            <w14:solidFill>
              <w14:schemeClr w14:val="tx1"/>
            </w14:solidFill>
          </w14:textFill>
        </w:rPr>
        <w:t>核算报告，全面摸清常山绿色家底。三是形成资源底图，依托大数据平台，形成可视化</w:t>
      </w:r>
      <w:r>
        <w:rPr>
          <w:rFonts w:hint="eastAsia" w:ascii="宋体" w:hAnsi="宋体" w:eastAsia="宋体" w:cs="宋体"/>
          <w:bCs/>
          <w:color w:val="000000" w:themeColor="text1"/>
          <w:sz w:val="21"/>
          <w:szCs w:val="21"/>
          <w:lang w:val="en-US"/>
          <w14:textFill>
            <w14:solidFill>
              <w14:schemeClr w14:val="tx1"/>
            </w14:solidFill>
          </w14:textFill>
        </w:rPr>
        <w:t>的</w:t>
      </w:r>
      <w:r>
        <w:rPr>
          <w:rFonts w:hint="eastAsia" w:ascii="宋体" w:hAnsi="宋体" w:eastAsia="宋体" w:cs="宋体"/>
          <w:bCs/>
          <w:color w:val="000000" w:themeColor="text1"/>
          <w:sz w:val="21"/>
          <w:szCs w:val="21"/>
          <w:lang w:val="en-US" w:eastAsia="zh-Hans"/>
          <w14:textFill>
            <w14:solidFill>
              <w14:schemeClr w14:val="tx1"/>
            </w14:solidFill>
          </w14:textFill>
        </w:rPr>
        <w:t>常山县生态资源资产</w:t>
      </w:r>
      <w:r>
        <w:rPr>
          <w:rFonts w:hint="eastAsia" w:ascii="宋体" w:hAnsi="宋体" w:eastAsia="宋体" w:cs="宋体"/>
          <w:bCs/>
          <w:color w:val="000000" w:themeColor="text1"/>
          <w:sz w:val="21"/>
          <w:szCs w:val="21"/>
          <w:lang w:val="en-US"/>
          <w14:textFill>
            <w14:solidFill>
              <w14:schemeClr w14:val="tx1"/>
            </w14:solidFill>
          </w14:textFill>
        </w:rPr>
        <w:t>底图</w:t>
      </w:r>
      <w:r>
        <w:rPr>
          <w:rFonts w:hint="eastAsia" w:ascii="宋体" w:hAnsi="宋体" w:eastAsia="宋体" w:cs="宋体"/>
          <w:bCs/>
          <w:color w:val="000000" w:themeColor="text1"/>
          <w:sz w:val="21"/>
          <w:szCs w:val="21"/>
          <w:lang w:val="en-US" w:eastAsia="zh-Hans"/>
          <w14:textFill>
            <w14:solidFill>
              <w14:schemeClr w14:val="tx1"/>
            </w14:solidFill>
          </w14:textFill>
        </w:rPr>
        <w:t>，根据生态转化进展开展动态更新调整，加强对自然资源资产的检测和管理。</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数据资产管理主要包括元数据标准管理、数据管理等方面，详细阐述如下。</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①元数据标准管理</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元数据管理是数据资产管理的重要基础，是为获得高质量的、整合的元数据而进行的规划、实施与控制行为。</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②数据管理</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支持数据类目管理、</w:t>
      </w:r>
      <w:r>
        <w:rPr>
          <w:rFonts w:ascii="宋体" w:hAnsi="宋体" w:eastAsia="宋体" w:cs="宋体"/>
          <w:bCs/>
          <w:color w:val="000000" w:themeColor="text1"/>
          <w:sz w:val="21"/>
          <w:szCs w:val="21"/>
          <w:lang w:val="en-US"/>
          <w14:textFill>
            <w14:solidFill>
              <w14:schemeClr w14:val="tx1"/>
            </w14:solidFill>
          </w14:textFill>
        </w:rPr>
        <w:t>数据审批授权</w:t>
      </w:r>
      <w:r>
        <w:rPr>
          <w:rFonts w:hint="eastAsia" w:ascii="宋体" w:hAnsi="宋体" w:eastAsia="宋体" w:cs="宋体"/>
          <w:bCs/>
          <w:color w:val="000000" w:themeColor="text1"/>
          <w:sz w:val="21"/>
          <w:szCs w:val="21"/>
          <w:lang w:val="en-US"/>
          <w14:textFill>
            <w14:solidFill>
              <w14:schemeClr w14:val="tx1"/>
            </w14:solidFill>
          </w14:textFill>
        </w:rPr>
        <w:t>、</w:t>
      </w:r>
      <w:r>
        <w:rPr>
          <w:rFonts w:ascii="宋体" w:hAnsi="宋体" w:eastAsia="宋体" w:cs="宋体"/>
          <w:bCs/>
          <w:color w:val="000000" w:themeColor="text1"/>
          <w:sz w:val="21"/>
          <w:szCs w:val="21"/>
          <w:lang w:val="en-US"/>
          <w14:textFill>
            <w14:solidFill>
              <w14:schemeClr w14:val="tx1"/>
            </w14:solidFill>
          </w14:textFill>
        </w:rPr>
        <w:t>生命周期管理</w:t>
      </w:r>
      <w:r>
        <w:rPr>
          <w:rFonts w:hint="eastAsia" w:ascii="宋体" w:hAnsi="宋体" w:eastAsia="宋体" w:cs="宋体"/>
          <w:bCs/>
          <w:color w:val="000000" w:themeColor="text1"/>
          <w:sz w:val="21"/>
          <w:szCs w:val="21"/>
          <w:lang w:val="en-US"/>
          <w14:textFill>
            <w14:solidFill>
              <w14:schemeClr w14:val="tx1"/>
            </w14:solidFill>
          </w14:textFill>
        </w:rPr>
        <w:t>、</w:t>
      </w:r>
      <w:r>
        <w:rPr>
          <w:rFonts w:ascii="宋体" w:hAnsi="宋体" w:eastAsia="宋体" w:cs="宋体"/>
          <w:bCs/>
          <w:color w:val="000000" w:themeColor="text1"/>
          <w:sz w:val="21"/>
          <w:szCs w:val="21"/>
          <w:lang w:val="en-US"/>
          <w14:textFill>
            <w14:solidFill>
              <w14:schemeClr w14:val="tx1"/>
            </w14:solidFill>
          </w14:textFill>
        </w:rPr>
        <w:t>数据脱敏管理</w:t>
      </w:r>
      <w:r>
        <w:rPr>
          <w:rFonts w:hint="eastAsia" w:ascii="宋体" w:hAnsi="宋体" w:eastAsia="宋体" w:cs="宋体"/>
          <w:bCs/>
          <w:color w:val="000000" w:themeColor="text1"/>
          <w:sz w:val="21"/>
          <w:szCs w:val="21"/>
          <w:lang w:val="en-US"/>
          <w14:textFill>
            <w14:solidFill>
              <w14:schemeClr w14:val="tx1"/>
            </w14:solidFill>
          </w14:textFill>
        </w:rPr>
        <w:t>等。</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14:textFill>
            <w14:solidFill>
              <w14:schemeClr w14:val="tx1"/>
            </w14:solidFill>
          </w14:textFill>
        </w:rPr>
        <w:t>实现用户对脱敏的数据进行各类查询和操作，但不能查看、导出敏感数据的具体内容，实现“可操作，但不可见”的效果。支持数据脱敏的配置，管理员仅需指定某个字段需要脱敏，其他无权限用户即无法查询此字段的具体内容。</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bookmarkStart w:id="32" w:name="_Toc1096581702"/>
      <w:r>
        <w:rPr>
          <w:rFonts w:ascii="宋体" w:hAnsi="宋体" w:eastAsia="宋体" w:cs="宋体"/>
          <w:b/>
          <w:color w:val="000000" w:themeColor="text1"/>
          <w:sz w:val="21"/>
          <w:szCs w:val="21"/>
          <w:lang w:val="en-US" w:eastAsia="zh-Hans"/>
          <w14:textFill>
            <w14:solidFill>
              <w14:schemeClr w14:val="tx1"/>
            </w14:solidFill>
          </w14:textFill>
        </w:rPr>
        <w:t>（4）数据共享服务管理系统</w:t>
      </w:r>
      <w:bookmarkEnd w:id="32"/>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数据共享服务管理系统</w:t>
      </w:r>
      <w:r>
        <w:rPr>
          <w:rFonts w:hint="eastAsia" w:ascii="宋体" w:hAnsi="宋体" w:eastAsia="宋体" w:cs="宋体"/>
          <w:bCs/>
          <w:color w:val="000000" w:themeColor="text1"/>
          <w:sz w:val="21"/>
          <w:szCs w:val="21"/>
          <w:lang w:val="en-US"/>
          <w14:textFill>
            <w14:solidFill>
              <w14:schemeClr w14:val="tx1"/>
            </w14:solidFill>
          </w14:textFill>
        </w:rPr>
        <w:t>主要解决</w:t>
      </w:r>
      <w:r>
        <w:rPr>
          <w:rFonts w:ascii="宋体" w:hAnsi="宋体" w:eastAsia="宋体" w:cs="宋体"/>
          <w:bCs/>
          <w:color w:val="000000" w:themeColor="text1"/>
          <w:sz w:val="21"/>
          <w:szCs w:val="21"/>
          <w:lang w:val="en-US"/>
          <w14:textFill>
            <w14:solidFill>
              <w14:schemeClr w14:val="tx1"/>
            </w14:solidFill>
          </w14:textFill>
        </w:rPr>
        <w:t>API</w:t>
      </w:r>
      <w:r>
        <w:rPr>
          <w:rFonts w:hint="eastAsia" w:ascii="宋体" w:hAnsi="宋体" w:eastAsia="宋体" w:cs="宋体"/>
          <w:bCs/>
          <w:color w:val="000000" w:themeColor="text1"/>
          <w:sz w:val="21"/>
          <w:szCs w:val="21"/>
          <w:lang w:val="en-US"/>
          <w14:textFill>
            <w14:solidFill>
              <w14:schemeClr w14:val="tx1"/>
            </w14:solidFill>
          </w14:textFill>
        </w:rPr>
        <w:t>的快速生成和对外数据服务。</w:t>
      </w:r>
      <w:r>
        <w:rPr>
          <w:rFonts w:ascii="宋体" w:hAnsi="宋体" w:eastAsia="宋体" w:cs="宋体"/>
          <w:bCs/>
          <w:color w:val="000000" w:themeColor="text1"/>
          <w:sz w:val="21"/>
          <w:szCs w:val="21"/>
          <w:lang w:val="en-US"/>
          <w14:textFill>
            <w14:solidFill>
              <w14:schemeClr w14:val="tx1"/>
            </w14:solidFill>
          </w14:textFill>
        </w:rPr>
        <w:t>API</w:t>
      </w:r>
      <w:r>
        <w:rPr>
          <w:rFonts w:hint="eastAsia" w:ascii="宋体" w:hAnsi="宋体" w:eastAsia="宋体" w:cs="宋体"/>
          <w:bCs/>
          <w:color w:val="000000" w:themeColor="text1"/>
          <w:sz w:val="21"/>
          <w:szCs w:val="21"/>
          <w:lang w:val="en-US"/>
          <w14:textFill>
            <w14:solidFill>
              <w14:schemeClr w14:val="tx1"/>
            </w14:solidFill>
          </w14:textFill>
        </w:rPr>
        <w:t>管理者可利用产品化的配置工具生成各类</w:t>
      </w:r>
      <w:r>
        <w:rPr>
          <w:rFonts w:ascii="宋体" w:hAnsi="宋体" w:eastAsia="宋体" w:cs="宋体"/>
          <w:bCs/>
          <w:color w:val="000000" w:themeColor="text1"/>
          <w:sz w:val="21"/>
          <w:szCs w:val="21"/>
          <w:lang w:val="en-US"/>
          <w14:textFill>
            <w14:solidFill>
              <w14:schemeClr w14:val="tx1"/>
            </w14:solidFill>
          </w14:textFill>
        </w:rPr>
        <w:t>API</w:t>
      </w:r>
      <w:r>
        <w:rPr>
          <w:rFonts w:hint="eastAsia" w:ascii="宋体" w:hAnsi="宋体" w:eastAsia="宋体" w:cs="宋体"/>
          <w:bCs/>
          <w:color w:val="000000" w:themeColor="text1"/>
          <w:sz w:val="21"/>
          <w:szCs w:val="21"/>
          <w:lang w:val="en-US"/>
          <w14:textFill>
            <w14:solidFill>
              <w14:schemeClr w14:val="tx1"/>
            </w14:solidFill>
          </w14:textFill>
        </w:rPr>
        <w:t>服务，监控调用及订购情况，让数据资产价值对外输出的过程中，做到数据服务可见、可管。与此同时，对于</w:t>
      </w:r>
      <w:r>
        <w:rPr>
          <w:rFonts w:ascii="宋体" w:hAnsi="宋体" w:eastAsia="宋体" w:cs="宋体"/>
          <w:bCs/>
          <w:color w:val="000000" w:themeColor="text1"/>
          <w:sz w:val="21"/>
          <w:szCs w:val="21"/>
          <w:lang w:val="en-US"/>
          <w14:textFill>
            <w14:solidFill>
              <w14:schemeClr w14:val="tx1"/>
            </w14:solidFill>
          </w14:textFill>
        </w:rPr>
        <w:t>API</w:t>
      </w:r>
      <w:r>
        <w:rPr>
          <w:rFonts w:hint="eastAsia" w:ascii="宋体" w:hAnsi="宋体" w:eastAsia="宋体" w:cs="宋体"/>
          <w:bCs/>
          <w:color w:val="000000" w:themeColor="text1"/>
          <w:sz w:val="21"/>
          <w:szCs w:val="21"/>
          <w:lang w:val="en-US"/>
          <w14:textFill>
            <w14:solidFill>
              <w14:schemeClr w14:val="tx1"/>
            </w14:solidFill>
          </w14:textFill>
        </w:rPr>
        <w:t>使用者，可以看见</w:t>
      </w:r>
      <w:r>
        <w:rPr>
          <w:rFonts w:ascii="宋体" w:hAnsi="宋体" w:eastAsia="宋体" w:cs="宋体"/>
          <w:bCs/>
          <w:color w:val="000000" w:themeColor="text1"/>
          <w:sz w:val="21"/>
          <w:szCs w:val="21"/>
          <w:lang w:val="en-US"/>
          <w14:textFill>
            <w14:solidFill>
              <w14:schemeClr w14:val="tx1"/>
            </w14:solidFill>
          </w14:textFill>
        </w:rPr>
        <w:t>API</w:t>
      </w:r>
      <w:r>
        <w:rPr>
          <w:rFonts w:hint="eastAsia" w:ascii="宋体" w:hAnsi="宋体" w:eastAsia="宋体" w:cs="宋体"/>
          <w:bCs/>
          <w:color w:val="000000" w:themeColor="text1"/>
          <w:sz w:val="21"/>
          <w:szCs w:val="21"/>
          <w:lang w:val="en-US"/>
          <w14:textFill>
            <w14:solidFill>
              <w14:schemeClr w14:val="tx1"/>
            </w14:solidFill>
          </w14:textFill>
        </w:rPr>
        <w:t>市场中所有的</w:t>
      </w:r>
      <w:r>
        <w:rPr>
          <w:rFonts w:ascii="宋体" w:hAnsi="宋体" w:eastAsia="宋体" w:cs="宋体"/>
          <w:bCs/>
          <w:color w:val="000000" w:themeColor="text1"/>
          <w:sz w:val="21"/>
          <w:szCs w:val="21"/>
          <w:lang w:val="en-US"/>
          <w14:textFill>
            <w14:solidFill>
              <w14:schemeClr w14:val="tx1"/>
            </w14:solidFill>
          </w14:textFill>
        </w:rPr>
        <w:t>API</w:t>
      </w:r>
      <w:r>
        <w:rPr>
          <w:rFonts w:hint="eastAsia" w:ascii="宋体" w:hAnsi="宋体" w:eastAsia="宋体" w:cs="宋体"/>
          <w:bCs/>
          <w:color w:val="000000" w:themeColor="text1"/>
          <w:sz w:val="21"/>
          <w:szCs w:val="21"/>
          <w:lang w:val="en-US"/>
          <w14:textFill>
            <w14:solidFill>
              <w14:schemeClr w14:val="tx1"/>
            </w14:solidFill>
          </w14:textFill>
        </w:rPr>
        <w:t>，根据需求自助选取合适的</w:t>
      </w:r>
      <w:r>
        <w:rPr>
          <w:rFonts w:ascii="宋体" w:hAnsi="宋体" w:eastAsia="宋体" w:cs="宋体"/>
          <w:bCs/>
          <w:color w:val="000000" w:themeColor="text1"/>
          <w:sz w:val="21"/>
          <w:szCs w:val="21"/>
          <w:lang w:val="en-US"/>
          <w14:textFill>
            <w14:solidFill>
              <w14:schemeClr w14:val="tx1"/>
            </w14:solidFill>
          </w14:textFill>
        </w:rPr>
        <w:t>API</w:t>
      </w:r>
      <w:r>
        <w:rPr>
          <w:rFonts w:hint="eastAsia" w:ascii="宋体" w:hAnsi="宋体" w:eastAsia="宋体" w:cs="宋体"/>
          <w:bCs/>
          <w:color w:val="000000" w:themeColor="text1"/>
          <w:sz w:val="21"/>
          <w:szCs w:val="21"/>
          <w:lang w:val="en-US"/>
          <w14:textFill>
            <w14:solidFill>
              <w14:schemeClr w14:val="tx1"/>
            </w14:solidFill>
          </w14:textFill>
        </w:rPr>
        <w:t>，开始自己的使用之旅，极大的提高了使用效率与易用性。</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支持</w:t>
      </w:r>
      <w:r>
        <w:rPr>
          <w:rFonts w:ascii="宋体" w:hAnsi="宋体" w:eastAsia="宋体" w:cs="宋体"/>
          <w:bCs/>
          <w:color w:val="000000" w:themeColor="text1"/>
          <w:sz w:val="21"/>
          <w:szCs w:val="21"/>
          <w:lang w:eastAsia="zh-Hans"/>
          <w14:textFill>
            <w14:solidFill>
              <w14:schemeClr w14:val="tx1"/>
            </w14:solidFill>
          </w14:textFill>
        </w:rPr>
        <w:t>API</w:t>
      </w:r>
      <w:r>
        <w:rPr>
          <w:rFonts w:hint="eastAsia" w:ascii="宋体" w:hAnsi="宋体" w:eastAsia="宋体" w:cs="宋体"/>
          <w:bCs/>
          <w:color w:val="000000" w:themeColor="text1"/>
          <w:sz w:val="21"/>
          <w:szCs w:val="21"/>
          <w:lang w:val="en-US" w:eastAsia="zh-Hans"/>
          <w14:textFill>
            <w14:solidFill>
              <w14:schemeClr w14:val="tx1"/>
            </w14:solidFill>
          </w14:textFill>
        </w:rPr>
        <w:t>生成与注册、</w:t>
      </w:r>
      <w:r>
        <w:rPr>
          <w:rFonts w:ascii="宋体" w:hAnsi="宋体" w:eastAsia="宋体" w:cs="宋体"/>
          <w:bCs/>
          <w:color w:val="000000" w:themeColor="text1"/>
          <w:sz w:val="21"/>
          <w:szCs w:val="21"/>
          <w:lang w:eastAsia="zh-Hans"/>
          <w14:textFill>
            <w14:solidFill>
              <w14:schemeClr w14:val="tx1"/>
            </w14:solidFill>
          </w14:textFill>
        </w:rPr>
        <w:t>API</w:t>
      </w:r>
      <w:r>
        <w:rPr>
          <w:rFonts w:hint="eastAsia" w:ascii="宋体" w:hAnsi="宋体" w:eastAsia="宋体" w:cs="宋体"/>
          <w:bCs/>
          <w:color w:val="000000" w:themeColor="text1"/>
          <w:sz w:val="21"/>
          <w:szCs w:val="21"/>
          <w:lang w:val="en-US" w:eastAsia="zh-Hans"/>
          <w14:textFill>
            <w14:solidFill>
              <w14:schemeClr w14:val="tx1"/>
            </w14:solidFill>
          </w14:textFill>
        </w:rPr>
        <w:t>发布、</w:t>
      </w:r>
      <w:r>
        <w:rPr>
          <w:rFonts w:ascii="宋体" w:hAnsi="宋体" w:eastAsia="宋体" w:cs="宋体"/>
          <w:bCs/>
          <w:color w:val="000000" w:themeColor="text1"/>
          <w:sz w:val="21"/>
          <w:szCs w:val="21"/>
          <w:lang w:eastAsia="zh-Hans"/>
          <w14:textFill>
            <w14:solidFill>
              <w14:schemeClr w14:val="tx1"/>
            </w14:solidFill>
          </w14:textFill>
        </w:rPr>
        <w:t>API</w:t>
      </w:r>
      <w:r>
        <w:rPr>
          <w:rFonts w:hint="eastAsia" w:ascii="宋体" w:hAnsi="宋体" w:eastAsia="宋体" w:cs="宋体"/>
          <w:bCs/>
          <w:color w:val="000000" w:themeColor="text1"/>
          <w:sz w:val="21"/>
          <w:szCs w:val="21"/>
          <w:lang w:val="en-US" w:eastAsia="zh-Hans"/>
          <w14:textFill>
            <w14:solidFill>
              <w14:schemeClr w14:val="tx1"/>
            </w14:solidFill>
          </w14:textFill>
        </w:rPr>
        <w:t>管理与授权、</w:t>
      </w:r>
      <w:r>
        <w:rPr>
          <w:rFonts w:ascii="宋体" w:hAnsi="宋体" w:eastAsia="宋体" w:cs="宋体"/>
          <w:bCs/>
          <w:color w:val="000000" w:themeColor="text1"/>
          <w:sz w:val="21"/>
          <w:szCs w:val="21"/>
          <w:lang w:eastAsia="zh-Hans"/>
          <w14:textFill>
            <w14:solidFill>
              <w14:schemeClr w14:val="tx1"/>
            </w14:solidFill>
          </w14:textFill>
        </w:rPr>
        <w:t>API</w:t>
      </w:r>
      <w:r>
        <w:rPr>
          <w:rFonts w:hint="eastAsia" w:ascii="宋体" w:hAnsi="宋体" w:eastAsia="宋体" w:cs="宋体"/>
          <w:bCs/>
          <w:color w:val="000000" w:themeColor="text1"/>
          <w:sz w:val="21"/>
          <w:szCs w:val="21"/>
          <w:lang w:val="en-US" w:eastAsia="zh-Hans"/>
          <w14:textFill>
            <w14:solidFill>
              <w14:schemeClr w14:val="tx1"/>
            </w14:solidFill>
          </w14:textFill>
        </w:rPr>
        <w:t>申请与调用、</w:t>
      </w:r>
      <w:r>
        <w:rPr>
          <w:rFonts w:ascii="宋体" w:hAnsi="宋体" w:eastAsia="宋体" w:cs="宋体"/>
          <w:bCs/>
          <w:color w:val="000000" w:themeColor="text1"/>
          <w:sz w:val="21"/>
          <w:szCs w:val="21"/>
          <w:lang w:eastAsia="zh-Hans"/>
          <w14:textFill>
            <w14:solidFill>
              <w14:schemeClr w14:val="tx1"/>
            </w14:solidFill>
          </w14:textFill>
        </w:rPr>
        <w:t>API</w:t>
      </w:r>
      <w:r>
        <w:rPr>
          <w:rFonts w:hint="eastAsia" w:ascii="宋体" w:hAnsi="宋体" w:eastAsia="宋体" w:cs="宋体"/>
          <w:bCs/>
          <w:color w:val="000000" w:themeColor="text1"/>
          <w:sz w:val="21"/>
          <w:szCs w:val="21"/>
          <w:lang w:val="en-US" w:eastAsia="zh-Hans"/>
          <w14:textFill>
            <w14:solidFill>
              <w14:schemeClr w14:val="tx1"/>
            </w14:solidFill>
          </w14:textFill>
        </w:rPr>
        <w:t>测试、</w:t>
      </w:r>
      <w:r>
        <w:rPr>
          <w:rFonts w:ascii="宋体" w:hAnsi="宋体" w:eastAsia="宋体" w:cs="宋体"/>
          <w:bCs/>
          <w:color w:val="000000" w:themeColor="text1"/>
          <w:sz w:val="21"/>
          <w:szCs w:val="21"/>
          <w:lang w:eastAsia="zh-Hans"/>
          <w14:textFill>
            <w14:solidFill>
              <w14:schemeClr w14:val="tx1"/>
            </w14:solidFill>
          </w14:textFill>
        </w:rPr>
        <w:t>API</w:t>
      </w:r>
      <w:r>
        <w:rPr>
          <w:rFonts w:hint="eastAsia" w:ascii="宋体" w:hAnsi="宋体" w:eastAsia="宋体" w:cs="宋体"/>
          <w:bCs/>
          <w:color w:val="000000" w:themeColor="text1"/>
          <w:sz w:val="21"/>
          <w:szCs w:val="21"/>
          <w:lang w:val="en-US" w:eastAsia="zh-Hans"/>
          <w14:textFill>
            <w14:solidFill>
              <w14:schemeClr w14:val="tx1"/>
            </w14:solidFill>
          </w14:textFill>
        </w:rPr>
        <w:t>安全</w:t>
      </w:r>
      <w:r>
        <w:rPr>
          <w:rFonts w:hint="eastAsia" w:ascii="宋体" w:hAnsi="宋体" w:eastAsia="宋体" w:cs="宋体"/>
          <w:bCs/>
          <w:color w:val="000000" w:themeColor="text1"/>
          <w:sz w:val="21"/>
          <w:szCs w:val="21"/>
          <w:lang w:eastAsia="zh-Hans"/>
          <w14:textFill>
            <w14:solidFill>
              <w14:schemeClr w14:val="tx1"/>
            </w14:solidFill>
          </w14:textFill>
        </w:rPr>
        <w:t>。</w:t>
      </w:r>
      <w:r>
        <w:rPr>
          <w:rFonts w:hint="eastAsia" w:ascii="宋体" w:hAnsi="宋体" w:eastAsia="宋体" w:cs="宋体"/>
          <w:bCs/>
          <w:color w:val="000000" w:themeColor="text1"/>
          <w:sz w:val="21"/>
          <w:szCs w:val="21"/>
          <w:lang w:val="en-US"/>
          <w14:textFill>
            <w14:solidFill>
              <w14:schemeClr w14:val="tx1"/>
            </w14:solidFill>
          </w14:textFill>
        </w:rPr>
        <w:t>除以上功能外，还包括基础功能，如用户管理、权限管理等，以明确的产品定位，及丰富完善的功能性，提供一款实用、易用的数据引擎。</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bookmarkStart w:id="33" w:name="_Toc544006960"/>
      <w:r>
        <w:rPr>
          <w:rFonts w:hint="eastAsia" w:ascii="宋体" w:hAnsi="宋体" w:eastAsia="宋体" w:cs="宋体"/>
          <w:b/>
          <w:color w:val="000000" w:themeColor="text1"/>
          <w:sz w:val="21"/>
          <w:szCs w:val="21"/>
          <w:lang w:val="en-US" w:eastAsia="zh-Hans"/>
          <w14:textFill>
            <w14:solidFill>
              <w14:schemeClr w14:val="tx1"/>
            </w14:solidFill>
          </w14:textFill>
        </w:rPr>
        <w:t>（</w:t>
      </w:r>
      <w:r>
        <w:rPr>
          <w:rFonts w:ascii="宋体" w:hAnsi="宋体" w:eastAsia="宋体" w:cs="宋体"/>
          <w:b/>
          <w:color w:val="000000" w:themeColor="text1"/>
          <w:sz w:val="21"/>
          <w:szCs w:val="21"/>
          <w:lang w:eastAsia="zh-Hans"/>
          <w14:textFill>
            <w14:solidFill>
              <w14:schemeClr w14:val="tx1"/>
            </w14:solidFill>
          </w14:textFill>
        </w:rPr>
        <w:t>5</w:t>
      </w:r>
      <w:r>
        <w:rPr>
          <w:rFonts w:hint="eastAsia" w:ascii="宋体" w:hAnsi="宋体" w:eastAsia="宋体" w:cs="宋体"/>
          <w:b/>
          <w:color w:val="000000" w:themeColor="text1"/>
          <w:sz w:val="21"/>
          <w:szCs w:val="21"/>
          <w:lang w:val="en-US" w:eastAsia="zh-Hans"/>
          <w14:textFill>
            <w14:solidFill>
              <w14:schemeClr w14:val="tx1"/>
            </w14:solidFill>
          </w14:textFill>
        </w:rPr>
        <w:t>）</w:t>
      </w:r>
      <w:r>
        <w:rPr>
          <w:rFonts w:ascii="宋体" w:hAnsi="宋体" w:eastAsia="宋体" w:cs="宋体"/>
          <w:b/>
          <w:color w:val="000000" w:themeColor="text1"/>
          <w:sz w:val="21"/>
          <w:szCs w:val="21"/>
          <w:lang w:val="en-US" w:eastAsia="zh-Hans"/>
          <w14:textFill>
            <w14:solidFill>
              <w14:schemeClr w14:val="tx1"/>
            </w14:solidFill>
          </w14:textFill>
        </w:rPr>
        <w:t>统一运维管理系统</w:t>
      </w:r>
      <w:bookmarkEnd w:id="33"/>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统一运维管理系统</w:t>
      </w:r>
      <w:r>
        <w:rPr>
          <w:rFonts w:ascii="宋体" w:hAnsi="宋体" w:eastAsia="宋体" w:cs="宋体"/>
          <w:bCs/>
          <w:color w:val="000000" w:themeColor="text1"/>
          <w:sz w:val="21"/>
          <w:szCs w:val="21"/>
          <w:lang w:val="en-US"/>
          <w14:textFill>
            <w14:solidFill>
              <w14:schemeClr w14:val="tx1"/>
            </w14:solidFill>
          </w14:textFill>
        </w:rPr>
        <w:t>作为一款全方位的运维管理工具，可以应用于如下场景：</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①</w:t>
      </w:r>
      <w:r>
        <w:rPr>
          <w:rFonts w:ascii="宋体" w:hAnsi="宋体" w:eastAsia="宋体" w:cs="宋体"/>
          <w:b/>
          <w:color w:val="000000" w:themeColor="text1"/>
          <w:sz w:val="21"/>
          <w:szCs w:val="21"/>
          <w:lang w:val="en-US"/>
          <w14:textFill>
            <w14:solidFill>
              <w14:schemeClr w14:val="tx1"/>
            </w14:solidFill>
          </w14:textFill>
        </w:rPr>
        <w:t>产品部署</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14:textFill>
            <w14:solidFill>
              <w14:schemeClr w14:val="tx1"/>
            </w14:solidFill>
          </w14:textFill>
        </w:rPr>
        <w:t>运维人员将制作好的安装包上传后，E</w:t>
      </w:r>
      <w:r>
        <w:rPr>
          <w:rFonts w:hint="eastAsia" w:ascii="宋体" w:hAnsi="宋体" w:eastAsia="宋体" w:cs="宋体"/>
          <w:bCs/>
          <w:color w:val="000000" w:themeColor="text1"/>
          <w:sz w:val="21"/>
          <w:szCs w:val="21"/>
          <w:lang w:val="en-US" w:eastAsia="zh-Hans"/>
          <w14:textFill>
            <w14:solidFill>
              <w14:schemeClr w14:val="tx1"/>
            </w14:solidFill>
          </w14:textFill>
        </w:rPr>
        <w:t>统一运维管理系统</w:t>
      </w:r>
      <w:r>
        <w:rPr>
          <w:rFonts w:ascii="宋体" w:hAnsi="宋体" w:eastAsia="宋体" w:cs="宋体"/>
          <w:bCs/>
          <w:color w:val="000000" w:themeColor="text1"/>
          <w:sz w:val="21"/>
          <w:szCs w:val="21"/>
          <w:lang w:val="en-US"/>
          <w14:textFill>
            <w14:solidFill>
              <w14:schemeClr w14:val="tx1"/>
            </w14:solidFill>
          </w14:textFill>
        </w:rPr>
        <w:t>进行产品包组件、参数解析，接下来操作人员可配置节点，开始部署，并支持查看部署进度及状态。</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②</w:t>
      </w:r>
      <w:r>
        <w:rPr>
          <w:rFonts w:ascii="宋体" w:hAnsi="宋体" w:eastAsia="宋体" w:cs="宋体"/>
          <w:b/>
          <w:color w:val="000000" w:themeColor="text1"/>
          <w:sz w:val="21"/>
          <w:szCs w:val="21"/>
          <w:lang w:val="en-US"/>
          <w14:textFill>
            <w14:solidFill>
              <w14:schemeClr w14:val="tx1"/>
            </w14:solidFill>
          </w14:textFill>
        </w:rPr>
        <w:t>节点扩容/缩容</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14:textFill>
            <w14:solidFill>
              <w14:schemeClr w14:val="tx1"/>
            </w14:solidFill>
          </w14:textFill>
        </w:rPr>
        <w:t>当现有节点内存过高，使用空间不足或者节点缩容时，可添加新的主机服务，配置在产品组件中，进行重新部署。且当主机服务配置合理时，可实现产品线上环境的不停机部署。</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③</w:t>
      </w:r>
      <w:r>
        <w:rPr>
          <w:rFonts w:ascii="宋体" w:hAnsi="宋体" w:eastAsia="宋体" w:cs="宋体"/>
          <w:b/>
          <w:color w:val="000000" w:themeColor="text1"/>
          <w:sz w:val="21"/>
          <w:szCs w:val="21"/>
          <w:lang w:val="en-US"/>
          <w14:textFill>
            <w14:solidFill>
              <w14:schemeClr w14:val="tx1"/>
            </w14:solidFill>
          </w14:textFill>
        </w:rPr>
        <w:t>产品升级</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14:textFill>
            <w14:solidFill>
              <w14:schemeClr w14:val="tx1"/>
            </w14:solidFill>
          </w14:textFill>
        </w:rPr>
        <w:t>当产品有新功能或者bug修复，需要版本升级时，可通过修改上个版本安装包或制作补丁包的方式，重新部署。且在部署时，系统会将现有schema文件与原始schema文件进行比较，重新部署有修改的组件或服务，没有修改的部分不需要重新部署。</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④</w:t>
      </w:r>
      <w:r>
        <w:rPr>
          <w:rFonts w:ascii="宋体" w:hAnsi="宋体" w:eastAsia="宋体" w:cs="宋体"/>
          <w:b/>
          <w:color w:val="000000" w:themeColor="text1"/>
          <w:sz w:val="21"/>
          <w:szCs w:val="21"/>
          <w:lang w:val="en-US"/>
          <w14:textFill>
            <w14:solidFill>
              <w14:schemeClr w14:val="tx1"/>
            </w14:solidFill>
          </w14:textFill>
        </w:rPr>
        <w:t>监控告警</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ascii="宋体" w:hAnsi="宋体" w:eastAsia="宋体" w:cs="宋体"/>
          <w:bCs/>
          <w:color w:val="000000" w:themeColor="text1"/>
          <w:sz w:val="21"/>
          <w:szCs w:val="21"/>
          <w:lang w:val="en-US"/>
          <w14:textFill>
            <w14:solidFill>
              <w14:schemeClr w14:val="tx1"/>
            </w14:solidFill>
          </w14:textFill>
        </w:rPr>
        <w:t>在产品的全生命周期中，部署升级只是短时间节点性的操作，一款产品95%的时间都是在线上运行状态，所以线上运行环境的稳定性保障非常重要，支持运维人员通过</w:t>
      </w:r>
      <w:r>
        <w:rPr>
          <w:rFonts w:hint="eastAsia" w:ascii="宋体" w:hAnsi="宋体" w:eastAsia="宋体" w:cs="宋体"/>
          <w:bCs/>
          <w:color w:val="000000" w:themeColor="text1"/>
          <w:sz w:val="21"/>
          <w:szCs w:val="21"/>
          <w:lang w:val="en-US" w:eastAsia="zh-Hans"/>
          <w14:textFill>
            <w14:solidFill>
              <w14:schemeClr w14:val="tx1"/>
            </w14:solidFill>
          </w14:textFill>
        </w:rPr>
        <w:t>统一运维管理系统</w:t>
      </w:r>
      <w:r>
        <w:rPr>
          <w:rFonts w:ascii="宋体" w:hAnsi="宋体" w:eastAsia="宋体" w:cs="宋体"/>
          <w:bCs/>
          <w:color w:val="000000" w:themeColor="text1"/>
          <w:sz w:val="21"/>
          <w:szCs w:val="21"/>
          <w:lang w:val="en-US"/>
          <w14:textFill>
            <w14:solidFill>
              <w14:schemeClr w14:val="tx1"/>
            </w14:solidFill>
          </w14:textFill>
        </w:rPr>
        <w:t>监控各个节点服务的运营状况，并在达到告警设置时通知告警接收人。</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统一运维管理系统</w:t>
      </w:r>
      <w:r>
        <w:rPr>
          <w:rFonts w:hint="eastAsia" w:ascii="宋体" w:hAnsi="宋体" w:eastAsia="宋体" w:cs="宋体"/>
          <w:bCs/>
          <w:color w:val="000000" w:themeColor="text1"/>
          <w:sz w:val="21"/>
          <w:szCs w:val="21"/>
          <w:lang w:val="en-US" w:eastAsia="zh-Hans"/>
          <w14:textFill>
            <w14:solidFill>
              <w14:schemeClr w14:val="tx1"/>
            </w14:solidFill>
          </w14:textFill>
        </w:rPr>
        <w:t>包括安装部署、服务管理、主机管理、平台运维、监控告警等功能模块。</w:t>
      </w:r>
      <w:bookmarkStart w:id="34" w:name="_Toc2073302756"/>
    </w:p>
    <w:p>
      <w:pPr>
        <w:pStyle w:val="17"/>
        <w:spacing w:line="440" w:lineRule="exact"/>
        <w:ind w:firstLine="424" w:firstLineChars="200"/>
        <w:rPr>
          <w:rFonts w:ascii="宋体" w:hAnsi="宋体" w:eastAsia="宋体" w:cs="宋体"/>
          <w:b/>
          <w:bCs/>
          <w:color w:val="000000" w:themeColor="text1"/>
          <w:szCs w:val="32"/>
          <w:lang w:val="en-US" w:eastAsia="zh-Hans"/>
          <w14:textFill>
            <w14:solidFill>
              <w14:schemeClr w14:val="tx1"/>
            </w14:solidFill>
          </w14:textFill>
        </w:rPr>
      </w:pPr>
      <w:r>
        <w:rPr>
          <w:rFonts w:ascii="宋体" w:hAnsi="宋体" w:eastAsia="宋体" w:cs="宋体"/>
          <w:b/>
          <w:color w:val="000000" w:themeColor="text1"/>
          <w:sz w:val="21"/>
          <w:szCs w:val="21"/>
          <w:lang w:val="en-US" w:eastAsia="zh-Hans"/>
          <w14:textFill>
            <w14:solidFill>
              <w14:schemeClr w14:val="tx1"/>
            </w14:solidFill>
          </w14:textFill>
        </w:rPr>
        <w:t>2.</w:t>
      </w:r>
      <w:r>
        <w:rPr>
          <w:rFonts w:hint="eastAsia" w:ascii="宋体" w:hAnsi="宋体" w:eastAsia="宋体" w:cs="宋体"/>
          <w:b/>
          <w:color w:val="000000" w:themeColor="text1"/>
          <w:sz w:val="21"/>
          <w:szCs w:val="21"/>
          <w:lang w:val="en-US" w:eastAsia="zh-Hans"/>
          <w14:textFill>
            <w14:solidFill>
              <w14:schemeClr w14:val="tx1"/>
            </w14:solidFill>
          </w14:textFill>
        </w:rPr>
        <w:t>数据模型建设</w:t>
      </w:r>
      <w:bookmarkEnd w:id="34"/>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支持算法可视化建模与交互式开发环境代码编写，提供数据接入、算法研发、模型训练、模型部署、任务运维于一体的一站式数据探索平台，</w:t>
      </w:r>
      <w:r>
        <w:rPr>
          <w:rFonts w:hint="eastAsia" w:ascii="宋体" w:hAnsi="宋体" w:eastAsia="宋体" w:cs="宋体"/>
          <w:bCs/>
          <w:color w:val="000000" w:themeColor="text1"/>
          <w:sz w:val="21"/>
          <w:szCs w:val="21"/>
          <w:lang w:val="en-US" w:eastAsia="zh-Hans"/>
          <w14:textFill>
            <w14:solidFill>
              <w14:schemeClr w14:val="tx1"/>
            </w14:solidFill>
          </w14:textFill>
        </w:rPr>
        <w:t>使</w:t>
      </w:r>
      <w:r>
        <w:rPr>
          <w:rFonts w:ascii="宋体" w:hAnsi="宋体" w:eastAsia="宋体" w:cs="宋体"/>
          <w:bCs/>
          <w:color w:val="000000" w:themeColor="text1"/>
          <w:sz w:val="21"/>
          <w:szCs w:val="21"/>
          <w:lang w:val="en-US" w:eastAsia="zh-Hans"/>
          <w14:textFill>
            <w14:solidFill>
              <w14:schemeClr w14:val="tx1"/>
            </w14:solidFill>
          </w14:textFill>
        </w:rPr>
        <w:t>数据分析高效快捷的完成机器学习作业。</w:t>
      </w:r>
      <w:r>
        <w:rPr>
          <w:rFonts w:hint="eastAsia" w:ascii="宋体" w:hAnsi="宋体" w:eastAsia="宋体" w:cs="宋体"/>
          <w:bCs/>
          <w:color w:val="000000" w:themeColor="text1"/>
          <w:sz w:val="21"/>
          <w:szCs w:val="21"/>
          <w:lang w:val="en-US" w:eastAsia="zh-Hans"/>
          <w14:textFill>
            <w14:solidFill>
              <w14:schemeClr w14:val="tx1"/>
            </w14:solidFill>
          </w14:textFill>
        </w:rPr>
        <w:t>具有以下产品功能特性：</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①可视化搭建</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深度集成了</w:t>
      </w:r>
      <w:r>
        <w:rPr>
          <w:rFonts w:ascii="宋体" w:hAnsi="宋体" w:eastAsia="宋体" w:cs="宋体"/>
          <w:bCs/>
          <w:color w:val="000000" w:themeColor="text1"/>
          <w:sz w:val="21"/>
          <w:szCs w:val="21"/>
          <w:lang w:val="en-US"/>
          <w14:textFill>
            <w14:solidFill>
              <w14:schemeClr w14:val="tx1"/>
            </w14:solidFill>
          </w14:textFill>
        </w:rPr>
        <w:t>TensorFlow</w:t>
      </w:r>
      <w:r>
        <w:rPr>
          <w:rFonts w:hint="eastAsia" w:ascii="宋体" w:hAnsi="宋体" w:eastAsia="宋体" w:cs="宋体"/>
          <w:bCs/>
          <w:color w:val="000000" w:themeColor="text1"/>
          <w:sz w:val="21"/>
          <w:szCs w:val="21"/>
          <w:lang w:val="en-US"/>
          <w14:textFill>
            <w14:solidFill>
              <w14:schemeClr w14:val="tx1"/>
            </w14:solidFill>
          </w14:textFill>
        </w:rPr>
        <w:t>、</w:t>
      </w:r>
      <w:r>
        <w:rPr>
          <w:rFonts w:ascii="宋体" w:hAnsi="宋体" w:eastAsia="宋体" w:cs="宋体"/>
          <w:bCs/>
          <w:color w:val="000000" w:themeColor="text1"/>
          <w:sz w:val="21"/>
          <w:szCs w:val="21"/>
          <w:lang w:val="en-US"/>
          <w14:textFill>
            <w14:solidFill>
              <w14:schemeClr w14:val="tx1"/>
            </w14:solidFill>
          </w14:textFill>
        </w:rPr>
        <w:t>MXNet</w:t>
      </w:r>
      <w:r>
        <w:rPr>
          <w:rFonts w:hint="eastAsia" w:ascii="宋体" w:hAnsi="宋体" w:eastAsia="宋体" w:cs="宋体"/>
          <w:bCs/>
          <w:color w:val="000000" w:themeColor="text1"/>
          <w:sz w:val="21"/>
          <w:szCs w:val="21"/>
          <w:lang w:val="en-US"/>
          <w14:textFill>
            <w14:solidFill>
              <w14:schemeClr w14:val="tx1"/>
            </w14:solidFill>
          </w14:textFill>
        </w:rPr>
        <w:t>、</w:t>
      </w:r>
      <w:r>
        <w:rPr>
          <w:rFonts w:ascii="宋体" w:hAnsi="宋体" w:eastAsia="宋体" w:cs="宋体"/>
          <w:bCs/>
          <w:color w:val="000000" w:themeColor="text1"/>
          <w:sz w:val="21"/>
          <w:szCs w:val="21"/>
          <w:lang w:val="en-US"/>
          <w14:textFill>
            <w14:solidFill>
              <w14:schemeClr w14:val="tx1"/>
            </w14:solidFill>
          </w14:textFill>
        </w:rPr>
        <w:t>XGboost</w:t>
      </w:r>
      <w:r>
        <w:rPr>
          <w:rFonts w:hint="eastAsia" w:ascii="宋体" w:hAnsi="宋体" w:eastAsia="宋体" w:cs="宋体"/>
          <w:bCs/>
          <w:color w:val="000000" w:themeColor="text1"/>
          <w:sz w:val="21"/>
          <w:szCs w:val="21"/>
          <w:lang w:val="en-US"/>
          <w14:textFill>
            <w14:solidFill>
              <w14:schemeClr w14:val="tx1"/>
            </w14:solidFill>
          </w14:textFill>
        </w:rPr>
        <w:t>、</w:t>
      </w:r>
      <w:r>
        <w:rPr>
          <w:rFonts w:ascii="宋体" w:hAnsi="宋体" w:eastAsia="宋体" w:cs="宋体"/>
          <w:bCs/>
          <w:color w:val="000000" w:themeColor="text1"/>
          <w:sz w:val="21"/>
          <w:szCs w:val="21"/>
          <w:lang w:val="en-US"/>
          <w14:textFill>
            <w14:solidFill>
              <w14:schemeClr w14:val="tx1"/>
            </w14:solidFill>
          </w14:textFill>
        </w:rPr>
        <w:t xml:space="preserve">Python </w:t>
      </w:r>
      <w:r>
        <w:rPr>
          <w:rFonts w:hint="eastAsia" w:ascii="宋体" w:hAnsi="宋体" w:eastAsia="宋体" w:cs="宋体"/>
          <w:bCs/>
          <w:color w:val="000000" w:themeColor="text1"/>
          <w:sz w:val="21"/>
          <w:szCs w:val="21"/>
          <w:lang w:val="en-US"/>
          <w14:textFill>
            <w14:solidFill>
              <w14:schemeClr w14:val="tx1"/>
            </w14:solidFill>
          </w14:textFill>
        </w:rPr>
        <w:t>等计算框架，封装了非常丰富的算法组件，数据预处理、特征工程、统计分析、机器学习等，用户可通过拖拉拽组件的方式，组成可视化的实验流，减少开发时间，并可通过可视化的方式查看数据运行结果、模型运行结果，简单易上手。</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②交互式</w:t>
      </w:r>
      <w:r>
        <w:rPr>
          <w:rFonts w:ascii="宋体" w:hAnsi="宋体" w:eastAsia="宋体" w:cs="宋体"/>
          <w:b/>
          <w:color w:val="000000" w:themeColor="text1"/>
          <w:sz w:val="21"/>
          <w:szCs w:val="21"/>
          <w:lang w:val="en-US" w:eastAsia="zh-Hans"/>
          <w14:textFill>
            <w14:solidFill>
              <w14:schemeClr w14:val="tx1"/>
            </w14:solidFill>
          </w14:textFill>
        </w:rPr>
        <w:t>Notebook</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bCs/>
          <w:color w:val="000000" w:themeColor="text1"/>
          <w:sz w:val="21"/>
          <w:szCs w:val="21"/>
          <w:lang w:val="en-US"/>
          <w14:textFill>
            <w14:solidFill>
              <w14:schemeClr w14:val="tx1"/>
            </w14:solidFill>
          </w14:textFill>
        </w:rPr>
        <w:t>除可视化的实验搭建外，数据科学平台同时具备交互式</w:t>
      </w:r>
      <w:r>
        <w:rPr>
          <w:rFonts w:ascii="宋体" w:hAnsi="宋体" w:eastAsia="宋体" w:cs="宋体"/>
          <w:bCs/>
          <w:color w:val="000000" w:themeColor="text1"/>
          <w:sz w:val="21"/>
          <w:szCs w:val="21"/>
          <w:lang w:val="en-US"/>
          <w14:textFill>
            <w14:solidFill>
              <w14:schemeClr w14:val="tx1"/>
            </w14:solidFill>
          </w14:textFill>
        </w:rPr>
        <w:t>Notebook</w:t>
      </w:r>
      <w:r>
        <w:rPr>
          <w:rFonts w:hint="eastAsia" w:ascii="宋体" w:hAnsi="宋体" w:eastAsia="宋体" w:cs="宋体"/>
          <w:bCs/>
          <w:color w:val="000000" w:themeColor="text1"/>
          <w:sz w:val="21"/>
          <w:szCs w:val="21"/>
          <w:lang w:val="en-US"/>
          <w14:textFill>
            <w14:solidFill>
              <w14:schemeClr w14:val="tx1"/>
            </w14:solidFill>
          </w14:textFill>
        </w:rPr>
        <w:t>开发环境，可进行</w:t>
      </w:r>
      <w:r>
        <w:rPr>
          <w:rFonts w:ascii="宋体" w:hAnsi="宋体" w:eastAsia="宋体" w:cs="宋体"/>
          <w:bCs/>
          <w:color w:val="000000" w:themeColor="text1"/>
          <w:sz w:val="21"/>
          <w:szCs w:val="21"/>
          <w:lang w:val="en-US"/>
          <w14:textFill>
            <w14:solidFill>
              <w14:schemeClr w14:val="tx1"/>
            </w14:solidFill>
          </w14:textFill>
        </w:rPr>
        <w:t>python</w:t>
      </w:r>
      <w:r>
        <w:rPr>
          <w:rFonts w:hint="eastAsia" w:ascii="宋体" w:hAnsi="宋体" w:eastAsia="宋体" w:cs="宋体"/>
          <w:bCs/>
          <w:color w:val="000000" w:themeColor="text1"/>
          <w:sz w:val="21"/>
          <w:szCs w:val="21"/>
          <w:lang w:val="en-US"/>
          <w14:textFill>
            <w14:solidFill>
              <w14:schemeClr w14:val="tx1"/>
            </w14:solidFill>
          </w14:textFill>
        </w:rPr>
        <w:t>代码的编写，执行某段语句查看相应结果与运行日志，为数据分析师提供自由的数据探索环境。</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③</w:t>
      </w:r>
      <w:r>
        <w:rPr>
          <w:rFonts w:ascii="宋体" w:hAnsi="宋体" w:eastAsia="宋体" w:cs="宋体"/>
          <w:b/>
          <w:color w:val="000000" w:themeColor="text1"/>
          <w:sz w:val="21"/>
          <w:szCs w:val="21"/>
          <w:lang w:val="en-US" w:eastAsia="zh-Hans"/>
          <w14:textFill>
            <w14:solidFill>
              <w14:schemeClr w14:val="tx1"/>
            </w14:solidFill>
          </w14:textFill>
        </w:rPr>
        <w:t>模型离线训练</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ascii="宋体" w:hAnsi="宋体" w:eastAsia="宋体" w:cs="宋体"/>
          <w:bCs/>
          <w:color w:val="000000" w:themeColor="text1"/>
          <w:sz w:val="21"/>
          <w:szCs w:val="21"/>
          <w:lang w:val="en-US"/>
          <w14:textFill>
            <w14:solidFill>
              <w14:schemeClr w14:val="tx1"/>
            </w14:solidFill>
          </w14:textFill>
        </w:rPr>
        <w:t>算法模型搭建完成后，平台支持算法任务的统一离线调度，可根据调度周期跑此任务，不断训练模型参数，查看评估结果，选取合适的模型参数进行保存应用。</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④</w:t>
      </w:r>
      <w:r>
        <w:rPr>
          <w:rFonts w:ascii="宋体" w:hAnsi="宋体" w:eastAsia="宋体" w:cs="宋体"/>
          <w:b/>
          <w:color w:val="000000" w:themeColor="text1"/>
          <w:sz w:val="21"/>
          <w:szCs w:val="21"/>
          <w:lang w:val="en-US" w:eastAsia="zh-Hans"/>
          <w14:textFill>
            <w14:solidFill>
              <w14:schemeClr w14:val="tx1"/>
            </w14:solidFill>
          </w14:textFill>
        </w:rPr>
        <w:t>模型在线部署</w:t>
      </w:r>
    </w:p>
    <w:p>
      <w:pPr>
        <w:pStyle w:val="17"/>
        <w:spacing w:line="440" w:lineRule="exact"/>
        <w:ind w:firstLine="424" w:firstLineChars="200"/>
        <w:rPr>
          <w:rFonts w:ascii="宋体" w:hAnsi="宋体" w:eastAsia="宋体" w:cs="宋体"/>
          <w:bCs/>
          <w:color w:val="000000" w:themeColor="text1"/>
          <w:sz w:val="21"/>
          <w:szCs w:val="21"/>
          <w:lang w:val="en-US"/>
          <w14:textFill>
            <w14:solidFill>
              <w14:schemeClr w14:val="tx1"/>
            </w14:solidFill>
          </w14:textFill>
        </w:rPr>
      </w:pPr>
      <w:r>
        <w:rPr>
          <w:rFonts w:ascii="宋体" w:hAnsi="宋体" w:eastAsia="宋体" w:cs="宋体"/>
          <w:bCs/>
          <w:color w:val="000000" w:themeColor="text1"/>
          <w:sz w:val="21"/>
          <w:szCs w:val="21"/>
          <w:lang w:val="en-US"/>
          <w14:textFill>
            <w14:solidFill>
              <w14:schemeClr w14:val="tx1"/>
            </w14:solidFill>
          </w14:textFill>
        </w:rPr>
        <w:t>经过模型训练后，查看模型结果，预测结果等，选取合适的模型参数进行在线部署。部署后，模型可进行在线调用，实时传数据调用，应用于数据应用场景，创造业务价值。</w:t>
      </w:r>
    </w:p>
    <w:p>
      <w:pPr>
        <w:adjustRightInd w:val="0"/>
        <w:snapToGrid w:val="0"/>
        <w:spacing w:line="440" w:lineRule="exact"/>
        <w:ind w:firstLine="424"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lang w:eastAsia="zh-Hans"/>
          <w14:textFill>
            <w14:solidFill>
              <w14:schemeClr w14:val="tx1"/>
            </w14:solidFill>
          </w14:textFill>
        </w:rPr>
        <w:t>（</w:t>
      </w:r>
      <w:r>
        <w:rPr>
          <w:rFonts w:ascii="宋体" w:hAnsi="宋体" w:cs="宋体"/>
          <w:b/>
          <w:bCs/>
          <w:color w:val="000000" w:themeColor="text1"/>
          <w:lang w:eastAsia="zh-Hans"/>
          <w14:textFill>
            <w14:solidFill>
              <w14:schemeClr w14:val="tx1"/>
            </w14:solidFill>
          </w14:textFill>
        </w:rPr>
        <w:t>2</w:t>
      </w:r>
      <w:r>
        <w:rPr>
          <w:rFonts w:hint="eastAsia" w:ascii="宋体" w:hAnsi="宋体" w:cs="宋体"/>
          <w:b/>
          <w:bCs/>
          <w:color w:val="000000" w:themeColor="text1"/>
          <w:lang w:eastAsia="zh-Hans"/>
          <w14:textFill>
            <w14:solidFill>
              <w14:schemeClr w14:val="tx1"/>
            </w14:solidFill>
          </w14:textFill>
        </w:rPr>
        <w:t>）六</w:t>
      </w:r>
      <w:r>
        <w:rPr>
          <w:rFonts w:hint="eastAsia" w:ascii="宋体" w:hAnsi="宋体" w:cs="宋体"/>
          <w:b/>
          <w:bCs/>
          <w:color w:val="000000" w:themeColor="text1"/>
          <w14:textFill>
            <w14:solidFill>
              <w14:schemeClr w14:val="tx1"/>
            </w14:solidFill>
          </w14:textFill>
        </w:rPr>
        <w:t>大数据</w:t>
      </w:r>
      <w:r>
        <w:rPr>
          <w:rFonts w:hint="eastAsia" w:ascii="宋体" w:hAnsi="宋体" w:cs="宋体"/>
          <w:b/>
          <w:bCs/>
          <w:color w:val="000000" w:themeColor="text1"/>
          <w:lang w:eastAsia="zh-Hans"/>
          <w14:textFill>
            <w14:solidFill>
              <w14:schemeClr w14:val="tx1"/>
            </w14:solidFill>
          </w14:textFill>
        </w:rPr>
        <w:t>算法</w:t>
      </w:r>
      <w:r>
        <w:rPr>
          <w:rFonts w:hint="eastAsia" w:ascii="宋体" w:hAnsi="宋体" w:cs="宋体"/>
          <w:b/>
          <w:bCs/>
          <w:color w:val="000000" w:themeColor="text1"/>
          <w14:textFill>
            <w14:solidFill>
              <w14:schemeClr w14:val="tx1"/>
            </w14:solidFill>
          </w14:textFill>
        </w:rPr>
        <w:t>建设</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①</w:t>
      </w:r>
      <w:r>
        <w:rPr>
          <w:rFonts w:ascii="宋体" w:hAnsi="宋体" w:eastAsia="宋体" w:cs="宋体"/>
          <w:b/>
          <w:color w:val="000000" w:themeColor="text1"/>
          <w:sz w:val="21"/>
          <w:szCs w:val="21"/>
          <w:lang w:val="en-US" w:eastAsia="zh-Hans"/>
          <w14:textFill>
            <w14:solidFill>
              <w14:schemeClr w14:val="tx1"/>
            </w14:solidFill>
          </w14:textFill>
        </w:rPr>
        <w:t>胡柚产量预测算法</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搜集</w:t>
      </w:r>
      <w:r>
        <w:rPr>
          <w:rFonts w:hint="eastAsia" w:ascii="宋体" w:hAnsi="宋体" w:eastAsia="宋体" w:cs="宋体"/>
          <w:bCs/>
          <w:color w:val="000000" w:themeColor="text1"/>
          <w:sz w:val="21"/>
          <w:szCs w:val="21"/>
          <w:lang w:val="en-US" w:eastAsia="zh-Hans"/>
          <w14:textFill>
            <w14:solidFill>
              <w14:schemeClr w14:val="tx1"/>
            </w14:solidFill>
          </w14:textFill>
        </w:rPr>
        <w:t>胡柚</w:t>
      </w:r>
      <w:r>
        <w:rPr>
          <w:rFonts w:ascii="宋体" w:hAnsi="宋体" w:eastAsia="宋体" w:cs="宋体"/>
          <w:bCs/>
          <w:color w:val="000000" w:themeColor="text1"/>
          <w:sz w:val="21"/>
          <w:szCs w:val="21"/>
          <w:lang w:val="en-US" w:eastAsia="zh-Hans"/>
          <w14:textFill>
            <w14:solidFill>
              <w14:schemeClr w14:val="tx1"/>
            </w14:solidFill>
          </w14:textFill>
        </w:rPr>
        <w:t>的产量和影响产量的具体指标的历史统计数据，建立模型进行产量的区间预测。同时，结合对乡镇信息员的访谈，重点乡镇、重点企业和种植大户的调研对预测产量进行修正。</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②</w:t>
      </w:r>
      <w:r>
        <w:rPr>
          <w:rFonts w:ascii="宋体" w:hAnsi="宋体" w:eastAsia="宋体" w:cs="宋体"/>
          <w:b/>
          <w:color w:val="000000" w:themeColor="text1"/>
          <w:sz w:val="21"/>
          <w:szCs w:val="21"/>
          <w:lang w:val="en-US" w:eastAsia="zh-Hans"/>
          <w14:textFill>
            <w14:solidFill>
              <w14:schemeClr w14:val="tx1"/>
            </w14:solidFill>
          </w14:textFill>
        </w:rPr>
        <w:t>油茶病虫害预警算法</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利用油茶历年病虫害数据，</w:t>
      </w:r>
      <w:r>
        <w:rPr>
          <w:rFonts w:hint="eastAsia" w:ascii="宋体" w:hAnsi="宋体" w:eastAsia="宋体" w:cs="宋体"/>
          <w:bCs/>
          <w:color w:val="000000" w:themeColor="text1"/>
          <w:sz w:val="21"/>
          <w:szCs w:val="21"/>
          <w:lang w:val="en-US" w:eastAsia="zh-Hans"/>
          <w14:textFill>
            <w14:solidFill>
              <w14:schemeClr w14:val="tx1"/>
            </w14:solidFill>
          </w14:textFill>
        </w:rPr>
        <w:t>结合气象温度、降雨量、日照时数，空气相对湿度与遥感卫星影像数据的综合分析，获取油茶病害可能发生的风险预警；并通过油茶病虫害模型，对未来可能会发生的病虫害区域和时间进行预测。</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③</w:t>
      </w:r>
      <w:r>
        <w:rPr>
          <w:rFonts w:ascii="宋体" w:hAnsi="宋体" w:eastAsia="宋体" w:cs="宋体"/>
          <w:b/>
          <w:color w:val="000000" w:themeColor="text1"/>
          <w:sz w:val="21"/>
          <w:szCs w:val="21"/>
          <w:lang w:val="en-US" w:eastAsia="zh-Hans"/>
          <w14:textFill>
            <w14:solidFill>
              <w14:schemeClr w14:val="tx1"/>
            </w14:solidFill>
          </w14:textFill>
        </w:rPr>
        <w:t>精准扶贫算法</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利用贫困户收入、致贫原因、基本情况，帮扶措施，帮扶项目，帮扶资金等数据统一分析，精准分析扶贫效果及原因。</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④胡柚环境指数算法</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按照灌溉水质量和环境空气质量的各个项目及其浓度（含量）限值来测定</w:t>
      </w:r>
      <w:r>
        <w:rPr>
          <w:rFonts w:hint="eastAsia" w:ascii="宋体" w:hAnsi="宋体" w:eastAsia="宋体" w:cs="宋体"/>
          <w:bCs/>
          <w:color w:val="000000" w:themeColor="text1"/>
          <w:sz w:val="21"/>
          <w:szCs w:val="21"/>
          <w:lang w:val="en-US" w:eastAsia="zh-Hans"/>
          <w14:textFill>
            <w14:solidFill>
              <w14:schemeClr w14:val="tx1"/>
            </w14:solidFill>
          </w14:textFill>
        </w:rPr>
        <w:t>常山胡柚</w:t>
      </w:r>
      <w:r>
        <w:rPr>
          <w:rFonts w:ascii="宋体" w:hAnsi="宋体" w:eastAsia="宋体" w:cs="宋体"/>
          <w:bCs/>
          <w:color w:val="000000" w:themeColor="text1"/>
          <w:sz w:val="21"/>
          <w:szCs w:val="21"/>
          <w:lang w:val="en-US" w:eastAsia="zh-Hans"/>
          <w14:textFill>
            <w14:solidFill>
              <w14:schemeClr w14:val="tx1"/>
            </w14:solidFill>
          </w14:textFill>
        </w:rPr>
        <w:t>的环境指标，搜集历年</w:t>
      </w:r>
      <w:r>
        <w:rPr>
          <w:rFonts w:hint="eastAsia" w:ascii="宋体" w:hAnsi="宋体" w:eastAsia="宋体" w:cs="宋体"/>
          <w:bCs/>
          <w:color w:val="000000" w:themeColor="text1"/>
          <w:sz w:val="21"/>
          <w:szCs w:val="21"/>
          <w:lang w:val="en-US" w:eastAsia="zh-Hans"/>
          <w14:textFill>
            <w14:solidFill>
              <w14:schemeClr w14:val="tx1"/>
            </w14:solidFill>
          </w14:textFill>
        </w:rPr>
        <w:t>常山胡柚</w:t>
      </w:r>
      <w:r>
        <w:rPr>
          <w:rFonts w:ascii="宋体" w:hAnsi="宋体" w:eastAsia="宋体" w:cs="宋体"/>
          <w:bCs/>
          <w:color w:val="000000" w:themeColor="text1"/>
          <w:sz w:val="21"/>
          <w:szCs w:val="21"/>
          <w:lang w:val="en-US" w:eastAsia="zh-Hans"/>
          <w14:textFill>
            <w14:solidFill>
              <w14:schemeClr w14:val="tx1"/>
            </w14:solidFill>
          </w14:textFill>
        </w:rPr>
        <w:t>产区的空气和水环境的指标数据，然后在设定基期指标的基础上，计算环境指数的变化</w:t>
      </w:r>
      <w:r>
        <w:rPr>
          <w:rFonts w:hint="eastAsia" w:ascii="宋体" w:hAnsi="宋体" w:eastAsia="宋体" w:cs="宋体"/>
          <w:bCs/>
          <w:color w:val="000000" w:themeColor="text1"/>
          <w:sz w:val="21"/>
          <w:szCs w:val="21"/>
          <w:lang w:val="en-US" w:eastAsia="zh-Hans"/>
          <w14:textFill>
            <w14:solidFill>
              <w14:schemeClr w14:val="tx1"/>
            </w14:solidFill>
          </w14:textFill>
        </w:rPr>
        <w:t>。</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⑤市场指数算法</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价格指数：根据产量、库存、农资价格等因素，建立胡柚价格预估模型，通过此模型来进行今年的胡柚价格的预估。</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⑥灾害监测算法</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常山产业常年受</w:t>
      </w:r>
      <w:r>
        <w:rPr>
          <w:rFonts w:ascii="宋体" w:hAnsi="宋体" w:eastAsia="宋体" w:cs="宋体"/>
          <w:bCs/>
          <w:color w:val="000000" w:themeColor="text1"/>
          <w:sz w:val="21"/>
          <w:szCs w:val="21"/>
          <w:lang w:val="en-US" w:eastAsia="zh-Hans"/>
          <w14:textFill>
            <w14:solidFill>
              <w14:schemeClr w14:val="tx1"/>
            </w14:solidFill>
          </w14:textFill>
        </w:rPr>
        <w:t>以</w:t>
      </w:r>
      <w:r>
        <w:rPr>
          <w:rFonts w:hint="eastAsia" w:ascii="宋体" w:hAnsi="宋体" w:eastAsia="宋体" w:cs="宋体"/>
          <w:bCs/>
          <w:color w:val="000000" w:themeColor="text1"/>
          <w:sz w:val="21"/>
          <w:szCs w:val="21"/>
          <w:lang w:val="en-US" w:eastAsia="zh-Hans"/>
          <w14:textFill>
            <w14:solidFill>
              <w14:schemeClr w14:val="tx1"/>
            </w14:solidFill>
          </w14:textFill>
        </w:rPr>
        <w:t>流域性洪水</w:t>
      </w:r>
      <w:r>
        <w:rPr>
          <w:rFonts w:ascii="宋体" w:hAnsi="宋体" w:eastAsia="宋体" w:cs="宋体"/>
          <w:bCs/>
          <w:color w:val="000000" w:themeColor="text1"/>
          <w:sz w:val="21"/>
          <w:szCs w:val="21"/>
          <w:lang w:val="en-US" w:eastAsia="zh-Hans"/>
          <w14:textFill>
            <w14:solidFill>
              <w14:schemeClr w14:val="tx1"/>
            </w14:solidFill>
          </w14:textFill>
        </w:rPr>
        <w:t>、</w:t>
      </w:r>
      <w:r>
        <w:rPr>
          <w:rFonts w:hint="eastAsia" w:ascii="宋体" w:hAnsi="宋体" w:eastAsia="宋体" w:cs="宋体"/>
          <w:bCs/>
          <w:color w:val="000000" w:themeColor="text1"/>
          <w:sz w:val="21"/>
          <w:szCs w:val="21"/>
          <w:lang w:val="en-US" w:eastAsia="zh-Hans"/>
          <w14:textFill>
            <w14:solidFill>
              <w14:schemeClr w14:val="tx1"/>
            </w14:solidFill>
          </w14:textFill>
        </w:rPr>
        <w:t>天气及</w:t>
      </w:r>
      <w:r>
        <w:rPr>
          <w:rFonts w:ascii="宋体" w:hAnsi="宋体" w:eastAsia="宋体" w:cs="宋体"/>
          <w:bCs/>
          <w:color w:val="000000" w:themeColor="text1"/>
          <w:sz w:val="21"/>
          <w:szCs w:val="21"/>
          <w:lang w:val="en-US" w:eastAsia="zh-Hans"/>
          <w14:textFill>
            <w14:solidFill>
              <w14:schemeClr w14:val="tx1"/>
            </w14:solidFill>
          </w14:textFill>
        </w:rPr>
        <w:t>地质灾害为主的气象灾害</w:t>
      </w:r>
      <w:r>
        <w:rPr>
          <w:rFonts w:hint="eastAsia" w:ascii="宋体" w:hAnsi="宋体" w:eastAsia="宋体" w:cs="宋体"/>
          <w:bCs/>
          <w:color w:val="000000" w:themeColor="text1"/>
          <w:sz w:val="21"/>
          <w:szCs w:val="21"/>
          <w:lang w:val="en-US" w:eastAsia="zh-Hans"/>
          <w14:textFill>
            <w14:solidFill>
              <w14:schemeClr w14:val="tx1"/>
            </w14:solidFill>
          </w14:textFill>
        </w:rPr>
        <w:t>影响</w:t>
      </w:r>
      <w:r>
        <w:rPr>
          <w:rFonts w:ascii="宋体" w:hAnsi="宋体" w:eastAsia="宋体" w:cs="宋体"/>
          <w:bCs/>
          <w:color w:val="000000" w:themeColor="text1"/>
          <w:sz w:val="21"/>
          <w:szCs w:val="21"/>
          <w:lang w:val="en-US" w:eastAsia="zh-Hans"/>
          <w14:textFill>
            <w14:solidFill>
              <w14:schemeClr w14:val="tx1"/>
            </w14:solidFill>
          </w14:textFill>
        </w:rPr>
        <w:t>，通过灾害评价模型的建立，预报气象致灾因子的强度等级及分布范围，根据</w:t>
      </w:r>
      <w:r>
        <w:rPr>
          <w:rFonts w:hint="eastAsia" w:ascii="宋体" w:hAnsi="宋体" w:eastAsia="宋体" w:cs="宋体"/>
          <w:bCs/>
          <w:color w:val="000000" w:themeColor="text1"/>
          <w:sz w:val="21"/>
          <w:szCs w:val="21"/>
          <w:lang w:val="en-US" w:eastAsia="zh-Hans"/>
          <w14:textFill>
            <w14:solidFill>
              <w14:schemeClr w14:val="tx1"/>
            </w14:solidFill>
          </w14:textFill>
        </w:rPr>
        <w:t>胡柚</w:t>
      </w:r>
      <w:r>
        <w:rPr>
          <w:rFonts w:ascii="宋体" w:hAnsi="宋体" w:eastAsia="宋体" w:cs="宋体"/>
          <w:bCs/>
          <w:color w:val="000000" w:themeColor="text1"/>
          <w:sz w:val="21"/>
          <w:szCs w:val="21"/>
          <w:lang w:val="en-US" w:eastAsia="zh-Hans"/>
          <w14:textFill>
            <w14:solidFill>
              <w14:schemeClr w14:val="tx1"/>
            </w14:solidFill>
          </w14:textFill>
        </w:rPr>
        <w:t>林地的生态脆弱性，来得出林地的风险指数，并最终进行网格化的量化评价。</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综合风险指数</w:t>
      </w:r>
      <w:r>
        <w:rPr>
          <w:rFonts w:ascii="宋体" w:hAnsi="宋体" w:eastAsia="宋体" w:cs="宋体"/>
          <w:bCs/>
          <w:color w:val="000000" w:themeColor="text1"/>
          <w:sz w:val="21"/>
          <w:szCs w:val="21"/>
          <w:lang w:val="en-US" w:eastAsia="zh-Hans"/>
          <w14:textFill>
            <w14:solidFill>
              <w14:schemeClr w14:val="tx1"/>
            </w14:solidFill>
          </w14:textFill>
        </w:rPr>
        <w:t>R=</w:t>
      </w:r>
      <w:r>
        <w:rPr>
          <w:rFonts w:hint="eastAsia" w:ascii="宋体" w:hAnsi="宋体" w:eastAsia="宋体" w:cs="宋体"/>
          <w:bCs/>
          <w:color w:val="000000" w:themeColor="text1"/>
          <w:sz w:val="21"/>
          <w:szCs w:val="21"/>
          <w:lang w:val="en-US" w:eastAsia="zh-Hans"/>
          <w14:textFill>
            <w14:solidFill>
              <w14:schemeClr w14:val="tx1"/>
            </w14:solidFill>
          </w14:textFill>
        </w:rPr>
        <w:t>致灾因子强度×评价目标（胡柚）脆弱性指数。</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bookmarkStart w:id="35" w:name="_Toc929763870"/>
      <w:r>
        <w:rPr>
          <w:rFonts w:ascii="宋体" w:hAnsi="宋体" w:eastAsia="宋体" w:cs="宋体"/>
          <w:b/>
          <w:color w:val="000000" w:themeColor="text1"/>
          <w:sz w:val="21"/>
          <w:szCs w:val="21"/>
          <w:lang w:eastAsia="zh-Hans"/>
          <w14:textFill>
            <w14:solidFill>
              <w14:schemeClr w14:val="tx1"/>
            </w14:solidFill>
          </w14:textFill>
        </w:rPr>
        <w:t>3.</w:t>
      </w:r>
      <w:r>
        <w:rPr>
          <w:rFonts w:hint="eastAsia" w:ascii="宋体" w:hAnsi="宋体" w:eastAsia="宋体" w:cs="宋体"/>
          <w:b/>
          <w:color w:val="000000" w:themeColor="text1"/>
          <w:sz w:val="21"/>
          <w:szCs w:val="21"/>
          <w:lang w:val="en-US" w:eastAsia="zh-Hans"/>
          <w14:textFill>
            <w14:solidFill>
              <w14:schemeClr w14:val="tx1"/>
            </w14:solidFill>
          </w14:textFill>
        </w:rPr>
        <w:t>数据仓库建设</w:t>
      </w:r>
      <w:bookmarkEnd w:id="35"/>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w:t>
      </w:r>
      <w:r>
        <w:rPr>
          <w:rFonts w:ascii="宋体" w:hAnsi="宋体" w:eastAsia="宋体" w:cs="宋体"/>
          <w:b/>
          <w:color w:val="000000" w:themeColor="text1"/>
          <w:sz w:val="21"/>
          <w:szCs w:val="21"/>
          <w:lang w:eastAsia="zh-Hans"/>
          <w14:textFill>
            <w14:solidFill>
              <w14:schemeClr w14:val="tx1"/>
            </w14:solidFill>
          </w14:textFill>
        </w:rPr>
        <w:t>1</w:t>
      </w:r>
      <w:r>
        <w:rPr>
          <w:rFonts w:hint="eastAsia" w:ascii="宋体" w:hAnsi="宋体" w:eastAsia="宋体" w:cs="宋体"/>
          <w:b/>
          <w:color w:val="000000" w:themeColor="text1"/>
          <w:sz w:val="21"/>
          <w:szCs w:val="21"/>
          <w:lang w:val="en-US" w:eastAsia="zh-Hans"/>
          <w14:textFill>
            <w14:solidFill>
              <w14:schemeClr w14:val="tx1"/>
            </w14:solidFill>
          </w14:textFill>
        </w:rPr>
        <w:t>）整体架构</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数据仓库建设</w:t>
      </w:r>
      <w:r>
        <w:rPr>
          <w:rFonts w:ascii="宋体" w:hAnsi="宋体" w:eastAsia="宋体" w:cs="宋体"/>
          <w:bCs/>
          <w:color w:val="000000" w:themeColor="text1"/>
          <w:sz w:val="21"/>
          <w:szCs w:val="21"/>
          <w:lang w:val="en-US" w:eastAsia="zh-Hans"/>
          <w14:textFill>
            <w14:solidFill>
              <w14:schemeClr w14:val="tx1"/>
            </w14:solidFill>
          </w14:textFill>
        </w:rPr>
        <w:t>有如下</w:t>
      </w:r>
      <w:r>
        <w:rPr>
          <w:rFonts w:hint="eastAsia" w:ascii="宋体" w:hAnsi="宋体" w:eastAsia="宋体" w:cs="宋体"/>
          <w:bCs/>
          <w:color w:val="000000" w:themeColor="text1"/>
          <w:sz w:val="21"/>
          <w:szCs w:val="21"/>
          <w:lang w:val="en-US" w:eastAsia="zh-Hans"/>
          <w14:textFill>
            <w14:solidFill>
              <w14:schemeClr w14:val="tx1"/>
            </w14:solidFill>
          </w14:textFill>
        </w:rPr>
        <w:t>功能</w:t>
      </w:r>
      <w:r>
        <w:rPr>
          <w:rFonts w:ascii="宋体" w:hAnsi="宋体" w:eastAsia="宋体" w:cs="宋体"/>
          <w:bCs/>
          <w:color w:val="000000" w:themeColor="text1"/>
          <w:sz w:val="21"/>
          <w:szCs w:val="21"/>
          <w:lang w:val="en-US" w:eastAsia="zh-Hans"/>
          <w14:textFill>
            <w14:solidFill>
              <w14:schemeClr w14:val="tx1"/>
            </w14:solidFill>
          </w14:textFill>
        </w:rPr>
        <w:t>：</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数据引入：支持本地及数据库、非结构化存储、大数据存储等多种数</w:t>
      </w:r>
      <w:r>
        <w:rPr>
          <w:rFonts w:hint="eastAsia" w:ascii="宋体" w:hAnsi="宋体" w:eastAsia="宋体" w:cs="宋体"/>
          <w:bCs/>
          <w:color w:val="000000" w:themeColor="text1"/>
          <w:sz w:val="21"/>
          <w:szCs w:val="21"/>
          <w:lang w:val="en-US" w:eastAsia="zh-Hans"/>
          <w14:textFill>
            <w14:solidFill>
              <w14:schemeClr w14:val="tx1"/>
            </w14:solidFill>
          </w14:textFill>
        </w:rPr>
        <w:t>据源，进行数据引入及结构化；</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全局规划：支持数据中心就业务板块、数据主题域、运行资源空间等进行全</w:t>
      </w:r>
      <w:r>
        <w:rPr>
          <w:rFonts w:hint="eastAsia" w:ascii="宋体" w:hAnsi="宋体" w:eastAsia="宋体" w:cs="宋体"/>
          <w:bCs/>
          <w:color w:val="000000" w:themeColor="text1"/>
          <w:sz w:val="21"/>
          <w:szCs w:val="21"/>
          <w:lang w:val="en-US" w:eastAsia="zh-Hans"/>
          <w14:textFill>
            <w14:solidFill>
              <w14:schemeClr w14:val="tx1"/>
            </w14:solidFill>
          </w14:textFill>
        </w:rPr>
        <w:t>局规划设计；</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规范定义：工具化方式对数据进行规范定义，可快速批量结构化定义统计指</w:t>
      </w:r>
      <w:r>
        <w:rPr>
          <w:rFonts w:hint="eastAsia" w:ascii="宋体" w:hAnsi="宋体" w:eastAsia="宋体" w:cs="宋体"/>
          <w:bCs/>
          <w:color w:val="000000" w:themeColor="text1"/>
          <w:sz w:val="21"/>
          <w:szCs w:val="21"/>
          <w:lang w:val="en-US" w:eastAsia="zh-Hans"/>
          <w14:textFill>
            <w14:solidFill>
              <w14:schemeClr w14:val="tx1"/>
            </w14:solidFill>
          </w14:textFill>
        </w:rPr>
        <w:t>标并自动加工输出；</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数据建</w:t>
      </w:r>
      <w:r>
        <w:rPr>
          <w:rFonts w:hint="eastAsia" w:ascii="宋体" w:hAnsi="宋体" w:eastAsia="宋体" w:cs="宋体"/>
          <w:bCs/>
          <w:color w:val="000000" w:themeColor="text1"/>
          <w:sz w:val="21"/>
          <w:szCs w:val="21"/>
          <w:lang w:val="en-US" w:eastAsia="zh-Hans"/>
          <w14:textFill>
            <w14:solidFill>
              <w14:schemeClr w14:val="tx1"/>
            </w14:solidFill>
          </w14:textFill>
        </w:rPr>
        <w:t>仓</w:t>
      </w:r>
      <w:r>
        <w:rPr>
          <w:rFonts w:ascii="宋体" w:hAnsi="宋体" w:eastAsia="宋体" w:cs="宋体"/>
          <w:bCs/>
          <w:color w:val="000000" w:themeColor="text1"/>
          <w:sz w:val="21"/>
          <w:szCs w:val="21"/>
          <w:lang w:val="en-US" w:eastAsia="zh-Hans"/>
          <w14:textFill>
            <w14:solidFill>
              <w14:schemeClr w14:val="tx1"/>
            </w14:solidFill>
          </w14:textFill>
        </w:rPr>
        <w:t>、研发：可视化IDE方式支持数据逻辑模型构建，支</w:t>
      </w:r>
      <w:r>
        <w:rPr>
          <w:rFonts w:hint="eastAsia" w:ascii="宋体" w:hAnsi="宋体" w:eastAsia="宋体" w:cs="宋体"/>
          <w:bCs/>
          <w:color w:val="000000" w:themeColor="text1"/>
          <w:sz w:val="21"/>
          <w:szCs w:val="21"/>
          <w:lang w:val="en-US" w:eastAsia="zh-Hans"/>
          <w14:textFill>
            <w14:solidFill>
              <w14:schemeClr w14:val="tx1"/>
            </w14:solidFill>
          </w14:textFill>
        </w:rPr>
        <w:t>持创建</w:t>
      </w:r>
      <w:r>
        <w:rPr>
          <w:rFonts w:ascii="宋体" w:hAnsi="宋体" w:eastAsia="宋体" w:cs="宋体"/>
          <w:bCs/>
          <w:color w:val="000000" w:themeColor="text1"/>
          <w:sz w:val="21"/>
          <w:szCs w:val="21"/>
          <w:lang w:val="en-US" w:eastAsia="zh-Hans"/>
          <w14:textFill>
            <w14:solidFill>
              <w14:schemeClr w14:val="tx1"/>
            </w14:solidFill>
          </w14:textFill>
        </w:rPr>
        <w:t>物理仓库</w:t>
      </w:r>
      <w:r>
        <w:rPr>
          <w:rFonts w:hint="eastAsia" w:ascii="宋体" w:hAnsi="宋体" w:eastAsia="宋体" w:cs="宋体"/>
          <w:bCs/>
          <w:color w:val="000000" w:themeColor="text1"/>
          <w:sz w:val="21"/>
          <w:szCs w:val="21"/>
          <w:lang w:val="en-US" w:eastAsia="zh-Hans"/>
          <w14:textFill>
            <w14:solidFill>
              <w14:schemeClr w14:val="tx1"/>
            </w14:solidFill>
          </w14:textFill>
        </w:rPr>
        <w:t>及相关代码的同时，兼容自定义编码方式进行数据开发；</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调度运维：可视化方式进行任务调度管理、运行维护</w:t>
      </w:r>
      <w:r>
        <w:rPr>
          <w:rFonts w:hint="eastAsia" w:ascii="宋体" w:hAnsi="宋体" w:eastAsia="宋体" w:cs="宋体"/>
          <w:bCs/>
          <w:color w:val="000000" w:themeColor="text1"/>
          <w:sz w:val="21"/>
          <w:szCs w:val="21"/>
          <w:lang w:val="en-US" w:eastAsia="zh-Hans"/>
          <w14:textFill>
            <w14:solidFill>
              <w14:schemeClr w14:val="tx1"/>
            </w14:solidFill>
          </w14:textFill>
        </w:rPr>
        <w:t>。</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r>
        <w:rPr>
          <w:rFonts w:hint="eastAsia" w:ascii="宋体" w:hAnsi="宋体" w:eastAsia="宋体" w:cs="宋体"/>
          <w:b/>
          <w:color w:val="000000" w:themeColor="text1"/>
          <w:sz w:val="21"/>
          <w:szCs w:val="21"/>
          <w:lang w:val="en-US" w:eastAsia="zh-Hans"/>
          <w14:textFill>
            <w14:solidFill>
              <w14:schemeClr w14:val="tx1"/>
            </w14:solidFill>
          </w14:textFill>
        </w:rPr>
        <w:t>（</w:t>
      </w:r>
      <w:r>
        <w:rPr>
          <w:rFonts w:ascii="宋体" w:hAnsi="宋体" w:eastAsia="宋体" w:cs="宋体"/>
          <w:b/>
          <w:color w:val="000000" w:themeColor="text1"/>
          <w:sz w:val="21"/>
          <w:szCs w:val="21"/>
          <w:lang w:eastAsia="zh-Hans"/>
          <w14:textFill>
            <w14:solidFill>
              <w14:schemeClr w14:val="tx1"/>
            </w14:solidFill>
          </w14:textFill>
        </w:rPr>
        <w:t>2</w:t>
      </w:r>
      <w:r>
        <w:rPr>
          <w:rFonts w:hint="eastAsia" w:ascii="宋体" w:hAnsi="宋体" w:eastAsia="宋体" w:cs="宋体"/>
          <w:b/>
          <w:color w:val="000000" w:themeColor="text1"/>
          <w:sz w:val="21"/>
          <w:szCs w:val="21"/>
          <w:lang w:val="en-US" w:eastAsia="zh-Hans"/>
          <w14:textFill>
            <w14:solidFill>
              <w14:schemeClr w14:val="tx1"/>
            </w14:solidFill>
          </w14:textFill>
        </w:rPr>
        <w:t>）数据仓库建设</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建立数据资源仓库的意义，就在于将常山县内各类涉农数据进行统一的整合汇集，形成统一、完善、标准的特色产业园大数据中心的数据资源仓库。可建设的数据资源仓库为：农业自然资源库、主体人才库、农机库、农资库、产业库、乡村治理库、公共服务库、其他涉农数据库。</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bookmarkStart w:id="36" w:name="_Toc1450347518"/>
      <w:r>
        <w:rPr>
          <w:rFonts w:ascii="宋体" w:hAnsi="宋体" w:eastAsia="宋体" w:cs="宋体"/>
          <w:b/>
          <w:color w:val="000000" w:themeColor="text1"/>
          <w:sz w:val="21"/>
          <w:szCs w:val="21"/>
          <w:lang w:val="en-US" w:eastAsia="zh-Hans"/>
          <w14:textFill>
            <w14:solidFill>
              <w14:schemeClr w14:val="tx1"/>
            </w14:solidFill>
          </w14:textFill>
        </w:rPr>
        <w:t>4.</w:t>
      </w:r>
      <w:r>
        <w:rPr>
          <w:rFonts w:hint="eastAsia" w:ascii="宋体" w:hAnsi="宋体" w:eastAsia="宋体" w:cs="宋体"/>
          <w:b/>
          <w:color w:val="000000" w:themeColor="text1"/>
          <w:sz w:val="21"/>
          <w:szCs w:val="21"/>
          <w:lang w:val="en-US" w:eastAsia="zh-Hans"/>
          <w14:textFill>
            <w14:solidFill>
              <w14:schemeClr w14:val="tx1"/>
            </w14:solidFill>
          </w14:textFill>
        </w:rPr>
        <w:t>数据备份及数据安全</w:t>
      </w:r>
      <w:bookmarkEnd w:id="36"/>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bookmarkStart w:id="37" w:name="_Toc683797433"/>
      <w:bookmarkStart w:id="38" w:name="_Toc50499388"/>
      <w:r>
        <w:rPr>
          <w:rFonts w:hint="eastAsia" w:ascii="宋体" w:hAnsi="宋体" w:eastAsia="宋体" w:cs="宋体"/>
          <w:b/>
          <w:color w:val="000000" w:themeColor="text1"/>
          <w:sz w:val="21"/>
          <w:szCs w:val="21"/>
          <w:lang w:val="en-US" w:eastAsia="zh-Hans"/>
          <w14:textFill>
            <w14:solidFill>
              <w14:schemeClr w14:val="tx1"/>
            </w14:solidFill>
          </w14:textFill>
        </w:rPr>
        <w:t>（</w:t>
      </w:r>
      <w:r>
        <w:rPr>
          <w:rFonts w:ascii="宋体" w:hAnsi="宋体" w:eastAsia="宋体" w:cs="宋体"/>
          <w:b/>
          <w:color w:val="000000" w:themeColor="text1"/>
          <w:sz w:val="21"/>
          <w:szCs w:val="21"/>
          <w:lang w:val="en-US" w:eastAsia="zh-Hans"/>
          <w14:textFill>
            <w14:solidFill>
              <w14:schemeClr w14:val="tx1"/>
            </w14:solidFill>
          </w14:textFill>
        </w:rPr>
        <w:t>1</w:t>
      </w:r>
      <w:r>
        <w:rPr>
          <w:rFonts w:hint="eastAsia" w:ascii="宋体" w:hAnsi="宋体" w:eastAsia="宋体" w:cs="宋体"/>
          <w:b/>
          <w:color w:val="000000" w:themeColor="text1"/>
          <w:sz w:val="21"/>
          <w:szCs w:val="21"/>
          <w:lang w:val="en-US" w:eastAsia="zh-Hans"/>
          <w14:textFill>
            <w14:solidFill>
              <w14:schemeClr w14:val="tx1"/>
            </w14:solidFill>
          </w14:textFill>
        </w:rPr>
        <w:t>）</w:t>
      </w:r>
      <w:r>
        <w:rPr>
          <w:rFonts w:ascii="宋体" w:hAnsi="宋体" w:eastAsia="宋体" w:cs="宋体"/>
          <w:b/>
          <w:color w:val="000000" w:themeColor="text1"/>
          <w:sz w:val="21"/>
          <w:szCs w:val="21"/>
          <w:lang w:val="en-US" w:eastAsia="zh-Hans"/>
          <w14:textFill>
            <w14:solidFill>
              <w14:schemeClr w14:val="tx1"/>
            </w14:solidFill>
          </w14:textFill>
        </w:rPr>
        <w:t>数据备份</w:t>
      </w:r>
      <w:bookmarkEnd w:id="37"/>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本项目备份系统依托现有数据中心基础运行环境，利用现有的灾备系统提供多种备份方案，如业务应用系统实时同步备份方案，也可利用备份软件方案等，可保障数据的完整、安全、可靠、降低遭遇突发事件时系统的脆弱性，最大程度减少由于数据丢失而带来的损失，确保能及时顺利进行数据的恢复，为业务的连续性提供基础保障。</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本项目将利用已有备份网络环境，配置备份服务器、备份软件和备份存储系统，通过与数据库服务器连接，实现数据级的备份。</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①业务数据备份策略</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业务数据更新频繁，数据量较大，每周做一次全量备份，每天（夜间）对重要业务数据做一次差分</w:t>
      </w:r>
      <w:r>
        <w:rPr>
          <w:rFonts w:ascii="宋体" w:hAnsi="宋体" w:eastAsia="宋体" w:cs="宋体"/>
          <w:bCs/>
          <w:color w:val="000000" w:themeColor="text1"/>
          <w:sz w:val="21"/>
          <w:szCs w:val="21"/>
          <w:lang w:val="en-US" w:eastAsia="zh-Hans"/>
          <w14:textFill>
            <w14:solidFill>
              <w14:schemeClr w14:val="tx1"/>
            </w14:solidFill>
          </w14:textFill>
        </w:rPr>
        <w:t>/</w:t>
      </w:r>
      <w:r>
        <w:rPr>
          <w:rFonts w:hint="eastAsia" w:ascii="宋体" w:hAnsi="宋体" w:eastAsia="宋体" w:cs="宋体"/>
          <w:bCs/>
          <w:color w:val="000000" w:themeColor="text1"/>
          <w:sz w:val="21"/>
          <w:szCs w:val="21"/>
          <w:lang w:val="en-US" w:eastAsia="zh-Hans"/>
          <w14:textFill>
            <w14:solidFill>
              <w14:schemeClr w14:val="tx1"/>
            </w14:solidFill>
          </w14:textFill>
        </w:rPr>
        <w:t>增量备份，保留至少两周可用备份集。每次业务数据做大调整后应立即做一次全备份。</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②操作系统和应用程序备份策略</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操作系统（包含虚拟机）和应用程序代码一般变化较少，备份策略比较简单，每个月做一次全备份，保留两个月的可用备份集，每台机器做过软件安装或系统升级后，应立刻做一次全量备份。</w:t>
      </w:r>
    </w:p>
    <w:p>
      <w:pPr>
        <w:pStyle w:val="17"/>
        <w:spacing w:line="440" w:lineRule="exact"/>
        <w:ind w:firstLine="424" w:firstLineChars="200"/>
        <w:rPr>
          <w:rFonts w:ascii="宋体" w:hAnsi="宋体" w:eastAsia="宋体" w:cs="宋体"/>
          <w:b/>
          <w:color w:val="000000" w:themeColor="text1"/>
          <w:sz w:val="21"/>
          <w:szCs w:val="21"/>
          <w:lang w:val="en-US" w:eastAsia="zh-Hans"/>
          <w14:textFill>
            <w14:solidFill>
              <w14:schemeClr w14:val="tx1"/>
            </w14:solidFill>
          </w14:textFill>
        </w:rPr>
      </w:pPr>
      <w:bookmarkStart w:id="39" w:name="_Toc1398461334"/>
      <w:r>
        <w:rPr>
          <w:rFonts w:hint="eastAsia" w:ascii="宋体" w:hAnsi="宋体" w:eastAsia="宋体" w:cs="宋体"/>
          <w:b/>
          <w:color w:val="000000" w:themeColor="text1"/>
          <w:sz w:val="21"/>
          <w:szCs w:val="21"/>
          <w:lang w:val="en-US" w:eastAsia="zh-Hans"/>
          <w14:textFill>
            <w14:solidFill>
              <w14:schemeClr w14:val="tx1"/>
            </w14:solidFill>
          </w14:textFill>
        </w:rPr>
        <w:t>（</w:t>
      </w:r>
      <w:r>
        <w:rPr>
          <w:rFonts w:ascii="宋体" w:hAnsi="宋体" w:eastAsia="宋体" w:cs="宋体"/>
          <w:b/>
          <w:color w:val="000000" w:themeColor="text1"/>
          <w:sz w:val="21"/>
          <w:szCs w:val="21"/>
          <w:lang w:val="en-US" w:eastAsia="zh-Hans"/>
          <w14:textFill>
            <w14:solidFill>
              <w14:schemeClr w14:val="tx1"/>
            </w14:solidFill>
          </w14:textFill>
        </w:rPr>
        <w:t>2</w:t>
      </w:r>
      <w:r>
        <w:rPr>
          <w:rFonts w:hint="eastAsia" w:ascii="宋体" w:hAnsi="宋体" w:eastAsia="宋体" w:cs="宋体"/>
          <w:b/>
          <w:color w:val="000000" w:themeColor="text1"/>
          <w:sz w:val="21"/>
          <w:szCs w:val="21"/>
          <w:lang w:val="en-US" w:eastAsia="zh-Hans"/>
          <w14:textFill>
            <w14:solidFill>
              <w14:schemeClr w14:val="tx1"/>
            </w14:solidFill>
          </w14:textFill>
        </w:rPr>
        <w:t>）数据安全</w:t>
      </w:r>
      <w:bookmarkEnd w:id="38"/>
      <w:bookmarkEnd w:id="39"/>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①安全系统建设原则</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ascii="宋体" w:hAnsi="宋体" w:eastAsia="宋体" w:cs="宋体"/>
          <w:bCs/>
          <w:color w:val="000000" w:themeColor="text1"/>
          <w:sz w:val="21"/>
          <w:szCs w:val="21"/>
          <w:lang w:val="en-US" w:eastAsia="zh-Hans"/>
          <w14:textFill>
            <w14:solidFill>
              <w14:schemeClr w14:val="tx1"/>
            </w14:solidFill>
          </w14:textFill>
        </w:rPr>
        <w:t>常山县乡村振兴特色产业园大数据中心</w:t>
      </w:r>
      <w:r>
        <w:rPr>
          <w:rFonts w:hint="eastAsia" w:ascii="宋体" w:hAnsi="宋体" w:eastAsia="宋体" w:cs="宋体"/>
          <w:bCs/>
          <w:color w:val="000000" w:themeColor="text1"/>
          <w:sz w:val="21"/>
          <w:szCs w:val="21"/>
          <w:lang w:val="en-US" w:eastAsia="zh-Hans"/>
          <w14:textFill>
            <w14:solidFill>
              <w14:schemeClr w14:val="tx1"/>
            </w14:solidFill>
          </w14:textFill>
        </w:rPr>
        <w:t>安全系统建设总体符合国家信息安全等级（二级）建设、测评、整改和维护要求。</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安全系统建设从物理、网络、系统、信息和管理等方面保证系统内信息的安全；建立综合防范机制，保障本项目能够安全、高效、可靠的运行，并确保信息的保密性、完整性、可用性、抗抵赖性、可控性。</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②应用安全策略</w:t>
      </w:r>
    </w:p>
    <w:p>
      <w:pPr>
        <w:pStyle w:val="17"/>
        <w:spacing w:line="440" w:lineRule="exact"/>
        <w:ind w:firstLine="424" w:firstLineChars="200"/>
        <w:rPr>
          <w:rFonts w:ascii="宋体" w:hAnsi="宋体" w:eastAsia="宋体" w:cs="宋体"/>
          <w:bCs/>
          <w:color w:val="000000" w:themeColor="text1"/>
          <w:sz w:val="21"/>
          <w:szCs w:val="21"/>
          <w:lang w:val="en-US" w:eastAsia="zh-Hans"/>
          <w14:textFill>
            <w14:solidFill>
              <w14:schemeClr w14:val="tx1"/>
            </w14:solidFill>
          </w14:textFill>
        </w:rPr>
      </w:pPr>
      <w:r>
        <w:rPr>
          <w:rFonts w:hint="eastAsia" w:ascii="宋体" w:hAnsi="宋体" w:eastAsia="宋体" w:cs="宋体"/>
          <w:bCs/>
          <w:color w:val="000000" w:themeColor="text1"/>
          <w:sz w:val="21"/>
          <w:szCs w:val="21"/>
          <w:lang w:val="en-US" w:eastAsia="zh-Hans"/>
          <w14:textFill>
            <w14:solidFill>
              <w14:schemeClr w14:val="tx1"/>
            </w14:solidFill>
          </w14:textFill>
        </w:rPr>
        <w:t>本项目应用安全设计遵循国家信息安全等级保护（二级）建设、测评、整改和维护的相关要求，在安全开发规范和安全制度的基础上，实现身份鉴别、访问控制、安全审计、剩余信息保护、通信完整性、保密性、抗抵赖、软件容错、资源控制和代码安全管理等方面的应用安全。</w:t>
      </w:r>
    </w:p>
    <w:p>
      <w:pPr>
        <w:pStyle w:val="8"/>
        <w:adjustRightInd w:val="0"/>
        <w:snapToGrid w:val="0"/>
        <w:spacing w:before="0" w:after="0" w:line="560" w:lineRule="exact"/>
        <w:ind w:firstLine="644" w:firstLineChars="200"/>
        <w:rPr>
          <w:rFonts w:ascii="Times New Roman" w:hAnsi="Times New Roman" w:eastAsia="楷体"/>
          <w:color w:val="000000" w:themeColor="text1"/>
          <w:lang w:eastAsia="zh-Hans"/>
          <w14:textFill>
            <w14:solidFill>
              <w14:schemeClr w14:val="tx1"/>
            </w14:solidFill>
          </w14:textFill>
        </w:rPr>
      </w:pPr>
      <w:r>
        <w:rPr>
          <w:rFonts w:hint="eastAsia" w:ascii="Times New Roman" w:hAnsi="Times New Roman" w:eastAsia="楷体"/>
          <w:color w:val="000000" w:themeColor="text1"/>
          <w:lang w:eastAsia="zh-Hans"/>
          <w14:textFill>
            <w14:solidFill>
              <w14:schemeClr w14:val="tx1"/>
            </w14:solidFill>
          </w14:textFill>
        </w:rPr>
        <w:t>（二）数字驾驶舱</w:t>
      </w:r>
    </w:p>
    <w:p>
      <w:pPr>
        <w:adjustRightInd w:val="0"/>
        <w:snapToGrid w:val="0"/>
        <w:spacing w:line="440" w:lineRule="exact"/>
        <w:ind w:firstLine="424" w:firstLineChars="200"/>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通过数据平台的数据统一集成、资源合理规划、业务科学归并和大数据建模分析等手段对涉农数据进行加工处理和分析，将数据分析结果通过数字驾驶舱进行综合展现。结合“可视化”、“富展现”，打造“关键指标有数字、关键业务有过程、关键环节有分析、关键趋势有预测、关键成效有比对”的数据挖掘展示体系，既能全面展现常山县农业农村工作宏观数据，为各级领导精准掌握指导农业农村发展的各项政策措施落实情况提供数据支撑，又能充分对常山县现代农业发展和农村建设微观层面的工作细节进行跟踪和观察，为政府决策部门提供透明化的管理手段，最终为快速推进农业供给侧结构性改革等一系列深化农业农村发展措施提供数据支撑和决策依据。</w:t>
      </w:r>
    </w:p>
    <w:p>
      <w:pPr>
        <w:adjustRightInd w:val="0"/>
        <w:snapToGrid w:val="0"/>
        <w:spacing w:line="440" w:lineRule="exact"/>
        <w:ind w:firstLine="424" w:firstLineChars="200"/>
        <w:rPr>
          <w:rFonts w:ascii="宋体" w:hAnsi="宋体" w:cs="宋体"/>
          <w:b/>
          <w:bCs/>
          <w:color w:val="000000" w:themeColor="text1"/>
          <w:szCs w:val="21"/>
          <w:lang w:eastAsia="zh-Hans"/>
          <w14:textFill>
            <w14:solidFill>
              <w14:schemeClr w14:val="tx1"/>
            </w14:solidFill>
          </w14:textFill>
        </w:rPr>
      </w:pPr>
      <w:bookmarkStart w:id="40" w:name="_Toc1456212196"/>
      <w:bookmarkStart w:id="41" w:name="_Toc1195398894"/>
      <w:r>
        <w:rPr>
          <w:rFonts w:ascii="宋体" w:hAnsi="宋体" w:cs="宋体"/>
          <w:b/>
          <w:bCs/>
          <w:color w:val="000000" w:themeColor="text1"/>
          <w:szCs w:val="21"/>
          <w:lang w:eastAsia="zh-Hans"/>
          <w14:textFill>
            <w14:solidFill>
              <w14:schemeClr w14:val="tx1"/>
            </w14:solidFill>
          </w14:textFill>
        </w:rPr>
        <w:t>1.</w:t>
      </w:r>
      <w:r>
        <w:rPr>
          <w:rFonts w:hint="eastAsia" w:ascii="宋体" w:hAnsi="宋体" w:cs="宋体"/>
          <w:b/>
          <w:bCs/>
          <w:color w:val="000000" w:themeColor="text1"/>
          <w:szCs w:val="21"/>
          <w:lang w:eastAsia="zh-Hans"/>
          <w14:textFill>
            <w14:solidFill>
              <w14:schemeClr w14:val="tx1"/>
            </w14:solidFill>
          </w14:textFill>
        </w:rPr>
        <w:t>数字驾驶舱管理系统建设</w:t>
      </w:r>
      <w:bookmarkEnd w:id="40"/>
      <w:bookmarkEnd w:id="41"/>
    </w:p>
    <w:p>
      <w:pPr>
        <w:adjustRightInd w:val="0"/>
        <w:snapToGrid w:val="0"/>
        <w:spacing w:line="440" w:lineRule="exact"/>
        <w:ind w:firstLine="424" w:firstLineChars="200"/>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通过数字驾驶舱大屏的数据资源，面向农业管理者、生产者、经营者、消费者，提供农业农村大数据查询、分析研判、研究成果、数据共享和产业指导。</w:t>
      </w:r>
    </w:p>
    <w:p>
      <w:pPr>
        <w:adjustRightInd w:val="0"/>
        <w:snapToGrid w:val="0"/>
        <w:spacing w:line="440" w:lineRule="exact"/>
        <w:ind w:firstLine="424" w:firstLineChars="200"/>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系统采用现代化的声光电展示技术，生动的画面及资料进行展示发布。支持多终端发布，例如</w:t>
      </w:r>
      <w:r>
        <w:rPr>
          <w:rFonts w:ascii="宋体" w:hAnsi="宋体" w:cs="宋体"/>
          <w:color w:val="000000" w:themeColor="text1"/>
          <w:szCs w:val="21"/>
          <w:lang w:eastAsia="zh-Hans"/>
          <w14:textFill>
            <w14:solidFill>
              <w14:schemeClr w14:val="tx1"/>
            </w14:solidFill>
          </w14:textFill>
        </w:rPr>
        <w:t>PC</w:t>
      </w:r>
      <w:r>
        <w:rPr>
          <w:rFonts w:hint="eastAsia" w:ascii="宋体" w:hAnsi="宋体" w:cs="宋体"/>
          <w:color w:val="000000" w:themeColor="text1"/>
          <w:szCs w:val="21"/>
          <w:lang w:eastAsia="zh-Hans"/>
          <w14:textFill>
            <w14:solidFill>
              <w14:schemeClr w14:val="tx1"/>
            </w14:solidFill>
          </w14:textFill>
        </w:rPr>
        <w:t>端、移动端及数据大屏。</w:t>
      </w:r>
    </w:p>
    <w:p>
      <w:pPr>
        <w:adjustRightInd w:val="0"/>
        <w:snapToGrid w:val="0"/>
        <w:spacing w:line="440" w:lineRule="exact"/>
        <w:ind w:firstLine="424" w:firstLineChars="200"/>
        <w:rPr>
          <w:rFonts w:ascii="宋体" w:hAnsi="宋体" w:cs="宋体"/>
          <w:b/>
          <w:bCs/>
          <w:color w:val="000000" w:themeColor="text1"/>
          <w:szCs w:val="21"/>
          <w:lang w:eastAsia="zh-Hans"/>
          <w14:textFill>
            <w14:solidFill>
              <w14:schemeClr w14:val="tx1"/>
            </w14:solidFill>
          </w14:textFill>
        </w:rPr>
      </w:pPr>
      <w:bookmarkStart w:id="42" w:name="_Toc1359693773"/>
      <w:bookmarkStart w:id="43" w:name="_Toc1834736960"/>
      <w:r>
        <w:rPr>
          <w:rFonts w:ascii="宋体" w:hAnsi="宋体" w:cs="宋体"/>
          <w:b/>
          <w:bCs/>
          <w:color w:val="000000" w:themeColor="text1"/>
          <w:szCs w:val="21"/>
          <w:lang w:eastAsia="zh-Hans"/>
          <w14:textFill>
            <w14:solidFill>
              <w14:schemeClr w14:val="tx1"/>
            </w14:solidFill>
          </w14:textFill>
        </w:rPr>
        <w:t>2.</w:t>
      </w:r>
      <w:r>
        <w:rPr>
          <w:rFonts w:hint="eastAsia" w:ascii="宋体" w:hAnsi="宋体" w:cs="宋体"/>
          <w:b/>
          <w:bCs/>
          <w:color w:val="000000" w:themeColor="text1"/>
          <w:szCs w:val="21"/>
          <w:lang w:eastAsia="zh-Hans"/>
          <w14:textFill>
            <w14:solidFill>
              <w14:schemeClr w14:val="tx1"/>
            </w14:solidFill>
          </w14:textFill>
        </w:rPr>
        <w:t>数字驾驶舱内容</w:t>
      </w:r>
      <w:bookmarkEnd w:id="42"/>
      <w:bookmarkEnd w:id="43"/>
    </w:p>
    <w:p>
      <w:pPr>
        <w:adjustRightInd w:val="0"/>
        <w:snapToGrid w:val="0"/>
        <w:spacing w:line="440" w:lineRule="exact"/>
        <w:ind w:firstLine="424" w:firstLineChars="200"/>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数字驾驶舱展示内容包括资源资产情况、主体人才情况、农机农资情况、产业产品情况、乡村治理情况、公共服务情况等。</w:t>
      </w:r>
    </w:p>
    <w:p>
      <w:pPr>
        <w:adjustRightInd w:val="0"/>
        <w:snapToGrid w:val="0"/>
        <w:spacing w:line="440" w:lineRule="exact"/>
        <w:ind w:firstLine="424" w:firstLineChars="200"/>
        <w:rPr>
          <w:rFonts w:ascii="宋体" w:hAnsi="宋体" w:cs="宋体"/>
          <w:b/>
          <w:bCs/>
          <w:color w:val="000000" w:themeColor="text1"/>
          <w:szCs w:val="21"/>
          <w:lang w:eastAsia="zh-Hans"/>
          <w14:textFill>
            <w14:solidFill>
              <w14:schemeClr w14:val="tx1"/>
            </w14:solidFill>
          </w14:textFill>
        </w:rPr>
      </w:pPr>
      <w:bookmarkStart w:id="44" w:name="_Toc51336386"/>
      <w:r>
        <w:rPr>
          <w:rFonts w:hint="eastAsia" w:ascii="宋体" w:hAnsi="宋体" w:cs="宋体"/>
          <w:b/>
          <w:bCs/>
          <w:color w:val="000000" w:themeColor="text1"/>
          <w:szCs w:val="21"/>
          <w:lang w:eastAsia="zh-Hans"/>
          <w14:textFill>
            <w14:solidFill>
              <w14:schemeClr w14:val="tx1"/>
            </w14:solidFill>
          </w14:textFill>
        </w:rPr>
        <w:t>（</w:t>
      </w:r>
      <w:r>
        <w:rPr>
          <w:rFonts w:ascii="宋体" w:hAnsi="宋体" w:cs="宋体"/>
          <w:b/>
          <w:bCs/>
          <w:color w:val="000000" w:themeColor="text1"/>
          <w:szCs w:val="21"/>
          <w:lang w:eastAsia="zh-Hans"/>
          <w14:textFill>
            <w14:solidFill>
              <w14:schemeClr w14:val="tx1"/>
            </w14:solidFill>
          </w14:textFill>
        </w:rPr>
        <w:t>1</w:t>
      </w:r>
      <w:r>
        <w:rPr>
          <w:rFonts w:hint="eastAsia" w:ascii="宋体" w:hAnsi="宋体" w:cs="宋体"/>
          <w:b/>
          <w:bCs/>
          <w:color w:val="000000" w:themeColor="text1"/>
          <w:szCs w:val="21"/>
          <w:lang w:eastAsia="zh-Hans"/>
          <w14:textFill>
            <w14:solidFill>
              <w14:schemeClr w14:val="tx1"/>
            </w14:solidFill>
          </w14:textFill>
        </w:rPr>
        <w:t>）</w:t>
      </w:r>
      <w:r>
        <w:rPr>
          <w:rFonts w:ascii="宋体" w:hAnsi="宋体" w:cs="宋体"/>
          <w:b/>
          <w:bCs/>
          <w:color w:val="000000" w:themeColor="text1"/>
          <w:szCs w:val="21"/>
          <w:lang w:eastAsia="zh-Hans"/>
          <w14:textFill>
            <w14:solidFill>
              <w14:schemeClr w14:val="tx1"/>
            </w14:solidFill>
          </w14:textFill>
        </w:rPr>
        <w:t>资源资产情况</w:t>
      </w:r>
      <w:bookmarkEnd w:id="44"/>
    </w:p>
    <w:p>
      <w:pPr>
        <w:spacing w:line="440" w:lineRule="exact"/>
        <w:ind w:firstLine="424" w:firstLineChars="200"/>
        <w:rPr>
          <w:rFonts w:ascii="宋体" w:hAnsi="宋体" w:cs="宋体"/>
          <w:color w:val="000000" w:themeColor="text1"/>
          <w:kern w:val="0"/>
          <w:szCs w:val="32"/>
          <w:lang w:eastAsia="zh-Hans"/>
          <w14:textFill>
            <w14:solidFill>
              <w14:schemeClr w14:val="tx1"/>
            </w14:solidFill>
          </w14:textFill>
        </w:rPr>
      </w:pPr>
      <w:r>
        <w:rPr>
          <w:rFonts w:hint="eastAsia" w:ascii="宋体" w:hAnsi="宋体" w:cs="宋体"/>
          <w:color w:val="000000" w:themeColor="text1"/>
          <w:kern w:val="0"/>
          <w:szCs w:val="32"/>
          <w:lang w:eastAsia="zh-Hans"/>
          <w14:textFill>
            <w14:solidFill>
              <w14:schemeClr w14:val="tx1"/>
            </w14:solidFill>
          </w14:textFill>
        </w:rPr>
        <w:t>资源资产情况主要包括土地资源展示模块、</w:t>
      </w:r>
      <w:r>
        <w:rPr>
          <w:rFonts w:hint="eastAsia" w:ascii="宋体" w:hAnsi="宋体" w:cs="宋体"/>
          <w:color w:val="000000" w:themeColor="text1"/>
          <w:kern w:val="0"/>
          <w:szCs w:val="32"/>
          <w14:textFill>
            <w14:solidFill>
              <w14:schemeClr w14:val="tx1"/>
            </w14:solidFill>
          </w14:textFill>
        </w:rPr>
        <w:t>水资源展示模块</w:t>
      </w:r>
      <w:r>
        <w:rPr>
          <w:rFonts w:hint="eastAsia" w:ascii="宋体" w:hAnsi="宋体" w:cs="宋体"/>
          <w:color w:val="000000" w:themeColor="text1"/>
          <w:kern w:val="0"/>
          <w:szCs w:val="32"/>
          <w:lang w:eastAsia="zh-Hans"/>
          <w14:textFill>
            <w14:solidFill>
              <w14:schemeClr w14:val="tx1"/>
            </w14:solidFill>
          </w14:textFill>
        </w:rPr>
        <w:t>、</w:t>
      </w:r>
      <w:r>
        <w:rPr>
          <w:rFonts w:hint="eastAsia" w:ascii="宋体" w:hAnsi="宋体" w:cs="宋体"/>
          <w:color w:val="000000" w:themeColor="text1"/>
          <w:kern w:val="0"/>
          <w:szCs w:val="32"/>
          <w14:textFill>
            <w14:solidFill>
              <w14:schemeClr w14:val="tx1"/>
            </w14:solidFill>
          </w14:textFill>
        </w:rPr>
        <w:t>气象资源展示模块</w:t>
      </w:r>
      <w:r>
        <w:rPr>
          <w:rFonts w:hint="eastAsia" w:ascii="宋体" w:hAnsi="宋体" w:cs="宋体"/>
          <w:color w:val="000000" w:themeColor="text1"/>
          <w:kern w:val="0"/>
          <w:szCs w:val="32"/>
          <w:lang w:eastAsia="zh-Hans"/>
          <w14:textFill>
            <w14:solidFill>
              <w14:schemeClr w14:val="tx1"/>
            </w14:solidFill>
          </w14:textFill>
        </w:rPr>
        <w:t>等模块。</w:t>
      </w:r>
    </w:p>
    <w:p>
      <w:pPr>
        <w:adjustRightInd w:val="0"/>
        <w:snapToGrid w:val="0"/>
        <w:spacing w:line="440" w:lineRule="exact"/>
        <w:ind w:firstLine="424" w:firstLineChars="200"/>
        <w:rPr>
          <w:rFonts w:ascii="宋体" w:hAnsi="宋体" w:cs="宋体"/>
          <w:b/>
          <w:bCs/>
          <w:color w:val="000000" w:themeColor="text1"/>
          <w:szCs w:val="21"/>
          <w:lang w:eastAsia="zh-Hans"/>
          <w14:textFill>
            <w14:solidFill>
              <w14:schemeClr w14:val="tx1"/>
            </w14:solidFill>
          </w14:textFill>
        </w:rPr>
      </w:pPr>
      <w:bookmarkStart w:id="45" w:name="_Toc51336387"/>
      <w:r>
        <w:rPr>
          <w:rFonts w:hint="eastAsia" w:ascii="宋体" w:hAnsi="宋体" w:cs="宋体"/>
          <w:b/>
          <w:bCs/>
          <w:color w:val="000000" w:themeColor="text1"/>
          <w:szCs w:val="21"/>
          <w:lang w:eastAsia="zh-Hans"/>
          <w14:textFill>
            <w14:solidFill>
              <w14:schemeClr w14:val="tx1"/>
            </w14:solidFill>
          </w14:textFill>
        </w:rPr>
        <w:t>（</w:t>
      </w:r>
      <w:r>
        <w:rPr>
          <w:rFonts w:ascii="宋体" w:hAnsi="宋体" w:cs="宋体"/>
          <w:b/>
          <w:bCs/>
          <w:color w:val="000000" w:themeColor="text1"/>
          <w:szCs w:val="21"/>
          <w:lang w:eastAsia="zh-Hans"/>
          <w14:textFill>
            <w14:solidFill>
              <w14:schemeClr w14:val="tx1"/>
            </w14:solidFill>
          </w14:textFill>
        </w:rPr>
        <w:t>2</w:t>
      </w:r>
      <w:r>
        <w:rPr>
          <w:rFonts w:hint="eastAsia" w:ascii="宋体" w:hAnsi="宋体" w:cs="宋体"/>
          <w:b/>
          <w:bCs/>
          <w:color w:val="000000" w:themeColor="text1"/>
          <w:szCs w:val="21"/>
          <w:lang w:eastAsia="zh-Hans"/>
          <w14:textFill>
            <w14:solidFill>
              <w14:schemeClr w14:val="tx1"/>
            </w14:solidFill>
          </w14:textFill>
        </w:rPr>
        <w:t>）</w:t>
      </w:r>
      <w:r>
        <w:rPr>
          <w:rFonts w:ascii="宋体" w:hAnsi="宋体" w:cs="宋体"/>
          <w:b/>
          <w:bCs/>
          <w:color w:val="000000" w:themeColor="text1"/>
          <w:szCs w:val="21"/>
          <w:lang w:eastAsia="zh-Hans"/>
          <w14:textFill>
            <w14:solidFill>
              <w14:schemeClr w14:val="tx1"/>
            </w14:solidFill>
          </w14:textFill>
        </w:rPr>
        <w:t>主体人才情况</w:t>
      </w:r>
      <w:bookmarkEnd w:id="45"/>
    </w:p>
    <w:p>
      <w:pPr>
        <w:spacing w:line="440" w:lineRule="exact"/>
        <w:ind w:firstLine="424"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集成展示涉农主体分布、构成、类型占比、党员情况、收支、不动产信息进行汇总和数据分析展示，有效分析目前主体的基本情况及乡村人员组成结构。</w:t>
      </w:r>
    </w:p>
    <w:p>
      <w:pPr>
        <w:adjustRightInd w:val="0"/>
        <w:snapToGrid w:val="0"/>
        <w:spacing w:line="440" w:lineRule="exact"/>
        <w:ind w:firstLine="424" w:firstLineChars="200"/>
        <w:rPr>
          <w:rFonts w:ascii="宋体" w:hAnsi="宋体" w:cs="宋体"/>
          <w:b/>
          <w:bCs/>
          <w:color w:val="000000" w:themeColor="text1"/>
          <w:szCs w:val="21"/>
          <w:lang w:eastAsia="zh-Hans"/>
          <w14:textFill>
            <w14:solidFill>
              <w14:schemeClr w14:val="tx1"/>
            </w14:solidFill>
          </w14:textFill>
        </w:rPr>
      </w:pPr>
      <w:bookmarkStart w:id="46" w:name="_Toc51336388"/>
      <w:r>
        <w:rPr>
          <w:rFonts w:hint="eastAsia" w:ascii="宋体" w:hAnsi="宋体" w:cs="宋体"/>
          <w:b/>
          <w:bCs/>
          <w:color w:val="000000" w:themeColor="text1"/>
          <w:szCs w:val="21"/>
          <w:lang w:eastAsia="zh-Hans"/>
          <w14:textFill>
            <w14:solidFill>
              <w14:schemeClr w14:val="tx1"/>
            </w14:solidFill>
          </w14:textFill>
        </w:rPr>
        <w:t>（</w:t>
      </w:r>
      <w:r>
        <w:rPr>
          <w:rFonts w:ascii="宋体" w:hAnsi="宋体" w:cs="宋体"/>
          <w:b/>
          <w:bCs/>
          <w:color w:val="000000" w:themeColor="text1"/>
          <w:szCs w:val="21"/>
          <w:lang w:eastAsia="zh-Hans"/>
          <w14:textFill>
            <w14:solidFill>
              <w14:schemeClr w14:val="tx1"/>
            </w14:solidFill>
          </w14:textFill>
        </w:rPr>
        <w:t>3</w:t>
      </w:r>
      <w:r>
        <w:rPr>
          <w:rFonts w:hint="eastAsia" w:ascii="宋体" w:hAnsi="宋体" w:cs="宋体"/>
          <w:b/>
          <w:bCs/>
          <w:color w:val="000000" w:themeColor="text1"/>
          <w:szCs w:val="21"/>
          <w:lang w:eastAsia="zh-Hans"/>
          <w14:textFill>
            <w14:solidFill>
              <w14:schemeClr w14:val="tx1"/>
            </w14:solidFill>
          </w14:textFill>
        </w:rPr>
        <w:t>）</w:t>
      </w:r>
      <w:r>
        <w:rPr>
          <w:rFonts w:ascii="宋体" w:hAnsi="宋体" w:cs="宋体"/>
          <w:b/>
          <w:bCs/>
          <w:color w:val="000000" w:themeColor="text1"/>
          <w:szCs w:val="21"/>
          <w:lang w:eastAsia="zh-Hans"/>
          <w14:textFill>
            <w14:solidFill>
              <w14:schemeClr w14:val="tx1"/>
            </w14:solidFill>
          </w14:textFill>
        </w:rPr>
        <w:t>农机农资情况</w:t>
      </w:r>
      <w:bookmarkEnd w:id="46"/>
    </w:p>
    <w:p>
      <w:pPr>
        <w:spacing w:line="440" w:lineRule="exact"/>
        <w:ind w:firstLine="424"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主要包括农机专题展示模块、农资专题展示模块。</w:t>
      </w:r>
    </w:p>
    <w:p>
      <w:pPr>
        <w:adjustRightInd w:val="0"/>
        <w:snapToGrid w:val="0"/>
        <w:spacing w:line="440" w:lineRule="exact"/>
        <w:ind w:firstLine="424" w:firstLineChars="200"/>
        <w:rPr>
          <w:rFonts w:ascii="宋体" w:hAnsi="宋体" w:cs="宋体"/>
          <w:b/>
          <w:bCs/>
          <w:color w:val="000000" w:themeColor="text1"/>
          <w:szCs w:val="21"/>
          <w:lang w:eastAsia="zh-Hans"/>
          <w14:textFill>
            <w14:solidFill>
              <w14:schemeClr w14:val="tx1"/>
            </w14:solidFill>
          </w14:textFill>
        </w:rPr>
      </w:pPr>
      <w:bookmarkStart w:id="47" w:name="_Toc51336389"/>
      <w:r>
        <w:rPr>
          <w:rFonts w:hint="eastAsia" w:ascii="宋体" w:hAnsi="宋体" w:cs="宋体"/>
          <w:b/>
          <w:bCs/>
          <w:color w:val="000000" w:themeColor="text1"/>
          <w:szCs w:val="21"/>
          <w:lang w:eastAsia="zh-Hans"/>
          <w14:textFill>
            <w14:solidFill>
              <w14:schemeClr w14:val="tx1"/>
            </w14:solidFill>
          </w14:textFill>
        </w:rPr>
        <w:t>（</w:t>
      </w:r>
      <w:r>
        <w:rPr>
          <w:rFonts w:ascii="宋体" w:hAnsi="宋体" w:cs="宋体"/>
          <w:b/>
          <w:bCs/>
          <w:color w:val="000000" w:themeColor="text1"/>
          <w:szCs w:val="21"/>
          <w:lang w:eastAsia="zh-Hans"/>
          <w14:textFill>
            <w14:solidFill>
              <w14:schemeClr w14:val="tx1"/>
            </w14:solidFill>
          </w14:textFill>
        </w:rPr>
        <w:t>4</w:t>
      </w:r>
      <w:r>
        <w:rPr>
          <w:rFonts w:hint="eastAsia" w:ascii="宋体" w:hAnsi="宋体" w:cs="宋体"/>
          <w:b/>
          <w:bCs/>
          <w:color w:val="000000" w:themeColor="text1"/>
          <w:szCs w:val="21"/>
          <w:lang w:eastAsia="zh-Hans"/>
          <w14:textFill>
            <w14:solidFill>
              <w14:schemeClr w14:val="tx1"/>
            </w14:solidFill>
          </w14:textFill>
        </w:rPr>
        <w:t>）</w:t>
      </w:r>
      <w:r>
        <w:rPr>
          <w:rFonts w:ascii="宋体" w:hAnsi="宋体" w:cs="宋体"/>
          <w:b/>
          <w:bCs/>
          <w:color w:val="000000" w:themeColor="text1"/>
          <w:szCs w:val="21"/>
          <w:lang w:eastAsia="zh-Hans"/>
          <w14:textFill>
            <w14:solidFill>
              <w14:schemeClr w14:val="tx1"/>
            </w14:solidFill>
          </w14:textFill>
        </w:rPr>
        <w:t>产业产品情况</w:t>
      </w:r>
      <w:bookmarkEnd w:id="47"/>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主要包括整体产业分布展示模块、粮食产业展示模块、胡柚全产业链展示模块实现包括产业资源分析、生态治理分析、病虫害分析、常山胡柚品牌分析、市场数据分析、产业监管分析等</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部分的展示分析；油茶全产业链展示模块、食用菌产业展示模块等。</w:t>
      </w:r>
    </w:p>
    <w:p>
      <w:pPr>
        <w:adjustRightInd w:val="0"/>
        <w:snapToGrid w:val="0"/>
        <w:spacing w:line="440" w:lineRule="exact"/>
        <w:ind w:firstLine="424" w:firstLineChars="200"/>
        <w:rPr>
          <w:rFonts w:ascii="宋体" w:hAnsi="宋体" w:cs="宋体"/>
          <w:b/>
          <w:bCs/>
          <w:color w:val="000000" w:themeColor="text1"/>
          <w:szCs w:val="21"/>
          <w:lang w:eastAsia="zh-Hans"/>
          <w14:textFill>
            <w14:solidFill>
              <w14:schemeClr w14:val="tx1"/>
            </w14:solidFill>
          </w14:textFill>
        </w:rPr>
      </w:pPr>
      <w:bookmarkStart w:id="48" w:name="_Toc51336390"/>
      <w:r>
        <w:rPr>
          <w:rFonts w:hint="eastAsia" w:ascii="宋体" w:hAnsi="宋体" w:cs="宋体"/>
          <w:b/>
          <w:bCs/>
          <w:color w:val="000000" w:themeColor="text1"/>
          <w:szCs w:val="21"/>
          <w:lang w:eastAsia="zh-Hans"/>
          <w14:textFill>
            <w14:solidFill>
              <w14:schemeClr w14:val="tx1"/>
            </w14:solidFill>
          </w14:textFill>
        </w:rPr>
        <w:t>（</w:t>
      </w:r>
      <w:r>
        <w:rPr>
          <w:rFonts w:ascii="宋体" w:hAnsi="宋体" w:cs="宋体"/>
          <w:b/>
          <w:bCs/>
          <w:color w:val="000000" w:themeColor="text1"/>
          <w:szCs w:val="21"/>
          <w:lang w:eastAsia="zh-Hans"/>
          <w14:textFill>
            <w14:solidFill>
              <w14:schemeClr w14:val="tx1"/>
            </w14:solidFill>
          </w14:textFill>
        </w:rPr>
        <w:t>5</w:t>
      </w:r>
      <w:r>
        <w:rPr>
          <w:rFonts w:hint="eastAsia" w:ascii="宋体" w:hAnsi="宋体" w:cs="宋体"/>
          <w:b/>
          <w:bCs/>
          <w:color w:val="000000" w:themeColor="text1"/>
          <w:szCs w:val="21"/>
          <w:lang w:eastAsia="zh-Hans"/>
          <w14:textFill>
            <w14:solidFill>
              <w14:schemeClr w14:val="tx1"/>
            </w14:solidFill>
          </w14:textFill>
        </w:rPr>
        <w:t>）乡村治理情况</w:t>
      </w:r>
      <w:bookmarkEnd w:id="48"/>
    </w:p>
    <w:p>
      <w:pPr>
        <w:spacing w:line="440" w:lineRule="exact"/>
        <w:ind w:firstLine="424"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主要包括三资监管展示模块、垃圾分类展示模块等。</w:t>
      </w:r>
    </w:p>
    <w:p>
      <w:pPr>
        <w:adjustRightInd w:val="0"/>
        <w:snapToGrid w:val="0"/>
        <w:spacing w:line="440" w:lineRule="exact"/>
        <w:ind w:firstLine="424" w:firstLineChars="200"/>
        <w:rPr>
          <w:rFonts w:ascii="宋体" w:hAnsi="宋体" w:cs="宋体"/>
          <w:b/>
          <w:bCs/>
          <w:color w:val="000000" w:themeColor="text1"/>
          <w:szCs w:val="21"/>
          <w:lang w:eastAsia="zh-Hans"/>
          <w14:textFill>
            <w14:solidFill>
              <w14:schemeClr w14:val="tx1"/>
            </w14:solidFill>
          </w14:textFill>
        </w:rPr>
      </w:pPr>
      <w:bookmarkStart w:id="49" w:name="_Toc51336391"/>
      <w:r>
        <w:rPr>
          <w:rFonts w:hint="eastAsia" w:ascii="宋体" w:hAnsi="宋体" w:cs="宋体"/>
          <w:b/>
          <w:bCs/>
          <w:color w:val="000000" w:themeColor="text1"/>
          <w:szCs w:val="21"/>
          <w:lang w:eastAsia="zh-Hans"/>
          <w14:textFill>
            <w14:solidFill>
              <w14:schemeClr w14:val="tx1"/>
            </w14:solidFill>
          </w14:textFill>
        </w:rPr>
        <w:t>（</w:t>
      </w:r>
      <w:r>
        <w:rPr>
          <w:rFonts w:ascii="宋体" w:hAnsi="宋体" w:cs="宋体"/>
          <w:b/>
          <w:bCs/>
          <w:color w:val="000000" w:themeColor="text1"/>
          <w:szCs w:val="21"/>
          <w:lang w:eastAsia="zh-Hans"/>
          <w14:textFill>
            <w14:solidFill>
              <w14:schemeClr w14:val="tx1"/>
            </w14:solidFill>
          </w14:textFill>
        </w:rPr>
        <w:t>6</w:t>
      </w:r>
      <w:r>
        <w:rPr>
          <w:rFonts w:hint="eastAsia" w:ascii="宋体" w:hAnsi="宋体" w:cs="宋体"/>
          <w:b/>
          <w:bCs/>
          <w:color w:val="000000" w:themeColor="text1"/>
          <w:szCs w:val="21"/>
          <w:lang w:eastAsia="zh-Hans"/>
          <w14:textFill>
            <w14:solidFill>
              <w14:schemeClr w14:val="tx1"/>
            </w14:solidFill>
          </w14:textFill>
        </w:rPr>
        <w:t>）</w:t>
      </w:r>
      <w:r>
        <w:rPr>
          <w:rFonts w:ascii="宋体" w:hAnsi="宋体" w:cs="宋体"/>
          <w:b/>
          <w:bCs/>
          <w:color w:val="000000" w:themeColor="text1"/>
          <w:szCs w:val="21"/>
          <w:lang w:eastAsia="zh-Hans"/>
          <w14:textFill>
            <w14:solidFill>
              <w14:schemeClr w14:val="tx1"/>
            </w14:solidFill>
          </w14:textFill>
        </w:rPr>
        <w:t>公共服务情况</w:t>
      </w:r>
      <w:bookmarkEnd w:id="49"/>
    </w:p>
    <w:p>
      <w:pPr>
        <w:spacing w:line="440" w:lineRule="exact"/>
        <w:ind w:firstLine="424"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32"/>
          <w14:textFill>
            <w14:solidFill>
              <w14:schemeClr w14:val="tx1"/>
            </w14:solidFill>
          </w14:textFill>
        </w:rPr>
        <w:t>分析农技推广服务点的分布情况，及技术实力，推广能力。从各基层农业公共服务中心、现代农业科技示范基地、农技专家、科研院所、培训基地、新型职业农民的数量及分布情况等角度横向剖析农技推广，全面了解各农业相关行业的农业技能储备力量，并为农技推广的规划提供全局参考依据。</w:t>
      </w:r>
    </w:p>
    <w:p>
      <w:pPr>
        <w:pStyle w:val="8"/>
        <w:adjustRightInd w:val="0"/>
        <w:snapToGrid w:val="0"/>
        <w:spacing w:before="0" w:after="0" w:line="560" w:lineRule="exact"/>
        <w:ind w:firstLine="644" w:firstLineChars="200"/>
        <w:rPr>
          <w:rFonts w:ascii="Times New Roman" w:hAnsi="Times New Roman" w:eastAsia="楷体"/>
          <w:color w:val="000000" w:themeColor="text1"/>
          <w:lang w:eastAsia="zh-Hans"/>
          <w14:textFill>
            <w14:solidFill>
              <w14:schemeClr w14:val="tx1"/>
            </w14:solidFill>
          </w14:textFill>
        </w:rPr>
      </w:pPr>
      <w:r>
        <w:rPr>
          <w:rFonts w:hint="eastAsia" w:ascii="Times New Roman" w:hAnsi="Times New Roman" w:eastAsia="楷体"/>
          <w:color w:val="000000" w:themeColor="text1"/>
          <w:lang w:eastAsia="zh-Hans"/>
          <w14:textFill>
            <w14:solidFill>
              <w14:schemeClr w14:val="tx1"/>
            </w14:solidFill>
          </w14:textFill>
        </w:rPr>
        <w:t>（三）</w:t>
      </w:r>
      <w:r>
        <w:rPr>
          <w:rFonts w:ascii="Times New Roman" w:hAnsi="Times New Roman" w:eastAsia="楷体"/>
          <w:color w:val="000000" w:themeColor="text1"/>
          <w:lang w:eastAsia="zh-Hans"/>
          <w14:textFill>
            <w14:solidFill>
              <w14:schemeClr w14:val="tx1"/>
            </w14:solidFill>
          </w14:textFill>
        </w:rPr>
        <w:t>5</w:t>
      </w:r>
      <w:r>
        <w:rPr>
          <w:rFonts w:hint="eastAsia" w:ascii="Times New Roman" w:hAnsi="Times New Roman" w:eastAsia="楷体"/>
          <w:color w:val="000000" w:themeColor="text1"/>
          <w:lang w:eastAsia="zh-Hans"/>
          <w14:textFill>
            <w14:solidFill>
              <w14:schemeClr w14:val="tx1"/>
            </w14:solidFill>
          </w14:textFill>
        </w:rPr>
        <w:t>大领域</w:t>
      </w:r>
      <w:r>
        <w:rPr>
          <w:rFonts w:ascii="Times New Roman" w:hAnsi="Times New Roman" w:eastAsia="楷体"/>
          <w:color w:val="000000" w:themeColor="text1"/>
          <w:lang w:eastAsia="zh-Hans"/>
          <w14:textFill>
            <w14:solidFill>
              <w14:schemeClr w14:val="tx1"/>
            </w14:solidFill>
          </w14:textFill>
        </w:rPr>
        <w:t>N</w:t>
      </w:r>
      <w:r>
        <w:rPr>
          <w:rFonts w:hint="eastAsia" w:ascii="Times New Roman" w:hAnsi="Times New Roman" w:eastAsia="楷体"/>
          <w:color w:val="000000" w:themeColor="text1"/>
          <w:lang w:eastAsia="zh-Hans"/>
          <w14:textFill>
            <w14:solidFill>
              <w14:schemeClr w14:val="tx1"/>
            </w14:solidFill>
          </w14:textFill>
        </w:rPr>
        <w:t>个应用</w:t>
      </w:r>
    </w:p>
    <w:p>
      <w:pPr>
        <w:adjustRightInd w:val="0"/>
        <w:snapToGrid w:val="0"/>
        <w:spacing w:line="440" w:lineRule="exact"/>
        <w:ind w:firstLine="424" w:firstLineChars="200"/>
        <w:rPr>
          <w:rFonts w:ascii="宋体" w:hAnsi="宋体" w:cs="宋体"/>
          <w:b/>
          <w:bCs/>
          <w:color w:val="000000" w:themeColor="text1"/>
          <w:szCs w:val="21"/>
          <w:lang w:eastAsia="zh-Hans"/>
          <w14:textFill>
            <w14:solidFill>
              <w14:schemeClr w14:val="tx1"/>
            </w14:solidFill>
          </w14:textFill>
        </w:rPr>
      </w:pPr>
      <w:bookmarkStart w:id="50" w:name="_Toc971642660"/>
      <w:r>
        <w:rPr>
          <w:rFonts w:ascii="宋体" w:hAnsi="宋体" w:cs="宋体"/>
          <w:b/>
          <w:bCs/>
          <w:color w:val="000000" w:themeColor="text1"/>
          <w:szCs w:val="21"/>
          <w:lang w:eastAsia="zh-Hans"/>
          <w14:textFill>
            <w14:solidFill>
              <w14:schemeClr w14:val="tx1"/>
            </w14:solidFill>
          </w14:textFill>
        </w:rPr>
        <w:t>1.</w:t>
      </w:r>
      <w:r>
        <w:rPr>
          <w:rFonts w:hint="eastAsia" w:ascii="宋体" w:hAnsi="宋体" w:cs="宋体"/>
          <w:b/>
          <w:bCs/>
          <w:color w:val="000000" w:themeColor="text1"/>
          <w:szCs w:val="21"/>
          <w:lang w:eastAsia="zh-Hans"/>
          <w14:textFill>
            <w14:solidFill>
              <w14:schemeClr w14:val="tx1"/>
            </w14:solidFill>
          </w14:textFill>
        </w:rPr>
        <w:t>物联网接入平台</w:t>
      </w:r>
      <w:bookmarkEnd w:id="50"/>
    </w:p>
    <w:p>
      <w:pPr>
        <w:adjustRightInd w:val="0"/>
        <w:snapToGrid w:val="0"/>
        <w:spacing w:line="440" w:lineRule="exact"/>
        <w:ind w:firstLine="424"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打造常山县物联网接入平台，基于智能传感器、无线传输技术、大规模数据处理与远程控制等物联网核心技术开发的，可实现常山县所有产业物联网设施设备的接入，帮助政府及时获取全面的环境信息、土壤墒情和水源等极为精细的农业资源信息。实现农业环境的在线监测预警、远程联动控制调控设备，实现产业的科学种植与管理。</w:t>
      </w:r>
    </w:p>
    <w:p>
      <w:pPr>
        <w:adjustRightInd w:val="0"/>
        <w:snapToGrid w:val="0"/>
        <w:spacing w:line="440" w:lineRule="exact"/>
        <w:ind w:firstLine="424"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物联网接入平台支持多厂商、多协议的接入，支持各类农业传感器设备通过物联网通用协议、</w:t>
      </w:r>
      <w:r>
        <w:rPr>
          <w:rFonts w:ascii="宋体" w:hAnsi="宋体" w:cs="宋体"/>
          <w:color w:val="000000" w:themeColor="text1"/>
          <w:szCs w:val="32"/>
          <w14:textFill>
            <w14:solidFill>
              <w14:schemeClr w14:val="tx1"/>
            </w14:solidFill>
          </w14:textFill>
        </w:rPr>
        <w:t>IP</w:t>
      </w:r>
      <w:r>
        <w:rPr>
          <w:rFonts w:hint="eastAsia" w:ascii="宋体" w:hAnsi="宋体" w:cs="宋体"/>
          <w:color w:val="000000" w:themeColor="text1"/>
          <w:szCs w:val="32"/>
          <w14:textFill>
            <w14:solidFill>
              <w14:schemeClr w14:val="tx1"/>
            </w14:solidFill>
          </w14:textFill>
        </w:rPr>
        <w:t>协议等协议连接，采集物联网数据，实现全量物联网设备及应用的集成和管理帮助主体实现精细化、数字化的管理模式，从“管理”向“服务”转变。</w:t>
      </w:r>
    </w:p>
    <w:p>
      <w:pPr>
        <w:adjustRightInd w:val="0"/>
        <w:snapToGrid w:val="0"/>
        <w:spacing w:line="440" w:lineRule="exact"/>
        <w:ind w:firstLine="424"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32"/>
          <w14:textFill>
            <w14:solidFill>
              <w14:schemeClr w14:val="tx1"/>
            </w14:solidFill>
          </w14:textFill>
        </w:rPr>
        <w:t>物联网接入平台为设备提供安全可靠的连接通信能力，向下连接海量设备，支撑设备数据采集上云；向上提供云端</w:t>
      </w:r>
      <w:r>
        <w:rPr>
          <w:rFonts w:ascii="宋体" w:hAnsi="宋体" w:cs="宋体"/>
          <w:color w:val="000000" w:themeColor="text1"/>
          <w:szCs w:val="32"/>
          <w14:textFill>
            <w14:solidFill>
              <w14:schemeClr w14:val="tx1"/>
            </w14:solidFill>
          </w14:textFill>
        </w:rPr>
        <w:t>API</w:t>
      </w:r>
      <w:r>
        <w:rPr>
          <w:rFonts w:hint="eastAsia" w:ascii="宋体" w:hAnsi="宋体" w:cs="宋体"/>
          <w:color w:val="000000" w:themeColor="text1"/>
          <w:szCs w:val="32"/>
          <w14:textFill>
            <w14:solidFill>
              <w14:schemeClr w14:val="tx1"/>
            </w14:solidFill>
          </w14:textFill>
        </w:rPr>
        <w:t>，服务端通过调用云端</w:t>
      </w:r>
      <w:r>
        <w:rPr>
          <w:rFonts w:ascii="宋体" w:hAnsi="宋体" w:cs="宋体"/>
          <w:color w:val="000000" w:themeColor="text1"/>
          <w:szCs w:val="32"/>
          <w14:textFill>
            <w14:solidFill>
              <w14:schemeClr w14:val="tx1"/>
            </w14:solidFill>
          </w14:textFill>
        </w:rPr>
        <w:t>API</w:t>
      </w:r>
      <w:r>
        <w:rPr>
          <w:rFonts w:hint="eastAsia" w:ascii="宋体" w:hAnsi="宋体" w:cs="宋体"/>
          <w:color w:val="000000" w:themeColor="text1"/>
          <w:szCs w:val="32"/>
          <w14:textFill>
            <w14:solidFill>
              <w14:schemeClr w14:val="tx1"/>
            </w14:solidFill>
          </w14:textFill>
        </w:rPr>
        <w:t>将指令下发至设备端，实现远程控制。具体建设内容如下：</w:t>
      </w:r>
    </w:p>
    <w:p>
      <w:pPr>
        <w:adjustRightInd w:val="0"/>
        <w:snapToGrid w:val="0"/>
        <w:spacing w:line="440" w:lineRule="exact"/>
        <w:ind w:firstLine="424" w:firstLineChars="200"/>
        <w:rPr>
          <w:rFonts w:ascii="宋体" w:hAnsi="宋体" w:cs="宋体"/>
          <w:b/>
          <w:bCs/>
          <w:color w:val="000000" w:themeColor="text1"/>
          <w:szCs w:val="32"/>
          <w14:textFill>
            <w14:solidFill>
              <w14:schemeClr w14:val="tx1"/>
            </w14:solidFill>
          </w14:textFill>
        </w:rPr>
      </w:pPr>
      <w:bookmarkStart w:id="51" w:name="_Toc50634172"/>
      <w:r>
        <w:rPr>
          <w:rFonts w:hint="eastAsia" w:ascii="宋体" w:hAnsi="宋体" w:cs="宋体"/>
          <w:b/>
          <w:bCs/>
          <w:color w:val="000000" w:themeColor="text1"/>
          <w:szCs w:val="32"/>
          <w14:textFill>
            <w14:solidFill>
              <w14:schemeClr w14:val="tx1"/>
            </w14:solidFill>
          </w14:textFill>
        </w:rPr>
        <w:t>（</w:t>
      </w:r>
      <w:r>
        <w:rPr>
          <w:rFonts w:ascii="宋体" w:hAnsi="宋体" w:cs="宋体"/>
          <w:b/>
          <w:bCs/>
          <w:color w:val="000000" w:themeColor="text1"/>
          <w:szCs w:val="32"/>
          <w14:textFill>
            <w14:solidFill>
              <w14:schemeClr w14:val="tx1"/>
            </w14:solidFill>
          </w14:textFill>
        </w:rPr>
        <w:t>1</w:t>
      </w:r>
      <w:r>
        <w:rPr>
          <w:rFonts w:hint="eastAsia" w:ascii="宋体" w:hAnsi="宋体" w:cs="宋体"/>
          <w:b/>
          <w:bCs/>
          <w:color w:val="000000" w:themeColor="text1"/>
          <w:szCs w:val="32"/>
          <w14:textFill>
            <w14:solidFill>
              <w14:schemeClr w14:val="tx1"/>
            </w14:solidFill>
          </w14:textFill>
        </w:rPr>
        <w:t>）设备接入</w:t>
      </w:r>
      <w:bookmarkEnd w:id="51"/>
      <w:r>
        <w:rPr>
          <w:rFonts w:hint="eastAsia" w:ascii="宋体" w:hAnsi="宋体" w:cs="宋体"/>
          <w:b/>
          <w:bCs/>
          <w:color w:val="000000" w:themeColor="text1"/>
          <w:szCs w:val="32"/>
          <w:lang w:eastAsia="zh-Hans"/>
          <w14:textFill>
            <w14:solidFill>
              <w14:schemeClr w14:val="tx1"/>
            </w14:solidFill>
          </w14:textFill>
        </w:rPr>
        <w:t>能力</w:t>
      </w:r>
    </w:p>
    <w:p>
      <w:pPr>
        <w:adjustRightInd w:val="0"/>
        <w:snapToGrid w:val="0"/>
        <w:spacing w:line="440" w:lineRule="exact"/>
        <w:ind w:firstLine="424"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支持相关具有物联网设备基地的数据接入，如环境监测、土壤水分监测、土壤温度、温度、空气湿度等数据。支持各类农业传感器设备通过持</w:t>
      </w:r>
      <w:r>
        <w:rPr>
          <w:rFonts w:ascii="宋体" w:hAnsi="宋体" w:cs="宋体"/>
          <w:color w:val="000000" w:themeColor="text1"/>
          <w:szCs w:val="32"/>
          <w14:textFill>
            <w14:solidFill>
              <w14:schemeClr w14:val="tx1"/>
            </w14:solidFill>
          </w14:textFill>
        </w:rPr>
        <w:t>modbus</w:t>
      </w:r>
      <w:r>
        <w:rPr>
          <w:rFonts w:hint="eastAsia" w:ascii="宋体" w:hAnsi="宋体" w:cs="宋体"/>
          <w:color w:val="000000" w:themeColor="text1"/>
          <w:szCs w:val="32"/>
          <w14:textFill>
            <w14:solidFill>
              <w14:schemeClr w14:val="tx1"/>
            </w14:solidFill>
          </w14:textFill>
        </w:rPr>
        <w:t>、</w:t>
      </w:r>
      <w:r>
        <w:rPr>
          <w:rFonts w:ascii="宋体" w:hAnsi="宋体" w:cs="宋体"/>
          <w:color w:val="000000" w:themeColor="text1"/>
          <w:szCs w:val="32"/>
          <w14:textFill>
            <w14:solidFill>
              <w14:schemeClr w14:val="tx1"/>
            </w14:solidFill>
          </w14:textFill>
        </w:rPr>
        <w:t>opcua</w:t>
      </w:r>
      <w:r>
        <w:rPr>
          <w:rFonts w:hint="eastAsia" w:ascii="宋体" w:hAnsi="宋体" w:cs="宋体"/>
          <w:color w:val="000000" w:themeColor="text1"/>
          <w:szCs w:val="32"/>
          <w14:textFill>
            <w14:solidFill>
              <w14:schemeClr w14:val="tx1"/>
            </w14:solidFill>
          </w14:textFill>
        </w:rPr>
        <w:t>、</w:t>
      </w:r>
      <w:r>
        <w:rPr>
          <w:rFonts w:ascii="宋体" w:hAnsi="宋体" w:cs="宋体"/>
          <w:color w:val="000000" w:themeColor="text1"/>
          <w:szCs w:val="32"/>
          <w14:textFill>
            <w14:solidFill>
              <w14:schemeClr w14:val="tx1"/>
            </w14:solidFill>
          </w14:textFill>
        </w:rPr>
        <w:t>485</w:t>
      </w:r>
      <w:r>
        <w:rPr>
          <w:rFonts w:hint="eastAsia" w:ascii="宋体" w:hAnsi="宋体" w:cs="宋体"/>
          <w:color w:val="000000" w:themeColor="text1"/>
          <w:szCs w:val="32"/>
          <w14:textFill>
            <w14:solidFill>
              <w14:schemeClr w14:val="tx1"/>
            </w14:solidFill>
          </w14:textFill>
        </w:rPr>
        <w:t>、</w:t>
      </w:r>
      <w:r>
        <w:rPr>
          <w:rFonts w:ascii="宋体" w:hAnsi="宋体" w:cs="宋体"/>
          <w:color w:val="000000" w:themeColor="text1"/>
          <w:szCs w:val="32"/>
          <w14:textFill>
            <w14:solidFill>
              <w14:schemeClr w14:val="tx1"/>
            </w14:solidFill>
          </w14:textFill>
        </w:rPr>
        <w:t>bacnet</w:t>
      </w:r>
      <w:r>
        <w:rPr>
          <w:rFonts w:hint="eastAsia" w:ascii="宋体" w:hAnsi="宋体" w:cs="宋体"/>
          <w:color w:val="000000" w:themeColor="text1"/>
          <w:szCs w:val="32"/>
          <w14:textFill>
            <w14:solidFill>
              <w14:schemeClr w14:val="tx1"/>
            </w14:solidFill>
          </w14:textFill>
        </w:rPr>
        <w:t>等各类协议接入，以及支持有线、无线的各种网络形态设备接入。各类农田传感器设备和控制系统可以选择最适合的方式，接入到物联网平台中。该功能模块中，可支持以下子功能：设备连接认证</w:t>
      </w:r>
      <w:r>
        <w:rPr>
          <w:rFonts w:hint="eastAsia" w:ascii="宋体" w:hAnsi="宋体" w:cs="宋体"/>
          <w:color w:val="000000" w:themeColor="text1"/>
          <w:szCs w:val="32"/>
          <w:lang w:eastAsia="zh-Hans"/>
          <w14:textFill>
            <w14:solidFill>
              <w14:schemeClr w14:val="tx1"/>
            </w14:solidFill>
          </w14:textFill>
        </w:rPr>
        <w:t>，</w:t>
      </w:r>
      <w:r>
        <w:rPr>
          <w:rFonts w:hint="eastAsia" w:ascii="宋体" w:hAnsi="宋体" w:cs="宋体"/>
          <w:color w:val="000000" w:themeColor="text1"/>
          <w:szCs w:val="32"/>
          <w14:textFill>
            <w14:solidFill>
              <w14:schemeClr w14:val="tx1"/>
            </w14:solidFill>
          </w14:textFill>
        </w:rPr>
        <w:t>设备传输</w:t>
      </w:r>
      <w:r>
        <w:rPr>
          <w:rFonts w:hint="eastAsia" w:ascii="宋体" w:hAnsi="宋体" w:cs="宋体"/>
          <w:color w:val="000000" w:themeColor="text1"/>
          <w:szCs w:val="32"/>
          <w:lang w:eastAsia="zh-Hans"/>
          <w14:textFill>
            <w14:solidFill>
              <w14:schemeClr w14:val="tx1"/>
            </w14:solidFill>
          </w14:textFill>
        </w:rPr>
        <w:t>，</w:t>
      </w:r>
      <w:r>
        <w:rPr>
          <w:rFonts w:hint="eastAsia" w:ascii="宋体" w:hAnsi="宋体" w:cs="宋体"/>
          <w:color w:val="000000" w:themeColor="text1"/>
          <w:szCs w:val="32"/>
          <w14:textFill>
            <w14:solidFill>
              <w14:schemeClr w14:val="tx1"/>
            </w14:solidFill>
          </w14:textFill>
        </w:rPr>
        <w:t>数据路由</w:t>
      </w:r>
      <w:r>
        <w:rPr>
          <w:rFonts w:hint="eastAsia" w:ascii="宋体" w:hAnsi="宋体" w:cs="宋体"/>
          <w:color w:val="000000" w:themeColor="text1"/>
          <w:szCs w:val="32"/>
          <w:lang w:eastAsia="zh-Hans"/>
          <w14:textFill>
            <w14:solidFill>
              <w14:schemeClr w14:val="tx1"/>
            </w14:solidFill>
          </w14:textFill>
        </w:rPr>
        <w:t>，多协议支持，</w:t>
      </w:r>
      <w:r>
        <w:rPr>
          <w:rFonts w:hint="eastAsia" w:ascii="宋体" w:hAnsi="宋体" w:cs="宋体"/>
          <w:color w:val="000000" w:themeColor="text1"/>
          <w:szCs w:val="32"/>
          <w14:textFill>
            <w14:solidFill>
              <w14:schemeClr w14:val="tx1"/>
            </w14:solidFill>
          </w14:textFill>
        </w:rPr>
        <w:t>双向通信</w:t>
      </w:r>
      <w:r>
        <w:rPr>
          <w:rFonts w:hint="eastAsia" w:ascii="宋体" w:hAnsi="宋体" w:cs="宋体"/>
          <w:color w:val="000000" w:themeColor="text1"/>
          <w:szCs w:val="32"/>
          <w:lang w:eastAsia="zh-Hans"/>
          <w14:textFill>
            <w14:solidFill>
              <w14:schemeClr w14:val="tx1"/>
            </w14:solidFill>
          </w14:textFill>
        </w:rPr>
        <w:t>等功能模块。</w:t>
      </w:r>
    </w:p>
    <w:p>
      <w:pPr>
        <w:adjustRightInd w:val="0"/>
        <w:snapToGrid w:val="0"/>
        <w:spacing w:line="440" w:lineRule="exact"/>
        <w:ind w:firstLine="424" w:firstLineChars="200"/>
        <w:rPr>
          <w:rFonts w:ascii="宋体" w:hAnsi="宋体" w:cs="宋体"/>
          <w:b/>
          <w:bCs/>
          <w:color w:val="000000" w:themeColor="text1"/>
          <w:szCs w:val="32"/>
          <w14:textFill>
            <w14:solidFill>
              <w14:schemeClr w14:val="tx1"/>
            </w14:solidFill>
          </w14:textFill>
        </w:rPr>
      </w:pPr>
      <w:bookmarkStart w:id="52" w:name="_Toc50634173"/>
      <w:r>
        <w:rPr>
          <w:rFonts w:hint="eastAsia" w:ascii="宋体" w:hAnsi="宋体" w:cs="宋体"/>
          <w:b/>
          <w:bCs/>
          <w:color w:val="000000" w:themeColor="text1"/>
          <w:szCs w:val="32"/>
          <w14:textFill>
            <w14:solidFill>
              <w14:schemeClr w14:val="tx1"/>
            </w14:solidFill>
          </w14:textFill>
        </w:rPr>
        <w:t>（</w:t>
      </w:r>
      <w:r>
        <w:rPr>
          <w:rFonts w:ascii="宋体" w:hAnsi="宋体" w:cs="宋体"/>
          <w:b/>
          <w:bCs/>
          <w:color w:val="000000" w:themeColor="text1"/>
          <w:szCs w:val="32"/>
          <w14:textFill>
            <w14:solidFill>
              <w14:schemeClr w14:val="tx1"/>
            </w14:solidFill>
          </w14:textFill>
        </w:rPr>
        <w:t>2</w:t>
      </w:r>
      <w:r>
        <w:rPr>
          <w:rFonts w:hint="eastAsia" w:ascii="宋体" w:hAnsi="宋体" w:cs="宋体"/>
          <w:b/>
          <w:bCs/>
          <w:color w:val="000000" w:themeColor="text1"/>
          <w:szCs w:val="32"/>
          <w14:textFill>
            <w14:solidFill>
              <w14:schemeClr w14:val="tx1"/>
            </w14:solidFill>
          </w14:textFill>
        </w:rPr>
        <w:t>）设备管理</w:t>
      </w:r>
      <w:bookmarkEnd w:id="52"/>
    </w:p>
    <w:p>
      <w:pPr>
        <w:adjustRightInd w:val="0"/>
        <w:snapToGrid w:val="0"/>
        <w:spacing w:line="440" w:lineRule="exact"/>
        <w:ind w:firstLine="424"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设备管理可为农田设备提供全生命周期的管理功能。它可对设备全生命周期内的运行状态进行实时管理，远程配置和固件升级，并提供设备级错误报告，增强运维单位对物联网感知设备的管理能力。平台还可以保存所有操作维护的历史数据，包括时间、用户、具体操作、操作对象和结果等。</w:t>
      </w:r>
    </w:p>
    <w:p>
      <w:pPr>
        <w:adjustRightInd w:val="0"/>
        <w:snapToGrid w:val="0"/>
        <w:spacing w:line="440" w:lineRule="exact"/>
        <w:ind w:firstLine="424" w:firstLineChars="200"/>
        <w:rPr>
          <w:rFonts w:ascii="宋体" w:hAnsi="宋体" w:cs="宋体"/>
          <w:color w:val="000000" w:themeColor="text1"/>
          <w:szCs w:val="32"/>
          <w:lang w:eastAsia="zh-Hans"/>
          <w14:textFill>
            <w14:solidFill>
              <w14:schemeClr w14:val="tx1"/>
            </w14:solidFill>
          </w14:textFill>
        </w:rPr>
      </w:pPr>
      <w:r>
        <w:rPr>
          <w:rFonts w:hint="eastAsia" w:ascii="宋体" w:hAnsi="宋体" w:cs="宋体"/>
          <w:color w:val="000000" w:themeColor="text1"/>
          <w:szCs w:val="32"/>
          <w:lang w:eastAsia="zh-Hans"/>
          <w14:textFill>
            <w14:solidFill>
              <w14:schemeClr w14:val="tx1"/>
            </w14:solidFill>
          </w14:textFill>
        </w:rPr>
        <w:t>支持设备生命周期管理，产品管理，设备标签，固件升级，远程配置，数据存储，物模型，设备影子，设备检索，数据解析，虚拟设备，告警中心等功能模块。</w:t>
      </w:r>
    </w:p>
    <w:p>
      <w:pPr>
        <w:adjustRightInd w:val="0"/>
        <w:snapToGrid w:val="0"/>
        <w:spacing w:line="440" w:lineRule="exact"/>
        <w:ind w:firstLine="424" w:firstLineChars="200"/>
        <w:rPr>
          <w:rFonts w:ascii="宋体" w:hAnsi="宋体" w:cs="宋体"/>
          <w:b/>
          <w:bCs/>
          <w:color w:val="000000" w:themeColor="text1"/>
          <w:szCs w:val="32"/>
          <w14:textFill>
            <w14:solidFill>
              <w14:schemeClr w14:val="tx1"/>
            </w14:solidFill>
          </w14:textFill>
        </w:rPr>
      </w:pPr>
      <w:bookmarkStart w:id="53" w:name="_Toc50634174"/>
      <w:r>
        <w:rPr>
          <w:rFonts w:hint="eastAsia" w:ascii="宋体" w:hAnsi="宋体" w:cs="宋体"/>
          <w:b/>
          <w:bCs/>
          <w:color w:val="000000" w:themeColor="text1"/>
          <w:szCs w:val="32"/>
          <w14:textFill>
            <w14:solidFill>
              <w14:schemeClr w14:val="tx1"/>
            </w14:solidFill>
          </w14:textFill>
        </w:rPr>
        <w:t>（3）设备数据传输安全管理</w:t>
      </w:r>
      <w:bookmarkEnd w:id="53"/>
    </w:p>
    <w:p>
      <w:pPr>
        <w:adjustRightInd w:val="0"/>
        <w:snapToGrid w:val="0"/>
        <w:spacing w:line="440" w:lineRule="exact"/>
        <w:ind w:firstLine="424"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对连接的设备，平台提供安全传输机制，支持TLS（MQTT\HTTP）等数据传输通道，保证数据的机密性和完整性；提供一机一密的设备认证机制，降低设备被攻击的安全风险。主要包括安全风险监测和评估、安全防护策略、高级安全防护策略、漏洞监测与处理、安全基线管理、安全基线防护、安全日志及审计日志管理等</w:t>
      </w:r>
    </w:p>
    <w:p>
      <w:pPr>
        <w:adjustRightInd w:val="0"/>
        <w:snapToGrid w:val="0"/>
        <w:spacing w:line="440" w:lineRule="exact"/>
        <w:ind w:firstLine="424" w:firstLineChars="200"/>
        <w:rPr>
          <w:rFonts w:ascii="宋体" w:hAnsi="宋体" w:cs="宋体"/>
          <w:b/>
          <w:bCs/>
          <w:color w:val="000000" w:themeColor="text1"/>
          <w:szCs w:val="32"/>
          <w14:textFill>
            <w14:solidFill>
              <w14:schemeClr w14:val="tx1"/>
            </w14:solidFill>
          </w14:textFill>
        </w:rPr>
      </w:pPr>
      <w:bookmarkStart w:id="54" w:name="_Toc50634175"/>
      <w:r>
        <w:rPr>
          <w:rFonts w:hint="eastAsia" w:ascii="宋体" w:hAnsi="宋体" w:cs="宋体"/>
          <w:b/>
          <w:bCs/>
          <w:color w:val="000000" w:themeColor="text1"/>
          <w:szCs w:val="32"/>
          <w14:textFill>
            <w14:solidFill>
              <w14:schemeClr w14:val="tx1"/>
            </w14:solidFill>
          </w14:textFill>
        </w:rPr>
        <w:t>（</w:t>
      </w:r>
      <w:r>
        <w:rPr>
          <w:rFonts w:ascii="宋体" w:hAnsi="宋体" w:cs="宋体"/>
          <w:b/>
          <w:bCs/>
          <w:color w:val="000000" w:themeColor="text1"/>
          <w:szCs w:val="32"/>
          <w14:textFill>
            <w14:solidFill>
              <w14:schemeClr w14:val="tx1"/>
            </w14:solidFill>
          </w14:textFill>
        </w:rPr>
        <w:t>4</w:t>
      </w:r>
      <w:r>
        <w:rPr>
          <w:rFonts w:hint="eastAsia" w:ascii="宋体" w:hAnsi="宋体" w:cs="宋体"/>
          <w:b/>
          <w:bCs/>
          <w:color w:val="000000" w:themeColor="text1"/>
          <w:szCs w:val="32"/>
          <w14:textFill>
            <w14:solidFill>
              <w14:schemeClr w14:val="tx1"/>
            </w14:solidFill>
          </w14:textFill>
        </w:rPr>
        <w:t>）视频云服务</w:t>
      </w:r>
      <w:bookmarkEnd w:id="54"/>
      <w:r>
        <w:rPr>
          <w:rFonts w:hint="eastAsia" w:ascii="宋体" w:hAnsi="宋体" w:cs="宋体"/>
          <w:b/>
          <w:bCs/>
          <w:color w:val="000000" w:themeColor="text1"/>
          <w:szCs w:val="32"/>
          <w:lang w:eastAsia="zh-Hans"/>
          <w14:textFill>
            <w14:solidFill>
              <w14:schemeClr w14:val="tx1"/>
            </w14:solidFill>
          </w14:textFill>
        </w:rPr>
        <w:t>应用</w:t>
      </w:r>
    </w:p>
    <w:p>
      <w:pPr>
        <w:adjustRightInd w:val="0"/>
        <w:snapToGrid w:val="0"/>
        <w:spacing w:line="440" w:lineRule="exact"/>
        <w:ind w:firstLine="424"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视频云服务的基础功能是为业务应用提供视频服务，将整个生产区的视频图像数据接入到云端，可对作物的生长过程进行有效的监控。视频可通过</w:t>
      </w:r>
      <w:r>
        <w:rPr>
          <w:rFonts w:ascii="宋体" w:hAnsi="宋体" w:cs="宋体"/>
          <w:color w:val="000000" w:themeColor="text1"/>
          <w:szCs w:val="32"/>
          <w14:textFill>
            <w14:solidFill>
              <w14:schemeClr w14:val="tx1"/>
            </w14:solidFill>
          </w14:textFill>
        </w:rPr>
        <w:t>IPC</w:t>
      </w:r>
      <w:r>
        <w:rPr>
          <w:rFonts w:hint="eastAsia" w:ascii="宋体" w:hAnsi="宋体" w:cs="宋体"/>
          <w:color w:val="000000" w:themeColor="text1"/>
          <w:szCs w:val="32"/>
          <w14:textFill>
            <w14:solidFill>
              <w14:schemeClr w14:val="tx1"/>
            </w14:solidFill>
          </w14:textFill>
        </w:rPr>
        <w:t>直连等方式，实现视频数据的接入。支持国标</w:t>
      </w:r>
      <w:r>
        <w:rPr>
          <w:rFonts w:ascii="宋体" w:hAnsi="宋体" w:cs="宋体"/>
          <w:color w:val="000000" w:themeColor="text1"/>
          <w:szCs w:val="32"/>
          <w14:textFill>
            <w14:solidFill>
              <w14:schemeClr w14:val="tx1"/>
            </w14:solidFill>
          </w14:textFill>
        </w:rPr>
        <w:t>GB/T 28181</w:t>
      </w:r>
      <w:r>
        <w:rPr>
          <w:rFonts w:hint="eastAsia" w:ascii="宋体" w:hAnsi="宋体" w:cs="宋体"/>
          <w:color w:val="000000" w:themeColor="text1"/>
          <w:szCs w:val="32"/>
          <w14:textFill>
            <w14:solidFill>
              <w14:schemeClr w14:val="tx1"/>
            </w14:solidFill>
          </w14:textFill>
        </w:rPr>
        <w:t>、</w:t>
      </w:r>
      <w:r>
        <w:rPr>
          <w:rFonts w:ascii="宋体" w:hAnsi="宋体" w:cs="宋体"/>
          <w:color w:val="000000" w:themeColor="text1"/>
          <w:szCs w:val="32"/>
          <w14:textFill>
            <w14:solidFill>
              <w14:schemeClr w14:val="tx1"/>
            </w14:solidFill>
          </w14:textFill>
        </w:rPr>
        <w:t>ONVIF</w:t>
      </w:r>
      <w:r>
        <w:rPr>
          <w:rFonts w:hint="eastAsia" w:ascii="宋体" w:hAnsi="宋体" w:cs="宋体"/>
          <w:color w:val="000000" w:themeColor="text1"/>
          <w:szCs w:val="32"/>
          <w14:textFill>
            <w14:solidFill>
              <w14:schemeClr w14:val="tx1"/>
            </w14:solidFill>
          </w14:textFill>
        </w:rPr>
        <w:t>等协议的。支持视频直播、录像、存储、报警、语音、控制等基础视频功能，服务</w:t>
      </w:r>
      <w:r>
        <w:rPr>
          <w:rFonts w:ascii="宋体" w:hAnsi="宋体" w:cs="宋体"/>
          <w:color w:val="000000" w:themeColor="text1"/>
          <w:szCs w:val="32"/>
          <w14:textFill>
            <w14:solidFill>
              <w14:schemeClr w14:val="tx1"/>
            </w14:solidFill>
          </w14:textFill>
        </w:rPr>
        <w:t>API</w:t>
      </w:r>
      <w:r>
        <w:rPr>
          <w:rFonts w:hint="eastAsia" w:ascii="宋体" w:hAnsi="宋体" w:cs="宋体"/>
          <w:color w:val="000000" w:themeColor="text1"/>
          <w:szCs w:val="32"/>
          <w14:textFill>
            <w14:solidFill>
              <w14:schemeClr w14:val="tx1"/>
            </w14:solidFill>
          </w14:textFill>
        </w:rPr>
        <w:t>提供方面，提供丰富的</w:t>
      </w:r>
      <w:r>
        <w:rPr>
          <w:rFonts w:ascii="宋体" w:hAnsi="宋体" w:cs="宋体"/>
          <w:color w:val="000000" w:themeColor="text1"/>
          <w:szCs w:val="32"/>
          <w14:textFill>
            <w14:solidFill>
              <w14:schemeClr w14:val="tx1"/>
            </w14:solidFill>
          </w14:textFill>
        </w:rPr>
        <w:t>API</w:t>
      </w:r>
      <w:r>
        <w:rPr>
          <w:rFonts w:hint="eastAsia" w:ascii="宋体" w:hAnsi="宋体" w:cs="宋体"/>
          <w:color w:val="000000" w:themeColor="text1"/>
          <w:szCs w:val="32"/>
          <w14:textFill>
            <w14:solidFill>
              <w14:schemeClr w14:val="tx1"/>
            </w14:solidFill>
          </w14:textFill>
        </w:rPr>
        <w:t>与</w:t>
      </w:r>
      <w:r>
        <w:rPr>
          <w:rFonts w:ascii="宋体" w:hAnsi="宋体" w:cs="宋体"/>
          <w:color w:val="000000" w:themeColor="text1"/>
          <w:szCs w:val="32"/>
          <w14:textFill>
            <w14:solidFill>
              <w14:schemeClr w14:val="tx1"/>
            </w14:solidFill>
          </w14:textFill>
        </w:rPr>
        <w:t>SDK,</w:t>
      </w:r>
      <w:r>
        <w:rPr>
          <w:rFonts w:hint="eastAsia" w:ascii="宋体" w:hAnsi="宋体" w:cs="宋体"/>
          <w:color w:val="000000" w:themeColor="text1"/>
          <w:szCs w:val="32"/>
          <w14:textFill>
            <w14:solidFill>
              <w14:schemeClr w14:val="tx1"/>
            </w14:solidFill>
          </w14:textFill>
        </w:rPr>
        <w:t>帮助用户快速完成视频场景的搭建。</w:t>
      </w:r>
    </w:p>
    <w:p>
      <w:pPr>
        <w:adjustRightInd w:val="0"/>
        <w:snapToGrid w:val="0"/>
        <w:spacing w:line="440" w:lineRule="exact"/>
        <w:ind w:firstLine="424" w:firstLineChars="200"/>
        <w:rPr>
          <w:rFonts w:ascii="宋体" w:hAnsi="宋体" w:cs="宋体"/>
          <w:color w:val="000000" w:themeColor="text1"/>
          <w:szCs w:val="32"/>
          <w:lang w:eastAsia="zh-Hans"/>
          <w14:textFill>
            <w14:solidFill>
              <w14:schemeClr w14:val="tx1"/>
            </w14:solidFill>
          </w14:textFill>
        </w:rPr>
      </w:pPr>
      <w:r>
        <w:rPr>
          <w:rFonts w:hint="eastAsia" w:ascii="宋体" w:hAnsi="宋体" w:cs="宋体"/>
          <w:color w:val="000000" w:themeColor="text1"/>
          <w:szCs w:val="32"/>
          <w:lang w:eastAsia="zh-Hans"/>
          <w14:textFill>
            <w14:solidFill>
              <w14:schemeClr w14:val="tx1"/>
            </w14:solidFill>
          </w14:textFill>
        </w:rPr>
        <w:t>支持本地视频接入、视频直播、视频点播、视频存储、报警上报、设备控制、设备接入、设备管理、权限管理、服务端</w:t>
      </w:r>
      <w:r>
        <w:rPr>
          <w:rFonts w:ascii="宋体" w:hAnsi="宋体" w:cs="宋体"/>
          <w:color w:val="000000" w:themeColor="text1"/>
          <w:szCs w:val="32"/>
          <w:lang w:eastAsia="zh-Hans"/>
          <w14:textFill>
            <w14:solidFill>
              <w14:schemeClr w14:val="tx1"/>
            </w14:solidFill>
          </w14:textFill>
        </w:rPr>
        <w:t>API</w:t>
      </w:r>
      <w:r>
        <w:rPr>
          <w:rFonts w:hint="eastAsia" w:ascii="宋体" w:hAnsi="宋体" w:cs="宋体"/>
          <w:color w:val="000000" w:themeColor="text1"/>
          <w:szCs w:val="32"/>
          <w:lang w:eastAsia="zh-Hans"/>
          <w14:textFill>
            <w14:solidFill>
              <w14:schemeClr w14:val="tx1"/>
            </w14:solidFill>
          </w14:textFill>
        </w:rPr>
        <w:t>等功能模块。</w:t>
      </w:r>
    </w:p>
    <w:p>
      <w:pPr>
        <w:adjustRightInd w:val="0"/>
        <w:snapToGrid w:val="0"/>
        <w:spacing w:line="440" w:lineRule="exact"/>
        <w:ind w:firstLine="424" w:firstLineChars="200"/>
        <w:rPr>
          <w:rFonts w:ascii="宋体" w:hAnsi="宋体" w:cs="宋体"/>
          <w:b/>
          <w:bCs/>
          <w:color w:val="000000" w:themeColor="text1"/>
          <w:szCs w:val="32"/>
          <w14:textFill>
            <w14:solidFill>
              <w14:schemeClr w14:val="tx1"/>
            </w14:solidFill>
          </w14:textFill>
        </w:rPr>
      </w:pPr>
      <w:bookmarkStart w:id="55" w:name="_Toc50634176"/>
      <w:r>
        <w:rPr>
          <w:rFonts w:hint="eastAsia" w:ascii="宋体" w:hAnsi="宋体" w:cs="宋体"/>
          <w:b/>
          <w:bCs/>
          <w:color w:val="000000" w:themeColor="text1"/>
          <w:szCs w:val="32"/>
          <w14:textFill>
            <w14:solidFill>
              <w14:schemeClr w14:val="tx1"/>
            </w14:solidFill>
          </w14:textFill>
        </w:rPr>
        <w:t>（</w:t>
      </w:r>
      <w:r>
        <w:rPr>
          <w:rFonts w:ascii="宋体" w:hAnsi="宋体" w:cs="宋体"/>
          <w:b/>
          <w:bCs/>
          <w:color w:val="000000" w:themeColor="text1"/>
          <w:szCs w:val="32"/>
          <w14:textFill>
            <w14:solidFill>
              <w14:schemeClr w14:val="tx1"/>
            </w14:solidFill>
          </w14:textFill>
        </w:rPr>
        <w:t>5</w:t>
      </w:r>
      <w:r>
        <w:rPr>
          <w:rFonts w:hint="eastAsia" w:ascii="宋体" w:hAnsi="宋体" w:cs="宋体"/>
          <w:b/>
          <w:bCs/>
          <w:color w:val="000000" w:themeColor="text1"/>
          <w:szCs w:val="32"/>
          <w14:textFill>
            <w14:solidFill>
              <w14:schemeClr w14:val="tx1"/>
            </w14:solidFill>
          </w14:textFill>
        </w:rPr>
        <w:t>）物联网可视化展示</w:t>
      </w:r>
      <w:bookmarkEnd w:id="55"/>
      <w:r>
        <w:rPr>
          <w:rFonts w:hint="eastAsia" w:ascii="宋体" w:hAnsi="宋体" w:cs="宋体"/>
          <w:b/>
          <w:bCs/>
          <w:color w:val="000000" w:themeColor="text1"/>
          <w:szCs w:val="32"/>
          <w:lang w:eastAsia="zh-Hans"/>
          <w14:textFill>
            <w14:solidFill>
              <w14:schemeClr w14:val="tx1"/>
            </w14:solidFill>
          </w14:textFill>
        </w:rPr>
        <w:t>应用</w:t>
      </w:r>
    </w:p>
    <w:p>
      <w:pPr>
        <w:adjustRightInd w:val="0"/>
        <w:snapToGrid w:val="0"/>
        <w:spacing w:line="440" w:lineRule="exact"/>
        <w:ind w:firstLine="424" w:firstLineChars="200"/>
        <w:rPr>
          <w:rFonts w:ascii="宋体" w:hAnsi="宋体" w:cs="宋体"/>
          <w:color w:val="000000" w:themeColor="text1"/>
          <w:szCs w:val="32"/>
          <w:lang w:eastAsia="zh-Hans"/>
          <w14:textFill>
            <w14:solidFill>
              <w14:schemeClr w14:val="tx1"/>
            </w14:solidFill>
          </w14:textFill>
        </w:rPr>
      </w:pPr>
      <w:r>
        <w:rPr>
          <w:rFonts w:hint="eastAsia" w:ascii="宋体" w:hAnsi="宋体" w:cs="宋体"/>
          <w:color w:val="000000" w:themeColor="text1"/>
          <w:szCs w:val="32"/>
          <w:lang w:eastAsia="zh-Hans"/>
          <w14:textFill>
            <w14:solidFill>
              <w14:schemeClr w14:val="tx1"/>
            </w14:solidFill>
          </w14:textFill>
        </w:rPr>
        <w:t>以图形化的方式，全部展示接入物联网那平台的设备分布情况，使用情况，运行情况等内容。</w:t>
      </w:r>
    </w:p>
    <w:p>
      <w:pPr>
        <w:adjustRightInd w:val="0"/>
        <w:snapToGrid w:val="0"/>
        <w:spacing w:line="440" w:lineRule="exact"/>
        <w:ind w:firstLine="424" w:firstLineChars="200"/>
        <w:rPr>
          <w:rFonts w:ascii="宋体" w:hAnsi="宋体" w:cs="宋体"/>
          <w:color w:val="000000" w:themeColor="text1"/>
          <w:szCs w:val="32"/>
          <w:lang w:eastAsia="zh-Hans"/>
          <w14:textFill>
            <w14:solidFill>
              <w14:schemeClr w14:val="tx1"/>
            </w14:solidFill>
          </w14:textFill>
        </w:rPr>
      </w:pPr>
      <w:r>
        <w:rPr>
          <w:rFonts w:hint="eastAsia" w:ascii="宋体" w:hAnsi="宋体" w:cs="宋体"/>
          <w:color w:val="000000" w:themeColor="text1"/>
          <w:szCs w:val="32"/>
          <w:lang w:eastAsia="zh-Hans"/>
          <w14:textFill>
            <w14:solidFill>
              <w14:schemeClr w14:val="tx1"/>
            </w14:solidFill>
          </w14:textFill>
        </w:rPr>
        <w:t>支持空间配置管理、空间场景规则、三维可视化配置、场景告警规则配置等功能模块。</w:t>
      </w:r>
    </w:p>
    <w:p>
      <w:pPr>
        <w:adjustRightInd w:val="0"/>
        <w:snapToGrid w:val="0"/>
        <w:spacing w:line="440" w:lineRule="exact"/>
        <w:ind w:firstLine="424" w:firstLineChars="200"/>
        <w:rPr>
          <w:rFonts w:ascii="宋体" w:hAnsi="宋体" w:cs="宋体"/>
          <w:b/>
          <w:bCs/>
          <w:color w:val="000000" w:themeColor="text1"/>
          <w:szCs w:val="32"/>
          <w:lang w:eastAsia="zh-Hans"/>
          <w14:textFill>
            <w14:solidFill>
              <w14:schemeClr w14:val="tx1"/>
            </w14:solidFill>
          </w14:textFill>
        </w:rPr>
      </w:pPr>
      <w:r>
        <w:rPr>
          <w:rFonts w:hint="eastAsia" w:ascii="宋体" w:hAnsi="宋体" w:cs="宋体"/>
          <w:b/>
          <w:bCs/>
          <w:color w:val="000000" w:themeColor="text1"/>
          <w:szCs w:val="32"/>
          <w:lang w:eastAsia="zh-Hans"/>
          <w14:textFill>
            <w14:solidFill>
              <w14:schemeClr w14:val="tx1"/>
            </w14:solidFill>
          </w14:textFill>
        </w:rPr>
        <w:t>（</w:t>
      </w:r>
      <w:r>
        <w:rPr>
          <w:rFonts w:ascii="宋体" w:hAnsi="宋体" w:cs="宋体"/>
          <w:b/>
          <w:bCs/>
          <w:color w:val="000000" w:themeColor="text1"/>
          <w:szCs w:val="32"/>
          <w:lang w:eastAsia="zh-Hans"/>
          <w14:textFill>
            <w14:solidFill>
              <w14:schemeClr w14:val="tx1"/>
            </w14:solidFill>
          </w14:textFill>
        </w:rPr>
        <w:t>6</w:t>
      </w:r>
      <w:r>
        <w:rPr>
          <w:rFonts w:hint="eastAsia" w:ascii="宋体" w:hAnsi="宋体" w:cs="宋体"/>
          <w:b/>
          <w:bCs/>
          <w:color w:val="000000" w:themeColor="text1"/>
          <w:szCs w:val="32"/>
          <w:lang w:eastAsia="zh-Hans"/>
          <w14:textFill>
            <w14:solidFill>
              <w14:schemeClr w14:val="tx1"/>
            </w14:solidFill>
          </w14:textFill>
        </w:rPr>
        <w:t>）人员</w:t>
      </w:r>
      <w:r>
        <w:rPr>
          <w:rFonts w:ascii="宋体" w:hAnsi="宋体" w:cs="宋体"/>
          <w:b/>
          <w:bCs/>
          <w:color w:val="000000" w:themeColor="text1"/>
          <w:szCs w:val="32"/>
          <w:lang w:eastAsia="zh-Hans"/>
          <w14:textFill>
            <w14:solidFill>
              <w14:schemeClr w14:val="tx1"/>
            </w14:solidFill>
          </w14:textFill>
        </w:rPr>
        <w:t>/</w:t>
      </w:r>
      <w:r>
        <w:rPr>
          <w:rFonts w:hint="eastAsia" w:ascii="宋体" w:hAnsi="宋体" w:cs="宋体"/>
          <w:b/>
          <w:bCs/>
          <w:color w:val="000000" w:themeColor="text1"/>
          <w:szCs w:val="32"/>
          <w:lang w:eastAsia="zh-Hans"/>
          <w14:textFill>
            <w14:solidFill>
              <w14:schemeClr w14:val="tx1"/>
            </w14:solidFill>
          </w14:textFill>
        </w:rPr>
        <w:t>组织</w:t>
      </w:r>
      <w:r>
        <w:rPr>
          <w:rFonts w:ascii="宋体" w:hAnsi="宋体" w:cs="宋体"/>
          <w:b/>
          <w:bCs/>
          <w:color w:val="000000" w:themeColor="text1"/>
          <w:szCs w:val="32"/>
          <w:lang w:eastAsia="zh-Hans"/>
          <w14:textFill>
            <w14:solidFill>
              <w14:schemeClr w14:val="tx1"/>
            </w14:solidFill>
          </w14:textFill>
        </w:rPr>
        <w:t>/</w:t>
      </w:r>
      <w:r>
        <w:rPr>
          <w:rFonts w:hint="eastAsia" w:ascii="宋体" w:hAnsi="宋体" w:cs="宋体"/>
          <w:b/>
          <w:bCs/>
          <w:color w:val="000000" w:themeColor="text1"/>
          <w:szCs w:val="32"/>
          <w:lang w:eastAsia="zh-Hans"/>
          <w14:textFill>
            <w14:solidFill>
              <w14:schemeClr w14:val="tx1"/>
            </w14:solidFill>
          </w14:textFill>
        </w:rPr>
        <w:t>权限管理</w:t>
      </w:r>
    </w:p>
    <w:p>
      <w:pPr>
        <w:adjustRightInd w:val="0"/>
        <w:snapToGrid w:val="0"/>
        <w:spacing w:line="440" w:lineRule="exact"/>
        <w:ind w:firstLine="424" w:firstLineChars="200"/>
        <w:rPr>
          <w:rFonts w:ascii="宋体" w:hAnsi="宋体" w:cs="宋体"/>
          <w:color w:val="000000" w:themeColor="text1"/>
          <w:szCs w:val="32"/>
          <w:lang w:eastAsia="zh-Hans"/>
          <w14:textFill>
            <w14:solidFill>
              <w14:schemeClr w14:val="tx1"/>
            </w14:solidFill>
          </w14:textFill>
        </w:rPr>
      </w:pPr>
      <w:r>
        <w:rPr>
          <w:rFonts w:hint="eastAsia" w:ascii="宋体" w:hAnsi="宋体" w:cs="宋体"/>
          <w:color w:val="000000" w:themeColor="text1"/>
          <w:szCs w:val="32"/>
          <w:lang w:eastAsia="zh-Hans"/>
          <w14:textFill>
            <w14:solidFill>
              <w14:schemeClr w14:val="tx1"/>
            </w14:solidFill>
          </w14:textFill>
        </w:rPr>
        <w:t>提供统一的人员、组织机构、校色和权限管理能力，满足企业</w:t>
      </w:r>
      <w:r>
        <w:rPr>
          <w:rFonts w:ascii="宋体" w:hAnsi="宋体" w:cs="宋体"/>
          <w:color w:val="000000" w:themeColor="text1"/>
          <w:szCs w:val="32"/>
          <w:lang w:eastAsia="zh-Hans"/>
          <w14:textFill>
            <w14:solidFill>
              <w14:schemeClr w14:val="tx1"/>
            </w14:solidFill>
          </w14:textFill>
        </w:rPr>
        <w:t>/</w:t>
      </w:r>
      <w:r>
        <w:rPr>
          <w:rFonts w:hint="eastAsia" w:ascii="宋体" w:hAnsi="宋体" w:cs="宋体"/>
          <w:color w:val="000000" w:themeColor="text1"/>
          <w:szCs w:val="32"/>
          <w:lang w:eastAsia="zh-Hans"/>
          <w14:textFill>
            <w14:solidFill>
              <w14:schemeClr w14:val="tx1"/>
            </w14:solidFill>
          </w14:textFill>
        </w:rPr>
        <w:t>项目的日常人员管理使用；</w:t>
      </w:r>
    </w:p>
    <w:p>
      <w:pPr>
        <w:adjustRightInd w:val="0"/>
        <w:snapToGrid w:val="0"/>
        <w:spacing w:line="440" w:lineRule="exact"/>
        <w:ind w:firstLine="424" w:firstLineChars="200"/>
        <w:rPr>
          <w:rFonts w:ascii="宋体" w:hAnsi="宋体" w:cs="宋体"/>
          <w:b/>
          <w:bCs/>
          <w:color w:val="000000" w:themeColor="text1"/>
          <w:szCs w:val="32"/>
          <w:lang w:eastAsia="zh-Hans"/>
          <w14:textFill>
            <w14:solidFill>
              <w14:schemeClr w14:val="tx1"/>
            </w14:solidFill>
          </w14:textFill>
        </w:rPr>
      </w:pPr>
      <w:r>
        <w:rPr>
          <w:rFonts w:hint="eastAsia" w:ascii="宋体" w:hAnsi="宋体" w:cs="宋体"/>
          <w:b/>
          <w:bCs/>
          <w:color w:val="000000" w:themeColor="text1"/>
          <w:szCs w:val="32"/>
          <w:lang w:eastAsia="zh-Hans"/>
          <w14:textFill>
            <w14:solidFill>
              <w14:schemeClr w14:val="tx1"/>
            </w14:solidFill>
          </w14:textFill>
        </w:rPr>
        <w:t>（</w:t>
      </w:r>
      <w:r>
        <w:rPr>
          <w:rFonts w:ascii="宋体" w:hAnsi="宋体" w:cs="宋体"/>
          <w:b/>
          <w:bCs/>
          <w:color w:val="000000" w:themeColor="text1"/>
          <w:szCs w:val="32"/>
          <w:lang w:eastAsia="zh-Hans"/>
          <w14:textFill>
            <w14:solidFill>
              <w14:schemeClr w14:val="tx1"/>
            </w14:solidFill>
          </w14:textFill>
        </w:rPr>
        <w:t>7</w:t>
      </w:r>
      <w:r>
        <w:rPr>
          <w:rFonts w:hint="eastAsia" w:ascii="宋体" w:hAnsi="宋体" w:cs="宋体"/>
          <w:b/>
          <w:bCs/>
          <w:color w:val="000000" w:themeColor="text1"/>
          <w:szCs w:val="32"/>
          <w:lang w:eastAsia="zh-Hans"/>
          <w14:textFill>
            <w14:solidFill>
              <w14:schemeClr w14:val="tx1"/>
            </w14:solidFill>
          </w14:textFill>
        </w:rPr>
        <w:t>）告警服务</w:t>
      </w:r>
    </w:p>
    <w:p>
      <w:pPr>
        <w:adjustRightInd w:val="0"/>
        <w:snapToGrid w:val="0"/>
        <w:spacing w:line="440" w:lineRule="exact"/>
        <w:ind w:firstLine="424" w:firstLineChars="200"/>
        <w:rPr>
          <w:color w:val="000000" w:themeColor="text1"/>
          <w:lang w:eastAsia="zh-Hans"/>
          <w14:textFill>
            <w14:solidFill>
              <w14:schemeClr w14:val="tx1"/>
            </w14:solidFill>
          </w14:textFill>
        </w:rPr>
      </w:pPr>
      <w:r>
        <w:rPr>
          <w:rFonts w:hint="eastAsia" w:ascii="宋体" w:hAnsi="宋体" w:cs="宋体"/>
          <w:color w:val="000000" w:themeColor="text1"/>
          <w:szCs w:val="32"/>
          <w:lang w:eastAsia="zh-Hans"/>
          <w14:textFill>
            <w14:solidFill>
              <w14:schemeClr w14:val="tx1"/>
            </w14:solidFill>
          </w14:textFill>
        </w:rPr>
        <w:t>告警服务提供告警配置和告警中心，可根据设备属性、设备状态、空间位置等信息，来定义告警时间及其通知方式。</w:t>
      </w:r>
    </w:p>
    <w:p>
      <w:pPr>
        <w:adjustRightInd w:val="0"/>
        <w:snapToGrid w:val="0"/>
        <w:spacing w:line="440" w:lineRule="exact"/>
        <w:ind w:firstLine="424" w:firstLineChars="200"/>
        <w:rPr>
          <w:rFonts w:ascii="宋体" w:hAnsi="宋体" w:cs="宋体"/>
          <w:b/>
          <w:bCs/>
          <w:color w:val="000000" w:themeColor="text1"/>
          <w:szCs w:val="21"/>
          <w:lang w:eastAsia="zh-Hans"/>
          <w14:textFill>
            <w14:solidFill>
              <w14:schemeClr w14:val="tx1"/>
            </w14:solidFill>
          </w14:textFill>
        </w:rPr>
      </w:pPr>
      <w:bookmarkStart w:id="56" w:name="_Toc932534832"/>
      <w:r>
        <w:rPr>
          <w:rFonts w:ascii="宋体" w:hAnsi="宋体" w:cs="宋体"/>
          <w:b/>
          <w:bCs/>
          <w:color w:val="000000" w:themeColor="text1"/>
          <w:szCs w:val="21"/>
          <w:lang w:eastAsia="zh-Hans"/>
          <w14:textFill>
            <w14:solidFill>
              <w14:schemeClr w14:val="tx1"/>
            </w14:solidFill>
          </w14:textFill>
        </w:rPr>
        <w:t>2.</w:t>
      </w:r>
      <w:r>
        <w:rPr>
          <w:rFonts w:hint="eastAsia" w:ascii="宋体" w:hAnsi="宋体" w:cs="宋体"/>
          <w:b/>
          <w:bCs/>
          <w:color w:val="000000" w:themeColor="text1"/>
          <w:szCs w:val="21"/>
          <w:lang w:eastAsia="zh-Hans"/>
          <w14:textFill>
            <w14:solidFill>
              <w14:schemeClr w14:val="tx1"/>
            </w14:solidFill>
          </w14:textFill>
        </w:rPr>
        <w:t>公共服务平台</w:t>
      </w:r>
      <w:bookmarkEnd w:id="56"/>
    </w:p>
    <w:p>
      <w:pPr>
        <w:spacing w:line="440" w:lineRule="exact"/>
        <w:ind w:firstLine="424"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乡村治，天下安。乡村治理是实施数字乡村战略的重要内容，也是推进国家治理体系和治理能力现代化的重要方面。加强和改进乡村治理，建立健全现代乡村社会治理体制，可以推动乡村社会走向善治。</w:t>
      </w:r>
      <w:r>
        <w:rPr>
          <w:rFonts w:hint="eastAsia" w:ascii="宋体" w:hAnsi="宋体" w:cs="宋体"/>
          <w:color w:val="000000" w:themeColor="text1"/>
          <w:szCs w:val="32"/>
          <w:lang w:eastAsia="zh-Hans"/>
          <w14:textFill>
            <w14:solidFill>
              <w14:schemeClr w14:val="tx1"/>
            </w14:solidFill>
          </w14:textFill>
        </w:rPr>
        <w:t>并为了</w:t>
      </w:r>
      <w:r>
        <w:rPr>
          <w:rFonts w:hint="eastAsia" w:ascii="宋体" w:hAnsi="宋体" w:cs="宋体"/>
          <w:color w:val="000000" w:themeColor="text1"/>
          <w:szCs w:val="32"/>
          <w14:textFill>
            <w14:solidFill>
              <w14:schemeClr w14:val="tx1"/>
            </w14:solidFill>
          </w14:textFill>
        </w:rPr>
        <w:t>更好服务于农村居民及经营主体，以农业农村业务及农户的需求为</w:t>
      </w:r>
      <w:r>
        <w:rPr>
          <w:rFonts w:hint="eastAsia" w:ascii="宋体" w:hAnsi="宋体" w:cs="宋体"/>
          <w:color w:val="000000" w:themeColor="text1"/>
          <w:szCs w:val="32"/>
          <w:lang w:eastAsia="zh-Hans"/>
          <w14:textFill>
            <w14:solidFill>
              <w14:schemeClr w14:val="tx1"/>
            </w14:solidFill>
          </w14:textFill>
        </w:rPr>
        <w:t>方向</w:t>
      </w:r>
      <w:r>
        <w:rPr>
          <w:rFonts w:hint="eastAsia" w:ascii="宋体" w:hAnsi="宋体" w:cs="宋体"/>
          <w:color w:val="000000" w:themeColor="text1"/>
          <w:szCs w:val="32"/>
          <w14:textFill>
            <w14:solidFill>
              <w14:schemeClr w14:val="tx1"/>
            </w14:solidFill>
          </w14:textFill>
        </w:rPr>
        <w:t>，</w:t>
      </w:r>
      <w:r>
        <w:rPr>
          <w:rFonts w:hint="eastAsia" w:ascii="宋体" w:hAnsi="宋体" w:cs="宋体"/>
          <w:color w:val="000000" w:themeColor="text1"/>
          <w:szCs w:val="32"/>
          <w:lang w:eastAsia="zh-Hans"/>
          <w14:textFill>
            <w14:solidFill>
              <w14:schemeClr w14:val="tx1"/>
            </w14:solidFill>
          </w14:textFill>
        </w:rPr>
        <w:t>乡村治理为中心</w:t>
      </w:r>
      <w:r>
        <w:rPr>
          <w:rFonts w:hint="eastAsia" w:ascii="宋体" w:hAnsi="宋体" w:cs="宋体"/>
          <w:color w:val="000000" w:themeColor="text1"/>
          <w:szCs w:val="32"/>
          <w14:textFill>
            <w14:solidFill>
              <w14:schemeClr w14:val="tx1"/>
            </w14:solidFill>
          </w14:textFill>
        </w:rPr>
        <w:t>的全方位、一体化、便捷的信息化</w:t>
      </w:r>
      <w:r>
        <w:rPr>
          <w:rFonts w:hint="eastAsia" w:ascii="宋体" w:hAnsi="宋体" w:cs="宋体"/>
          <w:color w:val="000000" w:themeColor="text1"/>
          <w:szCs w:val="32"/>
          <w:lang w:eastAsia="zh-Hans"/>
          <w14:textFill>
            <w14:solidFill>
              <w14:schemeClr w14:val="tx1"/>
            </w14:solidFill>
          </w14:textFill>
        </w:rPr>
        <w:t>公共服务</w:t>
      </w:r>
      <w:r>
        <w:rPr>
          <w:rFonts w:hint="eastAsia" w:ascii="宋体" w:hAnsi="宋体" w:cs="宋体"/>
          <w:color w:val="000000" w:themeColor="text1"/>
          <w:szCs w:val="32"/>
          <w14:textFill>
            <w14:solidFill>
              <w14:schemeClr w14:val="tx1"/>
            </w14:solidFill>
          </w14:textFill>
        </w:rPr>
        <w:t>平台。</w:t>
      </w:r>
    </w:p>
    <w:p>
      <w:pPr>
        <w:spacing w:line="440" w:lineRule="exact"/>
        <w:ind w:firstLine="424"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lang w:eastAsia="zh-Hans"/>
          <w14:textFill>
            <w14:solidFill>
              <w14:schemeClr w14:val="tx1"/>
            </w14:solidFill>
          </w14:textFill>
        </w:rPr>
        <w:t>公共服务平台</w:t>
      </w:r>
      <w:r>
        <w:rPr>
          <w:rFonts w:hint="eastAsia" w:ascii="宋体" w:hAnsi="宋体" w:cs="宋体"/>
          <w:color w:val="000000" w:themeColor="text1"/>
          <w:szCs w:val="32"/>
          <w14:textFill>
            <w14:solidFill>
              <w14:schemeClr w14:val="tx1"/>
            </w14:solidFill>
          </w14:textFill>
        </w:rPr>
        <w:t>以农村居民为主要服务对象，打造数字乡村治理和公共服务为一体的综合性平台。通过公共服务</w:t>
      </w:r>
      <w:r>
        <w:rPr>
          <w:rFonts w:hint="eastAsia" w:ascii="宋体" w:hAnsi="宋体" w:cs="宋体"/>
          <w:color w:val="000000" w:themeColor="text1"/>
          <w:szCs w:val="32"/>
          <w:lang w:eastAsia="zh-Hans"/>
          <w14:textFill>
            <w14:solidFill>
              <w14:schemeClr w14:val="tx1"/>
            </w14:solidFill>
          </w14:textFill>
        </w:rPr>
        <w:t>平台</w:t>
      </w:r>
      <w:r>
        <w:rPr>
          <w:rFonts w:hint="eastAsia" w:ascii="宋体" w:hAnsi="宋体" w:cs="宋体"/>
          <w:color w:val="000000" w:themeColor="text1"/>
          <w:szCs w:val="32"/>
          <w14:textFill>
            <w14:solidFill>
              <w14:schemeClr w14:val="tx1"/>
            </w14:solidFill>
          </w14:textFill>
        </w:rPr>
        <w:t>，围绕</w:t>
      </w:r>
      <w:r>
        <w:rPr>
          <w:rFonts w:hint="eastAsia" w:ascii="宋体" w:hAnsi="宋体" w:cs="宋体"/>
          <w:color w:val="000000" w:themeColor="text1"/>
          <w:szCs w:val="32"/>
          <w:lang w:eastAsia="zh-Hans"/>
          <w14:textFill>
            <w14:solidFill>
              <w14:schemeClr w14:val="tx1"/>
            </w14:solidFill>
          </w14:textFill>
        </w:rPr>
        <w:t>积</w:t>
      </w:r>
      <w:r>
        <w:rPr>
          <w:rFonts w:hint="eastAsia" w:ascii="宋体" w:hAnsi="宋体" w:cs="宋体"/>
          <w:color w:val="000000" w:themeColor="text1"/>
          <w:szCs w:val="32"/>
          <w14:textFill>
            <w14:solidFill>
              <w14:schemeClr w14:val="tx1"/>
            </w14:solidFill>
          </w14:textFill>
        </w:rPr>
        <w:t>分</w:t>
      </w:r>
      <w:r>
        <w:rPr>
          <w:rFonts w:hint="eastAsia" w:ascii="宋体" w:hAnsi="宋体" w:cs="宋体"/>
          <w:color w:val="000000" w:themeColor="text1"/>
          <w:szCs w:val="32"/>
          <w:lang w:eastAsia="zh-Hans"/>
          <w14:textFill>
            <w14:solidFill>
              <w14:schemeClr w14:val="tx1"/>
            </w14:solidFill>
          </w14:textFill>
        </w:rPr>
        <w:t>可</w:t>
      </w:r>
      <w:r>
        <w:rPr>
          <w:rFonts w:hint="eastAsia" w:ascii="宋体" w:hAnsi="宋体" w:cs="宋体"/>
          <w:color w:val="000000" w:themeColor="text1"/>
          <w:szCs w:val="32"/>
          <w14:textFill>
            <w14:solidFill>
              <w14:schemeClr w14:val="tx1"/>
            </w14:solidFill>
          </w14:textFill>
        </w:rPr>
        <w:t>开展</w:t>
      </w:r>
      <w:r>
        <w:rPr>
          <w:rFonts w:hint="eastAsia" w:ascii="宋体" w:hAnsi="宋体" w:cs="宋体"/>
          <w:color w:val="000000" w:themeColor="text1"/>
          <w:szCs w:val="32"/>
          <w:lang w:eastAsia="zh-Hans"/>
          <w14:textFill>
            <w14:solidFill>
              <w14:schemeClr w14:val="tx1"/>
            </w14:solidFill>
          </w14:textFill>
        </w:rPr>
        <w:t>相应的</w:t>
      </w:r>
      <w:r>
        <w:rPr>
          <w:rFonts w:hint="eastAsia" w:ascii="宋体" w:hAnsi="宋体" w:cs="宋体"/>
          <w:color w:val="000000" w:themeColor="text1"/>
          <w:szCs w:val="32"/>
          <w14:textFill>
            <w14:solidFill>
              <w14:schemeClr w14:val="tx1"/>
            </w14:solidFill>
          </w14:textFill>
        </w:rPr>
        <w:t>优惠服务，带动农村居民积极的参与到垃圾分类、庭院环境等乡村治理之中，实现乡村治理由政府监督到村民自治的重要转变，帮助政府更好的落实乡村治理工作，减轻农村管理负担，并进一步提高农村居民自治的积极性；通过公共服务</w:t>
      </w:r>
      <w:r>
        <w:rPr>
          <w:rFonts w:hint="eastAsia" w:ascii="宋体" w:hAnsi="宋体" w:cs="宋体"/>
          <w:color w:val="000000" w:themeColor="text1"/>
          <w:szCs w:val="32"/>
          <w:lang w:eastAsia="zh-Hans"/>
          <w14:textFill>
            <w14:solidFill>
              <w14:schemeClr w14:val="tx1"/>
            </w14:solidFill>
          </w14:textFill>
        </w:rPr>
        <w:t>平台</w:t>
      </w:r>
      <w:r>
        <w:rPr>
          <w:rFonts w:hint="eastAsia" w:ascii="宋体" w:hAnsi="宋体" w:cs="宋体"/>
          <w:color w:val="000000" w:themeColor="text1"/>
          <w:szCs w:val="32"/>
          <w14:textFill>
            <w14:solidFill>
              <w14:schemeClr w14:val="tx1"/>
            </w14:solidFill>
          </w14:textFill>
        </w:rPr>
        <w:t>，围绕农村三务公开，将村务、党务、财务信息由线下转到线上，进一步落实广大群众的知情权，加大对村级党务、村务、财务的监督力度；通过公共服务</w:t>
      </w:r>
      <w:r>
        <w:rPr>
          <w:rFonts w:hint="eastAsia" w:ascii="宋体" w:hAnsi="宋体" w:cs="宋体"/>
          <w:color w:val="000000" w:themeColor="text1"/>
          <w:szCs w:val="32"/>
          <w:lang w:eastAsia="zh-Hans"/>
          <w14:textFill>
            <w14:solidFill>
              <w14:schemeClr w14:val="tx1"/>
            </w14:solidFill>
          </w14:textFill>
        </w:rPr>
        <w:t>平台</w:t>
      </w:r>
      <w:r>
        <w:rPr>
          <w:rFonts w:hint="eastAsia" w:ascii="宋体" w:hAnsi="宋体" w:cs="宋体"/>
          <w:color w:val="000000" w:themeColor="text1"/>
          <w:szCs w:val="32"/>
          <w14:textFill>
            <w14:solidFill>
              <w14:schemeClr w14:val="tx1"/>
            </w14:solidFill>
          </w14:textFill>
        </w:rPr>
        <w:t>，围绕农村公共服务，为农村居民提供行业资讯、专家问答、农民培训、供需发布、</w:t>
      </w:r>
      <w:r>
        <w:rPr>
          <w:rFonts w:hint="eastAsia" w:ascii="宋体" w:hAnsi="宋体" w:cs="宋体"/>
          <w:color w:val="000000" w:themeColor="text1"/>
          <w:szCs w:val="32"/>
          <w:lang w:eastAsia="zh-Hans"/>
          <w14:textFill>
            <w14:solidFill>
              <w14:schemeClr w14:val="tx1"/>
            </w14:solidFill>
          </w14:textFill>
        </w:rPr>
        <w:t>志愿</w:t>
      </w:r>
      <w:r>
        <w:rPr>
          <w:rFonts w:hint="eastAsia" w:ascii="宋体" w:hAnsi="宋体" w:cs="宋体"/>
          <w:color w:val="000000" w:themeColor="text1"/>
          <w:szCs w:val="32"/>
          <w14:textFill>
            <w14:solidFill>
              <w14:schemeClr w14:val="tx1"/>
            </w14:solidFill>
          </w14:textFill>
        </w:rPr>
        <w:t>服务等公共服务，为农村居民及经营主体提供便捷的信息获取渠道。</w:t>
      </w:r>
    </w:p>
    <w:p>
      <w:pPr>
        <w:spacing w:line="440" w:lineRule="exact"/>
        <w:ind w:firstLine="424" w:firstLineChars="200"/>
        <w:rPr>
          <w:rFonts w:ascii="宋体" w:hAnsi="宋体" w:cs="宋体"/>
          <w:b/>
          <w:bCs/>
          <w:color w:val="000000" w:themeColor="text1"/>
          <w:szCs w:val="32"/>
          <w:shd w:val="clear" w:color="auto" w:fill="FFFFFF"/>
          <w14:textFill>
            <w14:solidFill>
              <w14:schemeClr w14:val="tx1"/>
            </w14:solidFill>
          </w14:textFill>
        </w:rPr>
      </w:pPr>
      <w:r>
        <w:rPr>
          <w:rFonts w:hint="eastAsia" w:ascii="宋体" w:hAnsi="宋体" w:cs="宋体"/>
          <w:b/>
          <w:bCs/>
          <w:color w:val="000000" w:themeColor="text1"/>
          <w:szCs w:val="32"/>
          <w:shd w:val="clear" w:color="auto" w:fill="FFFFFF"/>
          <w14:textFill>
            <w14:solidFill>
              <w14:schemeClr w14:val="tx1"/>
            </w14:solidFill>
          </w14:textFill>
        </w:rPr>
        <w:t>建设内容</w:t>
      </w:r>
    </w:p>
    <w:p>
      <w:pPr>
        <w:spacing w:line="440" w:lineRule="exact"/>
        <w:ind w:firstLine="424"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b/>
          <w:bCs/>
          <w:color w:val="000000" w:themeColor="text1"/>
          <w:szCs w:val="32"/>
          <w:shd w:val="clear" w:color="auto" w:fill="FFFFFF"/>
          <w:lang w:eastAsia="zh-Hans"/>
          <w14:textFill>
            <w14:solidFill>
              <w14:schemeClr w14:val="tx1"/>
            </w14:solidFill>
          </w14:textFill>
        </w:rPr>
        <w:t>（</w:t>
      </w:r>
      <w:r>
        <w:rPr>
          <w:rFonts w:ascii="宋体" w:hAnsi="宋体" w:cs="宋体"/>
          <w:b/>
          <w:bCs/>
          <w:color w:val="000000" w:themeColor="text1"/>
          <w:szCs w:val="32"/>
          <w:shd w:val="clear" w:color="auto" w:fill="FFFFFF"/>
          <w:lang w:eastAsia="zh-Hans"/>
          <w14:textFill>
            <w14:solidFill>
              <w14:schemeClr w14:val="tx1"/>
            </w14:solidFill>
          </w14:textFill>
        </w:rPr>
        <w:t>1</w:t>
      </w:r>
      <w:r>
        <w:rPr>
          <w:rFonts w:hint="eastAsia" w:ascii="宋体" w:hAnsi="宋体" w:cs="宋体"/>
          <w:b/>
          <w:bCs/>
          <w:color w:val="000000" w:themeColor="text1"/>
          <w:szCs w:val="32"/>
          <w:shd w:val="clear" w:color="auto" w:fill="FFFFFF"/>
          <w:lang w:eastAsia="zh-Hans"/>
          <w14:textFill>
            <w14:solidFill>
              <w14:schemeClr w14:val="tx1"/>
            </w14:solidFill>
          </w14:textFill>
        </w:rPr>
        <w:t>）用户端</w:t>
      </w:r>
      <w:r>
        <w:rPr>
          <w:rFonts w:hint="eastAsia" w:ascii="宋体" w:hAnsi="宋体" w:cs="宋体"/>
          <w:b/>
          <w:bCs/>
          <w:color w:val="000000" w:themeColor="text1"/>
          <w:szCs w:val="32"/>
          <w:shd w:val="clear" w:color="auto" w:fill="FFFFFF"/>
          <w14:textFill>
            <w14:solidFill>
              <w14:schemeClr w14:val="tx1"/>
            </w14:solidFill>
          </w14:textFill>
        </w:rPr>
        <w:t>建设</w:t>
      </w:r>
    </w:p>
    <w:p>
      <w:pPr>
        <w:spacing w:line="440" w:lineRule="exact"/>
        <w:ind w:firstLine="424" w:firstLineChars="200"/>
        <w:rPr>
          <w:rFonts w:ascii="宋体" w:hAnsi="宋体" w:cs="宋体"/>
          <w:color w:val="000000" w:themeColor="text1"/>
          <w:szCs w:val="32"/>
          <w:shd w:val="clear" w:color="auto" w:fill="FFFFFF"/>
          <w:lang w:eastAsia="zh-Hans"/>
          <w14:textFill>
            <w14:solidFill>
              <w14:schemeClr w14:val="tx1"/>
            </w14:solidFill>
          </w14:textFill>
        </w:rPr>
      </w:pPr>
      <w:r>
        <w:rPr>
          <w:rFonts w:hint="eastAsia" w:ascii="宋体" w:hAnsi="宋体" w:cs="宋体"/>
          <w:color w:val="000000" w:themeColor="text1"/>
          <w:szCs w:val="32"/>
          <w:shd w:val="clear" w:color="auto" w:fill="FFFFFF"/>
          <w:lang w:eastAsia="zh-Hans"/>
          <w14:textFill>
            <w14:solidFill>
              <w14:schemeClr w14:val="tx1"/>
            </w14:solidFill>
          </w14:textFill>
        </w:rPr>
        <w:t>胡柚品牌管理：品牌使用的申报、审核、直报、准入准出、后台审批等功能</w:t>
      </w:r>
    </w:p>
    <w:p>
      <w:pPr>
        <w:spacing w:line="440" w:lineRule="exact"/>
        <w:ind w:firstLine="424" w:firstLineChars="200"/>
        <w:rPr>
          <w:rFonts w:ascii="宋体" w:hAnsi="宋体" w:cs="宋体"/>
          <w:color w:val="000000" w:themeColor="text1"/>
          <w:szCs w:val="32"/>
          <w:shd w:val="clear" w:color="auto" w:fill="FFFFFF"/>
          <w:lang w:eastAsia="zh-Hans"/>
          <w14:textFill>
            <w14:solidFill>
              <w14:schemeClr w14:val="tx1"/>
            </w14:solidFill>
          </w14:textFill>
        </w:rPr>
      </w:pPr>
      <w:r>
        <w:rPr>
          <w:rFonts w:hint="eastAsia" w:ascii="宋体" w:hAnsi="宋体" w:cs="宋体"/>
          <w:color w:val="000000" w:themeColor="text1"/>
          <w:szCs w:val="32"/>
          <w:shd w:val="clear" w:color="auto" w:fill="FFFFFF"/>
          <w:lang w:eastAsia="zh-Hans"/>
          <w14:textFill>
            <w14:solidFill>
              <w14:schemeClr w14:val="tx1"/>
            </w14:solidFill>
          </w14:textFill>
        </w:rPr>
        <w:t>农事操作：入驻胡柚品牌的主体记录农事操作情况</w:t>
      </w:r>
    </w:p>
    <w:p>
      <w:pPr>
        <w:spacing w:line="440" w:lineRule="exact"/>
        <w:ind w:firstLine="424" w:firstLineChars="200"/>
        <w:rPr>
          <w:rFonts w:ascii="宋体" w:hAnsi="宋体" w:cs="宋体"/>
          <w:color w:val="000000" w:themeColor="text1"/>
          <w:szCs w:val="32"/>
          <w:shd w:val="clear" w:color="auto" w:fill="FFFFFF"/>
          <w14:textFill>
            <w14:solidFill>
              <w14:schemeClr w14:val="tx1"/>
            </w14:solidFill>
          </w14:textFill>
        </w:rPr>
      </w:pPr>
      <w:r>
        <w:rPr>
          <w:rFonts w:hint="eastAsia" w:ascii="宋体" w:hAnsi="宋体" w:cs="宋体"/>
          <w:color w:val="000000" w:themeColor="text1"/>
          <w:szCs w:val="32"/>
          <w:shd w:val="clear" w:color="auto" w:fill="FFFFFF"/>
          <w:lang w:eastAsia="zh-Hans"/>
          <w14:textFill>
            <w14:solidFill>
              <w14:schemeClr w14:val="tx1"/>
            </w14:solidFill>
          </w14:textFill>
        </w:rPr>
        <w:t>积</w:t>
      </w:r>
      <w:r>
        <w:rPr>
          <w:rFonts w:hint="eastAsia" w:ascii="宋体" w:hAnsi="宋体" w:cs="宋体"/>
          <w:color w:val="000000" w:themeColor="text1"/>
          <w:szCs w:val="32"/>
          <w:shd w:val="clear" w:color="auto" w:fill="FFFFFF"/>
          <w14:textFill>
            <w14:solidFill>
              <w14:schemeClr w14:val="tx1"/>
            </w14:solidFill>
          </w14:textFill>
        </w:rPr>
        <w:t>分：乡村治理各项事务的直观体现，显示每个农户的积分的数值，以及积分的加分、扣分项以及得分的明细和凭证；明确家庭的积分。</w:t>
      </w:r>
    </w:p>
    <w:p>
      <w:pPr>
        <w:spacing w:line="440" w:lineRule="exact"/>
        <w:ind w:firstLine="424" w:firstLineChars="200"/>
        <w:rPr>
          <w:rFonts w:ascii="宋体" w:hAnsi="宋体" w:cs="宋体"/>
          <w:color w:val="000000" w:themeColor="text1"/>
          <w:szCs w:val="32"/>
          <w:shd w:val="clear" w:color="auto" w:fill="FFFFFF"/>
          <w14:textFill>
            <w14:solidFill>
              <w14:schemeClr w14:val="tx1"/>
            </w14:solidFill>
          </w14:textFill>
        </w:rPr>
      </w:pPr>
      <w:r>
        <w:rPr>
          <w:rFonts w:hint="eastAsia" w:ascii="宋体" w:hAnsi="宋体" w:cs="宋体"/>
          <w:color w:val="000000" w:themeColor="text1"/>
          <w:szCs w:val="32"/>
          <w:shd w:val="clear" w:color="auto" w:fill="FFFFFF"/>
          <w14:textFill>
            <w14:solidFill>
              <w14:schemeClr w14:val="tx1"/>
            </w14:solidFill>
          </w14:textFill>
        </w:rPr>
        <w:t>专家问答：通过产业主体直接联系专家或向专家提问的方式，与专家进行沟通交流，解决生产、经营、营销等方面的问题。</w:t>
      </w:r>
    </w:p>
    <w:p>
      <w:pPr>
        <w:spacing w:line="440" w:lineRule="exact"/>
        <w:ind w:firstLine="424" w:firstLineChars="200"/>
        <w:rPr>
          <w:rFonts w:ascii="宋体" w:hAnsi="宋体" w:cs="宋体"/>
          <w:color w:val="000000" w:themeColor="text1"/>
          <w:szCs w:val="32"/>
          <w:shd w:val="clear" w:color="auto" w:fill="FFFFFF"/>
          <w14:textFill>
            <w14:solidFill>
              <w14:schemeClr w14:val="tx1"/>
            </w14:solidFill>
          </w14:textFill>
        </w:rPr>
      </w:pPr>
      <w:r>
        <w:rPr>
          <w:rFonts w:hint="eastAsia" w:ascii="宋体" w:hAnsi="宋体" w:cs="宋体"/>
          <w:color w:val="000000" w:themeColor="text1"/>
          <w:szCs w:val="32"/>
          <w:shd w:val="clear" w:color="auto" w:fill="FFFFFF"/>
          <w14:textFill>
            <w14:solidFill>
              <w14:schemeClr w14:val="tx1"/>
            </w14:solidFill>
          </w14:textFill>
        </w:rPr>
        <w:t>农民课堂：通过在线培训、在线交流反馈的形式，对农户等用户进行培训，提供生产、营销方面的技能，提高用户的业务水平。</w:t>
      </w:r>
    </w:p>
    <w:p>
      <w:pPr>
        <w:spacing w:line="440" w:lineRule="exact"/>
        <w:ind w:firstLine="424" w:firstLineChars="200"/>
        <w:rPr>
          <w:rFonts w:ascii="宋体" w:hAnsi="宋体" w:cs="宋体"/>
          <w:color w:val="000000" w:themeColor="text1"/>
          <w:szCs w:val="32"/>
          <w:shd w:val="clear" w:color="auto" w:fill="FFFFFF"/>
          <w14:textFill>
            <w14:solidFill>
              <w14:schemeClr w14:val="tx1"/>
            </w14:solidFill>
          </w14:textFill>
        </w:rPr>
      </w:pPr>
      <w:r>
        <w:rPr>
          <w:rFonts w:hint="eastAsia" w:ascii="宋体" w:hAnsi="宋体" w:cs="宋体"/>
          <w:color w:val="000000" w:themeColor="text1"/>
          <w:szCs w:val="32"/>
          <w:shd w:val="clear" w:color="auto" w:fill="FFFFFF"/>
          <w14:textFill>
            <w14:solidFill>
              <w14:schemeClr w14:val="tx1"/>
            </w14:solidFill>
          </w14:textFill>
        </w:rPr>
        <w:t>公开公示：对于公开公示，分为财务、党务、村务三部分，公示的内容分类更具体，村民可更直观地了解到村内公开的事务，做到乡村治理过程的公开性、公正性，接收所有参与人员的监督。</w:t>
      </w:r>
    </w:p>
    <w:p>
      <w:pPr>
        <w:spacing w:line="440" w:lineRule="exact"/>
        <w:ind w:firstLine="424" w:firstLineChars="200"/>
        <w:rPr>
          <w:rFonts w:ascii="宋体" w:hAnsi="宋体" w:cs="宋体"/>
          <w:color w:val="000000" w:themeColor="text1"/>
          <w:szCs w:val="32"/>
          <w:shd w:val="clear" w:color="auto" w:fill="FFFFFF"/>
          <w14:textFill>
            <w14:solidFill>
              <w14:schemeClr w14:val="tx1"/>
            </w14:solidFill>
          </w14:textFill>
        </w:rPr>
      </w:pPr>
      <w:r>
        <w:rPr>
          <w:rFonts w:hint="eastAsia" w:ascii="宋体" w:hAnsi="宋体" w:cs="宋体"/>
          <w:color w:val="000000" w:themeColor="text1"/>
          <w:szCs w:val="32"/>
          <w:shd w:val="clear" w:color="auto" w:fill="FFFFFF"/>
          <w14:textFill>
            <w14:solidFill>
              <w14:schemeClr w14:val="tx1"/>
            </w14:solidFill>
          </w14:textFill>
        </w:rPr>
        <w:t>政策法规：为农户提供国家、省、市、区、乡镇、村等不同层级发布的关于生产、营销等各个过程的政策，方便用户及时了解到最新的政策方面的动态。</w:t>
      </w:r>
    </w:p>
    <w:p>
      <w:pPr>
        <w:spacing w:line="440" w:lineRule="exact"/>
        <w:ind w:firstLine="424" w:firstLineChars="200"/>
        <w:rPr>
          <w:rFonts w:ascii="宋体" w:hAnsi="宋体" w:cs="宋体"/>
          <w:color w:val="000000" w:themeColor="text1"/>
          <w:szCs w:val="32"/>
          <w:shd w:val="clear" w:color="auto" w:fill="FFFFFF"/>
          <w14:textFill>
            <w14:solidFill>
              <w14:schemeClr w14:val="tx1"/>
            </w14:solidFill>
          </w14:textFill>
        </w:rPr>
      </w:pPr>
      <w:r>
        <w:rPr>
          <w:rFonts w:hint="eastAsia" w:ascii="宋体" w:hAnsi="宋体" w:cs="宋体"/>
          <w:color w:val="000000" w:themeColor="text1"/>
          <w:szCs w:val="32"/>
          <w:shd w:val="clear" w:color="auto" w:fill="FFFFFF"/>
          <w14:textFill>
            <w14:solidFill>
              <w14:schemeClr w14:val="tx1"/>
            </w14:solidFill>
          </w14:textFill>
        </w:rPr>
        <w:t>行业动态：为农户提供生产、营销过程中的各个动态，便于及时了解到自身所处的行业的行情等内容，更好地进行生产、经营等操作。</w:t>
      </w:r>
    </w:p>
    <w:p>
      <w:pPr>
        <w:spacing w:line="440" w:lineRule="exact"/>
        <w:ind w:firstLine="424" w:firstLineChars="200"/>
        <w:rPr>
          <w:rFonts w:ascii="宋体" w:hAnsi="宋体" w:cs="宋体"/>
          <w:color w:val="000000" w:themeColor="text1"/>
          <w:szCs w:val="32"/>
          <w:shd w:val="clear" w:color="auto" w:fill="FFFFFF"/>
          <w14:textFill>
            <w14:solidFill>
              <w14:schemeClr w14:val="tx1"/>
            </w14:solidFill>
          </w14:textFill>
        </w:rPr>
      </w:pPr>
      <w:r>
        <w:rPr>
          <w:rFonts w:hint="eastAsia" w:ascii="宋体" w:hAnsi="宋体" w:cs="宋体"/>
          <w:color w:val="000000" w:themeColor="text1"/>
          <w:szCs w:val="32"/>
          <w:shd w:val="clear" w:color="auto" w:fill="FFFFFF"/>
          <w14:textFill>
            <w14:solidFill>
              <w14:schemeClr w14:val="tx1"/>
            </w14:solidFill>
          </w14:textFill>
        </w:rPr>
        <w:t>供需市场：提交供需双方进行业务信息互通在线服务平台，供方和需求有提供服务或需要接收服务时，可通过供需市场这个在线服务平台，解决供</w:t>
      </w:r>
      <w:r>
        <w:rPr>
          <w:rFonts w:ascii="宋体" w:hAnsi="宋体" w:cs="宋体"/>
          <w:color w:val="000000" w:themeColor="text1"/>
          <w:szCs w:val="32"/>
          <w:shd w:val="clear" w:color="auto" w:fill="FFFFFF"/>
          <w14:textFill>
            <w14:solidFill>
              <w14:schemeClr w14:val="tx1"/>
            </w14:solidFill>
          </w14:textFill>
        </w:rPr>
        <w:t>-</w:t>
      </w:r>
      <w:r>
        <w:rPr>
          <w:rFonts w:hint="eastAsia" w:ascii="宋体" w:hAnsi="宋体" w:cs="宋体"/>
          <w:color w:val="000000" w:themeColor="text1"/>
          <w:szCs w:val="32"/>
          <w:shd w:val="clear" w:color="auto" w:fill="FFFFFF"/>
          <w14:textFill>
            <w14:solidFill>
              <w14:schemeClr w14:val="tx1"/>
            </w14:solidFill>
          </w14:textFill>
        </w:rPr>
        <w:t>需打通的问题，盘活当地农户的供需经济。</w:t>
      </w:r>
    </w:p>
    <w:p>
      <w:pPr>
        <w:spacing w:line="440" w:lineRule="exact"/>
        <w:ind w:firstLine="424" w:firstLineChars="200"/>
        <w:rPr>
          <w:rFonts w:ascii="宋体" w:hAnsi="宋体" w:cs="宋体"/>
          <w:color w:val="000000" w:themeColor="text1"/>
          <w:szCs w:val="32"/>
          <w:shd w:val="clear" w:color="auto" w:fill="FFFFFF"/>
          <w14:textFill>
            <w14:solidFill>
              <w14:schemeClr w14:val="tx1"/>
            </w14:solidFill>
          </w14:textFill>
        </w:rPr>
      </w:pPr>
      <w:r>
        <w:rPr>
          <w:rFonts w:hint="eastAsia" w:ascii="宋体" w:hAnsi="宋体" w:cs="宋体"/>
          <w:color w:val="000000" w:themeColor="text1"/>
          <w:szCs w:val="32"/>
          <w:shd w:val="clear" w:color="auto" w:fill="FFFFFF"/>
          <w14:textFill>
            <w14:solidFill>
              <w14:schemeClr w14:val="tx1"/>
            </w14:solidFill>
          </w14:textFill>
        </w:rPr>
        <w:t>志愿服务：村中志愿服务活动开展的重要入口，村民可自行报名参加村中组织的志愿服务，是乡村治理过程中村级活动开展的重要抓手。</w:t>
      </w:r>
    </w:p>
    <w:p>
      <w:pPr>
        <w:spacing w:line="440" w:lineRule="exact"/>
        <w:ind w:firstLine="424" w:firstLineChars="200"/>
        <w:rPr>
          <w:rFonts w:ascii="宋体" w:hAnsi="宋体" w:cs="宋体"/>
          <w:color w:val="000000" w:themeColor="text1"/>
          <w:szCs w:val="32"/>
          <w:shd w:val="clear" w:color="auto" w:fill="FFFFFF"/>
          <w:lang w:eastAsia="zh-Hans"/>
          <w14:textFill>
            <w14:solidFill>
              <w14:schemeClr w14:val="tx1"/>
            </w14:solidFill>
          </w14:textFill>
        </w:rPr>
      </w:pPr>
      <w:r>
        <w:rPr>
          <w:rFonts w:hint="eastAsia" w:ascii="宋体" w:hAnsi="宋体" w:cs="宋体"/>
          <w:color w:val="000000" w:themeColor="text1"/>
          <w:szCs w:val="32"/>
          <w:shd w:val="clear" w:color="auto" w:fill="FFFFFF"/>
          <w14:textFill>
            <w14:solidFill>
              <w14:schemeClr w14:val="tx1"/>
            </w14:solidFill>
          </w14:textFill>
        </w:rPr>
        <w:t>生活服务：提高报事报修、村级</w:t>
      </w:r>
      <w:r>
        <w:rPr>
          <w:rFonts w:ascii="宋体" w:hAnsi="宋体" w:cs="宋体"/>
          <w:color w:val="000000" w:themeColor="text1"/>
          <w:szCs w:val="32"/>
          <w:shd w:val="clear" w:color="auto" w:fill="FFFFFF"/>
          <w14:textFill>
            <w14:solidFill>
              <w14:schemeClr w14:val="tx1"/>
            </w14:solidFill>
          </w14:textFill>
        </w:rPr>
        <w:t>/</w:t>
      </w:r>
      <w:r>
        <w:rPr>
          <w:rFonts w:hint="eastAsia" w:ascii="宋体" w:hAnsi="宋体" w:cs="宋体"/>
          <w:color w:val="000000" w:themeColor="text1"/>
          <w:szCs w:val="32"/>
          <w:shd w:val="clear" w:color="auto" w:fill="FFFFFF"/>
          <w14:textFill>
            <w14:solidFill>
              <w14:schemeClr w14:val="tx1"/>
            </w14:solidFill>
          </w14:textFill>
        </w:rPr>
        <w:t>小区垃圾分类整理、生活缴费等生活类的服务。</w:t>
      </w:r>
    </w:p>
    <w:p>
      <w:pPr>
        <w:spacing w:line="440" w:lineRule="exact"/>
        <w:ind w:firstLine="424" w:firstLineChars="200"/>
        <w:rPr>
          <w:rFonts w:ascii="宋体" w:hAnsi="宋体" w:cs="宋体"/>
          <w:color w:val="000000" w:themeColor="text1"/>
          <w:szCs w:val="32"/>
          <w:shd w:val="clear" w:color="auto" w:fill="FFFFFF"/>
          <w14:textFill>
            <w14:solidFill>
              <w14:schemeClr w14:val="tx1"/>
            </w14:solidFill>
          </w14:textFill>
        </w:rPr>
      </w:pPr>
      <w:r>
        <w:rPr>
          <w:rFonts w:hint="eastAsia" w:ascii="宋体" w:hAnsi="宋体" w:cs="宋体"/>
          <w:color w:val="000000" w:themeColor="text1"/>
          <w:szCs w:val="32"/>
          <w:shd w:val="clear" w:color="auto" w:fill="FFFFFF"/>
          <w14:textFill>
            <w14:solidFill>
              <w14:schemeClr w14:val="tx1"/>
            </w14:solidFill>
          </w14:textFill>
        </w:rPr>
        <w:t>巡查拍照：为巡查拍照人员根据门牌号、打分项等，对巡查过程进行拍照记录，作为村级信息员进行打分的依据，自动进行巡查项凭证与家庭建立关联，以及进行巡查凭证资料的自动整理，减轻村级管理人员的工作负担。</w:t>
      </w:r>
    </w:p>
    <w:p>
      <w:pPr>
        <w:spacing w:line="440" w:lineRule="exact"/>
        <w:ind w:firstLine="424" w:firstLineChars="200"/>
        <w:rPr>
          <w:rFonts w:ascii="宋体" w:hAnsi="宋体" w:cs="宋体"/>
          <w:color w:val="000000" w:themeColor="text1"/>
          <w:szCs w:val="32"/>
          <w:shd w:val="clear" w:color="auto" w:fill="FFFFFF"/>
          <w14:textFill>
            <w14:solidFill>
              <w14:schemeClr w14:val="tx1"/>
            </w14:solidFill>
          </w14:textFill>
        </w:rPr>
      </w:pPr>
      <w:r>
        <w:rPr>
          <w:rFonts w:hint="eastAsia" w:ascii="宋体" w:hAnsi="宋体" w:cs="宋体"/>
          <w:color w:val="000000" w:themeColor="text1"/>
          <w:szCs w:val="32"/>
          <w:shd w:val="clear" w:color="auto" w:fill="FFFFFF"/>
          <w14:textFill>
            <w14:solidFill>
              <w14:schemeClr w14:val="tx1"/>
            </w14:solidFill>
          </w14:textFill>
        </w:rPr>
        <w:t>我的家庭：用户与自己的家庭建立关联，方便用户以家庭成员的身份进行公共服务平台小程序的使用，参与到乡村治理的事业中来。</w:t>
      </w:r>
    </w:p>
    <w:p>
      <w:pPr>
        <w:spacing w:line="440" w:lineRule="exact"/>
        <w:ind w:firstLine="424" w:firstLineChars="200"/>
        <w:rPr>
          <w:rFonts w:ascii="宋体" w:hAnsi="宋体" w:cs="宋体"/>
          <w:b/>
          <w:bCs/>
          <w:color w:val="000000" w:themeColor="text1"/>
          <w:szCs w:val="32"/>
          <w:shd w:val="clear" w:color="auto" w:fill="FFFFFF"/>
          <w:lang w:eastAsia="zh-Hans"/>
          <w14:textFill>
            <w14:solidFill>
              <w14:schemeClr w14:val="tx1"/>
            </w14:solidFill>
          </w14:textFill>
        </w:rPr>
      </w:pPr>
      <w:r>
        <w:rPr>
          <w:rFonts w:hint="eastAsia" w:ascii="宋体" w:hAnsi="宋体" w:cs="宋体"/>
          <w:b/>
          <w:bCs/>
          <w:color w:val="000000" w:themeColor="text1"/>
          <w:szCs w:val="32"/>
          <w:shd w:val="clear" w:color="auto" w:fill="FFFFFF"/>
          <w:lang w:eastAsia="zh-Hans"/>
          <w14:textFill>
            <w14:solidFill>
              <w14:schemeClr w14:val="tx1"/>
            </w14:solidFill>
          </w14:textFill>
        </w:rPr>
        <w:t>（</w:t>
      </w:r>
      <w:r>
        <w:rPr>
          <w:rFonts w:ascii="宋体" w:hAnsi="宋体" w:cs="宋体"/>
          <w:b/>
          <w:bCs/>
          <w:color w:val="000000" w:themeColor="text1"/>
          <w:szCs w:val="32"/>
          <w:shd w:val="clear" w:color="auto" w:fill="FFFFFF"/>
          <w:lang w:eastAsia="zh-Hans"/>
          <w14:textFill>
            <w14:solidFill>
              <w14:schemeClr w14:val="tx1"/>
            </w14:solidFill>
          </w14:textFill>
        </w:rPr>
        <w:t>2</w:t>
      </w:r>
      <w:r>
        <w:rPr>
          <w:rFonts w:hint="eastAsia" w:ascii="宋体" w:hAnsi="宋体" w:cs="宋体"/>
          <w:b/>
          <w:bCs/>
          <w:color w:val="000000" w:themeColor="text1"/>
          <w:szCs w:val="32"/>
          <w:shd w:val="clear" w:color="auto" w:fill="FFFFFF"/>
          <w:lang w:eastAsia="zh-Hans"/>
          <w14:textFill>
            <w14:solidFill>
              <w14:schemeClr w14:val="tx1"/>
            </w14:solidFill>
          </w14:textFill>
        </w:rPr>
        <w:t>）管理端</w:t>
      </w:r>
      <w:r>
        <w:rPr>
          <w:rFonts w:hint="eastAsia" w:ascii="宋体" w:hAnsi="宋体" w:cs="宋体"/>
          <w:b/>
          <w:bCs/>
          <w:color w:val="000000" w:themeColor="text1"/>
          <w:szCs w:val="32"/>
          <w:shd w:val="clear" w:color="auto" w:fill="FFFFFF"/>
          <w14:textFill>
            <w14:solidFill>
              <w14:schemeClr w14:val="tx1"/>
            </w14:solidFill>
          </w14:textFill>
        </w:rPr>
        <w:t>建设内容</w:t>
      </w:r>
    </w:p>
    <w:p>
      <w:pPr>
        <w:spacing w:line="440" w:lineRule="exact"/>
        <w:ind w:firstLine="424" w:firstLineChars="200"/>
        <w:rPr>
          <w:rFonts w:ascii="宋体" w:hAnsi="宋体" w:cs="宋体"/>
          <w:color w:val="000000" w:themeColor="text1"/>
          <w:szCs w:val="32"/>
          <w:shd w:val="clear" w:color="auto" w:fill="FFFFFF"/>
          <w:lang w:eastAsia="zh-Hans"/>
          <w14:textFill>
            <w14:solidFill>
              <w14:schemeClr w14:val="tx1"/>
            </w14:solidFill>
          </w14:textFill>
        </w:rPr>
      </w:pPr>
      <w:r>
        <w:rPr>
          <w:rFonts w:hint="eastAsia" w:ascii="宋体" w:hAnsi="宋体" w:cs="宋体"/>
          <w:color w:val="000000" w:themeColor="text1"/>
          <w:szCs w:val="32"/>
          <w:shd w:val="clear" w:color="auto" w:fill="FFFFFF"/>
          <w:lang w:eastAsia="zh-Hans"/>
          <w14:textFill>
            <w14:solidFill>
              <w14:schemeClr w14:val="tx1"/>
            </w14:solidFill>
          </w14:textFill>
        </w:rPr>
        <w:t>文章管理：对发布的文章进行管理，包括用户端展示的相关文章管理。</w:t>
      </w:r>
    </w:p>
    <w:p>
      <w:pPr>
        <w:spacing w:line="440" w:lineRule="exact"/>
        <w:ind w:firstLine="424" w:firstLineChars="200"/>
        <w:rPr>
          <w:rFonts w:ascii="宋体" w:hAnsi="宋体" w:cs="宋体"/>
          <w:color w:val="000000" w:themeColor="text1"/>
          <w:szCs w:val="32"/>
          <w:shd w:val="clear" w:color="auto" w:fill="FFFFFF"/>
          <w:lang w:eastAsia="zh-Hans"/>
          <w14:textFill>
            <w14:solidFill>
              <w14:schemeClr w14:val="tx1"/>
            </w14:solidFill>
          </w14:textFill>
        </w:rPr>
      </w:pPr>
      <w:r>
        <w:rPr>
          <w:rFonts w:hint="eastAsia" w:ascii="宋体" w:hAnsi="宋体" w:cs="宋体"/>
          <w:color w:val="000000" w:themeColor="text1"/>
          <w:szCs w:val="32"/>
          <w:shd w:val="clear" w:color="auto" w:fill="FFFFFF"/>
          <w:lang w:eastAsia="zh-Hans"/>
          <w14:textFill>
            <w14:solidFill>
              <w14:schemeClr w14:val="tx1"/>
            </w14:solidFill>
          </w14:textFill>
        </w:rPr>
        <w:t>培训管理：对相关的培训课程进行管理，方便对用户端的培训课程管理。</w:t>
      </w:r>
    </w:p>
    <w:p>
      <w:pPr>
        <w:spacing w:line="440" w:lineRule="exact"/>
        <w:ind w:firstLine="424" w:firstLineChars="200"/>
        <w:rPr>
          <w:rFonts w:ascii="宋体" w:hAnsi="宋体" w:cs="宋体"/>
          <w:color w:val="000000" w:themeColor="text1"/>
          <w:szCs w:val="32"/>
          <w:shd w:val="clear" w:color="auto" w:fill="FFFFFF"/>
          <w14:textFill>
            <w14:solidFill>
              <w14:schemeClr w14:val="tx1"/>
            </w14:solidFill>
          </w14:textFill>
        </w:rPr>
      </w:pPr>
      <w:r>
        <w:rPr>
          <w:rFonts w:hint="eastAsia" w:ascii="宋体" w:hAnsi="宋体" w:cs="宋体"/>
          <w:color w:val="000000" w:themeColor="text1"/>
          <w:szCs w:val="32"/>
          <w:shd w:val="clear" w:color="auto" w:fill="FFFFFF"/>
          <w14:textFill>
            <w14:solidFill>
              <w14:schemeClr w14:val="tx1"/>
            </w14:solidFill>
          </w14:textFill>
        </w:rPr>
        <w:t>资讯管理：乡镇、</w:t>
      </w:r>
      <w:r>
        <w:rPr>
          <w:rFonts w:hint="eastAsia" w:ascii="宋体" w:hAnsi="宋体" w:cs="宋体"/>
          <w:color w:val="000000" w:themeColor="text1"/>
          <w:szCs w:val="32"/>
          <w:shd w:val="clear" w:color="auto" w:fill="FFFFFF"/>
          <w:lang w:eastAsia="zh-Hans"/>
          <w14:textFill>
            <w14:solidFill>
              <w14:schemeClr w14:val="tx1"/>
            </w14:solidFill>
          </w14:textFill>
        </w:rPr>
        <w:t>县</w:t>
      </w:r>
      <w:r>
        <w:rPr>
          <w:rFonts w:hint="eastAsia" w:ascii="宋体" w:hAnsi="宋体" w:cs="宋体"/>
          <w:color w:val="000000" w:themeColor="text1"/>
          <w:szCs w:val="32"/>
          <w:shd w:val="clear" w:color="auto" w:fill="FFFFFF"/>
          <w14:textFill>
            <w14:solidFill>
              <w14:schemeClr w14:val="tx1"/>
            </w14:solidFill>
          </w14:textFill>
        </w:rPr>
        <w:t>一级管理人员进行全镇或全</w:t>
      </w:r>
      <w:r>
        <w:rPr>
          <w:rFonts w:hint="eastAsia" w:ascii="宋体" w:hAnsi="宋体" w:cs="宋体"/>
          <w:color w:val="000000" w:themeColor="text1"/>
          <w:szCs w:val="32"/>
          <w:shd w:val="clear" w:color="auto" w:fill="FFFFFF"/>
          <w:lang w:eastAsia="zh-Hans"/>
          <w14:textFill>
            <w14:solidFill>
              <w14:schemeClr w14:val="tx1"/>
            </w14:solidFill>
          </w14:textFill>
        </w:rPr>
        <w:t>县</w:t>
      </w:r>
      <w:r>
        <w:rPr>
          <w:rFonts w:hint="eastAsia" w:ascii="宋体" w:hAnsi="宋体" w:cs="宋体"/>
          <w:color w:val="000000" w:themeColor="text1"/>
          <w:szCs w:val="32"/>
          <w:shd w:val="clear" w:color="auto" w:fill="FFFFFF"/>
          <w14:textFill>
            <w14:solidFill>
              <w14:schemeClr w14:val="tx1"/>
            </w14:solidFill>
          </w14:textFill>
        </w:rPr>
        <w:t>政策、法规类等内容的发布，方便农户等人员随时了解市、乡镇的政策动态；</w:t>
      </w:r>
    </w:p>
    <w:p>
      <w:pPr>
        <w:adjustRightInd w:val="0"/>
        <w:snapToGrid w:val="0"/>
        <w:spacing w:line="440" w:lineRule="exact"/>
        <w:ind w:firstLine="424"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zCs w:val="32"/>
          <w:shd w:val="clear" w:color="auto" w:fill="FFFFFF"/>
          <w:lang w:eastAsia="zh-Hans"/>
          <w14:textFill>
            <w14:solidFill>
              <w14:schemeClr w14:val="tx1"/>
            </w14:solidFill>
          </w14:textFill>
        </w:rPr>
        <w:t>用</w:t>
      </w:r>
      <w:r>
        <w:rPr>
          <w:rFonts w:hint="eastAsia" w:ascii="宋体" w:hAnsi="宋体" w:cs="宋体"/>
          <w:color w:val="000000" w:themeColor="text1"/>
          <w:szCs w:val="32"/>
          <w:shd w:val="clear" w:color="auto" w:fill="FFFFFF"/>
          <w14:textFill>
            <w14:solidFill>
              <w14:schemeClr w14:val="tx1"/>
            </w14:solidFill>
          </w14:textFill>
        </w:rPr>
        <w:t>户管理：进行农户注册信息的管理，为农户分配归属的小组和家庭，从而便于为家庭打分；</w:t>
      </w:r>
    </w:p>
    <w:p>
      <w:pPr>
        <w:spacing w:line="440" w:lineRule="exact"/>
        <w:ind w:firstLine="424"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32"/>
          <w:shd w:val="clear" w:color="auto" w:fill="FFFFFF"/>
          <w14:textFill>
            <w14:solidFill>
              <w14:schemeClr w14:val="tx1"/>
            </w14:solidFill>
          </w14:textFill>
        </w:rPr>
        <w:t>积分管理：积分项的设置、积分规则的创建、积分打分项的审核、</w:t>
      </w:r>
      <w:r>
        <w:rPr>
          <w:rFonts w:hint="eastAsia" w:ascii="宋体" w:hAnsi="宋体" w:cs="宋体"/>
          <w:color w:val="000000" w:themeColor="text1"/>
          <w:szCs w:val="32"/>
          <w:shd w:val="clear" w:color="auto" w:fill="FFFFFF"/>
          <w:lang w:eastAsia="zh-Hans"/>
          <w14:textFill>
            <w14:solidFill>
              <w14:schemeClr w14:val="tx1"/>
            </w14:solidFill>
          </w14:textFill>
        </w:rPr>
        <w:t>积</w:t>
      </w:r>
      <w:r>
        <w:rPr>
          <w:rFonts w:hint="eastAsia" w:ascii="宋体" w:hAnsi="宋体" w:cs="宋体"/>
          <w:color w:val="000000" w:themeColor="text1"/>
          <w:szCs w:val="32"/>
          <w:shd w:val="clear" w:color="auto" w:fill="FFFFFF"/>
          <w14:textFill>
            <w14:solidFill>
              <w14:schemeClr w14:val="tx1"/>
            </w14:solidFill>
          </w14:textFill>
        </w:rPr>
        <w:t>分应用项的创建以及应用规则的的设置等；</w:t>
      </w:r>
    </w:p>
    <w:p>
      <w:pPr>
        <w:spacing w:line="440" w:lineRule="exact"/>
        <w:ind w:firstLine="424" w:firstLineChars="200"/>
        <w:rPr>
          <w:rFonts w:ascii="宋体" w:hAnsi="宋体" w:cs="宋体"/>
          <w:color w:val="000000" w:themeColor="text1"/>
          <w:szCs w:val="32"/>
          <w:shd w:val="clear" w:color="auto" w:fill="FFFFFF"/>
          <w14:textFill>
            <w14:solidFill>
              <w14:schemeClr w14:val="tx1"/>
            </w14:solidFill>
          </w14:textFill>
        </w:rPr>
      </w:pPr>
      <w:r>
        <w:rPr>
          <w:rFonts w:hint="eastAsia" w:ascii="宋体" w:hAnsi="宋体" w:cs="宋体"/>
          <w:color w:val="000000" w:themeColor="text1"/>
          <w:szCs w:val="32"/>
          <w:shd w:val="clear" w:color="auto" w:fill="FFFFFF"/>
          <w14:textFill>
            <w14:solidFill>
              <w14:schemeClr w14:val="tx1"/>
            </w14:solidFill>
          </w14:textFill>
        </w:rPr>
        <w:t>问答管理：农户提出的生产、种植过程中提出的各种问答等信息的管理；</w:t>
      </w:r>
    </w:p>
    <w:p>
      <w:pPr>
        <w:spacing w:line="440" w:lineRule="exact"/>
        <w:ind w:firstLine="424" w:firstLineChars="200"/>
        <w:rPr>
          <w:rFonts w:ascii="宋体" w:hAnsi="宋体" w:cs="宋体"/>
          <w:color w:val="000000" w:themeColor="text1"/>
          <w:szCs w:val="32"/>
          <w:shd w:val="clear" w:color="auto" w:fill="FFFFFF"/>
          <w14:textFill>
            <w14:solidFill>
              <w14:schemeClr w14:val="tx1"/>
            </w14:solidFill>
          </w14:textFill>
        </w:rPr>
      </w:pPr>
      <w:r>
        <w:rPr>
          <w:rFonts w:hint="eastAsia" w:ascii="宋体" w:hAnsi="宋体" w:cs="宋体"/>
          <w:color w:val="000000" w:themeColor="text1"/>
          <w:szCs w:val="32"/>
          <w:shd w:val="clear" w:color="auto" w:fill="FFFFFF"/>
          <w14:textFill>
            <w14:solidFill>
              <w14:schemeClr w14:val="tx1"/>
            </w14:solidFill>
          </w14:textFill>
        </w:rPr>
        <w:t>供需管理：农户发布的各项求购、供应信息的发布，在该模块列表页面，可以管理发布或求购的劳动力招募、家庭空闲的农机等信息。</w:t>
      </w:r>
    </w:p>
    <w:p>
      <w:pPr>
        <w:spacing w:line="440" w:lineRule="exact"/>
        <w:ind w:firstLine="424" w:firstLineChars="200"/>
        <w:rPr>
          <w:rFonts w:ascii="Times New Roman" w:hAnsi="Times New Roman" w:eastAsia="仿宋_GB2312"/>
          <w:color w:val="000000" w:themeColor="text1"/>
          <w:szCs w:val="32"/>
          <w:shd w:val="clear" w:color="auto" w:fill="FFFFFF"/>
          <w14:textFill>
            <w14:solidFill>
              <w14:schemeClr w14:val="tx1"/>
            </w14:solidFill>
          </w14:textFill>
        </w:rPr>
      </w:pPr>
      <w:r>
        <w:rPr>
          <w:rFonts w:hint="eastAsia" w:ascii="宋体" w:hAnsi="宋体" w:cs="宋体"/>
          <w:color w:val="000000" w:themeColor="text1"/>
          <w:szCs w:val="32"/>
          <w:shd w:val="clear" w:color="auto" w:fill="FFFFFF"/>
          <w14:textFill>
            <w14:solidFill>
              <w14:schemeClr w14:val="tx1"/>
            </w14:solidFill>
          </w14:textFill>
        </w:rPr>
        <w:t>系统设置：系统导航页面和用户账号、用户权限的设置。</w:t>
      </w:r>
    </w:p>
    <w:p>
      <w:pPr>
        <w:adjustRightInd w:val="0"/>
        <w:snapToGrid w:val="0"/>
        <w:spacing w:line="440" w:lineRule="exact"/>
        <w:ind w:firstLine="424" w:firstLineChars="200"/>
        <w:rPr>
          <w:rFonts w:ascii="宋体" w:hAnsi="宋体" w:cs="宋体"/>
          <w:b/>
          <w:bCs/>
          <w:color w:val="000000" w:themeColor="text1"/>
          <w:szCs w:val="21"/>
          <w:lang w:eastAsia="zh-Hans"/>
          <w14:textFill>
            <w14:solidFill>
              <w14:schemeClr w14:val="tx1"/>
            </w14:solidFill>
          </w14:textFill>
        </w:rPr>
      </w:pPr>
      <w:bookmarkStart w:id="57" w:name="_Toc1608096524"/>
      <w:bookmarkStart w:id="58" w:name="_Toc777265618"/>
      <w:r>
        <w:rPr>
          <w:rFonts w:ascii="宋体" w:hAnsi="宋体" w:cs="宋体"/>
          <w:b/>
          <w:bCs/>
          <w:color w:val="000000" w:themeColor="text1"/>
          <w:szCs w:val="21"/>
          <w:lang w:eastAsia="zh-Hans"/>
          <w14:textFill>
            <w14:solidFill>
              <w14:schemeClr w14:val="tx1"/>
            </w14:solidFill>
          </w14:textFill>
        </w:rPr>
        <w:t>3.仓储物流集中配送系统</w:t>
      </w:r>
      <w:bookmarkEnd w:id="57"/>
      <w:bookmarkEnd w:id="58"/>
    </w:p>
    <w:p>
      <w:pPr>
        <w:adjustRightInd w:val="0"/>
        <w:snapToGrid w:val="0"/>
        <w:spacing w:line="440" w:lineRule="exact"/>
        <w:ind w:firstLine="4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常山县现拥有众多的仓储物流集中配送中心，大多数通过线下的渠道进行配送，这对集配中心本身的管理以及政府农产品质量安全的监管带来很大挑战。</w:t>
      </w:r>
    </w:p>
    <w:p>
      <w:pPr>
        <w:adjustRightInd w:val="0"/>
        <w:snapToGrid w:val="0"/>
        <w:spacing w:line="440" w:lineRule="exact"/>
        <w:ind w:firstLine="4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在仓储物流集中配送系统是实现农产品质量安全可监控“来源可查、过程可控、去向可追、全程可监管”的全链路农产品安全管理和配送平台，且可实现与政府各部门数据联通，提升政府对农产品安全的监控与农产品销售市场的管理。通过农产品安检系统，首先，可以帮助政府解决农产品从种植、配送、消费整个链路的追溯管理，做到有问题可一键排查，且可以通过对流通过程中数据的掌握，了解到产品的去向，以及整个市场的市场容量，便于进行以销定产，为生产作指导。其次，可以帮助流通过程中的集配商等用户解决他们手动集单效率低、库存管理混乱、手工对账麻烦易出错等问题，提升配送效率。最后，可以帮助食堂、门店等消费群体，解决下单订购商品效率低与集配商对账麻烦等问题。</w:t>
      </w:r>
    </w:p>
    <w:p>
      <w:pPr>
        <w:adjustRightInd w:val="0"/>
        <w:snapToGrid w:val="0"/>
        <w:spacing w:line="440" w:lineRule="exact"/>
        <w:ind w:firstLine="424" w:firstLineChars="200"/>
        <w:rPr>
          <w:rFonts w:ascii="宋体" w:hAnsi="宋体" w:cs="宋体"/>
          <w:b/>
          <w:bCs/>
          <w:color w:val="000000" w:themeColor="text1"/>
          <w:kern w:val="0"/>
          <w:szCs w:val="32"/>
          <w14:textFill>
            <w14:solidFill>
              <w14:schemeClr w14:val="tx1"/>
            </w14:solidFill>
          </w14:textFill>
        </w:rPr>
      </w:pPr>
      <w:r>
        <w:rPr>
          <w:rFonts w:hint="eastAsia" w:ascii="宋体" w:hAnsi="宋体" w:cs="宋体"/>
          <w:b/>
          <w:bCs/>
          <w:color w:val="000000" w:themeColor="text1"/>
          <w:kern w:val="0"/>
          <w:szCs w:val="32"/>
          <w14:textFill>
            <w14:solidFill>
              <w14:schemeClr w14:val="tx1"/>
            </w14:solidFill>
          </w14:textFill>
        </w:rPr>
        <w:t>建设内容：</w:t>
      </w:r>
    </w:p>
    <w:p>
      <w:pPr>
        <w:adjustRightInd w:val="0"/>
        <w:snapToGrid w:val="0"/>
        <w:spacing w:line="440" w:lineRule="exact"/>
        <w:ind w:firstLine="424" w:firstLineChars="200"/>
        <w:rPr>
          <w:rFonts w:ascii="宋体" w:hAnsi="宋体" w:cs="宋体"/>
          <w:b/>
          <w:bCs/>
          <w:color w:val="000000" w:themeColor="text1"/>
          <w:kern w:val="0"/>
          <w:szCs w:val="32"/>
          <w:lang w:eastAsia="zh-Hans"/>
          <w14:textFill>
            <w14:solidFill>
              <w14:schemeClr w14:val="tx1"/>
            </w14:solidFill>
          </w14:textFill>
        </w:rPr>
      </w:pPr>
      <w:r>
        <w:rPr>
          <w:rFonts w:hint="eastAsia" w:ascii="宋体" w:hAnsi="宋体" w:cs="宋体"/>
          <w:b/>
          <w:bCs/>
          <w:color w:val="000000" w:themeColor="text1"/>
          <w:kern w:val="0"/>
          <w:szCs w:val="32"/>
          <w:lang w:eastAsia="zh-Hans"/>
          <w14:textFill>
            <w14:solidFill>
              <w14:schemeClr w14:val="tx1"/>
            </w14:solidFill>
          </w14:textFill>
        </w:rPr>
        <w:t>（</w:t>
      </w:r>
      <w:r>
        <w:rPr>
          <w:rFonts w:ascii="宋体" w:hAnsi="宋体" w:cs="宋体"/>
          <w:b/>
          <w:bCs/>
          <w:color w:val="000000" w:themeColor="text1"/>
          <w:kern w:val="0"/>
          <w:szCs w:val="32"/>
          <w:lang w:eastAsia="zh-Hans"/>
          <w14:textFill>
            <w14:solidFill>
              <w14:schemeClr w14:val="tx1"/>
            </w14:solidFill>
          </w14:textFill>
        </w:rPr>
        <w:t>1</w:t>
      </w:r>
      <w:r>
        <w:rPr>
          <w:rFonts w:hint="eastAsia" w:ascii="宋体" w:hAnsi="宋体" w:cs="宋体"/>
          <w:b/>
          <w:bCs/>
          <w:color w:val="000000" w:themeColor="text1"/>
          <w:kern w:val="0"/>
          <w:szCs w:val="32"/>
          <w:lang w:eastAsia="zh-Hans"/>
          <w14:textFill>
            <w14:solidFill>
              <w14:schemeClr w14:val="tx1"/>
            </w14:solidFill>
          </w14:textFill>
        </w:rPr>
        <w:t>）消费者端</w:t>
      </w:r>
      <w:r>
        <w:rPr>
          <w:rFonts w:hint="eastAsia" w:ascii="宋体" w:hAnsi="宋体" w:cs="宋体"/>
          <w:b/>
          <w:bCs/>
          <w:color w:val="000000" w:themeColor="text1"/>
          <w:kern w:val="0"/>
          <w:szCs w:val="32"/>
          <w14:textFill>
            <w14:solidFill>
              <w14:schemeClr w14:val="tx1"/>
            </w14:solidFill>
          </w14:textFill>
        </w:rPr>
        <w:t>建设内容</w:t>
      </w:r>
    </w:p>
    <w:p>
      <w:pPr>
        <w:adjustRightInd w:val="0"/>
        <w:snapToGrid w:val="0"/>
        <w:spacing w:line="440" w:lineRule="exact"/>
        <w:ind w:firstLine="424" w:firstLineChars="200"/>
        <w:rPr>
          <w:rFonts w:ascii="宋体" w:hAnsi="宋体" w:cs="宋体"/>
          <w:color w:val="000000" w:themeColor="text1"/>
          <w:kern w:val="0"/>
          <w:szCs w:val="32"/>
          <w:lang w:eastAsia="zh-Hans"/>
          <w14:textFill>
            <w14:solidFill>
              <w14:schemeClr w14:val="tx1"/>
            </w14:solidFill>
          </w14:textFill>
        </w:rPr>
      </w:pPr>
      <w:r>
        <w:rPr>
          <w:rFonts w:hint="eastAsia" w:ascii="宋体" w:hAnsi="宋体" w:cs="宋体"/>
          <w:color w:val="000000" w:themeColor="text1"/>
          <w:kern w:val="0"/>
          <w:szCs w:val="32"/>
          <w:lang w:eastAsia="zh-Hans"/>
          <w14:textFill>
            <w14:solidFill>
              <w14:schemeClr w14:val="tx1"/>
            </w14:solidFill>
          </w14:textFill>
        </w:rPr>
        <w:t>商品中心：实现消费者快速进行商品的下单购买，提高商品购买的易用性和适用性。</w:t>
      </w:r>
    </w:p>
    <w:p>
      <w:pPr>
        <w:adjustRightInd w:val="0"/>
        <w:snapToGrid w:val="0"/>
        <w:spacing w:line="440" w:lineRule="exact"/>
        <w:ind w:firstLine="424" w:firstLineChars="200"/>
        <w:rPr>
          <w:rFonts w:ascii="宋体" w:hAnsi="宋体" w:cs="宋体"/>
          <w:color w:val="000000" w:themeColor="text1"/>
          <w:kern w:val="0"/>
          <w:szCs w:val="32"/>
          <w:lang w:eastAsia="zh-Hans"/>
          <w14:textFill>
            <w14:solidFill>
              <w14:schemeClr w14:val="tx1"/>
            </w14:solidFill>
          </w14:textFill>
        </w:rPr>
      </w:pPr>
      <w:r>
        <w:rPr>
          <w:rFonts w:hint="eastAsia" w:ascii="宋体" w:hAnsi="宋体" w:cs="宋体"/>
          <w:color w:val="000000" w:themeColor="text1"/>
          <w:kern w:val="0"/>
          <w:szCs w:val="32"/>
          <w:lang w:eastAsia="zh-Hans"/>
          <w14:textFill>
            <w14:solidFill>
              <w14:schemeClr w14:val="tx1"/>
            </w14:solidFill>
          </w14:textFill>
        </w:rPr>
        <w:t>个人中心：消费者对个人信息的自主管理。</w:t>
      </w:r>
    </w:p>
    <w:p>
      <w:pPr>
        <w:adjustRightInd w:val="0"/>
        <w:snapToGrid w:val="0"/>
        <w:spacing w:line="440" w:lineRule="exact"/>
        <w:ind w:firstLine="424" w:firstLineChars="200"/>
        <w:rPr>
          <w:rFonts w:ascii="宋体" w:hAnsi="宋体" w:cs="宋体"/>
          <w:color w:val="000000" w:themeColor="text1"/>
          <w:kern w:val="0"/>
          <w:szCs w:val="32"/>
          <w:lang w:eastAsia="zh-Hans"/>
          <w14:textFill>
            <w14:solidFill>
              <w14:schemeClr w14:val="tx1"/>
            </w14:solidFill>
          </w14:textFill>
        </w:rPr>
      </w:pPr>
      <w:r>
        <w:rPr>
          <w:rFonts w:hint="eastAsia" w:ascii="宋体" w:hAnsi="宋体" w:cs="宋体"/>
          <w:color w:val="000000" w:themeColor="text1"/>
          <w:kern w:val="0"/>
          <w:szCs w:val="32"/>
          <w:lang w:eastAsia="zh-Hans"/>
          <w14:textFill>
            <w14:solidFill>
              <w14:schemeClr w14:val="tx1"/>
            </w14:solidFill>
          </w14:textFill>
        </w:rPr>
        <w:t>财务分析：消费者对各个采购记录的管理，把控采购状况，清晰了解资金具体使用方向。</w:t>
      </w:r>
    </w:p>
    <w:p>
      <w:pPr>
        <w:adjustRightInd w:val="0"/>
        <w:snapToGrid w:val="0"/>
        <w:spacing w:line="440" w:lineRule="exact"/>
        <w:ind w:firstLine="424" w:firstLineChars="200"/>
        <w:rPr>
          <w:rFonts w:ascii="宋体" w:hAnsi="宋体" w:cs="宋体"/>
          <w:color w:val="000000" w:themeColor="text1"/>
          <w:kern w:val="0"/>
          <w:szCs w:val="32"/>
          <w:lang w:eastAsia="zh-Hans"/>
          <w14:textFill>
            <w14:solidFill>
              <w14:schemeClr w14:val="tx1"/>
            </w14:solidFill>
          </w14:textFill>
        </w:rPr>
      </w:pPr>
      <w:r>
        <w:rPr>
          <w:rFonts w:hint="eastAsia" w:ascii="宋体" w:hAnsi="宋体" w:cs="宋体"/>
          <w:color w:val="000000" w:themeColor="text1"/>
          <w:kern w:val="0"/>
          <w:szCs w:val="32"/>
          <w:lang w:eastAsia="zh-Hans"/>
          <w14:textFill>
            <w14:solidFill>
              <w14:schemeClr w14:val="tx1"/>
            </w14:solidFill>
          </w14:textFill>
        </w:rPr>
        <w:t>订单管理：方便商家的采购人员和配送入员进行商品的采购、配送管理，提高工作效率。</w:t>
      </w:r>
    </w:p>
    <w:p>
      <w:pPr>
        <w:adjustRightInd w:val="0"/>
        <w:snapToGrid w:val="0"/>
        <w:spacing w:line="440" w:lineRule="exact"/>
        <w:ind w:firstLine="424" w:firstLineChars="200"/>
        <w:rPr>
          <w:rFonts w:ascii="宋体" w:hAnsi="宋体" w:cs="宋体"/>
          <w:b/>
          <w:bCs/>
          <w:color w:val="000000" w:themeColor="text1"/>
          <w:kern w:val="0"/>
          <w:szCs w:val="32"/>
          <w:lang w:eastAsia="zh-Hans"/>
          <w14:textFill>
            <w14:solidFill>
              <w14:schemeClr w14:val="tx1"/>
            </w14:solidFill>
          </w14:textFill>
        </w:rPr>
      </w:pPr>
      <w:r>
        <w:rPr>
          <w:rFonts w:hint="eastAsia" w:ascii="宋体" w:hAnsi="宋体" w:cs="宋体"/>
          <w:b/>
          <w:bCs/>
          <w:color w:val="000000" w:themeColor="text1"/>
          <w:kern w:val="0"/>
          <w:szCs w:val="32"/>
          <w:lang w:eastAsia="zh-Hans"/>
          <w14:textFill>
            <w14:solidFill>
              <w14:schemeClr w14:val="tx1"/>
            </w14:solidFill>
          </w14:textFill>
        </w:rPr>
        <w:t>（</w:t>
      </w:r>
      <w:r>
        <w:rPr>
          <w:rFonts w:ascii="宋体" w:hAnsi="宋体" w:cs="宋体"/>
          <w:b/>
          <w:bCs/>
          <w:color w:val="000000" w:themeColor="text1"/>
          <w:kern w:val="0"/>
          <w:szCs w:val="32"/>
          <w:lang w:eastAsia="zh-Hans"/>
          <w14:textFill>
            <w14:solidFill>
              <w14:schemeClr w14:val="tx1"/>
            </w14:solidFill>
          </w14:textFill>
        </w:rPr>
        <w:t>2</w:t>
      </w:r>
      <w:r>
        <w:rPr>
          <w:rFonts w:hint="eastAsia" w:ascii="宋体" w:hAnsi="宋体" w:cs="宋体"/>
          <w:b/>
          <w:bCs/>
          <w:color w:val="000000" w:themeColor="text1"/>
          <w:kern w:val="0"/>
          <w:szCs w:val="32"/>
          <w:lang w:eastAsia="zh-Hans"/>
          <w14:textFill>
            <w14:solidFill>
              <w14:schemeClr w14:val="tx1"/>
            </w14:solidFill>
          </w14:textFill>
        </w:rPr>
        <w:t>）商家端</w:t>
      </w:r>
      <w:r>
        <w:rPr>
          <w:rFonts w:hint="eastAsia" w:ascii="宋体" w:hAnsi="宋体" w:cs="宋体"/>
          <w:b/>
          <w:bCs/>
          <w:color w:val="000000" w:themeColor="text1"/>
          <w:kern w:val="0"/>
          <w:szCs w:val="32"/>
          <w14:textFill>
            <w14:solidFill>
              <w14:schemeClr w14:val="tx1"/>
            </w14:solidFill>
          </w14:textFill>
        </w:rPr>
        <w:t>建设内容</w:t>
      </w:r>
    </w:p>
    <w:p>
      <w:pPr>
        <w:adjustRightInd w:val="0"/>
        <w:snapToGrid w:val="0"/>
        <w:spacing w:line="440" w:lineRule="exact"/>
        <w:ind w:firstLine="424" w:firstLineChars="200"/>
        <w:rPr>
          <w:rFonts w:ascii="宋体" w:hAnsi="宋体" w:cs="宋体"/>
          <w:color w:val="000000" w:themeColor="text1"/>
          <w:kern w:val="0"/>
          <w:szCs w:val="32"/>
          <w:lang w:eastAsia="zh-Hans"/>
          <w14:textFill>
            <w14:solidFill>
              <w14:schemeClr w14:val="tx1"/>
            </w14:solidFill>
          </w14:textFill>
        </w:rPr>
      </w:pPr>
      <w:r>
        <w:rPr>
          <w:rFonts w:hint="eastAsia" w:ascii="宋体" w:hAnsi="宋体" w:cs="宋体"/>
          <w:color w:val="000000" w:themeColor="text1"/>
          <w:kern w:val="0"/>
          <w:szCs w:val="32"/>
          <w:lang w:eastAsia="zh-Hans"/>
          <w14:textFill>
            <w14:solidFill>
              <w14:schemeClr w14:val="tx1"/>
            </w14:solidFill>
          </w14:textFill>
        </w:rPr>
        <w:t>用户管理：进行客户、员工的管理，满足用户基本信息的维护。</w:t>
      </w:r>
    </w:p>
    <w:p>
      <w:pPr>
        <w:adjustRightInd w:val="0"/>
        <w:snapToGrid w:val="0"/>
        <w:spacing w:line="440" w:lineRule="exact"/>
        <w:ind w:firstLine="424" w:firstLineChars="200"/>
        <w:rPr>
          <w:rFonts w:ascii="宋体" w:hAnsi="宋体" w:cs="宋体"/>
          <w:color w:val="000000" w:themeColor="text1"/>
          <w:kern w:val="0"/>
          <w:szCs w:val="32"/>
          <w:lang w:eastAsia="zh-Hans"/>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商品管理：进行商品上下架管理、商品分类管理、商品价格管理、商品损耗等商品方面的业务管理，为采购、订单、配送、财务等模块提供业务支撑。</w:t>
      </w:r>
    </w:p>
    <w:p>
      <w:pPr>
        <w:adjustRightInd w:val="0"/>
        <w:snapToGrid w:val="0"/>
        <w:spacing w:line="440" w:lineRule="exact"/>
        <w:ind w:firstLine="4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订单管理：订单列表管理、代客下单等订单业务的管理。</w:t>
      </w:r>
    </w:p>
    <w:p>
      <w:pPr>
        <w:adjustRightInd w:val="0"/>
        <w:snapToGrid w:val="0"/>
        <w:spacing w:line="440" w:lineRule="exact"/>
        <w:ind w:firstLine="4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lang w:eastAsia="zh-Hans"/>
          <w14:textFill>
            <w14:solidFill>
              <w14:schemeClr w14:val="tx1"/>
            </w14:solidFill>
          </w14:textFill>
        </w:rPr>
        <w:t>仓库</w:t>
      </w:r>
      <w:r>
        <w:rPr>
          <w:rFonts w:hint="eastAsia" w:ascii="宋体" w:hAnsi="宋体" w:cs="宋体"/>
          <w:color w:val="000000" w:themeColor="text1"/>
          <w:kern w:val="0"/>
          <w:szCs w:val="32"/>
          <w14:textFill>
            <w14:solidFill>
              <w14:schemeClr w14:val="tx1"/>
            </w14:solidFill>
          </w14:textFill>
        </w:rPr>
        <w:t>管理：商品的拣选、商品打包称重、商品的入库、出库、商品盘点、库内操作人员等仓内业务的管理。</w:t>
      </w:r>
    </w:p>
    <w:p>
      <w:pPr>
        <w:adjustRightInd w:val="0"/>
        <w:snapToGrid w:val="0"/>
        <w:spacing w:line="440" w:lineRule="exact"/>
        <w:ind w:firstLine="4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采购管理：采购任务、供应商、采购员等采购业务的管理。</w:t>
      </w:r>
    </w:p>
    <w:p>
      <w:pPr>
        <w:adjustRightInd w:val="0"/>
        <w:snapToGrid w:val="0"/>
        <w:spacing w:line="440" w:lineRule="exact"/>
        <w:ind w:firstLine="4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配送管理：线路规划、配送订单列表、自动交付等配送事务的管理。</w:t>
      </w:r>
    </w:p>
    <w:p>
      <w:pPr>
        <w:adjustRightInd w:val="0"/>
        <w:snapToGrid w:val="0"/>
        <w:spacing w:line="440" w:lineRule="exact"/>
        <w:ind w:firstLine="4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财务管理：客户对账、供应商对账、历史账单、财务利润等财务分析等的管理</w:t>
      </w:r>
      <w:r>
        <w:rPr>
          <w:rFonts w:hint="eastAsia" w:ascii="宋体" w:hAnsi="宋体" w:cs="宋体"/>
          <w:color w:val="000000" w:themeColor="text1"/>
          <w:kern w:val="0"/>
          <w:szCs w:val="32"/>
          <w:lang w:eastAsia="zh-Hans"/>
          <w14:textFill>
            <w14:solidFill>
              <w14:schemeClr w14:val="tx1"/>
            </w14:solidFill>
          </w14:textFill>
        </w:rPr>
        <w:t>。</w:t>
      </w:r>
    </w:p>
    <w:p>
      <w:pPr>
        <w:adjustRightInd w:val="0"/>
        <w:snapToGrid w:val="0"/>
        <w:spacing w:line="440" w:lineRule="exact"/>
        <w:ind w:firstLine="4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报表管理：营业数据、商品销量、商品利润、订单统计、客户统计、商品品类等事务的统计展示。</w:t>
      </w:r>
    </w:p>
    <w:p>
      <w:pPr>
        <w:adjustRightInd w:val="0"/>
        <w:snapToGrid w:val="0"/>
        <w:spacing w:line="440" w:lineRule="exact"/>
        <w:ind w:firstLine="4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溯源管理：商品的来源去向流动、质量安全检测等涉及商品的安全方面的监督与管理，做到来源可查、去向可追、质量可控。</w:t>
      </w:r>
    </w:p>
    <w:p>
      <w:pPr>
        <w:adjustRightInd w:val="0"/>
        <w:snapToGrid w:val="0"/>
        <w:spacing w:line="440" w:lineRule="exact"/>
        <w:ind w:firstLine="424" w:firstLineChars="200"/>
        <w:rPr>
          <w:rFonts w:ascii="宋体" w:hAnsi="宋体" w:cs="宋体"/>
          <w:color w:val="000000" w:themeColor="text1"/>
          <w:kern w:val="0"/>
          <w:szCs w:val="32"/>
          <w:lang w:eastAsia="zh-Hans"/>
          <w14:textFill>
            <w14:solidFill>
              <w14:schemeClr w14:val="tx1"/>
            </w14:solidFill>
          </w14:textFill>
        </w:rPr>
      </w:pPr>
      <w:r>
        <w:rPr>
          <w:rFonts w:hint="eastAsia" w:ascii="宋体" w:hAnsi="宋体" w:cs="宋体"/>
          <w:color w:val="000000" w:themeColor="text1"/>
          <w:kern w:val="0"/>
          <w:szCs w:val="32"/>
          <w:lang w:eastAsia="zh-Hans"/>
          <w14:textFill>
            <w14:solidFill>
              <w14:schemeClr w14:val="tx1"/>
            </w14:solidFill>
          </w14:textFill>
        </w:rPr>
        <w:t>权限管理：方便商家对客户、员工等入员分配操作权限，做到定位定岗与定职相匹配。</w:t>
      </w:r>
    </w:p>
    <w:p>
      <w:pPr>
        <w:adjustRightInd w:val="0"/>
        <w:snapToGrid w:val="0"/>
        <w:spacing w:line="440" w:lineRule="exact"/>
        <w:ind w:firstLine="424" w:firstLineChars="200"/>
        <w:rPr>
          <w:rFonts w:ascii="宋体" w:hAnsi="宋体" w:cs="宋体"/>
          <w:b/>
          <w:bCs/>
          <w:color w:val="000000" w:themeColor="text1"/>
          <w:kern w:val="0"/>
          <w:szCs w:val="32"/>
          <w14:textFill>
            <w14:solidFill>
              <w14:schemeClr w14:val="tx1"/>
            </w14:solidFill>
          </w14:textFill>
        </w:rPr>
      </w:pPr>
      <w:r>
        <w:rPr>
          <w:rFonts w:hint="eastAsia" w:ascii="宋体" w:hAnsi="宋体" w:cs="宋体"/>
          <w:b/>
          <w:bCs/>
          <w:color w:val="000000" w:themeColor="text1"/>
          <w:kern w:val="0"/>
          <w:szCs w:val="32"/>
          <w:lang w:eastAsia="zh-Hans"/>
          <w14:textFill>
            <w14:solidFill>
              <w14:schemeClr w14:val="tx1"/>
            </w14:solidFill>
          </w14:textFill>
        </w:rPr>
        <w:t>（</w:t>
      </w:r>
      <w:r>
        <w:rPr>
          <w:rFonts w:ascii="宋体" w:hAnsi="宋体" w:cs="宋体"/>
          <w:b/>
          <w:bCs/>
          <w:color w:val="000000" w:themeColor="text1"/>
          <w:kern w:val="0"/>
          <w:szCs w:val="32"/>
          <w:lang w:eastAsia="zh-Hans"/>
          <w14:textFill>
            <w14:solidFill>
              <w14:schemeClr w14:val="tx1"/>
            </w14:solidFill>
          </w14:textFill>
        </w:rPr>
        <w:t>3</w:t>
      </w:r>
      <w:r>
        <w:rPr>
          <w:rFonts w:hint="eastAsia" w:ascii="宋体" w:hAnsi="宋体" w:cs="宋体"/>
          <w:b/>
          <w:bCs/>
          <w:color w:val="000000" w:themeColor="text1"/>
          <w:kern w:val="0"/>
          <w:szCs w:val="32"/>
          <w:lang w:eastAsia="zh-Hans"/>
          <w14:textFill>
            <w14:solidFill>
              <w14:schemeClr w14:val="tx1"/>
            </w14:solidFill>
          </w14:textFill>
        </w:rPr>
        <w:t>）管理端</w:t>
      </w:r>
      <w:r>
        <w:rPr>
          <w:rFonts w:hint="eastAsia" w:ascii="宋体" w:hAnsi="宋体" w:cs="宋体"/>
          <w:b/>
          <w:bCs/>
          <w:color w:val="000000" w:themeColor="text1"/>
          <w:kern w:val="0"/>
          <w:szCs w:val="32"/>
          <w14:textFill>
            <w14:solidFill>
              <w14:schemeClr w14:val="tx1"/>
            </w14:solidFill>
          </w14:textFill>
        </w:rPr>
        <w:t>建设内容</w:t>
      </w:r>
    </w:p>
    <w:p>
      <w:pPr>
        <w:adjustRightInd w:val="0"/>
        <w:snapToGrid w:val="0"/>
        <w:spacing w:line="440" w:lineRule="exact"/>
        <w:ind w:firstLine="424" w:firstLineChars="200"/>
        <w:rPr>
          <w:rFonts w:ascii="宋体" w:hAnsi="宋体" w:cs="宋体"/>
          <w:color w:val="000000" w:themeColor="text1"/>
          <w:kern w:val="0"/>
          <w:szCs w:val="32"/>
          <w:lang w:eastAsia="zh-Hans"/>
          <w14:textFill>
            <w14:solidFill>
              <w14:schemeClr w14:val="tx1"/>
            </w14:solidFill>
          </w14:textFill>
        </w:rPr>
      </w:pPr>
      <w:r>
        <w:rPr>
          <w:rFonts w:hint="eastAsia" w:ascii="宋体" w:hAnsi="宋体" w:cs="宋体"/>
          <w:color w:val="000000" w:themeColor="text1"/>
          <w:kern w:val="0"/>
          <w:szCs w:val="32"/>
          <w:lang w:eastAsia="zh-Hans"/>
          <w14:textFill>
            <w14:solidFill>
              <w14:schemeClr w14:val="tx1"/>
            </w14:solidFill>
          </w14:textFill>
        </w:rPr>
        <w:t>交易管理：了解整个常山仓储物流集中配送系统商品的交易状况，商品的交易量、交易方向等内容。</w:t>
      </w:r>
    </w:p>
    <w:p>
      <w:pPr>
        <w:adjustRightInd w:val="0"/>
        <w:snapToGrid w:val="0"/>
        <w:spacing w:line="440" w:lineRule="exact"/>
        <w:ind w:firstLine="424" w:firstLineChars="200"/>
        <w:rPr>
          <w:rFonts w:ascii="宋体" w:hAnsi="宋体" w:cs="宋体"/>
          <w:color w:val="000000" w:themeColor="text1"/>
          <w:kern w:val="0"/>
          <w:szCs w:val="32"/>
          <w:lang w:eastAsia="zh-Hans"/>
          <w14:textFill>
            <w14:solidFill>
              <w14:schemeClr w14:val="tx1"/>
            </w14:solidFill>
          </w14:textFill>
        </w:rPr>
      </w:pPr>
      <w:r>
        <w:rPr>
          <w:rFonts w:hint="eastAsia" w:ascii="宋体" w:hAnsi="宋体" w:cs="宋体"/>
          <w:color w:val="000000" w:themeColor="text1"/>
          <w:kern w:val="0"/>
          <w:szCs w:val="32"/>
          <w:lang w:eastAsia="zh-Hans"/>
          <w14:textFill>
            <w14:solidFill>
              <w14:schemeClr w14:val="tx1"/>
            </w14:solidFill>
          </w14:textFill>
        </w:rPr>
        <w:t>用户管理：对整个商家和消费者等交易参与人员进行管控，把控交易参与对象。</w:t>
      </w:r>
    </w:p>
    <w:p>
      <w:pPr>
        <w:adjustRightInd w:val="0"/>
        <w:snapToGrid w:val="0"/>
        <w:spacing w:line="440" w:lineRule="exact"/>
        <w:ind w:firstLine="424" w:firstLineChars="200"/>
        <w:rPr>
          <w:rFonts w:ascii="Times New Roman" w:hAnsi="Times New Roman" w:eastAsia="仿宋_GB2312"/>
          <w:color w:val="000000" w:themeColor="text1"/>
          <w:kern w:val="0"/>
          <w:szCs w:val="32"/>
          <w:lang w:eastAsia="zh-Hans"/>
          <w14:textFill>
            <w14:solidFill>
              <w14:schemeClr w14:val="tx1"/>
            </w14:solidFill>
          </w14:textFill>
        </w:rPr>
      </w:pPr>
      <w:r>
        <w:rPr>
          <w:rFonts w:hint="eastAsia" w:ascii="宋体" w:hAnsi="宋体" w:cs="宋体"/>
          <w:color w:val="000000" w:themeColor="text1"/>
          <w:kern w:val="0"/>
          <w:szCs w:val="32"/>
          <w:lang w:eastAsia="zh-Hans"/>
          <w14:textFill>
            <w14:solidFill>
              <w14:schemeClr w14:val="tx1"/>
            </w14:solidFill>
          </w14:textFill>
        </w:rPr>
        <w:t>溯源管理：对交易过程中的商品进行把控，实现来源可查、去向可追、快速定位等监控。</w:t>
      </w:r>
    </w:p>
    <w:p>
      <w:pPr>
        <w:adjustRightInd w:val="0"/>
        <w:snapToGrid w:val="0"/>
        <w:spacing w:line="440" w:lineRule="exact"/>
        <w:ind w:firstLine="424" w:firstLineChars="200"/>
        <w:rPr>
          <w:rFonts w:ascii="宋体" w:hAnsi="宋体" w:cs="宋体"/>
          <w:b/>
          <w:bCs/>
          <w:color w:val="000000" w:themeColor="text1"/>
          <w:szCs w:val="21"/>
          <w:lang w:eastAsia="zh-Hans"/>
          <w14:textFill>
            <w14:solidFill>
              <w14:schemeClr w14:val="tx1"/>
            </w14:solidFill>
          </w14:textFill>
        </w:rPr>
      </w:pPr>
      <w:bookmarkStart w:id="59" w:name="_Toc51336395"/>
      <w:bookmarkStart w:id="60" w:name="_Toc360217025"/>
      <w:bookmarkStart w:id="61" w:name="_Toc1196581373"/>
      <w:r>
        <w:rPr>
          <w:rFonts w:ascii="宋体" w:hAnsi="宋体" w:cs="宋体"/>
          <w:b/>
          <w:bCs/>
          <w:color w:val="000000" w:themeColor="text1"/>
          <w:szCs w:val="21"/>
          <w:lang w:eastAsia="zh-Hans"/>
          <w14:textFill>
            <w14:solidFill>
              <w14:schemeClr w14:val="tx1"/>
            </w14:solidFill>
          </w14:textFill>
        </w:rPr>
        <w:t>4.</w:t>
      </w:r>
      <w:bookmarkEnd w:id="59"/>
      <w:r>
        <w:rPr>
          <w:rFonts w:hint="eastAsia" w:ascii="宋体" w:hAnsi="宋体" w:cs="宋体"/>
          <w:b/>
          <w:bCs/>
          <w:color w:val="000000" w:themeColor="text1"/>
          <w:szCs w:val="21"/>
          <w:lang w:eastAsia="zh-Hans"/>
          <w14:textFill>
            <w14:solidFill>
              <w14:schemeClr w14:val="tx1"/>
            </w14:solidFill>
          </w14:textFill>
        </w:rPr>
        <w:t>电商平台</w:t>
      </w:r>
      <w:bookmarkEnd w:id="60"/>
      <w:bookmarkEnd w:id="61"/>
    </w:p>
    <w:p>
      <w:pPr>
        <w:spacing w:line="440" w:lineRule="exact"/>
        <w:ind w:firstLine="424"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lang w:eastAsia="zh-Hans"/>
          <w14:textFill>
            <w14:solidFill>
              <w14:schemeClr w14:val="tx1"/>
            </w14:solidFill>
          </w14:textFill>
        </w:rPr>
        <w:t>对常山子平台</w:t>
      </w:r>
      <w:r>
        <w:rPr>
          <w:rFonts w:hint="eastAsia" w:ascii="宋体" w:hAnsi="宋体" w:cs="宋体"/>
          <w:color w:val="000000" w:themeColor="text1"/>
          <w:szCs w:val="32"/>
          <w14:textFill>
            <w14:solidFill>
              <w14:schemeClr w14:val="tx1"/>
            </w14:solidFill>
          </w14:textFill>
        </w:rPr>
        <w:t>的整体进行策划、建设与运营，通过精美的装修与板块的扩充，将常山更多乡村产业（如农家乐、民宿等）与成果带入</w:t>
      </w:r>
      <w:r>
        <w:rPr>
          <w:rFonts w:hint="eastAsia" w:ascii="宋体" w:hAnsi="宋体" w:cs="宋体"/>
          <w:color w:val="000000" w:themeColor="text1"/>
          <w:szCs w:val="32"/>
          <w:lang w:eastAsia="zh-Hans"/>
          <w14:textFill>
            <w14:solidFill>
              <w14:schemeClr w14:val="tx1"/>
            </w14:solidFill>
          </w14:textFill>
        </w:rPr>
        <w:t>到线上渠道</w:t>
      </w:r>
      <w:r>
        <w:rPr>
          <w:rFonts w:hint="eastAsia" w:ascii="宋体" w:hAnsi="宋体" w:cs="宋体"/>
          <w:color w:val="000000" w:themeColor="text1"/>
          <w:szCs w:val="32"/>
          <w14:textFill>
            <w14:solidFill>
              <w14:schemeClr w14:val="tx1"/>
            </w14:solidFill>
          </w14:textFill>
        </w:rPr>
        <w:t>中。通过主体的培训提升常山整体的电商化水品，宣传推广，活动推广等手段。在</w:t>
      </w:r>
      <w:r>
        <w:rPr>
          <w:rFonts w:hint="eastAsia" w:ascii="宋体" w:hAnsi="宋体" w:cs="宋体"/>
          <w:color w:val="000000" w:themeColor="text1"/>
          <w:szCs w:val="32"/>
          <w:lang w:eastAsia="zh-Hans"/>
          <w14:textFill>
            <w14:solidFill>
              <w14:schemeClr w14:val="tx1"/>
            </w14:solidFill>
          </w14:textFill>
        </w:rPr>
        <w:t>电商平台</w:t>
      </w:r>
      <w:r>
        <w:rPr>
          <w:rFonts w:hint="eastAsia" w:ascii="宋体" w:hAnsi="宋体" w:cs="宋体"/>
          <w:color w:val="000000" w:themeColor="text1"/>
          <w:szCs w:val="32"/>
          <w14:textFill>
            <w14:solidFill>
              <w14:schemeClr w14:val="tx1"/>
            </w14:solidFill>
          </w14:textFill>
        </w:rPr>
        <w:t>内建立可看、可逛、可购的一个完整生态闭环。不仅提升消费者在整个场馆的购买能力，更进一步提升主体的创收。</w:t>
      </w:r>
    </w:p>
    <w:p>
      <w:pPr>
        <w:spacing w:line="440" w:lineRule="exact"/>
        <w:ind w:firstLine="424"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lang w:eastAsia="zh-Hans"/>
          <w14:textFill>
            <w14:solidFill>
              <w14:schemeClr w14:val="tx1"/>
            </w14:solidFill>
          </w14:textFill>
        </w:rPr>
        <w:t>常山子平台针对主体而言普遍存在着建设与运营难</w:t>
      </w:r>
      <w:r>
        <w:rPr>
          <w:rFonts w:hint="eastAsia" w:ascii="宋体" w:hAnsi="宋体" w:cs="宋体"/>
          <w:color w:val="000000" w:themeColor="text1"/>
          <w:szCs w:val="32"/>
          <w14:textFill>
            <w14:solidFill>
              <w14:schemeClr w14:val="tx1"/>
            </w14:solidFill>
          </w14:textFill>
        </w:rPr>
        <w:t>问题，</w:t>
      </w:r>
      <w:r>
        <w:rPr>
          <w:rFonts w:hint="eastAsia" w:ascii="宋体" w:hAnsi="宋体" w:cs="宋体"/>
          <w:color w:val="000000" w:themeColor="text1"/>
          <w:szCs w:val="32"/>
          <w:lang w:eastAsia="zh-Hans"/>
          <w14:textFill>
            <w14:solidFill>
              <w14:schemeClr w14:val="tx1"/>
            </w14:solidFill>
          </w14:textFill>
        </w:rPr>
        <w:t>为更好</w:t>
      </w:r>
      <w:r>
        <w:rPr>
          <w:rFonts w:hint="eastAsia" w:ascii="宋体" w:hAnsi="宋体" w:cs="宋体"/>
          <w:color w:val="000000" w:themeColor="text1"/>
          <w:szCs w:val="32"/>
          <w14:textFill>
            <w14:solidFill>
              <w14:schemeClr w14:val="tx1"/>
            </w14:solidFill>
          </w14:textFill>
        </w:rPr>
        <w:t>提升</w:t>
      </w:r>
      <w:r>
        <w:rPr>
          <w:rFonts w:hint="eastAsia" w:ascii="宋体" w:hAnsi="宋体" w:cs="宋体"/>
          <w:color w:val="000000" w:themeColor="text1"/>
          <w:szCs w:val="32"/>
          <w:lang w:eastAsia="zh-Hans"/>
          <w14:textFill>
            <w14:solidFill>
              <w14:schemeClr w14:val="tx1"/>
            </w14:solidFill>
          </w14:textFill>
        </w:rPr>
        <w:t>电商平台</w:t>
      </w:r>
      <w:r>
        <w:rPr>
          <w:rFonts w:hint="eastAsia" w:ascii="宋体" w:hAnsi="宋体" w:cs="宋体"/>
          <w:color w:val="000000" w:themeColor="text1"/>
          <w:szCs w:val="32"/>
          <w14:textFill>
            <w14:solidFill>
              <w14:schemeClr w14:val="tx1"/>
            </w14:solidFill>
          </w14:textFill>
        </w:rPr>
        <w:t>商家电商化能力，更好的运营店铺，参与平台活动，做好客户服务，</w:t>
      </w:r>
      <w:r>
        <w:rPr>
          <w:rFonts w:hint="eastAsia" w:ascii="宋体" w:hAnsi="宋体" w:cs="宋体"/>
          <w:color w:val="000000" w:themeColor="text1"/>
          <w:szCs w:val="32"/>
          <w:lang w:eastAsia="zh-Hans"/>
          <w14:textFill>
            <w14:solidFill>
              <w14:schemeClr w14:val="tx1"/>
            </w14:solidFill>
          </w14:textFill>
        </w:rPr>
        <w:t>电商</w:t>
      </w:r>
      <w:r>
        <w:rPr>
          <w:rFonts w:hint="eastAsia" w:ascii="宋体" w:hAnsi="宋体" w:cs="宋体"/>
          <w:color w:val="000000" w:themeColor="text1"/>
          <w:szCs w:val="32"/>
          <w14:textFill>
            <w14:solidFill>
              <w14:schemeClr w14:val="tx1"/>
            </w14:solidFill>
          </w14:textFill>
        </w:rPr>
        <w:t>平台开展商家培训工作，通过线上直播＋线下讲座的形式，培训常山地区商家，为长期运营</w:t>
      </w:r>
      <w:r>
        <w:rPr>
          <w:rFonts w:hint="eastAsia" w:ascii="宋体" w:hAnsi="宋体" w:cs="宋体"/>
          <w:color w:val="000000" w:themeColor="text1"/>
          <w:szCs w:val="32"/>
          <w:lang w:eastAsia="zh-Hans"/>
          <w14:textFill>
            <w14:solidFill>
              <w14:schemeClr w14:val="tx1"/>
            </w14:solidFill>
          </w14:textFill>
        </w:rPr>
        <w:t>电商平台</w:t>
      </w:r>
      <w:r>
        <w:rPr>
          <w:rFonts w:hint="eastAsia" w:ascii="宋体" w:hAnsi="宋体" w:cs="宋体"/>
          <w:color w:val="000000" w:themeColor="text1"/>
          <w:szCs w:val="32"/>
          <w14:textFill>
            <w14:solidFill>
              <w14:schemeClr w14:val="tx1"/>
            </w14:solidFill>
          </w14:textFill>
        </w:rPr>
        <w:t>做准备。</w:t>
      </w:r>
    </w:p>
    <w:p>
      <w:pPr>
        <w:adjustRightInd w:val="0"/>
        <w:snapToGrid w:val="0"/>
        <w:spacing w:line="440" w:lineRule="exact"/>
        <w:ind w:firstLine="424" w:firstLineChars="200"/>
        <w:rPr>
          <w:rFonts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为保证活动效果，活动期间会邀请于当地具有一定知名度的网红主播，借助主播本身所带的粉丝流量进行宣传推广，为直播带货环节提供支持，直播间预计观看人次</w:t>
      </w:r>
      <w:r>
        <w:rPr>
          <w:rFonts w:ascii="宋体" w:hAnsi="宋体" w:cs="宋体"/>
          <w:color w:val="000000" w:themeColor="text1"/>
          <w:szCs w:val="32"/>
          <w14:textFill>
            <w14:solidFill>
              <w14:schemeClr w14:val="tx1"/>
            </w14:solidFill>
          </w14:textFill>
        </w:rPr>
        <w:t>10000+</w:t>
      </w:r>
      <w:r>
        <w:rPr>
          <w:rFonts w:hint="eastAsia" w:ascii="宋体" w:hAnsi="宋体" w:cs="宋体"/>
          <w:color w:val="000000" w:themeColor="text1"/>
          <w:szCs w:val="32"/>
          <w14:textFill>
            <w14:solidFill>
              <w14:schemeClr w14:val="tx1"/>
            </w14:solidFill>
          </w14:textFill>
        </w:rPr>
        <w:t>。现场执行协助人员若干，负责维持活动现场秩序，衔接活动各个环节，处理突发事件。摄影摄像一名，实时拍摄现场照片，为后期宣传提供图片资料。</w:t>
      </w:r>
    </w:p>
    <w:p>
      <w:pPr>
        <w:adjustRightInd w:val="0"/>
        <w:snapToGrid w:val="0"/>
        <w:spacing w:line="440" w:lineRule="exact"/>
        <w:ind w:firstLine="424" w:firstLineChars="200"/>
        <w:rPr>
          <w:rFonts w:ascii="宋体" w:hAnsi="宋体" w:cs="宋体"/>
          <w:b/>
          <w:bCs/>
          <w:color w:val="000000" w:themeColor="text1"/>
          <w:szCs w:val="21"/>
          <w:lang w:eastAsia="zh-Hans"/>
          <w14:textFill>
            <w14:solidFill>
              <w14:schemeClr w14:val="tx1"/>
            </w14:solidFill>
          </w14:textFill>
        </w:rPr>
      </w:pPr>
      <w:bookmarkStart w:id="62" w:name="_Toc1906265503"/>
      <w:bookmarkStart w:id="63" w:name="_Toc411138282"/>
      <w:bookmarkStart w:id="64" w:name="_Toc51336398"/>
      <w:r>
        <w:rPr>
          <w:rFonts w:ascii="宋体" w:hAnsi="宋体" w:cs="宋体"/>
          <w:b/>
          <w:bCs/>
          <w:color w:val="000000" w:themeColor="text1"/>
          <w:szCs w:val="21"/>
          <w:lang w:eastAsia="zh-Hans"/>
          <w14:textFill>
            <w14:solidFill>
              <w14:schemeClr w14:val="tx1"/>
            </w14:solidFill>
          </w14:textFill>
        </w:rPr>
        <w:t>5.农村垃圾分类智慧管理系统</w:t>
      </w:r>
      <w:bookmarkEnd w:id="62"/>
      <w:bookmarkEnd w:id="63"/>
      <w:bookmarkEnd w:id="64"/>
    </w:p>
    <w:p>
      <w:pPr>
        <w:spacing w:line="440" w:lineRule="exact"/>
        <w:ind w:firstLine="424"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围绕健全长效管理机制和提升管理能级的目标，遵循“用数据说话，用数据决策，用数据管理，用数据创新”的原则，强化顶层设计，充分利用区块链、云计算、大数据等新一代信息技术，建设农村垃圾分类智慧管理系统建设，实时获取前端投放、垃圾收集、垃圾运输的实时数据，根据实时数据自动生成各指标，并能根据各指标自动预警。通过系统可精准了解全区各街镇在投放阶段减量的手段及方法，实时查看收集阶段垃圾的去向，迅速获知运输方式及最终各类垃圾处置设施运行状况，各类指标均以简明图、表形式进行展示。</w:t>
      </w:r>
    </w:p>
    <w:p>
      <w:pPr>
        <w:spacing w:line="440" w:lineRule="exact"/>
        <w:ind w:firstLine="424" w:firstLineChars="200"/>
        <w:rPr>
          <w:rFonts w:ascii="宋体" w:hAnsi="宋体" w:cs="宋体"/>
          <w:color w:val="000000" w:themeColor="text1"/>
          <w:lang w:eastAsia="zh-Hans"/>
          <w14:textFill>
            <w14:solidFill>
              <w14:schemeClr w14:val="tx1"/>
            </w14:solidFill>
          </w14:textFill>
        </w:rPr>
      </w:pPr>
      <w:r>
        <w:rPr>
          <w:rFonts w:hint="eastAsia" w:ascii="宋体" w:hAnsi="宋体" w:cs="宋体"/>
          <w:color w:val="000000" w:themeColor="text1"/>
          <w:lang w:eastAsia="zh-Hans"/>
          <w14:textFill>
            <w14:solidFill>
              <w14:schemeClr w14:val="tx1"/>
            </w14:solidFill>
          </w14:textFill>
        </w:rPr>
        <w:t>建设内容</w:t>
      </w:r>
    </w:p>
    <w:p>
      <w:pPr>
        <w:spacing w:line="440" w:lineRule="exact"/>
        <w:ind w:firstLine="424" w:firstLineChars="200"/>
        <w:rPr>
          <w:rFonts w:ascii="宋体" w:hAnsi="宋体" w:cs="宋体"/>
          <w:b/>
          <w:bCs/>
          <w:color w:val="000000" w:themeColor="text1"/>
          <w:szCs w:val="21"/>
          <w:lang w:eastAsia="zh-Hans"/>
          <w14:textFill>
            <w14:solidFill>
              <w14:schemeClr w14:val="tx1"/>
            </w14:solidFill>
          </w14:textFill>
        </w:rPr>
      </w:pPr>
      <w:r>
        <w:rPr>
          <w:rFonts w:hint="eastAsia" w:ascii="宋体" w:hAnsi="宋体" w:cs="宋体"/>
          <w:b/>
          <w:bCs/>
          <w:color w:val="000000" w:themeColor="text1"/>
          <w:szCs w:val="21"/>
          <w:lang w:eastAsia="zh-Hans"/>
          <w14:textFill>
            <w14:solidFill>
              <w14:schemeClr w14:val="tx1"/>
            </w14:solidFill>
          </w14:textFill>
        </w:rPr>
        <w:t>（</w:t>
      </w:r>
      <w:r>
        <w:rPr>
          <w:rFonts w:ascii="宋体" w:hAnsi="宋体" w:cs="宋体"/>
          <w:b/>
          <w:bCs/>
          <w:color w:val="000000" w:themeColor="text1"/>
          <w:szCs w:val="21"/>
          <w:lang w:eastAsia="zh-Hans"/>
          <w14:textFill>
            <w14:solidFill>
              <w14:schemeClr w14:val="tx1"/>
            </w14:solidFill>
          </w14:textFill>
        </w:rPr>
        <w:t>1</w:t>
      </w:r>
      <w:r>
        <w:rPr>
          <w:rFonts w:hint="eastAsia" w:ascii="宋体" w:hAnsi="宋体" w:cs="宋体"/>
          <w:b/>
          <w:bCs/>
          <w:color w:val="000000" w:themeColor="text1"/>
          <w:szCs w:val="21"/>
          <w:lang w:eastAsia="zh-Hans"/>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平台服务组成</w:t>
      </w:r>
    </w:p>
    <w:p>
      <w:pPr>
        <w:spacing w:line="440" w:lineRule="exact"/>
        <w:ind w:firstLine="424" w:firstLineChars="200"/>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常山县农村垃圾分类智慧管理系统主要由大数据分析、</w:t>
      </w:r>
      <w:r>
        <w:rPr>
          <w:rFonts w:ascii="宋体" w:hAnsi="宋体" w:cs="宋体"/>
          <w:color w:val="000000" w:themeColor="text1"/>
          <w:szCs w:val="21"/>
          <w14:textFill>
            <w14:solidFill>
              <w14:schemeClr w14:val="tx1"/>
            </w14:solidFill>
          </w14:textFill>
        </w:rPr>
        <w:t>GIS</w:t>
      </w:r>
      <w:r>
        <w:rPr>
          <w:rFonts w:hint="eastAsia" w:ascii="宋体" w:hAnsi="宋体" w:cs="宋体"/>
          <w:color w:val="000000" w:themeColor="text1"/>
          <w:szCs w:val="21"/>
          <w14:textFill>
            <w14:solidFill>
              <w14:schemeClr w14:val="tx1"/>
            </w14:solidFill>
          </w14:textFill>
        </w:rPr>
        <w:t>管理系统、投放分析、运输管理、末端管理、预约回收、</w:t>
      </w:r>
      <w:r>
        <w:rPr>
          <w:rFonts w:hint="eastAsia" w:ascii="宋体" w:hAnsi="宋体" w:cs="宋体"/>
          <w:color w:val="000000" w:themeColor="text1"/>
          <w:szCs w:val="21"/>
          <w:lang w:eastAsia="zh-Hans"/>
          <w14:textFill>
            <w14:solidFill>
              <w14:schemeClr w14:val="tx1"/>
            </w14:solidFill>
          </w14:textFill>
        </w:rPr>
        <w:t>数据填报</w:t>
      </w:r>
      <w:r>
        <w:rPr>
          <w:rFonts w:hint="eastAsia" w:ascii="宋体" w:hAnsi="宋体" w:cs="宋体"/>
          <w:color w:val="000000" w:themeColor="text1"/>
          <w:szCs w:val="21"/>
          <w14:textFill>
            <w14:solidFill>
              <w14:schemeClr w14:val="tx1"/>
            </w14:solidFill>
          </w14:textFill>
        </w:rPr>
        <w:t>、工作平台、系统管理</w:t>
      </w: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个功能模块组成。</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lang w:eastAsia="zh-Hans"/>
          <w14:textFill>
            <w14:solidFill>
              <w14:schemeClr w14:val="tx1"/>
            </w14:solidFill>
          </w14:textFill>
        </w:rPr>
        <w:t>a.</w:t>
      </w:r>
      <w:r>
        <w:rPr>
          <w:rFonts w:hint="eastAsia" w:ascii="宋体" w:hAnsi="宋体" w:cs="宋体"/>
          <w:color w:val="000000" w:themeColor="text1"/>
          <w:szCs w:val="21"/>
          <w14:textFill>
            <w14:solidFill>
              <w14:schemeClr w14:val="tx1"/>
            </w14:solidFill>
          </w14:textFill>
        </w:rPr>
        <w:t>大数据分析</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常山县大数据分析首页针对监管方面日常关注的几个数据指标进行展示，整个页面分成几个大的模块构件。包含对下级</w:t>
      </w:r>
      <w:r>
        <w:rPr>
          <w:rFonts w:hint="eastAsia" w:ascii="宋体" w:hAnsi="宋体" w:cs="宋体"/>
          <w:color w:val="000000" w:themeColor="text1"/>
          <w:szCs w:val="21"/>
          <w:lang w:eastAsia="zh-Hans"/>
          <w14:textFill>
            <w14:solidFill>
              <w14:schemeClr w14:val="tx1"/>
            </w14:solidFill>
          </w14:textFill>
        </w:rPr>
        <w:t>乡镇、村</w:t>
      </w:r>
      <w:r>
        <w:rPr>
          <w:rFonts w:hint="eastAsia" w:ascii="宋体" w:hAnsi="宋体" w:cs="宋体"/>
          <w:color w:val="000000" w:themeColor="text1"/>
          <w:szCs w:val="21"/>
          <w14:textFill>
            <w14:solidFill>
              <w14:schemeClr w14:val="tx1"/>
            </w14:solidFill>
          </w14:textFill>
        </w:rPr>
        <w:t>综合考核排名情况、可回收物回收量统计、可回收物占比分析情况、垃圾分类参与率以及覆盖率等指标化数据展示。</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lang w:eastAsia="zh-Hans"/>
          <w14:textFill>
            <w14:solidFill>
              <w14:schemeClr w14:val="tx1"/>
            </w14:solidFill>
          </w14:textFill>
        </w:rPr>
        <w:t>b.</w:t>
      </w:r>
      <w:r>
        <w:rPr>
          <w:rFonts w:ascii="宋体" w:hAnsi="宋体" w:cs="宋体"/>
          <w:color w:val="000000" w:themeColor="text1"/>
          <w:szCs w:val="21"/>
          <w14:textFill>
            <w14:solidFill>
              <w14:schemeClr w14:val="tx1"/>
            </w14:solidFill>
          </w14:textFill>
        </w:rPr>
        <w:t>GIS</w:t>
      </w:r>
      <w:r>
        <w:rPr>
          <w:rFonts w:hint="eastAsia" w:ascii="宋体" w:hAnsi="宋体" w:cs="宋体"/>
          <w:color w:val="000000" w:themeColor="text1"/>
          <w:szCs w:val="21"/>
          <w14:textFill>
            <w14:solidFill>
              <w14:schemeClr w14:val="tx1"/>
            </w14:solidFill>
          </w14:textFill>
        </w:rPr>
        <w:t>管理系统</w:t>
      </w:r>
    </w:p>
    <w:p>
      <w:pPr>
        <w:spacing w:line="440" w:lineRule="exact"/>
        <w:ind w:firstLine="424" w:firstLineChars="200"/>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w:t>
      </w:r>
      <w:r>
        <w:rPr>
          <w:rFonts w:ascii="宋体" w:hAnsi="宋体" w:cs="宋体"/>
          <w:color w:val="000000" w:themeColor="text1"/>
          <w:szCs w:val="21"/>
          <w14:textFill>
            <w14:solidFill>
              <w14:schemeClr w14:val="tx1"/>
            </w14:solidFill>
          </w14:textFill>
        </w:rPr>
        <w:t xml:space="preserve">GIS </w:t>
      </w:r>
      <w:r>
        <w:rPr>
          <w:rFonts w:hint="eastAsia" w:ascii="宋体" w:hAnsi="宋体" w:cs="宋体"/>
          <w:color w:val="000000" w:themeColor="text1"/>
          <w:szCs w:val="21"/>
          <w14:textFill>
            <w14:solidFill>
              <w14:schemeClr w14:val="tx1"/>
            </w14:solidFill>
          </w14:textFill>
        </w:rPr>
        <w:t>地图对参与垃圾分类的常山县各</w:t>
      </w:r>
      <w:r>
        <w:rPr>
          <w:rFonts w:hint="eastAsia" w:ascii="宋体" w:hAnsi="宋体" w:cs="宋体"/>
          <w:color w:val="000000" w:themeColor="text1"/>
          <w:szCs w:val="21"/>
          <w:lang w:eastAsia="zh-Hans"/>
          <w14:textFill>
            <w14:solidFill>
              <w14:schemeClr w14:val="tx1"/>
            </w14:solidFill>
          </w14:textFill>
        </w:rPr>
        <w:t>乡镇</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Hans"/>
          <w14:textFill>
            <w14:solidFill>
              <w14:schemeClr w14:val="tx1"/>
            </w14:solidFill>
          </w14:textFill>
        </w:rPr>
        <w:t>村</w:t>
      </w:r>
      <w:r>
        <w:rPr>
          <w:rFonts w:hint="eastAsia" w:ascii="宋体" w:hAnsi="宋体" w:cs="宋体"/>
          <w:color w:val="000000" w:themeColor="text1"/>
          <w:szCs w:val="21"/>
          <w14:textFill>
            <w14:solidFill>
              <w14:schemeClr w14:val="tx1"/>
            </w14:solidFill>
          </w14:textFill>
        </w:rPr>
        <w:t>情况的数据进行展示，同时亦可对参与垃圾分类的运输车辆情况实时定位，形成常山县垃圾分类动态数据与静态数据在一张图在进行展示。</w:t>
      </w:r>
    </w:p>
    <w:p>
      <w:pPr>
        <w:spacing w:line="440" w:lineRule="exact"/>
        <w:ind w:firstLine="424" w:firstLineChars="200"/>
        <w:rPr>
          <w:rFonts w:ascii="宋体" w:hAnsi="宋体" w:cs="宋体"/>
          <w:color w:val="000000" w:themeColor="text1"/>
          <w:szCs w:val="21"/>
          <w:lang w:eastAsia="zh-Hans"/>
          <w14:textFill>
            <w14:solidFill>
              <w14:schemeClr w14:val="tx1"/>
            </w14:solidFill>
          </w14:textFill>
        </w:rPr>
      </w:pPr>
      <w:r>
        <w:rPr>
          <w:rFonts w:ascii="宋体" w:hAnsi="宋体" w:cs="宋体"/>
          <w:color w:val="000000" w:themeColor="text1"/>
          <w:szCs w:val="21"/>
          <w:lang w:eastAsia="zh-Hans"/>
          <w14:textFill>
            <w14:solidFill>
              <w14:schemeClr w14:val="tx1"/>
            </w14:solidFill>
          </w14:textFill>
        </w:rPr>
        <w:t>c.</w:t>
      </w:r>
      <w:r>
        <w:rPr>
          <w:rFonts w:hint="eastAsia" w:ascii="宋体" w:hAnsi="宋体" w:cs="宋体"/>
          <w:color w:val="000000" w:themeColor="text1"/>
          <w:szCs w:val="21"/>
          <w14:textFill>
            <w14:solidFill>
              <w14:schemeClr w14:val="tx1"/>
            </w14:solidFill>
          </w14:textFill>
        </w:rPr>
        <w:t>投放分析</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围绕着垃圾分类三化四分的目标开展垃圾分类工作，在垃圾投放、收集、运输以及处置四个环节上，投放环节是整个环节中的起点也是整个环节中最重要的一个环节，针对此环节采用二维码溯源的方式对参与垃圾分类的</w:t>
      </w:r>
      <w:r>
        <w:rPr>
          <w:rFonts w:hint="eastAsia" w:ascii="宋体" w:hAnsi="宋体" w:cs="宋体"/>
          <w:color w:val="000000" w:themeColor="text1"/>
          <w:szCs w:val="21"/>
          <w:lang w:eastAsia="zh-Hans"/>
          <w14:textFill>
            <w14:solidFill>
              <w14:schemeClr w14:val="tx1"/>
            </w14:solidFill>
          </w14:textFill>
        </w:rPr>
        <w:t>村</w:t>
      </w:r>
      <w:r>
        <w:rPr>
          <w:rFonts w:hint="eastAsia" w:ascii="宋体" w:hAnsi="宋体" w:cs="宋体"/>
          <w:color w:val="000000" w:themeColor="text1"/>
          <w:szCs w:val="21"/>
          <w14:textFill>
            <w14:solidFill>
              <w14:schemeClr w14:val="tx1"/>
            </w14:solidFill>
          </w14:textFill>
        </w:rPr>
        <w:t>民进行巡检打分。</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lang w:eastAsia="zh-Hans"/>
          <w14:textFill>
            <w14:solidFill>
              <w14:schemeClr w14:val="tx1"/>
            </w14:solidFill>
          </w14:textFill>
        </w:rPr>
        <w:t>d.</w:t>
      </w:r>
      <w:r>
        <w:rPr>
          <w:rFonts w:hint="eastAsia" w:ascii="宋体" w:hAnsi="宋体" w:cs="宋体"/>
          <w:color w:val="000000" w:themeColor="text1"/>
          <w:szCs w:val="21"/>
          <w14:textFill>
            <w14:solidFill>
              <w14:schemeClr w14:val="tx1"/>
            </w14:solidFill>
          </w14:textFill>
        </w:rPr>
        <w:t>运输管理</w:t>
      </w:r>
    </w:p>
    <w:p>
      <w:pPr>
        <w:spacing w:line="440" w:lineRule="exact"/>
        <w:ind w:firstLine="424" w:firstLineChars="200"/>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主要包括车辆管理</w:t>
      </w:r>
      <w:r>
        <w:rPr>
          <w:rFonts w:hint="eastAsia"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车辆信息、实时位置</w:t>
      </w:r>
      <w:r>
        <w:rPr>
          <w:rFonts w:hint="eastAsia"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作业轨迹及称重管理</w:t>
      </w:r>
      <w:r>
        <w:rPr>
          <w:rFonts w:hint="eastAsia"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收集点管理</w:t>
      </w:r>
      <w:r>
        <w:rPr>
          <w:rFonts w:hint="eastAsia"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收集点名称、垃圾桶数量、所在</w:t>
      </w:r>
      <w:r>
        <w:rPr>
          <w:rFonts w:hint="eastAsia" w:ascii="宋体" w:hAnsi="宋体" w:cs="宋体"/>
          <w:color w:val="000000" w:themeColor="text1"/>
          <w:szCs w:val="21"/>
          <w:lang w:eastAsia="zh-Hans"/>
          <w14:textFill>
            <w14:solidFill>
              <w14:schemeClr w14:val="tx1"/>
            </w14:solidFill>
          </w14:textFill>
        </w:rPr>
        <w:t>村</w:t>
      </w:r>
      <w:r>
        <w:rPr>
          <w:rFonts w:hint="eastAsia" w:ascii="宋体" w:hAnsi="宋体" w:cs="宋体"/>
          <w:color w:val="000000" w:themeColor="text1"/>
          <w:szCs w:val="21"/>
          <w14:textFill>
            <w14:solidFill>
              <w14:schemeClr w14:val="tx1"/>
            </w14:solidFill>
          </w14:textFill>
        </w:rPr>
        <w:t>、所属区域、所属</w:t>
      </w:r>
      <w:r>
        <w:rPr>
          <w:rFonts w:hint="eastAsia" w:ascii="宋体" w:hAnsi="宋体" w:cs="宋体"/>
          <w:color w:val="000000" w:themeColor="text1"/>
          <w:szCs w:val="21"/>
          <w:lang w:eastAsia="zh-Hans"/>
          <w14:textFill>
            <w14:solidFill>
              <w14:schemeClr w14:val="tx1"/>
            </w14:solidFill>
          </w14:textFill>
        </w:rPr>
        <w:t>乡镇</w:t>
      </w:r>
      <w:r>
        <w:rPr>
          <w:rFonts w:hint="eastAsia" w:ascii="宋体" w:hAnsi="宋体" w:cs="宋体"/>
          <w:color w:val="000000" w:themeColor="text1"/>
          <w:szCs w:val="21"/>
          <w14:textFill>
            <w14:solidFill>
              <w14:schemeClr w14:val="tx1"/>
            </w14:solidFill>
          </w14:textFill>
        </w:rPr>
        <w:t>、照片、服务人口、地址、当前收集单位、当前收集车辆、责任人、联系方式、收集规则、</w:t>
      </w:r>
      <w:r>
        <w:rPr>
          <w:rFonts w:ascii="宋体" w:hAnsi="宋体" w:cs="宋体"/>
          <w:color w:val="000000" w:themeColor="text1"/>
          <w:szCs w:val="21"/>
          <w14:textFill>
            <w14:solidFill>
              <w14:schemeClr w14:val="tx1"/>
            </w14:solidFill>
          </w14:textFill>
        </w:rPr>
        <w:t>GPS</w:t>
      </w:r>
      <w:r>
        <w:rPr>
          <w:rFonts w:hint="eastAsia" w:ascii="宋体" w:hAnsi="宋体" w:cs="宋体"/>
          <w:color w:val="000000" w:themeColor="text1"/>
          <w:szCs w:val="21"/>
          <w14:textFill>
            <w14:solidFill>
              <w14:schemeClr w14:val="tx1"/>
            </w14:solidFill>
          </w14:textFill>
        </w:rPr>
        <w:t>坐标等。将收集点在地图上显示，方便监管人员进行全局直观查看，完善收集作业的覆盖率，地图上支持快速定位，辅助清运任务分配；</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实时数据监控</w:t>
      </w:r>
      <w:r>
        <w:rPr>
          <w:rFonts w:hint="eastAsia"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系统中可实时显示当前的车辆收集情况：包括车牌号、驾驶员、所属项目、车辆类型、称重时间、收集点（垃圾桶）名称、垃圾类型、垃圾重量。</w:t>
      </w:r>
    </w:p>
    <w:p>
      <w:pPr>
        <w:spacing w:line="440" w:lineRule="exact"/>
        <w:ind w:firstLine="424" w:firstLineChars="200"/>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称重明细查询</w:t>
      </w:r>
      <w:r>
        <w:rPr>
          <w:rFonts w:hint="eastAsia"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可根据车牌号、日期、收集点、垃圾类型等多个条件，选择查看称重数据，并可将查询的结果进行导出。</w:t>
      </w:r>
    </w:p>
    <w:p>
      <w:pPr>
        <w:spacing w:line="440" w:lineRule="exact"/>
        <w:ind w:firstLine="424" w:firstLineChars="200"/>
        <w:rPr>
          <w:rFonts w:ascii="宋体" w:hAnsi="宋体" w:cs="宋体"/>
          <w:color w:val="000000" w:themeColor="text1"/>
          <w:szCs w:val="2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称重汇总表</w:t>
      </w:r>
      <w:r>
        <w:rPr>
          <w:rFonts w:hint="eastAsia"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可根据车牌号、项目、月份等条件，从多维度对称重的数据进行汇总统计，导出月度统计表等称重数据，并可将查询的结果进行导出。</w:t>
      </w:r>
    </w:p>
    <w:p>
      <w:pPr>
        <w:spacing w:line="440" w:lineRule="exact"/>
        <w:ind w:firstLine="424" w:firstLineChars="20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视频监控</w:t>
      </w:r>
      <w:r>
        <w:rPr>
          <w:rFonts w:hint="eastAsia"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可以实时调取车辆安装的视频设备，查看车内、车前、车后等实时视频画面。实时监控车辆的作业状态、效果及作业规范。无线视频监控通过</w:t>
      </w:r>
      <w:r>
        <w:rPr>
          <w:rFonts w:ascii="宋体" w:hAnsi="宋体" w:cs="宋体"/>
          <w:color w:val="000000" w:themeColor="text1"/>
          <w:szCs w:val="21"/>
          <w14:textFill>
            <w14:solidFill>
              <w14:schemeClr w14:val="tx1"/>
            </w14:solidFill>
          </w14:textFill>
        </w:rPr>
        <w:t>4G</w:t>
      </w:r>
      <w:r>
        <w:rPr>
          <w:rFonts w:hint="eastAsia" w:ascii="宋体" w:hAnsi="宋体" w:cs="宋体"/>
          <w:color w:val="000000" w:themeColor="text1"/>
          <w:szCs w:val="21"/>
          <w14:textFill>
            <w14:solidFill>
              <w14:schemeClr w14:val="tx1"/>
            </w14:solidFill>
          </w14:textFill>
        </w:rPr>
        <w:t>网络与中心监控平台连接，实现实时的网络远程视频监控。通过网络视频监控平台，将分散、独立的采集点图像信息进行联网处理，实现跨区域的统一监控、统一管理及分级存储，满足客户进行远程监控、管理和信息传递的需求。通过视频监控管理有效督促分类运输过程中的混装混运现象。</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报警管理</w:t>
      </w:r>
      <w:r>
        <w:rPr>
          <w:rFonts w:hint="eastAsia"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对车辆进行实时监控产生的报警包括超速报警（含作业超速报警、行车超速报警）、违规告警（未按规定路线行驶等）、油量报警、停车熄火报警等。报警管理员可以对生成的告警进行处理或删除等操作。以及预警设置、超速报警、违规报警等。</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作业规划</w:t>
      </w:r>
      <w:r>
        <w:rPr>
          <w:rFonts w:hint="eastAsia"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对分类运输车车辆有效的进行作业规划，设置收集区域等基础规划属性，便于对分类运输车辆的网格化监管，做到全方位自动监管的目的。</w:t>
      </w:r>
    </w:p>
    <w:p>
      <w:pPr>
        <w:spacing w:line="440" w:lineRule="exact"/>
        <w:ind w:firstLine="424" w:firstLineChars="20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区域规划</w:t>
      </w:r>
      <w:r>
        <w:rPr>
          <w:rFonts w:hint="eastAsia"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对收运车辆进行相应的规定的工作区域进行规划，通过工作区域的划分以及车辆的绑定，保证车辆不会超区域作业导致作业规范性的破坏。</w:t>
      </w:r>
    </w:p>
    <w:p>
      <w:pPr>
        <w:spacing w:line="440" w:lineRule="exact"/>
        <w:ind w:firstLine="424" w:firstLineChars="20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排班管理</w:t>
      </w:r>
      <w:r>
        <w:rPr>
          <w:rFonts w:hint="eastAsia"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支持批量导入，导出任务信息，支持自动生成常规任务或者指派任务的输入。作业任务可以实时录入，并在监控中心大屏上滚动显示任务完成情况。车辆也可以实时绑定任务，接受指挥中心调度。</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e</w:t>
      </w:r>
      <w:r>
        <w:rPr>
          <w:rFonts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预约回收</w:t>
      </w:r>
    </w:p>
    <w:p>
      <w:pPr>
        <w:spacing w:line="440" w:lineRule="exact"/>
        <w:ind w:firstLine="424" w:firstLineChars="20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lang w:eastAsia="zh-Hans"/>
          <w14:textFill>
            <w14:solidFill>
              <w14:schemeClr w14:val="tx1"/>
            </w14:solidFill>
          </w14:textFill>
        </w:rPr>
        <w:t>村民</w:t>
      </w:r>
      <w:r>
        <w:rPr>
          <w:rFonts w:hint="eastAsia" w:ascii="宋体" w:hAnsi="宋体" w:cs="宋体"/>
          <w:color w:val="000000" w:themeColor="text1"/>
          <w:szCs w:val="21"/>
          <w14:textFill>
            <w14:solidFill>
              <w14:schemeClr w14:val="tx1"/>
            </w14:solidFill>
          </w14:textFill>
        </w:rPr>
        <w:t>端通过</w:t>
      </w:r>
      <w:r>
        <w:rPr>
          <w:rFonts w:ascii="宋体" w:hAnsi="宋体" w:cs="宋体"/>
          <w:color w:val="000000" w:themeColor="text1"/>
          <w:szCs w:val="21"/>
          <w14:textFill>
            <w14:solidFill>
              <w14:schemeClr w14:val="tx1"/>
            </w14:solidFill>
          </w14:textFill>
        </w:rPr>
        <w:t>APP</w:t>
      </w:r>
      <w:r>
        <w:rPr>
          <w:rFonts w:hint="eastAsia" w:ascii="宋体" w:hAnsi="宋体" w:cs="宋体"/>
          <w:color w:val="000000" w:themeColor="text1"/>
          <w:szCs w:val="21"/>
          <w14:textFill>
            <w14:solidFill>
              <w14:schemeClr w14:val="tx1"/>
            </w14:solidFill>
          </w14:textFill>
        </w:rPr>
        <w:t>申请的大件垃圾预约回收信息后，后台管理人员以及所在</w:t>
      </w:r>
      <w:r>
        <w:rPr>
          <w:rFonts w:hint="eastAsia" w:ascii="宋体" w:hAnsi="宋体" w:cs="宋体"/>
          <w:color w:val="000000" w:themeColor="text1"/>
          <w:szCs w:val="21"/>
          <w:lang w:eastAsia="zh-Hans"/>
          <w14:textFill>
            <w14:solidFill>
              <w14:schemeClr w14:val="tx1"/>
            </w14:solidFill>
          </w14:textFill>
        </w:rPr>
        <w:t>村民</w:t>
      </w:r>
      <w:r>
        <w:rPr>
          <w:rFonts w:hint="eastAsia" w:ascii="宋体" w:hAnsi="宋体" w:cs="宋体"/>
          <w:color w:val="000000" w:themeColor="text1"/>
          <w:szCs w:val="21"/>
          <w14:textFill>
            <w14:solidFill>
              <w14:schemeClr w14:val="tx1"/>
            </w14:solidFill>
          </w14:textFill>
        </w:rPr>
        <w:t>会接收到相关信息，所在物业人员进行统计汇总后，预约运输管理人员定期收运。在系统中可根据预约回收的地点、时间和回收物进行分类的排序显示，方便调度人员根据地域等进行更好的进行资源分配。保证回收工作的有效。</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f</w:t>
      </w:r>
      <w:r>
        <w:rPr>
          <w:rFonts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数据填报</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根据主管部门要求，可通过平台对下级单位填报的垃圾分类数据进行定制，可定制填报周期及针对分类环节进行定制数据填报。含表单管理、数据上报、填报审核等。</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g</w:t>
      </w:r>
      <w:r>
        <w:rPr>
          <w:rFonts w:ascii="宋体" w:hAnsi="宋体" w:cs="宋体"/>
          <w:color w:val="000000" w:themeColor="text1"/>
          <w:szCs w:val="21"/>
          <w:lang w:eastAsia="zh-Hans"/>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工作平台</w:t>
      </w:r>
    </w:p>
    <w:p>
      <w:pPr>
        <w:spacing w:line="440" w:lineRule="exact"/>
        <w:ind w:firstLine="424" w:firstLineChars="200"/>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伴随着垃圾分类信息化的进展，各个管理人员在网上专业办公的需求愈加旺盛，通过监管平台工作平台模块满足常山县垃圾分离管理人员的相关需求。该模块共分为我的桌面、政策文件、考核情况以及红黑榜单四个模块组成。</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lang w:eastAsia="zh-Hans"/>
          <w14:textFill>
            <w14:solidFill>
              <w14:schemeClr w14:val="tx1"/>
            </w14:solidFill>
          </w14:textFill>
        </w:rPr>
        <w:t>h.</w:t>
      </w:r>
      <w:r>
        <w:rPr>
          <w:rFonts w:hint="eastAsia" w:ascii="宋体" w:hAnsi="宋体" w:cs="宋体"/>
          <w:color w:val="000000" w:themeColor="text1"/>
          <w:szCs w:val="21"/>
          <w14:textFill>
            <w14:solidFill>
              <w14:schemeClr w14:val="tx1"/>
            </w14:solidFill>
          </w14:textFill>
        </w:rPr>
        <w:t>系统设置</w:t>
      </w:r>
    </w:p>
    <w:p>
      <w:pPr>
        <w:spacing w:line="440" w:lineRule="exact"/>
        <w:ind w:firstLine="424"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系统可根据不同权限的用户配置相关的账号信息，权限包含菜单权限以及数据权限等</w:t>
      </w:r>
      <w:r>
        <w:rPr>
          <w:rFonts w:hint="eastAsia" w:ascii="宋体" w:hAnsi="宋体" w:cs="宋体"/>
          <w:color w:val="000000" w:themeColor="text1"/>
          <w:szCs w:val="21"/>
          <w:lang w:eastAsia="zh-Hans"/>
          <w14:textFill>
            <w14:solidFill>
              <w14:schemeClr w14:val="tx1"/>
            </w14:solidFill>
          </w14:textFill>
        </w:rPr>
        <w:t>。</w:t>
      </w:r>
    </w:p>
    <w:p>
      <w:pPr>
        <w:spacing w:line="440" w:lineRule="exact"/>
        <w:ind w:firstLine="424"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ascii="宋体" w:hAnsi="宋体" w:cs="宋体"/>
          <w:b/>
          <w:bCs/>
          <w:color w:val="000000" w:themeColor="text1"/>
          <w:szCs w:val="21"/>
          <w14:textFill>
            <w14:solidFill>
              <w14:schemeClr w14:val="tx1"/>
            </w14:solidFill>
          </w14:textFill>
        </w:rPr>
        <w:t>2</w:t>
      </w:r>
      <w:r>
        <w:rPr>
          <w:rFonts w:hint="eastAsia" w:ascii="宋体" w:hAnsi="宋体" w:cs="宋体"/>
          <w:b/>
          <w:bCs/>
          <w:color w:val="000000" w:themeColor="text1"/>
          <w:szCs w:val="21"/>
          <w14:textFill>
            <w14:solidFill>
              <w14:schemeClr w14:val="tx1"/>
            </w14:solidFill>
          </w14:textFill>
        </w:rPr>
        <w:t>）硬件设备</w:t>
      </w:r>
    </w:p>
    <w:p>
      <w:pPr>
        <w:spacing w:line="440" w:lineRule="exact"/>
        <w:ind w:firstLine="424"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eastAsia="zh-Hans"/>
          <w14:textFill>
            <w14:solidFill>
              <w14:schemeClr w14:val="tx1"/>
            </w14:solidFill>
          </w14:textFill>
        </w:rPr>
        <w:t>①易腐垃圾、其他垃圾智能垃圾箱</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业主身份识别功能：用户对垃圾自行分类后，可通过刷袋、刷二维码等方式识别业主身份信息进行投放，采用科技升级配置，使垃圾分类具有科学化、合理化。</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自动称重功能：垃圾投放到箱体内能自动称重；</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刷卡后按动手动按钮，智能开门投递，门开到位</w:t>
      </w:r>
      <w:r>
        <w:rPr>
          <w:rFonts w:ascii="宋体" w:hAnsi="宋体" w:cs="宋体"/>
          <w:color w:val="000000" w:themeColor="text1"/>
          <w:szCs w:val="21"/>
          <w14:textFill>
            <w14:solidFill>
              <w14:schemeClr w14:val="tx1"/>
            </w14:solidFill>
          </w14:textFill>
        </w:rPr>
        <w:t>7S</w:t>
      </w:r>
      <w:r>
        <w:rPr>
          <w:rFonts w:hint="eastAsia" w:ascii="宋体" w:hAnsi="宋体" w:cs="宋体"/>
          <w:color w:val="000000" w:themeColor="text1"/>
          <w:szCs w:val="21"/>
          <w14:textFill>
            <w14:solidFill>
              <w14:schemeClr w14:val="tx1"/>
            </w14:solidFill>
          </w14:textFill>
        </w:rPr>
        <w:t>后自动关门；</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报警功能：当箱内堆积高度达到设定值时，能发出满溢报警；</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安全检测功能：具有电子防夹手和机械防夹手功能，避免用户在投递时不小心夹到手，对人体造成伤害。</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数据传输功能：用户的投放数据上传至后台。</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积分功能：用户通过正确投递后，应能本地显示用户投放积分，使用户对垃圾分类更有积极性。</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主要技术指标：</w:t>
      </w:r>
    </w:p>
    <w:tbl>
      <w:tblPr>
        <w:tblStyle w:val="39"/>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1635"/>
        <w:gridCol w:w="3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shd w:val="clear" w:color="auto" w:fill="auto"/>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类型</w:t>
            </w:r>
          </w:p>
        </w:tc>
        <w:tc>
          <w:tcPr>
            <w:tcW w:w="5466" w:type="dxa"/>
            <w:gridSpan w:val="2"/>
            <w:shd w:val="clear" w:color="auto" w:fill="auto"/>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shd w:val="clear" w:color="auto" w:fill="auto"/>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产品尺寸</w:t>
            </w:r>
          </w:p>
        </w:tc>
        <w:tc>
          <w:tcPr>
            <w:tcW w:w="5466" w:type="dxa"/>
            <w:gridSpan w:val="2"/>
            <w:shd w:val="clear" w:color="auto" w:fill="auto"/>
            <w:vAlign w:val="center"/>
          </w:tcPr>
          <w:p>
            <w:pPr>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1590*940*1850mm</w:t>
            </w:r>
            <w:r>
              <w:rPr>
                <w:rFonts w:hint="eastAsia" w:ascii="宋体" w:hAnsi="宋体" w:cs="宋体"/>
                <w:color w:val="000000" w:themeColor="text1"/>
                <w:kern w:val="0"/>
                <w:szCs w:val="21"/>
                <w14:textFill>
                  <w14:solidFill>
                    <w14:schemeClr w14:val="tx1"/>
                  </w14:solidFill>
                </w14:textFill>
              </w:rPr>
              <w:t>（长</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宽</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shd w:val="clear" w:color="auto" w:fill="auto"/>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开门方式</w:t>
            </w:r>
          </w:p>
        </w:tc>
        <w:tc>
          <w:tcPr>
            <w:tcW w:w="5466" w:type="dxa"/>
            <w:gridSpan w:val="2"/>
            <w:shd w:val="clear" w:color="auto" w:fill="auto"/>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扫码开门、按键开门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shd w:val="clear" w:color="auto" w:fill="auto"/>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满溢报警</w:t>
            </w:r>
          </w:p>
        </w:tc>
        <w:tc>
          <w:tcPr>
            <w:tcW w:w="5466" w:type="dxa"/>
            <w:gridSpan w:val="2"/>
            <w:shd w:val="clear" w:color="auto" w:fill="auto"/>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红外对射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shd w:val="clear" w:color="auto" w:fill="auto"/>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防夹手</w:t>
            </w:r>
          </w:p>
        </w:tc>
        <w:tc>
          <w:tcPr>
            <w:tcW w:w="5466" w:type="dxa"/>
            <w:gridSpan w:val="2"/>
            <w:shd w:val="clear" w:color="auto" w:fill="auto"/>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机械式触发开关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1" w:type="dxa"/>
            <w:gridSpan w:val="3"/>
            <w:shd w:val="clear" w:color="auto" w:fill="auto"/>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0" w:type="dxa"/>
            <w:gridSpan w:val="2"/>
            <w:shd w:val="clear" w:color="auto" w:fill="auto"/>
          </w:tcPr>
          <w:p>
            <w:pPr>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个投放口</w:t>
            </w:r>
          </w:p>
        </w:tc>
        <w:tc>
          <w:tcPr>
            <w:tcW w:w="3831" w:type="dxa"/>
            <w:shd w:val="clear" w:color="auto" w:fill="auto"/>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称重功能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0" w:type="dxa"/>
            <w:gridSpan w:val="2"/>
            <w:shd w:val="clear" w:color="auto" w:fill="auto"/>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直流电机</w:t>
            </w:r>
          </w:p>
        </w:tc>
        <w:tc>
          <w:tcPr>
            <w:tcW w:w="3831" w:type="dxa"/>
            <w:shd w:val="clear" w:color="auto" w:fill="auto"/>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市电</w:t>
            </w:r>
            <w:r>
              <w:rPr>
                <w:rFonts w:ascii="宋体" w:hAnsi="宋体" w:cs="宋体"/>
                <w:color w:val="000000" w:themeColor="text1"/>
                <w:kern w:val="0"/>
                <w:szCs w:val="21"/>
                <w14:textFill>
                  <w14:solidFill>
                    <w14:schemeClr w14:val="tx1"/>
                  </w14:solidFill>
                </w14:textFill>
              </w:rPr>
              <w:t>220V</w:t>
            </w:r>
          </w:p>
        </w:tc>
      </w:tr>
    </w:tbl>
    <w:p>
      <w:pPr>
        <w:spacing w:line="440" w:lineRule="exact"/>
        <w:ind w:firstLine="424" w:firstLineChars="200"/>
        <w:rPr>
          <w:rFonts w:ascii="Times New Roman" w:hAnsi="Times New Roman" w:eastAsia="仿宋_GB2312"/>
          <w:b/>
          <w:bCs/>
          <w:color w:val="000000" w:themeColor="text1"/>
          <w:szCs w:val="32"/>
          <w14:textFill>
            <w14:solidFill>
              <w14:schemeClr w14:val="tx1"/>
            </w14:solidFill>
          </w14:textFill>
        </w:rPr>
      </w:pPr>
      <w:r>
        <w:rPr>
          <w:rFonts w:hint="eastAsia" w:ascii="宋体" w:hAnsi="宋体" w:cs="宋体"/>
          <w:b/>
          <w:bCs/>
          <w:color w:val="000000" w:themeColor="text1"/>
          <w:szCs w:val="21"/>
          <w:lang w:eastAsia="zh-Hans"/>
          <w14:textFill>
            <w14:solidFill>
              <w14:schemeClr w14:val="tx1"/>
            </w14:solidFill>
          </w14:textFill>
        </w:rPr>
        <w:t>②可回收垃圾智慧环保屋</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智能垃圾分类可回收箱内部集成了无线数据传输模块、传感器模块、称重模块，结合平台功能，实现了对垃圾分类回收箱的智能化管理。居民通过扫描二维码信息，语音提示功能，选择开启不同的分类箱，垃圾箱能够自动检测垃圾投递结束，自动关闭箱体门，并且在关门过程中，实时检测防夹，避免意外的发生，箱门关闭后，会对所投放的垃圾进行称重，作为用户的积分。</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平台端能够实时查询垃圾投放情况，包括人员信息和垃圾称重，当垃圾箱出现满溢报警时，平台上会提示报警信号，通知人员及时的处理垃圾，对垃圾箱形成了一体化的智能管理系统。</w:t>
      </w:r>
    </w:p>
    <w:p>
      <w:pPr>
        <w:spacing w:line="440" w:lineRule="exact"/>
        <w:ind w:firstLine="424"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产品特点：</w:t>
      </w:r>
    </w:p>
    <w:p>
      <w:pPr>
        <w:spacing w:line="440" w:lineRule="exact"/>
        <w:ind w:firstLine="424" w:firstLineChars="200"/>
        <w:rPr>
          <w:rFonts w:ascii="仿宋_GB2312" w:hAnsi="宋体" w:eastAsia="仿宋_GB2312" w:cs="宋体"/>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扫码投放；触屏操作，支持输入手机号码投放；智能开关门检测，减少误判；箱内容量满溢报警；投口防夹手设计；传感器数据采集；位置信息采集；远程数据管理；设备运行功耗低；智能垃圾称重</w:t>
      </w:r>
      <w:r>
        <w:rPr>
          <w:rFonts w:hint="eastAsia" w:ascii="宋体" w:hAnsi="宋体" w:cs="宋体"/>
          <w:bCs/>
          <w:color w:val="000000" w:themeColor="text1"/>
          <w:szCs w:val="21"/>
          <w:lang w:eastAsia="zh-Hans"/>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投口照明灯</w:t>
      </w:r>
      <w:r>
        <w:rPr>
          <w:rFonts w:hint="eastAsia" w:ascii="宋体" w:hAnsi="宋体" w:cs="宋体"/>
          <w:bCs/>
          <w:color w:val="000000" w:themeColor="text1"/>
          <w:szCs w:val="21"/>
          <w:lang w:eastAsia="zh-Hans"/>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集成有毒有害箱</w:t>
      </w:r>
      <w:r>
        <w:rPr>
          <w:rFonts w:hint="eastAsia" w:ascii="宋体" w:hAnsi="宋体" w:cs="宋体"/>
          <w:bCs/>
          <w:color w:val="000000" w:themeColor="text1"/>
          <w:szCs w:val="21"/>
          <w:lang w:eastAsia="zh-Hans"/>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自动化的收集大门</w:t>
      </w:r>
      <w:r>
        <w:rPr>
          <w:rFonts w:hint="eastAsia" w:ascii="宋体" w:hAnsi="宋体" w:cs="宋体"/>
          <w:bCs/>
          <w:color w:val="000000" w:themeColor="text1"/>
          <w:szCs w:val="21"/>
          <w:lang w:eastAsia="zh-Hans"/>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标配雨棚</w:t>
      </w:r>
      <w:r>
        <w:rPr>
          <w:rFonts w:hint="eastAsia" w:ascii="宋体" w:hAnsi="宋体" w:cs="宋体"/>
          <w:bCs/>
          <w:color w:val="000000" w:themeColor="text1"/>
          <w:szCs w:val="21"/>
          <w:lang w:eastAsia="zh-Hans"/>
          <w14:textFill>
            <w14:solidFill>
              <w14:schemeClr w14:val="tx1"/>
            </w14:solidFill>
          </w14:textFill>
        </w:rPr>
        <w:t>。</w:t>
      </w:r>
    </w:p>
    <w:p>
      <w:pPr>
        <w:spacing w:line="440" w:lineRule="exac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主要技术指标</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tbl>
      <w:tblPr>
        <w:tblStyle w:val="39"/>
        <w:tblW w:w="7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2862"/>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961" w:type="dxa"/>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类型</w:t>
            </w:r>
          </w:p>
        </w:tc>
        <w:tc>
          <w:tcPr>
            <w:tcW w:w="5900" w:type="dxa"/>
            <w:gridSpan w:val="2"/>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961" w:type="dxa"/>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产品尺寸</w:t>
            </w:r>
          </w:p>
        </w:tc>
        <w:tc>
          <w:tcPr>
            <w:tcW w:w="5900" w:type="dxa"/>
            <w:gridSpan w:val="2"/>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 xml:space="preserve">4440*1200*2450mm </w:t>
            </w:r>
            <w:r>
              <w:rPr>
                <w:rFonts w:hint="eastAsia" w:ascii="宋体" w:hAnsi="宋体" w:cs="宋体"/>
                <w:bCs/>
                <w:color w:val="000000" w:themeColor="text1"/>
                <w:kern w:val="0"/>
                <w:szCs w:val="21"/>
                <w14:textFill>
                  <w14:solidFill>
                    <w14:schemeClr w14:val="tx1"/>
                  </w14:solidFill>
                </w14:textFill>
              </w:rPr>
              <w:t>长</w:t>
            </w:r>
            <w:r>
              <w:rPr>
                <w:rFonts w:ascii="宋体" w:hAnsi="宋体" w:cs="宋体"/>
                <w:bCs/>
                <w:color w:val="000000" w:themeColor="text1"/>
                <w:kern w:val="0"/>
                <w:szCs w:val="21"/>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深</w:t>
            </w:r>
            <w:r>
              <w:rPr>
                <w:rFonts w:ascii="宋体" w:hAnsi="宋体" w:cs="宋体"/>
                <w:bCs/>
                <w:color w:val="000000" w:themeColor="text1"/>
                <w:kern w:val="0"/>
                <w:szCs w:val="21"/>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高</w:t>
            </w:r>
            <w:r>
              <w:rPr>
                <w:rFonts w:ascii="宋体" w:hAnsi="宋体" w:cs="宋体"/>
                <w:bCs/>
                <w:color w:val="000000" w:themeColor="text1"/>
                <w:kern w:val="0"/>
                <w:szCs w:val="21"/>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含雨棚</w:t>
            </w:r>
            <w:r>
              <w:rPr>
                <w:rFonts w:ascii="宋体" w:hAnsi="宋体" w:cs="宋体"/>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61" w:type="dxa"/>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供电方式</w:t>
            </w:r>
          </w:p>
        </w:tc>
        <w:tc>
          <w:tcPr>
            <w:tcW w:w="5900" w:type="dxa"/>
            <w:gridSpan w:val="2"/>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市电</w:t>
            </w:r>
            <w:r>
              <w:rPr>
                <w:rFonts w:ascii="宋体" w:hAnsi="宋体" w:cs="宋体"/>
                <w:bCs/>
                <w:color w:val="000000" w:themeColor="text1"/>
                <w:kern w:val="0"/>
                <w:szCs w:val="21"/>
                <w14:textFill>
                  <w14:solidFill>
                    <w14:schemeClr w14:val="tx1"/>
                  </w14:solidFill>
                </w14:textFill>
              </w:rPr>
              <w:t xml:space="preserve"> 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61" w:type="dxa"/>
            <w:vMerge w:val="restart"/>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环境温度</w:t>
            </w:r>
          </w:p>
        </w:tc>
        <w:tc>
          <w:tcPr>
            <w:tcW w:w="2862" w:type="dxa"/>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环境湿度</w:t>
            </w:r>
          </w:p>
        </w:tc>
        <w:tc>
          <w:tcPr>
            <w:tcW w:w="3038" w:type="dxa"/>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5~90%(</w:t>
            </w:r>
            <w:r>
              <w:rPr>
                <w:rFonts w:hint="eastAsia" w:ascii="宋体" w:hAnsi="宋体" w:cs="宋体"/>
                <w:bCs/>
                <w:color w:val="000000" w:themeColor="text1"/>
                <w:kern w:val="0"/>
                <w:szCs w:val="21"/>
                <w14:textFill>
                  <w14:solidFill>
                    <w14:schemeClr w14:val="tx1"/>
                  </w14:solidFill>
                </w14:textFill>
              </w:rPr>
              <w:t>无凝霜</w:t>
            </w:r>
            <w:r>
              <w:rPr>
                <w:rFonts w:ascii="宋体" w:hAnsi="宋体" w:cs="宋体"/>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61" w:type="dxa"/>
            <w:vMerge w:val="continue"/>
            <w:shd w:val="clear" w:color="auto" w:fill="auto"/>
            <w:vAlign w:val="center"/>
          </w:tcPr>
          <w:p>
            <w:pPr>
              <w:jc w:val="center"/>
              <w:rPr>
                <w:rFonts w:ascii="宋体" w:hAnsi="宋体" w:cs="宋体"/>
                <w:color w:val="000000" w:themeColor="text1"/>
                <w:kern w:val="0"/>
                <w:szCs w:val="21"/>
                <w14:textFill>
                  <w14:solidFill>
                    <w14:schemeClr w14:val="tx1"/>
                  </w14:solidFill>
                </w14:textFill>
              </w:rPr>
            </w:pPr>
          </w:p>
        </w:tc>
        <w:tc>
          <w:tcPr>
            <w:tcW w:w="2862" w:type="dxa"/>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存储温度</w:t>
            </w:r>
          </w:p>
        </w:tc>
        <w:tc>
          <w:tcPr>
            <w:tcW w:w="3038" w:type="dxa"/>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-20~85</w:t>
            </w:r>
            <w:r>
              <w:rPr>
                <w:rFonts w:hint="eastAsia" w:ascii="宋体" w:hAnsi="宋体" w:cs="宋体"/>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961" w:type="dxa"/>
            <w:vMerge w:val="continue"/>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p>
        </w:tc>
        <w:tc>
          <w:tcPr>
            <w:tcW w:w="2862" w:type="dxa"/>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工作温度</w:t>
            </w:r>
          </w:p>
        </w:tc>
        <w:tc>
          <w:tcPr>
            <w:tcW w:w="3038" w:type="dxa"/>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-10~60</w:t>
            </w:r>
            <w:r>
              <w:rPr>
                <w:rFonts w:hint="eastAsia" w:ascii="宋体" w:hAnsi="宋体" w:cs="宋体"/>
                <w:bCs/>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扫描器</w:t>
            </w:r>
          </w:p>
        </w:tc>
        <w:tc>
          <w:tcPr>
            <w:tcW w:w="5900" w:type="dxa"/>
            <w:gridSpan w:val="2"/>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支持户外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电机寿命</w:t>
            </w:r>
          </w:p>
        </w:tc>
        <w:tc>
          <w:tcPr>
            <w:tcW w:w="5900" w:type="dxa"/>
            <w:gridSpan w:val="2"/>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3</w:t>
            </w:r>
            <w:r>
              <w:rPr>
                <w:rFonts w:hint="eastAsia" w:ascii="宋体" w:hAnsi="宋体" w:cs="宋体"/>
                <w:bCs/>
                <w:color w:val="000000" w:themeColor="text1"/>
                <w:kern w:val="0"/>
                <w:szCs w:val="21"/>
                <w14:textFill>
                  <w14:solidFill>
                    <w14:schemeClr w14:val="tx1"/>
                  </w14:solidFill>
                </w14:textFill>
              </w:rPr>
              <w:t>年</w:t>
            </w:r>
            <w:r>
              <w:rPr>
                <w:rFonts w:ascii="宋体" w:hAnsi="宋体" w:cs="宋体"/>
                <w:bCs/>
                <w:color w:val="000000" w:themeColor="text1"/>
                <w:kern w:val="0"/>
                <w:szCs w:val="21"/>
                <w14:textFill>
                  <w14:solidFill>
                    <w14:schemeClr w14:val="tx1"/>
                  </w14:solidFill>
                </w14:textFill>
              </w:rPr>
              <w:t>/10</w:t>
            </w:r>
            <w:r>
              <w:rPr>
                <w:rFonts w:hint="eastAsia" w:ascii="宋体" w:hAnsi="宋体" w:cs="宋体"/>
                <w:bCs/>
                <w:color w:val="000000" w:themeColor="text1"/>
                <w:kern w:val="0"/>
                <w:szCs w:val="21"/>
                <w14:textFill>
                  <w14:solidFill>
                    <w14:schemeClr w14:val="tx1"/>
                  </w14:solidFill>
                </w14:textFill>
              </w:rPr>
              <w:t>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称重传感器</w:t>
            </w:r>
          </w:p>
        </w:tc>
        <w:tc>
          <w:tcPr>
            <w:tcW w:w="5900" w:type="dxa"/>
            <w:gridSpan w:val="2"/>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0~100kg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满溢报警</w:t>
            </w:r>
          </w:p>
        </w:tc>
        <w:tc>
          <w:tcPr>
            <w:tcW w:w="5900" w:type="dxa"/>
            <w:gridSpan w:val="2"/>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超声波传感器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显示屏</w:t>
            </w:r>
          </w:p>
        </w:tc>
        <w:tc>
          <w:tcPr>
            <w:tcW w:w="5900" w:type="dxa"/>
            <w:gridSpan w:val="2"/>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ascii="宋体" w:hAnsi="宋体" w:cs="宋体"/>
                <w:bCs/>
                <w:color w:val="000000" w:themeColor="text1"/>
                <w:kern w:val="0"/>
                <w:szCs w:val="21"/>
                <w14:textFill>
                  <w14:solidFill>
                    <w14:schemeClr w14:val="tx1"/>
                  </w14:solidFill>
                </w14:textFill>
              </w:rPr>
              <w:t>21.5</w:t>
            </w:r>
            <w:r>
              <w:rPr>
                <w:rFonts w:hint="eastAsia" w:ascii="宋体" w:hAnsi="宋体" w:cs="宋体"/>
                <w:bCs/>
                <w:color w:val="000000" w:themeColor="text1"/>
                <w:kern w:val="0"/>
                <w:szCs w:val="21"/>
                <w14:textFill>
                  <w14:solidFill>
                    <w14:schemeClr w14:val="tx1"/>
                  </w14:solidFill>
                </w14:textFill>
              </w:rPr>
              <w:t>寸彩屏，带触屏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防夹手检测</w:t>
            </w:r>
          </w:p>
        </w:tc>
        <w:tc>
          <w:tcPr>
            <w:tcW w:w="5900" w:type="dxa"/>
            <w:gridSpan w:val="2"/>
            <w:shd w:val="clear" w:color="auto" w:fill="auto"/>
            <w:vAlign w:val="center"/>
          </w:tcPr>
          <w:p>
            <w:pPr>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光幕检测</w:t>
            </w:r>
          </w:p>
        </w:tc>
      </w:tr>
    </w:tbl>
    <w:p>
      <w:pPr>
        <w:spacing w:line="440" w:lineRule="atLeast"/>
        <w:ind w:firstLine="424" w:firstLineChars="200"/>
        <w:rPr>
          <w:rFonts w:ascii="宋体" w:hAnsi="宋体" w:cs="宋体"/>
          <w:b/>
          <w:bCs/>
          <w:color w:val="000000" w:themeColor="text1"/>
          <w:szCs w:val="21"/>
          <w:lang w:eastAsia="zh-Hans"/>
          <w14:textFill>
            <w14:solidFill>
              <w14:schemeClr w14:val="tx1"/>
            </w14:solidFill>
          </w14:textFill>
        </w:rPr>
      </w:pPr>
      <w:r>
        <w:rPr>
          <w:rFonts w:hint="eastAsia" w:ascii="宋体" w:hAnsi="宋体" w:cs="宋体"/>
          <w:b/>
          <w:bCs/>
          <w:color w:val="000000" w:themeColor="text1"/>
          <w:szCs w:val="21"/>
          <w:lang w:eastAsia="zh-Hans"/>
          <w14:textFill>
            <w14:solidFill>
              <w14:schemeClr w14:val="tx1"/>
            </w14:solidFill>
          </w14:textFill>
        </w:rPr>
        <w:t>③巡检称重台（带三轮车）</w:t>
      </w:r>
    </w:p>
    <w:p>
      <w:pPr>
        <w:spacing w:line="440" w:lineRule="atLeas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通过射频方式或者扫码方式感应垃圾桶上的标签，从而自动识别用户身份，收集员可以对每户的分类垃圾进行称重、积分、评价、拍照，并实时上传数据的厨余垃圾收集系统。配合运输组成三轮车收运模式。</w:t>
      </w:r>
    </w:p>
    <w:p>
      <w:pPr>
        <w:spacing w:line="440" w:lineRule="atLeas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产品特点：</w:t>
      </w:r>
    </w:p>
    <w:p>
      <w:pPr>
        <w:spacing w:line="440" w:lineRule="atLeas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外观：采用静电喷塑工艺，外壳无色差、无凹凸、无明显斑点、无划痕；</w:t>
      </w:r>
    </w:p>
    <w:p>
      <w:pPr>
        <w:spacing w:line="440" w:lineRule="atLeas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电子屏：具有触摸评价功能键；</w:t>
      </w:r>
    </w:p>
    <w:p>
      <w:pPr>
        <w:spacing w:line="440" w:lineRule="atLeas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产品功能：居民身份信息识别功能、称重到户功能、拍照功能、评比功能、数据传输功能，该一体化设备同时具备以上五种功能；</w:t>
      </w:r>
    </w:p>
    <w:p>
      <w:pPr>
        <w:spacing w:line="440" w:lineRule="atLeas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电压保护功能：工作电压高于</w:t>
      </w:r>
      <w:r>
        <w:rPr>
          <w:rFonts w:ascii="宋体" w:hAnsi="宋体" w:cs="宋体"/>
          <w:color w:val="000000" w:themeColor="text1"/>
          <w:szCs w:val="21"/>
          <w14:textFill>
            <w14:solidFill>
              <w14:schemeClr w14:val="tx1"/>
            </w14:solidFill>
          </w14:textFill>
        </w:rPr>
        <w:t>24V</w:t>
      </w:r>
      <w:r>
        <w:rPr>
          <w:rFonts w:hint="eastAsia" w:ascii="宋体" w:hAnsi="宋体" w:cs="宋体"/>
          <w:color w:val="000000" w:themeColor="text1"/>
          <w:szCs w:val="21"/>
          <w14:textFill>
            <w14:solidFill>
              <w14:schemeClr w14:val="tx1"/>
            </w14:solidFill>
          </w14:textFill>
        </w:rPr>
        <w:t>自动保护，电压低于</w:t>
      </w:r>
      <w:r>
        <w:rPr>
          <w:rFonts w:ascii="宋体" w:hAnsi="宋体" w:cs="宋体"/>
          <w:color w:val="000000" w:themeColor="text1"/>
          <w:szCs w:val="21"/>
          <w14:textFill>
            <w14:solidFill>
              <w14:schemeClr w14:val="tx1"/>
            </w14:solidFill>
          </w14:textFill>
        </w:rPr>
        <w:t>12V</w:t>
      </w:r>
      <w:r>
        <w:rPr>
          <w:rFonts w:hint="eastAsia" w:ascii="宋体" w:hAnsi="宋体" w:cs="宋体"/>
          <w:color w:val="000000" w:themeColor="text1"/>
          <w:szCs w:val="21"/>
          <w14:textFill>
            <w14:solidFill>
              <w14:schemeClr w14:val="tx1"/>
            </w14:solidFill>
          </w14:textFill>
        </w:rPr>
        <w:t>断电，保护设备用电安全；</w:t>
      </w:r>
    </w:p>
    <w:p>
      <w:pPr>
        <w:spacing w:line="440" w:lineRule="atLeas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称重到户功能：通过高精密压力传感器计算读取物品重量，设备具有称量、除皮、准确度等功能；</w:t>
      </w:r>
    </w:p>
    <w:p>
      <w:pPr>
        <w:spacing w:line="440" w:lineRule="atLeas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评价功能：设备至少有</w:t>
      </w: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个防水功能物理按键，触摸屏可同时触摸按键评价；</w:t>
      </w:r>
    </w:p>
    <w:p>
      <w:pPr>
        <w:spacing w:line="440" w:lineRule="atLeas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拍照功能：设备安装有</w:t>
      </w:r>
      <w:r>
        <w:rPr>
          <w:rFonts w:ascii="宋体" w:hAnsi="宋体" w:cs="宋体"/>
          <w:color w:val="000000" w:themeColor="text1"/>
          <w:szCs w:val="21"/>
          <w14:textFill>
            <w14:solidFill>
              <w14:schemeClr w14:val="tx1"/>
            </w14:solidFill>
          </w14:textFill>
        </w:rPr>
        <w:t>200</w:t>
      </w:r>
      <w:r>
        <w:rPr>
          <w:rFonts w:hint="eastAsia" w:ascii="宋体" w:hAnsi="宋体" w:cs="宋体"/>
          <w:color w:val="000000" w:themeColor="text1"/>
          <w:szCs w:val="21"/>
          <w14:textFill>
            <w14:solidFill>
              <w14:schemeClr w14:val="tx1"/>
            </w14:solidFill>
          </w14:textFill>
        </w:rPr>
        <w:t>万像素高清摄像头，配有自动补光</w:t>
      </w:r>
      <w:r>
        <w:rPr>
          <w:rFonts w:ascii="宋体" w:hAnsi="宋体" w:cs="宋体"/>
          <w:color w:val="000000" w:themeColor="text1"/>
          <w:szCs w:val="21"/>
          <w14:textFill>
            <w14:solidFill>
              <w14:schemeClr w14:val="tx1"/>
            </w14:solidFill>
          </w14:textFill>
        </w:rPr>
        <w:t>LED</w:t>
      </w:r>
      <w:r>
        <w:rPr>
          <w:rFonts w:hint="eastAsia" w:ascii="宋体" w:hAnsi="宋体" w:cs="宋体"/>
          <w:color w:val="000000" w:themeColor="text1"/>
          <w:szCs w:val="21"/>
          <w14:textFill>
            <w14:solidFill>
              <w14:schemeClr w14:val="tx1"/>
            </w14:solidFill>
          </w14:textFill>
        </w:rPr>
        <w:t>灯，光线不足时</w:t>
      </w:r>
      <w:r>
        <w:rPr>
          <w:rFonts w:ascii="宋体" w:hAnsi="宋体" w:cs="宋体"/>
          <w:color w:val="000000" w:themeColor="text1"/>
          <w:szCs w:val="21"/>
          <w14:textFill>
            <w14:solidFill>
              <w14:schemeClr w14:val="tx1"/>
            </w14:solidFill>
          </w14:textFill>
        </w:rPr>
        <w:t>LED</w:t>
      </w:r>
      <w:r>
        <w:rPr>
          <w:rFonts w:hint="eastAsia" w:ascii="宋体" w:hAnsi="宋体" w:cs="宋体"/>
          <w:color w:val="000000" w:themeColor="text1"/>
          <w:szCs w:val="21"/>
          <w14:textFill>
            <w14:solidFill>
              <w14:schemeClr w14:val="tx1"/>
            </w14:solidFill>
          </w14:textFill>
        </w:rPr>
        <w:t>灯自动开启补光模式；</w:t>
      </w:r>
    </w:p>
    <w:p>
      <w:pPr>
        <w:spacing w:line="440" w:lineRule="atLeas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信号增加：配有</w:t>
      </w:r>
      <w:r>
        <w:rPr>
          <w:rFonts w:ascii="宋体" w:hAnsi="宋体" w:cs="宋体"/>
          <w:color w:val="000000" w:themeColor="text1"/>
          <w:szCs w:val="21"/>
          <w14:textFill>
            <w14:solidFill>
              <w14:schemeClr w14:val="tx1"/>
            </w14:solidFill>
          </w14:textFill>
        </w:rPr>
        <w:t>4G</w:t>
      </w:r>
      <w:r>
        <w:rPr>
          <w:rFonts w:hint="eastAsia" w:ascii="宋体" w:hAnsi="宋体" w:cs="宋体"/>
          <w:color w:val="000000" w:themeColor="text1"/>
          <w:szCs w:val="21"/>
          <w14:textFill>
            <w14:solidFill>
              <w14:schemeClr w14:val="tx1"/>
            </w14:solidFill>
          </w14:textFill>
        </w:rPr>
        <w:t>网络双天线；</w:t>
      </w:r>
    </w:p>
    <w:p>
      <w:pPr>
        <w:spacing w:line="440" w:lineRule="atLeas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设备在</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℃环境中持续</w:t>
      </w:r>
      <w:r>
        <w:rPr>
          <w:rFonts w:ascii="宋体" w:hAnsi="宋体" w:cs="宋体"/>
          <w:color w:val="000000" w:themeColor="text1"/>
          <w:szCs w:val="21"/>
          <w14:textFill>
            <w14:solidFill>
              <w14:schemeClr w14:val="tx1"/>
            </w14:solidFill>
          </w14:textFill>
        </w:rPr>
        <w:t>16h</w:t>
      </w:r>
      <w:r>
        <w:rPr>
          <w:rFonts w:hint="eastAsia" w:ascii="宋体" w:hAnsi="宋体" w:cs="宋体"/>
          <w:color w:val="000000" w:themeColor="text1"/>
          <w:szCs w:val="21"/>
          <w14:textFill>
            <w14:solidFill>
              <w14:schemeClr w14:val="tx1"/>
            </w14:solidFill>
          </w14:textFill>
        </w:rPr>
        <w:t>，试验后能正常工作；</w:t>
      </w:r>
    </w:p>
    <w:p>
      <w:pPr>
        <w:spacing w:line="440" w:lineRule="atLeas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设备在</w:t>
      </w:r>
      <w:r>
        <w:rPr>
          <w:rFonts w:ascii="宋体" w:hAnsi="宋体" w:cs="宋体"/>
          <w:color w:val="000000" w:themeColor="text1"/>
          <w:szCs w:val="21"/>
          <w14:textFill>
            <w14:solidFill>
              <w14:schemeClr w14:val="tx1"/>
            </w14:solidFill>
          </w14:textFill>
        </w:rPr>
        <w:t>55</w:t>
      </w:r>
      <w:r>
        <w:rPr>
          <w:rFonts w:hint="eastAsia" w:ascii="宋体" w:hAnsi="宋体" w:cs="宋体"/>
          <w:color w:val="000000" w:themeColor="text1"/>
          <w:szCs w:val="21"/>
          <w14:textFill>
            <w14:solidFill>
              <w14:schemeClr w14:val="tx1"/>
            </w14:solidFill>
          </w14:textFill>
        </w:rPr>
        <w:t>℃环境中持续</w:t>
      </w:r>
      <w:r>
        <w:rPr>
          <w:rFonts w:ascii="宋体" w:hAnsi="宋体" w:cs="宋体"/>
          <w:color w:val="000000" w:themeColor="text1"/>
          <w:szCs w:val="21"/>
          <w14:textFill>
            <w14:solidFill>
              <w14:schemeClr w14:val="tx1"/>
            </w14:solidFill>
          </w14:textFill>
        </w:rPr>
        <w:t>16h</w:t>
      </w:r>
      <w:r>
        <w:rPr>
          <w:rFonts w:hint="eastAsia" w:ascii="宋体" w:hAnsi="宋体" w:cs="宋体"/>
          <w:color w:val="000000" w:themeColor="text1"/>
          <w:szCs w:val="21"/>
          <w14:textFill>
            <w14:solidFill>
              <w14:schemeClr w14:val="tx1"/>
            </w14:solidFill>
          </w14:textFill>
        </w:rPr>
        <w:t>，试验后能正常工作；</w:t>
      </w:r>
    </w:p>
    <w:p>
      <w:pPr>
        <w:spacing w:line="440" w:lineRule="atLeas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设备应能承受低温</w:t>
      </w:r>
      <w:r>
        <w:rPr>
          <w:rFonts w:ascii="宋体" w:hAnsi="宋体" w:cs="宋体"/>
          <w:color w:val="000000" w:themeColor="text1"/>
          <w:szCs w:val="21"/>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℃、高温</w:t>
      </w:r>
      <w:r>
        <w:rPr>
          <w:rFonts w:ascii="宋体" w:hAnsi="宋体" w:cs="宋体"/>
          <w:color w:val="000000" w:themeColor="text1"/>
          <w:szCs w:val="21"/>
          <w14:textFill>
            <w14:solidFill>
              <w14:schemeClr w14:val="tx1"/>
            </w14:solidFill>
          </w14:textFill>
        </w:rPr>
        <w:t>55</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95%RH</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12h+12h</w:t>
      </w:r>
      <w:r>
        <w:rPr>
          <w:rFonts w:hint="eastAsia" w:ascii="宋体" w:hAnsi="宋体" w:cs="宋体"/>
          <w:color w:val="000000" w:themeColor="text1"/>
          <w:szCs w:val="21"/>
          <w14:textFill>
            <w14:solidFill>
              <w14:schemeClr w14:val="tx1"/>
            </w14:solidFill>
          </w14:textFill>
        </w:rPr>
        <w:t>循环，试验后应能正常工作；</w:t>
      </w:r>
    </w:p>
    <w:p>
      <w:pPr>
        <w:spacing w:line="440" w:lineRule="atLeas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防护等级：设备应符合</w:t>
      </w:r>
      <w:r>
        <w:rPr>
          <w:rFonts w:ascii="宋体" w:hAnsi="宋体" w:cs="宋体"/>
          <w:color w:val="000000" w:themeColor="text1"/>
          <w:szCs w:val="21"/>
          <w14:textFill>
            <w14:solidFill>
              <w14:schemeClr w14:val="tx1"/>
            </w14:solidFill>
          </w14:textFill>
        </w:rPr>
        <w:t>GB4208-2017</w:t>
      </w:r>
      <w:r>
        <w:rPr>
          <w:rFonts w:hint="eastAsia" w:ascii="宋体" w:hAnsi="宋体" w:cs="宋体"/>
          <w:color w:val="000000" w:themeColor="text1"/>
          <w:szCs w:val="21"/>
          <w14:textFill>
            <w14:solidFill>
              <w14:schemeClr w14:val="tx1"/>
            </w14:solidFill>
          </w14:textFill>
        </w:rPr>
        <w:t>中规定的外壳防护等级</w:t>
      </w:r>
      <w:r>
        <w:rPr>
          <w:rFonts w:ascii="宋体" w:hAnsi="宋体" w:cs="宋体"/>
          <w:color w:val="000000" w:themeColor="text1"/>
          <w:szCs w:val="21"/>
          <w14:textFill>
            <w14:solidFill>
              <w14:schemeClr w14:val="tx1"/>
            </w14:solidFill>
          </w14:textFill>
        </w:rPr>
        <w:t>IPX5</w:t>
      </w:r>
      <w:r>
        <w:rPr>
          <w:rFonts w:hint="eastAsia" w:ascii="宋体" w:hAnsi="宋体" w:cs="宋体"/>
          <w:color w:val="000000" w:themeColor="text1"/>
          <w:szCs w:val="21"/>
          <w14:textFill>
            <w14:solidFill>
              <w14:schemeClr w14:val="tx1"/>
            </w14:solidFill>
          </w14:textFill>
        </w:rPr>
        <w:t>的要求；</w:t>
      </w:r>
    </w:p>
    <w:p>
      <w:pPr>
        <w:spacing w:line="440" w:lineRule="atLeast"/>
        <w:ind w:firstLine="424"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用户分类成效评价打分；</w:t>
      </w:r>
    </w:p>
    <w:p>
      <w:pPr>
        <w:spacing w:line="440" w:lineRule="atLeast"/>
        <w:ind w:firstLine="424" w:firstLineChars="200"/>
        <w:rPr>
          <w:rFonts w:ascii="仿宋_GB2312" w:hAnsi="宋体" w:eastAsia="仿宋_GB2312"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可折叠称台，便于行驶。</w:t>
      </w:r>
    </w:p>
    <w:tbl>
      <w:tblPr>
        <w:tblStyle w:val="39"/>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540"/>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配置</w:t>
            </w:r>
          </w:p>
        </w:tc>
        <w:tc>
          <w:tcPr>
            <w:tcW w:w="7880" w:type="dxa"/>
            <w:gridSpan w:val="2"/>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整机</w:t>
            </w:r>
          </w:p>
        </w:tc>
        <w:tc>
          <w:tcPr>
            <w:tcW w:w="154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尺寸</w:t>
            </w:r>
          </w:p>
        </w:tc>
        <w:tc>
          <w:tcPr>
            <w:tcW w:w="6340"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496*540*1016mm</w:t>
            </w:r>
            <w:r>
              <w:rPr>
                <w:rFonts w:hint="eastAsia" w:ascii="宋体" w:hAnsi="宋体" w:cs="宋体"/>
                <w:color w:val="000000" w:themeColor="text1"/>
                <w:szCs w:val="21"/>
                <w14:textFill>
                  <w14:solidFill>
                    <w14:schemeClr w14:val="tx1"/>
                  </w14:solidFill>
                </w14:textFill>
              </w:rPr>
              <w:t>（长</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宽</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高）（不含三轮车）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54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供电</w:t>
            </w:r>
          </w:p>
        </w:tc>
        <w:tc>
          <w:tcPr>
            <w:tcW w:w="6340"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AC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54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整机重量</w:t>
            </w:r>
          </w:p>
        </w:tc>
        <w:tc>
          <w:tcPr>
            <w:tcW w:w="634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裸机约</w:t>
            </w:r>
            <w:r>
              <w:rPr>
                <w:rFonts w:ascii="宋体" w:hAnsi="宋体" w:cs="宋体"/>
                <w:color w:val="000000" w:themeColor="text1"/>
                <w:szCs w:val="21"/>
                <w14:textFill>
                  <w14:solidFill>
                    <w14:schemeClr w14:val="tx1"/>
                  </w14:solidFill>
                </w14:textFill>
              </w:rPr>
              <w:t>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54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工作温度</w:t>
            </w:r>
          </w:p>
        </w:tc>
        <w:tc>
          <w:tcPr>
            <w:tcW w:w="6340"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 xml:space="preserve"> ~ +60</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54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环境湿度</w:t>
            </w:r>
          </w:p>
        </w:tc>
        <w:tc>
          <w:tcPr>
            <w:tcW w:w="6340"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5~95%</w:t>
            </w:r>
            <w:r>
              <w:rPr>
                <w:rFonts w:hint="eastAsia" w:ascii="宋体" w:hAnsi="宋体" w:cs="宋体"/>
                <w:color w:val="000000" w:themeColor="text1"/>
                <w:szCs w:val="21"/>
                <w14:textFill>
                  <w14:solidFill>
                    <w14:schemeClr w14:val="tx1"/>
                  </w14:solidFill>
                </w14:textFill>
              </w:rPr>
              <w:t>（无凝霜）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主板</w:t>
            </w:r>
          </w:p>
        </w:tc>
        <w:tc>
          <w:tcPr>
            <w:tcW w:w="154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操作系统</w:t>
            </w:r>
          </w:p>
        </w:tc>
        <w:tc>
          <w:tcPr>
            <w:tcW w:w="634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安卓</w:t>
            </w:r>
            <w:r>
              <w:rPr>
                <w:rFonts w:ascii="宋体" w:hAnsi="宋体" w:cs="宋体"/>
                <w:color w:val="000000" w:themeColor="text1"/>
                <w:szCs w:val="21"/>
                <w14:textFill>
                  <w14:solidFill>
                    <w14:schemeClr w14:val="tx1"/>
                  </w14:solidFill>
                </w14:textFill>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1540" w:type="dxa"/>
            <w:vAlign w:val="center"/>
          </w:tcPr>
          <w:p>
            <w:pPr>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CPU</w:t>
            </w:r>
          </w:p>
        </w:tc>
        <w:tc>
          <w:tcPr>
            <w:tcW w:w="6340" w:type="dxa"/>
            <w:vAlign w:val="center"/>
          </w:tcPr>
          <w:p>
            <w:pPr>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核主频</w:t>
            </w:r>
            <w:r>
              <w:rPr>
                <w:rFonts w:ascii="宋体" w:hAnsi="宋体" w:cs="宋体"/>
                <w:color w:val="000000" w:themeColor="text1"/>
                <w:szCs w:val="21"/>
                <w:highlight w:val="none"/>
                <w14:textFill>
                  <w14:solidFill>
                    <w14:schemeClr w14:val="tx1"/>
                  </w14:solidFill>
                </w14:textFill>
              </w:rPr>
              <w:t>1.8Ghz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1540"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内存</w:t>
            </w:r>
          </w:p>
        </w:tc>
        <w:tc>
          <w:tcPr>
            <w:tcW w:w="6340" w:type="dxa"/>
            <w:vAlign w:val="center"/>
          </w:tcPr>
          <w:p>
            <w:pPr>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restart"/>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显示屏</w:t>
            </w:r>
          </w:p>
        </w:tc>
        <w:tc>
          <w:tcPr>
            <w:tcW w:w="1540"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显示屏</w:t>
            </w:r>
          </w:p>
        </w:tc>
        <w:tc>
          <w:tcPr>
            <w:tcW w:w="6340" w:type="dxa"/>
            <w:vAlign w:val="center"/>
          </w:tcPr>
          <w:p>
            <w:pPr>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寸</w:t>
            </w:r>
            <w:r>
              <w:rPr>
                <w:rFonts w:ascii="宋体" w:hAnsi="宋体" w:cs="宋体"/>
                <w:color w:val="000000" w:themeColor="text1"/>
                <w:szCs w:val="21"/>
                <w:highlight w:val="none"/>
                <w14:textFill>
                  <w14:solidFill>
                    <w14:schemeClr w14:val="tx1"/>
                  </w14:solidFill>
                </w14:textFill>
              </w:rPr>
              <w:t>LCD</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1024*600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Merge w:val="continue"/>
            <w:vAlign w:val="center"/>
          </w:tcPr>
          <w:p>
            <w:pPr>
              <w:jc w:val="center"/>
              <w:rPr>
                <w:rFonts w:ascii="宋体" w:hAnsi="宋体" w:cs="宋体"/>
                <w:color w:val="000000" w:themeColor="text1"/>
                <w:szCs w:val="21"/>
                <w:highlight w:val="none"/>
                <w14:textFill>
                  <w14:solidFill>
                    <w14:schemeClr w14:val="tx1"/>
                  </w14:solidFill>
                </w14:textFill>
              </w:rPr>
            </w:pPr>
          </w:p>
        </w:tc>
        <w:tc>
          <w:tcPr>
            <w:tcW w:w="1540"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触摸屏</w:t>
            </w:r>
          </w:p>
        </w:tc>
        <w:tc>
          <w:tcPr>
            <w:tcW w:w="6340"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称重</w:t>
            </w:r>
          </w:p>
        </w:tc>
        <w:tc>
          <w:tcPr>
            <w:tcW w:w="7880"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量程</w:t>
            </w:r>
            <w:r>
              <w:rPr>
                <w:rFonts w:ascii="宋体" w:hAnsi="宋体" w:cs="宋体"/>
                <w:color w:val="000000" w:themeColor="text1"/>
                <w:szCs w:val="21"/>
                <w:highlight w:val="none"/>
                <w14:textFill>
                  <w14:solidFill>
                    <w14:schemeClr w14:val="tx1"/>
                  </w14:solidFill>
                </w14:textFill>
              </w:rPr>
              <w:t>0-100kg,</w:t>
            </w:r>
            <w:r>
              <w:rPr>
                <w:rFonts w:hint="eastAsia" w:ascii="宋体" w:hAnsi="宋体" w:cs="宋体"/>
                <w:color w:val="000000" w:themeColor="text1"/>
                <w:szCs w:val="21"/>
                <w:highlight w:val="none"/>
                <w14:textFill>
                  <w14:solidFill>
                    <w14:schemeClr w14:val="tx1"/>
                  </w14:solidFill>
                </w14:textFill>
              </w:rPr>
              <w:t>精度：</w:t>
            </w:r>
            <w:r>
              <w:rPr>
                <w:rFonts w:ascii="宋体" w:hAnsi="宋体" w:cs="宋体"/>
                <w:color w:val="000000" w:themeColor="text1"/>
                <w:szCs w:val="21"/>
                <w:highlight w:val="none"/>
                <w14:textFill>
                  <w14:solidFill>
                    <w14:schemeClr w14:val="tx1"/>
                  </w14:solidFill>
                </w14:textFill>
              </w:rPr>
              <w:t xml:space="preserve"> 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Align w:val="center"/>
          </w:tcPr>
          <w:p>
            <w:pPr>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IC</w:t>
            </w:r>
            <w:r>
              <w:rPr>
                <w:rFonts w:hint="eastAsia" w:ascii="宋体" w:hAnsi="宋体" w:cs="宋体"/>
                <w:color w:val="000000" w:themeColor="text1"/>
                <w:szCs w:val="21"/>
                <w:highlight w:val="none"/>
                <w14:textFill>
                  <w14:solidFill>
                    <w14:schemeClr w14:val="tx1"/>
                  </w14:solidFill>
                </w14:textFill>
              </w:rPr>
              <w:t>读卡器</w:t>
            </w:r>
          </w:p>
        </w:tc>
        <w:tc>
          <w:tcPr>
            <w:tcW w:w="7880"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IC</w:t>
            </w:r>
            <w:r>
              <w:rPr>
                <w:rFonts w:hint="eastAsia" w:ascii="宋体" w:hAnsi="宋体" w:cs="宋体"/>
                <w:color w:val="000000" w:themeColor="text1"/>
                <w:szCs w:val="21"/>
                <w:highlight w:val="none"/>
                <w14:textFill>
                  <w14:solidFill>
                    <w14:schemeClr w14:val="tx1"/>
                  </w14:solidFill>
                </w14:textFill>
              </w:rPr>
              <w:t>卡读卡器；读卡距离</w:t>
            </w:r>
            <w:r>
              <w:rPr>
                <w:rFonts w:ascii="宋体" w:hAnsi="宋体" w:cs="宋体"/>
                <w:color w:val="000000" w:themeColor="text1"/>
                <w:szCs w:val="21"/>
                <w:highlight w:val="none"/>
                <w14:textFill>
                  <w14:solidFill>
                    <w14:schemeClr w14:val="tx1"/>
                  </w14:solidFill>
                </w14:textFill>
              </w:rPr>
              <w:t>&lt;5cm</w:t>
            </w:r>
            <w:r>
              <w:rPr>
                <w:rFonts w:hint="eastAsia" w:ascii="宋体" w:hAnsi="宋体" w:cs="宋体"/>
                <w:color w:val="000000" w:themeColor="text1"/>
                <w:szCs w:val="21"/>
                <w:highlight w:val="none"/>
                <w14:textFill>
                  <w14:solidFill>
                    <w14:schemeClr w14:val="tx1"/>
                  </w14:solidFill>
                </w14:textFill>
              </w:rPr>
              <w:t>；读卡时间</w:t>
            </w:r>
            <w:r>
              <w:rPr>
                <w:rFonts w:ascii="宋体" w:hAnsi="宋体" w:cs="宋体"/>
                <w:color w:val="000000" w:themeColor="text1"/>
                <w:szCs w:val="21"/>
                <w:highlight w:val="none"/>
                <w14:textFill>
                  <w14:solidFill>
                    <w14:schemeClr w14:val="tx1"/>
                  </w14:solidFill>
                </w14:textFill>
              </w:rPr>
              <w:t>&lt;1S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摄像头</w:t>
            </w:r>
          </w:p>
        </w:tc>
        <w:tc>
          <w:tcPr>
            <w:tcW w:w="7880"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USB</w:t>
            </w:r>
            <w:r>
              <w:rPr>
                <w:rFonts w:hint="eastAsia" w:ascii="宋体" w:hAnsi="宋体" w:cs="宋体"/>
                <w:color w:val="000000" w:themeColor="text1"/>
                <w:szCs w:val="21"/>
                <w:highlight w:val="none"/>
                <w14:textFill>
                  <w14:solidFill>
                    <w14:schemeClr w14:val="tx1"/>
                  </w14:solidFill>
                </w14:textFill>
              </w:rPr>
              <w:t>宽动态红外夜视视频监控，最大分辨率</w:t>
            </w:r>
            <w:r>
              <w:rPr>
                <w:rFonts w:ascii="宋体" w:hAnsi="宋体" w:cs="宋体"/>
                <w:color w:val="000000" w:themeColor="text1"/>
                <w:szCs w:val="21"/>
                <w:highlight w:val="none"/>
                <w14:textFill>
                  <w14:solidFill>
                    <w14:schemeClr w14:val="tx1"/>
                  </w14:solidFill>
                </w14:textFill>
              </w:rPr>
              <w:t>: 1920*1080</w:t>
            </w:r>
            <w:r>
              <w:rPr>
                <w:rFonts w:hint="eastAsia" w:ascii="宋体" w:hAnsi="宋体" w:cs="宋体"/>
                <w:color w:val="000000" w:themeColor="text1"/>
                <w:szCs w:val="21"/>
                <w:highlight w:val="none"/>
                <w14:textFill>
                  <w14:solidFill>
                    <w14:schemeClr w14:val="tx1"/>
                  </w14:solidFill>
                </w14:textFill>
              </w:rPr>
              <w:t>，像素</w:t>
            </w:r>
            <w:r>
              <w:rPr>
                <w:rFonts w:ascii="宋体" w:hAnsi="宋体" w:cs="宋体"/>
                <w:color w:val="000000" w:themeColor="text1"/>
                <w:szCs w:val="21"/>
                <w:highlight w:val="none"/>
                <w14:textFill>
                  <w14:solidFill>
                    <w14:schemeClr w14:val="tx1"/>
                  </w14:solidFill>
                </w14:textFill>
              </w:rPr>
              <w:t>: 300</w:t>
            </w:r>
            <w:r>
              <w:rPr>
                <w:rFonts w:hint="eastAsia" w:ascii="宋体" w:hAnsi="宋体" w:cs="宋体"/>
                <w:color w:val="000000" w:themeColor="text1"/>
                <w:szCs w:val="21"/>
                <w:highlight w:val="none"/>
                <w14:textFill>
                  <w14:solidFill>
                    <w14:schemeClr w14:val="tx1"/>
                  </w14:solidFill>
                </w14:textFill>
              </w:rPr>
              <w:t>万，镜头焦距</w:t>
            </w:r>
            <w:r>
              <w:rPr>
                <w:rFonts w:ascii="宋体" w:hAnsi="宋体" w:cs="宋体"/>
                <w:color w:val="000000" w:themeColor="text1"/>
                <w:szCs w:val="21"/>
                <w:highlight w:val="none"/>
                <w14:textFill>
                  <w14:solidFill>
                    <w14:schemeClr w14:val="tx1"/>
                  </w14:solidFill>
                </w14:textFill>
              </w:rPr>
              <w:t>3.6mm</w:t>
            </w:r>
            <w:r>
              <w:rPr>
                <w:rFonts w:hint="eastAsia" w:ascii="宋体" w:hAnsi="宋体" w:cs="宋体"/>
                <w:color w:val="000000" w:themeColor="text1"/>
                <w:szCs w:val="21"/>
                <w:highlight w:val="none"/>
                <w14:textFill>
                  <w14:solidFill>
                    <w14:schemeClr w14:val="tx1"/>
                  </w14:solidFill>
                </w14:textFill>
              </w:rPr>
              <w:t>，防水防尘等级</w:t>
            </w:r>
            <w:r>
              <w:rPr>
                <w:rFonts w:ascii="宋体" w:hAnsi="宋体" w:cs="宋体"/>
                <w:color w:val="000000" w:themeColor="text1"/>
                <w:szCs w:val="21"/>
                <w:highlight w:val="none"/>
                <w14:textFill>
                  <w14:solidFill>
                    <w14:schemeClr w14:val="tx1"/>
                  </w14:solidFill>
                </w14:textFill>
              </w:rPr>
              <w:t>IP66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3"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联网方式</w:t>
            </w:r>
          </w:p>
        </w:tc>
        <w:tc>
          <w:tcPr>
            <w:tcW w:w="7880" w:type="dxa"/>
            <w:gridSpan w:val="2"/>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持</w:t>
            </w:r>
            <w:r>
              <w:rPr>
                <w:rFonts w:ascii="宋体" w:hAnsi="宋体" w:cs="宋体"/>
                <w:color w:val="000000" w:themeColor="text1"/>
                <w:szCs w:val="21"/>
                <w:highlight w:val="none"/>
                <w14:textFill>
                  <w14:solidFill>
                    <w14:schemeClr w14:val="tx1"/>
                  </w14:solidFill>
                </w14:textFill>
              </w:rPr>
              <w:t xml:space="preserve"> 3G/4G </w:t>
            </w:r>
            <w:r>
              <w:rPr>
                <w:rFonts w:hint="eastAsia" w:ascii="宋体" w:hAnsi="宋体" w:cs="宋体"/>
                <w:color w:val="000000" w:themeColor="text1"/>
                <w:szCs w:val="21"/>
                <w:highlight w:val="none"/>
                <w14:textFill>
                  <w14:solidFill>
                    <w14:schemeClr w14:val="tx1"/>
                  </w14:solidFill>
                </w14:textFill>
              </w:rPr>
              <w:t>联网模式</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内置天线</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以太网联网模式、</w:t>
            </w:r>
            <w:r>
              <w:rPr>
                <w:rFonts w:ascii="宋体" w:hAnsi="宋体" w:cs="宋体"/>
                <w:color w:val="000000" w:themeColor="text1"/>
                <w:szCs w:val="21"/>
                <w:highlight w:val="none"/>
                <w14:textFill>
                  <w14:solidFill>
                    <w14:schemeClr w14:val="tx1"/>
                  </w14:solidFill>
                </w14:textFill>
              </w:rPr>
              <w:t xml:space="preserve"> WiFi </w:t>
            </w:r>
            <w:r>
              <w:rPr>
                <w:rFonts w:hint="eastAsia" w:ascii="宋体" w:hAnsi="宋体" w:cs="宋体"/>
                <w:color w:val="000000" w:themeColor="text1"/>
                <w:szCs w:val="21"/>
                <w:highlight w:val="none"/>
                <w14:textFill>
                  <w14:solidFill>
                    <w14:schemeClr w14:val="tx1"/>
                  </w14:solidFill>
                </w14:textFill>
              </w:rPr>
              <w:t>联网模式</w:t>
            </w:r>
          </w:p>
        </w:tc>
      </w:tr>
    </w:tbl>
    <w:p>
      <w:pPr>
        <w:adjustRightInd w:val="0"/>
        <w:snapToGrid w:val="0"/>
        <w:spacing w:line="570" w:lineRule="exact"/>
        <w:ind w:firstLine="484" w:firstLineChars="200"/>
        <w:rPr>
          <w:rFonts w:ascii="宋体" w:hAnsi="宋体" w:cs="宋体"/>
          <w:b/>
          <w:bCs/>
          <w:color w:val="000000" w:themeColor="text1"/>
          <w:szCs w:val="21"/>
          <w:highlight w:val="none"/>
          <w:lang w:eastAsia="zh-Hans"/>
          <w14:textFill>
            <w14:solidFill>
              <w14:schemeClr w14:val="tx1"/>
            </w14:solidFill>
          </w14:textFill>
        </w:rPr>
      </w:pPr>
      <w:bookmarkStart w:id="65" w:name="_Toc1546213175"/>
      <w:r>
        <w:rPr>
          <w:rFonts w:hint="eastAsia" w:ascii="宋体" w:hAnsi="宋体"/>
          <w:b/>
          <w:bCs/>
          <w:sz w:val="24"/>
          <w:highlight w:val="none"/>
        </w:rPr>
        <w:t>电动三轮四桶车(需配4个240L塑料桶)-----配置表</w:t>
      </w:r>
    </w:p>
    <w:tbl>
      <w:tblPr>
        <w:tblStyle w:val="3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20"/>
        <w:gridCol w:w="525"/>
        <w:gridCol w:w="7064"/>
        <w:gridCol w:w="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145" w:type="dxa"/>
            <w:gridSpan w:val="3"/>
            <w:tcBorders>
              <w:top w:val="single" w:color="auto" w:sz="4" w:space="0"/>
              <w:left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型   号</w:t>
            </w:r>
          </w:p>
        </w:tc>
        <w:tc>
          <w:tcPr>
            <w:tcW w:w="7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DG3240C4E</w:t>
            </w:r>
          </w:p>
        </w:tc>
        <w:tc>
          <w:tcPr>
            <w:tcW w:w="255" w:type="dxa"/>
            <w:vMerge w:val="restart"/>
            <w:tcBorders>
              <w:top w:val="single" w:color="auto" w:sz="4" w:space="0"/>
              <w:left w:val="single" w:color="auto" w:sz="4" w:space="0"/>
              <w:right w:val="single" w:color="auto" w:sz="4" w:space="0"/>
            </w:tcBorders>
            <w:vAlign w:val="center"/>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00"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宋体" w:hAnsi="宋体"/>
                <w:szCs w:val="21"/>
                <w:highlight w:val="none"/>
              </w:rPr>
            </w:pPr>
            <w:r>
              <w:rPr>
                <w:rFonts w:hint="eastAsia" w:ascii="宋体" w:hAnsi="宋体"/>
                <w:szCs w:val="21"/>
                <w:highlight w:val="none"/>
              </w:rPr>
              <w:t>技 术 参 数</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额定乘员</w:t>
            </w:r>
          </w:p>
        </w:tc>
        <w:tc>
          <w:tcPr>
            <w:tcW w:w="7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1人</w:t>
            </w:r>
          </w:p>
        </w:tc>
        <w:tc>
          <w:tcPr>
            <w:tcW w:w="255" w:type="dxa"/>
            <w:vMerge w:val="continue"/>
            <w:tcBorders>
              <w:left w:val="single" w:color="auto" w:sz="4" w:space="0"/>
              <w:right w:val="single" w:color="auto" w:sz="4" w:space="0"/>
            </w:tcBorders>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00" w:type="dxa"/>
            <w:vMerge w:val="continue"/>
            <w:tcBorders>
              <w:left w:val="single" w:color="auto" w:sz="4" w:space="0"/>
              <w:right w:val="single" w:color="auto" w:sz="4" w:space="0"/>
            </w:tcBorders>
            <w:textDirection w:val="tbRlV"/>
            <w:vAlign w:val="center"/>
          </w:tcPr>
          <w:p>
            <w:pPr>
              <w:ind w:left="113" w:right="113"/>
              <w:jc w:val="center"/>
              <w:rPr>
                <w:rFonts w:ascii="宋体" w:hAnsi="宋体"/>
                <w:szCs w:val="21"/>
                <w:highlight w:val="none"/>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长*宽*高</w:t>
            </w:r>
          </w:p>
        </w:tc>
        <w:tc>
          <w:tcPr>
            <w:tcW w:w="7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 xml:space="preserve">3320 </w:t>
            </w:r>
            <w:r>
              <w:rPr>
                <w:rFonts w:ascii="宋体" w:hAnsi="宋体"/>
                <w:szCs w:val="21"/>
                <w:highlight w:val="none"/>
              </w:rPr>
              <w:t>×</w:t>
            </w:r>
            <w:r>
              <w:rPr>
                <w:rFonts w:hint="eastAsia" w:ascii="宋体" w:hAnsi="宋体"/>
                <w:szCs w:val="21"/>
                <w:highlight w:val="none"/>
              </w:rPr>
              <w:t xml:space="preserve"> 1200 </w:t>
            </w:r>
            <w:r>
              <w:rPr>
                <w:rFonts w:ascii="宋体" w:hAnsi="宋体"/>
                <w:szCs w:val="21"/>
                <w:highlight w:val="none"/>
              </w:rPr>
              <w:t>×</w:t>
            </w:r>
            <w:r>
              <w:rPr>
                <w:rFonts w:hint="eastAsia" w:ascii="宋体" w:hAnsi="宋体"/>
                <w:szCs w:val="21"/>
                <w:highlight w:val="none"/>
              </w:rPr>
              <w:t xml:space="preserve"> 1100（mm）</w:t>
            </w:r>
          </w:p>
        </w:tc>
        <w:tc>
          <w:tcPr>
            <w:tcW w:w="255" w:type="dxa"/>
            <w:vMerge w:val="continue"/>
            <w:tcBorders>
              <w:left w:val="single" w:color="auto" w:sz="4" w:space="0"/>
              <w:right w:val="single" w:color="auto" w:sz="4" w:space="0"/>
            </w:tcBorders>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00" w:type="dxa"/>
            <w:vMerge w:val="continue"/>
            <w:tcBorders>
              <w:left w:val="single" w:color="auto" w:sz="4" w:space="0"/>
              <w:right w:val="single" w:color="auto" w:sz="4" w:space="0"/>
            </w:tcBorders>
            <w:textDirection w:val="tbRlV"/>
            <w:vAlign w:val="center"/>
          </w:tcPr>
          <w:p>
            <w:pPr>
              <w:ind w:left="113" w:right="113"/>
              <w:jc w:val="center"/>
              <w:rPr>
                <w:rFonts w:ascii="宋体" w:hAnsi="宋体"/>
                <w:szCs w:val="21"/>
                <w:highlight w:val="none"/>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续驶里程</w:t>
            </w:r>
          </w:p>
        </w:tc>
        <w:tc>
          <w:tcPr>
            <w:tcW w:w="7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50 km</w:t>
            </w:r>
          </w:p>
        </w:tc>
        <w:tc>
          <w:tcPr>
            <w:tcW w:w="255" w:type="dxa"/>
            <w:vMerge w:val="continue"/>
            <w:tcBorders>
              <w:left w:val="single" w:color="auto" w:sz="4" w:space="0"/>
              <w:right w:val="single" w:color="auto" w:sz="4" w:space="0"/>
            </w:tcBorders>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00" w:type="dxa"/>
            <w:vMerge w:val="continue"/>
            <w:tcBorders>
              <w:left w:val="single" w:color="auto" w:sz="4" w:space="0"/>
              <w:right w:val="single" w:color="auto" w:sz="4" w:space="0"/>
            </w:tcBorders>
            <w:textDirection w:val="tbRlV"/>
            <w:vAlign w:val="center"/>
          </w:tcPr>
          <w:p>
            <w:pPr>
              <w:ind w:left="113" w:right="113"/>
              <w:jc w:val="center"/>
              <w:rPr>
                <w:rFonts w:ascii="宋体" w:hAnsi="宋体"/>
                <w:szCs w:val="21"/>
                <w:highlight w:val="none"/>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最高车速</w:t>
            </w:r>
          </w:p>
        </w:tc>
        <w:tc>
          <w:tcPr>
            <w:tcW w:w="7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25 km/h</w:t>
            </w:r>
          </w:p>
        </w:tc>
        <w:tc>
          <w:tcPr>
            <w:tcW w:w="255" w:type="dxa"/>
            <w:vMerge w:val="continue"/>
            <w:tcBorders>
              <w:left w:val="single" w:color="auto" w:sz="4" w:space="0"/>
              <w:right w:val="single" w:color="auto" w:sz="4" w:space="0"/>
            </w:tcBorders>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00" w:type="dxa"/>
            <w:vMerge w:val="continue"/>
            <w:tcBorders>
              <w:left w:val="single" w:color="auto" w:sz="4" w:space="0"/>
              <w:right w:val="single" w:color="auto" w:sz="4" w:space="0"/>
            </w:tcBorders>
            <w:textDirection w:val="tbRlV"/>
            <w:vAlign w:val="center"/>
          </w:tcPr>
          <w:p>
            <w:pPr>
              <w:ind w:left="113" w:right="113"/>
              <w:jc w:val="center"/>
              <w:rPr>
                <w:rFonts w:ascii="宋体" w:hAnsi="宋体"/>
                <w:szCs w:val="21"/>
                <w:highlight w:val="none"/>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最大爬坡度</w:t>
            </w:r>
          </w:p>
        </w:tc>
        <w:tc>
          <w:tcPr>
            <w:tcW w:w="7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15 %</w:t>
            </w:r>
          </w:p>
        </w:tc>
        <w:tc>
          <w:tcPr>
            <w:tcW w:w="255" w:type="dxa"/>
            <w:vMerge w:val="continue"/>
            <w:tcBorders>
              <w:left w:val="single" w:color="auto" w:sz="4" w:space="0"/>
              <w:right w:val="single" w:color="auto" w:sz="4" w:space="0"/>
            </w:tcBorders>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00" w:type="dxa"/>
            <w:vMerge w:val="continue"/>
            <w:tcBorders>
              <w:left w:val="single" w:color="auto" w:sz="4" w:space="0"/>
              <w:right w:val="single" w:color="auto" w:sz="4" w:space="0"/>
            </w:tcBorders>
            <w:textDirection w:val="tbRlV"/>
            <w:vAlign w:val="center"/>
          </w:tcPr>
          <w:p>
            <w:pPr>
              <w:ind w:left="113" w:right="113"/>
              <w:jc w:val="center"/>
              <w:rPr>
                <w:rFonts w:ascii="宋体" w:hAnsi="宋体"/>
                <w:szCs w:val="21"/>
                <w:highlight w:val="none"/>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充电时间</w:t>
            </w:r>
          </w:p>
        </w:tc>
        <w:tc>
          <w:tcPr>
            <w:tcW w:w="7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6--8小时</w:t>
            </w:r>
          </w:p>
        </w:tc>
        <w:tc>
          <w:tcPr>
            <w:tcW w:w="255" w:type="dxa"/>
            <w:vMerge w:val="continue"/>
            <w:tcBorders>
              <w:left w:val="single" w:color="auto" w:sz="4" w:space="0"/>
              <w:right w:val="single" w:color="auto" w:sz="4" w:space="0"/>
            </w:tcBorders>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00" w:type="dxa"/>
            <w:vMerge w:val="continue"/>
            <w:tcBorders>
              <w:left w:val="single" w:color="auto" w:sz="4" w:space="0"/>
              <w:right w:val="single" w:color="auto" w:sz="4" w:space="0"/>
            </w:tcBorders>
            <w:textDirection w:val="tbRlV"/>
            <w:vAlign w:val="center"/>
          </w:tcPr>
          <w:p>
            <w:pPr>
              <w:ind w:left="113" w:right="113"/>
              <w:jc w:val="center"/>
              <w:rPr>
                <w:rFonts w:ascii="宋体" w:hAnsi="宋体"/>
                <w:szCs w:val="21"/>
                <w:highlight w:val="none"/>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箱体容积</w:t>
            </w:r>
          </w:p>
        </w:tc>
        <w:tc>
          <w:tcPr>
            <w:tcW w:w="7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240L*4</w:t>
            </w:r>
          </w:p>
        </w:tc>
        <w:tc>
          <w:tcPr>
            <w:tcW w:w="255" w:type="dxa"/>
            <w:vMerge w:val="continue"/>
            <w:tcBorders>
              <w:left w:val="single" w:color="auto" w:sz="4" w:space="0"/>
              <w:right w:val="single" w:color="auto" w:sz="4" w:space="0"/>
            </w:tcBorders>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00"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宋体" w:hAnsi="宋体"/>
                <w:szCs w:val="21"/>
                <w:highlight w:val="none"/>
              </w:rPr>
            </w:pPr>
            <w:r>
              <w:rPr>
                <w:rFonts w:hint="eastAsia" w:ascii="宋体" w:hAnsi="宋体"/>
                <w:szCs w:val="21"/>
                <w:highlight w:val="none"/>
              </w:rPr>
              <w:t>电 气 系 统</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ind w:firstLine="106" w:firstLineChars="50"/>
              <w:rPr>
                <w:rFonts w:ascii="宋体" w:hAnsi="宋体"/>
                <w:szCs w:val="21"/>
                <w:highlight w:val="none"/>
              </w:rPr>
            </w:pPr>
            <w:r>
              <w:rPr>
                <w:rFonts w:hint="eastAsia" w:ascii="宋体" w:hAnsi="宋体"/>
                <w:szCs w:val="21"/>
                <w:highlight w:val="none"/>
              </w:rPr>
              <w:t>电  机</w:t>
            </w:r>
          </w:p>
        </w:tc>
        <w:tc>
          <w:tcPr>
            <w:tcW w:w="7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48V800W高磁钢无刷电机</w:t>
            </w:r>
          </w:p>
        </w:tc>
        <w:tc>
          <w:tcPr>
            <w:tcW w:w="255" w:type="dxa"/>
            <w:vMerge w:val="continue"/>
            <w:tcBorders>
              <w:left w:val="single" w:color="auto" w:sz="4" w:space="0"/>
              <w:right w:val="single" w:color="auto" w:sz="4" w:space="0"/>
            </w:tcBorders>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00" w:type="dxa"/>
            <w:vMerge w:val="continue"/>
            <w:tcBorders>
              <w:left w:val="single" w:color="auto" w:sz="4" w:space="0"/>
              <w:right w:val="single" w:color="auto" w:sz="4" w:space="0"/>
            </w:tcBorders>
            <w:vAlign w:val="center"/>
          </w:tcPr>
          <w:p>
            <w:pPr>
              <w:jc w:val="center"/>
              <w:rPr>
                <w:rFonts w:ascii="宋体" w:hAnsi="宋体"/>
                <w:szCs w:val="21"/>
                <w:highlight w:val="none"/>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ind w:firstLine="106" w:firstLineChars="50"/>
              <w:rPr>
                <w:rFonts w:ascii="宋体" w:hAnsi="宋体"/>
                <w:szCs w:val="21"/>
                <w:highlight w:val="none"/>
              </w:rPr>
            </w:pPr>
            <w:r>
              <w:rPr>
                <w:rFonts w:hint="eastAsia" w:ascii="宋体" w:hAnsi="宋体"/>
                <w:szCs w:val="21"/>
                <w:highlight w:val="none"/>
              </w:rPr>
              <w:t>电  控</w:t>
            </w:r>
          </w:p>
        </w:tc>
        <w:tc>
          <w:tcPr>
            <w:tcW w:w="7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18管无刷控制器</w:t>
            </w:r>
          </w:p>
        </w:tc>
        <w:tc>
          <w:tcPr>
            <w:tcW w:w="255" w:type="dxa"/>
            <w:vMerge w:val="continue"/>
            <w:tcBorders>
              <w:left w:val="single" w:color="auto" w:sz="4" w:space="0"/>
              <w:right w:val="single" w:color="auto" w:sz="4" w:space="0"/>
            </w:tcBorders>
            <w:vAlign w:val="center"/>
          </w:tcPr>
          <w:p>
            <w:pPr>
              <w:ind w:firstLine="71" w:firstLineChars="34"/>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00" w:type="dxa"/>
            <w:vMerge w:val="continue"/>
            <w:tcBorders>
              <w:left w:val="single" w:color="auto" w:sz="4" w:space="0"/>
              <w:right w:val="single" w:color="auto" w:sz="4" w:space="0"/>
            </w:tcBorders>
            <w:vAlign w:val="center"/>
          </w:tcPr>
          <w:p>
            <w:pPr>
              <w:jc w:val="center"/>
              <w:rPr>
                <w:rFonts w:ascii="宋体" w:hAnsi="宋体"/>
                <w:szCs w:val="21"/>
                <w:highlight w:val="none"/>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ind w:firstLine="106" w:firstLineChars="50"/>
              <w:rPr>
                <w:rFonts w:ascii="宋体" w:hAnsi="宋体"/>
                <w:szCs w:val="21"/>
                <w:highlight w:val="none"/>
              </w:rPr>
            </w:pPr>
            <w:r>
              <w:rPr>
                <w:rFonts w:hint="eastAsia" w:ascii="宋体" w:hAnsi="宋体"/>
                <w:szCs w:val="21"/>
                <w:highlight w:val="none"/>
              </w:rPr>
              <w:t>电  池</w:t>
            </w:r>
          </w:p>
        </w:tc>
        <w:tc>
          <w:tcPr>
            <w:tcW w:w="7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color w:val="000000"/>
                <w:szCs w:val="21"/>
                <w:highlight w:val="none"/>
              </w:rPr>
              <w:t>48V45Ah免维护高效电池</w:t>
            </w:r>
          </w:p>
        </w:tc>
        <w:tc>
          <w:tcPr>
            <w:tcW w:w="255" w:type="dxa"/>
            <w:vMerge w:val="continue"/>
            <w:tcBorders>
              <w:left w:val="single" w:color="auto" w:sz="4" w:space="0"/>
              <w:right w:val="single" w:color="auto" w:sz="4" w:space="0"/>
            </w:tcBorders>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00" w:type="dxa"/>
            <w:vMerge w:val="continue"/>
            <w:tcBorders>
              <w:left w:val="single" w:color="auto" w:sz="4" w:space="0"/>
              <w:right w:val="single" w:color="auto" w:sz="4" w:space="0"/>
            </w:tcBorders>
            <w:vAlign w:val="center"/>
          </w:tcPr>
          <w:p>
            <w:pPr>
              <w:jc w:val="center"/>
              <w:rPr>
                <w:rFonts w:ascii="宋体" w:hAnsi="宋体"/>
                <w:szCs w:val="21"/>
                <w:highlight w:val="none"/>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ind w:firstLine="106" w:firstLineChars="50"/>
              <w:rPr>
                <w:rFonts w:ascii="宋体" w:hAnsi="宋体"/>
                <w:szCs w:val="21"/>
                <w:highlight w:val="none"/>
              </w:rPr>
            </w:pPr>
            <w:r>
              <w:rPr>
                <w:rFonts w:hint="eastAsia" w:ascii="宋体" w:hAnsi="宋体"/>
                <w:szCs w:val="21"/>
                <w:highlight w:val="none"/>
              </w:rPr>
              <w:t>充电器</w:t>
            </w:r>
          </w:p>
        </w:tc>
        <w:tc>
          <w:tcPr>
            <w:tcW w:w="7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便携式智能全自动充电器</w:t>
            </w:r>
          </w:p>
        </w:tc>
        <w:tc>
          <w:tcPr>
            <w:tcW w:w="255" w:type="dxa"/>
            <w:vMerge w:val="continue"/>
            <w:tcBorders>
              <w:left w:val="single" w:color="auto" w:sz="4" w:space="0"/>
              <w:right w:val="single" w:color="auto" w:sz="4" w:space="0"/>
            </w:tcBorders>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600" w:type="dxa"/>
            <w:vMerge w:val="continue"/>
            <w:tcBorders>
              <w:left w:val="single" w:color="auto" w:sz="4" w:space="0"/>
              <w:right w:val="single" w:color="auto" w:sz="4" w:space="0"/>
            </w:tcBorders>
            <w:vAlign w:val="center"/>
          </w:tcPr>
          <w:p>
            <w:pPr>
              <w:jc w:val="center"/>
              <w:rPr>
                <w:rFonts w:ascii="宋体" w:hAnsi="宋体"/>
                <w:szCs w:val="21"/>
                <w:highlight w:val="none"/>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灯光及信号</w:t>
            </w:r>
          </w:p>
        </w:tc>
        <w:tc>
          <w:tcPr>
            <w:tcW w:w="70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LED照明灯、左右转向灯、刹车灯、行车灯、仪表、电喇叭、工作警示灯(选装)等</w:t>
            </w:r>
          </w:p>
        </w:tc>
        <w:tc>
          <w:tcPr>
            <w:tcW w:w="255" w:type="dxa"/>
            <w:vMerge w:val="continue"/>
            <w:tcBorders>
              <w:left w:val="single" w:color="auto" w:sz="4" w:space="0"/>
              <w:right w:val="single" w:color="auto" w:sz="4" w:space="0"/>
            </w:tcBorders>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00" w:type="dxa"/>
            <w:vMerge w:val="restart"/>
            <w:tcBorders>
              <w:top w:val="single" w:color="auto" w:sz="4" w:space="0"/>
              <w:left w:val="single" w:color="auto" w:sz="4" w:space="0"/>
              <w:right w:val="single" w:color="auto" w:sz="4" w:space="0"/>
            </w:tcBorders>
            <w:vAlign w:val="center"/>
          </w:tcPr>
          <w:p>
            <w:pPr>
              <w:ind w:right="113"/>
              <w:jc w:val="center"/>
              <w:rPr>
                <w:rFonts w:ascii="宋体" w:hAnsi="宋体"/>
                <w:szCs w:val="21"/>
                <w:highlight w:val="none"/>
              </w:rPr>
            </w:pPr>
            <w:r>
              <w:rPr>
                <w:rFonts w:hint="eastAsia" w:ascii="宋体" w:hAnsi="宋体"/>
                <w:szCs w:val="21"/>
                <w:highlight w:val="none"/>
              </w:rPr>
              <w:t>底 盘 系 统</w:t>
            </w:r>
          </w:p>
        </w:tc>
        <w:tc>
          <w:tcPr>
            <w:tcW w:w="1020" w:type="dxa"/>
            <w:tcBorders>
              <w:top w:val="single" w:color="auto" w:sz="4" w:space="0"/>
              <w:left w:val="single" w:color="auto" w:sz="4" w:space="0"/>
              <w:bottom w:val="single" w:color="auto" w:sz="4" w:space="0"/>
              <w:right w:val="single" w:color="auto" w:sz="4" w:space="0"/>
            </w:tcBorders>
            <w:vAlign w:val="center"/>
          </w:tcPr>
          <w:p>
            <w:pPr>
              <w:ind w:firstLine="106" w:firstLineChars="50"/>
              <w:rPr>
                <w:rFonts w:ascii="宋体" w:hAnsi="宋体"/>
                <w:szCs w:val="21"/>
                <w:highlight w:val="none"/>
              </w:rPr>
            </w:pPr>
            <w:r>
              <w:rPr>
                <w:rFonts w:hint="eastAsia" w:ascii="宋体" w:hAnsi="宋体"/>
                <w:szCs w:val="21"/>
                <w:highlight w:val="none"/>
              </w:rPr>
              <w:t>车 架</w:t>
            </w:r>
          </w:p>
        </w:tc>
        <w:tc>
          <w:tcPr>
            <w:tcW w:w="7844" w:type="dxa"/>
            <w:gridSpan w:val="3"/>
            <w:tcBorders>
              <w:top w:val="single" w:color="auto" w:sz="4" w:space="0"/>
              <w:left w:val="single" w:color="auto" w:sz="4" w:space="0"/>
              <w:bottom w:val="single" w:color="auto" w:sz="4" w:space="0"/>
              <w:right w:val="single" w:color="auto" w:sz="4" w:space="0"/>
            </w:tcBorders>
            <w:vAlign w:val="center"/>
          </w:tcPr>
          <w:p>
            <w:pPr>
              <w:ind w:left="30"/>
              <w:rPr>
                <w:rFonts w:ascii="宋体" w:hAnsi="宋体"/>
                <w:szCs w:val="21"/>
                <w:highlight w:val="none"/>
              </w:rPr>
            </w:pPr>
            <w:r>
              <w:rPr>
                <w:rFonts w:hint="eastAsia" w:ascii="宋体" w:hAnsi="宋体"/>
                <w:szCs w:val="21"/>
                <w:highlight w:val="none"/>
              </w:rPr>
              <w:t>整体焊接一体大梁 + 酸洗电泳磷化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00" w:type="dxa"/>
            <w:vMerge w:val="continue"/>
            <w:tcBorders>
              <w:left w:val="single" w:color="auto" w:sz="4" w:space="0"/>
              <w:right w:val="single" w:color="auto" w:sz="4" w:space="0"/>
            </w:tcBorders>
            <w:vAlign w:val="center"/>
          </w:tcPr>
          <w:p>
            <w:pPr>
              <w:ind w:right="113"/>
              <w:jc w:val="center"/>
              <w:rPr>
                <w:rFonts w:ascii="宋体" w:hAnsi="宋体"/>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ind w:firstLine="106" w:firstLineChars="50"/>
              <w:rPr>
                <w:rFonts w:ascii="宋体" w:hAnsi="宋体"/>
                <w:szCs w:val="21"/>
                <w:highlight w:val="none"/>
              </w:rPr>
            </w:pPr>
            <w:r>
              <w:rPr>
                <w:rFonts w:hint="eastAsia" w:ascii="宋体" w:hAnsi="宋体"/>
                <w:szCs w:val="21"/>
                <w:highlight w:val="none"/>
              </w:rPr>
              <w:t>悬 架</w:t>
            </w:r>
          </w:p>
        </w:tc>
        <w:tc>
          <w:tcPr>
            <w:tcW w:w="784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前悬架</w:t>
            </w:r>
            <w:r>
              <w:rPr>
                <w:rFonts w:ascii="宋体" w:hAnsi="宋体"/>
                <w:szCs w:val="21"/>
                <w:highlight w:val="none"/>
              </w:rPr>
              <w:t>：</w:t>
            </w:r>
            <w:r>
              <w:rPr>
                <w:rFonts w:hint="eastAsia" w:ascii="宋体" w:hAnsi="宋体"/>
                <w:szCs w:val="21"/>
                <w:highlight w:val="none"/>
              </w:rPr>
              <w:t>加粗双筒内</w:t>
            </w:r>
            <w:r>
              <w:rPr>
                <w:rFonts w:ascii="宋体" w:hAnsi="宋体"/>
                <w:szCs w:val="21"/>
                <w:highlight w:val="none"/>
              </w:rPr>
              <w:t>螺旋弹簧式前叉</w:t>
            </w:r>
          </w:p>
          <w:p>
            <w:pPr>
              <w:rPr>
                <w:rFonts w:ascii="宋体" w:hAnsi="宋体"/>
                <w:szCs w:val="21"/>
                <w:highlight w:val="none"/>
              </w:rPr>
            </w:pPr>
            <w:r>
              <w:rPr>
                <w:rFonts w:ascii="宋体" w:hAnsi="宋体"/>
                <w:szCs w:val="21"/>
                <w:highlight w:val="none"/>
              </w:rPr>
              <w:t>后悬架</w:t>
            </w:r>
            <w:r>
              <w:rPr>
                <w:rFonts w:hint="eastAsia" w:ascii="宋体" w:hAnsi="宋体"/>
                <w:szCs w:val="21"/>
                <w:highlight w:val="none"/>
              </w:rPr>
              <w:t>：</w:t>
            </w:r>
            <w:r>
              <w:rPr>
                <w:rFonts w:ascii="宋体" w:hAnsi="宋体"/>
                <w:szCs w:val="21"/>
                <w:highlight w:val="none"/>
              </w:rPr>
              <w:t>非独立</w:t>
            </w:r>
            <w:r>
              <w:rPr>
                <w:rFonts w:hint="eastAsia" w:ascii="宋体" w:hAnsi="宋体"/>
                <w:szCs w:val="21"/>
                <w:highlight w:val="none"/>
              </w:rPr>
              <w:t>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00" w:type="dxa"/>
            <w:vMerge w:val="continue"/>
            <w:tcBorders>
              <w:left w:val="single" w:color="auto" w:sz="4" w:space="0"/>
              <w:right w:val="single" w:color="auto" w:sz="4" w:space="0"/>
            </w:tcBorders>
            <w:vAlign w:val="center"/>
          </w:tcPr>
          <w:p>
            <w:pPr>
              <w:ind w:right="113"/>
              <w:jc w:val="center"/>
              <w:rPr>
                <w:rFonts w:ascii="宋体" w:hAnsi="宋体"/>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ind w:firstLine="106" w:firstLineChars="50"/>
              <w:rPr>
                <w:rFonts w:ascii="宋体" w:hAnsi="宋体"/>
                <w:szCs w:val="21"/>
                <w:highlight w:val="none"/>
              </w:rPr>
            </w:pPr>
            <w:r>
              <w:rPr>
                <w:rFonts w:hint="eastAsia" w:ascii="宋体" w:hAnsi="宋体"/>
                <w:szCs w:val="21"/>
                <w:highlight w:val="none"/>
              </w:rPr>
              <w:t>后 桥</w:t>
            </w:r>
          </w:p>
        </w:tc>
        <w:tc>
          <w:tcPr>
            <w:tcW w:w="784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一体差速后桥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00" w:type="dxa"/>
            <w:vMerge w:val="continue"/>
            <w:tcBorders>
              <w:left w:val="single" w:color="auto" w:sz="4" w:space="0"/>
              <w:right w:val="single" w:color="auto" w:sz="4" w:space="0"/>
            </w:tcBorders>
            <w:vAlign w:val="center"/>
          </w:tcPr>
          <w:p>
            <w:pPr>
              <w:ind w:right="113"/>
              <w:jc w:val="center"/>
              <w:rPr>
                <w:rFonts w:ascii="宋体" w:hAnsi="宋体"/>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ind w:firstLine="106" w:firstLineChars="50"/>
              <w:rPr>
                <w:rFonts w:ascii="宋体" w:hAnsi="宋体"/>
                <w:szCs w:val="21"/>
                <w:highlight w:val="none"/>
              </w:rPr>
            </w:pPr>
            <w:r>
              <w:rPr>
                <w:rFonts w:hint="eastAsia" w:ascii="宋体" w:hAnsi="宋体"/>
                <w:szCs w:val="21"/>
                <w:highlight w:val="none"/>
              </w:rPr>
              <w:t>制 动</w:t>
            </w:r>
          </w:p>
        </w:tc>
        <w:tc>
          <w:tcPr>
            <w:tcW w:w="784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脚踩</w:t>
            </w:r>
            <w:r>
              <w:rPr>
                <w:rFonts w:ascii="宋体" w:hAnsi="宋体"/>
                <w:szCs w:val="21"/>
                <w:highlight w:val="none"/>
              </w:rPr>
              <w:t>机械连杆鼓</w:t>
            </w:r>
            <w:r>
              <w:rPr>
                <w:rFonts w:hint="eastAsia" w:ascii="宋体" w:hAnsi="宋体"/>
                <w:szCs w:val="21"/>
                <w:highlight w:val="none"/>
              </w:rPr>
              <w:t>式后轮</w:t>
            </w:r>
            <w:r>
              <w:rPr>
                <w:rFonts w:ascii="宋体" w:hAnsi="宋体"/>
                <w:szCs w:val="21"/>
                <w:highlight w:val="none"/>
              </w:rPr>
              <w:t>制动</w:t>
            </w:r>
            <w:r>
              <w:rPr>
                <w:rFonts w:hint="eastAsia" w:ascii="宋体" w:hAnsi="宋体"/>
                <w:szCs w:val="21"/>
                <w:highlight w:val="none"/>
              </w:rPr>
              <w:t>+手动</w:t>
            </w:r>
            <w:r>
              <w:rPr>
                <w:rFonts w:ascii="宋体" w:hAnsi="宋体"/>
                <w:szCs w:val="21"/>
                <w:highlight w:val="none"/>
              </w:rPr>
              <w:t>机械驻车制动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00"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宋体" w:hAnsi="宋体"/>
                <w:szCs w:val="21"/>
                <w:highlight w:val="none"/>
              </w:rPr>
            </w:pPr>
            <w:r>
              <w:rPr>
                <w:rFonts w:hint="eastAsia" w:ascii="宋体" w:hAnsi="宋体"/>
                <w:szCs w:val="21"/>
                <w:highlight w:val="none"/>
              </w:rPr>
              <w:t xml:space="preserve">车 身 </w:t>
            </w:r>
          </w:p>
        </w:tc>
        <w:tc>
          <w:tcPr>
            <w:tcW w:w="1020" w:type="dxa"/>
            <w:tcBorders>
              <w:top w:val="single" w:color="auto" w:sz="4" w:space="0"/>
              <w:left w:val="single" w:color="auto" w:sz="4" w:space="0"/>
              <w:bottom w:val="single" w:color="auto" w:sz="4" w:space="0"/>
              <w:right w:val="single" w:color="auto" w:sz="4" w:space="0"/>
            </w:tcBorders>
            <w:vAlign w:val="center"/>
          </w:tcPr>
          <w:p>
            <w:pPr>
              <w:ind w:firstLine="106" w:firstLineChars="50"/>
              <w:rPr>
                <w:rFonts w:ascii="宋体" w:hAnsi="宋体"/>
                <w:szCs w:val="21"/>
                <w:highlight w:val="none"/>
              </w:rPr>
            </w:pPr>
            <w:r>
              <w:rPr>
                <w:rFonts w:hint="eastAsia" w:ascii="宋体" w:hAnsi="宋体"/>
                <w:szCs w:val="21"/>
                <w:highlight w:val="none"/>
              </w:rPr>
              <w:t>仪表台</w:t>
            </w:r>
          </w:p>
        </w:tc>
        <w:tc>
          <w:tcPr>
            <w:tcW w:w="784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ascii="宋体" w:hAnsi="宋体"/>
                <w:szCs w:val="21"/>
                <w:highlight w:val="none"/>
              </w:rPr>
              <w:t>注塑成型仪表台，电</w:t>
            </w:r>
            <w:r>
              <w:rPr>
                <w:rFonts w:hint="eastAsia" w:ascii="宋体" w:hAnsi="宋体"/>
                <w:szCs w:val="21"/>
                <w:highlight w:val="none"/>
              </w:rPr>
              <w:t>源</w:t>
            </w:r>
            <w:r>
              <w:rPr>
                <w:rFonts w:ascii="宋体" w:hAnsi="宋体"/>
                <w:szCs w:val="21"/>
                <w:highlight w:val="none"/>
              </w:rPr>
              <w:t>锁，</w:t>
            </w:r>
            <w:r>
              <w:rPr>
                <w:rFonts w:hint="eastAsia" w:ascii="宋体" w:hAnsi="宋体"/>
                <w:szCs w:val="21"/>
                <w:highlight w:val="none"/>
              </w:rPr>
              <w:t>仪</w:t>
            </w:r>
            <w:r>
              <w:rPr>
                <w:rFonts w:ascii="宋体" w:hAnsi="宋体"/>
                <w:szCs w:val="21"/>
                <w:highlight w:val="none"/>
              </w:rPr>
              <w:t>表，组合开关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00" w:type="dxa"/>
            <w:vMerge w:val="continue"/>
            <w:tcBorders>
              <w:top w:val="single" w:color="auto" w:sz="4" w:space="0"/>
              <w:left w:val="single" w:color="auto" w:sz="4" w:space="0"/>
              <w:right w:val="single" w:color="auto" w:sz="4" w:space="0"/>
            </w:tcBorders>
            <w:textDirection w:val="tbRlV"/>
            <w:vAlign w:val="center"/>
          </w:tcPr>
          <w:p>
            <w:pPr>
              <w:ind w:left="113" w:right="113"/>
              <w:jc w:val="center"/>
              <w:rPr>
                <w:rFonts w:ascii="宋体" w:hAnsi="宋体"/>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ind w:firstLine="106" w:firstLineChars="50"/>
              <w:rPr>
                <w:rFonts w:ascii="宋体" w:hAnsi="宋体"/>
                <w:szCs w:val="21"/>
                <w:highlight w:val="none"/>
              </w:rPr>
            </w:pPr>
            <w:r>
              <w:rPr>
                <w:rFonts w:hint="eastAsia" w:ascii="宋体" w:hAnsi="宋体"/>
                <w:szCs w:val="21"/>
                <w:highlight w:val="none"/>
              </w:rPr>
              <w:t>油  漆</w:t>
            </w:r>
          </w:p>
        </w:tc>
        <w:tc>
          <w:tcPr>
            <w:tcW w:w="784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杜邦高级汽车专用油漆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00" w:type="dxa"/>
            <w:vMerge w:val="continue"/>
            <w:tcBorders>
              <w:left w:val="single" w:color="auto" w:sz="4" w:space="0"/>
              <w:right w:val="single" w:color="auto" w:sz="4" w:space="0"/>
            </w:tcBorders>
            <w:vAlign w:val="center"/>
          </w:tcPr>
          <w:p>
            <w:pPr>
              <w:widowControl/>
              <w:jc w:val="center"/>
              <w:rPr>
                <w:rFonts w:ascii="宋体" w:hAnsi="宋体"/>
                <w:szCs w:val="21"/>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6" w:firstLineChars="50"/>
              <w:rPr>
                <w:rFonts w:ascii="宋体" w:hAnsi="宋体"/>
                <w:szCs w:val="21"/>
                <w:highlight w:val="none"/>
              </w:rPr>
            </w:pPr>
            <w:r>
              <w:rPr>
                <w:rFonts w:hint="eastAsia" w:ascii="宋体" w:hAnsi="宋体"/>
                <w:szCs w:val="21"/>
                <w:highlight w:val="none"/>
              </w:rPr>
              <w:t>箱  体</w:t>
            </w:r>
          </w:p>
        </w:tc>
        <w:tc>
          <w:tcPr>
            <w:tcW w:w="784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箱体采用酸洗电泳喷漆整体焊接工艺而成，可快速挂载4个240L标准塑料桶使用,保洁收集还有的垃圾可直接与压缩车或中转站对接。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9464" w:type="dxa"/>
            <w:gridSpan w:val="5"/>
            <w:tcBorders>
              <w:left w:val="single" w:color="auto" w:sz="4" w:space="0"/>
              <w:right w:val="single" w:color="auto" w:sz="4" w:space="0"/>
            </w:tcBorders>
            <w:vAlign w:val="center"/>
          </w:tcPr>
          <w:p>
            <w:pPr>
              <w:spacing w:line="360" w:lineRule="auto"/>
              <w:rPr>
                <w:rFonts w:ascii="宋体" w:hAnsi="宋体"/>
                <w:b/>
                <w:sz w:val="24"/>
                <w:highlight w:val="none"/>
              </w:rPr>
            </w:pPr>
            <w:r>
              <w:rPr>
                <w:rFonts w:hint="eastAsia" w:ascii="宋体" w:hAnsi="宋体"/>
                <w:szCs w:val="21"/>
                <w:highlight w:val="none"/>
              </w:rPr>
              <w:t>整车体积小,轴距短，机动灵活，仅需一人就可操作。适用于城镇</w:t>
            </w:r>
            <w:r>
              <w:rPr>
                <w:rFonts w:ascii="宋体" w:hAnsi="宋体"/>
                <w:szCs w:val="21"/>
                <w:highlight w:val="none"/>
              </w:rPr>
              <w:t>街道、</w:t>
            </w:r>
            <w:r>
              <w:rPr>
                <w:rFonts w:hint="eastAsia" w:ascii="宋体" w:hAnsi="宋体"/>
                <w:szCs w:val="21"/>
                <w:highlight w:val="none"/>
              </w:rPr>
              <w:t>车站</w:t>
            </w:r>
            <w:r>
              <w:rPr>
                <w:rFonts w:ascii="宋体" w:hAnsi="宋体"/>
                <w:szCs w:val="21"/>
                <w:highlight w:val="none"/>
              </w:rPr>
              <w:t>、机场、码头、</w:t>
            </w:r>
            <w:r>
              <w:rPr>
                <w:rFonts w:hint="eastAsia" w:ascii="宋体" w:hAnsi="宋体"/>
                <w:szCs w:val="21"/>
                <w:highlight w:val="none"/>
              </w:rPr>
              <w:t>工厂、</w:t>
            </w:r>
            <w:r>
              <w:rPr>
                <w:rFonts w:ascii="宋体" w:hAnsi="宋体"/>
                <w:szCs w:val="21"/>
                <w:highlight w:val="none"/>
              </w:rPr>
              <w:t>学校、医院</w:t>
            </w:r>
            <w:r>
              <w:rPr>
                <w:rFonts w:hint="eastAsia" w:ascii="宋体" w:hAnsi="宋体"/>
                <w:szCs w:val="21"/>
                <w:highlight w:val="none"/>
              </w:rPr>
              <w:t>、</w:t>
            </w:r>
            <w:r>
              <w:rPr>
                <w:rFonts w:ascii="宋体" w:hAnsi="宋体"/>
                <w:szCs w:val="21"/>
                <w:highlight w:val="none"/>
              </w:rPr>
              <w:t>广场、小区小巷、人行道</w:t>
            </w:r>
            <w:r>
              <w:rPr>
                <w:rFonts w:hint="eastAsia" w:ascii="宋体" w:hAnsi="宋体"/>
                <w:szCs w:val="21"/>
                <w:highlight w:val="none"/>
              </w:rPr>
              <w:t>等</w:t>
            </w:r>
            <w:r>
              <w:rPr>
                <w:rFonts w:ascii="宋体" w:hAnsi="宋体"/>
                <w:szCs w:val="21"/>
                <w:highlight w:val="none"/>
              </w:rPr>
              <w:t>路段垃圾收集和巡回保洁使用。随走随停</w:t>
            </w:r>
            <w:r>
              <w:rPr>
                <w:rFonts w:hint="eastAsia" w:ascii="宋体" w:hAnsi="宋体"/>
                <w:szCs w:val="21"/>
                <w:highlight w:val="none"/>
              </w:rPr>
              <w:t>，方便</w:t>
            </w:r>
            <w:r>
              <w:rPr>
                <w:rFonts w:ascii="宋体" w:hAnsi="宋体"/>
                <w:szCs w:val="21"/>
                <w:highlight w:val="none"/>
              </w:rPr>
              <w:t>灵活</w:t>
            </w:r>
            <w:r>
              <w:rPr>
                <w:rFonts w:hint="eastAsia" w:ascii="宋体" w:hAnsi="宋体"/>
                <w:szCs w:val="21"/>
                <w:highlight w:val="none"/>
              </w:rPr>
              <w:t>。</w:t>
            </w:r>
          </w:p>
        </w:tc>
      </w:tr>
    </w:tbl>
    <w:p>
      <w:pPr>
        <w:adjustRightInd w:val="0"/>
        <w:snapToGrid w:val="0"/>
        <w:spacing w:line="570" w:lineRule="exact"/>
        <w:ind w:firstLine="424" w:firstLineChars="200"/>
        <w:rPr>
          <w:rFonts w:ascii="宋体" w:hAnsi="宋体" w:cs="宋体"/>
          <w:b/>
          <w:bCs/>
          <w:color w:val="000000" w:themeColor="text1"/>
          <w:szCs w:val="21"/>
          <w:highlight w:val="none"/>
          <w:lang w:eastAsia="zh-Hans"/>
          <w14:textFill>
            <w14:solidFill>
              <w14:schemeClr w14:val="tx1"/>
            </w14:solidFill>
          </w14:textFill>
        </w:rPr>
      </w:pPr>
    </w:p>
    <w:p>
      <w:pPr>
        <w:adjustRightInd w:val="0"/>
        <w:snapToGrid w:val="0"/>
        <w:spacing w:line="570" w:lineRule="exact"/>
        <w:ind w:firstLine="424" w:firstLineChars="200"/>
        <w:rPr>
          <w:rFonts w:ascii="宋体" w:hAnsi="宋体" w:cs="宋体"/>
          <w:b/>
          <w:bCs/>
          <w:color w:val="000000" w:themeColor="text1"/>
          <w:szCs w:val="21"/>
          <w:highlight w:val="none"/>
          <w:lang w:eastAsia="zh-Hans"/>
          <w14:textFill>
            <w14:solidFill>
              <w14:schemeClr w14:val="tx1"/>
            </w14:solidFill>
          </w14:textFill>
        </w:rPr>
      </w:pPr>
      <w:r>
        <w:rPr>
          <w:rFonts w:ascii="宋体" w:hAnsi="宋体" w:cs="宋体"/>
          <w:b/>
          <w:bCs/>
          <w:color w:val="000000" w:themeColor="text1"/>
          <w:szCs w:val="21"/>
          <w:highlight w:val="none"/>
          <w:lang w:eastAsia="zh-Hans"/>
          <w14:textFill>
            <w14:solidFill>
              <w14:schemeClr w14:val="tx1"/>
            </w14:solidFill>
          </w14:textFill>
        </w:rPr>
        <w:t>6.</w:t>
      </w:r>
      <w:r>
        <w:rPr>
          <w:rFonts w:hint="eastAsia" w:ascii="宋体" w:hAnsi="宋体" w:cs="宋体"/>
          <w:b/>
          <w:bCs/>
          <w:color w:val="000000" w:themeColor="text1"/>
          <w:szCs w:val="21"/>
          <w:highlight w:val="none"/>
          <w:lang w:eastAsia="zh-Hans"/>
          <w14:textFill>
            <w14:solidFill>
              <w14:schemeClr w14:val="tx1"/>
            </w14:solidFill>
          </w14:textFill>
        </w:rPr>
        <w:t>全程追溯管理系统</w:t>
      </w:r>
      <w:bookmarkEnd w:id="65"/>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使用主体：</w:t>
      </w:r>
      <w:r>
        <w:rPr>
          <w:rFonts w:hint="eastAsia" w:ascii="宋体" w:hAnsi="宋体" w:cs="宋体"/>
          <w:color w:val="000000" w:themeColor="text1"/>
          <w:kern w:val="0"/>
          <w:szCs w:val="21"/>
          <w:highlight w:val="none"/>
          <w:lang w:eastAsia="zh-Hans"/>
          <w14:textFill>
            <w14:solidFill>
              <w14:schemeClr w14:val="tx1"/>
            </w14:solidFill>
          </w14:textFill>
        </w:rPr>
        <w:t>胡柚</w:t>
      </w:r>
      <w:r>
        <w:rPr>
          <w:rFonts w:hint="eastAsia" w:ascii="宋体" w:hAnsi="宋体" w:cs="宋体"/>
          <w:color w:val="000000" w:themeColor="text1"/>
          <w:kern w:val="0"/>
          <w:szCs w:val="21"/>
          <w:highlight w:val="none"/>
          <w14:textFill>
            <w14:solidFill>
              <w14:schemeClr w14:val="tx1"/>
            </w14:solidFill>
          </w14:textFill>
        </w:rPr>
        <w:t>产业龙头企业。基于区块链技术，建立全程追溯管理系统，消费者可通过电话语音、网站、二维码扫描、触摸屏查询终端等途径凭借产品身份码进行质量安全保障信息查询，让消费者识别商品的品种、等级、原料来源、基地农事数据、加工数据、检测数据、物联网数据等全链条信息，打造消费信任桥梁，实现放心消费与忠诚营销，让消费者形成品牌认知。</w:t>
      </w:r>
    </w:p>
    <w:p>
      <w:pPr>
        <w:widowControl/>
        <w:spacing w:line="400" w:lineRule="atLeast"/>
        <w:ind w:firstLine="424" w:firstLineChars="200"/>
        <w:rPr>
          <w:rFonts w:ascii="宋体" w:hAnsi="宋体" w:cs="宋体"/>
          <w:b/>
          <w:bCs/>
          <w:color w:val="000000" w:themeColor="text1"/>
          <w:kern w:val="0"/>
          <w:szCs w:val="21"/>
          <w:highlight w:val="none"/>
          <w14:textFill>
            <w14:solidFill>
              <w14:schemeClr w14:val="tx1"/>
            </w14:solidFill>
          </w14:textFill>
        </w:rPr>
      </w:pPr>
      <w:bookmarkStart w:id="66" w:name="_Toc2938"/>
      <w:bookmarkStart w:id="67" w:name="_Toc6605"/>
      <w:bookmarkStart w:id="68" w:name="_Toc7112"/>
      <w:bookmarkStart w:id="69" w:name="_Toc14209"/>
      <w:bookmarkStart w:id="70" w:name="_Toc20089"/>
      <w:bookmarkStart w:id="71" w:name="_Toc395"/>
      <w:bookmarkStart w:id="72" w:name="_Toc24601"/>
      <w:bookmarkStart w:id="73" w:name="_Toc24237"/>
      <w:bookmarkStart w:id="74" w:name="_Toc5621"/>
      <w:r>
        <w:rPr>
          <w:rFonts w:hint="eastAsia" w:ascii="宋体" w:hAnsi="宋体" w:cs="宋体"/>
          <w:b/>
          <w:bCs/>
          <w:color w:val="000000" w:themeColor="text1"/>
          <w:kern w:val="0"/>
          <w:szCs w:val="21"/>
          <w:highlight w:val="none"/>
          <w:lang w:eastAsia="zh-Hans"/>
          <w14:textFill>
            <w14:solidFill>
              <w14:schemeClr w14:val="tx1"/>
            </w14:solidFill>
          </w14:textFill>
        </w:rPr>
        <w:t>（</w:t>
      </w:r>
      <w:r>
        <w:rPr>
          <w:rFonts w:ascii="宋体" w:hAnsi="宋体" w:cs="宋体"/>
          <w:b/>
          <w:bCs/>
          <w:color w:val="000000" w:themeColor="text1"/>
          <w:kern w:val="0"/>
          <w:szCs w:val="21"/>
          <w:highlight w:val="none"/>
          <w:lang w:eastAsia="zh-Hans"/>
          <w14:textFill>
            <w14:solidFill>
              <w14:schemeClr w14:val="tx1"/>
            </w14:solidFill>
          </w14:textFill>
        </w:rPr>
        <w:t>1</w:t>
      </w:r>
      <w:r>
        <w:rPr>
          <w:rFonts w:hint="eastAsia" w:ascii="宋体" w:hAnsi="宋体" w:cs="宋体"/>
          <w:b/>
          <w:bCs/>
          <w:color w:val="000000" w:themeColor="text1"/>
          <w:kern w:val="0"/>
          <w:szCs w:val="21"/>
          <w:highlight w:val="none"/>
          <w:lang w:eastAsia="zh-Hans"/>
          <w14:textFill>
            <w14:solidFill>
              <w14:schemeClr w14:val="tx1"/>
            </w14:solidFill>
          </w14:textFill>
        </w:rPr>
        <w:t>）</w:t>
      </w:r>
      <w:r>
        <w:rPr>
          <w:rFonts w:hint="eastAsia" w:ascii="宋体" w:hAnsi="宋体" w:cs="宋体"/>
          <w:b/>
          <w:bCs/>
          <w:color w:val="000000" w:themeColor="text1"/>
          <w:kern w:val="0"/>
          <w:szCs w:val="21"/>
          <w:highlight w:val="none"/>
          <w14:textFill>
            <w14:solidFill>
              <w14:schemeClr w14:val="tx1"/>
            </w14:solidFill>
          </w14:textFill>
        </w:rPr>
        <w:t>全链数据采集</w:t>
      </w:r>
      <w:bookmarkEnd w:id="66"/>
      <w:bookmarkEnd w:id="67"/>
      <w:bookmarkEnd w:id="68"/>
      <w:bookmarkEnd w:id="69"/>
      <w:bookmarkEnd w:id="70"/>
      <w:r>
        <w:rPr>
          <w:rFonts w:hint="eastAsia" w:ascii="宋体" w:hAnsi="宋体" w:cs="宋体"/>
          <w:b/>
          <w:bCs/>
          <w:color w:val="000000" w:themeColor="text1"/>
          <w:kern w:val="0"/>
          <w:szCs w:val="21"/>
          <w:highlight w:val="none"/>
          <w14:textFill>
            <w14:solidFill>
              <w14:schemeClr w14:val="tx1"/>
            </w14:solidFill>
          </w14:textFill>
        </w:rPr>
        <w:t>模块</w:t>
      </w:r>
      <w:bookmarkEnd w:id="71"/>
      <w:bookmarkEnd w:id="72"/>
      <w:bookmarkEnd w:id="73"/>
      <w:bookmarkEnd w:id="74"/>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bookmarkStart w:id="75" w:name="_Toc29963"/>
      <w:bookmarkStart w:id="76" w:name="_Toc27861"/>
      <w:bookmarkStart w:id="77" w:name="_Toc15634"/>
      <w:bookmarkStart w:id="78" w:name="_Toc11291"/>
      <w:bookmarkStart w:id="79" w:name="_Toc27896"/>
      <w:bookmarkStart w:id="80" w:name="_Toc1549"/>
      <w:bookmarkStart w:id="81" w:name="_Toc7266"/>
      <w:bookmarkStart w:id="82" w:name="_Toc17432"/>
      <w:bookmarkStart w:id="83" w:name="_Toc31003"/>
      <w:r>
        <w:rPr>
          <w:rFonts w:hint="eastAsia" w:ascii="宋体" w:hAnsi="宋体" w:cs="宋体"/>
          <w:color w:val="000000" w:themeColor="text1"/>
          <w:kern w:val="0"/>
          <w:szCs w:val="21"/>
          <w:highlight w:val="none"/>
          <w:lang w:eastAsia="zh-Hans"/>
          <w14:textFill>
            <w14:solidFill>
              <w14:schemeClr w14:val="tx1"/>
            </w14:solidFill>
          </w14:textFill>
        </w:rPr>
        <w:t>①</w:t>
      </w:r>
      <w:r>
        <w:rPr>
          <w:rFonts w:hint="eastAsia" w:ascii="宋体" w:hAnsi="宋体" w:cs="宋体"/>
          <w:color w:val="000000" w:themeColor="text1"/>
          <w:kern w:val="0"/>
          <w:szCs w:val="21"/>
          <w:highlight w:val="none"/>
          <w14:textFill>
            <w14:solidFill>
              <w14:schemeClr w14:val="tx1"/>
            </w14:solidFill>
          </w14:textFill>
        </w:rPr>
        <w:t>种植管理</w:t>
      </w:r>
      <w:bookmarkEnd w:id="75"/>
      <w:bookmarkEnd w:id="76"/>
      <w:bookmarkEnd w:id="77"/>
      <w:bookmarkEnd w:id="78"/>
      <w:bookmarkEnd w:id="79"/>
      <w:bookmarkEnd w:id="80"/>
      <w:bookmarkEnd w:id="81"/>
      <w:bookmarkEnd w:id="82"/>
      <w:bookmarkEnd w:id="83"/>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建立统一的</w:t>
      </w:r>
      <w:r>
        <w:rPr>
          <w:rFonts w:hint="eastAsia" w:ascii="宋体" w:hAnsi="宋体" w:cs="宋体"/>
          <w:color w:val="000000" w:themeColor="text1"/>
          <w:kern w:val="0"/>
          <w:szCs w:val="21"/>
          <w:highlight w:val="none"/>
          <w:lang w:eastAsia="zh-Hans"/>
          <w14:textFill>
            <w14:solidFill>
              <w14:schemeClr w14:val="tx1"/>
            </w14:solidFill>
          </w14:textFill>
        </w:rPr>
        <w:t>胡柚</w:t>
      </w:r>
      <w:r>
        <w:rPr>
          <w:rFonts w:hint="eastAsia" w:ascii="宋体" w:hAnsi="宋体" w:cs="宋体"/>
          <w:color w:val="000000" w:themeColor="text1"/>
          <w:kern w:val="0"/>
          <w:szCs w:val="21"/>
          <w:highlight w:val="none"/>
          <w14:textFill>
            <w14:solidFill>
              <w14:schemeClr w14:val="tx1"/>
            </w14:solidFill>
          </w14:textFill>
        </w:rPr>
        <w:t>种植追溯管理系统。划定特定区域（种植过程相同或统一划定的管辖区域，一般是以基地</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地块为追溯单元）为追溯单元，一般情况下以地块作为一个批次，在每个种植基地，设立溯源信息网络采集站点。采集信息包括施肥信息、病虫害防治信息、农事操作，溯源信息形式包括文字、现场照片、现场视频等。</w:t>
      </w:r>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lang w:eastAsia="zh-Hans"/>
          <w14:textFill>
            <w14:solidFill>
              <w14:schemeClr w14:val="tx1"/>
            </w14:solidFill>
          </w14:textFill>
        </w:rPr>
        <w:t>a.</w:t>
      </w:r>
      <w:r>
        <w:rPr>
          <w:rFonts w:hint="eastAsia" w:ascii="宋体" w:hAnsi="宋体" w:cs="宋体"/>
          <w:color w:val="000000" w:themeColor="text1"/>
          <w:kern w:val="0"/>
          <w:szCs w:val="21"/>
          <w:highlight w:val="none"/>
          <w14:textFill>
            <w14:solidFill>
              <w14:schemeClr w14:val="tx1"/>
            </w14:solidFill>
          </w14:textFill>
        </w:rPr>
        <w:t>采集方式</w:t>
      </w:r>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直接录入：因自有基地已覆盖网络，基地负责人可通过溯源信息管理系统对溯源信息进行现场直接采集。</w:t>
      </w:r>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纸质档案，后期转录</w:t>
      </w:r>
      <w:r>
        <w:rPr>
          <w:rFonts w:hint="eastAsia" w:ascii="宋体" w:hAnsi="宋体" w:cs="宋体"/>
          <w:color w:val="000000" w:themeColor="text1"/>
          <w:kern w:val="0"/>
          <w:szCs w:val="21"/>
          <w:highlight w:val="none"/>
          <w:lang w:eastAsia="zh-Hans"/>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基地责任人按照实际种植情况，实时填写纸质的《种植档案》，并定期的去基地胡柚溯源信息网络采集站点，将纸质《种植档案》上的信息，转录至追溯平台的溯源信息管理系统内。</w:t>
      </w:r>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移动</w:t>
      </w:r>
      <w:r>
        <w:rPr>
          <w:rFonts w:ascii="宋体" w:hAnsi="宋体" w:cs="宋体"/>
          <w:color w:val="000000" w:themeColor="text1"/>
          <w:kern w:val="0"/>
          <w:szCs w:val="21"/>
          <w:highlight w:val="none"/>
          <w14:textFill>
            <w14:solidFill>
              <w14:schemeClr w14:val="tx1"/>
            </w14:solidFill>
          </w14:textFill>
        </w:rPr>
        <w:t>APP</w:t>
      </w:r>
      <w:r>
        <w:rPr>
          <w:rFonts w:hint="eastAsia" w:ascii="宋体" w:hAnsi="宋体" w:cs="宋体"/>
          <w:color w:val="000000" w:themeColor="text1"/>
          <w:kern w:val="0"/>
          <w:szCs w:val="21"/>
          <w:highlight w:val="none"/>
          <w14:textFill>
            <w14:solidFill>
              <w14:schemeClr w14:val="tx1"/>
            </w14:solidFill>
          </w14:textFill>
        </w:rPr>
        <w:t>录入：基地负责人也可通过移动终端设备（前期先安装好移动</w:t>
      </w:r>
      <w:r>
        <w:rPr>
          <w:rFonts w:ascii="宋体" w:hAnsi="宋体" w:cs="宋体"/>
          <w:color w:val="000000" w:themeColor="text1"/>
          <w:kern w:val="0"/>
          <w:szCs w:val="21"/>
          <w:highlight w:val="none"/>
          <w14:textFill>
            <w14:solidFill>
              <w14:schemeClr w14:val="tx1"/>
            </w14:solidFill>
          </w14:textFill>
        </w:rPr>
        <w:t>APP</w:t>
      </w:r>
      <w:r>
        <w:rPr>
          <w:rFonts w:hint="eastAsia" w:ascii="宋体" w:hAnsi="宋体" w:cs="宋体"/>
          <w:color w:val="000000" w:themeColor="text1"/>
          <w:kern w:val="0"/>
          <w:szCs w:val="21"/>
          <w:highlight w:val="none"/>
          <w14:textFill>
            <w14:solidFill>
              <w14:schemeClr w14:val="tx1"/>
            </w14:solidFill>
          </w14:textFill>
        </w:rPr>
        <w:t>）对溯源信息进行现场采集，直接将溯源信息上传至</w:t>
      </w:r>
      <w:r>
        <w:rPr>
          <w:rFonts w:hint="eastAsia" w:ascii="宋体" w:hAnsi="宋体" w:cs="宋体"/>
          <w:color w:val="000000" w:themeColor="text1"/>
          <w:kern w:val="0"/>
          <w:szCs w:val="21"/>
          <w:highlight w:val="none"/>
          <w:lang w:eastAsia="zh-Hans"/>
          <w14:textFill>
            <w14:solidFill>
              <w14:schemeClr w14:val="tx1"/>
            </w14:solidFill>
          </w14:textFill>
        </w:rPr>
        <w:t>常山</w:t>
      </w:r>
      <w:r>
        <w:rPr>
          <w:rFonts w:hint="eastAsia" w:ascii="宋体" w:hAnsi="宋体" w:cs="宋体"/>
          <w:color w:val="000000" w:themeColor="text1"/>
          <w:kern w:val="0"/>
          <w:szCs w:val="21"/>
          <w:highlight w:val="none"/>
          <w14:textFill>
            <w14:solidFill>
              <w14:schemeClr w14:val="tx1"/>
            </w14:solidFill>
          </w14:textFill>
        </w:rPr>
        <w:t>胡柚</w:t>
      </w:r>
      <w:r>
        <w:rPr>
          <w:rFonts w:hint="eastAsia" w:ascii="宋体" w:hAnsi="宋体" w:cs="宋体"/>
          <w:color w:val="000000" w:themeColor="text1"/>
          <w:kern w:val="0"/>
          <w:szCs w:val="21"/>
          <w:highlight w:val="none"/>
          <w:lang w:eastAsia="zh-Hans"/>
          <w14:textFill>
            <w14:solidFill>
              <w14:schemeClr w14:val="tx1"/>
            </w14:solidFill>
          </w14:textFill>
        </w:rPr>
        <w:t>全程溯源管理系统</w:t>
      </w:r>
      <w:r>
        <w:rPr>
          <w:rFonts w:hint="eastAsia" w:ascii="宋体" w:hAnsi="宋体" w:cs="宋体"/>
          <w:color w:val="000000" w:themeColor="text1"/>
          <w:kern w:val="0"/>
          <w:szCs w:val="21"/>
          <w:highlight w:val="none"/>
          <w14:textFill>
            <w14:solidFill>
              <w14:schemeClr w14:val="tx1"/>
            </w14:solidFill>
          </w14:textFill>
        </w:rPr>
        <w:t>。</w:t>
      </w:r>
    </w:p>
    <w:p>
      <w:pPr>
        <w:spacing w:line="400" w:lineRule="atLeast"/>
        <w:ind w:firstLine="424"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lang w:eastAsia="zh-Hans"/>
          <w14:textFill>
            <w14:solidFill>
              <w14:schemeClr w14:val="tx1"/>
            </w14:solidFill>
          </w14:textFill>
        </w:rPr>
        <w:t>b.</w:t>
      </w:r>
      <w:r>
        <w:rPr>
          <w:rFonts w:hint="eastAsia" w:ascii="宋体" w:hAnsi="宋体" w:cs="宋体"/>
          <w:color w:val="000000" w:themeColor="text1"/>
          <w:szCs w:val="21"/>
          <w:highlight w:val="none"/>
          <w14:textFill>
            <w14:solidFill>
              <w14:schemeClr w14:val="tx1"/>
            </w14:solidFill>
          </w14:textFill>
        </w:rPr>
        <w:t>环节信息</w:t>
      </w:r>
    </w:p>
    <w:p>
      <w:pPr>
        <w:spacing w:line="400" w:lineRule="atLeas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基于</w:t>
      </w:r>
      <w:r>
        <w:rPr>
          <w:rFonts w:hint="eastAsia" w:ascii="宋体" w:hAnsi="宋体" w:cs="宋体"/>
          <w:color w:val="000000" w:themeColor="text1"/>
          <w:kern w:val="0"/>
          <w:szCs w:val="21"/>
          <w:highlight w:val="none"/>
          <w:lang w:eastAsia="zh-Hans"/>
          <w14:textFill>
            <w14:solidFill>
              <w14:schemeClr w14:val="tx1"/>
            </w14:solidFill>
          </w14:textFill>
        </w:rPr>
        <w:t>胡柚</w:t>
      </w:r>
      <w:r>
        <w:rPr>
          <w:rFonts w:hint="eastAsia" w:ascii="宋体" w:hAnsi="宋体" w:cs="宋体"/>
          <w:color w:val="000000" w:themeColor="text1"/>
          <w:szCs w:val="21"/>
          <w:highlight w:val="none"/>
          <w14:textFill>
            <w14:solidFill>
              <w14:schemeClr w14:val="tx1"/>
            </w14:solidFill>
          </w14:textFill>
        </w:rPr>
        <w:t>种植过程，具体包括种植基地管理、施肥管理、整枝修剪管理、病虫害防治管理等环节信息。</w:t>
      </w:r>
    </w:p>
    <w:p>
      <w:pPr>
        <w:widowControl/>
        <w:spacing w:line="400" w:lineRule="atLeas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lang w:bidi="he-IL"/>
          <w14:textFill>
            <w14:solidFill>
              <w14:schemeClr w14:val="tx1"/>
            </w14:solidFill>
          </w14:textFill>
        </w:rPr>
        <w:t>种植基地管理</w:t>
      </w:r>
      <w:r>
        <w:rPr>
          <w:rFonts w:hint="eastAsia" w:ascii="宋体" w:hAnsi="宋体" w:cs="宋体"/>
          <w:bCs/>
          <w:color w:val="000000" w:themeColor="text1"/>
          <w:kern w:val="0"/>
          <w:szCs w:val="21"/>
          <w:highlight w:val="none"/>
          <w:lang w:eastAsia="zh-Hans" w:bidi="he-IL"/>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对种植基地位置、种植面积、负责人等信息进行记录。</w:t>
      </w:r>
    </w:p>
    <w:p>
      <w:pPr>
        <w:widowControl/>
        <w:spacing w:line="400" w:lineRule="atLeas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lang w:bidi="he-IL"/>
          <w14:textFill>
            <w14:solidFill>
              <w14:schemeClr w14:val="tx1"/>
            </w14:solidFill>
          </w14:textFill>
        </w:rPr>
        <w:t>施肥管理</w:t>
      </w:r>
      <w:r>
        <w:rPr>
          <w:rFonts w:hint="eastAsia" w:ascii="宋体" w:hAnsi="宋体" w:cs="宋体"/>
          <w:bCs/>
          <w:color w:val="000000" w:themeColor="text1"/>
          <w:kern w:val="0"/>
          <w:szCs w:val="21"/>
          <w:highlight w:val="none"/>
          <w:lang w:eastAsia="zh-Hans" w:bidi="he-IL"/>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对施肥环节信息进行记录，记录内容包括肥料名称、施肥时间、施肥方式、施肥过程图片等内容。</w:t>
      </w:r>
    </w:p>
    <w:p>
      <w:pPr>
        <w:widowControl/>
        <w:spacing w:line="400" w:lineRule="atLeas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lang w:bidi="he-IL"/>
          <w14:textFill>
            <w14:solidFill>
              <w14:schemeClr w14:val="tx1"/>
            </w14:solidFill>
          </w14:textFill>
        </w:rPr>
        <w:t>整枝修剪管理</w:t>
      </w:r>
      <w:r>
        <w:rPr>
          <w:rFonts w:hint="eastAsia" w:ascii="宋体" w:hAnsi="宋体" w:cs="宋体"/>
          <w:bCs/>
          <w:color w:val="000000" w:themeColor="text1"/>
          <w:kern w:val="0"/>
          <w:szCs w:val="21"/>
          <w:highlight w:val="none"/>
          <w:lang w:eastAsia="zh-Hans" w:bidi="he-IL"/>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修剪过程是</w:t>
      </w:r>
      <w:r>
        <w:rPr>
          <w:rFonts w:hint="eastAsia" w:ascii="宋体" w:hAnsi="宋体" w:cs="宋体"/>
          <w:color w:val="000000" w:themeColor="text1"/>
          <w:kern w:val="0"/>
          <w:szCs w:val="21"/>
          <w:highlight w:val="none"/>
          <w:lang w:eastAsia="zh-Hans"/>
          <w14:textFill>
            <w14:solidFill>
              <w14:schemeClr w14:val="tx1"/>
            </w14:solidFill>
          </w14:textFill>
        </w:rPr>
        <w:t>胡柚</w:t>
      </w:r>
      <w:r>
        <w:rPr>
          <w:rFonts w:hint="eastAsia" w:ascii="宋体" w:hAnsi="宋体" w:cs="宋体"/>
          <w:color w:val="000000" w:themeColor="text1"/>
          <w:szCs w:val="21"/>
          <w:highlight w:val="none"/>
          <w14:textFill>
            <w14:solidFill>
              <w14:schemeClr w14:val="tx1"/>
            </w14:solidFill>
          </w14:textFill>
        </w:rPr>
        <w:t>种植过程中的重要环节。在</w:t>
      </w:r>
      <w:r>
        <w:rPr>
          <w:rFonts w:hint="eastAsia" w:ascii="宋体" w:hAnsi="宋体" w:cs="宋体"/>
          <w:color w:val="000000" w:themeColor="text1"/>
          <w:kern w:val="0"/>
          <w:szCs w:val="21"/>
          <w:highlight w:val="none"/>
          <w:lang w:eastAsia="zh-Hans"/>
          <w14:textFill>
            <w14:solidFill>
              <w14:schemeClr w14:val="tx1"/>
            </w14:solidFill>
          </w14:textFill>
        </w:rPr>
        <w:t>胡柚</w:t>
      </w:r>
      <w:r>
        <w:rPr>
          <w:rFonts w:hint="eastAsia" w:ascii="宋体" w:hAnsi="宋体" w:cs="宋体"/>
          <w:color w:val="000000" w:themeColor="text1"/>
          <w:szCs w:val="21"/>
          <w:highlight w:val="none"/>
          <w14:textFill>
            <w14:solidFill>
              <w14:schemeClr w14:val="tx1"/>
            </w14:solidFill>
          </w14:textFill>
        </w:rPr>
        <w:t>修剪过程中，需要采集记录相关数据信息，主要包括修剪时间、修剪方式、修剪频率、修剪人员等方面。</w:t>
      </w:r>
    </w:p>
    <w:p>
      <w:pPr>
        <w:widowControl/>
        <w:spacing w:line="400" w:lineRule="atLeas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lang w:bidi="he-IL"/>
          <w14:textFill>
            <w14:solidFill>
              <w14:schemeClr w14:val="tx1"/>
            </w14:solidFill>
          </w14:textFill>
        </w:rPr>
        <w:t>病害防治管理</w:t>
      </w:r>
      <w:r>
        <w:rPr>
          <w:rFonts w:hint="eastAsia" w:ascii="宋体" w:hAnsi="宋体" w:cs="宋体"/>
          <w:bCs/>
          <w:color w:val="000000" w:themeColor="text1"/>
          <w:kern w:val="0"/>
          <w:szCs w:val="21"/>
          <w:highlight w:val="none"/>
          <w:lang w:eastAsia="zh-Hans" w:bidi="he-IL"/>
          <w14:textFill>
            <w14:solidFill>
              <w14:schemeClr w14:val="tx1"/>
            </w14:solidFill>
          </w14:textFill>
        </w:rPr>
        <w:t>：</w:t>
      </w:r>
      <w:r>
        <w:rPr>
          <w:rFonts w:hint="eastAsia" w:ascii="宋体" w:hAnsi="宋体" w:cs="宋体"/>
          <w:color w:val="000000" w:themeColor="text1"/>
          <w:kern w:val="0"/>
          <w:szCs w:val="21"/>
          <w:highlight w:val="none"/>
          <w:lang w:eastAsia="zh-Hans"/>
          <w14:textFill>
            <w14:solidFill>
              <w14:schemeClr w14:val="tx1"/>
            </w14:solidFill>
          </w14:textFill>
        </w:rPr>
        <w:t>胡柚</w:t>
      </w:r>
      <w:r>
        <w:rPr>
          <w:rFonts w:hint="eastAsia" w:ascii="宋体" w:hAnsi="宋体" w:cs="宋体"/>
          <w:color w:val="000000" w:themeColor="text1"/>
          <w:szCs w:val="21"/>
          <w:highlight w:val="none"/>
          <w14:textFill>
            <w14:solidFill>
              <w14:schemeClr w14:val="tx1"/>
            </w14:solidFill>
          </w14:textFill>
        </w:rPr>
        <w:t>种植过程中需采取一定的手段对病害、虫害等进行防治。病害防治管理模块能够对病害名称、施药日期、施药方式、用量等内容进行记录。</w:t>
      </w:r>
    </w:p>
    <w:p>
      <w:pPr>
        <w:spacing w:line="560" w:lineRule="exact"/>
        <w:ind w:firstLine="424" w:firstLineChars="200"/>
        <w:rPr>
          <w:rFonts w:ascii="宋体" w:hAnsi="宋体" w:cs="宋体"/>
          <w:b/>
          <w:bCs/>
          <w:color w:val="000000" w:themeColor="text1"/>
          <w:kern w:val="0"/>
          <w:szCs w:val="21"/>
          <w:highlight w:val="none"/>
          <w14:textFill>
            <w14:solidFill>
              <w14:schemeClr w14:val="tx1"/>
            </w14:solidFill>
          </w14:textFill>
        </w:rPr>
      </w:pPr>
      <w:bookmarkStart w:id="84" w:name="_Toc12602"/>
      <w:bookmarkStart w:id="85" w:name="_Toc29550"/>
      <w:bookmarkStart w:id="86" w:name="_Toc9711"/>
      <w:bookmarkStart w:id="87" w:name="_Toc1301"/>
      <w:bookmarkStart w:id="88" w:name="_Toc20163"/>
      <w:bookmarkStart w:id="89" w:name="_Toc4358"/>
      <w:bookmarkStart w:id="90" w:name="_Toc30716"/>
      <w:bookmarkStart w:id="91" w:name="_Toc23476"/>
      <w:bookmarkStart w:id="92" w:name="_Toc15565"/>
      <w:r>
        <w:rPr>
          <w:rFonts w:hint="eastAsia" w:ascii="宋体" w:hAnsi="宋体" w:cs="宋体"/>
          <w:b/>
          <w:bCs/>
          <w:color w:val="000000" w:themeColor="text1"/>
          <w:kern w:val="0"/>
          <w:szCs w:val="21"/>
          <w:highlight w:val="none"/>
          <w:lang w:eastAsia="zh-Hans"/>
          <w14:textFill>
            <w14:solidFill>
              <w14:schemeClr w14:val="tx1"/>
            </w14:solidFill>
          </w14:textFill>
        </w:rPr>
        <w:t>②</w:t>
      </w:r>
      <w:r>
        <w:rPr>
          <w:rFonts w:hint="eastAsia" w:ascii="宋体" w:hAnsi="宋体" w:cs="宋体"/>
          <w:b/>
          <w:bCs/>
          <w:color w:val="000000" w:themeColor="text1"/>
          <w:kern w:val="0"/>
          <w:szCs w:val="21"/>
          <w:highlight w:val="none"/>
          <w14:textFill>
            <w14:solidFill>
              <w14:schemeClr w14:val="tx1"/>
            </w14:solidFill>
          </w14:textFill>
        </w:rPr>
        <w:t>采摘管理</w:t>
      </w:r>
      <w:bookmarkEnd w:id="84"/>
      <w:bookmarkEnd w:id="85"/>
      <w:bookmarkEnd w:id="86"/>
      <w:bookmarkEnd w:id="87"/>
      <w:bookmarkEnd w:id="88"/>
      <w:bookmarkEnd w:id="89"/>
      <w:bookmarkEnd w:id="90"/>
      <w:bookmarkEnd w:id="91"/>
      <w:bookmarkEnd w:id="92"/>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采摘管理主要是确定采摘过程中采摘的时间、数量、方式（人工或机械）等信息，保证在产品溯源的过程中，能够查询到产品的采摘信息。</w:t>
      </w:r>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首先，种植基地的采摘员工采摘，特定区域（种植过程相同或统一划定的管辖区域）内，已成熟的同一批次的</w:t>
      </w:r>
      <w:r>
        <w:rPr>
          <w:rFonts w:hint="eastAsia" w:ascii="宋体" w:hAnsi="宋体" w:cs="宋体"/>
          <w:color w:val="000000" w:themeColor="text1"/>
          <w:kern w:val="0"/>
          <w:szCs w:val="21"/>
          <w:highlight w:val="none"/>
          <w:lang w:eastAsia="zh-Hans"/>
          <w14:textFill>
            <w14:solidFill>
              <w14:schemeClr w14:val="tx1"/>
            </w14:solidFill>
          </w14:textFill>
        </w:rPr>
        <w:t>胡柚</w:t>
      </w:r>
      <w:r>
        <w:rPr>
          <w:rFonts w:hint="eastAsia" w:ascii="宋体" w:hAnsi="宋体" w:cs="宋体"/>
          <w:color w:val="000000" w:themeColor="text1"/>
          <w:kern w:val="0"/>
          <w:szCs w:val="21"/>
          <w:highlight w:val="none"/>
          <w14:textFill>
            <w14:solidFill>
              <w14:schemeClr w14:val="tx1"/>
            </w14:solidFill>
          </w14:textFill>
        </w:rPr>
        <w:t>产品，将其放入流转箱内。接着，采摘员工使用手持式数据读写终端，使用自己的用户名和密码登陆追溯系统，进入该基地胡柚产品的采摘信息记录界面：用手持式数据终端扫描流转箱上的</w:t>
      </w:r>
      <w:r>
        <w:rPr>
          <w:rFonts w:ascii="宋体" w:hAnsi="宋体" w:cs="宋体"/>
          <w:color w:val="000000" w:themeColor="text1"/>
          <w:kern w:val="0"/>
          <w:szCs w:val="21"/>
          <w:highlight w:val="none"/>
          <w14:textFill>
            <w14:solidFill>
              <w14:schemeClr w14:val="tx1"/>
            </w14:solidFill>
          </w14:textFill>
        </w:rPr>
        <w:t>RFID</w:t>
      </w:r>
      <w:r>
        <w:rPr>
          <w:rFonts w:hint="eastAsia" w:ascii="宋体" w:hAnsi="宋体" w:cs="宋体"/>
          <w:color w:val="000000" w:themeColor="text1"/>
          <w:kern w:val="0"/>
          <w:szCs w:val="21"/>
          <w:highlight w:val="none"/>
          <w14:textFill>
            <w14:solidFill>
              <w14:schemeClr w14:val="tx1"/>
            </w14:solidFill>
          </w14:textFill>
        </w:rPr>
        <w:t>标签，将</w:t>
      </w:r>
      <w:r>
        <w:rPr>
          <w:rFonts w:ascii="宋体" w:hAnsi="宋体" w:cs="宋体"/>
          <w:color w:val="000000" w:themeColor="text1"/>
          <w:kern w:val="0"/>
          <w:szCs w:val="21"/>
          <w:highlight w:val="none"/>
          <w14:textFill>
            <w14:solidFill>
              <w14:schemeClr w14:val="tx1"/>
            </w14:solidFill>
          </w14:textFill>
        </w:rPr>
        <w:t>RFID</w:t>
      </w:r>
      <w:r>
        <w:rPr>
          <w:rFonts w:hint="eastAsia" w:ascii="宋体" w:hAnsi="宋体" w:cs="宋体"/>
          <w:color w:val="000000" w:themeColor="text1"/>
          <w:kern w:val="0"/>
          <w:szCs w:val="21"/>
          <w:highlight w:val="none"/>
          <w14:textFill>
            <w14:solidFill>
              <w14:schemeClr w14:val="tx1"/>
            </w14:solidFill>
          </w14:textFill>
        </w:rPr>
        <w:t>号录入溯源信息管理系统，实现流转箱与基地、</w:t>
      </w:r>
      <w:r>
        <w:rPr>
          <w:rFonts w:hint="eastAsia" w:ascii="宋体" w:hAnsi="宋体" w:cs="宋体"/>
          <w:color w:val="000000" w:themeColor="text1"/>
          <w:kern w:val="0"/>
          <w:szCs w:val="21"/>
          <w:highlight w:val="none"/>
          <w:lang w:eastAsia="zh-Hans"/>
          <w14:textFill>
            <w14:solidFill>
              <w14:schemeClr w14:val="tx1"/>
            </w14:solidFill>
          </w14:textFill>
        </w:rPr>
        <w:t>胡柚</w:t>
      </w:r>
      <w:r>
        <w:rPr>
          <w:rFonts w:hint="eastAsia" w:ascii="宋体" w:hAnsi="宋体" w:cs="宋体"/>
          <w:color w:val="000000" w:themeColor="text1"/>
          <w:kern w:val="0"/>
          <w:szCs w:val="21"/>
          <w:highlight w:val="none"/>
          <w14:textFill>
            <w14:solidFill>
              <w14:schemeClr w14:val="tx1"/>
            </w14:solidFill>
          </w14:textFill>
        </w:rPr>
        <w:t>批次的关联；并在在溯源信息管理系统内记录本次采摘阶段的质量信息</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包含采摘人员、盛放工具、套袋信息、重量信息等）。溯源信息形式包括文字、现场照片、现场视频等。</w:t>
      </w:r>
    </w:p>
    <w:p>
      <w:pPr>
        <w:widowControl/>
        <w:spacing w:line="400" w:lineRule="atLeast"/>
        <w:ind w:firstLine="424" w:firstLineChars="200"/>
        <w:rPr>
          <w:rFonts w:ascii="宋体" w:hAnsi="宋体" w:cs="宋体"/>
          <w:b/>
          <w:bCs/>
          <w:color w:val="000000" w:themeColor="text1"/>
          <w:kern w:val="0"/>
          <w:szCs w:val="21"/>
          <w:highlight w:val="none"/>
          <w14:textFill>
            <w14:solidFill>
              <w14:schemeClr w14:val="tx1"/>
            </w14:solidFill>
          </w14:textFill>
        </w:rPr>
      </w:pPr>
      <w:bookmarkStart w:id="93" w:name="_Toc597"/>
      <w:bookmarkStart w:id="94" w:name="_Toc16634"/>
      <w:bookmarkStart w:id="95" w:name="_Toc16955"/>
      <w:bookmarkStart w:id="96" w:name="_Toc27846"/>
      <w:bookmarkStart w:id="97" w:name="_Toc929"/>
      <w:bookmarkStart w:id="98" w:name="_Toc32070"/>
      <w:bookmarkStart w:id="99" w:name="_Toc29326"/>
      <w:bookmarkStart w:id="100" w:name="_Toc32103"/>
      <w:bookmarkStart w:id="101" w:name="_Toc30016"/>
      <w:r>
        <w:rPr>
          <w:rFonts w:hint="eastAsia" w:ascii="宋体" w:hAnsi="宋体" w:cs="宋体"/>
          <w:b/>
          <w:bCs/>
          <w:color w:val="000000" w:themeColor="text1"/>
          <w:kern w:val="0"/>
          <w:szCs w:val="21"/>
          <w:highlight w:val="none"/>
          <w:lang w:eastAsia="zh-Hans"/>
          <w14:textFill>
            <w14:solidFill>
              <w14:schemeClr w14:val="tx1"/>
            </w14:solidFill>
          </w14:textFill>
        </w:rPr>
        <w:t>③</w:t>
      </w:r>
      <w:r>
        <w:rPr>
          <w:rFonts w:hint="eastAsia" w:ascii="宋体" w:hAnsi="宋体" w:cs="宋体"/>
          <w:b/>
          <w:bCs/>
          <w:color w:val="000000" w:themeColor="text1"/>
          <w:kern w:val="0"/>
          <w:szCs w:val="21"/>
          <w:highlight w:val="none"/>
          <w14:textFill>
            <w14:solidFill>
              <w14:schemeClr w14:val="tx1"/>
            </w14:solidFill>
          </w14:textFill>
        </w:rPr>
        <w:t>流转管理</w:t>
      </w:r>
      <w:bookmarkEnd w:id="93"/>
      <w:bookmarkEnd w:id="94"/>
      <w:bookmarkEnd w:id="95"/>
      <w:bookmarkEnd w:id="96"/>
      <w:bookmarkEnd w:id="97"/>
      <w:bookmarkEnd w:id="98"/>
      <w:bookmarkEnd w:id="99"/>
      <w:bookmarkEnd w:id="100"/>
      <w:bookmarkEnd w:id="101"/>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采摘阶段的溯源信息记录完成后，将采摘的</w:t>
      </w:r>
      <w:r>
        <w:rPr>
          <w:rFonts w:hint="eastAsia" w:ascii="宋体" w:hAnsi="宋体" w:cs="宋体"/>
          <w:color w:val="000000" w:themeColor="text1"/>
          <w:kern w:val="0"/>
          <w:szCs w:val="21"/>
          <w:highlight w:val="none"/>
          <w:lang w:eastAsia="zh-Hans"/>
          <w14:textFill>
            <w14:solidFill>
              <w14:schemeClr w14:val="tx1"/>
            </w14:solidFill>
          </w14:textFill>
        </w:rPr>
        <w:t>胡柚</w:t>
      </w:r>
      <w:r>
        <w:rPr>
          <w:rFonts w:hint="eastAsia" w:ascii="宋体" w:hAnsi="宋体" w:cs="宋体"/>
          <w:color w:val="000000" w:themeColor="text1"/>
          <w:kern w:val="0"/>
          <w:szCs w:val="21"/>
          <w:highlight w:val="none"/>
          <w14:textFill>
            <w14:solidFill>
              <w14:schemeClr w14:val="tx1"/>
            </w14:solidFill>
          </w14:textFill>
        </w:rPr>
        <w:t>果实运送至加工车间</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加工企业。使用手持式数据读写终端，使用自己的用户名和密码登陆追溯系统，进入该基地</w:t>
      </w:r>
      <w:r>
        <w:rPr>
          <w:rFonts w:hint="eastAsia" w:ascii="宋体" w:hAnsi="宋体" w:cs="宋体"/>
          <w:color w:val="000000" w:themeColor="text1"/>
          <w:kern w:val="0"/>
          <w:szCs w:val="21"/>
          <w:highlight w:val="none"/>
          <w:lang w:eastAsia="zh-Hans"/>
          <w14:textFill>
            <w14:solidFill>
              <w14:schemeClr w14:val="tx1"/>
            </w14:solidFill>
          </w14:textFill>
        </w:rPr>
        <w:t>胡柚</w:t>
      </w:r>
      <w:r>
        <w:rPr>
          <w:rFonts w:hint="eastAsia" w:ascii="宋体" w:hAnsi="宋体" w:cs="宋体"/>
          <w:color w:val="000000" w:themeColor="text1"/>
          <w:kern w:val="0"/>
          <w:szCs w:val="21"/>
          <w:highlight w:val="none"/>
          <w14:textFill>
            <w14:solidFill>
              <w14:schemeClr w14:val="tx1"/>
            </w14:solidFill>
          </w14:textFill>
        </w:rPr>
        <w:t>产品的流转信息记录界面：用手持式数据终端扫描流转箱上的</w:t>
      </w:r>
      <w:r>
        <w:rPr>
          <w:rFonts w:ascii="宋体" w:hAnsi="宋体" w:cs="宋体"/>
          <w:color w:val="000000" w:themeColor="text1"/>
          <w:kern w:val="0"/>
          <w:szCs w:val="21"/>
          <w:highlight w:val="none"/>
          <w14:textFill>
            <w14:solidFill>
              <w14:schemeClr w14:val="tx1"/>
            </w14:solidFill>
          </w14:textFill>
        </w:rPr>
        <w:t>RFID</w:t>
      </w:r>
      <w:r>
        <w:rPr>
          <w:rFonts w:hint="eastAsia" w:ascii="宋体" w:hAnsi="宋体" w:cs="宋体"/>
          <w:color w:val="000000" w:themeColor="text1"/>
          <w:kern w:val="0"/>
          <w:szCs w:val="21"/>
          <w:highlight w:val="none"/>
          <w14:textFill>
            <w14:solidFill>
              <w14:schemeClr w14:val="tx1"/>
            </w14:solidFill>
          </w14:textFill>
        </w:rPr>
        <w:t>标签，将</w:t>
      </w:r>
      <w:r>
        <w:rPr>
          <w:rFonts w:ascii="宋体" w:hAnsi="宋体" w:cs="宋体"/>
          <w:color w:val="000000" w:themeColor="text1"/>
          <w:kern w:val="0"/>
          <w:szCs w:val="21"/>
          <w:highlight w:val="none"/>
          <w14:textFill>
            <w14:solidFill>
              <w14:schemeClr w14:val="tx1"/>
            </w14:solidFill>
          </w14:textFill>
        </w:rPr>
        <w:t>RFID</w:t>
      </w:r>
      <w:r>
        <w:rPr>
          <w:rFonts w:hint="eastAsia" w:ascii="宋体" w:hAnsi="宋体" w:cs="宋体"/>
          <w:color w:val="000000" w:themeColor="text1"/>
          <w:kern w:val="0"/>
          <w:szCs w:val="21"/>
          <w:highlight w:val="none"/>
          <w14:textFill>
            <w14:solidFill>
              <w14:schemeClr w14:val="tx1"/>
            </w14:solidFill>
          </w14:textFill>
        </w:rPr>
        <w:t>号录入溯源信息管理系统，实现流转箱与基地、产品批次的关联；并在在溯源信息管理系统内记录本次流转阶段的质量信息</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包含运输工具、运输时间、运输人员等）。</w:t>
      </w:r>
    </w:p>
    <w:p>
      <w:pPr>
        <w:widowControl/>
        <w:spacing w:line="400" w:lineRule="atLeast"/>
        <w:ind w:firstLine="424" w:firstLineChars="200"/>
        <w:rPr>
          <w:rFonts w:ascii="宋体" w:hAnsi="宋体" w:cs="宋体"/>
          <w:b/>
          <w:bCs/>
          <w:color w:val="000000" w:themeColor="text1"/>
          <w:kern w:val="0"/>
          <w:szCs w:val="21"/>
          <w:highlight w:val="none"/>
          <w14:textFill>
            <w14:solidFill>
              <w14:schemeClr w14:val="tx1"/>
            </w14:solidFill>
          </w14:textFill>
        </w:rPr>
      </w:pPr>
      <w:bookmarkStart w:id="102" w:name="_Toc5820"/>
      <w:bookmarkStart w:id="103" w:name="_Toc15689"/>
      <w:bookmarkStart w:id="104" w:name="_Toc15411"/>
      <w:bookmarkStart w:id="105" w:name="_Toc13819"/>
      <w:bookmarkStart w:id="106" w:name="_Toc17180"/>
      <w:bookmarkStart w:id="107" w:name="_Toc3112"/>
      <w:bookmarkStart w:id="108" w:name="_Toc31903"/>
      <w:bookmarkStart w:id="109" w:name="_Toc2104"/>
      <w:bookmarkStart w:id="110" w:name="_Toc28216"/>
      <w:r>
        <w:rPr>
          <w:rFonts w:hint="eastAsia" w:ascii="宋体" w:hAnsi="宋体" w:cs="宋体"/>
          <w:b/>
          <w:bCs/>
          <w:color w:val="000000" w:themeColor="text1"/>
          <w:kern w:val="0"/>
          <w:szCs w:val="21"/>
          <w:highlight w:val="none"/>
          <w:lang w:eastAsia="zh-Hans"/>
          <w14:textFill>
            <w14:solidFill>
              <w14:schemeClr w14:val="tx1"/>
            </w14:solidFill>
          </w14:textFill>
        </w:rPr>
        <w:t>④</w:t>
      </w:r>
      <w:r>
        <w:rPr>
          <w:rFonts w:hint="eastAsia" w:ascii="宋体" w:hAnsi="宋体" w:cs="宋体"/>
          <w:b/>
          <w:bCs/>
          <w:color w:val="000000" w:themeColor="text1"/>
          <w:kern w:val="0"/>
          <w:szCs w:val="21"/>
          <w:highlight w:val="none"/>
          <w14:textFill>
            <w14:solidFill>
              <w14:schemeClr w14:val="tx1"/>
            </w14:solidFill>
          </w14:textFill>
        </w:rPr>
        <w:t>检测信息管理</w:t>
      </w:r>
      <w:bookmarkEnd w:id="102"/>
      <w:bookmarkEnd w:id="103"/>
      <w:bookmarkEnd w:id="104"/>
      <w:bookmarkEnd w:id="105"/>
      <w:bookmarkEnd w:id="106"/>
      <w:bookmarkEnd w:id="107"/>
      <w:bookmarkEnd w:id="108"/>
      <w:bookmarkEnd w:id="109"/>
      <w:bookmarkEnd w:id="110"/>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实现对该批次产品从基地生产到市场流通过程中的质量检测数据的采集，并与该批次进行关联，并最终通过溯源查询展示给消费者。</w:t>
      </w:r>
    </w:p>
    <w:p>
      <w:pPr>
        <w:widowControl/>
        <w:spacing w:line="400" w:lineRule="atLeast"/>
        <w:ind w:firstLine="424" w:firstLineChars="200"/>
        <w:rPr>
          <w:rFonts w:ascii="宋体" w:hAnsi="宋体" w:cs="宋体"/>
          <w:b/>
          <w:bCs/>
          <w:color w:val="000000" w:themeColor="text1"/>
          <w:kern w:val="0"/>
          <w:szCs w:val="21"/>
          <w:highlight w:val="none"/>
          <w14:textFill>
            <w14:solidFill>
              <w14:schemeClr w14:val="tx1"/>
            </w14:solidFill>
          </w14:textFill>
        </w:rPr>
      </w:pPr>
      <w:bookmarkStart w:id="111" w:name="_Toc13029"/>
      <w:bookmarkStart w:id="112" w:name="_Toc23587"/>
      <w:bookmarkStart w:id="113" w:name="_Toc24365"/>
      <w:bookmarkStart w:id="114" w:name="_Toc28683"/>
      <w:bookmarkStart w:id="115" w:name="_Toc13643"/>
      <w:bookmarkStart w:id="116" w:name="_Toc21061"/>
      <w:bookmarkStart w:id="117" w:name="_Toc21381"/>
      <w:bookmarkStart w:id="118" w:name="_Toc20812"/>
      <w:bookmarkStart w:id="119" w:name="_Toc1594"/>
      <w:bookmarkStart w:id="120" w:name="_Toc27812"/>
      <w:bookmarkStart w:id="121" w:name="_Toc895"/>
      <w:bookmarkStart w:id="122" w:name="_Toc16784"/>
      <w:bookmarkStart w:id="123" w:name="_Toc4070"/>
      <w:bookmarkStart w:id="124" w:name="_Toc2546"/>
      <w:bookmarkStart w:id="125" w:name="_Toc19613"/>
      <w:bookmarkStart w:id="126" w:name="_Toc15556"/>
      <w:r>
        <w:rPr>
          <w:rFonts w:hint="eastAsia" w:ascii="宋体" w:hAnsi="宋体" w:cs="宋体"/>
          <w:b/>
          <w:bCs/>
          <w:color w:val="000000" w:themeColor="text1"/>
          <w:kern w:val="0"/>
          <w:szCs w:val="21"/>
          <w:highlight w:val="none"/>
          <w:lang w:eastAsia="zh-Hans"/>
          <w14:textFill>
            <w14:solidFill>
              <w14:schemeClr w14:val="tx1"/>
            </w14:solidFill>
          </w14:textFill>
        </w:rPr>
        <w:t>⑤</w:t>
      </w:r>
      <w:r>
        <w:rPr>
          <w:rFonts w:hint="eastAsia" w:ascii="宋体" w:hAnsi="宋体" w:cs="宋体"/>
          <w:b/>
          <w:bCs/>
          <w:color w:val="000000" w:themeColor="text1"/>
          <w:kern w:val="0"/>
          <w:szCs w:val="21"/>
          <w:highlight w:val="none"/>
          <w14:textFill>
            <w14:solidFill>
              <w14:schemeClr w14:val="tx1"/>
            </w14:solidFill>
          </w14:textFill>
        </w:rPr>
        <w:t>仓储物流管理</w:t>
      </w:r>
      <w:bookmarkEnd w:id="111"/>
      <w:bookmarkEnd w:id="112"/>
      <w:bookmarkEnd w:id="113"/>
      <w:bookmarkEnd w:id="114"/>
      <w:bookmarkEnd w:id="115"/>
      <w:bookmarkEnd w:id="116"/>
      <w:bookmarkEnd w:id="117"/>
      <w:bookmarkEnd w:id="118"/>
      <w:bookmarkEnd w:id="119"/>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记录</w:t>
      </w:r>
      <w:r>
        <w:rPr>
          <w:rFonts w:hint="eastAsia" w:ascii="宋体" w:hAnsi="宋体" w:cs="宋体"/>
          <w:color w:val="000000" w:themeColor="text1"/>
          <w:kern w:val="0"/>
          <w:szCs w:val="21"/>
          <w:highlight w:val="none"/>
          <w:lang w:eastAsia="zh-Hans"/>
          <w14:textFill>
            <w14:solidFill>
              <w14:schemeClr w14:val="tx1"/>
            </w14:solidFill>
          </w14:textFill>
        </w:rPr>
        <w:t>胡柚</w:t>
      </w:r>
      <w:r>
        <w:rPr>
          <w:rFonts w:hint="eastAsia" w:ascii="宋体" w:hAnsi="宋体" w:cs="宋体"/>
          <w:color w:val="000000" w:themeColor="text1"/>
          <w:kern w:val="0"/>
          <w:szCs w:val="21"/>
          <w:highlight w:val="none"/>
          <w14:textFill>
            <w14:solidFill>
              <w14:schemeClr w14:val="tx1"/>
            </w14:solidFill>
          </w14:textFill>
        </w:rPr>
        <w:t>产品的仓储物流信息，包括</w:t>
      </w:r>
      <w:r>
        <w:rPr>
          <w:rFonts w:hint="eastAsia" w:ascii="宋体" w:hAnsi="宋体" w:cs="宋体"/>
          <w:color w:val="000000" w:themeColor="text1"/>
          <w:kern w:val="0"/>
          <w:szCs w:val="21"/>
          <w:highlight w:val="none"/>
          <w:lang w:eastAsia="zh-Hans"/>
          <w14:textFill>
            <w14:solidFill>
              <w14:schemeClr w14:val="tx1"/>
            </w14:solidFill>
          </w14:textFill>
        </w:rPr>
        <w:t>胡柚</w:t>
      </w:r>
      <w:r>
        <w:rPr>
          <w:rFonts w:hint="eastAsia" w:ascii="宋体" w:hAnsi="宋体" w:cs="宋体"/>
          <w:color w:val="000000" w:themeColor="text1"/>
          <w:kern w:val="0"/>
          <w:szCs w:val="21"/>
          <w:highlight w:val="none"/>
          <w14:textFill>
            <w14:solidFill>
              <w14:schemeClr w14:val="tx1"/>
            </w14:solidFill>
          </w14:textFill>
        </w:rPr>
        <w:t>产品仓储物流环节相关的溯源数据。包括储存时间、仓储温度、出入库时间等内容。</w:t>
      </w:r>
    </w:p>
    <w:p>
      <w:pPr>
        <w:widowControl/>
        <w:spacing w:line="400" w:lineRule="atLeast"/>
        <w:ind w:firstLine="424" w:firstLineChars="200"/>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lang w:eastAsia="zh-Hans"/>
          <w14:textFill>
            <w14:solidFill>
              <w14:schemeClr w14:val="tx1"/>
            </w14:solidFill>
          </w14:textFill>
        </w:rPr>
        <w:t>⑥</w:t>
      </w:r>
      <w:r>
        <w:rPr>
          <w:rFonts w:hint="eastAsia" w:ascii="宋体" w:hAnsi="宋体" w:cs="宋体"/>
          <w:b/>
          <w:bCs/>
          <w:color w:val="000000" w:themeColor="text1"/>
          <w:kern w:val="0"/>
          <w:szCs w:val="21"/>
          <w:highlight w:val="none"/>
          <w14:textFill>
            <w14:solidFill>
              <w14:schemeClr w14:val="tx1"/>
            </w14:solidFill>
          </w14:textFill>
        </w:rPr>
        <w:t>销售管理</w:t>
      </w:r>
      <w:bookmarkEnd w:id="120"/>
      <w:bookmarkEnd w:id="121"/>
      <w:bookmarkEnd w:id="122"/>
      <w:bookmarkEnd w:id="123"/>
      <w:bookmarkEnd w:id="124"/>
      <w:bookmarkEnd w:id="125"/>
      <w:bookmarkEnd w:id="126"/>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对</w:t>
      </w:r>
      <w:r>
        <w:rPr>
          <w:rFonts w:hint="eastAsia" w:ascii="宋体" w:hAnsi="宋体" w:cs="宋体"/>
          <w:color w:val="000000" w:themeColor="text1"/>
          <w:kern w:val="0"/>
          <w:szCs w:val="21"/>
          <w:highlight w:val="none"/>
          <w:lang w:eastAsia="zh-Hans"/>
          <w14:textFill>
            <w14:solidFill>
              <w14:schemeClr w14:val="tx1"/>
            </w14:solidFill>
          </w14:textFill>
        </w:rPr>
        <w:t>胡柚</w:t>
      </w:r>
      <w:r>
        <w:rPr>
          <w:rFonts w:hint="eastAsia" w:ascii="宋体" w:hAnsi="宋体" w:cs="宋体"/>
          <w:color w:val="000000" w:themeColor="text1"/>
          <w:kern w:val="0"/>
          <w:szCs w:val="21"/>
          <w:highlight w:val="none"/>
          <w14:textFill>
            <w14:solidFill>
              <w14:schemeClr w14:val="tx1"/>
            </w14:solidFill>
          </w14:textFill>
        </w:rPr>
        <w:t>产品的销售流向信息进行采集，以便在发生食品安全问题时，能及时进行产品召回或其他处置。</w:t>
      </w:r>
    </w:p>
    <w:p>
      <w:pPr>
        <w:widowControl/>
        <w:spacing w:line="400" w:lineRule="atLeast"/>
        <w:ind w:firstLine="424" w:firstLineChars="200"/>
        <w:rPr>
          <w:rFonts w:ascii="宋体" w:hAnsi="宋体" w:cs="宋体"/>
          <w:b/>
          <w:bCs/>
          <w:color w:val="000000" w:themeColor="text1"/>
          <w:kern w:val="0"/>
          <w:szCs w:val="21"/>
          <w:highlight w:val="none"/>
          <w14:textFill>
            <w14:solidFill>
              <w14:schemeClr w14:val="tx1"/>
            </w14:solidFill>
          </w14:textFill>
        </w:rPr>
      </w:pPr>
      <w:bookmarkStart w:id="127" w:name="_Toc13362"/>
      <w:bookmarkStart w:id="128" w:name="_Toc9791"/>
      <w:bookmarkStart w:id="129" w:name="_Toc544"/>
      <w:bookmarkStart w:id="130" w:name="_Toc13171"/>
      <w:bookmarkStart w:id="131" w:name="_Toc4961"/>
      <w:bookmarkStart w:id="132" w:name="_Toc5260"/>
      <w:bookmarkStart w:id="133" w:name="_Toc17974"/>
      <w:bookmarkStart w:id="134" w:name="_Toc10270"/>
      <w:bookmarkStart w:id="135" w:name="_Toc22952"/>
      <w:r>
        <w:rPr>
          <w:rFonts w:hint="eastAsia" w:ascii="宋体" w:hAnsi="宋体" w:cs="宋体"/>
          <w:b/>
          <w:bCs/>
          <w:color w:val="000000" w:themeColor="text1"/>
          <w:kern w:val="0"/>
          <w:szCs w:val="21"/>
          <w:highlight w:val="none"/>
          <w:lang w:eastAsia="zh-Hans"/>
          <w14:textFill>
            <w14:solidFill>
              <w14:schemeClr w14:val="tx1"/>
            </w14:solidFill>
          </w14:textFill>
        </w:rPr>
        <w:t>（</w:t>
      </w:r>
      <w:r>
        <w:rPr>
          <w:rFonts w:ascii="宋体" w:hAnsi="宋体" w:cs="宋体"/>
          <w:b/>
          <w:bCs/>
          <w:color w:val="000000" w:themeColor="text1"/>
          <w:kern w:val="0"/>
          <w:szCs w:val="21"/>
          <w:highlight w:val="none"/>
          <w:lang w:eastAsia="zh-Hans"/>
          <w14:textFill>
            <w14:solidFill>
              <w14:schemeClr w14:val="tx1"/>
            </w14:solidFill>
          </w14:textFill>
        </w:rPr>
        <w:t>2</w:t>
      </w:r>
      <w:r>
        <w:rPr>
          <w:rFonts w:hint="eastAsia" w:ascii="宋体" w:hAnsi="宋体" w:cs="宋体"/>
          <w:b/>
          <w:bCs/>
          <w:color w:val="000000" w:themeColor="text1"/>
          <w:kern w:val="0"/>
          <w:szCs w:val="21"/>
          <w:highlight w:val="none"/>
          <w:lang w:eastAsia="zh-Hans"/>
          <w14:textFill>
            <w14:solidFill>
              <w14:schemeClr w14:val="tx1"/>
            </w14:solidFill>
          </w14:textFill>
        </w:rPr>
        <w:t>）</w:t>
      </w:r>
      <w:r>
        <w:rPr>
          <w:rFonts w:hint="eastAsia" w:ascii="宋体" w:hAnsi="宋体" w:cs="宋体"/>
          <w:b/>
          <w:bCs/>
          <w:color w:val="000000" w:themeColor="text1"/>
          <w:kern w:val="0"/>
          <w:szCs w:val="21"/>
          <w:highlight w:val="none"/>
          <w14:textFill>
            <w14:solidFill>
              <w14:schemeClr w14:val="tx1"/>
            </w14:solidFill>
          </w14:textFill>
        </w:rPr>
        <w:t>追溯标识管理</w:t>
      </w:r>
      <w:bookmarkEnd w:id="127"/>
      <w:bookmarkEnd w:id="128"/>
      <w:bookmarkEnd w:id="129"/>
      <w:bookmarkEnd w:id="130"/>
      <w:bookmarkEnd w:id="131"/>
      <w:r>
        <w:rPr>
          <w:rFonts w:hint="eastAsia" w:ascii="宋体" w:hAnsi="宋体" w:cs="宋体"/>
          <w:b/>
          <w:bCs/>
          <w:color w:val="000000" w:themeColor="text1"/>
          <w:kern w:val="0"/>
          <w:szCs w:val="21"/>
          <w:highlight w:val="none"/>
          <w14:textFill>
            <w14:solidFill>
              <w14:schemeClr w14:val="tx1"/>
            </w14:solidFill>
          </w14:textFill>
        </w:rPr>
        <w:t>模块</w:t>
      </w:r>
      <w:bookmarkEnd w:id="132"/>
      <w:bookmarkEnd w:id="133"/>
      <w:bookmarkEnd w:id="134"/>
      <w:bookmarkEnd w:id="135"/>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规范</w:t>
      </w:r>
      <w:r>
        <w:rPr>
          <w:rFonts w:hint="eastAsia" w:ascii="宋体" w:hAnsi="宋体" w:cs="宋体"/>
          <w:color w:val="000000" w:themeColor="text1"/>
          <w:kern w:val="0"/>
          <w:szCs w:val="21"/>
          <w:highlight w:val="none"/>
          <w:lang w:eastAsia="zh-Hans"/>
          <w14:textFill>
            <w14:solidFill>
              <w14:schemeClr w14:val="tx1"/>
            </w14:solidFill>
          </w14:textFill>
        </w:rPr>
        <w:t>胡柚</w:t>
      </w:r>
      <w:r>
        <w:rPr>
          <w:rFonts w:hint="eastAsia" w:ascii="宋体" w:hAnsi="宋体" w:cs="宋体"/>
          <w:color w:val="000000" w:themeColor="text1"/>
          <w:kern w:val="0"/>
          <w:szCs w:val="21"/>
          <w:highlight w:val="none"/>
          <w14:textFill>
            <w14:solidFill>
              <w14:schemeClr w14:val="tx1"/>
            </w14:solidFill>
          </w14:textFill>
        </w:rPr>
        <w:t>追溯标识管理机制。以特点鲜明的二维码标识进行</w:t>
      </w:r>
      <w:r>
        <w:rPr>
          <w:rFonts w:hint="eastAsia" w:ascii="宋体" w:hAnsi="宋体" w:cs="宋体"/>
          <w:color w:val="000000" w:themeColor="text1"/>
          <w:kern w:val="0"/>
          <w:szCs w:val="21"/>
          <w:highlight w:val="none"/>
          <w:lang w:eastAsia="zh-Hans"/>
          <w14:textFill>
            <w14:solidFill>
              <w14:schemeClr w14:val="tx1"/>
            </w14:solidFill>
          </w14:textFill>
        </w:rPr>
        <w:t>胡柚</w:t>
      </w:r>
      <w:r>
        <w:rPr>
          <w:rFonts w:hint="eastAsia" w:ascii="宋体" w:hAnsi="宋体" w:cs="宋体"/>
          <w:color w:val="000000" w:themeColor="text1"/>
          <w:kern w:val="0"/>
          <w:szCs w:val="21"/>
          <w:highlight w:val="none"/>
          <w14:textFill>
            <w14:solidFill>
              <w14:schemeClr w14:val="tx1"/>
            </w14:solidFill>
          </w14:textFill>
        </w:rPr>
        <w:t>追溯标识统一宣传，对</w:t>
      </w:r>
      <w:r>
        <w:rPr>
          <w:rFonts w:hint="eastAsia" w:ascii="宋体" w:hAnsi="宋体" w:cs="宋体"/>
          <w:color w:val="000000" w:themeColor="text1"/>
          <w:kern w:val="0"/>
          <w:szCs w:val="21"/>
          <w:highlight w:val="none"/>
          <w:lang w:eastAsia="zh-Hans"/>
          <w14:textFill>
            <w14:solidFill>
              <w14:schemeClr w14:val="tx1"/>
            </w14:solidFill>
          </w14:textFill>
        </w:rPr>
        <w:t>胡柚</w:t>
      </w:r>
      <w:r>
        <w:rPr>
          <w:rFonts w:hint="eastAsia" w:ascii="宋体" w:hAnsi="宋体" w:cs="宋体"/>
          <w:color w:val="000000" w:themeColor="text1"/>
          <w:kern w:val="0"/>
          <w:szCs w:val="21"/>
          <w:highlight w:val="none"/>
          <w14:textFill>
            <w14:solidFill>
              <w14:schemeClr w14:val="tx1"/>
            </w14:solidFill>
          </w14:textFill>
        </w:rPr>
        <w:t>追溯标识的使用进行授权，并通过标识管理系统进行在线管理，实现对临</w:t>
      </w:r>
      <w:r>
        <w:rPr>
          <w:rFonts w:hint="eastAsia" w:ascii="宋体" w:hAnsi="宋体" w:cs="宋体"/>
          <w:color w:val="000000" w:themeColor="text1"/>
          <w:kern w:val="0"/>
          <w:szCs w:val="21"/>
          <w:highlight w:val="none"/>
          <w:lang w:eastAsia="zh-Hans"/>
          <w14:textFill>
            <w14:solidFill>
              <w14:schemeClr w14:val="tx1"/>
            </w14:solidFill>
          </w14:textFill>
        </w:rPr>
        <w:t>胡柚</w:t>
      </w:r>
      <w:r>
        <w:rPr>
          <w:rFonts w:hint="eastAsia" w:ascii="宋体" w:hAnsi="宋体" w:cs="宋体"/>
          <w:color w:val="000000" w:themeColor="text1"/>
          <w:kern w:val="0"/>
          <w:szCs w:val="21"/>
          <w:highlight w:val="none"/>
          <w14:textFill>
            <w14:solidFill>
              <w14:schemeClr w14:val="tx1"/>
            </w14:solidFill>
          </w14:textFill>
        </w:rPr>
        <w:t>防伪追溯标识的统一管理。</w:t>
      </w:r>
    </w:p>
    <w:p>
      <w:pPr>
        <w:widowControl/>
        <w:spacing w:line="400" w:lineRule="atLeast"/>
        <w:ind w:firstLine="424" w:firstLineChars="200"/>
        <w:rPr>
          <w:rFonts w:ascii="宋体" w:hAnsi="宋体" w:cs="宋体"/>
          <w:b/>
          <w:bCs/>
          <w:color w:val="000000" w:themeColor="text1"/>
          <w:kern w:val="0"/>
          <w:szCs w:val="21"/>
          <w:highlight w:val="none"/>
          <w14:textFill>
            <w14:solidFill>
              <w14:schemeClr w14:val="tx1"/>
            </w14:solidFill>
          </w14:textFill>
        </w:rPr>
      </w:pPr>
      <w:bookmarkStart w:id="136" w:name="_Toc22243"/>
      <w:bookmarkStart w:id="137" w:name="_Toc21541"/>
      <w:bookmarkStart w:id="138" w:name="_Toc17759"/>
      <w:bookmarkStart w:id="139" w:name="_Toc14913"/>
      <w:bookmarkStart w:id="140" w:name="_Toc23880"/>
      <w:bookmarkStart w:id="141" w:name="_Toc1820"/>
      <w:bookmarkStart w:id="142" w:name="_Toc380"/>
      <w:bookmarkStart w:id="143" w:name="_Toc6"/>
      <w:bookmarkStart w:id="144" w:name="_Toc14060"/>
      <w:r>
        <w:rPr>
          <w:rFonts w:hint="eastAsia" w:ascii="宋体" w:hAnsi="宋体" w:cs="宋体"/>
          <w:b/>
          <w:bCs/>
          <w:color w:val="000000" w:themeColor="text1"/>
          <w:kern w:val="0"/>
          <w:szCs w:val="21"/>
          <w:highlight w:val="none"/>
          <w:lang w:eastAsia="zh-Hans"/>
          <w14:textFill>
            <w14:solidFill>
              <w14:schemeClr w14:val="tx1"/>
            </w14:solidFill>
          </w14:textFill>
        </w:rPr>
        <w:t>①</w:t>
      </w:r>
      <w:r>
        <w:rPr>
          <w:rFonts w:hint="eastAsia" w:ascii="宋体" w:hAnsi="宋体" w:cs="宋体"/>
          <w:b/>
          <w:bCs/>
          <w:color w:val="000000" w:themeColor="text1"/>
          <w:kern w:val="0"/>
          <w:szCs w:val="21"/>
          <w:highlight w:val="none"/>
          <w14:textFill>
            <w14:solidFill>
              <w14:schemeClr w14:val="tx1"/>
            </w14:solidFill>
          </w14:textFill>
        </w:rPr>
        <w:t>标识申请</w:t>
      </w:r>
      <w:bookmarkEnd w:id="136"/>
      <w:bookmarkEnd w:id="137"/>
      <w:bookmarkEnd w:id="138"/>
      <w:bookmarkEnd w:id="139"/>
      <w:bookmarkEnd w:id="140"/>
      <w:bookmarkEnd w:id="141"/>
      <w:bookmarkEnd w:id="142"/>
      <w:bookmarkEnd w:id="143"/>
      <w:bookmarkEnd w:id="144"/>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企业用户根据企业产量确定标签数量，在系统内进行标签订单在线申请。</w:t>
      </w:r>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lang w:eastAsia="zh-Hans"/>
          <w14:textFill>
            <w14:solidFill>
              <w14:schemeClr w14:val="tx1"/>
            </w14:solidFill>
          </w14:textFill>
        </w:rPr>
        <w:t>a.</w:t>
      </w:r>
      <w:r>
        <w:rPr>
          <w:rFonts w:hint="eastAsia" w:ascii="宋体" w:hAnsi="宋体" w:cs="宋体"/>
          <w:color w:val="000000" w:themeColor="text1"/>
          <w:kern w:val="0"/>
          <w:szCs w:val="21"/>
          <w:highlight w:val="none"/>
          <w14:textFill>
            <w14:solidFill>
              <w14:schemeClr w14:val="tx1"/>
            </w14:solidFill>
          </w14:textFill>
        </w:rPr>
        <w:t>标识规格填写</w:t>
      </w:r>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企业在进行标签订购时，需提供所订购标签产品的商品名称、商品规格及样品图片，企业在本栏目内可进行商品的创建、样品照片上传、修改、删除，为企业标签订购提供基础依据，并供监管浏览和图片下载。</w:t>
      </w:r>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lang w:eastAsia="zh-Hans"/>
          <w14:textFill>
            <w14:solidFill>
              <w14:schemeClr w14:val="tx1"/>
            </w14:solidFill>
          </w14:textFill>
        </w:rPr>
        <w:t>b.</w:t>
      </w:r>
      <w:r>
        <w:rPr>
          <w:rFonts w:hint="eastAsia" w:ascii="宋体" w:hAnsi="宋体" w:cs="宋体"/>
          <w:color w:val="000000" w:themeColor="text1"/>
          <w:kern w:val="0"/>
          <w:szCs w:val="21"/>
          <w:highlight w:val="none"/>
          <w14:textFill>
            <w14:solidFill>
              <w14:schemeClr w14:val="tx1"/>
            </w14:solidFill>
          </w14:textFill>
        </w:rPr>
        <w:t>订单管理</w:t>
      </w:r>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企业用户可以添加订单，在订单下添加各类产品，并提交机构标识管理员审核。企业用户可随时查看订单处理的状态。</w:t>
      </w:r>
    </w:p>
    <w:p>
      <w:pPr>
        <w:widowControl/>
        <w:spacing w:line="400" w:lineRule="atLeast"/>
        <w:ind w:firstLine="424" w:firstLineChars="200"/>
        <w:rPr>
          <w:rFonts w:ascii="宋体" w:hAnsi="宋体" w:cs="宋体"/>
          <w:b/>
          <w:bCs/>
          <w:color w:val="000000" w:themeColor="text1"/>
          <w:kern w:val="0"/>
          <w:szCs w:val="21"/>
          <w:highlight w:val="none"/>
          <w14:textFill>
            <w14:solidFill>
              <w14:schemeClr w14:val="tx1"/>
            </w14:solidFill>
          </w14:textFill>
        </w:rPr>
      </w:pPr>
      <w:bookmarkStart w:id="145" w:name="_Toc18089"/>
      <w:bookmarkStart w:id="146" w:name="_Toc6417"/>
      <w:bookmarkStart w:id="147" w:name="_Toc21544"/>
      <w:bookmarkStart w:id="148" w:name="_Toc18064"/>
      <w:bookmarkStart w:id="149" w:name="_Toc5119"/>
      <w:bookmarkStart w:id="150" w:name="_Toc29968"/>
      <w:bookmarkStart w:id="151" w:name="_Toc21878"/>
      <w:bookmarkStart w:id="152" w:name="_Toc6442"/>
      <w:bookmarkStart w:id="153" w:name="_Toc4200"/>
      <w:r>
        <w:rPr>
          <w:rFonts w:hint="eastAsia" w:ascii="宋体" w:hAnsi="宋体" w:cs="宋体"/>
          <w:b/>
          <w:bCs/>
          <w:color w:val="000000" w:themeColor="text1"/>
          <w:kern w:val="0"/>
          <w:szCs w:val="21"/>
          <w:highlight w:val="none"/>
          <w:lang w:eastAsia="zh-Hans"/>
          <w14:textFill>
            <w14:solidFill>
              <w14:schemeClr w14:val="tx1"/>
            </w14:solidFill>
          </w14:textFill>
        </w:rPr>
        <w:t>②</w:t>
      </w:r>
      <w:r>
        <w:rPr>
          <w:rFonts w:hint="eastAsia" w:ascii="宋体" w:hAnsi="宋体" w:cs="宋体"/>
          <w:b/>
          <w:bCs/>
          <w:color w:val="000000" w:themeColor="text1"/>
          <w:kern w:val="0"/>
          <w:szCs w:val="21"/>
          <w:highlight w:val="none"/>
          <w14:textFill>
            <w14:solidFill>
              <w14:schemeClr w14:val="tx1"/>
            </w14:solidFill>
          </w14:textFill>
        </w:rPr>
        <w:t>标识审核</w:t>
      </w:r>
      <w:bookmarkEnd w:id="145"/>
      <w:bookmarkEnd w:id="146"/>
      <w:bookmarkEnd w:id="147"/>
      <w:bookmarkEnd w:id="148"/>
      <w:bookmarkEnd w:id="149"/>
      <w:bookmarkEnd w:id="150"/>
      <w:bookmarkEnd w:id="151"/>
      <w:bookmarkEnd w:id="152"/>
      <w:bookmarkEnd w:id="153"/>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lang w:eastAsia="zh-Hans"/>
          <w14:textFill>
            <w14:solidFill>
              <w14:schemeClr w14:val="tx1"/>
            </w14:solidFill>
          </w14:textFill>
        </w:rPr>
        <w:t>a.</w:t>
      </w:r>
      <w:r>
        <w:rPr>
          <w:rFonts w:hint="eastAsia" w:ascii="宋体" w:hAnsi="宋体" w:cs="宋体"/>
          <w:color w:val="000000" w:themeColor="text1"/>
          <w:kern w:val="0"/>
          <w:szCs w:val="21"/>
          <w:highlight w:val="none"/>
          <w14:textFill>
            <w14:solidFill>
              <w14:schemeClr w14:val="tx1"/>
            </w14:solidFill>
          </w14:textFill>
        </w:rPr>
        <w:t>商品规格管理</w:t>
      </w:r>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监管部门可以对商品规格进行查看。对监管下所有企业创建的商品进行浏览，并可进行图片下载，当列表内信息较多时，可根据条件进行检索。</w:t>
      </w:r>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lang w:eastAsia="zh-Hans"/>
          <w14:textFill>
            <w14:solidFill>
              <w14:schemeClr w14:val="tx1"/>
            </w14:solidFill>
          </w14:textFill>
        </w:rPr>
        <w:t>b.</w:t>
      </w:r>
      <w:r>
        <w:rPr>
          <w:rFonts w:hint="eastAsia" w:ascii="宋体" w:hAnsi="宋体" w:cs="宋体"/>
          <w:color w:val="000000" w:themeColor="text1"/>
          <w:kern w:val="0"/>
          <w:szCs w:val="21"/>
          <w:highlight w:val="none"/>
          <w14:textFill>
            <w14:solidFill>
              <w14:schemeClr w14:val="tx1"/>
            </w14:solidFill>
          </w14:textFill>
        </w:rPr>
        <w:t>订单管理</w:t>
      </w:r>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监管部门审核企业标识管理员提交的订单信息。显示企业提交后，监管分配前的所有订单列表，对企业在线提交的申请订单进行在线审核。</w:t>
      </w:r>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审核通过：指订单通过人工审核，可进入分配阶段；</w:t>
      </w:r>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审核不通过：指订单因某种原因，未通过人工审核，可在备注框内，加入审核不通过的原因；订单列表的审核状态自动更新为：人工审核不通过，在该企业界面，企业可对人工审核不同的订单重新修改并重新提交。</w:t>
      </w:r>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lang w:eastAsia="zh-Hans"/>
          <w14:textFill>
            <w14:solidFill>
              <w14:schemeClr w14:val="tx1"/>
            </w14:solidFill>
          </w14:textFill>
        </w:rPr>
        <w:t>c.</w:t>
      </w:r>
      <w:r>
        <w:rPr>
          <w:rFonts w:hint="eastAsia" w:ascii="宋体" w:hAnsi="宋体" w:cs="宋体"/>
          <w:color w:val="000000" w:themeColor="text1"/>
          <w:kern w:val="0"/>
          <w:szCs w:val="21"/>
          <w:highlight w:val="none"/>
          <w14:textFill>
            <w14:solidFill>
              <w14:schemeClr w14:val="tx1"/>
            </w14:solidFill>
          </w14:textFill>
        </w:rPr>
        <w:t>标识分配</w:t>
      </w:r>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监管部门对已经人工审核通过的订单或者产品进行标识分配，分配完成后的身份起止码段在列表内显示。</w:t>
      </w:r>
    </w:p>
    <w:p>
      <w:pPr>
        <w:widowControl/>
        <w:spacing w:line="400" w:lineRule="atLeast"/>
        <w:ind w:firstLine="424" w:firstLineChars="200"/>
        <w:rPr>
          <w:rFonts w:ascii="宋体" w:hAnsi="宋体" w:cs="宋体"/>
          <w:b/>
          <w:bCs/>
          <w:color w:val="000000" w:themeColor="text1"/>
          <w:kern w:val="0"/>
          <w:szCs w:val="21"/>
          <w:highlight w:val="none"/>
          <w14:textFill>
            <w14:solidFill>
              <w14:schemeClr w14:val="tx1"/>
            </w14:solidFill>
          </w14:textFill>
        </w:rPr>
      </w:pPr>
      <w:bookmarkStart w:id="154" w:name="_Toc16884"/>
      <w:bookmarkStart w:id="155" w:name="_Toc29118"/>
      <w:bookmarkStart w:id="156" w:name="_Toc25981"/>
      <w:bookmarkStart w:id="157" w:name="_Toc25219"/>
      <w:bookmarkStart w:id="158" w:name="_Toc3721"/>
      <w:bookmarkStart w:id="159" w:name="_Toc13523"/>
      <w:bookmarkStart w:id="160" w:name="_Toc17167"/>
      <w:bookmarkStart w:id="161" w:name="_Toc18579"/>
      <w:bookmarkStart w:id="162" w:name="_Toc31606"/>
      <w:r>
        <w:rPr>
          <w:rFonts w:hint="eastAsia" w:ascii="宋体" w:hAnsi="宋体" w:cs="宋体"/>
          <w:b/>
          <w:bCs/>
          <w:color w:val="000000" w:themeColor="text1"/>
          <w:kern w:val="0"/>
          <w:szCs w:val="21"/>
          <w:highlight w:val="none"/>
          <w:lang w:eastAsia="zh-Hans"/>
          <w14:textFill>
            <w14:solidFill>
              <w14:schemeClr w14:val="tx1"/>
            </w14:solidFill>
          </w14:textFill>
        </w:rPr>
        <w:t>③</w:t>
      </w:r>
      <w:r>
        <w:rPr>
          <w:rFonts w:hint="eastAsia" w:ascii="宋体" w:hAnsi="宋体" w:cs="宋体"/>
          <w:b/>
          <w:bCs/>
          <w:color w:val="000000" w:themeColor="text1"/>
          <w:kern w:val="0"/>
          <w:szCs w:val="21"/>
          <w:highlight w:val="none"/>
          <w14:textFill>
            <w14:solidFill>
              <w14:schemeClr w14:val="tx1"/>
            </w14:solidFill>
          </w14:textFill>
        </w:rPr>
        <w:t>码段关联</w:t>
      </w:r>
      <w:bookmarkEnd w:id="154"/>
      <w:bookmarkEnd w:id="155"/>
      <w:bookmarkEnd w:id="156"/>
      <w:bookmarkEnd w:id="157"/>
      <w:bookmarkEnd w:id="158"/>
      <w:bookmarkEnd w:id="159"/>
      <w:bookmarkEnd w:id="160"/>
      <w:bookmarkEnd w:id="161"/>
      <w:bookmarkEnd w:id="162"/>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企业标签申请通过审核后，监管部门按要求进行标签发放，并进行相关码段关联，以保证消费者所买产品来源可查。</w:t>
      </w:r>
    </w:p>
    <w:p>
      <w:pPr>
        <w:widowControl/>
        <w:spacing w:line="400" w:lineRule="atLeast"/>
        <w:ind w:firstLine="424" w:firstLineChars="200"/>
        <w:rPr>
          <w:rFonts w:ascii="宋体" w:hAnsi="宋体" w:cs="宋体"/>
          <w:b/>
          <w:bCs/>
          <w:color w:val="000000" w:themeColor="text1"/>
          <w:kern w:val="0"/>
          <w:szCs w:val="21"/>
          <w:highlight w:val="none"/>
          <w14:textFill>
            <w14:solidFill>
              <w14:schemeClr w14:val="tx1"/>
            </w14:solidFill>
          </w14:textFill>
        </w:rPr>
      </w:pPr>
      <w:bookmarkStart w:id="163" w:name="_Toc25986"/>
      <w:bookmarkStart w:id="164" w:name="_Toc27921"/>
      <w:bookmarkStart w:id="165" w:name="_Toc24851"/>
      <w:bookmarkStart w:id="166" w:name="_Toc12137"/>
      <w:bookmarkStart w:id="167" w:name="_Toc9176"/>
      <w:bookmarkStart w:id="168" w:name="_Toc10295"/>
      <w:bookmarkStart w:id="169" w:name="_Toc10992"/>
      <w:bookmarkStart w:id="170" w:name="_Toc5161"/>
      <w:bookmarkStart w:id="171" w:name="_Toc8233"/>
      <w:r>
        <w:rPr>
          <w:rFonts w:hint="eastAsia" w:ascii="宋体" w:hAnsi="宋体" w:cs="宋体"/>
          <w:b/>
          <w:bCs/>
          <w:color w:val="000000" w:themeColor="text1"/>
          <w:kern w:val="0"/>
          <w:szCs w:val="21"/>
          <w:highlight w:val="none"/>
          <w:lang w:eastAsia="zh-Hans"/>
          <w14:textFill>
            <w14:solidFill>
              <w14:schemeClr w14:val="tx1"/>
            </w14:solidFill>
          </w14:textFill>
        </w:rPr>
        <w:t>（</w:t>
      </w:r>
      <w:r>
        <w:rPr>
          <w:rFonts w:ascii="宋体" w:hAnsi="宋体" w:cs="宋体"/>
          <w:b/>
          <w:bCs/>
          <w:color w:val="000000" w:themeColor="text1"/>
          <w:kern w:val="0"/>
          <w:szCs w:val="21"/>
          <w:highlight w:val="none"/>
          <w:lang w:eastAsia="zh-Hans"/>
          <w14:textFill>
            <w14:solidFill>
              <w14:schemeClr w14:val="tx1"/>
            </w14:solidFill>
          </w14:textFill>
        </w:rPr>
        <w:t>3</w:t>
      </w:r>
      <w:r>
        <w:rPr>
          <w:rFonts w:hint="eastAsia" w:ascii="宋体" w:hAnsi="宋体" w:cs="宋体"/>
          <w:b/>
          <w:bCs/>
          <w:color w:val="000000" w:themeColor="text1"/>
          <w:kern w:val="0"/>
          <w:szCs w:val="21"/>
          <w:highlight w:val="none"/>
          <w:lang w:eastAsia="zh-Hans"/>
          <w14:textFill>
            <w14:solidFill>
              <w14:schemeClr w14:val="tx1"/>
            </w14:solidFill>
          </w14:textFill>
        </w:rPr>
        <w:t>）</w:t>
      </w:r>
      <w:r>
        <w:rPr>
          <w:rFonts w:hint="eastAsia" w:ascii="宋体" w:hAnsi="宋体" w:cs="宋体"/>
          <w:b/>
          <w:bCs/>
          <w:color w:val="000000" w:themeColor="text1"/>
          <w:kern w:val="0"/>
          <w:szCs w:val="21"/>
          <w:highlight w:val="none"/>
          <w14:textFill>
            <w14:solidFill>
              <w14:schemeClr w14:val="tx1"/>
            </w14:solidFill>
          </w14:textFill>
        </w:rPr>
        <w:t>追溯查询管理</w:t>
      </w:r>
      <w:bookmarkEnd w:id="163"/>
      <w:bookmarkEnd w:id="164"/>
      <w:bookmarkEnd w:id="165"/>
      <w:bookmarkEnd w:id="166"/>
      <w:bookmarkEnd w:id="167"/>
      <w:r>
        <w:rPr>
          <w:rFonts w:hint="eastAsia" w:ascii="宋体" w:hAnsi="宋体" w:cs="宋体"/>
          <w:b/>
          <w:bCs/>
          <w:color w:val="000000" w:themeColor="text1"/>
          <w:kern w:val="0"/>
          <w:szCs w:val="21"/>
          <w:highlight w:val="none"/>
          <w14:textFill>
            <w14:solidFill>
              <w14:schemeClr w14:val="tx1"/>
            </w14:solidFill>
          </w14:textFill>
        </w:rPr>
        <w:t>模块</w:t>
      </w:r>
      <w:bookmarkEnd w:id="168"/>
      <w:bookmarkEnd w:id="169"/>
      <w:bookmarkEnd w:id="170"/>
      <w:bookmarkEnd w:id="171"/>
    </w:p>
    <w:p>
      <w:pPr>
        <w:widowControl/>
        <w:spacing w:line="400" w:lineRule="atLeast"/>
        <w:ind w:firstLine="424" w:firstLineChars="200"/>
        <w:rPr>
          <w:rFonts w:ascii="宋体" w:hAnsi="宋体" w:cs="宋体"/>
          <w:b/>
          <w:bCs/>
          <w:color w:val="000000" w:themeColor="text1"/>
          <w:kern w:val="0"/>
          <w:szCs w:val="21"/>
          <w:highlight w:val="none"/>
          <w14:textFill>
            <w14:solidFill>
              <w14:schemeClr w14:val="tx1"/>
            </w14:solidFill>
          </w14:textFill>
        </w:rPr>
      </w:pPr>
      <w:bookmarkStart w:id="172" w:name="_Toc26218"/>
      <w:bookmarkStart w:id="173" w:name="_Toc16212"/>
      <w:bookmarkStart w:id="174" w:name="_Toc18401"/>
      <w:bookmarkStart w:id="175" w:name="_Toc19180"/>
      <w:bookmarkStart w:id="176" w:name="_Toc22075"/>
      <w:bookmarkStart w:id="177" w:name="_Toc22766"/>
      <w:bookmarkStart w:id="178" w:name="_Toc8350"/>
      <w:bookmarkStart w:id="179" w:name="_Toc11691"/>
      <w:bookmarkStart w:id="180" w:name="_Toc24588"/>
      <w:bookmarkStart w:id="181" w:name="_Toc27382"/>
      <w:bookmarkStart w:id="182" w:name="_Toc10422"/>
      <w:bookmarkStart w:id="183" w:name="_Toc31022"/>
      <w:bookmarkStart w:id="184" w:name="_Toc30354"/>
      <w:bookmarkStart w:id="185" w:name="_Toc30695"/>
      <w:bookmarkStart w:id="186" w:name="_Toc3931"/>
      <w:bookmarkStart w:id="187" w:name="_Toc9212"/>
      <w:bookmarkStart w:id="188" w:name="_Toc29646"/>
      <w:bookmarkStart w:id="189" w:name="_Toc7227"/>
      <w:bookmarkStart w:id="190" w:name="_Toc31963"/>
      <w:bookmarkStart w:id="191" w:name="_Toc7589"/>
      <w:r>
        <w:rPr>
          <w:rFonts w:hint="eastAsia" w:ascii="宋体" w:hAnsi="宋体" w:cs="宋体"/>
          <w:b/>
          <w:bCs/>
          <w:color w:val="000000" w:themeColor="text1"/>
          <w:kern w:val="0"/>
          <w:szCs w:val="21"/>
          <w:highlight w:val="none"/>
          <w:lang w:eastAsia="zh-Hans"/>
          <w14:textFill>
            <w14:solidFill>
              <w14:schemeClr w14:val="tx1"/>
            </w14:solidFill>
          </w14:textFill>
        </w:rPr>
        <w:t>①</w:t>
      </w:r>
      <w:r>
        <w:rPr>
          <w:rFonts w:hint="eastAsia" w:ascii="宋体" w:hAnsi="宋体" w:cs="宋体"/>
          <w:b/>
          <w:bCs/>
          <w:color w:val="000000" w:themeColor="text1"/>
          <w:kern w:val="0"/>
          <w:szCs w:val="21"/>
          <w:highlight w:val="none"/>
          <w14:textFill>
            <w14:solidFill>
              <w14:schemeClr w14:val="tx1"/>
            </w14:solidFill>
          </w14:textFill>
        </w:rPr>
        <w:t>电话语音查询</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通过语音数据库与语音播报软件，将人工录制的语音内容与软件进行整合，消费者拨打专用的电话查询号码后，输入追溯条码信息，自动语音服务将对追溯信息进行播报。系统提供产品及企业信息查询。</w:t>
      </w:r>
    </w:p>
    <w:p>
      <w:pPr>
        <w:widowControl/>
        <w:spacing w:line="400" w:lineRule="atLeast"/>
        <w:ind w:firstLine="424" w:firstLineChars="200"/>
        <w:rPr>
          <w:rFonts w:ascii="宋体" w:hAnsi="宋体" w:cs="宋体"/>
          <w:b/>
          <w:bCs/>
          <w:color w:val="000000" w:themeColor="text1"/>
          <w:kern w:val="0"/>
          <w:szCs w:val="21"/>
          <w:highlight w:val="none"/>
          <w14:textFill>
            <w14:solidFill>
              <w14:schemeClr w14:val="tx1"/>
            </w14:solidFill>
          </w14:textFill>
        </w:rPr>
      </w:pPr>
      <w:bookmarkStart w:id="192" w:name="_Toc20955"/>
      <w:bookmarkStart w:id="193" w:name="_Toc17471"/>
      <w:bookmarkStart w:id="194" w:name="_Toc30503"/>
      <w:bookmarkStart w:id="195" w:name="_Toc3566"/>
      <w:bookmarkStart w:id="196" w:name="_Toc3874"/>
      <w:bookmarkStart w:id="197" w:name="_Toc15167"/>
      <w:bookmarkStart w:id="198" w:name="_Toc23999"/>
      <w:bookmarkStart w:id="199" w:name="_Toc26980"/>
      <w:bookmarkStart w:id="200" w:name="_Toc10922"/>
      <w:bookmarkStart w:id="201" w:name="_Toc4089"/>
      <w:bookmarkStart w:id="202" w:name="_Toc15335"/>
      <w:bookmarkStart w:id="203" w:name="_Toc16459"/>
      <w:bookmarkStart w:id="204" w:name="_Toc12709"/>
      <w:bookmarkStart w:id="205" w:name="_Toc26925"/>
      <w:bookmarkStart w:id="206" w:name="_Toc7114"/>
      <w:bookmarkStart w:id="207" w:name="_Toc3101"/>
      <w:bookmarkStart w:id="208" w:name="_Toc15218"/>
      <w:bookmarkStart w:id="209" w:name="_Toc326"/>
      <w:bookmarkStart w:id="210" w:name="_Toc28961"/>
      <w:bookmarkStart w:id="211" w:name="_Toc31881"/>
      <w:r>
        <w:rPr>
          <w:rFonts w:hint="eastAsia" w:ascii="宋体" w:hAnsi="宋体" w:cs="宋体"/>
          <w:b/>
          <w:bCs/>
          <w:color w:val="000000" w:themeColor="text1"/>
          <w:kern w:val="0"/>
          <w:szCs w:val="21"/>
          <w:highlight w:val="none"/>
          <w:lang w:eastAsia="zh-Hans"/>
          <w14:textFill>
            <w14:solidFill>
              <w14:schemeClr w14:val="tx1"/>
            </w14:solidFill>
          </w14:textFill>
        </w:rPr>
        <w:t>②</w:t>
      </w:r>
      <w:r>
        <w:rPr>
          <w:rFonts w:ascii="宋体" w:hAnsi="宋体" w:cs="宋体"/>
          <w:b/>
          <w:bCs/>
          <w:color w:val="000000" w:themeColor="text1"/>
          <w:kern w:val="0"/>
          <w:szCs w:val="21"/>
          <w:highlight w:val="none"/>
          <w14:textFill>
            <w14:solidFill>
              <w14:schemeClr w14:val="tx1"/>
            </w14:solidFill>
          </w14:textFill>
        </w:rPr>
        <w:t>Web</w:t>
      </w:r>
      <w:r>
        <w:rPr>
          <w:rFonts w:hint="eastAsia" w:ascii="宋体" w:hAnsi="宋体" w:cs="宋体"/>
          <w:b/>
          <w:bCs/>
          <w:color w:val="000000" w:themeColor="text1"/>
          <w:kern w:val="0"/>
          <w:szCs w:val="21"/>
          <w:highlight w:val="none"/>
          <w14:textFill>
            <w14:solidFill>
              <w14:schemeClr w14:val="tx1"/>
            </w14:solidFill>
          </w14:textFill>
        </w:rPr>
        <w:t>查询</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立追溯查询网站，网站对质量安全的基本情况进行展示，对企业的信息与多媒体内容进行展示，网站内包括追溯信息查询模块，在首页上有明显的追溯查询窗口，通过输入追溯号码，点击查询按钮，可以查询到追溯产品的企业信息、产品信息、批次信息与生产档案信息等全部内容。</w:t>
      </w:r>
    </w:p>
    <w:p>
      <w:pPr>
        <w:widowControl/>
        <w:spacing w:line="400" w:lineRule="atLeast"/>
        <w:ind w:firstLine="424" w:firstLineChars="200"/>
        <w:rPr>
          <w:rFonts w:ascii="宋体" w:hAnsi="宋体" w:cs="宋体"/>
          <w:b/>
          <w:bCs/>
          <w:color w:val="000000" w:themeColor="text1"/>
          <w:kern w:val="0"/>
          <w:szCs w:val="21"/>
          <w:highlight w:val="none"/>
          <w14:textFill>
            <w14:solidFill>
              <w14:schemeClr w14:val="tx1"/>
            </w14:solidFill>
          </w14:textFill>
        </w:rPr>
      </w:pPr>
      <w:bookmarkStart w:id="212" w:name="_Toc6790"/>
      <w:bookmarkStart w:id="213" w:name="_Toc8309"/>
      <w:bookmarkStart w:id="214" w:name="_Toc7543"/>
      <w:bookmarkStart w:id="215" w:name="_Toc32002"/>
      <w:bookmarkStart w:id="216" w:name="_Toc1763"/>
      <w:bookmarkStart w:id="217" w:name="_Toc27058"/>
      <w:bookmarkStart w:id="218" w:name="_Toc14614"/>
      <w:bookmarkStart w:id="219" w:name="_Toc31053"/>
      <w:bookmarkStart w:id="220" w:name="_Toc4628"/>
      <w:bookmarkStart w:id="221" w:name="_Toc2435"/>
      <w:bookmarkStart w:id="222" w:name="_Toc25453"/>
      <w:bookmarkStart w:id="223" w:name="_Toc29903"/>
      <w:bookmarkStart w:id="224" w:name="_Toc12974"/>
      <w:bookmarkStart w:id="225" w:name="_Toc16263"/>
      <w:bookmarkStart w:id="226" w:name="_Toc2092"/>
      <w:bookmarkStart w:id="227" w:name="_Toc25909"/>
      <w:bookmarkStart w:id="228" w:name="_Toc6762"/>
      <w:bookmarkStart w:id="229" w:name="_Toc15762"/>
      <w:bookmarkStart w:id="230" w:name="_Toc1522"/>
      <w:bookmarkStart w:id="231" w:name="_Toc10568"/>
      <w:r>
        <w:rPr>
          <w:rFonts w:hint="eastAsia" w:ascii="宋体" w:hAnsi="宋体" w:cs="宋体"/>
          <w:b/>
          <w:bCs/>
          <w:color w:val="000000" w:themeColor="text1"/>
          <w:kern w:val="0"/>
          <w:szCs w:val="21"/>
          <w:highlight w:val="none"/>
          <w:lang w:eastAsia="zh-Hans"/>
          <w14:textFill>
            <w14:solidFill>
              <w14:schemeClr w14:val="tx1"/>
            </w14:solidFill>
          </w14:textFill>
        </w:rPr>
        <w:t>③</w:t>
      </w:r>
      <w:r>
        <w:rPr>
          <w:rFonts w:hint="eastAsia" w:ascii="宋体" w:hAnsi="宋体" w:cs="宋体"/>
          <w:b/>
          <w:bCs/>
          <w:color w:val="000000" w:themeColor="text1"/>
          <w:kern w:val="0"/>
          <w:szCs w:val="21"/>
          <w:highlight w:val="none"/>
          <w14:textFill>
            <w14:solidFill>
              <w14:schemeClr w14:val="tx1"/>
            </w14:solidFill>
          </w14:textFill>
        </w:rPr>
        <w:t>二维码查询</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消费者可以通过手机等扫描工具对标签的二维码进行扫描，可以查询到追溯产品的企业信息、产品信息、批次信息、生产档案、保质期和检测信息等全部内容。</w:t>
      </w:r>
    </w:p>
    <w:p>
      <w:pPr>
        <w:widowControl/>
        <w:spacing w:line="400" w:lineRule="atLeast"/>
        <w:ind w:firstLine="424" w:firstLineChars="200"/>
        <w:rPr>
          <w:rFonts w:ascii="宋体" w:hAnsi="宋体" w:cs="宋体"/>
          <w:b/>
          <w:bCs/>
          <w:color w:val="000000" w:themeColor="text1"/>
          <w:kern w:val="0"/>
          <w:szCs w:val="21"/>
          <w:highlight w:val="none"/>
          <w14:textFill>
            <w14:solidFill>
              <w14:schemeClr w14:val="tx1"/>
            </w14:solidFill>
          </w14:textFill>
        </w:rPr>
      </w:pPr>
      <w:bookmarkStart w:id="232" w:name="_Toc27862"/>
      <w:bookmarkStart w:id="233" w:name="_Toc23265"/>
      <w:bookmarkStart w:id="234" w:name="_Toc25717"/>
      <w:bookmarkStart w:id="235" w:name="_Toc11109"/>
      <w:bookmarkStart w:id="236" w:name="_Toc22809"/>
      <w:bookmarkStart w:id="237" w:name="_Toc30528"/>
      <w:bookmarkStart w:id="238" w:name="_Toc16256"/>
      <w:bookmarkStart w:id="239" w:name="_Toc23883"/>
      <w:bookmarkStart w:id="240" w:name="_Toc31341"/>
      <w:bookmarkStart w:id="241" w:name="_Toc6075"/>
      <w:bookmarkStart w:id="242" w:name="_Toc32119"/>
      <w:bookmarkStart w:id="243" w:name="_Toc6924"/>
      <w:bookmarkStart w:id="244" w:name="_Toc22965"/>
      <w:bookmarkStart w:id="245" w:name="_Toc15969"/>
      <w:bookmarkStart w:id="246" w:name="_Toc16542"/>
      <w:bookmarkStart w:id="247" w:name="_Toc22422"/>
      <w:bookmarkStart w:id="248" w:name="_Toc7156"/>
      <w:bookmarkStart w:id="249" w:name="_Toc30639"/>
      <w:bookmarkStart w:id="250" w:name="_Toc10940"/>
      <w:bookmarkStart w:id="251" w:name="_Toc1908"/>
      <w:r>
        <w:rPr>
          <w:rFonts w:hint="eastAsia" w:ascii="宋体" w:hAnsi="宋体" w:cs="宋体"/>
          <w:b/>
          <w:bCs/>
          <w:color w:val="000000" w:themeColor="text1"/>
          <w:kern w:val="0"/>
          <w:szCs w:val="21"/>
          <w:highlight w:val="none"/>
          <w:lang w:eastAsia="zh-Hans"/>
          <w14:textFill>
            <w14:solidFill>
              <w14:schemeClr w14:val="tx1"/>
            </w14:solidFill>
          </w14:textFill>
        </w:rPr>
        <w:t>④</w:t>
      </w:r>
      <w:r>
        <w:rPr>
          <w:rFonts w:hint="eastAsia" w:ascii="宋体" w:hAnsi="宋体" w:cs="宋体"/>
          <w:b/>
          <w:bCs/>
          <w:color w:val="000000" w:themeColor="text1"/>
          <w:kern w:val="0"/>
          <w:szCs w:val="21"/>
          <w:highlight w:val="none"/>
          <w14:textFill>
            <w14:solidFill>
              <w14:schemeClr w14:val="tx1"/>
            </w14:solidFill>
          </w14:textFill>
        </w:rPr>
        <w:t>触摸屏及其它终端查询</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在超市或者批发市场等场所，消费者可以通过触摸屏及其他终端方式进行产品查询，可以查询到追溯的企业信息、产品信息、批次信息与生产档案信息等全部内容。</w:t>
      </w:r>
    </w:p>
    <w:p>
      <w:pPr>
        <w:widowControl/>
        <w:spacing w:line="400" w:lineRule="atLeast"/>
        <w:ind w:firstLine="424" w:firstLineChars="200"/>
        <w:rPr>
          <w:rFonts w:ascii="宋体" w:hAnsi="宋体" w:cs="宋体"/>
          <w:b/>
          <w:bCs/>
          <w:color w:val="000000" w:themeColor="text1"/>
          <w:kern w:val="0"/>
          <w:szCs w:val="21"/>
          <w:highlight w:val="none"/>
          <w14:textFill>
            <w14:solidFill>
              <w14:schemeClr w14:val="tx1"/>
            </w14:solidFill>
          </w14:textFill>
        </w:rPr>
      </w:pPr>
      <w:bookmarkStart w:id="252" w:name="_Toc14989"/>
      <w:bookmarkStart w:id="253" w:name="_Toc10709"/>
      <w:bookmarkStart w:id="254" w:name="_Toc28010"/>
      <w:bookmarkStart w:id="255" w:name="_Toc11595"/>
      <w:bookmarkStart w:id="256" w:name="_Toc18623"/>
      <w:bookmarkStart w:id="257" w:name="_Toc1252"/>
      <w:bookmarkStart w:id="258" w:name="_Toc14020"/>
      <w:bookmarkStart w:id="259" w:name="_Toc21942"/>
      <w:bookmarkStart w:id="260" w:name="_Toc22031"/>
      <w:r>
        <w:rPr>
          <w:rFonts w:hint="eastAsia" w:ascii="宋体" w:hAnsi="宋体" w:cs="宋体"/>
          <w:b/>
          <w:bCs/>
          <w:color w:val="000000" w:themeColor="text1"/>
          <w:kern w:val="0"/>
          <w:szCs w:val="21"/>
          <w:highlight w:val="none"/>
          <w:lang w:eastAsia="zh-Hans"/>
          <w14:textFill>
            <w14:solidFill>
              <w14:schemeClr w14:val="tx1"/>
            </w14:solidFill>
          </w14:textFill>
        </w:rPr>
        <w:t>（</w:t>
      </w:r>
      <w:r>
        <w:rPr>
          <w:rFonts w:ascii="宋体" w:hAnsi="宋体" w:cs="宋体"/>
          <w:b/>
          <w:bCs/>
          <w:color w:val="000000" w:themeColor="text1"/>
          <w:kern w:val="0"/>
          <w:szCs w:val="21"/>
          <w:highlight w:val="none"/>
          <w:lang w:eastAsia="zh-Hans"/>
          <w14:textFill>
            <w14:solidFill>
              <w14:schemeClr w14:val="tx1"/>
            </w14:solidFill>
          </w14:textFill>
        </w:rPr>
        <w:t>4</w:t>
      </w:r>
      <w:r>
        <w:rPr>
          <w:rFonts w:hint="eastAsia" w:ascii="宋体" w:hAnsi="宋体" w:cs="宋体"/>
          <w:b/>
          <w:bCs/>
          <w:color w:val="000000" w:themeColor="text1"/>
          <w:kern w:val="0"/>
          <w:szCs w:val="21"/>
          <w:highlight w:val="none"/>
          <w:lang w:eastAsia="zh-Hans"/>
          <w14:textFill>
            <w14:solidFill>
              <w14:schemeClr w14:val="tx1"/>
            </w14:solidFill>
          </w14:textFill>
        </w:rPr>
        <w:t>）</w:t>
      </w:r>
      <w:r>
        <w:rPr>
          <w:rFonts w:hint="eastAsia" w:ascii="宋体" w:hAnsi="宋体" w:cs="宋体"/>
          <w:b/>
          <w:bCs/>
          <w:color w:val="000000" w:themeColor="text1"/>
          <w:kern w:val="0"/>
          <w:szCs w:val="21"/>
          <w:highlight w:val="none"/>
          <w14:textFill>
            <w14:solidFill>
              <w14:schemeClr w14:val="tx1"/>
            </w14:solidFill>
          </w14:textFill>
        </w:rPr>
        <w:t>码端数字营销管理</w:t>
      </w:r>
      <w:bookmarkEnd w:id="252"/>
      <w:bookmarkEnd w:id="253"/>
      <w:bookmarkEnd w:id="254"/>
      <w:bookmarkEnd w:id="255"/>
      <w:bookmarkEnd w:id="256"/>
      <w:r>
        <w:rPr>
          <w:rFonts w:hint="eastAsia" w:ascii="宋体" w:hAnsi="宋体" w:cs="宋体"/>
          <w:b/>
          <w:bCs/>
          <w:color w:val="000000" w:themeColor="text1"/>
          <w:kern w:val="0"/>
          <w:szCs w:val="21"/>
          <w:highlight w:val="none"/>
          <w14:textFill>
            <w14:solidFill>
              <w14:schemeClr w14:val="tx1"/>
            </w14:solidFill>
          </w14:textFill>
        </w:rPr>
        <w:t>模块</w:t>
      </w:r>
      <w:bookmarkEnd w:id="257"/>
      <w:bookmarkEnd w:id="258"/>
      <w:bookmarkEnd w:id="259"/>
      <w:bookmarkEnd w:id="260"/>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为每个包装产品加载产品身份证（追溯标签），一品一码，基于“码”的应用，进行红包植入式营销、会员积分制营销、实物礼品营销，引流消费者，提高黏性，推动产品营销。</w:t>
      </w:r>
    </w:p>
    <w:p>
      <w:pPr>
        <w:widowControl/>
        <w:spacing w:line="400" w:lineRule="atLeast"/>
        <w:ind w:firstLine="424" w:firstLineChars="200"/>
        <w:rPr>
          <w:rFonts w:ascii="宋体" w:hAnsi="宋体" w:cs="宋体"/>
          <w:b/>
          <w:bCs/>
          <w:color w:val="000000" w:themeColor="text1"/>
          <w:kern w:val="0"/>
          <w:szCs w:val="21"/>
          <w:highlight w:val="none"/>
          <w14:textFill>
            <w14:solidFill>
              <w14:schemeClr w14:val="tx1"/>
            </w14:solidFill>
          </w14:textFill>
        </w:rPr>
      </w:pPr>
      <w:bookmarkStart w:id="261" w:name="_Toc14355"/>
      <w:bookmarkStart w:id="262" w:name="_Toc19006"/>
      <w:bookmarkStart w:id="263" w:name="_Toc29289"/>
      <w:bookmarkStart w:id="264" w:name="_Toc1613"/>
      <w:bookmarkStart w:id="265" w:name="_Toc24512"/>
      <w:bookmarkStart w:id="266" w:name="_Toc1276"/>
      <w:bookmarkStart w:id="267" w:name="_Toc10468"/>
      <w:bookmarkStart w:id="268" w:name="_Toc22254"/>
      <w:bookmarkStart w:id="269" w:name="_Toc7640"/>
      <w:r>
        <w:rPr>
          <w:rFonts w:hint="eastAsia" w:ascii="宋体" w:hAnsi="宋体" w:cs="宋体"/>
          <w:b/>
          <w:bCs/>
          <w:color w:val="000000" w:themeColor="text1"/>
          <w:kern w:val="0"/>
          <w:szCs w:val="21"/>
          <w:highlight w:val="none"/>
          <w:lang w:eastAsia="zh-Hans"/>
          <w14:textFill>
            <w14:solidFill>
              <w14:schemeClr w14:val="tx1"/>
            </w14:solidFill>
          </w14:textFill>
        </w:rPr>
        <w:t>①</w:t>
      </w:r>
      <w:r>
        <w:rPr>
          <w:rFonts w:hint="eastAsia" w:ascii="宋体" w:hAnsi="宋体" w:cs="宋体"/>
          <w:b/>
          <w:bCs/>
          <w:color w:val="000000" w:themeColor="text1"/>
          <w:kern w:val="0"/>
          <w:szCs w:val="21"/>
          <w:highlight w:val="none"/>
          <w14:textFill>
            <w14:solidFill>
              <w14:schemeClr w14:val="tx1"/>
            </w14:solidFill>
          </w14:textFill>
        </w:rPr>
        <w:t>红包植入式营销</w:t>
      </w:r>
      <w:bookmarkEnd w:id="261"/>
      <w:bookmarkEnd w:id="262"/>
      <w:bookmarkEnd w:id="263"/>
      <w:bookmarkEnd w:id="264"/>
      <w:bookmarkEnd w:id="265"/>
      <w:bookmarkEnd w:id="266"/>
      <w:bookmarkEnd w:id="267"/>
      <w:bookmarkEnd w:id="268"/>
      <w:bookmarkEnd w:id="269"/>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基于二维码的应用，可以进行红包植入式营销。消费者通过扫码领取现金红包，积攒的红包进行消费抵扣。</w:t>
      </w:r>
    </w:p>
    <w:p>
      <w:pPr>
        <w:widowControl/>
        <w:spacing w:line="400" w:lineRule="atLeast"/>
        <w:ind w:firstLine="424" w:firstLineChars="200"/>
        <w:rPr>
          <w:rFonts w:ascii="宋体" w:hAnsi="宋体" w:cs="宋体"/>
          <w:b/>
          <w:bCs/>
          <w:color w:val="000000" w:themeColor="text1"/>
          <w:kern w:val="0"/>
          <w:szCs w:val="21"/>
          <w:highlight w:val="none"/>
          <w14:textFill>
            <w14:solidFill>
              <w14:schemeClr w14:val="tx1"/>
            </w14:solidFill>
          </w14:textFill>
        </w:rPr>
      </w:pPr>
      <w:bookmarkStart w:id="270" w:name="_Toc16650"/>
      <w:bookmarkStart w:id="271" w:name="_Toc10211"/>
      <w:bookmarkStart w:id="272" w:name="_Toc31828"/>
      <w:bookmarkStart w:id="273" w:name="_Toc4457"/>
      <w:bookmarkStart w:id="274" w:name="_Toc5115"/>
      <w:bookmarkStart w:id="275" w:name="_Toc26845"/>
      <w:bookmarkStart w:id="276" w:name="_Toc8512"/>
      <w:bookmarkStart w:id="277" w:name="_Toc14415"/>
      <w:bookmarkStart w:id="278" w:name="_Toc16587"/>
      <w:r>
        <w:rPr>
          <w:rFonts w:hint="eastAsia" w:ascii="宋体" w:hAnsi="宋体" w:cs="宋体"/>
          <w:b/>
          <w:bCs/>
          <w:color w:val="000000" w:themeColor="text1"/>
          <w:kern w:val="0"/>
          <w:szCs w:val="21"/>
          <w:highlight w:val="none"/>
          <w:lang w:eastAsia="zh-Hans"/>
          <w14:textFill>
            <w14:solidFill>
              <w14:schemeClr w14:val="tx1"/>
            </w14:solidFill>
          </w14:textFill>
        </w:rPr>
        <w:t>②</w:t>
      </w:r>
      <w:r>
        <w:rPr>
          <w:rFonts w:hint="eastAsia" w:ascii="宋体" w:hAnsi="宋体" w:cs="宋体"/>
          <w:b/>
          <w:bCs/>
          <w:color w:val="000000" w:themeColor="text1"/>
          <w:kern w:val="0"/>
          <w:szCs w:val="21"/>
          <w:highlight w:val="none"/>
          <w14:textFill>
            <w14:solidFill>
              <w14:schemeClr w14:val="tx1"/>
            </w14:solidFill>
          </w14:textFill>
        </w:rPr>
        <w:t>会员积分制营销</w:t>
      </w:r>
      <w:bookmarkEnd w:id="270"/>
      <w:bookmarkEnd w:id="271"/>
      <w:bookmarkEnd w:id="272"/>
      <w:bookmarkEnd w:id="273"/>
      <w:bookmarkEnd w:id="274"/>
      <w:bookmarkEnd w:id="275"/>
      <w:bookmarkEnd w:id="276"/>
      <w:bookmarkEnd w:id="277"/>
      <w:bookmarkEnd w:id="278"/>
    </w:p>
    <w:p>
      <w:pPr>
        <w:widowControl/>
        <w:spacing w:line="40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扫码领积分是当下流行的营销方式，基于“码”的使用，消费者通过扫码注册成为会员，便可领取积分。积攒的积分按分值可用于消费抵扣，也可用于兑换精品礼品。</w:t>
      </w:r>
    </w:p>
    <w:p>
      <w:pPr>
        <w:widowControl/>
        <w:spacing w:line="400" w:lineRule="atLeast"/>
        <w:ind w:firstLine="424" w:firstLineChars="200"/>
        <w:rPr>
          <w:rFonts w:ascii="宋体" w:hAnsi="宋体" w:cs="宋体"/>
          <w:b/>
          <w:bCs/>
          <w:color w:val="000000" w:themeColor="text1"/>
          <w:kern w:val="0"/>
          <w:szCs w:val="21"/>
          <w:highlight w:val="none"/>
          <w14:textFill>
            <w14:solidFill>
              <w14:schemeClr w14:val="tx1"/>
            </w14:solidFill>
          </w14:textFill>
        </w:rPr>
      </w:pPr>
      <w:bookmarkStart w:id="279" w:name="_Toc23758"/>
      <w:bookmarkStart w:id="280" w:name="_Toc25699"/>
      <w:bookmarkStart w:id="281" w:name="_Toc3643"/>
      <w:bookmarkStart w:id="282" w:name="_Toc31201"/>
      <w:bookmarkStart w:id="283" w:name="_Toc4029"/>
      <w:bookmarkStart w:id="284" w:name="_Toc15611"/>
      <w:bookmarkStart w:id="285" w:name="_Toc19245"/>
      <w:bookmarkStart w:id="286" w:name="_Toc2171"/>
      <w:bookmarkStart w:id="287" w:name="_Toc4764"/>
      <w:r>
        <w:rPr>
          <w:rFonts w:hint="eastAsia" w:ascii="宋体" w:hAnsi="宋体" w:cs="宋体"/>
          <w:b/>
          <w:bCs/>
          <w:color w:val="000000" w:themeColor="text1"/>
          <w:kern w:val="0"/>
          <w:szCs w:val="21"/>
          <w:highlight w:val="none"/>
          <w:lang w:eastAsia="zh-Hans"/>
          <w14:textFill>
            <w14:solidFill>
              <w14:schemeClr w14:val="tx1"/>
            </w14:solidFill>
          </w14:textFill>
        </w:rPr>
        <w:t>③</w:t>
      </w:r>
      <w:r>
        <w:rPr>
          <w:rFonts w:hint="eastAsia" w:ascii="宋体" w:hAnsi="宋体" w:cs="宋体"/>
          <w:b/>
          <w:bCs/>
          <w:color w:val="000000" w:themeColor="text1"/>
          <w:kern w:val="0"/>
          <w:szCs w:val="21"/>
          <w:highlight w:val="none"/>
          <w14:textFill>
            <w14:solidFill>
              <w14:schemeClr w14:val="tx1"/>
            </w14:solidFill>
          </w14:textFill>
        </w:rPr>
        <w:t>实物礼品营销</w:t>
      </w:r>
      <w:bookmarkEnd w:id="279"/>
      <w:bookmarkEnd w:id="280"/>
      <w:bookmarkEnd w:id="281"/>
      <w:bookmarkEnd w:id="282"/>
      <w:bookmarkEnd w:id="283"/>
      <w:bookmarkEnd w:id="284"/>
      <w:bookmarkEnd w:id="285"/>
      <w:bookmarkEnd w:id="286"/>
      <w:bookmarkEnd w:id="287"/>
    </w:p>
    <w:p>
      <w:pPr>
        <w:widowControl/>
        <w:spacing w:line="400" w:lineRule="atLeast"/>
        <w:ind w:firstLine="424" w:firstLineChars="200"/>
        <w:rPr>
          <w:rFonts w:ascii="Times New Roman" w:hAnsi="Times New Roman" w:eastAsia="仿宋_GB2312"/>
          <w:color w:val="000000" w:themeColor="text1"/>
          <w:kern w:val="0"/>
          <w:szCs w:val="32"/>
          <w:highlight w:val="none"/>
          <w:lang w:eastAsia="zh-Hans"/>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随着“码”应用的广泛性，还可设置实物礼品营销。消费者通过扫描二维码领取精美优质礼品，增加消费满意度。</w:t>
      </w:r>
    </w:p>
    <w:p>
      <w:pPr>
        <w:widowControl/>
        <w:spacing w:line="440" w:lineRule="atLeast"/>
        <w:ind w:firstLine="424" w:firstLineChars="200"/>
        <w:rPr>
          <w:rFonts w:ascii="宋体" w:hAnsi="宋体" w:cs="宋体"/>
          <w:b/>
          <w:bCs/>
          <w:color w:val="000000" w:themeColor="text1"/>
          <w:kern w:val="0"/>
          <w:szCs w:val="21"/>
          <w:highlight w:val="none"/>
          <w:lang w:eastAsia="zh-Hans"/>
          <w14:textFill>
            <w14:solidFill>
              <w14:schemeClr w14:val="tx1"/>
            </w14:solidFill>
          </w14:textFill>
        </w:rPr>
      </w:pPr>
      <w:bookmarkStart w:id="288" w:name="_Toc505219878"/>
      <w:bookmarkStart w:id="289" w:name="_Toc295779328"/>
      <w:r>
        <w:rPr>
          <w:rFonts w:ascii="宋体" w:hAnsi="宋体" w:cs="宋体"/>
          <w:b/>
          <w:bCs/>
          <w:color w:val="000000" w:themeColor="text1"/>
          <w:kern w:val="0"/>
          <w:szCs w:val="21"/>
          <w:highlight w:val="none"/>
          <w:lang w:eastAsia="zh-Hans"/>
          <w14:textFill>
            <w14:solidFill>
              <w14:schemeClr w14:val="tx1"/>
            </w14:solidFill>
          </w14:textFill>
        </w:rPr>
        <w:t>7.一村一品打造</w:t>
      </w:r>
      <w:bookmarkEnd w:id="288"/>
      <w:bookmarkEnd w:id="289"/>
    </w:p>
    <w:p>
      <w:pPr>
        <w:widowControl/>
        <w:spacing w:line="44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乡村振兴，产业先行。产业作为乡村振兴的重要组成部分，发展以“产业”为核心的乡村建设是乡村振兴的应有之义。开展村级特色产业</w:t>
      </w:r>
      <w:r>
        <w:rPr>
          <w:rFonts w:hint="eastAsia" w:ascii="宋体" w:hAnsi="宋体" w:cs="宋体"/>
          <w:color w:val="000000" w:themeColor="text1"/>
          <w:kern w:val="0"/>
          <w:szCs w:val="21"/>
          <w:highlight w:val="none"/>
          <w:lang w:eastAsia="zh-Hans"/>
          <w14:textFill>
            <w14:solidFill>
              <w14:schemeClr w14:val="tx1"/>
            </w14:solidFill>
          </w14:textFill>
        </w:rPr>
        <w:t>建设</w:t>
      </w:r>
      <w:r>
        <w:rPr>
          <w:rFonts w:hint="eastAsia" w:ascii="宋体" w:hAnsi="宋体" w:cs="宋体"/>
          <w:color w:val="000000" w:themeColor="text1"/>
          <w:kern w:val="0"/>
          <w:szCs w:val="21"/>
          <w:highlight w:val="none"/>
          <w14:textFill>
            <w14:solidFill>
              <w14:schemeClr w14:val="tx1"/>
            </w14:solidFill>
          </w14:textFill>
        </w:rPr>
        <w:t>，串联村镇内相关</w:t>
      </w:r>
      <w:r>
        <w:rPr>
          <w:rFonts w:hint="eastAsia" w:ascii="宋体" w:hAnsi="宋体" w:cs="宋体"/>
          <w:color w:val="000000" w:themeColor="text1"/>
          <w:kern w:val="0"/>
          <w:szCs w:val="21"/>
          <w:highlight w:val="none"/>
          <w:lang w:eastAsia="zh-Hans"/>
          <w14:textFill>
            <w14:solidFill>
              <w14:schemeClr w14:val="tx1"/>
            </w14:solidFill>
          </w14:textFill>
        </w:rPr>
        <w:t>的优质</w:t>
      </w:r>
      <w:r>
        <w:rPr>
          <w:rFonts w:hint="eastAsia" w:ascii="宋体" w:hAnsi="宋体" w:cs="宋体"/>
          <w:color w:val="000000" w:themeColor="text1"/>
          <w:kern w:val="0"/>
          <w:szCs w:val="21"/>
          <w:highlight w:val="none"/>
          <w14:textFill>
            <w14:solidFill>
              <w14:schemeClr w14:val="tx1"/>
            </w14:solidFill>
          </w14:textFill>
        </w:rPr>
        <w:t>发展资源，</w:t>
      </w:r>
      <w:r>
        <w:rPr>
          <w:rFonts w:hint="eastAsia" w:ascii="宋体" w:hAnsi="宋体" w:cs="宋体"/>
          <w:color w:val="000000" w:themeColor="text1"/>
          <w:kern w:val="0"/>
          <w:szCs w:val="21"/>
          <w:highlight w:val="none"/>
          <w:lang w:eastAsia="zh-Hans"/>
          <w14:textFill>
            <w14:solidFill>
              <w14:schemeClr w14:val="tx1"/>
            </w14:solidFill>
          </w14:textFill>
        </w:rPr>
        <w:t>凸显村内产业、文化等各方面的魅力与优势，实现</w:t>
      </w:r>
      <w:r>
        <w:rPr>
          <w:rFonts w:hint="eastAsia" w:ascii="宋体" w:hAnsi="宋体" w:cs="宋体"/>
          <w:color w:val="000000" w:themeColor="text1"/>
          <w:kern w:val="0"/>
          <w:szCs w:val="21"/>
          <w:highlight w:val="none"/>
          <w14:textFill>
            <w14:solidFill>
              <w14:schemeClr w14:val="tx1"/>
            </w14:solidFill>
          </w14:textFill>
        </w:rPr>
        <w:t>一村一品</w:t>
      </w:r>
      <w:r>
        <w:rPr>
          <w:rFonts w:hint="eastAsia" w:ascii="宋体" w:hAnsi="宋体" w:cs="宋体"/>
          <w:color w:val="000000" w:themeColor="text1"/>
          <w:kern w:val="0"/>
          <w:szCs w:val="21"/>
          <w:highlight w:val="none"/>
          <w:lang w:eastAsia="zh-Hans"/>
          <w14:textFill>
            <w14:solidFill>
              <w14:schemeClr w14:val="tx1"/>
            </w14:solidFill>
          </w14:textFill>
        </w:rPr>
        <w:t>打造</w:t>
      </w:r>
      <w:r>
        <w:rPr>
          <w:rFonts w:hint="eastAsia" w:ascii="宋体" w:hAnsi="宋体" w:cs="宋体"/>
          <w:color w:val="000000" w:themeColor="text1"/>
          <w:kern w:val="0"/>
          <w:szCs w:val="21"/>
          <w:highlight w:val="none"/>
          <w14:textFill>
            <w14:solidFill>
              <w14:schemeClr w14:val="tx1"/>
            </w14:solidFill>
          </w14:textFill>
        </w:rPr>
        <w:t>，带动村集体和村民增收，促进村级</w:t>
      </w:r>
      <w:r>
        <w:rPr>
          <w:rFonts w:hint="eastAsia" w:ascii="宋体" w:hAnsi="宋体" w:cs="宋体"/>
          <w:color w:val="000000" w:themeColor="text1"/>
          <w:kern w:val="0"/>
          <w:szCs w:val="21"/>
          <w:highlight w:val="none"/>
          <w:lang w:eastAsia="zh-Hans"/>
          <w14:textFill>
            <w14:solidFill>
              <w14:schemeClr w14:val="tx1"/>
            </w14:solidFill>
          </w14:textFill>
        </w:rPr>
        <w:t>产业的</w:t>
      </w:r>
      <w:r>
        <w:rPr>
          <w:rFonts w:hint="eastAsia" w:ascii="宋体" w:hAnsi="宋体" w:cs="宋体"/>
          <w:color w:val="000000" w:themeColor="text1"/>
          <w:kern w:val="0"/>
          <w:szCs w:val="21"/>
          <w:highlight w:val="none"/>
          <w14:textFill>
            <w14:solidFill>
              <w14:schemeClr w14:val="tx1"/>
            </w14:solidFill>
          </w14:textFill>
        </w:rPr>
        <w:t>可持续发展。</w:t>
      </w:r>
    </w:p>
    <w:p>
      <w:pPr>
        <w:widowControl/>
        <w:spacing w:line="44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根据村内“特色产业或特色产业”现状，产业村建设主要围绕以下四大板块进行，促进产业协调、有序发展。</w:t>
      </w:r>
    </w:p>
    <w:p>
      <w:pPr>
        <w:widowControl/>
        <w:spacing w:line="44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第一大板块：品牌体系建设（以品牌推动村级特色产业标准化建设）</w:t>
      </w:r>
    </w:p>
    <w:p>
      <w:pPr>
        <w:widowControl/>
        <w:spacing w:line="44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①深入调研</w:t>
      </w:r>
      <w:r>
        <w:rPr>
          <w:rFonts w:hint="eastAsia" w:ascii="宋体" w:hAnsi="宋体" w:cs="宋体"/>
          <w:color w:val="000000" w:themeColor="text1"/>
          <w:kern w:val="0"/>
          <w:szCs w:val="21"/>
          <w:highlight w:val="none"/>
          <w:lang w:eastAsia="zh-Hans"/>
          <w14:textFill>
            <w14:solidFill>
              <w14:schemeClr w14:val="tx1"/>
            </w14:solidFill>
          </w14:textFill>
        </w:rPr>
        <w:t>走访</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Hans"/>
          <w14:textFill>
            <w14:solidFill>
              <w14:schemeClr w14:val="tx1"/>
            </w14:solidFill>
          </w14:textFill>
        </w:rPr>
        <w:t>全面搜集村、镇、县三级的相关政策文件与产业资料，</w:t>
      </w:r>
      <w:r>
        <w:rPr>
          <w:rFonts w:hint="eastAsia" w:ascii="宋体" w:hAnsi="宋体" w:cs="宋体"/>
          <w:color w:val="000000" w:themeColor="text1"/>
          <w:kern w:val="0"/>
          <w:szCs w:val="21"/>
          <w:highlight w:val="none"/>
          <w14:textFill>
            <w14:solidFill>
              <w14:schemeClr w14:val="tx1"/>
            </w14:solidFill>
          </w14:textFill>
        </w:rPr>
        <w:t>清晰把脉特色产业示范村发展现状</w:t>
      </w:r>
      <w:r>
        <w:rPr>
          <w:rFonts w:hint="eastAsia" w:ascii="宋体" w:hAnsi="宋体" w:cs="宋体"/>
          <w:color w:val="000000" w:themeColor="text1"/>
          <w:kern w:val="0"/>
          <w:szCs w:val="21"/>
          <w:highlight w:val="none"/>
          <w:lang w:eastAsia="zh-Hans"/>
          <w14:textFill>
            <w14:solidFill>
              <w14:schemeClr w14:val="tx1"/>
            </w14:solidFill>
          </w14:textFill>
        </w:rPr>
        <w:t>与未来趋势</w:t>
      </w:r>
      <w:r>
        <w:rPr>
          <w:rFonts w:hint="eastAsia" w:ascii="宋体" w:hAnsi="宋体" w:cs="宋体"/>
          <w:color w:val="000000" w:themeColor="text1"/>
          <w:kern w:val="0"/>
          <w:szCs w:val="21"/>
          <w:highlight w:val="none"/>
          <w14:textFill>
            <w14:solidFill>
              <w14:schemeClr w14:val="tx1"/>
            </w14:solidFill>
          </w14:textFill>
        </w:rPr>
        <w:t>，明确村内资源优势、特点以及市场需求实际，</w:t>
      </w:r>
      <w:r>
        <w:rPr>
          <w:rFonts w:hint="eastAsia" w:ascii="宋体" w:hAnsi="宋体" w:cs="宋体"/>
          <w:color w:val="000000" w:themeColor="text1"/>
          <w:kern w:val="0"/>
          <w:szCs w:val="21"/>
          <w:highlight w:val="none"/>
          <w:lang w:eastAsia="zh-Hans"/>
          <w14:textFill>
            <w14:solidFill>
              <w14:schemeClr w14:val="tx1"/>
            </w14:solidFill>
          </w14:textFill>
        </w:rPr>
        <w:t>为后续项目推进提供依据</w:t>
      </w:r>
      <w:r>
        <w:rPr>
          <w:rFonts w:hint="eastAsia" w:ascii="宋体" w:hAnsi="宋体" w:cs="宋体"/>
          <w:color w:val="000000" w:themeColor="text1"/>
          <w:kern w:val="0"/>
          <w:szCs w:val="21"/>
          <w:highlight w:val="none"/>
          <w14:textFill>
            <w14:solidFill>
              <w14:schemeClr w14:val="tx1"/>
            </w14:solidFill>
          </w14:textFill>
        </w:rPr>
        <w:t>。</w:t>
      </w:r>
    </w:p>
    <w:p>
      <w:pPr>
        <w:widowControl/>
        <w:spacing w:line="440" w:lineRule="atLeast"/>
        <w:ind w:firstLine="424" w:firstLineChars="200"/>
        <w:rPr>
          <w:rFonts w:ascii="宋体" w:hAnsi="宋体" w:cs="宋体"/>
          <w:color w:val="000000" w:themeColor="text1"/>
          <w:kern w:val="0"/>
          <w:szCs w:val="21"/>
          <w:highlight w:val="none"/>
          <w:lang w:eastAsia="zh-Hans"/>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hint="eastAsia" w:ascii="宋体" w:hAnsi="宋体" w:cs="宋体"/>
          <w:color w:val="000000" w:themeColor="text1"/>
          <w:kern w:val="0"/>
          <w:szCs w:val="21"/>
          <w:highlight w:val="none"/>
          <w:lang w:eastAsia="zh-Hans"/>
          <w14:textFill>
            <w14:solidFill>
              <w14:schemeClr w14:val="tx1"/>
            </w14:solidFill>
          </w14:textFill>
        </w:rPr>
        <w:t>产业价值提炼。通过对前期调研结果的分析，提炼出最关键、最核心的产业价值，能够为产业的可持续发展提供方向性指导。同时，根据产业价值输出村级产业发展顶层设计方案。</w:t>
      </w:r>
    </w:p>
    <w:p>
      <w:pPr>
        <w:widowControl/>
        <w:spacing w:line="44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③品牌体系</w:t>
      </w:r>
      <w:r>
        <w:rPr>
          <w:rFonts w:hint="eastAsia" w:ascii="宋体" w:hAnsi="宋体" w:cs="宋体"/>
          <w:color w:val="000000" w:themeColor="text1"/>
          <w:kern w:val="0"/>
          <w:szCs w:val="21"/>
          <w:highlight w:val="none"/>
          <w:lang w:eastAsia="zh-Hans"/>
          <w14:textFill>
            <w14:solidFill>
              <w14:schemeClr w14:val="tx1"/>
            </w14:solidFill>
          </w14:textFill>
        </w:rPr>
        <w:t>完善</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Hans"/>
          <w14:textFill>
            <w14:solidFill>
              <w14:schemeClr w14:val="tx1"/>
            </w14:solidFill>
          </w14:textFill>
        </w:rPr>
        <w:t>以产业价值为核心，</w:t>
      </w:r>
      <w:r>
        <w:rPr>
          <w:rFonts w:hint="eastAsia" w:ascii="宋体" w:hAnsi="宋体" w:cs="宋体"/>
          <w:color w:val="000000" w:themeColor="text1"/>
          <w:kern w:val="0"/>
          <w:szCs w:val="21"/>
          <w:highlight w:val="none"/>
          <w14:textFill>
            <w14:solidFill>
              <w14:schemeClr w14:val="tx1"/>
            </w14:solidFill>
          </w14:textFill>
        </w:rPr>
        <w:t>提炼品牌定位、品牌口号、品牌核心价值等品牌资产，</w:t>
      </w:r>
      <w:r>
        <w:rPr>
          <w:rFonts w:hint="eastAsia" w:ascii="宋体" w:hAnsi="宋体" w:cs="宋体"/>
          <w:color w:val="000000" w:themeColor="text1"/>
          <w:kern w:val="0"/>
          <w:szCs w:val="21"/>
          <w:highlight w:val="none"/>
          <w:lang w:eastAsia="zh-Hans"/>
          <w14:textFill>
            <w14:solidFill>
              <w14:schemeClr w14:val="tx1"/>
            </w14:solidFill>
          </w14:textFill>
        </w:rPr>
        <w:t>形成差异化的品牌价值体系。并</w:t>
      </w:r>
      <w:r>
        <w:rPr>
          <w:rFonts w:hint="eastAsia" w:ascii="宋体" w:hAnsi="宋体" w:cs="宋体"/>
          <w:color w:val="000000" w:themeColor="text1"/>
          <w:kern w:val="0"/>
          <w:szCs w:val="21"/>
          <w:highlight w:val="none"/>
          <w14:textFill>
            <w14:solidFill>
              <w14:schemeClr w14:val="tx1"/>
            </w14:solidFill>
          </w14:textFill>
        </w:rPr>
        <w:t>通过优秀的视觉设计，</w:t>
      </w:r>
      <w:r>
        <w:rPr>
          <w:rFonts w:hint="eastAsia" w:ascii="宋体" w:hAnsi="宋体" w:cs="宋体"/>
          <w:color w:val="000000" w:themeColor="text1"/>
          <w:kern w:val="0"/>
          <w:szCs w:val="21"/>
          <w:highlight w:val="none"/>
          <w:lang w:eastAsia="zh-Hans"/>
          <w14:textFill>
            <w14:solidFill>
              <w14:schemeClr w14:val="tx1"/>
            </w14:solidFill>
          </w14:textFill>
        </w:rPr>
        <w:t>打造品牌</w:t>
      </w:r>
      <w:r>
        <w:rPr>
          <w:rFonts w:ascii="宋体" w:hAnsi="宋体" w:cs="宋体"/>
          <w:color w:val="000000" w:themeColor="text1"/>
          <w:kern w:val="0"/>
          <w:szCs w:val="21"/>
          <w:highlight w:val="none"/>
          <w:lang w:eastAsia="zh-Hans"/>
          <w14:textFill>
            <w14:solidFill>
              <w14:schemeClr w14:val="tx1"/>
            </w14:solidFill>
          </w14:textFill>
        </w:rPr>
        <w:t>logo</w:t>
      </w:r>
      <w:r>
        <w:rPr>
          <w:rFonts w:hint="eastAsia" w:ascii="宋体" w:hAnsi="宋体" w:cs="宋体"/>
          <w:color w:val="000000" w:themeColor="text1"/>
          <w:kern w:val="0"/>
          <w:szCs w:val="21"/>
          <w:highlight w:val="none"/>
          <w:lang w:eastAsia="zh-Hans"/>
          <w14:textFill>
            <w14:solidFill>
              <w14:schemeClr w14:val="tx1"/>
            </w14:solidFill>
          </w14:textFill>
        </w:rPr>
        <w:t>和</w:t>
      </w:r>
      <w:r>
        <w:rPr>
          <w:rFonts w:ascii="宋体" w:hAnsi="宋体" w:cs="宋体"/>
          <w:color w:val="000000" w:themeColor="text1"/>
          <w:kern w:val="0"/>
          <w:szCs w:val="21"/>
          <w:highlight w:val="none"/>
          <w:lang w:eastAsia="zh-Hans"/>
          <w14:textFill>
            <w14:solidFill>
              <w14:schemeClr w14:val="tx1"/>
            </w14:solidFill>
          </w14:textFill>
        </w:rPr>
        <w:t>vi</w:t>
      </w:r>
      <w:r>
        <w:rPr>
          <w:rFonts w:hint="eastAsia" w:ascii="宋体" w:hAnsi="宋体" w:cs="宋体"/>
          <w:color w:val="000000" w:themeColor="text1"/>
          <w:kern w:val="0"/>
          <w:szCs w:val="21"/>
          <w:highlight w:val="none"/>
          <w:lang w:eastAsia="zh-Hans"/>
          <w14:textFill>
            <w14:solidFill>
              <w14:schemeClr w14:val="tx1"/>
            </w14:solidFill>
          </w14:textFill>
        </w:rPr>
        <w:t>体系，形成易识别的品牌视觉体系</w:t>
      </w:r>
      <w:r>
        <w:rPr>
          <w:rFonts w:hint="eastAsia" w:ascii="宋体" w:hAnsi="宋体" w:cs="宋体"/>
          <w:color w:val="000000" w:themeColor="text1"/>
          <w:kern w:val="0"/>
          <w:szCs w:val="21"/>
          <w:highlight w:val="none"/>
          <w14:textFill>
            <w14:solidFill>
              <w14:schemeClr w14:val="tx1"/>
            </w14:solidFill>
          </w14:textFill>
        </w:rPr>
        <w:t>。</w:t>
      </w:r>
    </w:p>
    <w:p>
      <w:pPr>
        <w:widowControl/>
        <w:spacing w:line="44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④</w:t>
      </w:r>
      <w:r>
        <w:rPr>
          <w:rFonts w:hint="eastAsia" w:ascii="宋体" w:hAnsi="宋体" w:cs="宋体"/>
          <w:color w:val="000000" w:themeColor="text1"/>
          <w:kern w:val="0"/>
          <w:szCs w:val="21"/>
          <w:highlight w:val="none"/>
          <w:lang w:eastAsia="zh-Hans"/>
          <w14:textFill>
            <w14:solidFill>
              <w14:schemeClr w14:val="tx1"/>
            </w14:solidFill>
          </w14:textFill>
        </w:rPr>
        <w:t>品牌</w:t>
      </w:r>
      <w:r>
        <w:rPr>
          <w:rFonts w:hint="eastAsia" w:ascii="宋体" w:hAnsi="宋体" w:cs="宋体"/>
          <w:color w:val="000000" w:themeColor="text1"/>
          <w:kern w:val="0"/>
          <w:szCs w:val="21"/>
          <w:highlight w:val="none"/>
          <w14:textFill>
            <w14:solidFill>
              <w14:schemeClr w14:val="tx1"/>
            </w14:solidFill>
          </w14:textFill>
        </w:rPr>
        <w:t>精准落地。</w:t>
      </w:r>
      <w:r>
        <w:rPr>
          <w:rFonts w:hint="eastAsia" w:ascii="宋体" w:hAnsi="宋体" w:cs="宋体"/>
          <w:color w:val="000000" w:themeColor="text1"/>
          <w:kern w:val="0"/>
          <w:szCs w:val="21"/>
          <w:highlight w:val="none"/>
          <w:lang w:eastAsia="zh-Hans"/>
          <w14:textFill>
            <w14:solidFill>
              <w14:schemeClr w14:val="tx1"/>
            </w14:solidFill>
          </w14:textFill>
        </w:rPr>
        <w:t>将</w:t>
      </w:r>
      <w:r>
        <w:rPr>
          <w:rFonts w:hint="eastAsia" w:ascii="宋体" w:hAnsi="宋体" w:cs="宋体"/>
          <w:color w:val="000000" w:themeColor="text1"/>
          <w:kern w:val="0"/>
          <w:szCs w:val="21"/>
          <w:highlight w:val="none"/>
          <w14:textFill>
            <w14:solidFill>
              <w14:schemeClr w14:val="tx1"/>
            </w14:solidFill>
          </w14:textFill>
        </w:rPr>
        <w:t>村委及村内经济合作社</w:t>
      </w:r>
      <w:r>
        <w:rPr>
          <w:rFonts w:hint="eastAsia" w:ascii="宋体" w:hAnsi="宋体" w:cs="宋体"/>
          <w:color w:val="000000" w:themeColor="text1"/>
          <w:kern w:val="0"/>
          <w:szCs w:val="21"/>
          <w:highlight w:val="none"/>
          <w:lang w:eastAsia="zh-Hans"/>
          <w14:textFill>
            <w14:solidFill>
              <w14:schemeClr w14:val="tx1"/>
            </w14:solidFill>
          </w14:textFill>
        </w:rPr>
        <w:t>做为品牌拥有者和使用者</w:t>
      </w:r>
      <w:r>
        <w:rPr>
          <w:rFonts w:hint="eastAsia" w:ascii="宋体" w:hAnsi="宋体" w:cs="宋体"/>
          <w:color w:val="000000" w:themeColor="text1"/>
          <w:kern w:val="0"/>
          <w:szCs w:val="21"/>
          <w:highlight w:val="none"/>
          <w14:textFill>
            <w14:solidFill>
              <w14:schemeClr w14:val="tx1"/>
            </w14:solidFill>
          </w14:textFill>
        </w:rPr>
        <w:t>，推动村级品牌体系在村级农产品上的标准化应用，</w:t>
      </w:r>
      <w:r>
        <w:rPr>
          <w:rFonts w:hint="eastAsia" w:ascii="宋体" w:hAnsi="宋体" w:cs="宋体"/>
          <w:color w:val="000000" w:themeColor="text1"/>
          <w:kern w:val="0"/>
          <w:szCs w:val="21"/>
          <w:highlight w:val="none"/>
          <w:lang w:eastAsia="zh-Hans"/>
          <w14:textFill>
            <w14:solidFill>
              <w14:schemeClr w14:val="tx1"/>
            </w14:solidFill>
          </w14:textFill>
        </w:rPr>
        <w:t>在村内氛围建设上的创意化展现，在市场和媒体上的多元化营销</w:t>
      </w:r>
      <w:r>
        <w:rPr>
          <w:rFonts w:hint="eastAsia" w:ascii="宋体" w:hAnsi="宋体" w:cs="宋体"/>
          <w:color w:val="000000" w:themeColor="text1"/>
          <w:kern w:val="0"/>
          <w:szCs w:val="21"/>
          <w:highlight w:val="none"/>
          <w14:textFill>
            <w14:solidFill>
              <w14:schemeClr w14:val="tx1"/>
            </w14:solidFill>
          </w14:textFill>
        </w:rPr>
        <w:t>。</w:t>
      </w:r>
    </w:p>
    <w:p>
      <w:pPr>
        <w:widowControl/>
        <w:spacing w:line="44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⑤品牌产品开发。以市场需求</w:t>
      </w:r>
      <w:r>
        <w:rPr>
          <w:rFonts w:hint="eastAsia" w:ascii="宋体" w:hAnsi="宋体" w:cs="宋体"/>
          <w:color w:val="000000" w:themeColor="text1"/>
          <w:kern w:val="0"/>
          <w:szCs w:val="21"/>
          <w:highlight w:val="none"/>
          <w:lang w:eastAsia="zh-Hans"/>
          <w14:textFill>
            <w14:solidFill>
              <w14:schemeClr w14:val="tx1"/>
            </w14:solidFill>
          </w14:textFill>
        </w:rPr>
        <w:t>为导向</w:t>
      </w:r>
      <w:r>
        <w:rPr>
          <w:rFonts w:hint="eastAsia" w:ascii="宋体" w:hAnsi="宋体" w:cs="宋体"/>
          <w:color w:val="000000" w:themeColor="text1"/>
          <w:kern w:val="0"/>
          <w:szCs w:val="21"/>
          <w:highlight w:val="none"/>
          <w14:textFill>
            <w14:solidFill>
              <w14:schemeClr w14:val="tx1"/>
            </w14:solidFill>
          </w14:textFill>
        </w:rPr>
        <w:t>，结合村内发展资源及未来趋势，按照村级区域公用品牌的准入要求，从产品标准、卖点、包装等维度进行全方位的产品打造，使产品摆脱传统土货的标签，成为符合市场要求的网红产品，使其具备对接大市场的能力。</w:t>
      </w:r>
    </w:p>
    <w:p>
      <w:pPr>
        <w:widowControl/>
        <w:spacing w:line="44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第二大板块：营销体系建设（以“平台</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活动”推动产品营销）</w:t>
      </w:r>
    </w:p>
    <w:p>
      <w:pPr>
        <w:widowControl/>
        <w:spacing w:line="44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①上线新零售平台。对接浙江省官方农产品新零售平台</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Hans"/>
          <w14:textFill>
            <w14:solidFill>
              <w14:schemeClr w14:val="tx1"/>
            </w14:solidFill>
          </w14:textFill>
        </w:rPr>
        <w:t>电商平台</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Hans"/>
          <w14:textFill>
            <w14:solidFill>
              <w14:schemeClr w14:val="tx1"/>
            </w14:solidFill>
          </w14:textFill>
        </w:rPr>
        <w:t>使产品突破地域范围限制，走向全省甚至全国，助力产业触网升级</w:t>
      </w:r>
      <w:r>
        <w:rPr>
          <w:rFonts w:hint="eastAsia" w:ascii="宋体" w:hAnsi="宋体" w:cs="宋体"/>
          <w:color w:val="000000" w:themeColor="text1"/>
          <w:kern w:val="0"/>
          <w:szCs w:val="21"/>
          <w:highlight w:val="none"/>
          <w14:textFill>
            <w14:solidFill>
              <w14:schemeClr w14:val="tx1"/>
            </w14:solidFill>
          </w14:textFill>
        </w:rPr>
        <w:t>。</w:t>
      </w:r>
    </w:p>
    <w:p>
      <w:pPr>
        <w:widowControl/>
        <w:spacing w:line="44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②开展线上线下活动。以</w:t>
      </w:r>
      <w:r>
        <w:rPr>
          <w:rFonts w:hint="eastAsia" w:ascii="宋体" w:hAnsi="宋体" w:cs="宋体"/>
          <w:color w:val="000000" w:themeColor="text1"/>
          <w:kern w:val="0"/>
          <w:szCs w:val="21"/>
          <w:highlight w:val="none"/>
          <w:lang w:eastAsia="zh-Hans"/>
          <w14:textFill>
            <w14:solidFill>
              <w14:schemeClr w14:val="tx1"/>
            </w14:solidFill>
          </w14:textFill>
        </w:rPr>
        <w:t>电商</w:t>
      </w:r>
      <w:r>
        <w:rPr>
          <w:rFonts w:hint="eastAsia" w:ascii="宋体" w:hAnsi="宋体" w:cs="宋体"/>
          <w:color w:val="000000" w:themeColor="text1"/>
          <w:kern w:val="0"/>
          <w:szCs w:val="21"/>
          <w:highlight w:val="none"/>
          <w14:textFill>
            <w14:solidFill>
              <w14:schemeClr w14:val="tx1"/>
            </w14:solidFill>
          </w14:textFill>
        </w:rPr>
        <w:t>平台为依托，充分结合平台营销规则和平台的活动资源，为村集体店铺举办线上营销活动，通过优惠券、折扣等形式，吸引广大消费者前来购买村级农产品，提升产品的销售量和活动的影响力。同时结合线下大型农事节庆活动，进步提升产品销量和品牌知名度。</w:t>
      </w:r>
    </w:p>
    <w:p>
      <w:pPr>
        <w:spacing w:line="44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③开展电商营销培训。制定“村书记、村两委班子、村红、村民”四位一体的培训体系，</w:t>
      </w:r>
      <w:r>
        <w:rPr>
          <w:rFonts w:hint="eastAsia" w:ascii="宋体" w:hAnsi="宋体" w:cs="宋体"/>
          <w:color w:val="000000" w:themeColor="text1"/>
          <w:kern w:val="0"/>
          <w:szCs w:val="21"/>
          <w:highlight w:val="none"/>
          <w:lang w:eastAsia="zh-Hans"/>
          <w14:textFill>
            <w14:solidFill>
              <w14:schemeClr w14:val="tx1"/>
            </w14:solidFill>
          </w14:textFill>
        </w:rPr>
        <w:t>使其掌握电商相关知识和技能，使电商能够在产业发展中发挥更大作用</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Hans"/>
          <w14:textFill>
            <w14:solidFill>
              <w14:schemeClr w14:val="tx1"/>
            </w14:solidFill>
          </w14:textFill>
        </w:rPr>
        <w:t>进一步提升产业效益</w:t>
      </w:r>
      <w:r>
        <w:rPr>
          <w:rFonts w:hint="eastAsia" w:ascii="宋体" w:hAnsi="宋体" w:cs="宋体"/>
          <w:color w:val="000000" w:themeColor="text1"/>
          <w:kern w:val="0"/>
          <w:szCs w:val="21"/>
          <w:highlight w:val="none"/>
          <w14:textFill>
            <w14:solidFill>
              <w14:schemeClr w14:val="tx1"/>
            </w14:solidFill>
          </w14:textFill>
        </w:rPr>
        <w:t>，从而</w:t>
      </w:r>
      <w:r>
        <w:rPr>
          <w:rFonts w:hint="eastAsia" w:ascii="宋体" w:hAnsi="宋体" w:cs="宋体"/>
          <w:color w:val="000000" w:themeColor="text1"/>
          <w:kern w:val="0"/>
          <w:szCs w:val="21"/>
          <w:highlight w:val="none"/>
          <w:lang w:eastAsia="zh-Hans"/>
          <w14:textFill>
            <w14:solidFill>
              <w14:schemeClr w14:val="tx1"/>
            </w14:solidFill>
          </w14:textFill>
        </w:rPr>
        <w:t>增强</w:t>
      </w:r>
      <w:r>
        <w:rPr>
          <w:rFonts w:hint="eastAsia" w:ascii="宋体" w:hAnsi="宋体" w:cs="宋体"/>
          <w:color w:val="000000" w:themeColor="text1"/>
          <w:kern w:val="0"/>
          <w:szCs w:val="21"/>
          <w:highlight w:val="none"/>
          <w14:textFill>
            <w14:solidFill>
              <w14:schemeClr w14:val="tx1"/>
            </w14:solidFill>
          </w14:textFill>
        </w:rPr>
        <w:t>村集体经济和村民增收能力。</w:t>
      </w:r>
    </w:p>
    <w:p>
      <w:pPr>
        <w:widowControl/>
        <w:spacing w:line="44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第三大板块：村内氛围建设（以“一户一码”为核心氛围建设）</w:t>
      </w:r>
    </w:p>
    <w:p>
      <w:pPr>
        <w:widowControl/>
        <w:spacing w:line="44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①村头打造。村头是村庄的第一入口，</w:t>
      </w:r>
      <w:r>
        <w:rPr>
          <w:rFonts w:hint="eastAsia" w:ascii="宋体" w:hAnsi="宋体" w:cs="宋体"/>
          <w:color w:val="000000" w:themeColor="text1"/>
          <w:kern w:val="0"/>
          <w:szCs w:val="21"/>
          <w:highlight w:val="none"/>
          <w:lang w:eastAsia="zh-Hans"/>
          <w14:textFill>
            <w14:solidFill>
              <w14:schemeClr w14:val="tx1"/>
            </w14:solidFill>
          </w14:textFill>
        </w:rPr>
        <w:t>是村庄的第一印象</w:t>
      </w:r>
      <w:r>
        <w:rPr>
          <w:rFonts w:hint="eastAsia" w:ascii="宋体" w:hAnsi="宋体" w:cs="宋体"/>
          <w:color w:val="000000" w:themeColor="text1"/>
          <w:kern w:val="0"/>
          <w:szCs w:val="21"/>
          <w:highlight w:val="none"/>
          <w14:textFill>
            <w14:solidFill>
              <w14:schemeClr w14:val="tx1"/>
            </w14:solidFill>
          </w14:textFill>
        </w:rPr>
        <w:t>。根据“产业</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电商</w:t>
      </w:r>
      <w:r>
        <w:rPr>
          <w:rFonts w:hint="eastAsia" w:ascii="宋体" w:hAnsi="宋体" w:cs="宋体"/>
          <w:color w:val="000000" w:themeColor="text1"/>
          <w:kern w:val="0"/>
          <w:szCs w:val="21"/>
          <w:highlight w:val="none"/>
          <w:lang w:eastAsia="zh-Hans"/>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的核心主题要求，在村头打造醒目的电商氛围标识。</w:t>
      </w:r>
    </w:p>
    <w:p>
      <w:pPr>
        <w:widowControl/>
        <w:spacing w:line="44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一户一码。发动、鼓励村民进行“全民电商”，以村主导产业、产品为抓手，在上线电商平台后，通过海报张贴，完善村内“一户一码”建设，实现村内产品网销二维码全覆盖，既引导游客消费欲望，也提升了村级产业示范村氛围特色。</w:t>
      </w:r>
    </w:p>
    <w:p>
      <w:pPr>
        <w:widowControl/>
        <w:spacing w:line="44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③村内打造。在村内将本地文化元素与特色产业元素相融合，通过墙绘、指路牌、景观小品等形式，对村级产业特色和乡村魅力进行介绍和展示。</w:t>
      </w:r>
    </w:p>
    <w:p>
      <w:pPr>
        <w:widowControl/>
        <w:spacing w:line="44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第四大板块：传播体系建设（以“形象片</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媒体推广”为核心）</w:t>
      </w:r>
    </w:p>
    <w:p>
      <w:pPr>
        <w:widowControl/>
        <w:spacing w:line="44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①形象片拍摄。根据各个村内的主导产业优势，结合“产业</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电商”的传播主题，拍摄覆盖产业链各环节的宣传片，充分体现当地产业特色。同时在电视媒体推广播放，助力村级特色产业在更远范围内传播和认知度提升。</w:t>
      </w:r>
    </w:p>
    <w:p>
      <w:pPr>
        <w:widowControl/>
        <w:spacing w:line="44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hint="eastAsia" w:ascii="宋体" w:hAnsi="宋体" w:cs="宋体"/>
          <w:color w:val="000000" w:themeColor="text1"/>
          <w:kern w:val="0"/>
          <w:szCs w:val="21"/>
          <w:highlight w:val="none"/>
          <w:lang w:eastAsia="zh-Hans"/>
          <w14:textFill>
            <w14:solidFill>
              <w14:schemeClr w14:val="tx1"/>
            </w14:solidFill>
          </w14:textFill>
        </w:rPr>
        <w:t>短视频拍摄。以村内产品、氛围、活动等为主题，拍摄宣传短视频，对村内的魅力进行全面展现，并在微信视频号、抖音、快手等短视频平台进行发布，在更大范围内提升当地的知名度与美誉度。</w:t>
      </w:r>
    </w:p>
    <w:p>
      <w:pPr>
        <w:widowControl/>
        <w:spacing w:line="440" w:lineRule="atLeas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③媒体推广。以“电视媒体</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户外媒体</w:t>
      </w:r>
      <w:r>
        <w:rPr>
          <w:rFonts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新媒体”为主要传播阵地，实现特色产业在全网主流媒体覆盖，对村内电商化打造、农产品上行、平台营销活动等情况进行详细报道和阐述，提升村内产业的行业影响力。</w:t>
      </w:r>
    </w:p>
    <w:p>
      <w:pPr>
        <w:widowControl/>
        <w:spacing w:line="440" w:lineRule="atLeast"/>
        <w:ind w:firstLine="424" w:firstLineChars="200"/>
        <w:rPr>
          <w:rFonts w:ascii="宋体" w:hAnsi="宋体" w:cs="宋体"/>
          <w:b/>
          <w:bCs/>
          <w:color w:val="000000" w:themeColor="text1"/>
          <w:kern w:val="0"/>
          <w:szCs w:val="21"/>
          <w:highlight w:val="none"/>
          <w:lang w:eastAsia="zh-Hans"/>
          <w14:textFill>
            <w14:solidFill>
              <w14:schemeClr w14:val="tx1"/>
            </w14:solidFill>
          </w14:textFill>
        </w:rPr>
      </w:pPr>
      <w:r>
        <w:rPr>
          <w:rFonts w:ascii="宋体" w:hAnsi="宋体" w:cs="宋体"/>
          <w:b/>
          <w:bCs/>
          <w:color w:val="000000" w:themeColor="text1"/>
          <w:kern w:val="0"/>
          <w:szCs w:val="21"/>
          <w:highlight w:val="none"/>
          <w:lang w:eastAsia="zh-Hans"/>
          <w14:textFill>
            <w14:solidFill>
              <w14:schemeClr w14:val="tx1"/>
            </w14:solidFill>
          </w14:textFill>
        </w:rPr>
        <w:t>8.</w:t>
      </w:r>
      <w:r>
        <w:rPr>
          <w:rFonts w:hint="eastAsia" w:ascii="宋体" w:hAnsi="宋体" w:cs="宋体"/>
          <w:b/>
          <w:bCs/>
          <w:color w:val="000000" w:themeColor="text1"/>
          <w:kern w:val="0"/>
          <w:szCs w:val="21"/>
          <w:highlight w:val="none"/>
          <w:lang w:eastAsia="zh-Hans"/>
          <w14:textFill>
            <w14:solidFill>
              <w14:schemeClr w14:val="tx1"/>
            </w14:solidFill>
          </w14:textFill>
        </w:rPr>
        <w:t>智慧园区监管系统</w:t>
      </w:r>
    </w:p>
    <w:p>
      <w:pPr>
        <w:spacing w:line="44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经济快速发展和政府政策的推动下，以产业聚焦为手段的园区经济发展迅速。园区规划建设整体性越来越强，更加注重各种基础配套设施，以更好的服务促进园区内产业的发展，尤其是注重产业园区的信息化建设，构建互联互通、资源共享的信息资源网络，以信息化带动产业化是加快产业园区发展的重要手段。 </w:t>
      </w:r>
    </w:p>
    <w:p>
      <w:pPr>
        <w:spacing w:line="440" w:lineRule="exac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此大形势下，常山县乡村振兴特色产业园项目为充分发挥数字农业、产业融合、文旅创新等为园区内的业主、企业、客户、游客等提供全方位的一体化智慧园区管理，园区以大数据和物联网技术为基础，实现园区的总体实时监控、预警和调度，同时按照分区功能不同进行差异化管理，从而达到对人、车、物的智慧智能管理，一方面提升园区管理能力的同时降低管理成本，另一方面为园区内的入驻企业带来便捷的服务，支持入驻企业的产业融合发展，再一方面为进入园区的客商、游客提供智慧化的公共服务。</w:t>
      </w:r>
    </w:p>
    <w:p>
      <w:pPr>
        <w:spacing w:line="440" w:lineRule="exac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常山县乡村振兴特色产业园智慧园区管理，立足于总体规划、分布实时原则，按照为业主、入驻企业、客商游客规划不同的应用管理场景，具体建设要求如下：</w:t>
      </w:r>
    </w:p>
    <w:p>
      <w:pPr>
        <w:spacing w:line="440" w:lineRule="exact"/>
        <w:ind w:firstLine="424"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Hans"/>
          <w14:textFill>
            <w14:solidFill>
              <w14:schemeClr w14:val="tx1"/>
            </w14:solidFill>
          </w14:textFill>
        </w:rPr>
        <w:t>（</w:t>
      </w:r>
      <w:r>
        <w:rPr>
          <w:rFonts w:ascii="宋体" w:hAnsi="宋体" w:cs="宋体"/>
          <w:color w:val="000000" w:themeColor="text1"/>
          <w:kern w:val="0"/>
          <w:szCs w:val="21"/>
          <w:highlight w:val="none"/>
          <w:lang w:eastAsia="zh-Hans"/>
          <w14:textFill>
            <w14:solidFill>
              <w14:schemeClr w14:val="tx1"/>
            </w14:solidFill>
          </w14:textFill>
        </w:rPr>
        <w:t>1</w:t>
      </w:r>
      <w:r>
        <w:rPr>
          <w:rFonts w:hint="eastAsia" w:ascii="宋体" w:hAnsi="宋体" w:cs="宋体"/>
          <w:color w:val="000000" w:themeColor="text1"/>
          <w:kern w:val="0"/>
          <w:szCs w:val="21"/>
          <w:highlight w:val="none"/>
          <w:lang w:eastAsia="zh-Hans"/>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资产管理，实现园区资产的全生命周期管理，从资产台账、资产卡片的建立，到资产过程异动的管理，形成全面的数据和业务管理流程，同时对商铺资产实现日常租赁的管理，包括招商、合同、租金管理等。</w:t>
      </w:r>
    </w:p>
    <w:p>
      <w:pPr>
        <w:spacing w:line="44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eastAsia="zh-Hans"/>
          <w14:textFill>
            <w14:solidFill>
              <w14:schemeClr w14:val="tx1"/>
            </w14:solidFill>
          </w14:textFill>
        </w:rPr>
        <w:t>（</w:t>
      </w:r>
      <w:r>
        <w:rPr>
          <w:rFonts w:ascii="宋体" w:hAnsi="宋体" w:cs="宋体"/>
          <w:color w:val="000000" w:themeColor="text1"/>
          <w:kern w:val="0"/>
          <w:szCs w:val="21"/>
          <w:highlight w:val="none"/>
          <w:lang w:eastAsia="zh-Hans"/>
          <w14:textFill>
            <w14:solidFill>
              <w14:schemeClr w14:val="tx1"/>
            </w14:solidFill>
          </w14:textFill>
        </w:rPr>
        <w:t>2</w:t>
      </w:r>
      <w:r>
        <w:rPr>
          <w:rFonts w:hint="eastAsia" w:ascii="宋体" w:hAnsi="宋体" w:cs="宋体"/>
          <w:color w:val="000000" w:themeColor="text1"/>
          <w:kern w:val="0"/>
          <w:szCs w:val="21"/>
          <w:highlight w:val="none"/>
          <w:lang w:eastAsia="zh-Hans"/>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物业管理，建立一套物业全面管理系统，实现从企业入驻到退场的全面管理，同时对园区内的设施设备、安保、绿化、保洁等进行全面的管理。包括不限于：</w:t>
      </w:r>
      <w:r>
        <w:rPr>
          <w:rFonts w:hint="eastAsia" w:ascii="宋体" w:hAnsi="宋体" w:cs="宋体"/>
          <w:color w:val="000000" w:themeColor="text1"/>
          <w:szCs w:val="21"/>
          <w:highlight w:val="none"/>
          <w14:textFill>
            <w14:solidFill>
              <w14:schemeClr w14:val="tx1"/>
            </w14:solidFill>
          </w14:textFill>
        </w:rPr>
        <w:t>物业收费、报修管理、失物招领、寻人启事、商铺出租、巡更巡检、设备管理、安保管理、绿化管理、保洁管理、报表管理。</w:t>
      </w:r>
    </w:p>
    <w:p>
      <w:pPr>
        <w:spacing w:line="44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w:t>
      </w:r>
      <w:r>
        <w:rPr>
          <w:rFonts w:ascii="宋体" w:hAnsi="宋体" w:cs="宋体"/>
          <w:color w:val="000000" w:themeColor="text1"/>
          <w:szCs w:val="21"/>
          <w:highlight w:val="none"/>
          <w:lang w:eastAsia="zh-Hans"/>
          <w14:textFill>
            <w14:solidFill>
              <w14:schemeClr w14:val="tx1"/>
            </w14:solidFill>
          </w14:textFill>
        </w:rPr>
        <w:t>3</w:t>
      </w:r>
      <w:r>
        <w:rPr>
          <w:rFonts w:hint="eastAsia" w:ascii="宋体" w:hAnsi="宋体" w:cs="宋体"/>
          <w:color w:val="000000" w:themeColor="text1"/>
          <w:szCs w:val="21"/>
          <w:highlight w:val="none"/>
          <w:lang w:eastAsia="zh-Hans"/>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财务管理，建立门票票务管理系统，实现门票产品、价格管理，同时实现入园分时预约管理等，同时实现与</w:t>
      </w:r>
      <w:r>
        <w:rPr>
          <w:rFonts w:ascii="宋体" w:hAnsi="宋体" w:cs="宋体"/>
          <w:color w:val="000000" w:themeColor="text1"/>
          <w:szCs w:val="21"/>
          <w:highlight w:val="none"/>
          <w14:textFill>
            <w14:solidFill>
              <w14:schemeClr w14:val="tx1"/>
            </w14:solidFill>
          </w14:textFill>
        </w:rPr>
        <w:t>OTA</w:t>
      </w:r>
      <w:r>
        <w:rPr>
          <w:rFonts w:hint="eastAsia" w:ascii="宋体" w:hAnsi="宋体" w:cs="宋体"/>
          <w:color w:val="000000" w:themeColor="text1"/>
          <w:szCs w:val="21"/>
          <w:highlight w:val="none"/>
          <w14:textFill>
            <w14:solidFill>
              <w14:schemeClr w14:val="tx1"/>
            </w14:solidFill>
          </w14:textFill>
        </w:rPr>
        <w:t>的无缝对接，实现线下窗口、线上的数据统一销售和数据同步；实现园区内商业的统一收银和结算管理，并实现整个园区的结算，建立一套结算管理系统。</w:t>
      </w:r>
    </w:p>
    <w:p>
      <w:pPr>
        <w:spacing w:line="44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w:t>
      </w:r>
      <w:r>
        <w:rPr>
          <w:rFonts w:ascii="宋体" w:hAnsi="宋体" w:cs="宋体"/>
          <w:color w:val="000000" w:themeColor="text1"/>
          <w:szCs w:val="21"/>
          <w:highlight w:val="none"/>
          <w:lang w:eastAsia="zh-Hans"/>
          <w14:textFill>
            <w14:solidFill>
              <w14:schemeClr w14:val="tx1"/>
            </w14:solidFill>
          </w14:textFill>
        </w:rPr>
        <w:t>4</w:t>
      </w:r>
      <w:r>
        <w:rPr>
          <w:rFonts w:hint="eastAsia" w:ascii="宋体" w:hAnsi="宋体" w:cs="宋体"/>
          <w:color w:val="000000" w:themeColor="text1"/>
          <w:szCs w:val="21"/>
          <w:highlight w:val="none"/>
          <w:lang w:eastAsia="zh-Hans"/>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安防管理，对园区的主次出入口、交叉路口、周界四周、建筑物一层主出入口、消防通道、门厅、电梯轿厢、机房、餐饮消费等公共区域实现视频监控的覆盖；实现与园区公共广播系统的对接，并实现园区实时广播、定时广播和分区广播；实现园区主要设施设备的报警、故障信息的对接，实现实时的监测故障信息，并及时将信息报送相关管理人员；通过统一管理平台，实现对园区维护人员、保洁、安保、讲解人员的统一调度。</w:t>
      </w:r>
    </w:p>
    <w:p>
      <w:pPr>
        <w:spacing w:line="44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w:t>
      </w:r>
      <w:r>
        <w:rPr>
          <w:rFonts w:ascii="宋体" w:hAnsi="宋体" w:cs="宋体"/>
          <w:color w:val="000000" w:themeColor="text1"/>
          <w:szCs w:val="21"/>
          <w:highlight w:val="none"/>
          <w:lang w:eastAsia="zh-Hans"/>
          <w14:textFill>
            <w14:solidFill>
              <w14:schemeClr w14:val="tx1"/>
            </w14:solidFill>
          </w14:textFill>
        </w:rPr>
        <w:t>5</w:t>
      </w:r>
      <w:r>
        <w:rPr>
          <w:rFonts w:hint="eastAsia" w:ascii="宋体" w:hAnsi="宋体" w:cs="宋体"/>
          <w:color w:val="000000" w:themeColor="text1"/>
          <w:szCs w:val="21"/>
          <w:highlight w:val="none"/>
          <w:lang w:eastAsia="zh-Hans"/>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人行管理，按照进入园区不同人员，分别能建立不同的门禁权限，并能通过身份证、人脸、介质卡、二维码等方式入园。对门禁设施设备要具备在线和离线两种工作模式，在离线时也能正常运行。</w:t>
      </w:r>
    </w:p>
    <w:p>
      <w:pPr>
        <w:pStyle w:val="38"/>
        <w:spacing w:line="440" w:lineRule="exact"/>
        <w:ind w:firstLine="424" w:firstLineChars="200"/>
        <w:rPr>
          <w:rFonts w:ascii="宋体" w:hAnsi="宋体" w:eastAsia="宋体" w:cs="宋体"/>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color w:val="000000" w:themeColor="text1"/>
          <w:sz w:val="21"/>
          <w:szCs w:val="21"/>
          <w:highlight w:val="none"/>
          <w:lang w:eastAsia="zh-Hans"/>
          <w14:textFill>
            <w14:solidFill>
              <w14:schemeClr w14:val="tx1"/>
            </w14:solidFill>
          </w14:textFill>
        </w:rPr>
        <w:t>（</w:t>
      </w:r>
      <w:r>
        <w:rPr>
          <w:rFonts w:ascii="宋体" w:hAnsi="宋体" w:eastAsia="宋体" w:cs="宋体"/>
          <w:color w:val="000000" w:themeColor="text1"/>
          <w:sz w:val="21"/>
          <w:szCs w:val="21"/>
          <w:highlight w:val="none"/>
          <w:lang w:eastAsia="zh-Hans"/>
          <w14:textFill>
            <w14:solidFill>
              <w14:schemeClr w14:val="tx1"/>
            </w14:solidFill>
          </w14:textFill>
        </w:rPr>
        <w:t>6</w:t>
      </w:r>
      <w:r>
        <w:rPr>
          <w:rFonts w:hint="eastAsia"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车行管理，集成园区各相关终端设备，建议统一的车行服务平台系统，实现基于现出交通情况进行最优路线规划，以识别车牌号为基础，形成行车线路、停车引导等。同时实现停车费的便捷支付，临时支付和包月支付多种模式。实现车行管理的综合查询分析，特别是对车流、僵尸车、用户分析、充值分析、消费分析、车场分析、车流分析、以及相关设备稳定情况等。</w:t>
      </w:r>
    </w:p>
    <w:p>
      <w:pPr>
        <w:pStyle w:val="8"/>
        <w:adjustRightInd w:val="0"/>
        <w:snapToGrid w:val="0"/>
        <w:spacing w:before="0" w:after="0" w:line="560" w:lineRule="exact"/>
        <w:ind w:firstLine="644" w:firstLineChars="200"/>
        <w:rPr>
          <w:rFonts w:ascii="Times New Roman" w:hAnsi="Times New Roman" w:eastAsia="楷体"/>
          <w:color w:val="000000" w:themeColor="text1"/>
          <w:highlight w:val="none"/>
          <w:lang w:eastAsia="zh-Hans"/>
          <w14:textFill>
            <w14:solidFill>
              <w14:schemeClr w14:val="tx1"/>
            </w14:solidFill>
          </w14:textFill>
        </w:rPr>
      </w:pPr>
      <w:r>
        <w:rPr>
          <w:rFonts w:hint="eastAsia" w:ascii="Times New Roman" w:hAnsi="Times New Roman" w:eastAsia="楷体"/>
          <w:color w:val="000000" w:themeColor="text1"/>
          <w:highlight w:val="none"/>
          <w:lang w:eastAsia="zh-Hans"/>
          <w14:textFill>
            <w14:solidFill>
              <w14:schemeClr w14:val="tx1"/>
            </w14:solidFill>
          </w14:textFill>
        </w:rPr>
        <w:t>（四）数据运营</w:t>
      </w:r>
    </w:p>
    <w:p>
      <w:pPr>
        <w:adjustRightInd w:val="0"/>
        <w:snapToGrid w:val="0"/>
        <w:spacing w:line="440" w:lineRule="atLeast"/>
        <w:ind w:firstLine="424" w:firstLineChars="200"/>
        <w:rPr>
          <w:rFonts w:ascii="宋体" w:hAnsi="宋体" w:cs="宋体"/>
          <w:b/>
          <w:bCs/>
          <w:color w:val="000000" w:themeColor="text1"/>
          <w:szCs w:val="21"/>
          <w:highlight w:val="none"/>
          <w:lang w:eastAsia="zh-Hans"/>
          <w14:textFill>
            <w14:solidFill>
              <w14:schemeClr w14:val="tx1"/>
            </w14:solidFill>
          </w14:textFill>
        </w:rPr>
      </w:pPr>
      <w:r>
        <w:rPr>
          <w:rFonts w:ascii="宋体" w:hAnsi="宋体" w:cs="宋体"/>
          <w:b/>
          <w:bCs/>
          <w:color w:val="000000" w:themeColor="text1"/>
          <w:szCs w:val="21"/>
          <w:highlight w:val="none"/>
          <w:lang w:eastAsia="zh-Hans"/>
          <w14:textFill>
            <w14:solidFill>
              <w14:schemeClr w14:val="tx1"/>
            </w14:solidFill>
          </w14:textFill>
        </w:rPr>
        <w:t>1.</w:t>
      </w:r>
      <w:r>
        <w:rPr>
          <w:rFonts w:hint="eastAsia" w:ascii="宋体" w:hAnsi="宋体" w:cs="宋体"/>
          <w:b/>
          <w:bCs/>
          <w:color w:val="000000" w:themeColor="text1"/>
          <w:szCs w:val="21"/>
          <w:highlight w:val="none"/>
          <w:lang w:eastAsia="zh-Hans"/>
          <w14:textFill>
            <w14:solidFill>
              <w14:schemeClr w14:val="tx1"/>
            </w14:solidFill>
          </w14:textFill>
        </w:rPr>
        <w:t>数据标准规范编制</w:t>
      </w:r>
    </w:p>
    <w:p>
      <w:pPr>
        <w:adjustRightInd w:val="0"/>
        <w:snapToGrid w:val="0"/>
        <w:spacing w:line="440" w:lineRule="atLeast"/>
        <w:ind w:firstLine="424"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在项目建设过程中，需要充分利用现有通信网络、硬件设施和系统软件等建设资源，加强对各业务信息资源的整合；然而，由于各业务信息资源通常分散在各科室中，需要考虑到数据来源具有多途径、多格式的特点，涉及繁杂的数据采集过程，而由于不同系统具有不同网络结构、不用应用功能、不同安全级别等差异，需要制订统一的采集规范，用于规范涉农相关信息资源的采集，能够读取并转换、汇集不同数据来源的信息，方便进行共享，从而将分散在各部门等不同业务部门的不同应用系统中的数据资源进行有效的整合，实现不同信息资源的交换共享。</w:t>
      </w:r>
    </w:p>
    <w:p>
      <w:pPr>
        <w:adjustRightInd w:val="0"/>
        <w:snapToGrid w:val="0"/>
        <w:spacing w:line="440" w:lineRule="atLeast"/>
        <w:ind w:firstLine="424" w:firstLineChars="200"/>
        <w:rPr>
          <w:rFonts w:ascii="宋体" w:hAnsi="宋体" w:cs="宋体"/>
          <w:b/>
          <w:bCs/>
          <w:color w:val="000000" w:themeColor="text1"/>
          <w:szCs w:val="32"/>
          <w:highlight w:val="none"/>
          <w14:textFill>
            <w14:solidFill>
              <w14:schemeClr w14:val="tx1"/>
            </w14:solidFill>
          </w14:textFill>
        </w:rPr>
      </w:pPr>
      <w:r>
        <w:rPr>
          <w:rFonts w:hint="eastAsia" w:ascii="宋体" w:hAnsi="宋体" w:cs="宋体"/>
          <w:b/>
          <w:bCs/>
          <w:color w:val="000000" w:themeColor="text1"/>
          <w:szCs w:val="32"/>
          <w:highlight w:val="none"/>
          <w:lang w:eastAsia="zh-Hans"/>
          <w14:textFill>
            <w14:solidFill>
              <w14:schemeClr w14:val="tx1"/>
            </w14:solidFill>
          </w14:textFill>
        </w:rPr>
        <w:t>（</w:t>
      </w:r>
      <w:r>
        <w:rPr>
          <w:rFonts w:ascii="宋体" w:hAnsi="宋体" w:cs="宋体"/>
          <w:b/>
          <w:bCs/>
          <w:color w:val="000000" w:themeColor="text1"/>
          <w:szCs w:val="32"/>
          <w:highlight w:val="none"/>
          <w:lang w:eastAsia="zh-Hans"/>
          <w14:textFill>
            <w14:solidFill>
              <w14:schemeClr w14:val="tx1"/>
            </w14:solidFill>
          </w14:textFill>
        </w:rPr>
        <w:t>1</w:t>
      </w:r>
      <w:r>
        <w:rPr>
          <w:rFonts w:hint="eastAsia" w:ascii="宋体" w:hAnsi="宋体" w:cs="宋体"/>
          <w:b/>
          <w:bCs/>
          <w:color w:val="000000" w:themeColor="text1"/>
          <w:szCs w:val="32"/>
          <w:highlight w:val="none"/>
          <w:lang w:eastAsia="zh-Hans"/>
          <w14:textFill>
            <w14:solidFill>
              <w14:schemeClr w14:val="tx1"/>
            </w14:solidFill>
          </w14:textFill>
        </w:rPr>
        <w:t>）</w:t>
      </w:r>
      <w:r>
        <w:rPr>
          <w:rFonts w:hint="eastAsia" w:ascii="宋体" w:hAnsi="宋体" w:cs="宋体"/>
          <w:b/>
          <w:bCs/>
          <w:color w:val="000000" w:themeColor="text1"/>
          <w:szCs w:val="32"/>
          <w:highlight w:val="none"/>
          <w14:textFill>
            <w14:solidFill>
              <w14:schemeClr w14:val="tx1"/>
            </w14:solidFill>
          </w14:textFill>
        </w:rPr>
        <w:t>基础规范</w:t>
      </w:r>
    </w:p>
    <w:p>
      <w:pPr>
        <w:adjustRightInd w:val="0"/>
        <w:snapToGrid w:val="0"/>
        <w:spacing w:line="440" w:lineRule="atLeast"/>
        <w:ind w:firstLine="424"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信息资源标准规范体系的目的意义、内容、范围、对象等做出明确的定义。技术术语是对标准规范体系中涉及的专业术语进行统一规范及定义说明。</w:t>
      </w:r>
    </w:p>
    <w:p>
      <w:pPr>
        <w:adjustRightInd w:val="0"/>
        <w:snapToGrid w:val="0"/>
        <w:spacing w:line="440" w:lineRule="atLeast"/>
        <w:ind w:firstLine="424" w:firstLineChars="200"/>
        <w:rPr>
          <w:rFonts w:ascii="宋体" w:hAnsi="宋体" w:cs="宋体"/>
          <w:b/>
          <w:bCs/>
          <w:color w:val="000000" w:themeColor="text1"/>
          <w:szCs w:val="32"/>
          <w:highlight w:val="none"/>
          <w14:textFill>
            <w14:solidFill>
              <w14:schemeClr w14:val="tx1"/>
            </w14:solidFill>
          </w14:textFill>
        </w:rPr>
      </w:pPr>
      <w:r>
        <w:rPr>
          <w:rFonts w:hint="eastAsia" w:ascii="宋体" w:hAnsi="宋体" w:cs="宋体"/>
          <w:b/>
          <w:bCs/>
          <w:color w:val="000000" w:themeColor="text1"/>
          <w:szCs w:val="32"/>
          <w:highlight w:val="none"/>
          <w:lang w:eastAsia="zh-Hans"/>
          <w14:textFill>
            <w14:solidFill>
              <w14:schemeClr w14:val="tx1"/>
            </w14:solidFill>
          </w14:textFill>
        </w:rPr>
        <w:t>（</w:t>
      </w:r>
      <w:r>
        <w:rPr>
          <w:rFonts w:ascii="宋体" w:hAnsi="宋体" w:cs="宋体"/>
          <w:b/>
          <w:bCs/>
          <w:color w:val="000000" w:themeColor="text1"/>
          <w:szCs w:val="32"/>
          <w:highlight w:val="none"/>
          <w:lang w:eastAsia="zh-Hans"/>
          <w14:textFill>
            <w14:solidFill>
              <w14:schemeClr w14:val="tx1"/>
            </w14:solidFill>
          </w14:textFill>
        </w:rPr>
        <w:t>2</w:t>
      </w:r>
      <w:r>
        <w:rPr>
          <w:rFonts w:hint="eastAsia" w:ascii="宋体" w:hAnsi="宋体" w:cs="宋体"/>
          <w:b/>
          <w:bCs/>
          <w:color w:val="000000" w:themeColor="text1"/>
          <w:szCs w:val="32"/>
          <w:highlight w:val="none"/>
          <w:lang w:eastAsia="zh-Hans"/>
          <w14:textFill>
            <w14:solidFill>
              <w14:schemeClr w14:val="tx1"/>
            </w14:solidFill>
          </w14:textFill>
        </w:rPr>
        <w:t>）</w:t>
      </w:r>
      <w:r>
        <w:rPr>
          <w:rFonts w:hint="eastAsia" w:ascii="宋体" w:hAnsi="宋体" w:cs="宋体"/>
          <w:b/>
          <w:bCs/>
          <w:color w:val="000000" w:themeColor="text1"/>
          <w:szCs w:val="32"/>
          <w:highlight w:val="none"/>
          <w14:textFill>
            <w14:solidFill>
              <w14:schemeClr w14:val="tx1"/>
            </w14:solidFill>
          </w14:textFill>
        </w:rPr>
        <w:t>数据规范</w:t>
      </w:r>
    </w:p>
    <w:p>
      <w:pPr>
        <w:adjustRightInd w:val="0"/>
        <w:snapToGrid w:val="0"/>
        <w:spacing w:line="440" w:lineRule="atLeast"/>
        <w:ind w:firstLine="424"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数据规范主要包括数据资源规范、数据处理规范、数据治理规范、数据共享交换规范、数据应用规范和数据安全规范等。</w:t>
      </w:r>
    </w:p>
    <w:p>
      <w:pPr>
        <w:adjustRightInd w:val="0"/>
        <w:snapToGrid w:val="0"/>
        <w:spacing w:line="440" w:lineRule="atLeast"/>
        <w:ind w:firstLine="424" w:firstLineChars="200"/>
        <w:rPr>
          <w:rFonts w:ascii="宋体" w:hAnsi="宋体" w:cs="宋体"/>
          <w:b/>
          <w:bCs/>
          <w:color w:val="000000" w:themeColor="text1"/>
          <w:szCs w:val="32"/>
          <w:highlight w:val="none"/>
          <w14:textFill>
            <w14:solidFill>
              <w14:schemeClr w14:val="tx1"/>
            </w14:solidFill>
          </w14:textFill>
        </w:rPr>
      </w:pPr>
      <w:r>
        <w:rPr>
          <w:rFonts w:hint="eastAsia" w:ascii="宋体" w:hAnsi="宋体" w:cs="宋体"/>
          <w:b/>
          <w:bCs/>
          <w:color w:val="000000" w:themeColor="text1"/>
          <w:szCs w:val="32"/>
          <w:highlight w:val="none"/>
          <w:lang w:eastAsia="zh-Hans"/>
          <w14:textFill>
            <w14:solidFill>
              <w14:schemeClr w14:val="tx1"/>
            </w14:solidFill>
          </w14:textFill>
        </w:rPr>
        <w:t>（</w:t>
      </w:r>
      <w:r>
        <w:rPr>
          <w:rFonts w:ascii="宋体" w:hAnsi="宋体" w:cs="宋体"/>
          <w:b/>
          <w:bCs/>
          <w:color w:val="000000" w:themeColor="text1"/>
          <w:szCs w:val="32"/>
          <w:highlight w:val="none"/>
          <w:lang w:eastAsia="zh-Hans"/>
          <w14:textFill>
            <w14:solidFill>
              <w14:schemeClr w14:val="tx1"/>
            </w14:solidFill>
          </w14:textFill>
        </w:rPr>
        <w:t>3</w:t>
      </w:r>
      <w:r>
        <w:rPr>
          <w:rFonts w:hint="eastAsia" w:ascii="宋体" w:hAnsi="宋体" w:cs="宋体"/>
          <w:b/>
          <w:bCs/>
          <w:color w:val="000000" w:themeColor="text1"/>
          <w:szCs w:val="32"/>
          <w:highlight w:val="none"/>
          <w:lang w:eastAsia="zh-Hans"/>
          <w14:textFill>
            <w14:solidFill>
              <w14:schemeClr w14:val="tx1"/>
            </w14:solidFill>
          </w14:textFill>
        </w:rPr>
        <w:t>）</w:t>
      </w:r>
      <w:r>
        <w:rPr>
          <w:rFonts w:hint="eastAsia" w:ascii="宋体" w:hAnsi="宋体" w:cs="宋体"/>
          <w:b/>
          <w:bCs/>
          <w:color w:val="000000" w:themeColor="text1"/>
          <w:szCs w:val="32"/>
          <w:highlight w:val="none"/>
          <w14:textFill>
            <w14:solidFill>
              <w14:schemeClr w14:val="tx1"/>
            </w14:solidFill>
          </w14:textFill>
        </w:rPr>
        <w:t>技术规范</w:t>
      </w:r>
    </w:p>
    <w:p>
      <w:pPr>
        <w:adjustRightInd w:val="0"/>
        <w:snapToGrid w:val="0"/>
        <w:spacing w:line="440" w:lineRule="atLeast"/>
        <w:ind w:firstLine="424"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根据常山县乡村振兴特色产业园大数据中心建设相关功能与服务，制定相关的软件技术规范，对常山县乡村振兴特色产业园大数据中心项目的信息化建设过程及主要流程进行规范化指导。技术规范主要包括基础设施规范、业务流程规范、支撑平台规范和应用集成规范等。</w:t>
      </w:r>
    </w:p>
    <w:p>
      <w:pPr>
        <w:adjustRightInd w:val="0"/>
        <w:snapToGrid w:val="0"/>
        <w:spacing w:line="440" w:lineRule="atLeast"/>
        <w:ind w:firstLine="424" w:firstLineChars="200"/>
        <w:rPr>
          <w:rFonts w:ascii="宋体" w:hAnsi="宋体" w:cs="宋体"/>
          <w:b/>
          <w:bCs/>
          <w:color w:val="000000" w:themeColor="text1"/>
          <w:szCs w:val="32"/>
          <w:highlight w:val="none"/>
          <w14:textFill>
            <w14:solidFill>
              <w14:schemeClr w14:val="tx1"/>
            </w14:solidFill>
          </w14:textFill>
        </w:rPr>
      </w:pPr>
      <w:r>
        <w:rPr>
          <w:rFonts w:hint="eastAsia" w:ascii="宋体" w:hAnsi="宋体" w:cs="宋体"/>
          <w:b/>
          <w:bCs/>
          <w:color w:val="000000" w:themeColor="text1"/>
          <w:szCs w:val="32"/>
          <w:highlight w:val="none"/>
          <w:lang w:eastAsia="zh-Hans"/>
          <w14:textFill>
            <w14:solidFill>
              <w14:schemeClr w14:val="tx1"/>
            </w14:solidFill>
          </w14:textFill>
        </w:rPr>
        <w:t>（</w:t>
      </w:r>
      <w:r>
        <w:rPr>
          <w:rFonts w:ascii="宋体" w:hAnsi="宋体" w:cs="宋体"/>
          <w:b/>
          <w:bCs/>
          <w:color w:val="000000" w:themeColor="text1"/>
          <w:szCs w:val="32"/>
          <w:highlight w:val="none"/>
          <w:lang w:eastAsia="zh-Hans"/>
          <w14:textFill>
            <w14:solidFill>
              <w14:schemeClr w14:val="tx1"/>
            </w14:solidFill>
          </w14:textFill>
        </w:rPr>
        <w:t>4</w:t>
      </w:r>
      <w:r>
        <w:rPr>
          <w:rFonts w:hint="eastAsia" w:ascii="宋体" w:hAnsi="宋体" w:cs="宋体"/>
          <w:b/>
          <w:bCs/>
          <w:color w:val="000000" w:themeColor="text1"/>
          <w:szCs w:val="32"/>
          <w:highlight w:val="none"/>
          <w:lang w:eastAsia="zh-Hans"/>
          <w14:textFill>
            <w14:solidFill>
              <w14:schemeClr w14:val="tx1"/>
            </w14:solidFill>
          </w14:textFill>
        </w:rPr>
        <w:t>）</w:t>
      </w:r>
      <w:r>
        <w:rPr>
          <w:rFonts w:hint="eastAsia" w:ascii="宋体" w:hAnsi="宋体" w:cs="宋体"/>
          <w:b/>
          <w:bCs/>
          <w:color w:val="000000" w:themeColor="text1"/>
          <w:szCs w:val="32"/>
          <w:highlight w:val="none"/>
          <w14:textFill>
            <w14:solidFill>
              <w14:schemeClr w14:val="tx1"/>
            </w14:solidFill>
          </w14:textFill>
        </w:rPr>
        <w:t>管理规范</w:t>
      </w:r>
    </w:p>
    <w:p>
      <w:pPr>
        <w:adjustRightInd w:val="0"/>
        <w:snapToGrid w:val="0"/>
        <w:spacing w:line="440" w:lineRule="atLeast"/>
        <w:ind w:firstLine="424" w:firstLineChars="200"/>
        <w:rPr>
          <w:color w:val="000000" w:themeColor="text1"/>
          <w:highlight w:val="none"/>
          <w:lang w:eastAsia="zh-Hans"/>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管理规范主要包括信息化项目管理规范、信息化服务管理规范、信息化基础设施管理规范、运维管理规范和数据安全管理规范。</w:t>
      </w:r>
    </w:p>
    <w:p>
      <w:pPr>
        <w:adjustRightInd w:val="0"/>
        <w:snapToGrid w:val="0"/>
        <w:spacing w:line="440" w:lineRule="atLeast"/>
        <w:ind w:firstLine="424" w:firstLineChars="200"/>
        <w:rPr>
          <w:rFonts w:ascii="宋体" w:hAnsi="宋体" w:cs="宋体"/>
          <w:b/>
          <w:bCs/>
          <w:color w:val="000000" w:themeColor="text1"/>
          <w:szCs w:val="21"/>
          <w:highlight w:val="none"/>
          <w:lang w:eastAsia="zh-Hans"/>
          <w14:textFill>
            <w14:solidFill>
              <w14:schemeClr w14:val="tx1"/>
            </w14:solidFill>
          </w14:textFill>
        </w:rPr>
      </w:pPr>
      <w:r>
        <w:rPr>
          <w:rFonts w:ascii="宋体" w:hAnsi="宋体" w:cs="宋体"/>
          <w:b/>
          <w:bCs/>
          <w:color w:val="000000" w:themeColor="text1"/>
          <w:szCs w:val="21"/>
          <w:highlight w:val="none"/>
          <w:lang w:eastAsia="zh-Hans"/>
          <w14:textFill>
            <w14:solidFill>
              <w14:schemeClr w14:val="tx1"/>
            </w14:solidFill>
          </w14:textFill>
        </w:rPr>
        <w:t>2.</w:t>
      </w:r>
      <w:r>
        <w:rPr>
          <w:rFonts w:hint="eastAsia" w:ascii="宋体" w:hAnsi="宋体" w:cs="宋体"/>
          <w:b/>
          <w:bCs/>
          <w:color w:val="000000" w:themeColor="text1"/>
          <w:szCs w:val="21"/>
          <w:highlight w:val="none"/>
          <w:lang w:eastAsia="zh-Hans"/>
          <w14:textFill>
            <w14:solidFill>
              <w14:schemeClr w14:val="tx1"/>
            </w14:solidFill>
          </w14:textFill>
        </w:rPr>
        <w:t>数据目录编制</w:t>
      </w:r>
    </w:p>
    <w:p>
      <w:pPr>
        <w:adjustRightInd w:val="0"/>
        <w:snapToGrid w:val="0"/>
        <w:spacing w:line="440" w:lineRule="atLeast"/>
        <w:ind w:firstLine="424"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编制数据资源目录的目的：一是明确农业农村现有的相关数据资源现状和特点；二是为特色产业园大数据中心数据资源的统一管理、发布、查询和定位服务打下基础；三是为实现跨行业、跨领域的数据资源共享提供重要参考依据。</w:t>
      </w:r>
    </w:p>
    <w:p>
      <w:pPr>
        <w:adjustRightInd w:val="0"/>
        <w:snapToGrid w:val="0"/>
        <w:spacing w:line="440" w:lineRule="atLeast"/>
        <w:ind w:firstLine="424"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建立数据资源目录，首先要对多源数据进行分析，理清数据结构和相互关系；然后采用规范的方法和技术，建立科学合理的数据分类体系，对数据资源和共享服务建立分类目录和索引，为信息资源设置唯一标志码，并根据不同用户级别进行权限管控。</w:t>
      </w:r>
    </w:p>
    <w:p>
      <w:pPr>
        <w:adjustRightInd w:val="0"/>
        <w:snapToGrid w:val="0"/>
        <w:spacing w:line="440" w:lineRule="atLeast"/>
        <w:ind w:firstLine="424" w:firstLineChars="200"/>
        <w:rPr>
          <w:color w:val="000000" w:themeColor="text1"/>
          <w:highlight w:val="none"/>
          <w:lang w:eastAsia="zh-Hans"/>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根据常山县涉农各部门的系统建设情况以及数据梳理情况，主要编制如下目录：主体数据目录、自然资源数据目录、土地资源数据目录、农资数据目录、农机数据目录、种植业数据目录、养殖业数据目录、扶贫数据目录、乡村治理数据目录、农产品质量安全相关数据目录、森林防火数据目录、其他涉农数据目录等。</w:t>
      </w:r>
    </w:p>
    <w:p>
      <w:pPr>
        <w:adjustRightInd w:val="0"/>
        <w:snapToGrid w:val="0"/>
        <w:spacing w:line="440" w:lineRule="atLeast"/>
        <w:ind w:firstLine="424" w:firstLineChars="200"/>
        <w:rPr>
          <w:rFonts w:ascii="宋体" w:hAnsi="宋体" w:cs="宋体"/>
          <w:b/>
          <w:bCs/>
          <w:color w:val="000000" w:themeColor="text1"/>
          <w:szCs w:val="21"/>
          <w:highlight w:val="none"/>
          <w:lang w:eastAsia="zh-Hans"/>
          <w14:textFill>
            <w14:solidFill>
              <w14:schemeClr w14:val="tx1"/>
            </w14:solidFill>
          </w14:textFill>
        </w:rPr>
      </w:pPr>
      <w:r>
        <w:rPr>
          <w:rFonts w:ascii="宋体" w:hAnsi="宋体" w:cs="宋体"/>
          <w:b/>
          <w:bCs/>
          <w:color w:val="000000" w:themeColor="text1"/>
          <w:szCs w:val="21"/>
          <w:highlight w:val="none"/>
          <w:lang w:eastAsia="zh-Hans"/>
          <w14:textFill>
            <w14:solidFill>
              <w14:schemeClr w14:val="tx1"/>
            </w14:solidFill>
          </w14:textFill>
        </w:rPr>
        <w:t>3.</w:t>
      </w:r>
      <w:r>
        <w:rPr>
          <w:rFonts w:hint="eastAsia" w:ascii="宋体" w:hAnsi="宋体" w:cs="宋体"/>
          <w:b/>
          <w:bCs/>
          <w:color w:val="000000" w:themeColor="text1"/>
          <w:szCs w:val="21"/>
          <w:highlight w:val="none"/>
          <w:lang w:eastAsia="zh-Hans"/>
          <w14:textFill>
            <w14:solidFill>
              <w14:schemeClr w14:val="tx1"/>
            </w14:solidFill>
          </w14:textFill>
        </w:rPr>
        <w:t>数据采集服务</w:t>
      </w:r>
    </w:p>
    <w:p>
      <w:pPr>
        <w:adjustRightInd w:val="0"/>
        <w:snapToGrid w:val="0"/>
        <w:spacing w:line="440" w:lineRule="atLeast"/>
        <w:ind w:firstLine="424"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完成数据采集目录清单的梳理，将使用数据采集系统逐步采集常山县涉农数据的采集、处理等工作，以便实现在线互联、数据共享、业务协同，采集范围可能包括卫星遥感数据、物联网数据、现有涉农业务系统数据（不低于</w:t>
      </w:r>
      <w:r>
        <w:rPr>
          <w:rFonts w:ascii="宋体" w:hAnsi="宋体" w:cs="宋体"/>
          <w:color w:val="000000" w:themeColor="text1"/>
          <w:szCs w:val="32"/>
          <w:highlight w:val="none"/>
          <w14:textFill>
            <w14:solidFill>
              <w14:schemeClr w14:val="tx1"/>
            </w14:solidFill>
          </w14:textFill>
        </w:rPr>
        <w:t>40</w:t>
      </w:r>
      <w:r>
        <w:rPr>
          <w:rFonts w:hint="eastAsia" w:ascii="宋体" w:hAnsi="宋体" w:cs="宋体"/>
          <w:color w:val="000000" w:themeColor="text1"/>
          <w:szCs w:val="32"/>
          <w:highlight w:val="none"/>
          <w14:textFill>
            <w14:solidFill>
              <w14:schemeClr w14:val="tx1"/>
            </w14:solidFill>
          </w14:textFill>
        </w:rPr>
        <w:t>个应用系统）、后续接入新建系统数据等。数据来源涉及农业农村局、气象局、自然资源和规划局、林水局、统计局、科技局等多个部门。</w:t>
      </w:r>
    </w:p>
    <w:p>
      <w:pPr>
        <w:adjustRightInd w:val="0"/>
        <w:snapToGrid w:val="0"/>
        <w:spacing w:line="440" w:lineRule="atLeast"/>
        <w:ind w:firstLine="424" w:firstLineChars="200"/>
        <w:rPr>
          <w:rFonts w:ascii="Times New Roman" w:hAnsi="Times New Roman" w:eastAsia="仿宋_GB2312"/>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根据常山县涉农信息现状，农业基础数据采集服务需面对多来源、多格式、多种类信息，同时还面临业务系统、网络以及数据存储介质的隔阂，所以农业基础数据采集服务需要提供可针对各种数据环境的多种数据采集模式，并针对各类数据情况提供多种数据采集功能。特别是涉及到各种物联网设备，具有多源、异构、海量的特征，需要对数据采集进行统一规划，提供统一的数据登记，并对采集接口、任务、策略进行统一管理和一致性处理。</w:t>
      </w:r>
    </w:p>
    <w:p>
      <w:pPr>
        <w:adjustRightInd w:val="0"/>
        <w:snapToGrid w:val="0"/>
        <w:spacing w:line="440" w:lineRule="atLeast"/>
        <w:ind w:firstLine="424" w:firstLineChars="200"/>
        <w:rPr>
          <w:rFonts w:ascii="宋体" w:hAnsi="宋体" w:cs="宋体"/>
          <w:b/>
          <w:bCs/>
          <w:color w:val="000000" w:themeColor="text1"/>
          <w:szCs w:val="32"/>
          <w:highlight w:val="none"/>
          <w:lang w:eastAsia="zh-Hans"/>
          <w14:textFill>
            <w14:solidFill>
              <w14:schemeClr w14:val="tx1"/>
            </w14:solidFill>
          </w14:textFill>
        </w:rPr>
      </w:pPr>
      <w:bookmarkStart w:id="290" w:name="_Toc1476981634"/>
      <w:r>
        <w:rPr>
          <w:rFonts w:hint="eastAsia" w:ascii="宋体" w:hAnsi="宋体" w:cs="宋体"/>
          <w:b/>
          <w:bCs/>
          <w:color w:val="000000" w:themeColor="text1"/>
          <w:szCs w:val="32"/>
          <w:highlight w:val="none"/>
          <w:lang w:eastAsia="zh-Hans"/>
          <w14:textFill>
            <w14:solidFill>
              <w14:schemeClr w14:val="tx1"/>
            </w14:solidFill>
          </w14:textFill>
        </w:rPr>
        <w:t>（</w:t>
      </w:r>
      <w:r>
        <w:rPr>
          <w:rFonts w:ascii="宋体" w:hAnsi="宋体" w:cs="宋体"/>
          <w:b/>
          <w:bCs/>
          <w:color w:val="000000" w:themeColor="text1"/>
          <w:szCs w:val="32"/>
          <w:highlight w:val="none"/>
          <w:lang w:eastAsia="zh-Hans"/>
          <w14:textFill>
            <w14:solidFill>
              <w14:schemeClr w14:val="tx1"/>
            </w14:solidFill>
          </w14:textFill>
        </w:rPr>
        <w:t>1</w:t>
      </w:r>
      <w:r>
        <w:rPr>
          <w:rFonts w:hint="eastAsia" w:ascii="宋体" w:hAnsi="宋体" w:cs="宋体"/>
          <w:b/>
          <w:bCs/>
          <w:color w:val="000000" w:themeColor="text1"/>
          <w:szCs w:val="32"/>
          <w:highlight w:val="none"/>
          <w:lang w:eastAsia="zh-Hans"/>
          <w14:textFill>
            <w14:solidFill>
              <w14:schemeClr w14:val="tx1"/>
            </w14:solidFill>
          </w14:textFill>
        </w:rPr>
        <w:t>）项目采集内容</w:t>
      </w:r>
      <w:bookmarkEnd w:id="290"/>
    </w:p>
    <w:p>
      <w:pPr>
        <w:adjustRightInd w:val="0"/>
        <w:snapToGrid w:val="0"/>
        <w:spacing w:line="440" w:lineRule="atLeas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通过利用数据在线采集平台完成业务数据采集，由县、乡、村三级农业农村部门以及农业生产经营主体完成相关数据资源采集。数据在线采集平台可灵活定制数据采集范围、采集流程（逐级上报、直报等），实现农业生产、经营、管理、服务以及农村等核心业务数据资源的采集汇聚。</w:t>
      </w:r>
    </w:p>
    <w:p>
      <w:pPr>
        <w:adjustRightInd w:val="0"/>
        <w:snapToGrid w:val="0"/>
        <w:spacing w:line="440" w:lineRule="atLeas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②通过数据共享交换的方式，将农业农村部，浙江省农业农村厅，</w:t>
      </w:r>
      <w:r>
        <w:rPr>
          <w:rFonts w:hint="eastAsia" w:ascii="宋体" w:hAnsi="宋体" w:cs="宋体"/>
          <w:color w:val="000000" w:themeColor="text1"/>
          <w:szCs w:val="21"/>
          <w:highlight w:val="none"/>
          <w:lang w:eastAsia="zh-Hans"/>
          <w14:textFill>
            <w14:solidFill>
              <w14:schemeClr w14:val="tx1"/>
            </w14:solidFill>
          </w14:textFill>
        </w:rPr>
        <w:t>衢州</w:t>
      </w:r>
      <w:r>
        <w:rPr>
          <w:rFonts w:hint="eastAsia" w:ascii="宋体" w:hAnsi="宋体" w:cs="宋体"/>
          <w:color w:val="000000" w:themeColor="text1"/>
          <w:szCs w:val="21"/>
          <w:highlight w:val="none"/>
          <w14:textFill>
            <w14:solidFill>
              <w14:schemeClr w14:val="tx1"/>
            </w14:solidFill>
          </w14:textFill>
        </w:rPr>
        <w:t>市农业农村据现有信息系统，已建设的相关信息系统数据资源共享汇聚至</w:t>
      </w:r>
      <w:r>
        <w:rPr>
          <w:rFonts w:hint="eastAsia" w:ascii="宋体" w:hAnsi="宋体" w:cs="宋体"/>
          <w:color w:val="000000" w:themeColor="text1"/>
          <w:szCs w:val="21"/>
          <w:highlight w:val="none"/>
          <w:lang w:eastAsia="zh-Hans"/>
          <w14:textFill>
            <w14:solidFill>
              <w14:schemeClr w14:val="tx1"/>
            </w14:solidFill>
          </w14:textFill>
        </w:rPr>
        <w:t>常山</w:t>
      </w:r>
      <w:r>
        <w:rPr>
          <w:rFonts w:hint="eastAsia" w:ascii="宋体" w:hAnsi="宋体" w:cs="宋体"/>
          <w:color w:val="000000" w:themeColor="text1"/>
          <w:szCs w:val="21"/>
          <w:highlight w:val="none"/>
          <w14:textFill>
            <w14:solidFill>
              <w14:schemeClr w14:val="tx1"/>
            </w14:solidFill>
          </w14:textFill>
        </w:rPr>
        <w:t>县乡村振兴</w:t>
      </w:r>
      <w:r>
        <w:rPr>
          <w:rFonts w:hint="eastAsia" w:ascii="宋体" w:hAnsi="宋体" w:cs="宋体"/>
          <w:color w:val="000000" w:themeColor="text1"/>
          <w:szCs w:val="21"/>
          <w:highlight w:val="none"/>
          <w:lang w:eastAsia="zh-Hans"/>
          <w14:textFill>
            <w14:solidFill>
              <w14:schemeClr w14:val="tx1"/>
            </w14:solidFill>
          </w14:textFill>
        </w:rPr>
        <w:t>特色产业园</w:t>
      </w:r>
      <w:r>
        <w:rPr>
          <w:rFonts w:hint="eastAsia" w:ascii="宋体" w:hAnsi="宋体" w:cs="宋体"/>
          <w:color w:val="000000" w:themeColor="text1"/>
          <w:szCs w:val="21"/>
          <w:highlight w:val="none"/>
          <w14:textFill>
            <w14:solidFill>
              <w14:schemeClr w14:val="tx1"/>
            </w14:solidFill>
          </w14:textFill>
        </w:rPr>
        <w:t>大数据中心。</w:t>
      </w:r>
    </w:p>
    <w:p>
      <w:pPr>
        <w:adjustRightInd w:val="0"/>
        <w:snapToGrid w:val="0"/>
        <w:spacing w:line="440" w:lineRule="atLeas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③利用多源卫星遥感卫星，高分系类，哨兵系类，</w:t>
      </w:r>
      <w:r>
        <w:rPr>
          <w:rFonts w:ascii="宋体" w:hAnsi="宋体" w:cs="宋体"/>
          <w:color w:val="000000" w:themeColor="text1"/>
          <w:szCs w:val="21"/>
          <w:highlight w:val="none"/>
          <w14:textFill>
            <w14:solidFill>
              <w14:schemeClr w14:val="tx1"/>
            </w14:solidFill>
          </w14:textFill>
        </w:rPr>
        <w:t>planet</w:t>
      </w:r>
      <w:r>
        <w:rPr>
          <w:rFonts w:hint="eastAsia" w:ascii="宋体" w:hAnsi="宋体" w:cs="宋体"/>
          <w:color w:val="000000" w:themeColor="text1"/>
          <w:szCs w:val="21"/>
          <w:highlight w:val="none"/>
          <w14:textFill>
            <w14:solidFill>
              <w14:schemeClr w14:val="tx1"/>
            </w14:solidFill>
          </w14:textFill>
        </w:rPr>
        <w:t>卫星系列数据进行定期</w:t>
      </w:r>
      <w:r>
        <w:rPr>
          <w:rFonts w:hint="eastAsia" w:ascii="宋体" w:hAnsi="宋体" w:cs="宋体"/>
          <w:color w:val="000000" w:themeColor="text1"/>
          <w:szCs w:val="21"/>
          <w:highlight w:val="none"/>
          <w:lang w:eastAsia="zh-Hans"/>
          <w14:textFill>
            <w14:solidFill>
              <w14:schemeClr w14:val="tx1"/>
            </w14:solidFill>
          </w14:textFill>
        </w:rPr>
        <w:t>常山</w:t>
      </w:r>
      <w:r>
        <w:rPr>
          <w:rFonts w:hint="eastAsia" w:ascii="宋体" w:hAnsi="宋体" w:cs="宋体"/>
          <w:color w:val="000000" w:themeColor="text1"/>
          <w:szCs w:val="21"/>
          <w:highlight w:val="none"/>
          <w14:textFill>
            <w14:solidFill>
              <w14:schemeClr w14:val="tx1"/>
            </w14:solidFill>
          </w14:textFill>
        </w:rPr>
        <w:t>农业生产种植情况实时监测，分析各级产品数据，服务</w:t>
      </w:r>
      <w:r>
        <w:rPr>
          <w:rFonts w:hint="eastAsia" w:ascii="宋体" w:hAnsi="宋体" w:cs="宋体"/>
          <w:color w:val="000000" w:themeColor="text1"/>
          <w:szCs w:val="21"/>
          <w:highlight w:val="none"/>
          <w:lang w:eastAsia="zh-Hans"/>
          <w14:textFill>
            <w14:solidFill>
              <w14:schemeClr w14:val="tx1"/>
            </w14:solidFill>
          </w14:textFill>
        </w:rPr>
        <w:t>常山胡柚、油茶、食用菌</w:t>
      </w:r>
      <w:r>
        <w:rPr>
          <w:rFonts w:hint="eastAsia" w:ascii="宋体" w:hAnsi="宋体" w:cs="宋体"/>
          <w:color w:val="000000" w:themeColor="text1"/>
          <w:szCs w:val="21"/>
          <w:highlight w:val="none"/>
          <w14:textFill>
            <w14:solidFill>
              <w14:schemeClr w14:val="tx1"/>
            </w14:solidFill>
          </w14:textFill>
        </w:rPr>
        <w:t>等数字产业，提供全年全周期的监测服务。</w:t>
      </w:r>
    </w:p>
    <w:p>
      <w:pPr>
        <w:adjustRightInd w:val="0"/>
        <w:snapToGrid w:val="0"/>
        <w:spacing w:line="440" w:lineRule="atLeas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④利用历史数据电子化技术，采集历史数据。开展农业历史数据资料的电子化和清洗校准，利用自动化脚本处理历史数据，挖掘历史数据的有效资源，完成数据采集。</w:t>
      </w:r>
    </w:p>
    <w:p>
      <w:pPr>
        <w:adjustRightInd w:val="0"/>
        <w:snapToGrid w:val="0"/>
        <w:spacing w:line="440" w:lineRule="atLeas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⑤此外在物联网示范应用试点利用传感器，视频监控等物联网设备采集温湿度、光照强度、图片等农业生产环境数据。</w:t>
      </w:r>
    </w:p>
    <w:p>
      <w:pPr>
        <w:adjustRightInd w:val="0"/>
        <w:snapToGrid w:val="0"/>
        <w:spacing w:line="440" w:lineRule="atLeast"/>
        <w:ind w:firstLine="424" w:firstLineChars="200"/>
        <w:rPr>
          <w:rFonts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本次项目数据采集主要分为农业自然资源库数据、主体人才库、农机库数据、农资库数据、产业库数据、乡村治理库数据、公共服务数据以及卫星遥感第三方数据等数据资源。</w:t>
      </w:r>
    </w:p>
    <w:p>
      <w:pPr>
        <w:adjustRightInd w:val="0"/>
        <w:snapToGrid w:val="0"/>
        <w:spacing w:line="440" w:lineRule="atLeast"/>
        <w:ind w:firstLine="424" w:firstLineChars="200"/>
        <w:rPr>
          <w:rFonts w:ascii="宋体" w:hAnsi="宋体" w:cs="宋体"/>
          <w:b/>
          <w:bCs/>
          <w:color w:val="000000" w:themeColor="text1"/>
          <w:szCs w:val="32"/>
          <w:highlight w:val="none"/>
          <w:lang w:eastAsia="zh-Hans"/>
          <w14:textFill>
            <w14:solidFill>
              <w14:schemeClr w14:val="tx1"/>
            </w14:solidFill>
          </w14:textFill>
        </w:rPr>
      </w:pPr>
      <w:bookmarkStart w:id="291" w:name="_Toc866846965"/>
      <w:r>
        <w:rPr>
          <w:rFonts w:hint="eastAsia" w:ascii="宋体" w:hAnsi="宋体" w:cs="宋体"/>
          <w:b/>
          <w:bCs/>
          <w:color w:val="000000" w:themeColor="text1"/>
          <w:szCs w:val="32"/>
          <w:highlight w:val="none"/>
          <w:lang w:eastAsia="zh-Hans"/>
          <w14:textFill>
            <w14:solidFill>
              <w14:schemeClr w14:val="tx1"/>
            </w14:solidFill>
          </w14:textFill>
        </w:rPr>
        <w:t>（</w:t>
      </w:r>
      <w:r>
        <w:rPr>
          <w:rFonts w:ascii="宋体" w:hAnsi="宋体" w:cs="宋体"/>
          <w:b/>
          <w:bCs/>
          <w:color w:val="000000" w:themeColor="text1"/>
          <w:szCs w:val="32"/>
          <w:highlight w:val="none"/>
          <w:lang w:eastAsia="zh-Hans"/>
          <w14:textFill>
            <w14:solidFill>
              <w14:schemeClr w14:val="tx1"/>
            </w14:solidFill>
          </w14:textFill>
        </w:rPr>
        <w:t>2</w:t>
      </w:r>
      <w:r>
        <w:rPr>
          <w:rFonts w:hint="eastAsia" w:ascii="宋体" w:hAnsi="宋体" w:cs="宋体"/>
          <w:b/>
          <w:bCs/>
          <w:color w:val="000000" w:themeColor="text1"/>
          <w:szCs w:val="32"/>
          <w:highlight w:val="none"/>
          <w:lang w:eastAsia="zh-Hans"/>
          <w14:textFill>
            <w14:solidFill>
              <w14:schemeClr w14:val="tx1"/>
            </w14:solidFill>
          </w14:textFill>
        </w:rPr>
        <w:t>）涉农信息系统采集方式</w:t>
      </w:r>
      <w:bookmarkEnd w:id="291"/>
    </w:p>
    <w:p>
      <w:pPr>
        <w:adjustRightInd w:val="0"/>
        <w:snapToGrid w:val="0"/>
        <w:spacing w:line="440" w:lineRule="atLeast"/>
        <w:ind w:firstLine="424" w:firstLineChars="200"/>
        <w:rPr>
          <w:color w:val="000000" w:themeColor="text1"/>
          <w:highlight w:val="none"/>
          <w:lang w:eastAsia="zh-Han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经过对</w:t>
      </w:r>
      <w:r>
        <w:rPr>
          <w:rFonts w:hint="eastAsia" w:ascii="宋体" w:hAnsi="宋体" w:cs="宋体"/>
          <w:color w:val="000000" w:themeColor="text1"/>
          <w:szCs w:val="21"/>
          <w:highlight w:val="none"/>
          <w:lang w:eastAsia="zh-Hans"/>
          <w14:textFill>
            <w14:solidFill>
              <w14:schemeClr w14:val="tx1"/>
            </w14:solidFill>
          </w14:textFill>
        </w:rPr>
        <w:t>常山县涉农</w:t>
      </w:r>
      <w:r>
        <w:rPr>
          <w:rFonts w:hint="eastAsia" w:ascii="宋体" w:hAnsi="宋体" w:cs="宋体"/>
          <w:color w:val="000000" w:themeColor="text1"/>
          <w:szCs w:val="21"/>
          <w:highlight w:val="none"/>
          <w14:textFill>
            <w14:solidFill>
              <w14:schemeClr w14:val="tx1"/>
            </w14:solidFill>
          </w14:textFill>
        </w:rPr>
        <w:t>数据分布及使用情况的</w:t>
      </w:r>
      <w:r>
        <w:rPr>
          <w:rFonts w:hint="eastAsia" w:ascii="宋体" w:hAnsi="宋体" w:cs="宋体"/>
          <w:color w:val="000000" w:themeColor="text1"/>
          <w:szCs w:val="21"/>
          <w:highlight w:val="none"/>
          <w:lang w:eastAsia="zh-Hans"/>
          <w14:textFill>
            <w14:solidFill>
              <w14:schemeClr w14:val="tx1"/>
            </w14:solidFill>
          </w14:textFill>
        </w:rPr>
        <w:t>调研</w:t>
      </w:r>
      <w:r>
        <w:rPr>
          <w:rFonts w:hint="eastAsia" w:ascii="宋体" w:hAnsi="宋体" w:cs="宋体"/>
          <w:color w:val="000000" w:themeColor="text1"/>
          <w:szCs w:val="21"/>
          <w:highlight w:val="none"/>
          <w14:textFill>
            <w14:solidFill>
              <w14:schemeClr w14:val="tx1"/>
            </w14:solidFill>
          </w14:textFill>
        </w:rPr>
        <w:t>，涉农数据资源大部分已经电子化，由相关业务信息系统承载，责任单位定期更新和维护管理</w:t>
      </w:r>
      <w:r>
        <w:rPr>
          <w:rFonts w:hint="eastAsia" w:ascii="宋体" w:hAnsi="宋体" w:cs="宋体"/>
          <w:color w:val="000000" w:themeColor="text1"/>
          <w:szCs w:val="21"/>
          <w:highlight w:val="none"/>
          <w:lang w:eastAsia="zh-Hans"/>
          <w14:textFill>
            <w14:solidFill>
              <w14:schemeClr w14:val="tx1"/>
            </w14:solidFill>
          </w14:textFill>
        </w:rPr>
        <w:t>，采集方式根据实际调研情况制定相应采集方式。</w:t>
      </w:r>
    </w:p>
    <w:p>
      <w:pPr>
        <w:adjustRightInd w:val="0"/>
        <w:snapToGrid w:val="0"/>
        <w:spacing w:line="440" w:lineRule="atLeast"/>
        <w:ind w:firstLine="424" w:firstLineChars="200"/>
        <w:rPr>
          <w:rFonts w:ascii="宋体" w:hAnsi="宋体" w:cs="宋体"/>
          <w:b/>
          <w:bCs/>
          <w:color w:val="000000" w:themeColor="text1"/>
          <w:szCs w:val="21"/>
          <w:highlight w:val="none"/>
          <w:lang w:eastAsia="zh-Hans"/>
          <w14:textFill>
            <w14:solidFill>
              <w14:schemeClr w14:val="tx1"/>
            </w14:solidFill>
          </w14:textFill>
        </w:rPr>
      </w:pPr>
      <w:r>
        <w:rPr>
          <w:rFonts w:ascii="宋体" w:hAnsi="宋体" w:cs="宋体"/>
          <w:b/>
          <w:bCs/>
          <w:color w:val="000000" w:themeColor="text1"/>
          <w:szCs w:val="21"/>
          <w:highlight w:val="none"/>
          <w:lang w:eastAsia="zh-Hans"/>
          <w14:textFill>
            <w14:solidFill>
              <w14:schemeClr w14:val="tx1"/>
            </w14:solidFill>
          </w14:textFill>
        </w:rPr>
        <w:t>4.</w:t>
      </w:r>
      <w:r>
        <w:rPr>
          <w:rFonts w:hint="eastAsia" w:ascii="宋体" w:hAnsi="宋体" w:cs="宋体"/>
          <w:b/>
          <w:bCs/>
          <w:color w:val="000000" w:themeColor="text1"/>
          <w:szCs w:val="21"/>
          <w:highlight w:val="none"/>
          <w:lang w:eastAsia="zh-Hans"/>
          <w14:textFill>
            <w14:solidFill>
              <w14:schemeClr w14:val="tx1"/>
            </w14:solidFill>
          </w14:textFill>
        </w:rPr>
        <w:t>相关培训服务</w:t>
      </w:r>
    </w:p>
    <w:p>
      <w:pPr>
        <w:adjustRightInd w:val="0"/>
        <w:snapToGrid w:val="0"/>
        <w:spacing w:line="440" w:lineRule="atLeast"/>
        <w:ind w:firstLine="424"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lang w:eastAsia="zh-Hans"/>
          <w14:textFill>
            <w14:solidFill>
              <w14:schemeClr w14:val="tx1"/>
            </w14:solidFill>
          </w14:textFill>
        </w:rPr>
        <w:t>项目</w:t>
      </w:r>
      <w:r>
        <w:rPr>
          <w:rFonts w:hint="eastAsia" w:ascii="宋体" w:hAnsi="宋体" w:cs="宋体"/>
          <w:color w:val="000000" w:themeColor="text1"/>
          <w:szCs w:val="32"/>
          <w:highlight w:val="none"/>
          <w14:textFill>
            <w14:solidFill>
              <w14:schemeClr w14:val="tx1"/>
            </w14:solidFill>
          </w14:textFill>
        </w:rPr>
        <w:t>验收</w:t>
      </w:r>
      <w:r>
        <w:rPr>
          <w:rFonts w:hint="eastAsia" w:ascii="宋体" w:hAnsi="宋体" w:cs="宋体"/>
          <w:color w:val="000000" w:themeColor="text1"/>
          <w:szCs w:val="32"/>
          <w:highlight w:val="none"/>
          <w:lang w:eastAsia="zh-Hans"/>
          <w14:textFill>
            <w14:solidFill>
              <w14:schemeClr w14:val="tx1"/>
            </w14:solidFill>
          </w14:textFill>
        </w:rPr>
        <w:t>成功</w:t>
      </w:r>
      <w:r>
        <w:rPr>
          <w:rFonts w:hint="eastAsia" w:ascii="宋体" w:hAnsi="宋体" w:cs="宋体"/>
          <w:color w:val="000000" w:themeColor="text1"/>
          <w:szCs w:val="32"/>
          <w:highlight w:val="none"/>
          <w14:textFill>
            <w14:solidFill>
              <w14:schemeClr w14:val="tx1"/>
            </w14:solidFill>
          </w14:textFill>
        </w:rPr>
        <w:t>后</w:t>
      </w:r>
      <w:r>
        <w:rPr>
          <w:rFonts w:hint="eastAsia" w:ascii="宋体" w:hAnsi="宋体" w:cs="宋体"/>
          <w:color w:val="000000" w:themeColor="text1"/>
          <w:szCs w:val="32"/>
          <w:highlight w:val="none"/>
          <w:lang w:eastAsia="zh-Hans"/>
          <w14:textFill>
            <w14:solidFill>
              <w14:schemeClr w14:val="tx1"/>
            </w14:solidFill>
          </w14:textFill>
        </w:rPr>
        <w:t>，系统</w:t>
      </w:r>
      <w:r>
        <w:rPr>
          <w:rFonts w:hint="eastAsia" w:ascii="宋体" w:hAnsi="宋体" w:cs="宋体"/>
          <w:color w:val="000000" w:themeColor="text1"/>
          <w:szCs w:val="32"/>
          <w:highlight w:val="none"/>
          <w14:textFill>
            <w14:solidFill>
              <w14:schemeClr w14:val="tx1"/>
            </w14:solidFill>
          </w14:textFill>
        </w:rPr>
        <w:t>操作使用需要靠系统化的培训来完成，培训的目的是提高用户的使用技能，加强用户对系统的理解，使</w:t>
      </w:r>
      <w:r>
        <w:rPr>
          <w:rFonts w:hint="eastAsia" w:ascii="宋体" w:hAnsi="宋体" w:cs="宋体"/>
          <w:color w:val="000000" w:themeColor="text1"/>
          <w:szCs w:val="32"/>
          <w:highlight w:val="none"/>
          <w:lang w:eastAsia="zh-Hans"/>
          <w14:textFill>
            <w14:solidFill>
              <w14:schemeClr w14:val="tx1"/>
            </w14:solidFill>
          </w14:textFill>
        </w:rPr>
        <w:t>用户</w:t>
      </w:r>
      <w:r>
        <w:rPr>
          <w:rFonts w:hint="eastAsia" w:ascii="宋体" w:hAnsi="宋体" w:cs="宋体"/>
          <w:color w:val="000000" w:themeColor="text1"/>
          <w:szCs w:val="32"/>
          <w:highlight w:val="none"/>
          <w14:textFill>
            <w14:solidFill>
              <w14:schemeClr w14:val="tx1"/>
            </w14:solidFill>
          </w14:textFill>
        </w:rPr>
        <w:t>能够有效地熟悉系统的操作和系统的管理职责。</w:t>
      </w:r>
    </w:p>
    <w:p>
      <w:pPr>
        <w:adjustRightInd w:val="0"/>
        <w:snapToGrid w:val="0"/>
        <w:spacing w:line="440" w:lineRule="atLeast"/>
        <w:ind w:firstLine="424"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lang w:eastAsia="zh-Hans"/>
          <w14:textFill>
            <w14:solidFill>
              <w14:schemeClr w14:val="tx1"/>
            </w14:solidFill>
          </w14:textFill>
        </w:rPr>
        <w:t>针</w:t>
      </w:r>
      <w:r>
        <w:rPr>
          <w:rFonts w:hint="eastAsia" w:ascii="宋体" w:hAnsi="宋体" w:cs="宋体"/>
          <w:color w:val="000000" w:themeColor="text1"/>
          <w:szCs w:val="32"/>
          <w:highlight w:val="none"/>
          <w14:textFill>
            <w14:solidFill>
              <w14:schemeClr w14:val="tx1"/>
            </w14:solidFill>
          </w14:textFill>
        </w:rPr>
        <w:t>对全体使用系统的人员，</w:t>
      </w:r>
      <w:r>
        <w:rPr>
          <w:rFonts w:hint="eastAsia" w:ascii="宋体" w:hAnsi="宋体" w:cs="宋体"/>
          <w:color w:val="000000" w:themeColor="text1"/>
          <w:szCs w:val="32"/>
          <w:highlight w:val="none"/>
          <w:lang w:eastAsia="zh-Hans"/>
          <w14:textFill>
            <w14:solidFill>
              <w14:schemeClr w14:val="tx1"/>
            </w14:solidFill>
          </w14:textFill>
        </w:rPr>
        <w:t>提供</w:t>
      </w:r>
      <w:r>
        <w:rPr>
          <w:rFonts w:hint="eastAsia" w:ascii="宋体" w:hAnsi="宋体" w:cs="宋体"/>
          <w:color w:val="000000" w:themeColor="text1"/>
          <w:szCs w:val="32"/>
          <w:highlight w:val="none"/>
          <w14:textFill>
            <w14:solidFill>
              <w14:schemeClr w14:val="tx1"/>
            </w14:solidFill>
          </w14:textFill>
        </w:rPr>
        <w:t>全面系统的培训</w:t>
      </w:r>
      <w:r>
        <w:rPr>
          <w:rFonts w:hint="eastAsia" w:ascii="宋体" w:hAnsi="宋体" w:cs="宋体"/>
          <w:color w:val="000000" w:themeColor="text1"/>
          <w:szCs w:val="32"/>
          <w:highlight w:val="none"/>
          <w:lang w:eastAsia="zh-Hans"/>
          <w14:textFill>
            <w14:solidFill>
              <w14:schemeClr w14:val="tx1"/>
            </w14:solidFill>
          </w14:textFill>
        </w:rPr>
        <w:t>方案</w:t>
      </w:r>
      <w:r>
        <w:rPr>
          <w:rFonts w:hint="eastAsia" w:ascii="宋体" w:hAnsi="宋体" w:cs="宋体"/>
          <w:color w:val="000000" w:themeColor="text1"/>
          <w:szCs w:val="32"/>
          <w:highlight w:val="none"/>
          <w14:textFill>
            <w14:solidFill>
              <w14:schemeClr w14:val="tx1"/>
            </w14:solidFill>
          </w14:textFill>
        </w:rPr>
        <w:t>。包括建立专业的辅导队伍，制定全面的教材和自学软件，采取集体授课，个别辅导和随叫随到的桌边辅导等多种复杂形式，确保培训效果。</w:t>
      </w:r>
    </w:p>
    <w:p>
      <w:pPr>
        <w:adjustRightInd w:val="0"/>
        <w:snapToGrid w:val="0"/>
        <w:spacing w:line="560" w:lineRule="atLeast"/>
        <w:ind w:firstLine="424" w:firstLineChars="200"/>
        <w:rPr>
          <w:color w:val="000000" w:themeColor="text1"/>
          <w:highlight w:val="none"/>
          <w14:textFill>
            <w14:solidFill>
              <w14:schemeClr w14:val="tx1"/>
            </w14:solidFill>
          </w14:textFill>
        </w:rPr>
      </w:pPr>
    </w:p>
    <w:p>
      <w:pPr>
        <w:pStyle w:val="4"/>
        <w:pageBreakBefore/>
        <w:adjustRightInd w:val="0"/>
        <w:snapToGrid w:val="0"/>
        <w:spacing w:before="0" w:after="160" w:afterLines="50" w:line="560" w:lineRule="exact"/>
        <w:ind w:firstLine="644" w:firstLineChars="200"/>
        <w:rPr>
          <w:rFonts w:eastAsia="黑体"/>
          <w:b w:val="0"/>
          <w:bCs w:val="0"/>
          <w:color w:val="000000" w:themeColor="text1"/>
          <w:sz w:val="32"/>
          <w:szCs w:val="32"/>
          <w:highlight w:val="none"/>
          <w:lang w:eastAsia="zh-Hans"/>
          <w14:textFill>
            <w14:solidFill>
              <w14:schemeClr w14:val="tx1"/>
            </w14:solidFill>
          </w14:textFill>
        </w:rPr>
      </w:pPr>
      <w:bookmarkStart w:id="292" w:name="_Toc588042626"/>
      <w:bookmarkStart w:id="293" w:name="_Toc498893528"/>
      <w:bookmarkStart w:id="294" w:name="_Toc112368549"/>
      <w:r>
        <w:rPr>
          <w:rFonts w:hint="eastAsia" w:eastAsia="黑体"/>
          <w:b w:val="0"/>
          <w:bCs w:val="0"/>
          <w:color w:val="000000" w:themeColor="text1"/>
          <w:sz w:val="32"/>
          <w:szCs w:val="32"/>
          <w:highlight w:val="none"/>
          <w:lang w:eastAsia="zh-Hans"/>
          <w14:textFill>
            <w14:solidFill>
              <w14:schemeClr w14:val="tx1"/>
            </w14:solidFill>
          </w14:textFill>
        </w:rPr>
        <w:t>三、</w:t>
      </w:r>
      <w:bookmarkEnd w:id="292"/>
      <w:bookmarkEnd w:id="293"/>
      <w:bookmarkEnd w:id="294"/>
      <w:r>
        <w:rPr>
          <w:rFonts w:hint="eastAsia" w:eastAsia="黑体"/>
          <w:b w:val="0"/>
          <w:bCs w:val="0"/>
          <w:color w:val="000000" w:themeColor="text1"/>
          <w:sz w:val="32"/>
          <w:szCs w:val="32"/>
          <w:highlight w:val="none"/>
          <w:lang w:eastAsia="zh-Hans"/>
          <w14:textFill>
            <w14:solidFill>
              <w14:schemeClr w14:val="tx1"/>
            </w14:solidFill>
          </w14:textFill>
        </w:rPr>
        <w:t>采购清单</w:t>
      </w:r>
    </w:p>
    <w:p>
      <w:pPr>
        <w:pStyle w:val="17"/>
        <w:spacing w:line="440" w:lineRule="exact"/>
        <w:ind w:firstLine="416" w:firstLineChars="197"/>
        <w:rPr>
          <w:rFonts w:ascii="宋体" w:hAnsi="宋体" w:eastAsia="宋体" w:cs="宋体"/>
          <w:bCs/>
          <w:color w:val="000000" w:themeColor="text1"/>
          <w:sz w:val="21"/>
          <w:szCs w:val="21"/>
          <w:highlight w:val="none"/>
          <w:lang w:val="en-US" w:eastAsia="zh-Hans"/>
          <w14:textFill>
            <w14:solidFill>
              <w14:schemeClr w14:val="tx1"/>
            </w14:solidFill>
          </w14:textFill>
        </w:rPr>
      </w:pPr>
      <w:r>
        <w:rPr>
          <w:rFonts w:hint="eastAsia" w:ascii="宋体" w:hAnsi="宋体" w:eastAsia="宋体" w:cs="宋体"/>
          <w:bCs/>
          <w:color w:val="000000" w:themeColor="text1"/>
          <w:sz w:val="21"/>
          <w:szCs w:val="21"/>
          <w:highlight w:val="none"/>
          <w:lang w:val="en-US" w:eastAsia="zh-Hans"/>
          <w14:textFill>
            <w14:solidFill>
              <w14:schemeClr w14:val="tx1"/>
            </w14:solidFill>
          </w14:textFill>
        </w:rPr>
        <w:t>依据建设目标及建设内容，常山乡村振兴特色产业园大数据中心，主要完成数据平台、数字驾驶舱和</w:t>
      </w:r>
      <w:r>
        <w:rPr>
          <w:rFonts w:ascii="宋体" w:hAnsi="宋体" w:eastAsia="宋体" w:cs="宋体"/>
          <w:bCs/>
          <w:color w:val="000000" w:themeColor="text1"/>
          <w:sz w:val="21"/>
          <w:szCs w:val="21"/>
          <w:highlight w:val="none"/>
          <w:lang w:val="en-US" w:eastAsia="zh-Hans"/>
          <w14:textFill>
            <w14:solidFill>
              <w14:schemeClr w14:val="tx1"/>
            </w14:solidFill>
          </w14:textFill>
        </w:rPr>
        <w:t>5</w:t>
      </w:r>
      <w:r>
        <w:rPr>
          <w:rFonts w:hint="eastAsia" w:ascii="宋体" w:hAnsi="宋体" w:eastAsia="宋体" w:cs="宋体"/>
          <w:bCs/>
          <w:color w:val="000000" w:themeColor="text1"/>
          <w:sz w:val="21"/>
          <w:szCs w:val="21"/>
          <w:highlight w:val="none"/>
          <w:lang w:val="en-US" w:eastAsia="zh-Hans"/>
          <w14:textFill>
            <w14:solidFill>
              <w14:schemeClr w14:val="tx1"/>
            </w14:solidFill>
          </w14:textFill>
        </w:rPr>
        <w:t>大领域</w:t>
      </w:r>
      <w:r>
        <w:rPr>
          <w:rFonts w:ascii="宋体" w:hAnsi="宋体" w:eastAsia="宋体" w:cs="宋体"/>
          <w:bCs/>
          <w:color w:val="000000" w:themeColor="text1"/>
          <w:sz w:val="21"/>
          <w:szCs w:val="21"/>
          <w:highlight w:val="none"/>
          <w:lang w:val="en-US" w:eastAsia="zh-Hans"/>
          <w14:textFill>
            <w14:solidFill>
              <w14:schemeClr w14:val="tx1"/>
            </w14:solidFill>
          </w14:textFill>
        </w:rPr>
        <w:t>N</w:t>
      </w:r>
      <w:r>
        <w:rPr>
          <w:rFonts w:hint="eastAsia" w:ascii="宋体" w:hAnsi="宋体" w:eastAsia="宋体" w:cs="宋体"/>
          <w:bCs/>
          <w:color w:val="000000" w:themeColor="text1"/>
          <w:sz w:val="21"/>
          <w:szCs w:val="21"/>
          <w:highlight w:val="none"/>
          <w:lang w:val="en-US" w:eastAsia="zh-Hans"/>
          <w14:textFill>
            <w14:solidFill>
              <w14:schemeClr w14:val="tx1"/>
            </w14:solidFill>
          </w14:textFill>
        </w:rPr>
        <w:t>个应用场景的建设。</w:t>
      </w:r>
    </w:p>
    <w:p>
      <w:pPr>
        <w:pStyle w:val="8"/>
        <w:spacing w:before="160" w:beforeLines="50" w:after="160" w:afterLines="50" w:line="560" w:lineRule="exact"/>
        <w:rPr>
          <w:rFonts w:ascii="Times New Roman" w:hAnsi="Times New Roman" w:eastAsia="楷体"/>
          <w:b w:val="0"/>
          <w:bCs w:val="0"/>
          <w:color w:val="000000" w:themeColor="text1"/>
          <w:highlight w:val="none"/>
          <w:lang w:eastAsia="zh-Hans"/>
          <w14:textFill>
            <w14:solidFill>
              <w14:schemeClr w14:val="tx1"/>
            </w14:solidFill>
          </w14:textFill>
        </w:rPr>
      </w:pPr>
      <w:bookmarkStart w:id="295" w:name="_Toc1127367208"/>
      <w:bookmarkStart w:id="296" w:name="_Toc940077330"/>
      <w:r>
        <w:rPr>
          <w:rFonts w:hint="eastAsia" w:ascii="Times New Roman" w:hAnsi="Times New Roman" w:eastAsia="楷体"/>
          <w:b w:val="0"/>
          <w:bCs w:val="0"/>
          <w:color w:val="000000" w:themeColor="text1"/>
          <w:highlight w:val="none"/>
          <w:lang w:eastAsia="zh-Hans"/>
          <w14:textFill>
            <w14:solidFill>
              <w14:schemeClr w14:val="tx1"/>
            </w14:solidFill>
          </w14:textFill>
        </w:rPr>
        <w:t>（一）数据平台建设</w:t>
      </w:r>
      <w:bookmarkEnd w:id="295"/>
      <w:bookmarkEnd w:id="296"/>
    </w:p>
    <w:tbl>
      <w:tblPr>
        <w:tblStyle w:val="39"/>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7"/>
        <w:gridCol w:w="1121"/>
        <w:gridCol w:w="1030"/>
        <w:gridCol w:w="6000"/>
        <w:gridCol w:w="454"/>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9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w:t>
            </w:r>
          </w:p>
        </w:tc>
        <w:tc>
          <w:tcPr>
            <w:tcW w:w="112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子项</w:t>
            </w: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功能模块</w:t>
            </w:r>
          </w:p>
        </w:tc>
        <w:tc>
          <w:tcPr>
            <w:tcW w:w="6000" w:type="dxa"/>
            <w:vAlign w:val="center"/>
          </w:tcPr>
          <w:p>
            <w:pPr>
              <w:widowControl/>
              <w:jc w:val="center"/>
              <w:textAlignment w:val="center"/>
              <w:rPr>
                <w:rFonts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功能描述</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数量</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597"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数据系统建设</w:t>
            </w:r>
          </w:p>
        </w:tc>
        <w:tc>
          <w:tcPr>
            <w:tcW w:w="1121"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数据采集系统</w:t>
            </w:r>
          </w:p>
        </w:tc>
        <w:tc>
          <w:tcPr>
            <w:tcW w:w="1030"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离线数据同步</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支持可配置多种数据源。</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支持编辑模式和增量模式</w:t>
            </w:r>
            <w:r>
              <w:rPr>
                <w:rFonts w:ascii="宋体" w:hAnsi="宋体" w:cs="宋体"/>
                <w:color w:val="000000" w:themeColor="text1"/>
                <w:kern w:val="0"/>
                <w:szCs w:val="21"/>
                <w:highlight w:val="none"/>
                <w:lang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种同步模式。</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支持同步任务的创建与配置。</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可配置同步任务的运行速度上限，数据切分键、通道并发数、脏数据保存策略、脏数据超出失败配置等。</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离线数据开发</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支持多种任务类型创建。</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提供基于</w:t>
            </w:r>
            <w:r>
              <w:rPr>
                <w:rFonts w:ascii="宋体" w:hAnsi="宋体" w:cs="宋体"/>
                <w:color w:val="000000" w:themeColor="text1"/>
                <w:kern w:val="0"/>
                <w:szCs w:val="21"/>
                <w:highlight w:val="none"/>
                <w:lang w:bidi="ar"/>
                <w14:textFill>
                  <w14:solidFill>
                    <w14:schemeClr w14:val="tx1"/>
                  </w14:solidFill>
                </w14:textFill>
              </w:rPr>
              <w:t>WEB SQL</w:t>
            </w:r>
            <w:r>
              <w:rPr>
                <w:rFonts w:hint="eastAsia" w:ascii="宋体" w:hAnsi="宋体" w:cs="宋体"/>
                <w:color w:val="000000" w:themeColor="text1"/>
                <w:kern w:val="0"/>
                <w:szCs w:val="21"/>
                <w:highlight w:val="none"/>
                <w:lang w:bidi="ar"/>
                <w14:textFill>
                  <w14:solidFill>
                    <w14:schemeClr w14:val="tx1"/>
                  </w14:solidFill>
                </w14:textFill>
              </w:rPr>
              <w:t>的编辑器，为开发人员提供给良好的交互体验。</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支持自定义函数注册、资源管理。</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实时数据采集</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支持向导和脚本</w:t>
            </w:r>
            <w:r>
              <w:rPr>
                <w:rFonts w:ascii="宋体" w:hAnsi="宋体" w:cs="宋体"/>
                <w:color w:val="000000" w:themeColor="text1"/>
                <w:kern w:val="0"/>
                <w:szCs w:val="21"/>
                <w:highlight w:val="none"/>
                <w:lang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种配置模式</w:t>
            </w:r>
            <w:r>
              <w:rPr>
                <w:rFonts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支持对输入、输出的数据量进行实时监控并告警。</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实时数据开发</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支持代码高亮、关键字提示、列块编辑模式、编辑器主题切换、编辑器全屏等功能。</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源表、结果表、维表</w:t>
            </w:r>
            <w:r>
              <w:rPr>
                <w:rFonts w:ascii="宋体" w:hAnsi="宋体" w:cs="宋体"/>
                <w:color w:val="000000" w:themeColor="text1"/>
                <w:kern w:val="0"/>
                <w:szCs w:val="21"/>
                <w:highlight w:val="none"/>
                <w:lang w:bidi="ar"/>
                <w14:textFill>
                  <w14:solidFill>
                    <w14:schemeClr w14:val="tx1"/>
                  </w14:solidFill>
                </w14:textFill>
              </w:rPr>
              <w:t>3</w:t>
            </w:r>
            <w:r>
              <w:rPr>
                <w:rFonts w:hint="eastAsia" w:ascii="宋体" w:hAnsi="宋体" w:cs="宋体"/>
                <w:color w:val="000000" w:themeColor="text1"/>
                <w:kern w:val="0"/>
                <w:szCs w:val="21"/>
                <w:highlight w:val="none"/>
                <w:lang w:bidi="ar"/>
                <w14:textFill>
                  <w14:solidFill>
                    <w14:schemeClr w14:val="tx1"/>
                  </w14:solidFill>
                </w14:textFill>
              </w:rPr>
              <w:t>种表的可视化建表配置。</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支持源表、结果表、维表</w:t>
            </w:r>
            <w:r>
              <w:rPr>
                <w:rFonts w:ascii="宋体" w:hAnsi="宋体" w:cs="宋体"/>
                <w:color w:val="000000" w:themeColor="text1"/>
                <w:kern w:val="0"/>
                <w:szCs w:val="21"/>
                <w:highlight w:val="none"/>
                <w:lang w:bidi="ar"/>
                <w14:textFill>
                  <w14:solidFill>
                    <w14:schemeClr w14:val="tx1"/>
                  </w14:solidFill>
                </w14:textFill>
              </w:rPr>
              <w:t>3</w:t>
            </w:r>
            <w:r>
              <w:rPr>
                <w:rFonts w:hint="eastAsia" w:ascii="宋体" w:hAnsi="宋体" w:cs="宋体"/>
                <w:color w:val="000000" w:themeColor="text1"/>
                <w:kern w:val="0"/>
                <w:szCs w:val="21"/>
                <w:highlight w:val="none"/>
                <w:lang w:bidi="ar"/>
                <w14:textFill>
                  <w14:solidFill>
                    <w14:schemeClr w14:val="tx1"/>
                  </w14:solidFill>
                </w14:textFill>
              </w:rPr>
              <w:t>种表插件化设计，可快速的对接新的数据源，满足各种业务场景需求。</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支持在页面上对维表做配置，并在</w:t>
            </w:r>
            <w:r>
              <w:rPr>
                <w:rFonts w:ascii="宋体" w:hAnsi="宋体" w:cs="宋体"/>
                <w:color w:val="000000" w:themeColor="text1"/>
                <w:kern w:val="0"/>
                <w:szCs w:val="21"/>
                <w:highlight w:val="none"/>
                <w:lang w:bidi="ar"/>
                <w14:textFill>
                  <w14:solidFill>
                    <w14:schemeClr w14:val="tx1"/>
                  </w14:solidFill>
                </w14:textFill>
              </w:rPr>
              <w:t>SQL</w:t>
            </w:r>
            <w:r>
              <w:rPr>
                <w:rFonts w:hint="eastAsia" w:ascii="宋体" w:hAnsi="宋体" w:cs="宋体"/>
                <w:color w:val="000000" w:themeColor="text1"/>
                <w:kern w:val="0"/>
                <w:szCs w:val="21"/>
                <w:highlight w:val="none"/>
                <w:lang w:bidi="ar"/>
                <w14:textFill>
                  <w14:solidFill>
                    <w14:schemeClr w14:val="tx1"/>
                  </w14:solidFill>
                </w14:textFill>
              </w:rPr>
              <w:t>代码中编写简单的</w:t>
            </w:r>
            <w:r>
              <w:rPr>
                <w:rFonts w:ascii="宋体" w:hAnsi="宋体" w:cs="宋体"/>
                <w:color w:val="000000" w:themeColor="text1"/>
                <w:kern w:val="0"/>
                <w:szCs w:val="21"/>
                <w:highlight w:val="none"/>
                <w:lang w:bidi="ar"/>
                <w14:textFill>
                  <w14:solidFill>
                    <w14:schemeClr w14:val="tx1"/>
                  </w14:solidFill>
                </w14:textFill>
              </w:rPr>
              <w:t>join</w:t>
            </w:r>
            <w:r>
              <w:rPr>
                <w:rFonts w:hint="eastAsia" w:ascii="宋体" w:hAnsi="宋体" w:cs="宋体"/>
                <w:color w:val="000000" w:themeColor="text1"/>
                <w:kern w:val="0"/>
                <w:szCs w:val="21"/>
                <w:highlight w:val="none"/>
                <w:lang w:bidi="ar"/>
                <w14:textFill>
                  <w14:solidFill>
                    <w14:schemeClr w14:val="tx1"/>
                  </w14:solidFill>
                </w14:textFill>
              </w:rPr>
              <w:t>语句，实现流式数据与维表数据的</w:t>
            </w:r>
            <w:r>
              <w:rPr>
                <w:rFonts w:ascii="宋体" w:hAnsi="宋体" w:cs="宋体"/>
                <w:color w:val="000000" w:themeColor="text1"/>
                <w:kern w:val="0"/>
                <w:szCs w:val="21"/>
                <w:highlight w:val="none"/>
                <w:lang w:bidi="ar"/>
                <w14:textFill>
                  <w14:solidFill>
                    <w14:schemeClr w14:val="tx1"/>
                  </w14:solidFill>
                </w14:textFill>
              </w:rPr>
              <w:t>join</w:t>
            </w:r>
            <w:r>
              <w:rPr>
                <w:rFonts w:hint="eastAsia" w:ascii="宋体" w:hAnsi="宋体" w:cs="宋体"/>
                <w:color w:val="000000" w:themeColor="text1"/>
                <w:kern w:val="0"/>
                <w:szCs w:val="21"/>
                <w:highlight w:val="none"/>
                <w:lang w:bidi="ar"/>
                <w14:textFill>
                  <w14:solidFill>
                    <w14:schemeClr w14:val="tx1"/>
                  </w14:solidFill>
                </w14:textFill>
              </w:rPr>
              <w:t>。</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调度引擎</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支持天、周、月、小时、分钟，</w:t>
            </w:r>
            <w:r>
              <w:rPr>
                <w:rFonts w:ascii="宋体" w:hAnsi="宋体" w:cs="宋体"/>
                <w:color w:val="000000" w:themeColor="text1"/>
                <w:kern w:val="0"/>
                <w:szCs w:val="21"/>
                <w:highlight w:val="none"/>
                <w:lang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种不同粒度的调度周期，同时长短周期任务相互依赖。</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支持跨层级、跨项目、跨租户的任务间依赖，仅需指定当前任务的上游任务即可。</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自动解析</w:t>
            </w:r>
            <w:r>
              <w:rPr>
                <w:rFonts w:ascii="宋体" w:hAnsi="宋体" w:cs="宋体"/>
                <w:color w:val="000000" w:themeColor="text1"/>
                <w:kern w:val="0"/>
                <w:szCs w:val="21"/>
                <w:highlight w:val="none"/>
                <w:lang w:bidi="ar"/>
                <w14:textFill>
                  <w14:solidFill>
                    <w14:schemeClr w14:val="tx1"/>
                  </w14:solidFill>
                </w14:textFill>
              </w:rPr>
              <w:t>SQL</w:t>
            </w:r>
            <w:r>
              <w:rPr>
                <w:rFonts w:hint="eastAsia" w:ascii="宋体" w:hAnsi="宋体" w:cs="宋体"/>
                <w:color w:val="000000" w:themeColor="text1"/>
                <w:kern w:val="0"/>
                <w:szCs w:val="21"/>
                <w:highlight w:val="none"/>
                <w:lang w:bidi="ar"/>
                <w14:textFill>
                  <w14:solidFill>
                    <w14:schemeClr w14:val="tx1"/>
                  </w14:solidFill>
                </w14:textFill>
              </w:rPr>
              <w:t>代码，并根据解析结果自动为用户推荐依赖的上游任务。</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对已过期的任务自动跳过，无需运行，仅需运行当前未过期的任务。</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项目管理</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项目创建、项目参数配置等。</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不同项目内的数据是相互隔离的支持。</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运维中心</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系统自动监控每个任务的运行状态并汇总显示，自动统计最近一段的任务运行情况。</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支持指定历史数据哪些任务需要重刷、重刷时间范围</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系统可监控此实例的运行状态，记录其运行日志，同时支持用户对实例进行各类操作，包括：重跑、终止、恢复调度等。</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可根据任务执行状态配置告警。。</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数据质量管理系统</w:t>
            </w:r>
          </w:p>
        </w:tc>
        <w:tc>
          <w:tcPr>
            <w:tcW w:w="1030"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规则配置</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用户可根据不同的业务场景，数据质量提供表行数、空值数、空值率、重复数、重复率等二十余种统计函数</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支持校验规则的调度配置自定义，支持小时、天、周、月、手动触发五种模式。</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任务查询</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查看数据质量的校验任务的执结果，户可以查看每次校验是成功还是失败，以及各项检测指标、全表指标在最近时间段的发展趋势。</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提供每个监控项近一个月的指标波动图，用户可通过观察指标波动是否剧烈来辅助定位问题。</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对最近</w:t>
            </w:r>
            <w:r>
              <w:rPr>
                <w:rFonts w:ascii="宋体" w:hAnsi="宋体" w:cs="宋体"/>
                <w:color w:val="000000" w:themeColor="text1"/>
                <w:kern w:val="0"/>
                <w:szCs w:val="21"/>
                <w:highlight w:val="none"/>
                <w:lang w:bidi="ar"/>
                <w14:textFill>
                  <w14:solidFill>
                    <w14:schemeClr w14:val="tx1"/>
                  </w14:solidFill>
                </w14:textFill>
              </w:rPr>
              <w:t>30</w:t>
            </w:r>
            <w:r>
              <w:rPr>
                <w:rFonts w:hint="eastAsia" w:ascii="宋体" w:hAnsi="宋体" w:cs="宋体"/>
                <w:color w:val="000000" w:themeColor="text1"/>
                <w:kern w:val="0"/>
                <w:szCs w:val="21"/>
                <w:highlight w:val="none"/>
                <w:lang w:bidi="ar"/>
                <w14:textFill>
                  <w14:solidFill>
                    <w14:schemeClr w14:val="tx1"/>
                  </w14:solidFill>
                </w14:textFill>
              </w:rPr>
              <w:t>次的校验结果进行分析，统计记录数波动、平均告警值等信息。</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逐行校验</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进行简单配置即可完成对数据表的一致性校验。支持源表、目标表的字段映射、主键选择。</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远程触发</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用户可以通过接口调用的形式，对数据质量的校验任务进行触发执行。</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项目管理</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建立不同的“项目”进行标签数据的使用和管理。</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不同项目内的数据相互隔离。</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数据资产管理系统</w:t>
            </w:r>
          </w:p>
        </w:tc>
        <w:tc>
          <w:tcPr>
            <w:tcW w:w="1030"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元数据管理</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支持用户根据类目、表名、所在项目、授权状态进行过滤，或直接根据表名搜索。</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支持查看此表的基本信息</w:t>
            </w:r>
            <w:r>
              <w:rPr>
                <w:rFonts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可以进行预览，直观的查看表内数据情况。</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支持自动解析同步任务和</w:t>
            </w:r>
            <w:r>
              <w:rPr>
                <w:rFonts w:ascii="宋体" w:hAnsi="宋体" w:cs="宋体"/>
                <w:color w:val="000000" w:themeColor="text1"/>
                <w:kern w:val="0"/>
                <w:szCs w:val="21"/>
                <w:highlight w:val="none"/>
                <w:lang w:bidi="ar"/>
                <w14:textFill>
                  <w14:solidFill>
                    <w14:schemeClr w14:val="tx1"/>
                  </w14:solidFill>
                </w14:textFill>
              </w:rPr>
              <w:t>SQL</w:t>
            </w:r>
            <w:r>
              <w:rPr>
                <w:rFonts w:hint="eastAsia" w:ascii="宋体" w:hAnsi="宋体" w:cs="宋体"/>
                <w:color w:val="000000" w:themeColor="text1"/>
                <w:kern w:val="0"/>
                <w:szCs w:val="21"/>
                <w:highlight w:val="none"/>
                <w:lang w:bidi="ar"/>
                <w14:textFill>
                  <w14:solidFill>
                    <w14:schemeClr w14:val="tx1"/>
                  </w14:solidFill>
                </w14:textFill>
              </w:rPr>
              <w:t>代码，自动建立各个数据表的表级、字段级血缘关系。</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数据管理</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w:t>
            </w:r>
            <w:r>
              <w:rPr>
                <w:rFonts w:ascii="宋体" w:hAnsi="宋体" w:cs="宋体"/>
                <w:color w:val="000000" w:themeColor="text1"/>
                <w:kern w:val="0"/>
                <w:szCs w:val="21"/>
                <w:highlight w:val="none"/>
                <w:lang w:bidi="ar"/>
                <w14:textFill>
                  <w14:solidFill>
                    <w14:schemeClr w14:val="tx1"/>
                  </w14:solidFill>
                </w14:textFill>
              </w:rPr>
              <w:t>3</w:t>
            </w:r>
            <w:r>
              <w:rPr>
                <w:rFonts w:hint="eastAsia" w:ascii="宋体" w:hAnsi="宋体" w:cs="宋体"/>
                <w:color w:val="000000" w:themeColor="text1"/>
                <w:kern w:val="0"/>
                <w:szCs w:val="21"/>
                <w:highlight w:val="none"/>
                <w:lang w:bidi="ar"/>
                <w14:textFill>
                  <w14:solidFill>
                    <w14:schemeClr w14:val="tx1"/>
                  </w14:solidFill>
                </w14:textFill>
              </w:rPr>
              <w:t>层类目的管理，用户可自定义层级、名称，并将数据表指定至某个节点上，数据开发者在寻找数据时可根据数据类目快速定位。</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支持表级、字段级数据权限的管理。</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持对表的生命周期管理，用户可在建表时指定生命周期，系统定时检测每张表</w:t>
            </w:r>
            <w:r>
              <w:rPr>
                <w:rFonts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分区的数据更新时间，超出时间后自动删除数据，降低临时数据造成的存储压力。</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支持数据脱敏的配置，管理员仅需指定某个字段需要脱敏，其他无权限用户即无法查询此字段的具体内容。</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数据共享服务管理系统</w:t>
            </w:r>
          </w:p>
        </w:tc>
        <w:tc>
          <w:tcPr>
            <w:tcW w:w="1030"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生成预注册</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供</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使用者调用，支持模板向导模式和自定义</w:t>
            </w:r>
            <w:r>
              <w:rPr>
                <w:rFonts w:ascii="宋体" w:hAnsi="宋体" w:cs="宋体"/>
                <w:color w:val="000000" w:themeColor="text1"/>
                <w:kern w:val="0"/>
                <w:szCs w:val="21"/>
                <w:highlight w:val="none"/>
                <w:lang w:bidi="ar"/>
                <w14:textFill>
                  <w14:solidFill>
                    <w14:schemeClr w14:val="tx1"/>
                  </w14:solidFill>
                </w14:textFill>
              </w:rPr>
              <w:t>SQL</w:t>
            </w:r>
            <w:r>
              <w:rPr>
                <w:rFonts w:hint="eastAsia" w:ascii="宋体" w:hAnsi="宋体" w:cs="宋体"/>
                <w:color w:val="000000" w:themeColor="text1"/>
                <w:kern w:val="0"/>
                <w:szCs w:val="21"/>
                <w:highlight w:val="none"/>
                <w:lang w:bidi="ar"/>
                <w14:textFill>
                  <w14:solidFill>
                    <w14:schemeClr w14:val="tx1"/>
                  </w14:solidFill>
                </w14:textFill>
              </w:rPr>
              <w:t>模式</w:t>
            </w:r>
            <w:r>
              <w:rPr>
                <w:rFonts w:ascii="宋体" w:hAnsi="宋体" w:cs="宋体"/>
                <w:color w:val="000000" w:themeColor="text1"/>
                <w:kern w:val="0"/>
                <w:szCs w:val="21"/>
                <w:highlight w:val="none"/>
                <w:lang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种方式。</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支持将平台外部的</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注册至</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网关，可在数据</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平台进行统一管理。</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发布</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支持将</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发布至</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网关，也支持将</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从</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网关下架。</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管理与授权</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支持查看每个</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的基础设置、调用情况、订购情况、安全限制，了解每个</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的使用及订购情况。</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审批通过或拒绝申请。后续也可禁用或开启某用户的</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调用权限。</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申请与调用</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申请者可在</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市场中查看各</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的基础信息，申请自己需要的</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支持调用者获得</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调用</w:t>
            </w:r>
            <w:r>
              <w:rPr>
                <w:rFonts w:ascii="宋体" w:hAnsi="宋体" w:cs="宋体"/>
                <w:color w:val="000000" w:themeColor="text1"/>
                <w:kern w:val="0"/>
                <w:szCs w:val="21"/>
                <w:highlight w:val="none"/>
                <w:lang w:bidi="ar"/>
                <w14:textFill>
                  <w14:solidFill>
                    <w14:schemeClr w14:val="tx1"/>
                  </w14:solidFill>
                </w14:textFill>
              </w:rPr>
              <w:t>URL</w:t>
            </w:r>
            <w:r>
              <w:rPr>
                <w:rFonts w:hint="eastAsia" w:ascii="宋体" w:hAnsi="宋体" w:cs="宋体"/>
                <w:color w:val="000000" w:themeColor="text1"/>
                <w:kern w:val="0"/>
                <w:szCs w:val="21"/>
                <w:highlight w:val="none"/>
                <w:lang w:bidi="ar"/>
                <w14:textFill>
                  <w14:solidFill>
                    <w14:schemeClr w14:val="tx1"/>
                  </w14:solidFill>
                </w14:textFill>
              </w:rPr>
              <w:t>，以及查看</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的请求示例，按照一定的数据格式开始调用。</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测试</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测试可视化配置，直接填写输入参数值。</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安全</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管理者的授权审批，以及</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管理者可限制</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申请者的调用次数及周期。</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可设置</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单秒调用次数，保证</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网关的稳定，防止恶意调用及攻击。</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允许对</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进行黑白名单的访问限制，允许特定用户访问或设置特定用户不能访问。</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调用方式采用</w:t>
            </w:r>
            <w:r>
              <w:rPr>
                <w:rFonts w:ascii="宋体" w:hAnsi="宋体" w:cs="宋体"/>
                <w:color w:val="000000" w:themeColor="text1"/>
                <w:kern w:val="0"/>
                <w:szCs w:val="21"/>
                <w:highlight w:val="none"/>
                <w:lang w:bidi="ar"/>
                <w14:textFill>
                  <w14:solidFill>
                    <w14:schemeClr w14:val="tx1"/>
                  </w14:solidFill>
                </w14:textFill>
              </w:rPr>
              <w:t>AK/SK</w:t>
            </w:r>
            <w:r>
              <w:rPr>
                <w:rFonts w:hint="eastAsia" w:ascii="宋体" w:hAnsi="宋体" w:cs="宋体"/>
                <w:color w:val="000000" w:themeColor="text1"/>
                <w:kern w:val="0"/>
                <w:szCs w:val="21"/>
                <w:highlight w:val="none"/>
                <w:lang w:bidi="ar"/>
                <w14:textFill>
                  <w14:solidFill>
                    <w14:schemeClr w14:val="tx1"/>
                  </w14:solidFill>
                </w14:textFill>
              </w:rPr>
              <w:t>签名加密的方式。</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restart"/>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统一运维管理系统</w:t>
            </w:r>
          </w:p>
        </w:tc>
        <w:tc>
          <w:tcPr>
            <w:tcW w:w="1030" w:type="dxa"/>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ascii="Times New Roman" w:hAnsi="Times New Roman" w:eastAsia="仿宋_GB2312"/>
                <w:highlight w:val="none"/>
              </w:rPr>
              <w:t>安</w:t>
            </w:r>
            <w:r>
              <w:rPr>
                <w:rFonts w:ascii="宋体" w:hAnsi="宋体" w:cs="宋体"/>
                <w:color w:val="000000" w:themeColor="text1"/>
                <w:kern w:val="0"/>
                <w:szCs w:val="21"/>
                <w:highlight w:val="none"/>
                <w:lang w:bidi="ar"/>
                <w14:textFill>
                  <w14:solidFill>
                    <w14:schemeClr w14:val="tx1"/>
                  </w14:solidFill>
                </w14:textFill>
              </w:rPr>
              <w:t>装部署</w:t>
            </w:r>
          </w:p>
        </w:tc>
        <w:tc>
          <w:tcPr>
            <w:tcW w:w="6000" w:type="dxa"/>
            <w:vAlign w:val="center"/>
          </w:tcPr>
          <w:p>
            <w:pP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统一运维管理系统结合安装包的制作与解析，创建一套简单易用的安装包制作规范，其可配置需安装组件的版本号、执行命令、配置参数、健康检查、依赖情况等，并进行打包上传，即可通过统一运维管理系统进行产品部署。</w:t>
            </w:r>
          </w:p>
        </w:tc>
        <w:tc>
          <w:tcPr>
            <w:tcW w:w="454"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p>
        </w:tc>
        <w:tc>
          <w:tcPr>
            <w:tcW w:w="1030"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服务管理</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支持查看服务组下各服务实例的健康状态、运行状态、运行日志、服务配置及告警内容。</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支持部署服务的单台主机停止与启动，也支持服务下运行主机的全部停止与启动，并在断电后可自动重启。</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支持服务的滚动重启，使服务不停机工作。</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通过仪表盘实时查看核心参数数据指标。</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可查看各服务的</w:t>
            </w:r>
            <w:r>
              <w:rPr>
                <w:rFonts w:ascii="宋体" w:hAnsi="宋体" w:cs="宋体"/>
                <w:color w:val="000000" w:themeColor="text1"/>
                <w:kern w:val="0"/>
                <w:szCs w:val="21"/>
                <w:highlight w:val="none"/>
                <w:lang w:bidi="ar"/>
                <w14:textFill>
                  <w14:solidFill>
                    <w14:schemeClr w14:val="tx1"/>
                  </w14:solidFill>
                </w14:textFill>
              </w:rPr>
              <w:t>config</w:t>
            </w:r>
            <w:r>
              <w:rPr>
                <w:rFonts w:hint="eastAsia" w:ascii="宋体" w:hAnsi="宋体" w:cs="宋体"/>
                <w:color w:val="000000" w:themeColor="text1"/>
                <w:kern w:val="0"/>
                <w:szCs w:val="21"/>
                <w:highlight w:val="none"/>
                <w:lang w:bidi="ar"/>
                <w14:textFill>
                  <w14:solidFill>
                    <w14:schemeClr w14:val="tx1"/>
                  </w14:solidFill>
                </w14:textFill>
              </w:rPr>
              <w:t>配置、实例配置及依赖服务，支持运维人员进行修改。</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支持服务进程异常退出时，统一运维管理系统会自动重启服务。</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支持关联服务并发启动，可极大节省部署时间。</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主机管理</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支持账号接入、命令行接入，满足不同运维人员的操作习惯。</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可实时监控</w:t>
            </w:r>
            <w:r>
              <w:rPr>
                <w:rFonts w:ascii="宋体" w:hAnsi="宋体" w:cs="宋体"/>
                <w:color w:val="000000" w:themeColor="text1"/>
                <w:kern w:val="0"/>
                <w:szCs w:val="21"/>
                <w:highlight w:val="none"/>
                <w:lang w:bidi="ar"/>
                <w14:textFill>
                  <w14:solidFill>
                    <w14:schemeClr w14:val="tx1"/>
                  </w14:solidFill>
                </w14:textFill>
              </w:rPr>
              <w:t>agent</w:t>
            </w:r>
            <w:r>
              <w:rPr>
                <w:rFonts w:hint="eastAsia" w:ascii="宋体" w:hAnsi="宋体" w:cs="宋体"/>
                <w:color w:val="000000" w:themeColor="text1"/>
                <w:kern w:val="0"/>
                <w:szCs w:val="21"/>
                <w:highlight w:val="none"/>
                <w:lang w:bidi="ar"/>
                <w14:textFill>
                  <w14:solidFill>
                    <w14:schemeClr w14:val="tx1"/>
                  </w14:solidFill>
                </w14:textFill>
              </w:rPr>
              <w:t>的运行状态以及最近心跳时间，并可查看主机核心指标参数。</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支持仪表盘的增加与替换，可灵活的配置数据监控界面，提供真正的高精准全视觉导航。</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平台运维</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支持根据产品包变更程度大小，进行配置参数修改或制作补丁包上传，进行二次部署。</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支持版本回滚，之前部署的产品包可重新部署。</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支持用户在主机管理及部署向导中引入新的主机。</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支持集群下组件的停止与启动。</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支持上传的所有安装包，可进行部署、删除及重新部署等操作。</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支持查看组件的历史部署记录。</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提供日志查看、日志刷新等功能。</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监控告警</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支持监控参数的无限扩展，支持用户自建、导入导出仪表盘。</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支持多种图表类型的创建，为不同监控指标提供合适的图表展现。</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支持邮件、钉钉、短信三大告警方式，且不同告警方式提供不同的消息插件。</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包含</w:t>
            </w:r>
            <w:r>
              <w:rPr>
                <w:rFonts w:ascii="宋体" w:hAnsi="宋体" w:cs="宋体"/>
                <w:color w:val="000000" w:themeColor="text1"/>
                <w:kern w:val="0"/>
                <w:szCs w:val="21"/>
                <w:highlight w:val="none"/>
                <w:lang w:bidi="ar"/>
                <w14:textFill>
                  <w14:solidFill>
                    <w14:schemeClr w14:val="tx1"/>
                  </w14:solidFill>
                </w14:textFill>
              </w:rPr>
              <w:t>okay</w:t>
            </w:r>
            <w:r>
              <w:rPr>
                <w:rFonts w:hint="eastAsia" w:ascii="宋体" w:hAnsi="宋体" w:cs="宋体"/>
                <w:color w:val="000000" w:themeColor="text1"/>
                <w:kern w:val="0"/>
                <w:szCs w:val="21"/>
                <w:highlight w:val="none"/>
                <w:lang w:bidi="ar"/>
                <w14:textFill>
                  <w14:solidFill>
                    <w14:schemeClr w14:val="tx1"/>
                  </w14:solidFill>
                </w14:textFill>
              </w:rPr>
              <w:t>、</w:t>
            </w:r>
            <w:r>
              <w:rPr>
                <w:rFonts w:ascii="宋体" w:hAnsi="宋体" w:cs="宋体"/>
                <w:color w:val="000000" w:themeColor="text1"/>
                <w:kern w:val="0"/>
                <w:szCs w:val="21"/>
                <w:highlight w:val="none"/>
                <w:lang w:bidi="ar"/>
                <w14:textFill>
                  <w14:solidFill>
                    <w14:schemeClr w14:val="tx1"/>
                  </w14:solidFill>
                </w14:textFill>
              </w:rPr>
              <w:t>alerting</w:t>
            </w:r>
            <w:r>
              <w:rPr>
                <w:rFonts w:hint="eastAsia" w:ascii="宋体" w:hAnsi="宋体" w:cs="宋体"/>
                <w:color w:val="000000" w:themeColor="text1"/>
                <w:kern w:val="0"/>
                <w:szCs w:val="21"/>
                <w:highlight w:val="none"/>
                <w:lang w:bidi="ar"/>
                <w14:textFill>
                  <w14:solidFill>
                    <w14:schemeClr w14:val="tx1"/>
                  </w14:solidFill>
                </w14:textFill>
              </w:rPr>
              <w:t>、</w:t>
            </w:r>
            <w:r>
              <w:rPr>
                <w:rFonts w:ascii="宋体" w:hAnsi="宋体" w:cs="宋体"/>
                <w:color w:val="000000" w:themeColor="text1"/>
                <w:kern w:val="0"/>
                <w:szCs w:val="21"/>
                <w:highlight w:val="none"/>
                <w:lang w:bidi="ar"/>
                <w14:textFill>
                  <w14:solidFill>
                    <w14:schemeClr w14:val="tx1"/>
                  </w14:solidFill>
                </w14:textFill>
              </w:rPr>
              <w:t>no data</w:t>
            </w:r>
            <w:r>
              <w:rPr>
                <w:rFonts w:hint="eastAsia" w:ascii="宋体" w:hAnsi="宋体" w:cs="宋体"/>
                <w:color w:val="000000" w:themeColor="text1"/>
                <w:kern w:val="0"/>
                <w:szCs w:val="21"/>
                <w:highlight w:val="none"/>
                <w:lang w:bidi="ar"/>
                <w14:textFill>
                  <w14:solidFill>
                    <w14:schemeClr w14:val="tx1"/>
                  </w14:solidFill>
                </w14:textFill>
              </w:rPr>
              <w:t>三种，可在仪表盘中的</w:t>
            </w:r>
            <w:r>
              <w:rPr>
                <w:rFonts w:ascii="宋体" w:hAnsi="宋体" w:cs="宋体"/>
                <w:color w:val="000000" w:themeColor="text1"/>
                <w:kern w:val="0"/>
                <w:szCs w:val="21"/>
                <w:highlight w:val="none"/>
                <w:lang w:bidi="ar"/>
                <w14:textFill>
                  <w14:solidFill>
                    <w14:schemeClr w14:val="tx1"/>
                  </w14:solidFill>
                </w14:textFill>
              </w:rPr>
              <w:t>panel</w:t>
            </w:r>
            <w:r>
              <w:rPr>
                <w:rFonts w:hint="eastAsia" w:ascii="宋体" w:hAnsi="宋体" w:cs="宋体"/>
                <w:color w:val="000000" w:themeColor="text1"/>
                <w:kern w:val="0"/>
                <w:szCs w:val="21"/>
                <w:highlight w:val="none"/>
                <w:lang w:bidi="ar"/>
                <w14:textFill>
                  <w14:solidFill>
                    <w14:schemeClr w14:val="tx1"/>
                  </w14:solidFill>
                </w14:textFill>
              </w:rPr>
              <w:t>中设置告警规则。</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数据模型建设</w:t>
            </w:r>
          </w:p>
        </w:tc>
        <w:tc>
          <w:tcPr>
            <w:tcW w:w="112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数据管理</w:t>
            </w: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支持小、大批量数据上传，数据库数据同步。</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模型离线训练</w:t>
            </w: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周期调度</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支持设置模型的运行周期。</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任务管理</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支持任务运维，可在运维中心查看提交的任务。</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模型在线部署</w:t>
            </w: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模型在线部署</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w:t>
            </w:r>
            <w:r>
              <w:rPr>
                <w:rFonts w:ascii="宋体" w:hAnsi="宋体" w:cs="宋体"/>
                <w:color w:val="000000" w:themeColor="text1"/>
                <w:kern w:val="0"/>
                <w:szCs w:val="21"/>
                <w:highlight w:val="none"/>
                <w:lang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种方式模型部署，可更新模型及切换模型。</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模型调用</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支持模型将生成一个</w:t>
            </w:r>
            <w:r>
              <w:rPr>
                <w:rFonts w:ascii="宋体" w:hAnsi="宋体" w:cs="宋体"/>
                <w:color w:val="000000" w:themeColor="text1"/>
                <w:kern w:val="0"/>
                <w:szCs w:val="21"/>
                <w:highlight w:val="none"/>
                <w:lang w:bidi="ar"/>
                <w14:textFill>
                  <w14:solidFill>
                    <w14:schemeClr w14:val="tx1"/>
                  </w14:solidFill>
                </w14:textFill>
              </w:rPr>
              <w:t>API</w:t>
            </w:r>
            <w:r>
              <w:rPr>
                <w:rFonts w:hint="eastAsia" w:ascii="宋体" w:hAnsi="宋体" w:cs="宋体"/>
                <w:color w:val="000000" w:themeColor="text1"/>
                <w:kern w:val="0"/>
                <w:szCs w:val="21"/>
                <w:highlight w:val="none"/>
                <w:lang w:bidi="ar"/>
                <w14:textFill>
                  <w14:solidFill>
                    <w14:schemeClr w14:val="tx1"/>
                  </w14:solidFill>
                </w14:textFill>
              </w:rPr>
              <w:t>调用</w:t>
            </w:r>
            <w:r>
              <w:rPr>
                <w:rFonts w:ascii="宋体" w:hAnsi="宋体" w:cs="宋体"/>
                <w:color w:val="000000" w:themeColor="text1"/>
                <w:kern w:val="0"/>
                <w:szCs w:val="21"/>
                <w:highlight w:val="none"/>
                <w:lang w:bidi="ar"/>
                <w14:textFill>
                  <w14:solidFill>
                    <w14:schemeClr w14:val="tx1"/>
                  </w14:solidFill>
                </w14:textFill>
              </w:rPr>
              <w:t>URL</w:t>
            </w:r>
            <w:r>
              <w:rPr>
                <w:rFonts w:hint="eastAsia" w:ascii="宋体" w:hAnsi="宋体" w:cs="宋体"/>
                <w:color w:val="000000" w:themeColor="text1"/>
                <w:kern w:val="0"/>
                <w:szCs w:val="21"/>
                <w:highlight w:val="none"/>
                <w:lang w:bidi="ar"/>
                <w14:textFill>
                  <w14:solidFill>
                    <w14:schemeClr w14:val="tx1"/>
                  </w14:solidFill>
                </w14:textFill>
              </w:rPr>
              <w:t>，使用者可直接进行此模型的调用。</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模型导出</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支持将机器学习算法模型导出为</w:t>
            </w:r>
            <w:r>
              <w:rPr>
                <w:rFonts w:ascii="宋体" w:hAnsi="宋体" w:cs="宋体"/>
                <w:color w:val="000000" w:themeColor="text1"/>
                <w:kern w:val="0"/>
                <w:szCs w:val="21"/>
                <w:highlight w:val="none"/>
                <w:lang w:bidi="ar"/>
                <w14:textFill>
                  <w14:solidFill>
                    <w14:schemeClr w14:val="tx1"/>
                  </w14:solidFill>
                </w14:textFill>
              </w:rPr>
              <w:t>PMML</w:t>
            </w:r>
            <w:r>
              <w:rPr>
                <w:rFonts w:hint="eastAsia" w:ascii="宋体" w:hAnsi="宋体" w:cs="宋体"/>
                <w:color w:val="000000" w:themeColor="text1"/>
                <w:kern w:val="0"/>
                <w:szCs w:val="21"/>
                <w:highlight w:val="none"/>
                <w:lang w:bidi="ar"/>
                <w14:textFill>
                  <w14:solidFill>
                    <w14:schemeClr w14:val="tx1"/>
                  </w14:solidFill>
                </w14:textFill>
              </w:rPr>
              <w:t>文件，方便在不同的环境或场景使用。</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可视化开发环境搭建</w:t>
            </w: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多种计算框架</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w:t>
            </w:r>
            <w:r>
              <w:rPr>
                <w:rFonts w:ascii="宋体" w:hAnsi="宋体" w:cs="宋体"/>
                <w:color w:val="000000" w:themeColor="text1"/>
                <w:kern w:val="0"/>
                <w:szCs w:val="21"/>
                <w:highlight w:val="none"/>
                <w:lang w:bidi="ar"/>
                <w14:textFill>
                  <w14:solidFill>
                    <w14:schemeClr w14:val="tx1"/>
                  </w14:solidFill>
                </w14:textFill>
              </w:rPr>
              <w:t>TensorFlow</w:t>
            </w:r>
            <w:r>
              <w:rPr>
                <w:rFonts w:hint="eastAsia" w:ascii="宋体" w:hAnsi="宋体" w:cs="宋体"/>
                <w:color w:val="000000" w:themeColor="text1"/>
                <w:kern w:val="0"/>
                <w:szCs w:val="21"/>
                <w:highlight w:val="none"/>
                <w:lang w:bidi="ar"/>
                <w14:textFill>
                  <w14:solidFill>
                    <w14:schemeClr w14:val="tx1"/>
                  </w14:solidFill>
                </w14:textFill>
              </w:rPr>
              <w:t>、</w:t>
            </w:r>
            <w:r>
              <w:rPr>
                <w:rFonts w:ascii="宋体" w:hAnsi="宋体" w:cs="宋体"/>
                <w:color w:val="000000" w:themeColor="text1"/>
                <w:kern w:val="0"/>
                <w:szCs w:val="21"/>
                <w:highlight w:val="none"/>
                <w:lang w:bidi="ar"/>
                <w14:textFill>
                  <w14:solidFill>
                    <w14:schemeClr w14:val="tx1"/>
                  </w14:solidFill>
                </w14:textFill>
              </w:rPr>
              <w:t>MXNet</w:t>
            </w:r>
            <w:r>
              <w:rPr>
                <w:rFonts w:hint="eastAsia" w:ascii="宋体" w:hAnsi="宋体" w:cs="宋体"/>
                <w:color w:val="000000" w:themeColor="text1"/>
                <w:kern w:val="0"/>
                <w:szCs w:val="21"/>
                <w:highlight w:val="none"/>
                <w:lang w:bidi="ar"/>
                <w14:textFill>
                  <w14:solidFill>
                    <w14:schemeClr w14:val="tx1"/>
                  </w14:solidFill>
                </w14:textFill>
              </w:rPr>
              <w:t>、</w:t>
            </w:r>
            <w:r>
              <w:rPr>
                <w:rFonts w:ascii="宋体" w:hAnsi="宋体" w:cs="宋体"/>
                <w:color w:val="000000" w:themeColor="text1"/>
                <w:kern w:val="0"/>
                <w:szCs w:val="21"/>
                <w:highlight w:val="none"/>
                <w:lang w:bidi="ar"/>
                <w14:textFill>
                  <w14:solidFill>
                    <w14:schemeClr w14:val="tx1"/>
                  </w14:solidFill>
                </w14:textFill>
              </w:rPr>
              <w:t>Python</w:t>
            </w:r>
            <w:r>
              <w:rPr>
                <w:rFonts w:hint="eastAsia" w:ascii="宋体" w:hAnsi="宋体" w:cs="宋体"/>
                <w:color w:val="000000" w:themeColor="text1"/>
                <w:kern w:val="0"/>
                <w:szCs w:val="21"/>
                <w:highlight w:val="none"/>
                <w:lang w:bidi="ar"/>
                <w14:textFill>
                  <w14:solidFill>
                    <w14:schemeClr w14:val="tx1"/>
                  </w14:solidFill>
                </w14:textFill>
              </w:rPr>
              <w:t>、</w:t>
            </w:r>
            <w:r>
              <w:rPr>
                <w:rFonts w:ascii="宋体" w:hAnsi="宋体" w:cs="宋体"/>
                <w:color w:val="000000" w:themeColor="text1"/>
                <w:kern w:val="0"/>
                <w:szCs w:val="21"/>
                <w:highlight w:val="none"/>
                <w:lang w:bidi="ar"/>
                <w14:textFill>
                  <w14:solidFill>
                    <w14:schemeClr w14:val="tx1"/>
                  </w14:solidFill>
                </w14:textFill>
              </w:rPr>
              <w:t>Spark</w:t>
            </w:r>
            <w:r>
              <w:rPr>
                <w:rFonts w:hint="eastAsia" w:ascii="宋体" w:hAnsi="宋体" w:cs="宋体"/>
                <w:color w:val="000000" w:themeColor="text1"/>
                <w:kern w:val="0"/>
                <w:szCs w:val="21"/>
                <w:highlight w:val="none"/>
                <w:lang w:bidi="ar"/>
                <w14:textFill>
                  <w14:solidFill>
                    <w14:schemeClr w14:val="tx1"/>
                  </w14:solidFill>
                </w14:textFill>
              </w:rPr>
              <w:t>等计算框架。</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丰富的算法组件库</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包含数据源</w:t>
            </w:r>
            <w:r>
              <w:rPr>
                <w:rFonts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目标、</w:t>
            </w:r>
            <w:r>
              <w:rPr>
                <w:rFonts w:ascii="宋体" w:hAnsi="宋体" w:cs="宋体"/>
                <w:color w:val="000000" w:themeColor="text1"/>
                <w:kern w:val="0"/>
                <w:szCs w:val="21"/>
                <w:highlight w:val="none"/>
                <w:lang w:bidi="ar"/>
                <w14:textFill>
                  <w14:solidFill>
                    <w14:schemeClr w14:val="tx1"/>
                  </w14:solidFill>
                </w14:textFill>
              </w:rPr>
              <w:t>SQL</w:t>
            </w:r>
            <w:r>
              <w:rPr>
                <w:rFonts w:hint="eastAsia" w:ascii="宋体" w:hAnsi="宋体" w:cs="宋体"/>
                <w:color w:val="000000" w:themeColor="text1"/>
                <w:kern w:val="0"/>
                <w:szCs w:val="21"/>
                <w:highlight w:val="none"/>
                <w:lang w:bidi="ar"/>
                <w14:textFill>
                  <w14:solidFill>
                    <w14:schemeClr w14:val="tx1"/>
                  </w14:solidFill>
                </w14:textFill>
              </w:rPr>
              <w:t>脚本工具、数据预处理、特征工程、统计分析、机器学习、深度学习、文本分析、网络分析等，充分覆盖算法模型使用场景。</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便捷的绘图区</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支持直接通过鼠标拖动将组件拖动至绘图区，支持画布的结构化、放大、缩小。</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多种运行方式</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支持多种实时运行，查看每个组件的输出结果。</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可视化的输出</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支持数据结果以可视化的方式展现。</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交互式</w:t>
            </w:r>
            <w:r>
              <w:rPr>
                <w:rFonts w:ascii="宋体" w:hAnsi="宋体" w:cs="宋体"/>
                <w:color w:val="000000" w:themeColor="text1"/>
                <w:kern w:val="0"/>
                <w:szCs w:val="21"/>
                <w:highlight w:val="none"/>
                <w:lang w:bidi="ar"/>
                <w14:textFill>
                  <w14:solidFill>
                    <w14:schemeClr w14:val="tx1"/>
                  </w14:solidFill>
                </w14:textFill>
              </w:rPr>
              <w:t>Notebook</w:t>
            </w: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支持用户</w:t>
            </w:r>
            <w:r>
              <w:rPr>
                <w:rFonts w:ascii="宋体" w:hAnsi="宋体" w:cs="宋体"/>
                <w:color w:val="000000" w:themeColor="text1"/>
                <w:kern w:val="0"/>
                <w:szCs w:val="21"/>
                <w:highlight w:val="none"/>
                <w:lang w:bidi="ar"/>
                <w14:textFill>
                  <w14:solidFill>
                    <w14:schemeClr w14:val="tx1"/>
                  </w14:solidFill>
                </w14:textFill>
              </w:rPr>
              <w:t xml:space="preserve">python </w:t>
            </w:r>
            <w:r>
              <w:rPr>
                <w:rFonts w:hint="eastAsia" w:ascii="宋体" w:hAnsi="宋体" w:cs="宋体"/>
                <w:color w:val="000000" w:themeColor="text1"/>
                <w:kern w:val="0"/>
                <w:szCs w:val="21"/>
                <w:highlight w:val="none"/>
                <w:lang w:bidi="ar"/>
                <w14:textFill>
                  <w14:solidFill>
                    <w14:schemeClr w14:val="tx1"/>
                  </w14:solidFill>
                </w14:textFill>
              </w:rPr>
              <w:t>代码的编写，查看相应结果与运行日志。</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6</w:t>
            </w:r>
            <w:r>
              <w:rPr>
                <w:rFonts w:hint="eastAsia" w:ascii="宋体" w:hAnsi="宋体" w:cs="宋体"/>
                <w:color w:val="000000" w:themeColor="text1"/>
                <w:kern w:val="0"/>
                <w:szCs w:val="21"/>
                <w:highlight w:val="none"/>
                <w:lang w:bidi="ar"/>
                <w14:textFill>
                  <w14:solidFill>
                    <w14:schemeClr w14:val="tx1"/>
                  </w14:solidFill>
                </w14:textFill>
              </w:rPr>
              <w:t>大数据算法</w:t>
            </w: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胡柚产量预测算法</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利用逐步回归，建立最优的胡柚产量预估模型。</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油茶病虫害预警算法</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利用油茶历年病虫害数据，结合气象温度、降雨量、日照时数，空气相对湿度与遥感卫星影像数据的综合分析，获取油茶病害可能发生的风险预警；并通过油茶病虫害模型，对未来可能会发生的病虫害区域和时间进行预测。</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精准扶贫算法</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利用贫困户收入、致贫原因、基本情况，帮扶措施，帮扶项目，帮扶资金等数据统一分析扶贫效果及原因。</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胡柚环境指数算法</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按照灌溉水质量和环境空气质量的各个项目及其浓度（含量）限值来测定常山胡柚的环境指标，搜集历年常山胡柚产区的空气和水环境的指标数据，然后在设定其指标的基础上，计算环境指数的变化。</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0"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市场指数算法</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价格指数：根据产量、库存、农资价格等因素，建立胡柚价格预估模型。</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灾害监测算法</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通过灾害评价模型的建立，预报气象致灾因子的强度等级及分布范围，根据胡柚林地的生态脆弱性，来得出林地的风险指数，并最终进行网格化的量化评价。</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jc w:val="center"/>
        </w:trPr>
        <w:tc>
          <w:tcPr>
            <w:tcW w:w="597"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数据仓库建设</w:t>
            </w:r>
          </w:p>
        </w:tc>
        <w:tc>
          <w:tcPr>
            <w:tcW w:w="112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农业自然资源库</w:t>
            </w: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利用数据在线采集、数据共享交换、多源卫星遥感技、历史数据电子化、物联网等方式采集。建设耕地信息、环境信息等信息的农业自然资源库。</w:t>
            </w:r>
          </w:p>
        </w:tc>
        <w:tc>
          <w:tcPr>
            <w:tcW w:w="454"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Merge w:val="restart"/>
            <w:vAlign w:val="center"/>
          </w:tcPr>
          <w:p>
            <w:pPr>
              <w:widowControl/>
              <w:jc w:val="center"/>
              <w:textAlignment w:val="center"/>
              <w:rPr>
                <w:rFonts w:ascii="宋体" w:hAnsi="宋体" w:cs="宋体"/>
                <w:color w:val="000000" w:themeColor="text1"/>
                <w:szCs w:val="21"/>
                <w:highlight w:val="none"/>
                <w:lang w:eastAsia="zh-Hans"/>
                <w14:textFill>
                  <w14:solidFill>
                    <w14:schemeClr w14:val="tx1"/>
                  </w14:solidFill>
                </w14:textFill>
              </w:rPr>
            </w:pPr>
            <w:r>
              <w:rPr>
                <w:rFonts w:hint="eastAsia" w:ascii="宋体" w:hAnsi="宋体" w:cs="宋体"/>
                <w:color w:val="000000" w:themeColor="text1"/>
                <w:szCs w:val="21"/>
                <w:highlight w:val="none"/>
                <w:lang w:eastAsia="zh-Hans"/>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3"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主体人才库</w:t>
            </w: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利用数据在线采集、历史数据电子化等方式采集。建设人员基本信息、民宿／农家乐信息等信息的主体</w:t>
            </w:r>
            <w:r>
              <w:rPr>
                <w:rFonts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人才库。</w:t>
            </w:r>
          </w:p>
        </w:tc>
        <w:tc>
          <w:tcPr>
            <w:tcW w:w="454"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39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1"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农机库</w:t>
            </w: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利用数据在线采集、数据共享交换、历史数据电子化等方式采集。建设农业机械统计信息、农机购置补信息、等信息的先进适用技术装备库。</w:t>
            </w:r>
          </w:p>
        </w:tc>
        <w:tc>
          <w:tcPr>
            <w:tcW w:w="454"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39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2"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农资库</w:t>
            </w: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利用数据在线采集、数据共享交换、历史数据电子化等方式采集。建设良种信息、农药包装废弃物收集处置信息、农资商店信息等信息的产业产品库。</w:t>
            </w:r>
          </w:p>
        </w:tc>
        <w:tc>
          <w:tcPr>
            <w:tcW w:w="454"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39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产业库</w:t>
            </w: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利用数据在线采集、数据共享交换、多源卫星遥感技、历史数据电子化、物联网等方式采集。建设胡柚信息、油茶信息、食用菌信息等信息的产业库。</w:t>
            </w:r>
          </w:p>
        </w:tc>
        <w:tc>
          <w:tcPr>
            <w:tcW w:w="454"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39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乡村治理库</w:t>
            </w: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利用数据在线采集、数据共享交换、历史数据电子化、物联网等方式采集。建设垃圾分类信息、贫困户信息、贫困村信息等信息的乡村治理库</w:t>
            </w:r>
          </w:p>
        </w:tc>
        <w:tc>
          <w:tcPr>
            <w:tcW w:w="454"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39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公共服务库</w:t>
            </w: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利用数据在线采集、数据共享交换、历史数据电子化、物联网等方式采集。建设农技推广服务站、现代农业科技示范基地、农技专家、科研院所、培训基地、新型职业农民等信息的公共服务库</w:t>
            </w:r>
          </w:p>
        </w:tc>
        <w:tc>
          <w:tcPr>
            <w:tcW w:w="454"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39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597"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2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其他涉农数据库</w:t>
            </w: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利用数据在线采集、数据共享交换、多源卫星遥感技、历史数据电子化、爬虫、物联网等方式采集。建设其他涉农信息的数据库</w:t>
            </w:r>
          </w:p>
        </w:tc>
        <w:tc>
          <w:tcPr>
            <w:tcW w:w="454"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39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9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数据备份</w:t>
            </w:r>
          </w:p>
        </w:tc>
        <w:tc>
          <w:tcPr>
            <w:tcW w:w="112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数据备份</w:t>
            </w: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配置备份服务器、备份软件和备份存储系统，实现业务数据备份、操作系统和应用程序备份</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597"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数据安全</w:t>
            </w:r>
          </w:p>
        </w:tc>
        <w:tc>
          <w:tcPr>
            <w:tcW w:w="112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数据安全</w:t>
            </w:r>
          </w:p>
        </w:tc>
        <w:tc>
          <w:tcPr>
            <w:tcW w:w="103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6000"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安全系统建设，建立综合防范机制、应用安全机制</w:t>
            </w:r>
          </w:p>
        </w:tc>
        <w:tc>
          <w:tcPr>
            <w:tcW w:w="454"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9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年</w:t>
            </w:r>
          </w:p>
        </w:tc>
      </w:tr>
    </w:tbl>
    <w:p>
      <w:pPr>
        <w:rPr>
          <w:color w:val="000000" w:themeColor="text1"/>
          <w:highlight w:val="none"/>
          <w14:textFill>
            <w14:solidFill>
              <w14:schemeClr w14:val="tx1"/>
            </w14:solidFill>
          </w14:textFill>
        </w:rPr>
      </w:pPr>
    </w:p>
    <w:p>
      <w:pPr>
        <w:pStyle w:val="8"/>
        <w:spacing w:before="160" w:beforeLines="50" w:after="160" w:afterLines="50" w:line="560" w:lineRule="exact"/>
        <w:rPr>
          <w:rFonts w:ascii="Times New Roman" w:hAnsi="Times New Roman" w:eastAsia="楷体"/>
          <w:b w:val="0"/>
          <w:bCs w:val="0"/>
          <w:color w:val="000000" w:themeColor="text1"/>
          <w:highlight w:val="none"/>
          <w:lang w:eastAsia="zh-Hans"/>
          <w14:textFill>
            <w14:solidFill>
              <w14:schemeClr w14:val="tx1"/>
            </w14:solidFill>
          </w14:textFill>
        </w:rPr>
      </w:pPr>
      <w:bookmarkStart w:id="297" w:name="_Toc2051341576"/>
      <w:bookmarkStart w:id="298" w:name="_Toc842494331"/>
      <w:r>
        <w:rPr>
          <w:rFonts w:hint="eastAsia" w:ascii="Times New Roman" w:hAnsi="Times New Roman" w:eastAsia="楷体"/>
          <w:b w:val="0"/>
          <w:bCs w:val="0"/>
          <w:color w:val="000000" w:themeColor="text1"/>
          <w:highlight w:val="none"/>
          <w:lang w:eastAsia="zh-Hans"/>
          <w14:textFill>
            <w14:solidFill>
              <w14:schemeClr w14:val="tx1"/>
            </w14:solidFill>
          </w14:textFill>
        </w:rPr>
        <w:t>（二）数字驾驶舱</w:t>
      </w:r>
      <w:bookmarkEnd w:id="297"/>
      <w:bookmarkEnd w:id="298"/>
    </w:p>
    <w:tbl>
      <w:tblPr>
        <w:tblStyle w:val="39"/>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11"/>
        <w:gridCol w:w="895"/>
        <w:gridCol w:w="938"/>
        <w:gridCol w:w="5138"/>
        <w:gridCol w:w="742"/>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31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w:t>
            </w:r>
          </w:p>
        </w:tc>
        <w:tc>
          <w:tcPr>
            <w:tcW w:w="895"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子项</w:t>
            </w:r>
          </w:p>
        </w:tc>
        <w:tc>
          <w:tcPr>
            <w:tcW w:w="93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功能模块</w:t>
            </w:r>
          </w:p>
        </w:tc>
        <w:tc>
          <w:tcPr>
            <w:tcW w:w="513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功能描述</w:t>
            </w:r>
          </w:p>
        </w:tc>
        <w:tc>
          <w:tcPr>
            <w:tcW w:w="74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数量</w:t>
            </w:r>
          </w:p>
        </w:tc>
        <w:tc>
          <w:tcPr>
            <w:tcW w:w="64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31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w:t>
            </w:r>
            <w:r>
              <w:rPr>
                <w:rFonts w:hint="eastAsia" w:ascii="宋体" w:hAnsi="宋体" w:cs="宋体"/>
                <w:color w:val="000000" w:themeColor="text1"/>
                <w:kern w:val="0"/>
                <w:szCs w:val="21"/>
                <w:highlight w:val="none"/>
                <w:lang w:eastAsia="zh-Hans" w:bidi="ar"/>
                <w14:textFill>
                  <w14:solidFill>
                    <w14:schemeClr w14:val="tx1"/>
                  </w14:solidFill>
                </w14:textFill>
              </w:rPr>
              <w:t>字</w:t>
            </w:r>
            <w:r>
              <w:rPr>
                <w:rFonts w:hint="eastAsia" w:ascii="宋体" w:hAnsi="宋体" w:cs="宋体"/>
                <w:color w:val="000000" w:themeColor="text1"/>
                <w:kern w:val="0"/>
                <w:szCs w:val="21"/>
                <w:highlight w:val="none"/>
                <w:lang w:bidi="ar"/>
                <w14:textFill>
                  <w14:solidFill>
                    <w14:schemeClr w14:val="tx1"/>
                  </w14:solidFill>
                </w14:textFill>
              </w:rPr>
              <w:t>驾驶舱管理系统</w:t>
            </w:r>
          </w:p>
        </w:tc>
        <w:tc>
          <w:tcPr>
            <w:tcW w:w="895"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93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5138"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采用现代化的声光电展示技术，生动的画面及资料进行展示发布。支持多终端发布。</w:t>
            </w:r>
          </w:p>
        </w:tc>
        <w:tc>
          <w:tcPr>
            <w:tcW w:w="74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64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9" w:hRule="atLeast"/>
          <w:jc w:val="center"/>
        </w:trPr>
        <w:tc>
          <w:tcPr>
            <w:tcW w:w="131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资源资产情况</w:t>
            </w:r>
          </w:p>
        </w:tc>
        <w:tc>
          <w:tcPr>
            <w:tcW w:w="895"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93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5138"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32"/>
                <w:highlight w:val="none"/>
                <w:lang w:eastAsia="zh-Hans"/>
                <w14:textFill>
                  <w14:solidFill>
                    <w14:schemeClr w14:val="tx1"/>
                  </w14:solidFill>
                </w14:textFill>
              </w:rPr>
              <w:t>资源资产情况主要包括土地资源展示模块、</w:t>
            </w:r>
            <w:r>
              <w:rPr>
                <w:rFonts w:hint="eastAsia" w:ascii="宋体" w:hAnsi="宋体" w:cs="宋体"/>
                <w:color w:val="000000" w:themeColor="text1"/>
                <w:kern w:val="0"/>
                <w:szCs w:val="32"/>
                <w:highlight w:val="none"/>
                <w14:textFill>
                  <w14:solidFill>
                    <w14:schemeClr w14:val="tx1"/>
                  </w14:solidFill>
                </w14:textFill>
              </w:rPr>
              <w:t>水资源展示模块</w:t>
            </w:r>
            <w:r>
              <w:rPr>
                <w:rFonts w:hint="eastAsia" w:ascii="宋体" w:hAnsi="宋体" w:cs="宋体"/>
                <w:color w:val="000000" w:themeColor="text1"/>
                <w:kern w:val="0"/>
                <w:szCs w:val="32"/>
                <w:highlight w:val="none"/>
                <w:lang w:eastAsia="zh-Hans"/>
                <w14:textFill>
                  <w14:solidFill>
                    <w14:schemeClr w14:val="tx1"/>
                  </w14:solidFill>
                </w14:textFill>
              </w:rPr>
              <w:t>、</w:t>
            </w:r>
            <w:r>
              <w:rPr>
                <w:rFonts w:hint="eastAsia" w:ascii="宋体" w:hAnsi="宋体" w:cs="宋体"/>
                <w:color w:val="000000" w:themeColor="text1"/>
                <w:kern w:val="0"/>
                <w:szCs w:val="32"/>
                <w:highlight w:val="none"/>
                <w14:textFill>
                  <w14:solidFill>
                    <w14:schemeClr w14:val="tx1"/>
                  </w14:solidFill>
                </w14:textFill>
              </w:rPr>
              <w:t>气象资源展示模块</w:t>
            </w:r>
            <w:r>
              <w:rPr>
                <w:rFonts w:hint="eastAsia" w:ascii="宋体" w:hAnsi="宋体" w:cs="宋体"/>
                <w:color w:val="000000" w:themeColor="text1"/>
                <w:kern w:val="0"/>
                <w:szCs w:val="32"/>
                <w:highlight w:val="none"/>
                <w:lang w:eastAsia="zh-Hans"/>
                <w14:textFill>
                  <w14:solidFill>
                    <w14:schemeClr w14:val="tx1"/>
                  </w14:solidFill>
                </w14:textFill>
              </w:rPr>
              <w:t>等模块</w:t>
            </w:r>
            <w:r>
              <w:rPr>
                <w:rFonts w:hint="eastAsia" w:ascii="宋体" w:hAnsi="宋体" w:cs="宋体"/>
                <w:color w:val="000000" w:themeColor="text1"/>
                <w:kern w:val="0"/>
                <w:szCs w:val="21"/>
                <w:highlight w:val="none"/>
                <w:lang w:bidi="ar"/>
                <w14:textFill>
                  <w14:solidFill>
                    <w14:schemeClr w14:val="tx1"/>
                  </w14:solidFill>
                </w14:textFill>
              </w:rPr>
              <w:t>。</w:t>
            </w:r>
          </w:p>
        </w:tc>
        <w:tc>
          <w:tcPr>
            <w:tcW w:w="74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64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131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主体人才情况</w:t>
            </w:r>
          </w:p>
        </w:tc>
        <w:tc>
          <w:tcPr>
            <w:tcW w:w="895"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93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5138"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集成展示涉农主体分布、构成、类型占比、党员情况、收支、不动产信息进行汇总、展示，深入了解目前主体的基本情况及乡村人员组成结构。</w:t>
            </w:r>
          </w:p>
        </w:tc>
        <w:tc>
          <w:tcPr>
            <w:tcW w:w="74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64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1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农机农资情况</w:t>
            </w:r>
          </w:p>
        </w:tc>
        <w:tc>
          <w:tcPr>
            <w:tcW w:w="895"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93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5138"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主要包括农机专题展示模块、农资专题展示模块</w:t>
            </w:r>
            <w:r>
              <w:rPr>
                <w:rFonts w:hint="eastAsia" w:ascii="宋体" w:hAnsi="宋体" w:cs="宋体"/>
                <w:color w:val="000000" w:themeColor="text1"/>
                <w:kern w:val="0"/>
                <w:szCs w:val="21"/>
                <w:highlight w:val="none"/>
                <w:lang w:bidi="ar"/>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 xml:space="preserve"> </w:t>
            </w:r>
          </w:p>
        </w:tc>
        <w:tc>
          <w:tcPr>
            <w:tcW w:w="74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64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31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产业产品情况</w:t>
            </w:r>
          </w:p>
        </w:tc>
        <w:tc>
          <w:tcPr>
            <w:tcW w:w="895"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93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5138"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主要包括整体产业分布展示模块、粮食产业展示模块、胡柚全产业链展示模块实现包括产业资源分析、生态治理分析、病虫害分析、常山胡柚品牌分析、市场数据分析、产业监管分析等</w:t>
            </w:r>
            <w:r>
              <w:rPr>
                <w:rFonts w:ascii="宋体" w:hAnsi="宋体" w:cs="宋体"/>
                <w:color w:val="000000" w:themeColor="text1"/>
                <w:kern w:val="0"/>
                <w:szCs w:val="21"/>
                <w:highlight w:val="none"/>
                <w:lang w:bidi="ar"/>
                <w14:textFill>
                  <w14:solidFill>
                    <w14:schemeClr w14:val="tx1"/>
                  </w14:solidFill>
                </w14:textFill>
              </w:rPr>
              <w:t>6</w:t>
            </w:r>
            <w:r>
              <w:rPr>
                <w:rFonts w:hint="eastAsia" w:ascii="宋体" w:hAnsi="宋体" w:cs="宋体"/>
                <w:color w:val="000000" w:themeColor="text1"/>
                <w:kern w:val="0"/>
                <w:szCs w:val="21"/>
                <w:highlight w:val="none"/>
                <w:lang w:bidi="ar"/>
                <w14:textFill>
                  <w14:solidFill>
                    <w14:schemeClr w14:val="tx1"/>
                  </w14:solidFill>
                </w14:textFill>
              </w:rPr>
              <w:t>部分的展示分析；油茶全产业链展示模块、食用菌产业展示模块等。</w:t>
            </w:r>
          </w:p>
        </w:tc>
        <w:tc>
          <w:tcPr>
            <w:tcW w:w="74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64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131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乡村治理情况</w:t>
            </w:r>
          </w:p>
        </w:tc>
        <w:tc>
          <w:tcPr>
            <w:tcW w:w="895"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93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5138"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包括三资监管展示模块、垃圾分类展示模块等</w:t>
            </w:r>
          </w:p>
        </w:tc>
        <w:tc>
          <w:tcPr>
            <w:tcW w:w="74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64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11"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公共服务情况</w:t>
            </w:r>
          </w:p>
        </w:tc>
        <w:tc>
          <w:tcPr>
            <w:tcW w:w="895"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93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5138"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展示农技推广服务点的分布情况，及技术实力，推广能力从各基层农业公共服务中心、现代农业科技示范基地、农技专家、科研院所、培训基地、新型职业农民的数量及分布情况等角度横向剖析农技推广，全面了解各农业相关行业的农业技能储备力量，并为农技推广的规划提供全局参考依据。</w:t>
            </w:r>
          </w:p>
        </w:tc>
        <w:tc>
          <w:tcPr>
            <w:tcW w:w="74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640"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w:t>
            </w:r>
          </w:p>
        </w:tc>
      </w:tr>
    </w:tbl>
    <w:p>
      <w:pPr>
        <w:pStyle w:val="17"/>
        <w:spacing w:line="440" w:lineRule="exact"/>
        <w:ind w:firstLine="416" w:firstLineChars="197"/>
        <w:rPr>
          <w:rFonts w:ascii="宋体" w:hAnsi="宋体" w:eastAsia="宋体" w:cs="宋体"/>
          <w:bCs/>
          <w:color w:val="000000" w:themeColor="text1"/>
          <w:sz w:val="21"/>
          <w:szCs w:val="21"/>
          <w:highlight w:val="none"/>
          <w:lang w:val="en-US" w:eastAsia="zh-Hans"/>
          <w14:textFill>
            <w14:solidFill>
              <w14:schemeClr w14:val="tx1"/>
            </w14:solidFill>
          </w14:textFill>
        </w:rPr>
      </w:pPr>
    </w:p>
    <w:p>
      <w:pPr>
        <w:pStyle w:val="8"/>
        <w:spacing w:before="160" w:beforeLines="50" w:after="160" w:afterLines="50" w:line="560" w:lineRule="exact"/>
        <w:rPr>
          <w:rFonts w:ascii="Times New Roman" w:hAnsi="Times New Roman" w:eastAsia="楷体"/>
          <w:b w:val="0"/>
          <w:bCs w:val="0"/>
          <w:color w:val="000000" w:themeColor="text1"/>
          <w:highlight w:val="none"/>
          <w:lang w:eastAsia="zh-Hans"/>
          <w14:textFill>
            <w14:solidFill>
              <w14:schemeClr w14:val="tx1"/>
            </w14:solidFill>
          </w14:textFill>
        </w:rPr>
      </w:pPr>
      <w:bookmarkStart w:id="299" w:name="_Toc1442536446"/>
      <w:bookmarkStart w:id="300" w:name="_Toc999755084"/>
      <w:r>
        <w:rPr>
          <w:rFonts w:hint="eastAsia" w:ascii="Times New Roman" w:hAnsi="Times New Roman" w:eastAsia="楷体"/>
          <w:b w:val="0"/>
          <w:bCs w:val="0"/>
          <w:color w:val="000000" w:themeColor="text1"/>
          <w:highlight w:val="none"/>
          <w:lang w:eastAsia="zh-Hans"/>
          <w14:textFill>
            <w14:solidFill>
              <w14:schemeClr w14:val="tx1"/>
            </w14:solidFill>
          </w14:textFill>
        </w:rPr>
        <w:t>（三）</w:t>
      </w:r>
      <w:r>
        <w:rPr>
          <w:rFonts w:ascii="Times New Roman" w:hAnsi="Times New Roman" w:eastAsia="楷体"/>
          <w:b w:val="0"/>
          <w:bCs w:val="0"/>
          <w:color w:val="000000" w:themeColor="text1"/>
          <w:highlight w:val="none"/>
          <w:lang w:eastAsia="zh-Hans"/>
          <w14:textFill>
            <w14:solidFill>
              <w14:schemeClr w14:val="tx1"/>
            </w14:solidFill>
          </w14:textFill>
        </w:rPr>
        <w:t>5</w:t>
      </w:r>
      <w:r>
        <w:rPr>
          <w:rFonts w:hint="eastAsia" w:ascii="Times New Roman" w:hAnsi="Times New Roman" w:eastAsia="楷体"/>
          <w:b w:val="0"/>
          <w:bCs w:val="0"/>
          <w:color w:val="000000" w:themeColor="text1"/>
          <w:highlight w:val="none"/>
          <w:lang w:eastAsia="zh-Hans"/>
          <w14:textFill>
            <w14:solidFill>
              <w14:schemeClr w14:val="tx1"/>
            </w14:solidFill>
          </w14:textFill>
        </w:rPr>
        <w:t>大领域</w:t>
      </w:r>
      <w:r>
        <w:rPr>
          <w:rFonts w:ascii="Times New Roman" w:hAnsi="Times New Roman" w:eastAsia="楷体"/>
          <w:b w:val="0"/>
          <w:bCs w:val="0"/>
          <w:color w:val="000000" w:themeColor="text1"/>
          <w:highlight w:val="none"/>
          <w:lang w:eastAsia="zh-Hans"/>
          <w14:textFill>
            <w14:solidFill>
              <w14:schemeClr w14:val="tx1"/>
            </w14:solidFill>
          </w14:textFill>
        </w:rPr>
        <w:t>N</w:t>
      </w:r>
      <w:r>
        <w:rPr>
          <w:rFonts w:hint="eastAsia" w:ascii="Times New Roman" w:hAnsi="Times New Roman" w:eastAsia="楷体"/>
          <w:b w:val="0"/>
          <w:bCs w:val="0"/>
          <w:color w:val="000000" w:themeColor="text1"/>
          <w:highlight w:val="none"/>
          <w:lang w:eastAsia="zh-Hans"/>
          <w14:textFill>
            <w14:solidFill>
              <w14:schemeClr w14:val="tx1"/>
            </w14:solidFill>
          </w14:textFill>
        </w:rPr>
        <w:t>个应用</w:t>
      </w:r>
      <w:bookmarkEnd w:id="299"/>
      <w:bookmarkEnd w:id="300"/>
    </w:p>
    <w:tbl>
      <w:tblPr>
        <w:tblStyle w:val="39"/>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59"/>
        <w:gridCol w:w="788"/>
        <w:gridCol w:w="1182"/>
        <w:gridCol w:w="6363"/>
        <w:gridCol w:w="379"/>
        <w:gridCol w:w="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w:t>
            </w:r>
          </w:p>
        </w:tc>
        <w:tc>
          <w:tcPr>
            <w:tcW w:w="78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子项</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功能模块</w:t>
            </w:r>
          </w:p>
        </w:tc>
        <w:tc>
          <w:tcPr>
            <w:tcW w:w="6363"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功能描述</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数量</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jc w:val="center"/>
        </w:trPr>
        <w:tc>
          <w:tcPr>
            <w:tcW w:w="459"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物联网接入平台</w:t>
            </w:r>
          </w:p>
        </w:tc>
        <w:tc>
          <w:tcPr>
            <w:tcW w:w="78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设备接入能力</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支持设备连接认证、设备传输、数据路由、多协议等功能</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9"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设备管理</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32"/>
                <w:highlight w:val="none"/>
                <w:lang w:eastAsia="zh-Hans"/>
                <w14:textFill>
                  <w14:solidFill>
                    <w14:schemeClr w14:val="tx1"/>
                  </w14:solidFill>
                </w14:textFill>
              </w:rPr>
              <w:t>设备生命周期管理，产品管理，设备标签，固件升级，远程配置，数据存储，物模型，设备影子，设备检索，数据解析，虚拟设备，告警中心等功能模块</w:t>
            </w:r>
            <w:r>
              <w:rPr>
                <w:rFonts w:hint="eastAsia" w:ascii="宋体" w:hAnsi="宋体" w:cs="宋体"/>
                <w:color w:val="000000" w:themeColor="text1"/>
                <w:kern w:val="0"/>
                <w:szCs w:val="21"/>
                <w:highlight w:val="none"/>
                <w:lang w:bidi="ar"/>
                <w14:textFill>
                  <w14:solidFill>
                    <w14:schemeClr w14:val="tx1"/>
                  </w14:solidFill>
                </w14:textFill>
              </w:rPr>
              <w:t>。</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9"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设备数据传输安全管理</w:t>
            </w: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6363" w:type="dxa"/>
            <w:vAlign w:val="center"/>
          </w:tcPr>
          <w:p>
            <w:pPr>
              <w:widowControl/>
              <w:jc w:val="left"/>
              <w:textAlignment w:val="center"/>
              <w:rPr>
                <w:rFonts w:ascii="宋体" w:hAnsi="宋体" w:cs="宋体"/>
                <w:color w:val="000000" w:themeColor="text1"/>
                <w:szCs w:val="32"/>
                <w:highlight w:val="none"/>
                <w:lang w:eastAsia="zh-Hans"/>
                <w14:textFill>
                  <w14:solidFill>
                    <w14:schemeClr w14:val="tx1"/>
                  </w14:solidFill>
                </w14:textFill>
              </w:rPr>
            </w:pPr>
            <w:r>
              <w:rPr>
                <w:rFonts w:hint="eastAsia" w:ascii="宋体" w:hAnsi="宋体" w:cs="宋体"/>
                <w:color w:val="000000" w:themeColor="text1"/>
                <w:szCs w:val="32"/>
                <w:highlight w:val="none"/>
                <w:lang w:eastAsia="zh-Hans"/>
                <w14:textFill>
                  <w14:solidFill>
                    <w14:schemeClr w14:val="tx1"/>
                  </w14:solidFill>
                </w14:textFill>
              </w:rPr>
              <w:t>对连接的设备，平台提供安全传输机制，支持TLS（MQTT\HTTP）等数据传输通道，保证数据的机密性和完整性；提供一机一密的设备认证机制，降低设备被攻击的安全风险。</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9"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视频云服务应用</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6363"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000000" w:themeColor="text1"/>
                <w:szCs w:val="32"/>
                <w:highlight w:val="none"/>
                <w14:textFill>
                  <w14:solidFill>
                    <w14:schemeClr w14:val="tx1"/>
                  </w14:solidFill>
                </w14:textFill>
              </w:rPr>
              <w:t>支持</w:t>
            </w:r>
            <w:r>
              <w:rPr>
                <w:rFonts w:hint="eastAsia" w:ascii="宋体" w:hAnsi="宋体" w:cs="宋体"/>
                <w:color w:val="000000" w:themeColor="text1"/>
                <w:szCs w:val="32"/>
                <w:highlight w:val="none"/>
                <w:lang w:eastAsia="zh-Hans"/>
                <w14:textFill>
                  <w14:solidFill>
                    <w14:schemeClr w14:val="tx1"/>
                  </w14:solidFill>
                </w14:textFill>
              </w:rPr>
              <w:t>本地视频接入、视频直播、视频点播、视频存储、报警上报</w:t>
            </w:r>
            <w:r>
              <w:rPr>
                <w:rFonts w:hint="eastAsia" w:ascii="宋体" w:hAnsi="宋体" w:cs="宋体"/>
                <w:color w:val="000000" w:themeColor="text1"/>
                <w:kern w:val="0"/>
                <w:szCs w:val="21"/>
                <w:highlight w:val="none"/>
                <w:lang w:bidi="ar"/>
                <w14:textFill>
                  <w14:solidFill>
                    <w14:schemeClr w14:val="tx1"/>
                  </w14:solidFill>
                </w14:textFill>
              </w:rPr>
              <w:t>等功能</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物联网可视化展示应用</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32"/>
                <w:highlight w:val="none"/>
                <w:lang w:eastAsia="zh-Hans"/>
                <w14:textFill>
                  <w14:solidFill>
                    <w14:schemeClr w14:val="tx1"/>
                  </w14:solidFill>
                </w14:textFill>
              </w:rPr>
              <w:t>以图形化的方式，全部展示接入物联网那平台的设备分布情况，使用情况，运行情况等内容</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人员</w:t>
            </w:r>
            <w:r>
              <w:rPr>
                <w:rFonts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组织</w:t>
            </w:r>
            <w:r>
              <w:rPr>
                <w:rFonts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权限管理应用</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提供统一的人员、组织机构、校色和权限管理能力，满足企业</w:t>
            </w:r>
            <w:r>
              <w:rPr>
                <w:rFonts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项目的日常人员管理使用。</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告警服务应用</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告警服务提供告警配置和告警中心，可根据设备属性、设备状态、空间位置等信息，来定义告警时间及其通知方式。</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公共服务平台</w:t>
            </w:r>
          </w:p>
        </w:tc>
        <w:tc>
          <w:tcPr>
            <w:tcW w:w="788"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用户端建设</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区域品牌管理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品牌使用的申报、审核、直报、准入准出、后台审批等功能。</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农事操作</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入驻常山区域品牌的主体记录农事操作情况。</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积分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乡村治理各项事务的直观体现，显示每个农户的积分的数值，以及积分的加分、扣分项以及得分的明细和凭证。</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专家问答</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通过专家直接联系专家或向专家提问的方式，与专家进行沟通，解决生产、经营、营销等方面的问题。</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农民课堂</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通过在线培训、在线交流反馈的形式，对农户等用户进行培训，提供生产、营销方面的技能，提高用户的业务水平。</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公开公示</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公开公示包括财务、党务、村务三部分，公示的内容分类更具体，村民可更直观地了解到村内公开的事务，做到乡村治理过程的公开性、公正性，接收所有参与人员的监督。</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政策法规</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为农户提供国家、省、市、区、乡镇、村等不同层级发布的关于生产、营销等各个过程的政策。</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行业动态</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为农户提供生产、营销过程中的各个动态，便于及时了解到自身所处的行业的行情等内容，更好地进行生产、经营等操作。</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5"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供需市场</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提交供需双方进行业务信息互通在线服务平台，供方和需求有提供服务或需要接收服务时，可通过供需市场这个在线服务平台，解决供</w:t>
            </w:r>
            <w:r>
              <w:rPr>
                <w:rFonts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需打通的问题，盘活当地农户的供需经济。</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志愿服务</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村中志愿服务活动开展的重要入口，村民可自行报名参加村中组织的志愿服务，是乡村治理过程中村级活动开展的重要抓手。</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生活服务</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提高报事报修、村级</w:t>
            </w:r>
            <w:r>
              <w:rPr>
                <w:rFonts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小区垃圾分类整理、生活缴费等生活类的服务。</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巡查拍照</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对巡查过程进行拍照记录，作为村级信息员进行打分的依据，自动进行巡查项凭证与家庭建立关联，以及进行巡查凭证资料的自动整理。</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我的家庭</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用户与自己的家庭建立关联，方便用户以家庭成员的身份进行公共服务平台小程序的使用，参与到乡村治理的事业中来。</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管理端建设</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文章管理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对发布的文章进行管理，包括用户端展示的相关文章管理。</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培训管理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对相关的培训课程进行管理，方便对用户端的培训课程管理。</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资讯管理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乡镇、县一级管理人员进行全镇或全市政策、法规类等内容的发布，方便农户等人员随时了解市、乡镇的政策动态。</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用户管理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对农户、村级信息员等系统使用人员的管理。</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积分管理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积分规则配置，为各农户家庭根据巡查结果打分。</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问答管理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进行专家问答服务过程的管理。</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供需管理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进行供需服务过程的维护管理。</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系统设置</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系统导航页面和用户账号、用户权限的设置。</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59"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仓储物流集中配送系统</w:t>
            </w:r>
          </w:p>
        </w:tc>
        <w:tc>
          <w:tcPr>
            <w:tcW w:w="788"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消费者端建设</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商品中心</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实现消费者快速进行商品的下单购买，提高商品购买的易用性和适用性。</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个人中心</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对消费者个人信息的自主管理。</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财务分析</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对消费者各个采购记录的管理，把控采购状况，清晰了解资金具体使用方向。</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订单管理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方便商家的采购人员和配送人员进行商品的采购、配送管理，提高工作效率。</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商家端建设</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用户管理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进行客户、员工的管理，满足用户基本信息的维护。</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商品管理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维护商城的基本运行，确保用户能够快速下单、快速收货、快速查单等高效的商品购买操作。</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订单管理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对消费者购买过程的订单进行管理，进行交易订单的分类，为商品的快速分配奠定基础。</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仓库管理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进行商品的进销存、分拣等库内的管理，保障供应商配送的商品能及时送达客户，为商品的正常运行提供货物管理基础。</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采购管理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实现订单信息与采购信息的关联同步，方便采购人员的快速采购。</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配送管理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实现出库信息与配送信息、</w:t>
            </w:r>
            <w:r>
              <w:rPr>
                <w:rFonts w:ascii="宋体" w:hAnsi="宋体" w:cs="宋体"/>
                <w:color w:val="000000" w:themeColor="text1"/>
                <w:kern w:val="0"/>
                <w:szCs w:val="21"/>
                <w:highlight w:val="non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订单信息的关联，提高配送人员的配送效率。</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财务管理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与客户、供应商对账，进行客户账单等财务业务的管理，</w:t>
            </w:r>
            <w:r>
              <w:rPr>
                <w:rFonts w:ascii="宋体" w:hAnsi="宋体" w:cs="宋体"/>
                <w:color w:val="000000" w:themeColor="text1"/>
                <w:kern w:val="0"/>
                <w:szCs w:val="21"/>
                <w:highlight w:val="non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便于商家清晰知晓财务经营状况。</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报表分析</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让商家清晰地知晓不同商品、</w:t>
            </w:r>
            <w:r>
              <w:rPr>
                <w:rFonts w:ascii="宋体" w:hAnsi="宋体" w:cs="宋体"/>
                <w:color w:val="000000" w:themeColor="text1"/>
                <w:kern w:val="0"/>
                <w:szCs w:val="21"/>
                <w:highlight w:val="non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不同季节、不同客户的销售状况，</w:t>
            </w:r>
            <w:r>
              <w:rPr>
                <w:rFonts w:ascii="宋体" w:hAnsi="宋体" w:cs="宋体"/>
                <w:color w:val="000000" w:themeColor="text1"/>
                <w:kern w:val="0"/>
                <w:szCs w:val="21"/>
                <w:highlight w:val="non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为商家的经营提供指导建议。</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溯源管理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通过产品的溯源，做到产品来源可查、去向可追、质量可保障，从本质上确保农产品的质量安全。</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权限管理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方便商家对客户、员工等人员分配操作权限，做到定位定岗与定职相匹配。</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管理端建设</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交易管理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了解整个常山仓储物流集中配送系统商品的交易状况，商品的交易量、交易方向等内容。</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用户管理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对整个商家和消费者等交易参与人员进行管控，了解交易参与对象情况。</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溯源管理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对交易过程中的商品进行把控，实现来源可查、去向可追、快速定位等监控。</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电商平台</w:t>
            </w:r>
          </w:p>
        </w:tc>
        <w:tc>
          <w:tcPr>
            <w:tcW w:w="788"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开馆活动</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方案策划</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份直播开馆方案策划方案。</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主体培训</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完成不少于</w:t>
            </w:r>
            <w:r>
              <w:rPr>
                <w:rFonts w:ascii="宋体" w:hAnsi="宋体" w:cs="宋体"/>
                <w:color w:val="000000" w:themeColor="text1"/>
                <w:kern w:val="0"/>
                <w:szCs w:val="21"/>
                <w:highlight w:val="none"/>
                <w:lang w:bidi="ar"/>
                <w14:textFill>
                  <w14:solidFill>
                    <w14:schemeClr w14:val="tx1"/>
                  </w14:solidFill>
                </w14:textFill>
              </w:rPr>
              <w:t>20</w:t>
            </w:r>
            <w:r>
              <w:rPr>
                <w:rFonts w:hint="eastAsia" w:ascii="宋体" w:hAnsi="宋体" w:cs="宋体"/>
                <w:color w:val="000000" w:themeColor="text1"/>
                <w:kern w:val="0"/>
                <w:szCs w:val="21"/>
                <w:highlight w:val="none"/>
                <w:lang w:bidi="ar"/>
                <w14:textFill>
                  <w14:solidFill>
                    <w14:schemeClr w14:val="tx1"/>
                  </w14:solidFill>
                </w14:textFill>
              </w:rPr>
              <w:t>家主体入驻培训。</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8"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场馆设计</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场馆首页风格设计、美丽乡村分会场页面设计、农家乐分会场页面设计、特色小吃分会场页面设计、特色节庆分会场页面设计、直播场馆页面（入口页面、优惠券页面、广告页面）设计等。</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9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宣传推广</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不少于</w:t>
            </w:r>
            <w:r>
              <w:rPr>
                <w:rFonts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分钟视频制作与推广</w:t>
            </w:r>
            <w:r>
              <w:rPr>
                <w:rFonts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份，完成不少于</w:t>
            </w:r>
            <w:r>
              <w:rPr>
                <w:rFonts w:ascii="宋体" w:hAnsi="宋体" w:cs="宋体"/>
                <w:color w:val="000000" w:themeColor="text1"/>
                <w:kern w:val="0"/>
                <w:szCs w:val="21"/>
                <w:highlight w:val="none"/>
                <w:lang w:bidi="ar"/>
                <w14:textFill>
                  <w14:solidFill>
                    <w14:schemeClr w14:val="tx1"/>
                  </w14:solidFill>
                </w14:textFill>
              </w:rPr>
              <w:t>1000</w:t>
            </w:r>
            <w:r>
              <w:rPr>
                <w:rFonts w:hint="eastAsia" w:ascii="宋体" w:hAnsi="宋体" w:cs="宋体"/>
                <w:color w:val="000000" w:themeColor="text1"/>
                <w:kern w:val="0"/>
                <w:szCs w:val="21"/>
                <w:highlight w:val="none"/>
                <w:lang w:bidi="ar"/>
                <w14:textFill>
                  <w14:solidFill>
                    <w14:schemeClr w14:val="tx1"/>
                  </w14:solidFill>
                </w14:textFill>
              </w:rPr>
              <w:t>字活动软文（发布</w:t>
            </w:r>
            <w:r>
              <w:rPr>
                <w:rFonts w:ascii="宋体" w:hAnsi="宋体" w:cs="宋体"/>
                <w:color w:val="000000" w:themeColor="text1"/>
                <w:kern w:val="0"/>
                <w:szCs w:val="21"/>
                <w:highlight w:val="none"/>
                <w:lang w:bidi="ar"/>
                <w14:textFill>
                  <w14:solidFill>
                    <w14:schemeClr w14:val="tx1"/>
                  </w14:solidFill>
                </w14:textFill>
              </w:rPr>
              <w:t>10</w:t>
            </w:r>
            <w:r>
              <w:rPr>
                <w:rFonts w:hint="eastAsia" w:ascii="宋体" w:hAnsi="宋体" w:cs="宋体"/>
                <w:color w:val="000000" w:themeColor="text1"/>
                <w:kern w:val="0"/>
                <w:szCs w:val="21"/>
                <w:highlight w:val="none"/>
                <w:lang w:bidi="ar"/>
                <w14:textFill>
                  <w14:solidFill>
                    <w14:schemeClr w14:val="tx1"/>
                  </w14:solidFill>
                </w14:textFill>
              </w:rPr>
              <w:t>家以上媒体，其中至少</w:t>
            </w:r>
            <w:r>
              <w:rPr>
                <w:rFonts w:ascii="宋体" w:hAnsi="宋体" w:cs="宋体"/>
                <w:color w:val="000000" w:themeColor="text1"/>
                <w:kern w:val="0"/>
                <w:szCs w:val="21"/>
                <w:highlight w:val="none"/>
                <w:lang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家省级以上媒体）</w:t>
            </w:r>
            <w:r>
              <w:rPr>
                <w:rFonts w:ascii="宋体" w:hAnsi="宋体" w:cs="宋体"/>
                <w:color w:val="000000" w:themeColor="text1"/>
                <w:kern w:val="0"/>
                <w:szCs w:val="21"/>
                <w:highlight w:val="none"/>
                <w:lang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篇，完成不少于</w:t>
            </w:r>
            <w:r>
              <w:rPr>
                <w:rFonts w:ascii="宋体" w:hAnsi="宋体" w:cs="宋体"/>
                <w:color w:val="000000" w:themeColor="text1"/>
                <w:kern w:val="0"/>
                <w:szCs w:val="21"/>
                <w:highlight w:val="none"/>
                <w:lang w:bidi="ar"/>
                <w14:textFill>
                  <w14:solidFill>
                    <w14:schemeClr w14:val="tx1"/>
                  </w14:solidFill>
                </w14:textFill>
              </w:rPr>
              <w:t>1000</w:t>
            </w:r>
            <w:r>
              <w:rPr>
                <w:rFonts w:hint="eastAsia" w:ascii="宋体" w:hAnsi="宋体" w:cs="宋体"/>
                <w:color w:val="000000" w:themeColor="text1"/>
                <w:kern w:val="0"/>
                <w:szCs w:val="21"/>
                <w:highlight w:val="none"/>
                <w:lang w:bidi="ar"/>
                <w14:textFill>
                  <w14:solidFill>
                    <w14:schemeClr w14:val="tx1"/>
                  </w14:solidFill>
                </w14:textFill>
              </w:rPr>
              <w:t>字新闻稿撰写（发布</w:t>
            </w:r>
            <w:r>
              <w:rPr>
                <w:rFonts w:ascii="宋体" w:hAnsi="宋体" w:cs="宋体"/>
                <w:color w:val="000000" w:themeColor="text1"/>
                <w:kern w:val="0"/>
                <w:szCs w:val="21"/>
                <w:highlight w:val="none"/>
                <w:lang w:bidi="ar"/>
                <w14:textFill>
                  <w14:solidFill>
                    <w14:schemeClr w14:val="tx1"/>
                  </w14:solidFill>
                </w14:textFill>
              </w:rPr>
              <w:t>10</w:t>
            </w:r>
            <w:r>
              <w:rPr>
                <w:rFonts w:hint="eastAsia" w:ascii="宋体" w:hAnsi="宋体" w:cs="宋体"/>
                <w:color w:val="000000" w:themeColor="text1"/>
                <w:kern w:val="0"/>
                <w:szCs w:val="21"/>
                <w:highlight w:val="none"/>
                <w:lang w:bidi="ar"/>
                <w14:textFill>
                  <w14:solidFill>
                    <w14:schemeClr w14:val="tx1"/>
                  </w14:solidFill>
                </w14:textFill>
              </w:rPr>
              <w:t>家以上媒体，其中至少</w:t>
            </w:r>
            <w:r>
              <w:rPr>
                <w:rFonts w:ascii="宋体" w:hAnsi="宋体" w:cs="宋体"/>
                <w:color w:val="000000" w:themeColor="text1"/>
                <w:kern w:val="0"/>
                <w:szCs w:val="21"/>
                <w:highlight w:val="none"/>
                <w:lang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家省级以上媒体）</w:t>
            </w:r>
            <w:r>
              <w:rPr>
                <w:rFonts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篇，至少</w:t>
            </w:r>
            <w:r>
              <w:rPr>
                <w:rFonts w:ascii="宋体" w:hAnsi="宋体" w:cs="宋体"/>
                <w:color w:val="000000" w:themeColor="text1"/>
                <w:kern w:val="0"/>
                <w:szCs w:val="21"/>
                <w:highlight w:val="none"/>
                <w:lang w:bidi="ar"/>
                <w14:textFill>
                  <w14:solidFill>
                    <w14:schemeClr w14:val="tx1"/>
                  </w14:solidFill>
                </w14:textFill>
              </w:rPr>
              <w:t>3</w:t>
            </w:r>
            <w:r>
              <w:rPr>
                <w:rFonts w:hint="eastAsia" w:ascii="宋体" w:hAnsi="宋体" w:cs="宋体"/>
                <w:color w:val="000000" w:themeColor="text1"/>
                <w:kern w:val="0"/>
                <w:szCs w:val="21"/>
                <w:highlight w:val="none"/>
                <w:lang w:bidi="ar"/>
                <w14:textFill>
                  <w14:solidFill>
                    <w14:schemeClr w14:val="tx1"/>
                  </w14:solidFill>
                </w14:textFill>
              </w:rPr>
              <w:t>个渠道平台宣传推广（抖音、社群、平台资源位）。</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活动推广</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活动策划调研，主体商品上架，提供</w:t>
            </w:r>
            <w:r>
              <w:rPr>
                <w:rFonts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位主播保障现场直播活动，至少</w:t>
            </w:r>
            <w:r>
              <w:rPr>
                <w:rFonts w:ascii="宋体" w:hAnsi="宋体" w:cs="宋体"/>
                <w:color w:val="000000" w:themeColor="text1"/>
                <w:kern w:val="0"/>
                <w:szCs w:val="21"/>
                <w:highlight w:val="none"/>
                <w:lang w:bidi="ar"/>
                <w14:textFill>
                  <w14:solidFill>
                    <w14:schemeClr w14:val="tx1"/>
                  </w14:solidFill>
                </w14:textFill>
              </w:rPr>
              <w:t>3</w:t>
            </w:r>
            <w:r>
              <w:rPr>
                <w:rFonts w:hint="eastAsia" w:ascii="宋体" w:hAnsi="宋体" w:cs="宋体"/>
                <w:color w:val="000000" w:themeColor="text1"/>
                <w:kern w:val="0"/>
                <w:szCs w:val="21"/>
                <w:highlight w:val="none"/>
                <w:lang w:bidi="ar"/>
                <w14:textFill>
                  <w14:solidFill>
                    <w14:schemeClr w14:val="tx1"/>
                  </w14:solidFill>
                </w14:textFill>
              </w:rPr>
              <w:t>人工作人员（秩序维持，环节推进，突发状况处理、摄影记录等）；</w:t>
            </w:r>
            <w:r>
              <w:rPr>
                <w:rFonts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套活动设备（直播设备、拍摄设备、物料道具等）支撑</w:t>
            </w:r>
            <w:r>
              <w:rPr>
                <w:rFonts w:hint="eastAsia" w:ascii="宋体" w:hAnsi="宋体" w:cs="宋体"/>
                <w:color w:val="000000" w:themeColor="text1"/>
                <w:kern w:val="0"/>
                <w:szCs w:val="21"/>
                <w:highlight w:val="none"/>
                <w:lang w:eastAsia="zh-Hans" w:bidi="ar"/>
                <w14:textFill>
                  <w14:solidFill>
                    <w14:schemeClr w14:val="tx1"/>
                  </w14:solidFill>
                </w14:textFill>
              </w:rPr>
              <w:t>。</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59"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农村智慧垃圾分类</w:t>
            </w:r>
          </w:p>
        </w:tc>
        <w:tc>
          <w:tcPr>
            <w:tcW w:w="788"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智慧垃圾服务系统</w:t>
            </w:r>
          </w:p>
        </w:tc>
        <w:tc>
          <w:tcPr>
            <w:tcW w:w="1182"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大数据分析</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对参与垃圾分类的乡镇、行政村进行排名展示，排名依据按照考核分析情况进行系统统计</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对垃圾分类参与村民数据进行统计，通过时间维度去查询垃圾分类参与人员增长情况，指导相关单位劝导村民参与垃圾分类工作当中。</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展示不同时间段以及不同地区的可回收物总量</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通过可回收物总量的分析后，对可回收物的组成也可进行分类，对几个重要的可回收物进行数据统计</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对垃圾分类参与人数进行数据统计</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GIS</w:t>
            </w:r>
            <w:r>
              <w:rPr>
                <w:rFonts w:hint="eastAsia" w:ascii="宋体" w:hAnsi="宋体" w:cs="宋体"/>
                <w:color w:val="000000" w:themeColor="text1"/>
                <w:kern w:val="0"/>
                <w:szCs w:val="21"/>
                <w:highlight w:val="none"/>
                <w:lang w:bidi="ar"/>
                <w14:textFill>
                  <w14:solidFill>
                    <w14:schemeClr w14:val="tx1"/>
                  </w14:solidFill>
                </w14:textFill>
              </w:rPr>
              <w:t>管理系统</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通过地图展示县、乡镇、行政村三级管理单位的各种数据，最底层展示位村的指标数据信息</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对参与垃圾分类的运输车辆进行实时统计，并针对车辆所属运输地区进行关联。</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投放分析</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通过领用垃圾袋的行为，可分别统计各地垃圾袋的库存水平、村民领用垃圾袋的实时情况等相关信息。</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5"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配置垃圾分类专管员扫描村民投递的二维码信息，对垃圾袋内部的垃圾打分拍照上传。对高峰期垃圾量过大的情况出现时，亦可直接拍照上传，让后台管理人员打分登记。</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对有条件的村投放点进行实时视频监控，通过对视频定时管理，对出现超时投放的村民实行语音劝导</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运输管理</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通过对车辆的定位信息、速度信息、车载视频、车载称重的数据获取和加工处理，实现对车辆实时位置、作业轨迹、视频监控以及车载称重等进行实时数据监管。</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对各类车辆的基本信息进行录入</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可在平台上对车辆（扫路车、洒水车、运输车、餐厨车、收集车、巡查车、吸污车等）的在线状态、具体位置、工作状态以及具体航向等进行查看</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根据车辆上传的数据和作业规划，形成车辆的轨迹</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在地图上以颜色区分不同的作业状态</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可自定义停留时间，并且查询超过该停留时间的车辆在地图上的分布</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通过对车辆上安装车载称重传感器，有效统计垃圾分类源头垃圾产生量的情况</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收集点名称、垃圾桶数量、所在村、所属区域、所属乡镇、照片、服务人口、地址、当前收集单位、当前收集车辆、责任人、联系方式、收集规则、</w:t>
            </w:r>
            <w:r>
              <w:rPr>
                <w:rFonts w:ascii="宋体" w:hAnsi="宋体" w:cs="宋体"/>
                <w:color w:val="000000" w:themeColor="text1"/>
                <w:kern w:val="0"/>
                <w:szCs w:val="21"/>
                <w:highlight w:val="none"/>
                <w:lang w:bidi="ar"/>
                <w14:textFill>
                  <w14:solidFill>
                    <w14:schemeClr w14:val="tx1"/>
                  </w14:solidFill>
                </w14:textFill>
              </w:rPr>
              <w:t>GPS</w:t>
            </w:r>
            <w:r>
              <w:rPr>
                <w:rFonts w:hint="eastAsia" w:ascii="宋体" w:hAnsi="宋体" w:cs="宋体"/>
                <w:color w:val="000000" w:themeColor="text1"/>
                <w:kern w:val="0"/>
                <w:szCs w:val="21"/>
                <w:highlight w:val="none"/>
                <w:lang w:bidi="ar"/>
                <w14:textFill>
                  <w14:solidFill>
                    <w14:schemeClr w14:val="tx1"/>
                  </w14:solidFill>
                </w14:textFill>
              </w:rPr>
              <w:t>坐标等信息管理</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可实时显示当前的车辆收集情况：包括车牌号、驾驶员、所属项目、车辆类型、称重时间、收集点（垃圾桶）名称、垃圾类型、垃圾重量。</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1"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可根据车牌号、日期、收集点、垃圾类型等多个条件，选择查看称重数据，并可将查询的结果进行导出。</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可根据车牌号、项目、月份等条件，从多维度对称重的数据进行汇总统计，导出月度统计表等称重数据，并可将查询的结果进行导出。</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可以实时调取车辆安装的视频设备，查看车内、车前、车后等实时视频画面。</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对车辆进行实时监控产生的报警包括超速报警（含作业超速报警、行车超速报警）、违规告警（未按规定路线行驶等）、油量报警、停车熄火报警等。</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在系统中用户能根据提前设置的风险阀值实时提示环卫管理者存在风险问题。</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可对车辆的行车超速和作业超速进行设置</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可对车辆的违规作业情况进行报警设置</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对分类运输车车辆有效的进行作业规划，设置收集区域等基础规划属性</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对收运车辆进行相应的规定的工作区域进行规划</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szCs w:val="21"/>
                <w:highlight w:val="none"/>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支持批量导入，导出任务信息，支持自动生成常规任务或者指派任务的输入。</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Merge w:val="restart"/>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预约回收</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可在后台维护回收货物的名称和类型等信息。</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可查看预约回收的订单的信息和进度。</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对回收的数据进行分类统计。</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Merge w:val="restart"/>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数据填报</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可根据定制要求生成不同表单。</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5"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通过功能权限控制，开放对应填报模块给下级单位，下级单位根据收到的报送要求，对要求报送数据进行上报。</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下级单位根据报送任务和计划，如实填报垃圾分类数据，管理单位通过填报审核模块对所报送数据进行审核。</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8"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Merge w:val="restart"/>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工作平台</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通过工作流事件对县、乡镇、村的工作流程进行业务受理，对任务交办、待办任务、报警信息等数据进行管理。</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6"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通过县级层面，层层下发相关指导性的文件，包含相关垃圾分类的政策法规、行业标准等相关信息等。</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对权限账号下级单位考核情况进行公示，督促下级组织有效开展垃圾分类相关工作。</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对参与垃圾分类的乡镇、村、单位、第三方服务公司等组织，做的好坏情况进行公示</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系统管理</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系统可根据不同权限的用户配置相关的账号信息，权限包含菜单权限以及数据权限</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7"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restart"/>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垃圾分类硬件</w:t>
            </w: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易腐垃圾、其他垃圾智能垃圾箱</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集成数据采集终端和传感器技术，结合平台的应用，可以达到易腐垃圾、其他垃圾垃圾箱远程监控的效果。区别于传统的垃圾箱，拥有自动感应开门功能，垃圾分类投放结束后，实现自动关门，并且在关门的过程中，实时监测放假，避免意外的发生。</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8</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8"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可回收垃圾智慧环保屋</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集成无线数据传输模块、传感器模块和称重模块，结合平台功能实现了对垃圾分类回收箱的智能化管理，平台端能够实时查询垃圾投放情况，包括人员信息和垃圾称重，对垃圾箱形成了一体化的智能管理。</w:t>
            </w:r>
            <w:r>
              <w:rPr>
                <w:rFonts w:ascii="宋体" w:hAnsi="宋体" w:cs="宋体"/>
                <w:color w:val="000000" w:themeColor="text1"/>
                <w:kern w:val="0"/>
                <w:szCs w:val="21"/>
                <w:highlight w:val="none"/>
                <w:lang w:bidi="ar"/>
                <w14:textFill>
                  <w14:solidFill>
                    <w14:schemeClr w14:val="tx1"/>
                  </w14:solidFill>
                </w14:textFill>
              </w:rPr>
              <w:t>LCD</w:t>
            </w:r>
            <w:r>
              <w:rPr>
                <w:rFonts w:hint="eastAsia" w:ascii="宋体" w:hAnsi="宋体" w:cs="宋体"/>
                <w:color w:val="000000" w:themeColor="text1"/>
                <w:kern w:val="0"/>
                <w:szCs w:val="21"/>
                <w:highlight w:val="none"/>
                <w:lang w:bidi="ar"/>
                <w14:textFill>
                  <w14:solidFill>
                    <w14:schemeClr w14:val="tx1"/>
                  </w14:solidFill>
                </w14:textFill>
              </w:rPr>
              <w:t>显示屏实时显示投放情况，并与用户形成互动</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2</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8"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巡检称重台</w:t>
            </w:r>
          </w:p>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（带三轮车）</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通过射频方式或者扫码方式感应垃圾桶上的标签，从而自动识别用户身份，收集员可以对每户的分类垃圾进行称重、积分、评价、拍照，并实时上传数据的厨余垃圾收集系统。配合运输组成三轮车收运模式。</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8" w:hRule="atLeast"/>
          <w:jc w:val="center"/>
        </w:trPr>
        <w:tc>
          <w:tcPr>
            <w:tcW w:w="459"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全程追溯管理系统</w:t>
            </w:r>
          </w:p>
        </w:tc>
        <w:tc>
          <w:tcPr>
            <w:tcW w:w="788"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全链数据采集模块</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种植管理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划定特定区域（种植过程相同或统一划定的管辖区域，设立溯源信息网络采集站点。采集信息包括施肥信息、病虫害防治信息、农事操作。</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8"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采摘管理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确定采摘过程中采摘的时间、数量、方式（人工或机械）等信息，保证在产品溯源的过程中，能够查询到产品的采摘信息。</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8"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流转管理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将</w:t>
            </w:r>
            <w:r>
              <w:rPr>
                <w:rFonts w:ascii="宋体" w:hAnsi="宋体" w:cs="宋体"/>
                <w:color w:val="000000" w:themeColor="text1"/>
                <w:kern w:val="0"/>
                <w:szCs w:val="21"/>
                <w:highlight w:val="none"/>
                <w:lang w:bidi="ar"/>
                <w14:textFill>
                  <w14:solidFill>
                    <w14:schemeClr w14:val="tx1"/>
                  </w14:solidFill>
                </w14:textFill>
              </w:rPr>
              <w:t>RFID</w:t>
            </w:r>
            <w:r>
              <w:rPr>
                <w:rFonts w:hint="eastAsia" w:ascii="宋体" w:hAnsi="宋体" w:cs="宋体"/>
                <w:color w:val="000000" w:themeColor="text1"/>
                <w:kern w:val="0"/>
                <w:szCs w:val="21"/>
                <w:highlight w:val="none"/>
                <w:lang w:bidi="ar"/>
                <w14:textFill>
                  <w14:solidFill>
                    <w14:schemeClr w14:val="tx1"/>
                  </w14:solidFill>
                </w14:textFill>
              </w:rPr>
              <w:t>号录入溯源信息管理系统，实现流转箱与基地、产品批次的关联。</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8"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检测信息管理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质量检测数据的采集，并与该批次进行关联，并最终通过溯源查询展示给消费者。</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8"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仓储物流管理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记录胡柚的仓储物流信息，包括胡柚仓储物流环节相关的溯源数据。包括储存时间、仓储温度、出入库时间等内容。</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8"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销售管理</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对胡柚的销售流向信息进行采集，以便在发生食品安全问题时，能及时进行产品召回或其他处置。</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追溯标识管理模块</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标识申请</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企业用户根据企业产量确定标签数量，在系统内进行标签订单在线申请。</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标识审核</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对商品规格和订单进行审核管理。</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码段关联</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监管部门按要求进行标签发放，并进行相关码段关联，以保证消费者所买产品来源可查。</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追溯查询管理模块</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电话语音查询</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自动语音服务将对追溯信息进行播报。</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Web</w:t>
            </w:r>
            <w:r>
              <w:rPr>
                <w:rFonts w:hint="eastAsia" w:ascii="宋体" w:hAnsi="宋体" w:cs="宋体"/>
                <w:color w:val="000000" w:themeColor="text1"/>
                <w:kern w:val="0"/>
                <w:szCs w:val="21"/>
                <w:highlight w:val="none"/>
                <w:lang w:bidi="ar"/>
                <w14:textFill>
                  <w14:solidFill>
                    <w14:schemeClr w14:val="tx1"/>
                  </w14:solidFill>
                </w14:textFill>
              </w:rPr>
              <w:t>查询</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建立追溯查询网站，网站对质量安全的基本情况进行展示，对企业的信息与多媒体内容进行展示。</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3"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二维码查询</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对扫描标签的二维码，可以查询到追溯产品的企业信息、产品信息、批次信息、生产档案、保质期和检测信息等全部内容。</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触摸屏及其他终端查询</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消费者可以通过触摸屏及其他终端方式进行产品查询，可以查询到追溯的企业信息、产品信息、批次信息与生产档案信息等全部内容。</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码段数字营销管理模块</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红包植入式营销</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基于二维码的应用，可以进行红包植入式营销。消费者通过扫码领取现金红包，积攒的红包进行消费抵扣。</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9"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会员积分制营销</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基于“码”的使用，消费者通过扫码注册成为会员，便可领取积分。积攒的积分按分值可用于消费抵扣，也可用于兑换精品礼品。</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实物礼品营销</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可设置实物礼品营销。消费者通过扫描二维码领取精美优质礼品，增加消费满意度。</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一村一品打造</w:t>
            </w:r>
          </w:p>
        </w:tc>
        <w:tc>
          <w:tcPr>
            <w:tcW w:w="788"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品牌体系建设</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现状调研</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份产业发展诊断书及调研报告：对村级产业当前发展现状及市场趋势作出诊断和判断，为产业发展规划制定科学依据。</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完善品牌体系</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套完善的品牌价值体系：包含品牌定位、品牌广告语、品牌核心价值、品牌主视觉等，用于持续市场传播。</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4"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村级品牌旗下产品开发</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完成村级</w:t>
            </w:r>
            <w:r>
              <w:rPr>
                <w:rFonts w:ascii="宋体" w:hAnsi="宋体" w:cs="宋体"/>
                <w:color w:val="000000" w:themeColor="text1"/>
                <w:kern w:val="0"/>
                <w:szCs w:val="21"/>
                <w:highlight w:val="none"/>
                <w:lang w:bidi="ar"/>
                <w14:textFill>
                  <w14:solidFill>
                    <w14:schemeClr w14:val="tx1"/>
                  </w14:solidFill>
                </w14:textFill>
              </w:rPr>
              <w:t>3</w:t>
            </w:r>
            <w:r>
              <w:rPr>
                <w:rFonts w:hint="eastAsia" w:ascii="宋体" w:hAnsi="宋体" w:cs="宋体"/>
                <w:color w:val="000000" w:themeColor="text1"/>
                <w:kern w:val="0"/>
                <w:szCs w:val="21"/>
                <w:highlight w:val="none"/>
                <w:lang w:bidi="ar"/>
                <w14:textFill>
                  <w14:solidFill>
                    <w14:schemeClr w14:val="tx1"/>
                  </w14:solidFill>
                </w14:textFill>
              </w:rPr>
              <w:t>款产品开发：以主导产业为核心，结合市场消费趋势开发与市场需求相符的</w:t>
            </w:r>
            <w:r>
              <w:rPr>
                <w:rFonts w:ascii="宋体" w:hAnsi="宋体" w:cs="宋体"/>
                <w:color w:val="000000" w:themeColor="text1"/>
                <w:kern w:val="0"/>
                <w:szCs w:val="21"/>
                <w:highlight w:val="none"/>
                <w:lang w:bidi="ar"/>
                <w14:textFill>
                  <w14:solidFill>
                    <w14:schemeClr w14:val="tx1"/>
                  </w14:solidFill>
                </w14:textFill>
              </w:rPr>
              <w:t>3</w:t>
            </w:r>
            <w:r>
              <w:rPr>
                <w:rFonts w:hint="eastAsia" w:ascii="宋体" w:hAnsi="宋体" w:cs="宋体"/>
                <w:color w:val="000000" w:themeColor="text1"/>
                <w:kern w:val="0"/>
                <w:szCs w:val="21"/>
                <w:highlight w:val="none"/>
                <w:lang w:bidi="ar"/>
                <w14:textFill>
                  <w14:solidFill>
                    <w14:schemeClr w14:val="tx1"/>
                  </w14:solidFill>
                </w14:textFill>
              </w:rPr>
              <w:t>款产品，并制定符合市场的营销策略和卖点。</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营销体系建设</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上线新零售平台</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上线新建的电商平台，设计</w:t>
            </w:r>
            <w:r>
              <w:rPr>
                <w:rFonts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套电商化素材库：包含</w:t>
            </w:r>
            <w:r>
              <w:rPr>
                <w:rFonts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组详情页、</w:t>
            </w:r>
            <w:r>
              <w:rPr>
                <w:rFonts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组产品精修图、</w:t>
            </w:r>
            <w:r>
              <w:rPr>
                <w:rFonts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组推广小视频、</w:t>
            </w:r>
            <w:r>
              <w:rPr>
                <w:rFonts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组平台宣传文案等。</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开展线上线下活动</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开展</w:t>
            </w:r>
            <w:r>
              <w:rPr>
                <w:rFonts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场线上直播活动</w:t>
            </w:r>
            <w:r>
              <w:rPr>
                <w:rFonts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场线下大型农事节庆活动：直播活动</w:t>
            </w:r>
            <w:r>
              <w:rPr>
                <w:rFonts w:ascii="宋体" w:hAnsi="宋体" w:cs="宋体"/>
                <w:color w:val="000000" w:themeColor="text1"/>
                <w:kern w:val="0"/>
                <w:szCs w:val="21"/>
                <w:highlight w:val="none"/>
                <w:lang w:bidi="ar"/>
                <w14:textFill>
                  <w14:solidFill>
                    <w14:schemeClr w14:val="tx1"/>
                  </w14:solidFill>
                </w14:textFill>
              </w:rPr>
              <w:t>GMV</w:t>
            </w:r>
            <w:r>
              <w:rPr>
                <w:rFonts w:hint="eastAsia" w:ascii="宋体" w:hAnsi="宋体" w:cs="宋体"/>
                <w:color w:val="000000" w:themeColor="text1"/>
                <w:kern w:val="0"/>
                <w:szCs w:val="21"/>
                <w:highlight w:val="none"/>
                <w:lang w:bidi="ar"/>
                <w14:textFill>
                  <w14:solidFill>
                    <w14:schemeClr w14:val="tx1"/>
                  </w14:solidFill>
                </w14:textFill>
              </w:rPr>
              <w:t>达</w:t>
            </w:r>
            <w:r>
              <w:rPr>
                <w:rFonts w:ascii="宋体" w:hAnsi="宋体" w:cs="宋体"/>
                <w:color w:val="000000" w:themeColor="text1"/>
                <w:kern w:val="0"/>
                <w:szCs w:val="21"/>
                <w:highlight w:val="none"/>
                <w:lang w:bidi="ar"/>
                <w14:textFill>
                  <w14:solidFill>
                    <w14:schemeClr w14:val="tx1"/>
                  </w14:solidFill>
                </w14:textFill>
              </w:rPr>
              <w:t>8w+</w:t>
            </w:r>
            <w:r>
              <w:rPr>
                <w:rFonts w:hint="eastAsia" w:ascii="宋体" w:hAnsi="宋体" w:cs="宋体"/>
                <w:color w:val="000000" w:themeColor="text1"/>
                <w:kern w:val="0"/>
                <w:szCs w:val="21"/>
                <w:highlight w:val="none"/>
                <w:lang w:bidi="ar"/>
                <w14:textFill>
                  <w14:solidFill>
                    <w14:schemeClr w14:val="tx1"/>
                  </w14:solidFill>
                </w14:textFill>
              </w:rPr>
              <w:t>，农事节庆活动</w:t>
            </w:r>
            <w:r>
              <w:rPr>
                <w:rFonts w:ascii="宋体" w:hAnsi="宋体" w:cs="宋体"/>
                <w:color w:val="000000" w:themeColor="text1"/>
                <w:kern w:val="0"/>
                <w:szCs w:val="21"/>
                <w:highlight w:val="none"/>
                <w:lang w:bidi="ar"/>
                <w14:textFill>
                  <w14:solidFill>
                    <w14:schemeClr w14:val="tx1"/>
                  </w14:solidFill>
                </w14:textFill>
              </w:rPr>
              <w:t>&gt;100</w:t>
            </w:r>
            <w:r>
              <w:rPr>
                <w:rFonts w:hint="eastAsia" w:ascii="宋体" w:hAnsi="宋体" w:cs="宋体"/>
                <w:color w:val="000000" w:themeColor="text1"/>
                <w:kern w:val="0"/>
                <w:szCs w:val="21"/>
                <w:highlight w:val="none"/>
                <w:lang w:bidi="ar"/>
                <w14:textFill>
                  <w14:solidFill>
                    <w14:schemeClr w14:val="tx1"/>
                  </w14:solidFill>
                </w14:textFill>
              </w:rPr>
              <w:t>人次以上。</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9"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开展电商营销培训</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开展</w:t>
            </w:r>
            <w:r>
              <w:rPr>
                <w:rFonts w:ascii="宋体" w:hAnsi="宋体" w:cs="宋体"/>
                <w:color w:val="000000" w:themeColor="text1"/>
                <w:kern w:val="0"/>
                <w:szCs w:val="21"/>
                <w:highlight w:val="none"/>
                <w:lang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级电商人才培训，培训场次不少于</w:t>
            </w:r>
            <w:r>
              <w:rPr>
                <w:rFonts w:ascii="宋体" w:hAnsi="宋体" w:cs="宋体"/>
                <w:color w:val="000000" w:themeColor="text1"/>
                <w:kern w:val="0"/>
                <w:szCs w:val="21"/>
                <w:highlight w:val="none"/>
                <w:lang w:bidi="ar"/>
                <w14:textFill>
                  <w14:solidFill>
                    <w14:schemeClr w14:val="tx1"/>
                  </w14:solidFill>
                </w14:textFill>
              </w:rPr>
              <w:t>2</w:t>
            </w:r>
            <w:r>
              <w:rPr>
                <w:rFonts w:hint="eastAsia" w:ascii="宋体" w:hAnsi="宋体" w:cs="宋体"/>
                <w:color w:val="000000" w:themeColor="text1"/>
                <w:kern w:val="0"/>
                <w:szCs w:val="21"/>
                <w:highlight w:val="none"/>
                <w:lang w:bidi="ar"/>
                <w14:textFill>
                  <w14:solidFill>
                    <w14:schemeClr w14:val="tx1"/>
                  </w14:solidFill>
                </w14:textFill>
              </w:rPr>
              <w:t>次，人次覆盖村民培训对象包含“村书记</w:t>
            </w:r>
            <w:r>
              <w:rPr>
                <w:rFonts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村两委班子</w:t>
            </w:r>
            <w:r>
              <w:rPr>
                <w:rFonts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村级致富带头人</w:t>
            </w:r>
            <w:r>
              <w:rPr>
                <w:rFonts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村民”。</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村内氛围建设</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村头打造</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创建</w:t>
            </w:r>
            <w:r>
              <w:rPr>
                <w:rFonts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处村头标识打造：并署名“</w:t>
            </w:r>
            <w:r>
              <w:rPr>
                <w:rFonts w:ascii="宋体" w:hAnsi="宋体" w:cs="宋体"/>
                <w:color w:val="000000" w:themeColor="text1"/>
                <w:kern w:val="0"/>
                <w:szCs w:val="21"/>
                <w:highlight w:val="none"/>
                <w:lang w:bidi="ar"/>
                <w14:textFill>
                  <w14:solidFill>
                    <w14:schemeClr w14:val="tx1"/>
                  </w14:solidFill>
                </w14:textFill>
              </w:rPr>
              <w:t>XX</w:t>
            </w:r>
            <w:r>
              <w:rPr>
                <w:rFonts w:hint="eastAsia" w:ascii="宋体" w:hAnsi="宋体" w:cs="宋体"/>
                <w:color w:val="000000" w:themeColor="text1"/>
                <w:kern w:val="0"/>
                <w:szCs w:val="21"/>
                <w:highlight w:val="none"/>
                <w:lang w:bidi="ar"/>
                <w14:textFill>
                  <w14:solidFill>
                    <w14:schemeClr w14:val="tx1"/>
                  </w14:solidFill>
                </w14:textFill>
              </w:rPr>
              <w:t>产业示范村”，强化村级产业形象。</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一户一码</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打造</w:t>
            </w:r>
            <w:r>
              <w:rPr>
                <w:rFonts w:ascii="宋体" w:hAnsi="宋体" w:cs="宋体"/>
                <w:color w:val="000000" w:themeColor="text1"/>
                <w:kern w:val="0"/>
                <w:szCs w:val="21"/>
                <w:highlight w:val="none"/>
                <w:lang w:bidi="ar"/>
                <w14:textFill>
                  <w14:solidFill>
                    <w14:schemeClr w14:val="tx1"/>
                  </w14:solidFill>
                </w14:textFill>
              </w:rPr>
              <w:t>50</w:t>
            </w:r>
            <w:r>
              <w:rPr>
                <w:rFonts w:hint="eastAsia" w:ascii="宋体" w:hAnsi="宋体" w:cs="宋体"/>
                <w:color w:val="000000" w:themeColor="text1"/>
                <w:kern w:val="0"/>
                <w:szCs w:val="21"/>
                <w:highlight w:val="none"/>
                <w:lang w:bidi="ar"/>
                <w14:textFill>
                  <w14:solidFill>
                    <w14:schemeClr w14:val="tx1"/>
                  </w14:solidFill>
                </w14:textFill>
              </w:rPr>
              <w:t>处（覆盖全村）一户一码：通过一户一码建设，提升村内电商氛围，增加产品销售渠道。</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村内打造</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打造不少于</w:t>
            </w:r>
            <w:r>
              <w:rPr>
                <w:rFonts w:ascii="宋体" w:hAnsi="宋体" w:cs="宋体"/>
                <w:color w:val="000000" w:themeColor="text1"/>
                <w:kern w:val="0"/>
                <w:szCs w:val="21"/>
                <w:highlight w:val="none"/>
                <w:lang w:bidi="ar"/>
                <w14:textFill>
                  <w14:solidFill>
                    <w14:schemeClr w14:val="tx1"/>
                  </w14:solidFill>
                </w14:textFill>
              </w:rPr>
              <w:t>3</w:t>
            </w:r>
            <w:r>
              <w:rPr>
                <w:rFonts w:hint="eastAsia" w:ascii="宋体" w:hAnsi="宋体" w:cs="宋体"/>
                <w:color w:val="000000" w:themeColor="text1"/>
                <w:kern w:val="0"/>
                <w:szCs w:val="21"/>
                <w:highlight w:val="none"/>
                <w:lang w:bidi="ar"/>
                <w14:textFill>
                  <w14:solidFill>
                    <w14:schemeClr w14:val="tx1"/>
                  </w14:solidFill>
                </w14:textFill>
              </w:rPr>
              <w:t>种形式村内氛围打造：包含村头景观小品、村内展厅、村内上墙、村内指示牌等。</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传播体系建设</w:t>
            </w:r>
          </w:p>
        </w:tc>
        <w:tc>
          <w:tcPr>
            <w:tcW w:w="1182"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产业形象片拍摄</w:t>
            </w:r>
          </w:p>
        </w:tc>
        <w:tc>
          <w:tcPr>
            <w:tcW w:w="6363" w:type="dxa"/>
            <w:vAlign w:val="center"/>
          </w:tcPr>
          <w:p>
            <w:pPr>
              <w:widowControl/>
              <w:jc w:val="left"/>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部村级产业形象宣传片拍摄：围绕产业文化、产业发展、产业品牌等方面拍摄宣传片，并上线浙江省官方电视平台，提升村级产业影响力。</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短视频拍摄</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以村内产品、氛围、活动等为主题，拍摄宣传短视频，对村内的魅力进行全面展现，并在微信视频号、抖音、快手等短视频平台进行发布，在更大范围内提升当地的知名度与美誉度。</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媒体推广</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全网媒体传播：“电视媒体</w:t>
            </w:r>
            <w:r>
              <w:rPr>
                <w:rFonts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户外媒体</w:t>
            </w:r>
            <w:r>
              <w:rPr>
                <w:rFonts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新媒体”等主流媒体传播包含至少</w:t>
            </w:r>
            <w:r>
              <w:rPr>
                <w:rFonts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期电视媒体投放、</w:t>
            </w:r>
            <w:r>
              <w:rPr>
                <w:rFonts w:ascii="宋体" w:hAnsi="宋体" w:cs="宋体"/>
                <w:color w:val="000000" w:themeColor="text1"/>
                <w:kern w:val="0"/>
                <w:szCs w:val="21"/>
                <w:highlight w:val="none"/>
                <w:lang w:bidi="ar"/>
                <w14:textFill>
                  <w14:solidFill>
                    <w14:schemeClr w14:val="tx1"/>
                  </w14:solidFill>
                </w14:textFill>
              </w:rPr>
              <w:t>5</w:t>
            </w:r>
            <w:r>
              <w:rPr>
                <w:rFonts w:hint="eastAsia" w:ascii="宋体" w:hAnsi="宋体" w:cs="宋体"/>
                <w:color w:val="000000" w:themeColor="text1"/>
                <w:kern w:val="0"/>
                <w:szCs w:val="21"/>
                <w:highlight w:val="none"/>
                <w:lang w:bidi="ar"/>
                <w14:textFill>
                  <w14:solidFill>
                    <w14:schemeClr w14:val="tx1"/>
                  </w14:solidFill>
                </w14:textFill>
              </w:rPr>
              <w:t>处户外广告媒体投放；线上</w:t>
            </w:r>
            <w:r>
              <w:rPr>
                <w:rFonts w:ascii="宋体" w:hAnsi="宋体" w:cs="宋体"/>
                <w:color w:val="000000" w:themeColor="text1"/>
                <w:kern w:val="0"/>
                <w:szCs w:val="21"/>
                <w:highlight w:val="none"/>
                <w:lang w:bidi="ar"/>
                <w14:textFill>
                  <w14:solidFill>
                    <w14:schemeClr w14:val="tx1"/>
                  </w14:solidFill>
                </w14:textFill>
              </w:rPr>
              <w:t>20</w:t>
            </w:r>
            <w:r>
              <w:rPr>
                <w:rFonts w:hint="eastAsia" w:ascii="宋体" w:hAnsi="宋体" w:cs="宋体"/>
                <w:color w:val="000000" w:themeColor="text1"/>
                <w:kern w:val="0"/>
                <w:szCs w:val="21"/>
                <w:highlight w:val="none"/>
                <w:lang w:bidi="ar"/>
                <w14:textFill>
                  <w14:solidFill>
                    <w14:schemeClr w14:val="tx1"/>
                  </w14:solidFill>
                </w14:textFill>
              </w:rPr>
              <w:t>条媒体投放链接、</w:t>
            </w:r>
            <w:r>
              <w:rPr>
                <w:rFonts w:ascii="宋体" w:hAnsi="宋体" w:cs="宋体"/>
                <w:color w:val="000000" w:themeColor="text1"/>
                <w:kern w:val="0"/>
                <w:szCs w:val="21"/>
                <w:highlight w:val="none"/>
                <w:lang w:bidi="ar"/>
                <w14:textFill>
                  <w14:solidFill>
                    <w14:schemeClr w14:val="tx1"/>
                  </w14:solidFill>
                </w14:textFill>
              </w:rPr>
              <w:t>50</w:t>
            </w:r>
            <w:r>
              <w:rPr>
                <w:rFonts w:hint="eastAsia" w:ascii="宋体" w:hAnsi="宋体" w:cs="宋体"/>
                <w:color w:val="000000" w:themeColor="text1"/>
                <w:kern w:val="0"/>
                <w:szCs w:val="21"/>
                <w:highlight w:val="none"/>
                <w:lang w:bidi="ar"/>
                <w14:textFill>
                  <w14:solidFill>
                    <w14:schemeClr w14:val="tx1"/>
                  </w14:solidFill>
                </w14:textFill>
              </w:rPr>
              <w:t>万曝光量；电子海报、</w:t>
            </w:r>
            <w:r>
              <w:rPr>
                <w:rFonts w:ascii="宋体" w:hAnsi="宋体" w:cs="宋体"/>
                <w:color w:val="000000" w:themeColor="text1"/>
                <w:kern w:val="0"/>
                <w:szCs w:val="21"/>
                <w:highlight w:val="none"/>
                <w:lang w:bidi="ar"/>
                <w14:textFill>
                  <w14:solidFill>
                    <w14:schemeClr w14:val="tx1"/>
                  </w14:solidFill>
                </w14:textFill>
              </w:rPr>
              <w:t>H5</w:t>
            </w:r>
            <w:r>
              <w:rPr>
                <w:rFonts w:hint="eastAsia" w:ascii="宋体" w:hAnsi="宋体" w:cs="宋体"/>
                <w:color w:val="000000" w:themeColor="text1"/>
                <w:kern w:val="0"/>
                <w:szCs w:val="21"/>
                <w:highlight w:val="none"/>
                <w:lang w:bidi="ar"/>
                <w14:textFill>
                  <w14:solidFill>
                    <w14:schemeClr w14:val="tx1"/>
                  </w14:solidFill>
                </w14:textFill>
              </w:rPr>
              <w:t>宣传物料多维媒体投放。</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restart"/>
            <w:vAlign w:val="center"/>
          </w:tcPr>
          <w:p>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智慧园区监管系统</w:t>
            </w:r>
          </w:p>
        </w:tc>
        <w:tc>
          <w:tcPr>
            <w:tcW w:w="788" w:type="dxa"/>
            <w:vMerge w:val="restart"/>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资产管理</w:t>
            </w: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资产基本信息管理</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建立资产基本信息卡片（含二维码），包括：资产名称、购买时间、资产价格、经手人等，以记录形式管理，提供增加、修改、删除、查询、标签等。</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资产综合查询</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对单条固定资产、经营性资产、不动产、租赁资产信息查询，查询资产从登记到报废全生命周期过程信息。</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资产报表统计</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为园区管理者提供各种资产统计报表，以便于资产新购、维修、使用等的各种现状。</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商铺租赁管理</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实现租赁商铺的管理（如：商铺合同、租金等录入和查询，租赁到期提醒）</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8"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物业管理</w:t>
            </w: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物业服务系统</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物业服务系统、物业收费、报修管理、失物招领、寻人启事、商铺出租、巡更巡检、设备管理、安保管理、绿化管理、保洁管理、报表管理</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restart"/>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财务管理</w:t>
            </w: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票务系统</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开发门票管理系统，对接</w:t>
            </w:r>
            <w:r>
              <w:rPr>
                <w:rFonts w:ascii="宋体" w:hAnsi="宋体" w:cs="宋体"/>
                <w:color w:val="000000" w:themeColor="text1"/>
                <w:kern w:val="0"/>
                <w:szCs w:val="21"/>
                <w:highlight w:val="none"/>
                <w:lang w:bidi="ar"/>
                <w14:textFill>
                  <w14:solidFill>
                    <w14:schemeClr w14:val="tx1"/>
                  </w14:solidFill>
                </w14:textFill>
              </w:rPr>
              <w:t>OTA</w:t>
            </w:r>
            <w:r>
              <w:rPr>
                <w:rFonts w:hint="eastAsia" w:ascii="宋体" w:hAnsi="宋体" w:cs="宋体"/>
                <w:color w:val="000000" w:themeColor="text1"/>
                <w:kern w:val="0"/>
                <w:szCs w:val="21"/>
                <w:highlight w:val="none"/>
                <w:lang w:bidi="ar"/>
                <w14:textFill>
                  <w14:solidFill>
                    <w14:schemeClr w14:val="tx1"/>
                  </w14:solidFill>
                </w14:textFill>
              </w:rPr>
              <w:t>实现园区门票的线上、线下多种类型门票的销售统一管理</w:t>
            </w:r>
          </w:p>
        </w:tc>
        <w:tc>
          <w:tcPr>
            <w:tcW w:w="379"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商超管理系统</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开发统一收银系统，实现超市、餐饮、休闲娱乐的统一收银、进销存、结算等功能。</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统一结算管理</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实现门票、商铺收银、超市、餐饮、休闲娱乐财务的“收款、转账、付款”管理机制，以票据管理作为财务记账流程。</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restart"/>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安防管理</w:t>
            </w: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前端数据采集</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通过用户信息传输装置获取从消防控制主机、门禁系统、监控系统得到的各类报警、故障等信息</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报警监测及处置</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对前端采集的数据进行实时监测，发现异常实时预警，并将相关预警信息推送至相关人员，确保报警、故障时间的快速有效处置。</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视频监控系统</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视频监控数据接口协议开发，实现应用系统和硬件设备的数据收集、实时点位监测、视频在线预览、状态监测等。</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公共广播</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公共广播数据接口协议开发，实现园区实时广播、定时广播和分区广播。</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智能照明</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智能照明数据接口协议开发，实现应用系统和硬件设备的数据告警、监测及控制，支持电子地图方式界面显示照明设备状态信息，实现不同智能区域的开和关。</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调度管理</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实现从设备维护人员、保洁人员、安保人员、讲解人员的调度管理。</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周界报警</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对智慧园区的主次出入口、交叉路口、周界四周、建筑物一层主出入口、消防通道、门厅、电梯轿厢、机房、餐饮消费等公共区域配置视频监控系统。</w:t>
            </w:r>
            <w:r>
              <w:rPr>
                <w:rFonts w:ascii="宋体" w:hAnsi="宋体" w:cs="宋体"/>
                <w:color w:val="000000" w:themeColor="text1"/>
                <w:kern w:val="0"/>
                <w:szCs w:val="21"/>
                <w:highlight w:val="none"/>
                <w:lang w:bidi="ar"/>
                <w14:textFill>
                  <w14:solidFill>
                    <w14:schemeClr w14:val="tx1"/>
                  </w14:solidFill>
                </w14:textFill>
              </w:rPr>
              <w:t xml:space="preserve"> </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restart"/>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人行管理</w:t>
            </w:r>
          </w:p>
        </w:tc>
        <w:tc>
          <w:tcPr>
            <w:tcW w:w="1182" w:type="dxa"/>
            <w:vAlign w:val="center"/>
          </w:tcPr>
          <w:p>
            <w:pPr>
              <w:widowControl/>
              <w:jc w:val="center"/>
              <w:textAlignment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前端控制设备</w:t>
            </w:r>
            <w:r>
              <w:rPr>
                <w:rFonts w:hint="eastAsia" w:ascii="宋体" w:hAnsi="宋体" w:cs="宋体"/>
                <w:color w:val="000000" w:themeColor="text1"/>
                <w:kern w:val="0"/>
                <w:szCs w:val="21"/>
                <w:highlight w:val="none"/>
                <w:lang w:val="en-US" w:eastAsia="zh-CN" w:bidi="ar"/>
                <w14:textFill>
                  <w14:solidFill>
                    <w14:schemeClr w14:val="tx1"/>
                  </w14:solidFill>
                </w14:textFill>
              </w:rPr>
              <w:t>接入</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包含智能门禁控制器、可视对讲、人行道闸、电梯楼层控制器、人脸识别门禁、二维码门禁、蓝牙门禁等智能设备</w:t>
            </w:r>
            <w:r>
              <w:rPr>
                <w:rFonts w:hint="eastAsia" w:ascii="宋体" w:hAnsi="宋体" w:cs="宋体"/>
                <w:color w:val="000000" w:themeColor="text1"/>
                <w:kern w:val="0"/>
                <w:szCs w:val="21"/>
                <w:highlight w:val="none"/>
                <w:lang w:val="en-US" w:eastAsia="zh-CN" w:bidi="ar"/>
                <w14:textFill>
                  <w14:solidFill>
                    <w14:schemeClr w14:val="tx1"/>
                  </w14:solidFill>
                </w14:textFill>
              </w:rPr>
              <w:t>的数据</w:t>
            </w:r>
            <w:r>
              <w:rPr>
                <w:rFonts w:hint="eastAsia" w:ascii="宋体" w:hAnsi="宋体" w:cs="宋体"/>
                <w:color w:val="000000" w:themeColor="text1"/>
                <w:kern w:val="0"/>
                <w:szCs w:val="21"/>
                <w:highlight w:val="none"/>
                <w:lang w:bidi="ar"/>
                <w14:textFill>
                  <w14:solidFill>
                    <w14:schemeClr w14:val="tx1"/>
                  </w14:solidFill>
                </w14:textFill>
              </w:rPr>
              <w:t>。</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出入口权限设置</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能根据管理需要，对其办公区域、重要功能场所的出入口以及指定的消费场所对来访人员进行出入口权限控制。</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出入口身份识别</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支持多种身份识别方式，宜包含智能卡、身份证、二维码、人脸识别、生物特征识别等。</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访客登记</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临时访客可以通过访客机或线上访客预约系统进行自助式访客登记，并能够对访客的通行轨迹进行记录和跟踪。</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用户权限设置</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支持灵活的用户权限设置、统一授权下发、通行记录上报、存储与分析展示。</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个性场景设置</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支持多种通道形式和管理要求，包含对智慧园区出入口、楼道单元、楼层电梯、会议室、房屋门等通行场景。</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人脸识别通行</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通过人脸识别实现全园区无卡通行。</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一卡通</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通过一卡通实现全园区通行。</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领导视察放行</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通过对领导人脸识别或者一卡通识别，实现无人或值守人员在领导视察路线上，无感通行。</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离线操作</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支持在线和离线两种工作模式，在断网的情况下系统应当正常使用。</w:t>
            </w:r>
            <w:r>
              <w:rPr>
                <w:rFonts w:ascii="宋体" w:hAnsi="宋体" w:cs="宋体"/>
                <w:color w:val="000000" w:themeColor="text1"/>
                <w:kern w:val="0"/>
                <w:szCs w:val="21"/>
                <w:highlight w:val="none"/>
                <w:lang w:bidi="ar"/>
                <w14:textFill>
                  <w14:solidFill>
                    <w14:schemeClr w14:val="tx1"/>
                  </w14:solidFill>
                </w14:textFill>
              </w:rPr>
              <w:t xml:space="preserve"> </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restart"/>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车行管理</w:t>
            </w: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车牌识别</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可对出入场车辆进行自动识别，并自动判断是包月车辆还是临停车辆，若为临停车辆，在出场时应自动计算停车费用</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路线规划设计</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提前为车辆提供最优的行驶路线。</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停车引导</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综合车辆信息和停车位信息，推荐最优停车方案及路线导航等。</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信息发布</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主要是对空余车位信息的发布。</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僵尸车辆管理</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对停车区域内超过一定时间的车辆自动标记为僵尸车辆，并自动提醒管理人员。</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车闸状态监测</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运营人员可实时查看车闸运行状态，车闸出现异常时，推送报警信息。</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数据统计</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运营人员可根据授权查询数据，建立丰富的报表体系，提供用户分析、充值分析、消费分析、车场分析、车流分析等。</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线上包月缴费</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企业可通过用户端对车辆进行线上包月缴费。</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临停缴费</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临时访客可通过移动支付方式快捷缴费。</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 w:hRule="atLeast"/>
          <w:jc w:val="center"/>
        </w:trPr>
        <w:tc>
          <w:tcPr>
            <w:tcW w:w="459" w:type="dxa"/>
            <w:vMerge w:val="restart"/>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数据运营</w:t>
            </w:r>
          </w:p>
        </w:tc>
        <w:tc>
          <w:tcPr>
            <w:tcW w:w="788" w:type="dxa"/>
            <w:vMerge w:val="restart"/>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数据标准规范编制</w:t>
            </w: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基础规范</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制定</w:t>
            </w:r>
            <w:r>
              <w:rPr>
                <w:rFonts w:ascii="宋体" w:hAnsi="宋体" w:cs="宋体"/>
                <w:color w:val="000000" w:themeColor="text1"/>
                <w:kern w:val="0"/>
                <w:szCs w:val="21"/>
                <w:highlight w:val="none"/>
                <w:lang w:bidi="ar"/>
                <w14:textFill>
                  <w14:solidFill>
                    <w14:schemeClr w14:val="tx1"/>
                  </w14:solidFill>
                </w14:textFill>
              </w:rPr>
              <w:t>基础规范</w:t>
            </w:r>
          </w:p>
        </w:tc>
        <w:tc>
          <w:tcPr>
            <w:tcW w:w="379" w:type="dxa"/>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1"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数据规范</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制定</w:t>
            </w:r>
            <w:r>
              <w:rPr>
                <w:rFonts w:ascii="宋体" w:hAnsi="宋体" w:cs="宋体"/>
                <w:color w:val="000000" w:themeColor="text1"/>
                <w:kern w:val="0"/>
                <w:szCs w:val="21"/>
                <w:highlight w:val="none"/>
                <w:lang w:bidi="ar"/>
                <w14:textFill>
                  <w14:solidFill>
                    <w14:schemeClr w14:val="tx1"/>
                  </w14:solidFill>
                </w14:textFill>
              </w:rPr>
              <w:t>数据规范</w:t>
            </w:r>
          </w:p>
        </w:tc>
        <w:tc>
          <w:tcPr>
            <w:tcW w:w="379" w:type="dxa"/>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1"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技术规范</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制定</w:t>
            </w:r>
            <w:r>
              <w:rPr>
                <w:rFonts w:ascii="宋体" w:hAnsi="宋体" w:cs="宋体"/>
                <w:color w:val="000000" w:themeColor="text1"/>
                <w:kern w:val="0"/>
                <w:szCs w:val="21"/>
                <w:highlight w:val="none"/>
                <w:lang w:bidi="ar"/>
                <w14:textFill>
                  <w14:solidFill>
                    <w14:schemeClr w14:val="tx1"/>
                  </w14:solidFill>
                </w14:textFill>
              </w:rPr>
              <w:t>技术规范</w:t>
            </w:r>
          </w:p>
        </w:tc>
        <w:tc>
          <w:tcPr>
            <w:tcW w:w="379" w:type="dxa"/>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1" w:hRule="atLeast"/>
          <w:jc w:val="center"/>
        </w:trPr>
        <w:tc>
          <w:tcPr>
            <w:tcW w:w="459" w:type="dxa"/>
            <w:vMerge w:val="continue"/>
            <w:vAlign w:val="center"/>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管理规范</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制定</w:t>
            </w:r>
            <w:r>
              <w:rPr>
                <w:rFonts w:ascii="宋体" w:hAnsi="宋体" w:cs="宋体"/>
                <w:color w:val="000000" w:themeColor="text1"/>
                <w:kern w:val="0"/>
                <w:szCs w:val="21"/>
                <w:highlight w:val="none"/>
                <w:lang w:bidi="ar"/>
                <w14:textFill>
                  <w14:solidFill>
                    <w14:schemeClr w14:val="tx1"/>
                  </w14:solidFill>
                </w14:textFill>
              </w:rPr>
              <w:t>管理规范</w:t>
            </w:r>
          </w:p>
        </w:tc>
        <w:tc>
          <w:tcPr>
            <w:tcW w:w="379" w:type="dxa"/>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数据目录编制</w:t>
            </w: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数据目录编制</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制定数据目录编制</w:t>
            </w:r>
          </w:p>
        </w:tc>
        <w:tc>
          <w:tcPr>
            <w:tcW w:w="379" w:type="dxa"/>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ascii="宋体" w:hAnsi="宋体" w:cs="宋体"/>
                <w:color w:val="000000" w:themeColor="text1"/>
                <w:kern w:val="0"/>
                <w:szCs w:val="21"/>
                <w:highlight w:val="none"/>
                <w:lang w:bidi="ar"/>
                <w14:textFill>
                  <w14:solidFill>
                    <w14:schemeClr w14:val="tx1"/>
                  </w14:solidFill>
                </w14:textFill>
              </w:rPr>
              <w:t>1</w:t>
            </w:r>
          </w:p>
        </w:tc>
        <w:tc>
          <w:tcPr>
            <w:tcW w:w="368" w:type="dxa"/>
          </w:tcPr>
          <w:p>
            <w:pP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restart"/>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数据采集服务</w:t>
            </w:r>
          </w:p>
        </w:tc>
        <w:tc>
          <w:tcPr>
            <w:tcW w:w="1182" w:type="dxa"/>
            <w:vMerge w:val="restart"/>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采集相关数据</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农业自然资源库数据采集</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1182" w:type="dxa"/>
            <w:vMerge w:val="continue"/>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主体人才库数据采集</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1182" w:type="dxa"/>
            <w:vMerge w:val="continue"/>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农机库数据采集</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1182" w:type="dxa"/>
            <w:vMerge w:val="continue"/>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农资库数据采集</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1182" w:type="dxa"/>
            <w:vMerge w:val="continue"/>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产业库数据采集</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1182" w:type="dxa"/>
            <w:vMerge w:val="continue"/>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乡村治理库数据采集</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1182" w:type="dxa"/>
            <w:vMerge w:val="continue"/>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公共服务库数据采集</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1182" w:type="dxa"/>
            <w:vMerge w:val="continue"/>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第三方数据采集</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涉农信息系统采集</w:t>
            </w:r>
          </w:p>
        </w:tc>
        <w:tc>
          <w:tcPr>
            <w:tcW w:w="6363" w:type="dxa"/>
            <w:vAlign w:val="center"/>
          </w:tcPr>
          <w:p>
            <w:pPr>
              <w:widowControl/>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涉农信息系统采集</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w:t>
            </w:r>
            <w:r>
              <w:rPr>
                <w:rFonts w:ascii="宋体" w:hAnsi="宋体" w:cs="宋体"/>
                <w:color w:val="000000" w:themeColor="text1"/>
                <w:kern w:val="0"/>
                <w:szCs w:val="21"/>
                <w:highlight w:val="none"/>
                <w:lang w:bidi="ar"/>
                <w14:textFill>
                  <w14:solidFill>
                    <w14:schemeClr w14:val="tx1"/>
                  </w14:solidFill>
                </w14:textFill>
              </w:rPr>
              <w:t>7</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restart"/>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相关培训服务</w:t>
            </w: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培训体系</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制定项目培训体系</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培训管理</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制定项目培训管理</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目标与方法</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确定培训目标与方法</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 w:hRule="atLeast"/>
          <w:jc w:val="center"/>
        </w:trPr>
        <w:tc>
          <w:tcPr>
            <w:tcW w:w="459" w:type="dxa"/>
            <w:vMerge w:val="continue"/>
          </w:tcPr>
          <w:p>
            <w:pPr>
              <w:widowControl/>
              <w:jc w:val="center"/>
              <w:rPr>
                <w:rFonts w:ascii="宋体" w:hAnsi="宋体" w:cs="宋体"/>
                <w:color w:val="000000" w:themeColor="text1"/>
                <w:kern w:val="0"/>
                <w:szCs w:val="21"/>
                <w:highlight w:val="none"/>
                <w:lang w:bidi="ar"/>
                <w14:textFill>
                  <w14:solidFill>
                    <w14:schemeClr w14:val="tx1"/>
                  </w14:solidFill>
                </w14:textFill>
              </w:rPr>
            </w:pPr>
          </w:p>
        </w:tc>
        <w:tc>
          <w:tcPr>
            <w:tcW w:w="788" w:type="dxa"/>
            <w:vMerge w:val="continue"/>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1182"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培训安排</w:t>
            </w:r>
          </w:p>
        </w:tc>
        <w:tc>
          <w:tcPr>
            <w:tcW w:w="6363" w:type="dxa"/>
            <w:vAlign w:val="center"/>
          </w:tcPr>
          <w:p>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项目培训安排</w:t>
            </w:r>
          </w:p>
        </w:tc>
        <w:tc>
          <w:tcPr>
            <w:tcW w:w="379"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p>
        </w:tc>
        <w:tc>
          <w:tcPr>
            <w:tcW w:w="368" w:type="dxa"/>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w:t>
            </w:r>
          </w:p>
        </w:tc>
      </w:tr>
    </w:tbl>
    <w:p>
      <w:pPr>
        <w:rPr>
          <w:rFonts w:ascii="宋体" w:hAnsi="宋体" w:cs="宋体"/>
          <w:bCs/>
          <w:color w:val="000000" w:themeColor="text1"/>
          <w:szCs w:val="21"/>
          <w:highlight w:val="none"/>
          <w:lang w:eastAsia="zh-Hans"/>
          <w14:textFill>
            <w14:solidFill>
              <w14:schemeClr w14:val="tx1"/>
            </w14:solidFill>
          </w14:textFill>
        </w:rPr>
      </w:pPr>
      <w:bookmarkStart w:id="301" w:name="_Toc925927146"/>
    </w:p>
    <w:p>
      <w:pPr>
        <w:pStyle w:val="7"/>
        <w:pageBreakBefore/>
        <w:adjustRightInd w:val="0"/>
        <w:snapToGrid w:val="0"/>
        <w:spacing w:before="0" w:after="0" w:line="560" w:lineRule="exact"/>
        <w:rPr>
          <w:b w:val="0"/>
          <w:bCs w:val="0"/>
          <w:color w:val="000000" w:themeColor="text1"/>
          <w:highlight w:val="none"/>
          <w:lang w:eastAsia="zh-Hans"/>
          <w14:textFill>
            <w14:solidFill>
              <w14:schemeClr w14:val="tx1"/>
            </w14:solidFill>
          </w14:textFill>
        </w:rPr>
      </w:pPr>
      <w:bookmarkStart w:id="302" w:name="_Toc998097230"/>
      <w:bookmarkStart w:id="303" w:name="_Toc273534898"/>
      <w:r>
        <w:rPr>
          <w:rFonts w:hint="eastAsia"/>
          <w:b w:val="0"/>
          <w:bCs w:val="0"/>
          <w:color w:val="000000" w:themeColor="text1"/>
          <w:highlight w:val="none"/>
          <w:lang w:eastAsia="zh-Hans"/>
          <w14:textFill>
            <w14:solidFill>
              <w14:schemeClr w14:val="tx1"/>
            </w14:solidFill>
          </w14:textFill>
        </w:rPr>
        <w:t>四、</w:t>
      </w:r>
      <w:bookmarkEnd w:id="301"/>
      <w:bookmarkEnd w:id="302"/>
      <w:bookmarkEnd w:id="303"/>
      <w:r>
        <w:rPr>
          <w:rFonts w:hint="eastAsia"/>
          <w:b w:val="0"/>
          <w:bCs w:val="0"/>
          <w:color w:val="000000" w:themeColor="text1"/>
          <w:highlight w:val="none"/>
          <w:lang w:eastAsia="zh-Hans"/>
          <w14:textFill>
            <w14:solidFill>
              <w14:schemeClr w14:val="tx1"/>
            </w14:solidFill>
          </w14:textFill>
        </w:rPr>
        <w:t>工期要求</w:t>
      </w:r>
    </w:p>
    <w:p>
      <w:pPr>
        <w:pStyle w:val="17"/>
        <w:spacing w:line="440" w:lineRule="exact"/>
        <w:ind w:firstLine="416" w:firstLineChars="197"/>
        <w:rPr>
          <w:rFonts w:ascii="宋体" w:hAnsi="宋体" w:eastAsia="宋体" w:cs="宋体"/>
          <w:bCs/>
          <w:color w:val="000000" w:themeColor="text1"/>
          <w:sz w:val="21"/>
          <w:szCs w:val="21"/>
          <w:highlight w:val="none"/>
          <w:lang w:val="en-US" w:eastAsia="zh-Hans"/>
          <w14:textFill>
            <w14:solidFill>
              <w14:schemeClr w14:val="tx1"/>
            </w14:solidFill>
          </w14:textFill>
        </w:rPr>
      </w:pPr>
      <w:bookmarkStart w:id="304" w:name="t38"/>
      <w:bookmarkEnd w:id="304"/>
      <w:r>
        <w:rPr>
          <w:rFonts w:hint="eastAsia" w:ascii="宋体" w:hAnsi="宋体" w:eastAsia="宋体" w:cs="宋体"/>
          <w:color w:val="000000" w:themeColor="text1"/>
          <w:sz w:val="21"/>
          <w:szCs w:val="21"/>
          <w:highlight w:val="none"/>
          <w14:textFill>
            <w14:solidFill>
              <w14:schemeClr w14:val="tx1"/>
            </w14:solidFill>
          </w14:textFill>
        </w:rPr>
        <w:t>中标单位在1年内完成项目需求调研、平台开发、系统平台培训、前期基础数据录入、试运行、项目验收等相关工作（从合同签订之日算起）</w:t>
      </w:r>
      <w:r>
        <w:rPr>
          <w:rFonts w:hint="eastAsia" w:ascii="宋体" w:hAnsi="宋体" w:eastAsia="宋体" w:cs="宋体"/>
          <w:bCs/>
          <w:color w:val="000000" w:themeColor="text1"/>
          <w:sz w:val="21"/>
          <w:szCs w:val="21"/>
          <w:highlight w:val="none"/>
          <w:lang w:val="en-US"/>
          <w14:textFill>
            <w14:solidFill>
              <w14:schemeClr w14:val="tx1"/>
            </w14:solidFill>
          </w14:textFill>
        </w:rPr>
        <w:t>。</w:t>
      </w:r>
    </w:p>
    <w:p>
      <w:pPr>
        <w:pStyle w:val="7"/>
        <w:adjustRightInd w:val="0"/>
        <w:snapToGrid w:val="0"/>
        <w:spacing w:before="0" w:after="0" w:line="560" w:lineRule="exact"/>
        <w:rPr>
          <w:b w:val="0"/>
          <w:bCs w:val="0"/>
          <w:color w:val="000000" w:themeColor="text1"/>
          <w:highlight w:val="none"/>
          <w:lang w:eastAsia="zh-Hans"/>
          <w14:textFill>
            <w14:solidFill>
              <w14:schemeClr w14:val="tx1"/>
            </w14:solidFill>
          </w14:textFill>
        </w:rPr>
      </w:pPr>
      <w:bookmarkStart w:id="305" w:name="_Toc766911181"/>
      <w:bookmarkStart w:id="306" w:name="_Toc1908720892"/>
      <w:bookmarkStart w:id="307" w:name="_Toc1087986115"/>
      <w:r>
        <w:rPr>
          <w:rFonts w:hint="eastAsia"/>
          <w:b w:val="0"/>
          <w:bCs w:val="0"/>
          <w:color w:val="000000" w:themeColor="text1"/>
          <w:highlight w:val="none"/>
          <w:lang w:eastAsia="zh-Hans"/>
          <w14:textFill>
            <w14:solidFill>
              <w14:schemeClr w14:val="tx1"/>
            </w14:solidFill>
          </w14:textFill>
        </w:rPr>
        <w:t>五、运维服务要求</w:t>
      </w:r>
      <w:bookmarkEnd w:id="305"/>
      <w:bookmarkEnd w:id="306"/>
      <w:bookmarkEnd w:id="307"/>
    </w:p>
    <w:p>
      <w:pPr>
        <w:pStyle w:val="17"/>
        <w:spacing w:line="440" w:lineRule="exact"/>
        <w:ind w:firstLine="416" w:firstLineChars="197"/>
        <w:rPr>
          <w:color w:val="000000" w:themeColor="text1"/>
          <w:highlight w:val="none"/>
          <w:lang w:val="en-US" w:eastAsia="zh-Hans"/>
          <w14:textFill>
            <w14:solidFill>
              <w14:schemeClr w14:val="tx1"/>
            </w14:solidFill>
          </w14:textFill>
        </w:rPr>
      </w:pPr>
      <w:r>
        <w:rPr>
          <w:rFonts w:hint="eastAsia" w:ascii="宋体" w:hAnsi="宋体" w:eastAsia="宋体" w:cs="宋体"/>
          <w:bCs/>
          <w:color w:val="000000" w:themeColor="text1"/>
          <w:sz w:val="21"/>
          <w:szCs w:val="21"/>
          <w:highlight w:val="none"/>
          <w:lang w:val="en-US" w:eastAsia="zh-Hans"/>
          <w14:textFill>
            <w14:solidFill>
              <w14:schemeClr w14:val="tx1"/>
            </w14:solidFill>
          </w14:textFill>
        </w:rPr>
        <w:t>项目提供运维服务</w:t>
      </w:r>
      <w:r>
        <w:rPr>
          <w:rFonts w:ascii="宋体" w:hAnsi="宋体" w:eastAsia="宋体" w:cs="宋体"/>
          <w:bCs/>
          <w:color w:val="000000" w:themeColor="text1"/>
          <w:sz w:val="21"/>
          <w:szCs w:val="21"/>
          <w:highlight w:val="none"/>
          <w:lang w:eastAsia="zh-Hans"/>
          <w14:textFill>
            <w14:solidFill>
              <w14:schemeClr w14:val="tx1"/>
            </w14:solidFill>
          </w14:textFill>
        </w:rPr>
        <w:t>3</w:t>
      </w:r>
      <w:r>
        <w:rPr>
          <w:rFonts w:hint="eastAsia" w:ascii="宋体" w:hAnsi="宋体" w:eastAsia="宋体" w:cs="宋体"/>
          <w:bCs/>
          <w:color w:val="000000" w:themeColor="text1"/>
          <w:sz w:val="21"/>
          <w:szCs w:val="21"/>
          <w:highlight w:val="none"/>
          <w:lang w:val="en-US" w:eastAsia="zh-Hans"/>
          <w14:textFill>
            <w14:solidFill>
              <w14:schemeClr w14:val="tx1"/>
            </w14:solidFill>
          </w14:textFill>
        </w:rPr>
        <w:t>年。实现</w:t>
      </w:r>
      <w:r>
        <w:rPr>
          <w:rFonts w:ascii="宋体" w:hAnsi="宋体" w:eastAsia="宋体" w:cs="宋体"/>
          <w:bCs/>
          <w:color w:val="000000" w:themeColor="text1"/>
          <w:sz w:val="21"/>
          <w:szCs w:val="21"/>
          <w:highlight w:val="none"/>
          <w:lang w:val="en-US" w:eastAsia="zh-Hans"/>
          <w14:textFill>
            <w14:solidFill>
              <w14:schemeClr w14:val="tx1"/>
            </w14:solidFill>
          </w14:textFill>
        </w:rPr>
        <w:t>7x24</w:t>
      </w:r>
      <w:r>
        <w:rPr>
          <w:rFonts w:hint="eastAsia" w:ascii="宋体" w:hAnsi="宋体" w:eastAsia="宋体" w:cs="宋体"/>
          <w:bCs/>
          <w:color w:val="000000" w:themeColor="text1"/>
          <w:sz w:val="21"/>
          <w:szCs w:val="21"/>
          <w:highlight w:val="none"/>
          <w:lang w:val="en-US" w:eastAsia="zh-Hans"/>
          <w14:textFill>
            <w14:solidFill>
              <w14:schemeClr w14:val="tx1"/>
            </w14:solidFill>
          </w14:textFill>
        </w:rPr>
        <w:t>小时的实施故障响应，具体响应时间通常为</w:t>
      </w:r>
      <w:r>
        <w:rPr>
          <w:rFonts w:ascii="宋体" w:hAnsi="宋体" w:eastAsia="宋体" w:cs="宋体"/>
          <w:bCs/>
          <w:color w:val="000000" w:themeColor="text1"/>
          <w:sz w:val="21"/>
          <w:szCs w:val="21"/>
          <w:highlight w:val="none"/>
          <w:lang w:val="en-US" w:eastAsia="zh-Hans"/>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Hans"/>
          <w14:textFill>
            <w14:solidFill>
              <w14:schemeClr w14:val="tx1"/>
            </w14:solidFill>
          </w14:textFill>
        </w:rPr>
        <w:t>小时响应。故障修复时间根据业主单位设备所在地确定。在接到报修通知后，服务工程师在</w:t>
      </w:r>
      <w:r>
        <w:rPr>
          <w:rFonts w:ascii="宋体" w:hAnsi="宋体" w:eastAsia="宋体" w:cs="宋体"/>
          <w:bCs/>
          <w:color w:val="000000" w:themeColor="text1"/>
          <w:sz w:val="21"/>
          <w:szCs w:val="21"/>
          <w:highlight w:val="none"/>
          <w:lang w:val="en-US" w:eastAsia="zh-Hans"/>
          <w14:textFill>
            <w14:solidFill>
              <w14:schemeClr w14:val="tx1"/>
            </w14:solidFill>
          </w14:textFill>
        </w:rPr>
        <w:t>12</w:t>
      </w:r>
      <w:r>
        <w:rPr>
          <w:rFonts w:hint="eastAsia" w:ascii="宋体" w:hAnsi="宋体" w:eastAsia="宋体" w:cs="宋体"/>
          <w:bCs/>
          <w:color w:val="000000" w:themeColor="text1"/>
          <w:sz w:val="21"/>
          <w:szCs w:val="21"/>
          <w:highlight w:val="none"/>
          <w:lang w:val="en-US" w:eastAsia="zh-Hans"/>
          <w14:textFill>
            <w14:solidFill>
              <w14:schemeClr w14:val="tx1"/>
            </w14:solidFill>
          </w14:textFill>
        </w:rPr>
        <w:t>小时内赶到现场，查找原因，提出解决方案，并工作直至故障修复完全恢复正常服务为止，修复时间应不超过</w:t>
      </w:r>
      <w:r>
        <w:rPr>
          <w:rFonts w:ascii="宋体" w:hAnsi="宋体" w:eastAsia="宋体" w:cs="宋体"/>
          <w:bCs/>
          <w:color w:val="000000" w:themeColor="text1"/>
          <w:sz w:val="21"/>
          <w:szCs w:val="21"/>
          <w:highlight w:val="none"/>
          <w:lang w:val="en-US" w:eastAsia="zh-Hans"/>
          <w14:textFill>
            <w14:solidFill>
              <w14:schemeClr w14:val="tx1"/>
            </w14:solidFill>
          </w14:textFill>
        </w:rPr>
        <w:t>48</w:t>
      </w:r>
      <w:r>
        <w:rPr>
          <w:rFonts w:hint="eastAsia" w:ascii="宋体" w:hAnsi="宋体" w:eastAsia="宋体" w:cs="宋体"/>
          <w:bCs/>
          <w:color w:val="000000" w:themeColor="text1"/>
          <w:sz w:val="21"/>
          <w:szCs w:val="21"/>
          <w:highlight w:val="none"/>
          <w:lang w:val="en-US" w:eastAsia="zh-Hans"/>
          <w14:textFill>
            <w14:solidFill>
              <w14:schemeClr w14:val="tx1"/>
            </w14:solidFill>
          </w14:textFill>
        </w:rPr>
        <w:t>个小时。</w:t>
      </w:r>
    </w:p>
    <w:p>
      <w:pPr>
        <w:pStyle w:val="17"/>
        <w:spacing w:line="440" w:lineRule="exact"/>
        <w:ind w:firstLine="416" w:firstLineChars="197"/>
        <w:rPr>
          <w:rFonts w:ascii="宋体" w:hAnsi="宋体" w:eastAsia="宋体" w:cs="宋体"/>
          <w:bCs/>
          <w:color w:val="000000" w:themeColor="text1"/>
          <w:sz w:val="21"/>
          <w:szCs w:val="21"/>
          <w:highlight w:val="none"/>
          <w:lang w:val="en-US" w:eastAsia="zh-Hans"/>
          <w14:textFill>
            <w14:solidFill>
              <w14:schemeClr w14:val="tx1"/>
            </w14:solidFill>
          </w14:textFill>
        </w:rPr>
      </w:pPr>
      <w:r>
        <w:rPr>
          <w:rFonts w:hint="eastAsia" w:ascii="宋体" w:hAnsi="宋体" w:eastAsia="宋体" w:cs="宋体"/>
          <w:bCs/>
          <w:color w:val="000000" w:themeColor="text1"/>
          <w:sz w:val="21"/>
          <w:szCs w:val="21"/>
          <w:highlight w:val="none"/>
          <w:lang w:val="en-US" w:eastAsia="zh-Hans"/>
          <w14:textFill>
            <w14:solidFill>
              <w14:schemeClr w14:val="tx1"/>
            </w14:solidFill>
          </w14:textFill>
        </w:rPr>
        <w:t>每年提供不少于</w:t>
      </w:r>
      <w:r>
        <w:rPr>
          <w:rFonts w:ascii="宋体" w:hAnsi="宋体" w:eastAsia="宋体" w:cs="宋体"/>
          <w:bCs/>
          <w:color w:val="000000" w:themeColor="text1"/>
          <w:sz w:val="21"/>
          <w:szCs w:val="21"/>
          <w:highlight w:val="none"/>
          <w:lang w:val="en-US" w:eastAsia="zh-Hans"/>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Hans"/>
          <w14:textFill>
            <w14:solidFill>
              <w14:schemeClr w14:val="tx1"/>
            </w14:solidFill>
          </w14:textFill>
        </w:rPr>
        <w:t>人的运维服务，运维服务工作包括平台系统运维规范的制定、平台稳定性保障、平台运行监控、平台安全保障、平台权限管理</w:t>
      </w:r>
      <w:r>
        <w:rPr>
          <w:rFonts w:hint="eastAsia" w:ascii="宋体" w:hAnsi="宋体" w:eastAsia="宋体" w:cs="宋体"/>
          <w:bCs/>
          <w:color w:val="000000" w:themeColor="text1"/>
          <w:sz w:val="21"/>
          <w:szCs w:val="21"/>
          <w:highlight w:val="none"/>
          <w:lang w:val="en-US"/>
          <w14:textFill>
            <w14:solidFill>
              <w14:schemeClr w14:val="tx1"/>
            </w14:solidFill>
          </w14:textFill>
        </w:rPr>
        <w:t>、</w:t>
      </w:r>
      <w:r>
        <w:rPr>
          <w:rFonts w:hint="eastAsia" w:ascii="宋体" w:hAnsi="宋体" w:eastAsia="宋体" w:cs="宋体"/>
          <w:bCs/>
          <w:color w:val="000000" w:themeColor="text1"/>
          <w:sz w:val="21"/>
          <w:szCs w:val="21"/>
          <w:highlight w:val="none"/>
          <w:lang w:val="en-US" w:eastAsia="zh-Hans"/>
          <w14:textFill>
            <w14:solidFill>
              <w14:schemeClr w14:val="tx1"/>
            </w14:solidFill>
          </w14:textFill>
        </w:rPr>
        <w:t>每年进行等保</w:t>
      </w:r>
      <w:r>
        <w:rPr>
          <w:rFonts w:ascii="宋体" w:hAnsi="宋体" w:eastAsia="宋体" w:cs="宋体"/>
          <w:bCs/>
          <w:color w:val="000000" w:themeColor="text1"/>
          <w:sz w:val="21"/>
          <w:szCs w:val="21"/>
          <w:highlight w:val="none"/>
          <w:lang w:val="en-US" w:eastAsia="zh-Hans"/>
          <w14:textFill>
            <w14:solidFill>
              <w14:schemeClr w14:val="tx1"/>
            </w14:solidFill>
          </w14:textFill>
        </w:rPr>
        <w:t>2.0</w:t>
      </w:r>
      <w:r>
        <w:rPr>
          <w:rFonts w:hint="eastAsia" w:ascii="宋体" w:hAnsi="宋体" w:eastAsia="宋体" w:cs="宋体"/>
          <w:bCs/>
          <w:color w:val="000000" w:themeColor="text1"/>
          <w:sz w:val="21"/>
          <w:szCs w:val="21"/>
          <w:highlight w:val="none"/>
          <w:lang w:val="en-US" w:eastAsia="zh-Hans"/>
          <w14:textFill>
            <w14:solidFill>
              <w14:schemeClr w14:val="tx1"/>
            </w14:solidFill>
          </w14:textFill>
        </w:rPr>
        <w:t>评测等内容。</w:t>
      </w:r>
    </w:p>
    <w:p>
      <w:pPr>
        <w:pStyle w:val="38"/>
        <w:ind w:firstLine="0"/>
        <w:rPr>
          <w:color w:val="000000" w:themeColor="text1"/>
          <w:highlight w:val="none"/>
          <w:lang w:eastAsia="zh-Hans"/>
          <w14:textFill>
            <w14:solidFill>
              <w14:schemeClr w14:val="tx1"/>
            </w14:solidFill>
          </w14:textFill>
        </w:rPr>
      </w:pPr>
    </w:p>
    <w:p>
      <w:pPr>
        <w:rPr>
          <w:color w:val="000000" w:themeColor="text1"/>
          <w:highlight w:val="none"/>
          <w:lang w:eastAsia="zh-Hans"/>
          <w14:textFill>
            <w14:solidFill>
              <w14:schemeClr w14:val="tx1"/>
            </w14:solidFill>
          </w14:textFill>
        </w:rPr>
      </w:pPr>
    </w:p>
    <w:p>
      <w:pPr>
        <w:pStyle w:val="4"/>
        <w:pageBreakBefore/>
        <w:spacing w:line="579" w:lineRule="auto"/>
        <w:jc w:val="center"/>
        <w:rPr>
          <w:color w:val="000000" w:themeColor="text1"/>
          <w:sz w:val="32"/>
          <w:szCs w:val="32"/>
          <w:highlight w:val="none"/>
          <w:lang w:val="zh-CN"/>
          <w14:textFill>
            <w14:solidFill>
              <w14:schemeClr w14:val="tx1"/>
            </w14:solidFill>
          </w14:textFill>
        </w:rPr>
      </w:pPr>
      <w:bookmarkStart w:id="308" w:name="_Toc512671688"/>
      <w:bookmarkStart w:id="309" w:name="_Toc381553776"/>
      <w:bookmarkStart w:id="310" w:name="_Toc54798361"/>
      <w:r>
        <w:rPr>
          <w:rFonts w:hint="eastAsia"/>
          <w:color w:val="000000" w:themeColor="text1"/>
          <w:sz w:val="32"/>
          <w:szCs w:val="32"/>
          <w:highlight w:val="none"/>
          <w:lang w:val="zh-CN"/>
          <w14:textFill>
            <w14:solidFill>
              <w14:schemeClr w14:val="tx1"/>
            </w14:solidFill>
          </w14:textFill>
        </w:rPr>
        <w:t>第四章</w:t>
      </w:r>
      <w:r>
        <w:rPr>
          <w:color w:val="000000" w:themeColor="text1"/>
          <w:sz w:val="32"/>
          <w:szCs w:val="32"/>
          <w:highlight w:val="none"/>
          <w:lang w:val="zh-CN"/>
          <w14:textFill>
            <w14:solidFill>
              <w14:schemeClr w14:val="tx1"/>
            </w14:solidFill>
          </w14:textFill>
        </w:rPr>
        <w:t xml:space="preserve"> </w:t>
      </w:r>
      <w:r>
        <w:rPr>
          <w:rFonts w:hint="eastAsia"/>
          <w:color w:val="000000" w:themeColor="text1"/>
          <w:sz w:val="32"/>
          <w:szCs w:val="32"/>
          <w:highlight w:val="none"/>
          <w:lang w:val="zh-CN"/>
          <w14:textFill>
            <w14:solidFill>
              <w14:schemeClr w14:val="tx1"/>
            </w14:solidFill>
          </w14:textFill>
        </w:rPr>
        <w:t>评标办法</w:t>
      </w:r>
      <w:bookmarkEnd w:id="308"/>
      <w:bookmarkEnd w:id="309"/>
      <w:bookmarkEnd w:id="310"/>
    </w:p>
    <w:p>
      <w:pPr>
        <w:snapToGrid w:val="0"/>
        <w:spacing w:line="360" w:lineRule="auto"/>
        <w:ind w:firstLine="42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为公正、公平、科学地选择中标人，根据《中华人民共和国政府采购法》等有关法律法规的规定，并结合本项目的实际，制定本办法。</w:t>
      </w:r>
    </w:p>
    <w:p>
      <w:pPr>
        <w:spacing w:line="400" w:lineRule="exact"/>
        <w:ind w:firstLine="424"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评标办法</w:t>
      </w:r>
    </w:p>
    <w:p>
      <w:pPr>
        <w:spacing w:line="44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本次招标的评标办法采用百分制综合评估法。根据本项目招标文件的要求，按照本办法规定的内容和分值设置，其中：报价分</w:t>
      </w:r>
      <w:r>
        <w:rPr>
          <w:rFonts w:ascii="宋体" w:hAnsi="宋体" w:cs="宋体"/>
          <w:color w:val="000000" w:themeColor="text1"/>
          <w:szCs w:val="21"/>
          <w:highlight w:val="none"/>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分，资信、商务及技术分</w:t>
      </w:r>
      <w:r>
        <w:rPr>
          <w:rFonts w:ascii="宋体" w:hAnsi="宋体" w:cs="宋体"/>
          <w:color w:val="000000" w:themeColor="text1"/>
          <w:szCs w:val="21"/>
          <w:highlight w:val="none"/>
          <w14:textFill>
            <w14:solidFill>
              <w14:schemeClr w14:val="tx1"/>
            </w14:solidFill>
          </w14:textFill>
        </w:rPr>
        <w:t>85</w:t>
      </w:r>
      <w:r>
        <w:rPr>
          <w:rFonts w:hint="eastAsia" w:ascii="宋体" w:hAnsi="宋体" w:cs="宋体"/>
          <w:color w:val="000000" w:themeColor="text1"/>
          <w:szCs w:val="21"/>
          <w:highlight w:val="none"/>
          <w14:textFill>
            <w14:solidFill>
              <w14:schemeClr w14:val="tx1"/>
            </w14:solidFill>
          </w14:textFill>
        </w:rPr>
        <w:t>分。对投标人的投标文件中的技术、资信、商务等内容进行评分，综合得分最高的投标人，将被推荐为中标候选人。</w:t>
      </w:r>
    </w:p>
    <w:p>
      <w:pPr>
        <w:pStyle w:val="87"/>
        <w:spacing w:before="0" w:line="420" w:lineRule="exact"/>
        <w:ind w:firstLine="530" w:firstLineChars="25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报价分</w:t>
      </w:r>
      <w:r>
        <w:rPr>
          <w:rFonts w:ascii="宋体" w:hAnsi="宋体" w:cs="宋体"/>
          <w:b/>
          <w:color w:val="000000" w:themeColor="text1"/>
          <w:sz w:val="21"/>
          <w:szCs w:val="21"/>
          <w:highlight w:val="none"/>
          <w14:textFill>
            <w14:solidFill>
              <w14:schemeClr w14:val="tx1"/>
            </w14:solidFill>
          </w14:textFill>
        </w:rPr>
        <w:t>15</w:t>
      </w:r>
      <w:r>
        <w:rPr>
          <w:rFonts w:hint="eastAsia" w:ascii="宋体" w:hAnsi="宋体" w:cs="宋体"/>
          <w:b/>
          <w:color w:val="000000" w:themeColor="text1"/>
          <w:sz w:val="21"/>
          <w:szCs w:val="21"/>
          <w:highlight w:val="none"/>
          <w14:textFill>
            <w14:solidFill>
              <w14:schemeClr w14:val="tx1"/>
            </w14:solidFill>
          </w14:textFill>
        </w:rPr>
        <w:t>分</w:t>
      </w:r>
    </w:p>
    <w:p>
      <w:pPr>
        <w:pStyle w:val="87"/>
        <w:spacing w:before="0" w:line="420" w:lineRule="exact"/>
        <w:ind w:firstLine="530" w:firstLineChars="2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投标价格的合理性：分析投标价格是否合理，投标价格范围是否完整，有否重大错漏项。投标价格分计算方法：满足招标文件要求</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在合理范围内，且投标价格最低的投标报价为评标基准价，其价格分为</w:t>
      </w:r>
      <w:r>
        <w:rPr>
          <w:rFonts w:ascii="宋体" w:hAnsi="宋体"/>
          <w:color w:val="000000" w:themeColor="text1"/>
          <w:sz w:val="21"/>
          <w:szCs w:val="21"/>
          <w:highlight w:val="none"/>
          <w14:textFill>
            <w14:solidFill>
              <w14:schemeClr w14:val="tx1"/>
            </w14:solidFill>
          </w14:textFill>
        </w:rPr>
        <w:t>15</w:t>
      </w:r>
      <w:r>
        <w:rPr>
          <w:rFonts w:hint="eastAsia" w:ascii="宋体" w:hAnsi="宋体"/>
          <w:color w:val="000000" w:themeColor="text1"/>
          <w:sz w:val="21"/>
          <w:szCs w:val="21"/>
          <w:highlight w:val="none"/>
          <w14:textFill>
            <w14:solidFill>
              <w14:schemeClr w14:val="tx1"/>
            </w14:solidFill>
          </w14:textFill>
        </w:rPr>
        <w:t>分。计算公式：投标报价得分</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评标基准价／投标报价</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15</w:t>
      </w:r>
      <w:r>
        <w:rPr>
          <w:rFonts w:hint="eastAsia" w:ascii="宋体" w:hAnsi="宋体"/>
          <w:color w:val="000000" w:themeColor="text1"/>
          <w:sz w:val="21"/>
          <w:szCs w:val="21"/>
          <w:highlight w:val="none"/>
          <w14:textFill>
            <w14:solidFill>
              <w14:schemeClr w14:val="tx1"/>
            </w14:solidFill>
          </w14:textFill>
        </w:rPr>
        <w:t>（精确到小数点后二位）。</w:t>
      </w:r>
    </w:p>
    <w:p>
      <w:pPr>
        <w:spacing w:line="440" w:lineRule="exact"/>
        <w:ind w:firstLine="424"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参照《政府采购促进中小企业发展暂行办法》（财库</w:t>
      </w:r>
      <w:r>
        <w:rPr>
          <w:rFonts w:ascii="宋体" w:hAnsi="宋体"/>
          <w:b/>
          <w:bCs/>
          <w:color w:val="000000" w:themeColor="text1"/>
          <w:szCs w:val="21"/>
          <w:highlight w:val="none"/>
          <w14:textFill>
            <w14:solidFill>
              <w14:schemeClr w14:val="tx1"/>
            </w14:solidFill>
          </w14:textFill>
        </w:rPr>
        <w:t xml:space="preserve">[2011]181 </w:t>
      </w:r>
      <w:r>
        <w:rPr>
          <w:rFonts w:hint="eastAsia" w:ascii="宋体" w:hAnsi="宋体"/>
          <w:b/>
          <w:bCs/>
          <w:color w:val="000000" w:themeColor="text1"/>
          <w:szCs w:val="21"/>
          <w:highlight w:val="none"/>
          <w14:textFill>
            <w14:solidFill>
              <w14:schemeClr w14:val="tx1"/>
            </w14:solidFill>
          </w14:textFill>
        </w:rPr>
        <w:t>号）、《财政部、司法部关于政府采购支持监狱企业发展有关问题的通知》（财库〔</w:t>
      </w:r>
      <w:r>
        <w:rPr>
          <w:rFonts w:ascii="宋体" w:hAnsi="宋体"/>
          <w:b/>
          <w:bCs/>
          <w:color w:val="000000" w:themeColor="text1"/>
          <w:szCs w:val="21"/>
          <w:highlight w:val="none"/>
          <w14:textFill>
            <w14:solidFill>
              <w14:schemeClr w14:val="tx1"/>
            </w14:solidFill>
          </w14:textFill>
        </w:rPr>
        <w:t>2014</w:t>
      </w:r>
      <w:r>
        <w:rPr>
          <w:rFonts w:hint="eastAsia" w:ascii="宋体" w:hAnsi="宋体"/>
          <w:b/>
          <w:bCs/>
          <w:color w:val="000000" w:themeColor="text1"/>
          <w:szCs w:val="21"/>
          <w:highlight w:val="none"/>
          <w14:textFill>
            <w14:solidFill>
              <w14:schemeClr w14:val="tx1"/>
            </w14:solidFill>
          </w14:textFill>
        </w:rPr>
        <w:t>〕</w:t>
      </w:r>
      <w:r>
        <w:rPr>
          <w:rFonts w:ascii="宋体" w:hAnsi="宋体"/>
          <w:b/>
          <w:bCs/>
          <w:color w:val="000000" w:themeColor="text1"/>
          <w:szCs w:val="21"/>
          <w:highlight w:val="none"/>
          <w14:textFill>
            <w14:solidFill>
              <w14:schemeClr w14:val="tx1"/>
            </w14:solidFill>
          </w14:textFill>
        </w:rPr>
        <w:t>68</w:t>
      </w:r>
      <w:r>
        <w:rPr>
          <w:rFonts w:hint="eastAsia" w:ascii="宋体" w:hAnsi="宋体"/>
          <w:b/>
          <w:bCs/>
          <w:color w:val="000000" w:themeColor="text1"/>
          <w:szCs w:val="21"/>
          <w:highlight w:val="none"/>
          <w14:textFill>
            <w14:solidFill>
              <w14:schemeClr w14:val="tx1"/>
            </w14:solidFill>
          </w14:textFill>
        </w:rPr>
        <w:t>号）及《关于促进残疾人就业政府采购政策的通知》（财库〔</w:t>
      </w:r>
      <w:r>
        <w:rPr>
          <w:rFonts w:ascii="宋体" w:hAnsi="宋体"/>
          <w:b/>
          <w:bCs/>
          <w:color w:val="000000" w:themeColor="text1"/>
          <w:szCs w:val="21"/>
          <w:highlight w:val="none"/>
          <w14:textFill>
            <w14:solidFill>
              <w14:schemeClr w14:val="tx1"/>
            </w14:solidFill>
          </w14:textFill>
        </w:rPr>
        <w:t>2017</w:t>
      </w:r>
      <w:r>
        <w:rPr>
          <w:rFonts w:hint="eastAsia" w:ascii="宋体" w:hAnsi="宋体"/>
          <w:b/>
          <w:bCs/>
          <w:color w:val="000000" w:themeColor="text1"/>
          <w:szCs w:val="21"/>
          <w:highlight w:val="none"/>
          <w14:textFill>
            <w14:solidFill>
              <w14:schemeClr w14:val="tx1"/>
            </w14:solidFill>
          </w14:textFill>
        </w:rPr>
        <w:t>〕</w:t>
      </w:r>
      <w:r>
        <w:rPr>
          <w:rFonts w:ascii="宋体" w:hAnsi="宋体"/>
          <w:b/>
          <w:bCs/>
          <w:color w:val="000000" w:themeColor="text1"/>
          <w:szCs w:val="21"/>
          <w:highlight w:val="none"/>
          <w14:textFill>
            <w14:solidFill>
              <w14:schemeClr w14:val="tx1"/>
            </w14:solidFill>
          </w14:textFill>
        </w:rPr>
        <w:t>141</w:t>
      </w:r>
      <w:r>
        <w:rPr>
          <w:rFonts w:hint="eastAsia" w:ascii="宋体" w:hAnsi="宋体"/>
          <w:b/>
          <w:bCs/>
          <w:color w:val="000000" w:themeColor="text1"/>
          <w:szCs w:val="21"/>
          <w:highlight w:val="none"/>
          <w14:textFill>
            <w14:solidFill>
              <w14:schemeClr w14:val="tx1"/>
            </w14:solidFill>
          </w14:textFill>
        </w:rPr>
        <w:t>号）规定，本项目对小型和微型企业（含监狱企业、残疾人福利性企业）制造的产品的价格给予</w:t>
      </w:r>
      <w:r>
        <w:rPr>
          <w:rFonts w:ascii="宋体" w:hAnsi="宋体"/>
          <w:b/>
          <w:bCs/>
          <w:color w:val="000000" w:themeColor="text1"/>
          <w:szCs w:val="21"/>
          <w:highlight w:val="none"/>
          <w14:textFill>
            <w14:solidFill>
              <w14:schemeClr w14:val="tx1"/>
            </w14:solidFill>
          </w14:textFill>
        </w:rPr>
        <w:t>6%</w:t>
      </w:r>
      <w:r>
        <w:rPr>
          <w:rFonts w:hint="eastAsia" w:ascii="宋体" w:hAnsi="宋体"/>
          <w:b/>
          <w:bCs/>
          <w:color w:val="000000" w:themeColor="text1"/>
          <w:szCs w:val="21"/>
          <w:highlight w:val="none"/>
          <w14:textFill>
            <w14:solidFill>
              <w14:schemeClr w14:val="tx1"/>
            </w14:solidFill>
          </w14:textFill>
        </w:rPr>
        <w:t>的扣除，用扣除后的价格参与评审。小型、微型企业提供中型企业制造的货物的，视同中型企业）</w:t>
      </w:r>
    </w:p>
    <w:p>
      <w:pPr>
        <w:pStyle w:val="87"/>
        <w:tabs>
          <w:tab w:val="left" w:pos="4240"/>
        </w:tabs>
        <w:spacing w:before="0" w:line="400" w:lineRule="exact"/>
        <w:ind w:firstLine="530" w:firstLineChars="25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资信、商务及技术分（</w:t>
      </w:r>
      <w:r>
        <w:rPr>
          <w:rFonts w:ascii="宋体" w:hAnsi="宋体" w:cs="宋体"/>
          <w:b/>
          <w:color w:val="000000" w:themeColor="text1"/>
          <w:sz w:val="21"/>
          <w:szCs w:val="21"/>
          <w:highlight w:val="none"/>
          <w14:textFill>
            <w14:solidFill>
              <w14:schemeClr w14:val="tx1"/>
            </w14:solidFill>
          </w14:textFill>
        </w:rPr>
        <w:t>85</w:t>
      </w:r>
      <w:r>
        <w:rPr>
          <w:rFonts w:hint="eastAsia" w:ascii="宋体" w:hAnsi="宋体" w:cs="宋体"/>
          <w:b/>
          <w:color w:val="000000" w:themeColor="text1"/>
          <w:sz w:val="21"/>
          <w:szCs w:val="21"/>
          <w:highlight w:val="none"/>
          <w14:textFill>
            <w14:solidFill>
              <w14:schemeClr w14:val="tx1"/>
            </w14:solidFill>
          </w14:textFill>
        </w:rPr>
        <w:t>分）</w:t>
      </w:r>
    </w:p>
    <w:p>
      <w:pPr>
        <w:pStyle w:val="87"/>
        <w:tabs>
          <w:tab w:val="left" w:pos="4240"/>
        </w:tabs>
        <w:spacing w:before="0" w:line="400" w:lineRule="exact"/>
        <w:ind w:firstLine="530" w:firstLineChars="250"/>
        <w:rPr>
          <w:rFonts w:ascii="宋体" w:hAnsi="宋体" w:cs="宋体"/>
          <w:b/>
          <w:color w:val="000000" w:themeColor="text1"/>
          <w:sz w:val="21"/>
          <w:szCs w:val="21"/>
          <w:highlight w:val="none"/>
          <w14:textFill>
            <w14:solidFill>
              <w14:schemeClr w14:val="tx1"/>
            </w14:solidFill>
          </w14:textFill>
        </w:rPr>
      </w:pPr>
    </w:p>
    <w:tbl>
      <w:tblPr>
        <w:tblStyle w:val="39"/>
        <w:tblW w:w="9197"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531"/>
        <w:gridCol w:w="5686"/>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07" w:type="dxa"/>
            <w:vAlign w:val="center"/>
          </w:tcPr>
          <w:p>
            <w:pPr>
              <w:snapToGrid w:val="0"/>
              <w:jc w:val="center"/>
              <w:textAlignment w:val="baseline"/>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评分项目</w:t>
            </w:r>
          </w:p>
        </w:tc>
        <w:tc>
          <w:tcPr>
            <w:tcW w:w="1531" w:type="dxa"/>
            <w:vAlign w:val="center"/>
          </w:tcPr>
          <w:p>
            <w:pPr>
              <w:snapToGrid w:val="0"/>
              <w:jc w:val="center"/>
              <w:textAlignment w:val="baseline"/>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指标</w:t>
            </w:r>
          </w:p>
        </w:tc>
        <w:tc>
          <w:tcPr>
            <w:tcW w:w="5686" w:type="dxa"/>
            <w:vAlign w:val="center"/>
          </w:tcPr>
          <w:p>
            <w:pPr>
              <w:snapToGrid w:val="0"/>
              <w:jc w:val="center"/>
              <w:textAlignment w:val="baseline"/>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评标要点及说明</w:t>
            </w:r>
          </w:p>
        </w:tc>
        <w:tc>
          <w:tcPr>
            <w:tcW w:w="873" w:type="dxa"/>
            <w:vAlign w:val="center"/>
          </w:tcPr>
          <w:p>
            <w:pPr>
              <w:snapToGrid w:val="0"/>
              <w:jc w:val="center"/>
              <w:textAlignment w:val="baseline"/>
              <w:rPr>
                <w:rFonts w:ascii="宋体" w:hAnsi="宋体" w:cs="仿宋_GB2312"/>
                <w:b/>
                <w:color w:val="000000" w:themeColor="text1"/>
                <w:sz w:val="24"/>
                <w:highlight w:val="none"/>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restart"/>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商务部分</w:t>
            </w:r>
          </w:p>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23</w:t>
            </w:r>
            <w:r>
              <w:rPr>
                <w:rFonts w:hint="eastAsia" w:ascii="宋体" w:hAnsi="宋体" w:eastAsia="宋体" w:cs="宋体"/>
                <w:color w:val="000000" w:themeColor="text1"/>
                <w:sz w:val="21"/>
                <w:szCs w:val="21"/>
                <w:highlight w:val="none"/>
                <w:lang w:val="en-US"/>
                <w14:textFill>
                  <w14:solidFill>
                    <w14:schemeClr w14:val="tx1"/>
                  </w14:solidFill>
                </w14:textFill>
              </w:rPr>
              <w:t>分）</w:t>
            </w:r>
          </w:p>
        </w:tc>
        <w:tc>
          <w:tcPr>
            <w:tcW w:w="1531" w:type="dxa"/>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企业资质</w:t>
            </w:r>
          </w:p>
        </w:tc>
        <w:tc>
          <w:tcPr>
            <w:tcW w:w="5686" w:type="dxa"/>
            <w:vAlign w:val="center"/>
          </w:tcPr>
          <w:p>
            <w:pPr>
              <w:widowControl/>
              <w:jc w:val="left"/>
              <w:textAlignment w:val="center"/>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投标人具备质量管理体系认证、信息安全管理体系认证、信息技术服务管理体系认证证书，每提供一项得</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分，满分</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w:t>
            </w:r>
          </w:p>
          <w:p>
            <w:pPr>
              <w:pStyle w:val="3"/>
              <w:spacing w:after="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以上企业资质需提供相关证明材料原件彩色扫描件（若为联合体，联合体其中一方提供即可）</w:t>
            </w:r>
          </w:p>
        </w:tc>
        <w:tc>
          <w:tcPr>
            <w:tcW w:w="873" w:type="dxa"/>
            <w:vAlign w:val="center"/>
          </w:tcPr>
          <w:p>
            <w:pPr>
              <w:pStyle w:val="38"/>
              <w:autoSpaceDE/>
              <w:autoSpaceDN/>
              <w:adjustRightInd/>
              <w:spacing w:line="240" w:lineRule="auto"/>
              <w:ind w:firstLine="0"/>
              <w:jc w:val="center"/>
              <w:rPr>
                <w:rFonts w:ascii="宋体" w:hAnsi="宋体" w:eastAsia="宋体"/>
                <w:color w:val="000000" w:themeColor="text1"/>
                <w:sz w:val="21"/>
                <w:szCs w:val="21"/>
                <w:highlight w:val="none"/>
                <w:lang w:val="en-US" w:eastAsia="zh-Hans"/>
                <w14:textFill>
                  <w14:solidFill>
                    <w14:schemeClr w14:val="tx1"/>
                  </w14:solidFill>
                </w14:textFill>
              </w:rPr>
            </w:pPr>
            <w:r>
              <w:rPr>
                <w:rFonts w:ascii="宋体" w:hAnsi="宋体" w:eastAsia="宋体"/>
                <w:color w:val="000000" w:themeColor="text1"/>
                <w:sz w:val="21"/>
                <w:szCs w:val="21"/>
                <w:highlight w:val="none"/>
                <w14:textFill>
                  <w14:solidFill>
                    <w14:schemeClr w14:val="tx1"/>
                  </w14:solidFill>
                </w14:textFill>
              </w:rPr>
              <w:t>3</w:t>
            </w:r>
            <w:r>
              <w:rPr>
                <w:rFonts w:hint="eastAsia" w:ascii="宋体" w:hAnsi="宋体" w:eastAsia="宋体"/>
                <w:color w:val="000000" w:themeColor="text1"/>
                <w:sz w:val="21"/>
                <w:szCs w:val="21"/>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1107" w:type="dxa"/>
            <w:vMerge w:val="continue"/>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p>
        </w:tc>
        <w:tc>
          <w:tcPr>
            <w:tcW w:w="1531" w:type="dxa"/>
            <w:vMerge w:val="restart"/>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企业技术能力</w:t>
            </w:r>
          </w:p>
        </w:tc>
        <w:tc>
          <w:tcPr>
            <w:tcW w:w="5686" w:type="dxa"/>
            <w:vAlign w:val="center"/>
          </w:tcPr>
          <w:p>
            <w:pPr>
              <w:widowControl/>
              <w:shd w:val="clear" w:color="auto" w:fill="FCFCFC"/>
              <w:jc w:val="left"/>
              <w:rPr>
                <w:rFonts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投标人制定过省级农产品流通技术规范，得</w:t>
            </w:r>
            <w:r>
              <w:rPr>
                <w:rFonts w:ascii="宋体" w:hAnsi="宋体" w:cs="宋体"/>
                <w:color w:val="000000" w:themeColor="text1"/>
                <w:szCs w:val="21"/>
                <w:highlight w:val="none"/>
                <w:shd w:val="clear" w:color="auto" w:fill="auto"/>
                <w14:textFill>
                  <w14:solidFill>
                    <w14:schemeClr w14:val="tx1"/>
                  </w14:solidFill>
                </w14:textFill>
              </w:rPr>
              <w:t>1</w:t>
            </w:r>
            <w:r>
              <w:rPr>
                <w:rFonts w:hint="eastAsia" w:ascii="宋体" w:hAnsi="宋体" w:cs="宋体"/>
                <w:color w:val="000000" w:themeColor="text1"/>
                <w:szCs w:val="21"/>
                <w:highlight w:val="none"/>
                <w:shd w:val="clear" w:color="auto" w:fill="auto"/>
                <w14:textFill>
                  <w14:solidFill>
                    <w14:schemeClr w14:val="tx1"/>
                  </w14:solidFill>
                </w14:textFill>
              </w:rPr>
              <w:t>分</w:t>
            </w:r>
          </w:p>
          <w:p>
            <w:pPr>
              <w:widowControl/>
              <w:shd w:val="clear" w:color="auto" w:fill="FCFCFC"/>
              <w:jc w:val="left"/>
              <w:rPr>
                <w:rFonts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具有计算机系统开发经验，拥有国家版权局颁发的相关软件</w:t>
            </w:r>
            <w:r>
              <w:rPr>
                <w:rFonts w:hint="eastAsia" w:ascii="宋体" w:hAnsi="宋体" w:cs="宋体"/>
                <w:color w:val="000000" w:themeColor="text1"/>
                <w:szCs w:val="21"/>
                <w:highlight w:val="none"/>
                <w:shd w:val="clear" w:color="auto" w:fill="auto"/>
                <w:lang w:eastAsia="zh-Hans"/>
                <w14:textFill>
                  <w14:solidFill>
                    <w14:schemeClr w14:val="tx1"/>
                  </w14:solidFill>
                </w14:textFill>
              </w:rPr>
              <w:t>著作权证书</w:t>
            </w:r>
            <w:r>
              <w:rPr>
                <w:rFonts w:ascii="宋体" w:hAnsi="宋体" w:cs="宋体"/>
                <w:color w:val="000000" w:themeColor="text1"/>
                <w:szCs w:val="21"/>
                <w:highlight w:val="none"/>
                <w:shd w:val="clear" w:color="auto" w:fill="auto"/>
                <w:lang w:eastAsia="zh-Hans"/>
                <w14:textFill>
                  <w14:solidFill>
                    <w14:schemeClr w14:val="tx1"/>
                  </w14:solidFill>
                </w14:textFill>
              </w:rPr>
              <w:t>：</w:t>
            </w:r>
            <w:r>
              <w:rPr>
                <w:rFonts w:hint="eastAsia" w:ascii="宋体" w:hAnsi="宋体" w:cs="宋体"/>
                <w:color w:val="000000" w:themeColor="text1"/>
                <w:szCs w:val="21"/>
                <w:highlight w:val="none"/>
                <w:shd w:val="clear" w:color="auto" w:fill="auto"/>
                <w14:textFill>
                  <w14:solidFill>
                    <w14:schemeClr w14:val="tx1"/>
                  </w14:solidFill>
                </w14:textFill>
              </w:rPr>
              <w:t>供应链</w:t>
            </w:r>
            <w:r>
              <w:rPr>
                <w:rFonts w:hint="eastAsia" w:ascii="宋体" w:hAnsi="宋体" w:cs="宋体"/>
                <w:color w:val="000000" w:themeColor="text1"/>
                <w:szCs w:val="21"/>
                <w:highlight w:val="none"/>
                <w:shd w:val="clear" w:color="auto" w:fill="auto"/>
                <w:lang w:eastAsia="zh-Hans"/>
                <w14:textFill>
                  <w14:solidFill>
                    <w14:schemeClr w14:val="tx1"/>
                  </w14:solidFill>
                </w14:textFill>
              </w:rPr>
              <w:t>系统</w:t>
            </w:r>
            <w:r>
              <w:rPr>
                <w:rFonts w:ascii="宋体" w:hAnsi="宋体" w:cs="宋体"/>
                <w:color w:val="000000" w:themeColor="text1"/>
                <w:szCs w:val="21"/>
                <w:highlight w:val="none"/>
                <w:shd w:val="clear" w:color="auto" w:fill="auto"/>
                <w:lang w:eastAsia="zh-Hans"/>
                <w14:textFill>
                  <w14:solidFill>
                    <w14:schemeClr w14:val="tx1"/>
                  </w14:solidFill>
                </w14:textFill>
              </w:rPr>
              <w:t>、</w:t>
            </w:r>
            <w:r>
              <w:rPr>
                <w:rFonts w:hint="eastAsia" w:ascii="宋体" w:hAnsi="宋体" w:cs="宋体"/>
                <w:color w:val="000000" w:themeColor="text1"/>
                <w:szCs w:val="21"/>
                <w:highlight w:val="none"/>
                <w:shd w:val="clear" w:color="auto" w:fill="auto"/>
                <w14:textFill>
                  <w14:solidFill>
                    <w14:schemeClr w14:val="tx1"/>
                  </w14:solidFill>
                </w14:textFill>
              </w:rPr>
              <w:t>数据来源、数据仓库、数据挖掘、</w:t>
            </w:r>
            <w:r>
              <w:rPr>
                <w:rFonts w:hint="eastAsia" w:ascii="宋体" w:hAnsi="宋体" w:cs="宋体"/>
                <w:color w:val="000000" w:themeColor="text1"/>
                <w:szCs w:val="21"/>
                <w:highlight w:val="none"/>
                <w:shd w:val="clear" w:color="auto" w:fill="auto"/>
                <w:lang w:eastAsia="zh-Hans"/>
                <w14:textFill>
                  <w14:solidFill>
                    <w14:schemeClr w14:val="tx1"/>
                  </w14:solidFill>
                </w14:textFill>
              </w:rPr>
              <w:t>数据算法分析</w:t>
            </w:r>
            <w:r>
              <w:rPr>
                <w:rFonts w:ascii="宋体" w:hAnsi="宋体" w:cs="宋体"/>
                <w:color w:val="000000" w:themeColor="text1"/>
                <w:szCs w:val="21"/>
                <w:highlight w:val="none"/>
                <w:shd w:val="clear" w:color="auto" w:fill="auto"/>
                <w:lang w:eastAsia="zh-Hans"/>
                <w14:textFill>
                  <w14:solidFill>
                    <w14:schemeClr w14:val="tx1"/>
                  </w14:solidFill>
                </w14:textFill>
              </w:rPr>
              <w:t>、</w:t>
            </w:r>
            <w:r>
              <w:rPr>
                <w:rFonts w:hint="eastAsia" w:ascii="宋体" w:hAnsi="宋体" w:cs="宋体"/>
                <w:color w:val="000000" w:themeColor="text1"/>
                <w:szCs w:val="21"/>
                <w:highlight w:val="none"/>
                <w:shd w:val="clear" w:color="auto" w:fill="auto"/>
                <w14:textFill>
                  <w14:solidFill>
                    <w14:schemeClr w14:val="tx1"/>
                  </w14:solidFill>
                </w14:textFill>
              </w:rPr>
              <w:t>数据清洗，每提供一项计</w:t>
            </w:r>
            <w:r>
              <w:rPr>
                <w:rFonts w:ascii="宋体" w:hAnsi="宋体" w:cs="宋体"/>
                <w:color w:val="000000" w:themeColor="text1"/>
                <w:szCs w:val="21"/>
                <w:highlight w:val="none"/>
                <w:shd w:val="clear" w:color="auto" w:fill="auto"/>
                <w14:textFill>
                  <w14:solidFill>
                    <w14:schemeClr w14:val="tx1"/>
                  </w14:solidFill>
                </w14:textFill>
              </w:rPr>
              <w:t>1</w:t>
            </w:r>
            <w:r>
              <w:rPr>
                <w:rFonts w:hint="eastAsia" w:ascii="宋体" w:hAnsi="宋体" w:cs="宋体"/>
                <w:color w:val="000000" w:themeColor="text1"/>
                <w:szCs w:val="21"/>
                <w:highlight w:val="none"/>
                <w:shd w:val="clear" w:color="auto" w:fill="auto"/>
                <w14:textFill>
                  <w14:solidFill>
                    <w14:schemeClr w14:val="tx1"/>
                  </w14:solidFill>
                </w14:textFill>
              </w:rPr>
              <w:t>分，满分得</w:t>
            </w:r>
            <w:r>
              <w:rPr>
                <w:rFonts w:ascii="宋体" w:hAnsi="宋体" w:cs="宋体"/>
                <w:color w:val="000000" w:themeColor="text1"/>
                <w:szCs w:val="21"/>
                <w:highlight w:val="none"/>
                <w:shd w:val="clear" w:color="auto" w:fill="auto"/>
                <w14:textFill>
                  <w14:solidFill>
                    <w14:schemeClr w14:val="tx1"/>
                  </w14:solidFill>
                </w14:textFill>
              </w:rPr>
              <w:t>6</w:t>
            </w:r>
            <w:r>
              <w:rPr>
                <w:rFonts w:hint="eastAsia" w:ascii="宋体" w:hAnsi="宋体" w:cs="宋体"/>
                <w:color w:val="000000" w:themeColor="text1"/>
                <w:szCs w:val="21"/>
                <w:highlight w:val="none"/>
                <w:shd w:val="clear" w:color="auto" w:fill="auto"/>
                <w14:textFill>
                  <w14:solidFill>
                    <w14:schemeClr w14:val="tx1"/>
                  </w14:solidFill>
                </w14:textFill>
              </w:rPr>
              <w:t>分；</w:t>
            </w:r>
          </w:p>
          <w:p>
            <w:pPr>
              <w:widowControl/>
              <w:shd w:val="clear" w:color="auto" w:fill="FCFCFC"/>
              <w:jc w:val="left"/>
              <w:rPr>
                <w:rFonts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需在采购公告发布前获得，需提供相关证明材料原件彩色扫描件（若为联合体，联合体其中一方提供即可）</w:t>
            </w:r>
          </w:p>
        </w:tc>
        <w:tc>
          <w:tcPr>
            <w:tcW w:w="873" w:type="dxa"/>
            <w:vAlign w:val="center"/>
          </w:tcPr>
          <w:p>
            <w:pPr>
              <w:pStyle w:val="38"/>
              <w:autoSpaceDE/>
              <w:autoSpaceDN/>
              <w:adjustRightInd/>
              <w:spacing w:line="240" w:lineRule="auto"/>
              <w:ind w:firstLine="0"/>
              <w:rPr>
                <w:rFonts w:ascii="宋体" w:hAnsi="宋体" w:eastAsia="宋体"/>
                <w:color w:val="000000" w:themeColor="text1"/>
                <w:sz w:val="21"/>
                <w:szCs w:val="21"/>
                <w:highlight w:val="none"/>
                <w:lang w:val="en-US" w:eastAsia="zh-Hans"/>
                <w14:textFill>
                  <w14:solidFill>
                    <w14:schemeClr w14:val="tx1"/>
                  </w14:solidFill>
                </w14:textFill>
              </w:rPr>
            </w:pPr>
          </w:p>
          <w:p>
            <w:pPr>
              <w:pStyle w:val="38"/>
              <w:autoSpaceDE/>
              <w:autoSpaceDN/>
              <w:adjustRightInd/>
              <w:spacing w:line="240" w:lineRule="auto"/>
              <w:ind w:firstLine="0"/>
              <w:jc w:val="center"/>
              <w:rPr>
                <w:rFonts w:ascii="宋体" w:hAnsi="宋体" w:eastAsia="宋体"/>
                <w:color w:val="000000" w:themeColor="text1"/>
                <w:sz w:val="21"/>
                <w:szCs w:val="21"/>
                <w:highlight w:val="none"/>
                <w:lang w:val="en-US" w:eastAsia="zh-Hans"/>
                <w14:textFill>
                  <w14:solidFill>
                    <w14:schemeClr w14:val="tx1"/>
                  </w14:solidFill>
                </w14:textFill>
              </w:rPr>
            </w:pPr>
            <w:r>
              <w:rPr>
                <w:rFonts w:ascii="宋体" w:hAnsi="宋体" w:eastAsia="宋体"/>
                <w:color w:val="000000" w:themeColor="text1"/>
                <w:sz w:val="21"/>
                <w:szCs w:val="21"/>
                <w:highlight w:val="none"/>
                <w:lang w:eastAsia="zh-Hans"/>
                <w14:textFill>
                  <w14:solidFill>
                    <w14:schemeClr w14:val="tx1"/>
                  </w14:solidFill>
                </w14:textFill>
              </w:rPr>
              <w:t>7</w:t>
            </w:r>
            <w:r>
              <w:rPr>
                <w:rFonts w:hint="eastAsia" w:ascii="宋体" w:hAnsi="宋体" w:eastAsia="宋体"/>
                <w:color w:val="000000" w:themeColor="text1"/>
                <w:sz w:val="21"/>
                <w:szCs w:val="21"/>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p>
        </w:tc>
        <w:tc>
          <w:tcPr>
            <w:tcW w:w="1531" w:type="dxa"/>
            <w:vMerge w:val="continue"/>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p>
        </w:tc>
        <w:tc>
          <w:tcPr>
            <w:tcW w:w="5686" w:type="dxa"/>
            <w:vAlign w:val="center"/>
          </w:tcPr>
          <w:p>
            <w:pPr>
              <w:widowControl/>
              <w:jc w:val="left"/>
              <w:textAlignment w:val="center"/>
              <w:rPr>
                <w:rFonts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投标人具备软件能力成熟度集成模型</w:t>
            </w:r>
            <w:r>
              <w:rPr>
                <w:rFonts w:ascii="宋体" w:hAnsi="宋体" w:cs="宋体"/>
                <w:color w:val="000000" w:themeColor="text1"/>
                <w:szCs w:val="21"/>
                <w:highlight w:val="none"/>
                <w:shd w:val="clear" w:color="auto" w:fill="auto"/>
                <w14:textFill>
                  <w14:solidFill>
                    <w14:schemeClr w14:val="tx1"/>
                  </w14:solidFill>
                </w14:textFill>
              </w:rPr>
              <w:t>CMMI</w:t>
            </w:r>
            <w:r>
              <w:rPr>
                <w:rFonts w:hint="eastAsia" w:ascii="宋体" w:hAnsi="宋体" w:cs="宋体"/>
                <w:color w:val="000000" w:themeColor="text1"/>
                <w:szCs w:val="21"/>
                <w:highlight w:val="none"/>
                <w:shd w:val="clear" w:color="auto" w:fill="auto"/>
                <w14:textFill>
                  <w14:solidFill>
                    <w14:schemeClr w14:val="tx1"/>
                  </w14:solidFill>
                </w14:textFill>
              </w:rPr>
              <w:t>三级及以上证书，得</w:t>
            </w:r>
            <w:r>
              <w:rPr>
                <w:rFonts w:ascii="宋体" w:hAnsi="宋体" w:cs="宋体"/>
                <w:color w:val="000000" w:themeColor="text1"/>
                <w:szCs w:val="21"/>
                <w:highlight w:val="none"/>
                <w:shd w:val="clear" w:color="auto" w:fill="auto"/>
                <w14:textFill>
                  <w14:solidFill>
                    <w14:schemeClr w14:val="tx1"/>
                  </w14:solidFill>
                </w14:textFill>
              </w:rPr>
              <w:t>1</w:t>
            </w:r>
            <w:r>
              <w:rPr>
                <w:rFonts w:hint="eastAsia" w:ascii="宋体" w:hAnsi="宋体" w:cs="宋体"/>
                <w:color w:val="000000" w:themeColor="text1"/>
                <w:szCs w:val="21"/>
                <w:highlight w:val="none"/>
                <w:shd w:val="clear" w:color="auto" w:fill="auto"/>
                <w14:textFill>
                  <w14:solidFill>
                    <w14:schemeClr w14:val="tx1"/>
                  </w14:solidFill>
                </w14:textFill>
              </w:rPr>
              <w:t>分。</w:t>
            </w:r>
          </w:p>
          <w:p>
            <w:pPr>
              <w:widowControl/>
              <w:shd w:val="clear" w:color="auto" w:fill="FCFCFC"/>
              <w:jc w:val="left"/>
              <w:rPr>
                <w:rFonts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投标人具</w:t>
            </w:r>
            <w:r>
              <w:rPr>
                <w:rFonts w:hint="eastAsia" w:ascii="宋体" w:hAnsi="宋体" w:cs="宋体"/>
                <w:color w:val="000000" w:themeColor="text1"/>
                <w:szCs w:val="21"/>
                <w:highlight w:val="none"/>
                <w:shd w:val="clear" w:color="auto" w:fill="auto"/>
                <w:lang w:eastAsia="zh-CN"/>
                <w14:textFill>
                  <w14:solidFill>
                    <w14:schemeClr w14:val="tx1"/>
                  </w14:solidFill>
                </w14:textFill>
              </w:rPr>
              <w:t>备农业科研相关资质荣誉</w:t>
            </w: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,省级得2分,市级得1分</w:t>
            </w:r>
          </w:p>
          <w:p>
            <w:pPr>
              <w:pStyle w:val="3"/>
              <w:spacing w:after="0"/>
              <w:jc w:val="left"/>
              <w:rPr>
                <w:rFonts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投标人承担省部级科技项目的，得</w:t>
            </w:r>
            <w:r>
              <w:rPr>
                <w:rFonts w:ascii="宋体" w:hAnsi="宋体" w:cs="宋体"/>
                <w:color w:val="000000" w:themeColor="text1"/>
                <w:szCs w:val="21"/>
                <w:highlight w:val="none"/>
                <w:shd w:val="clear" w:color="auto" w:fill="auto"/>
                <w14:textFill>
                  <w14:solidFill>
                    <w14:schemeClr w14:val="tx1"/>
                  </w14:solidFill>
                </w14:textFill>
              </w:rPr>
              <w:t>2</w:t>
            </w:r>
            <w:r>
              <w:rPr>
                <w:rFonts w:hint="eastAsia" w:ascii="宋体" w:hAnsi="宋体" w:cs="宋体"/>
                <w:color w:val="000000" w:themeColor="text1"/>
                <w:szCs w:val="21"/>
                <w:highlight w:val="none"/>
                <w:shd w:val="clear" w:color="auto" w:fill="auto"/>
                <w14:textFill>
                  <w14:solidFill>
                    <w14:schemeClr w14:val="tx1"/>
                  </w14:solidFill>
                </w14:textFill>
              </w:rPr>
              <w:t>分，提供项目合同电子扫描件，项目合同具有多个企业参与的，仅以项目合同签订的主体单位为准。</w:t>
            </w:r>
          </w:p>
          <w:p>
            <w:pPr>
              <w:widowControl/>
              <w:jc w:val="left"/>
              <w:textAlignment w:val="center"/>
              <w:rPr>
                <w:rFonts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投标人承担过国家级、省级、市县级农业信息化相关技术创新项目并通过验收的，国家级得</w:t>
            </w:r>
            <w:r>
              <w:rPr>
                <w:rFonts w:ascii="宋体" w:hAnsi="宋体" w:cs="宋体"/>
                <w:color w:val="000000" w:themeColor="text1"/>
                <w:szCs w:val="21"/>
                <w:highlight w:val="none"/>
                <w:shd w:val="clear" w:color="auto" w:fill="auto"/>
                <w14:textFill>
                  <w14:solidFill>
                    <w14:schemeClr w14:val="tx1"/>
                  </w14:solidFill>
                </w14:textFill>
              </w:rPr>
              <w:t>3</w:t>
            </w:r>
            <w:r>
              <w:rPr>
                <w:rFonts w:hint="eastAsia" w:ascii="宋体" w:hAnsi="宋体" w:cs="宋体"/>
                <w:color w:val="000000" w:themeColor="text1"/>
                <w:szCs w:val="21"/>
                <w:highlight w:val="none"/>
                <w:shd w:val="clear" w:color="auto" w:fill="auto"/>
                <w14:textFill>
                  <w14:solidFill>
                    <w14:schemeClr w14:val="tx1"/>
                  </w14:solidFill>
                </w14:textFill>
              </w:rPr>
              <w:t>分、省级得</w:t>
            </w:r>
            <w:r>
              <w:rPr>
                <w:rFonts w:ascii="宋体" w:hAnsi="宋体" w:cs="宋体"/>
                <w:color w:val="000000" w:themeColor="text1"/>
                <w:szCs w:val="21"/>
                <w:highlight w:val="none"/>
                <w:shd w:val="clear" w:color="auto" w:fill="auto"/>
                <w14:textFill>
                  <w14:solidFill>
                    <w14:schemeClr w14:val="tx1"/>
                  </w14:solidFill>
                </w14:textFill>
              </w:rPr>
              <w:t>2</w:t>
            </w:r>
            <w:r>
              <w:rPr>
                <w:rFonts w:hint="eastAsia" w:ascii="宋体" w:hAnsi="宋体" w:cs="宋体"/>
                <w:color w:val="000000" w:themeColor="text1"/>
                <w:szCs w:val="21"/>
                <w:highlight w:val="none"/>
                <w:shd w:val="clear" w:color="auto" w:fill="auto"/>
                <w14:textFill>
                  <w14:solidFill>
                    <w14:schemeClr w14:val="tx1"/>
                  </w14:solidFill>
                </w14:textFill>
              </w:rPr>
              <w:t>分、市县级得</w:t>
            </w:r>
            <w:r>
              <w:rPr>
                <w:rFonts w:ascii="宋体" w:hAnsi="宋体" w:cs="宋体"/>
                <w:color w:val="000000" w:themeColor="text1"/>
                <w:szCs w:val="21"/>
                <w:highlight w:val="none"/>
                <w:shd w:val="clear" w:color="auto" w:fill="auto"/>
                <w14:textFill>
                  <w14:solidFill>
                    <w14:schemeClr w14:val="tx1"/>
                  </w14:solidFill>
                </w14:textFill>
              </w:rPr>
              <w:t>1</w:t>
            </w:r>
            <w:r>
              <w:rPr>
                <w:rFonts w:hint="eastAsia" w:ascii="宋体" w:hAnsi="宋体" w:cs="宋体"/>
                <w:color w:val="000000" w:themeColor="text1"/>
                <w:szCs w:val="21"/>
                <w:highlight w:val="none"/>
                <w:shd w:val="clear" w:color="auto" w:fill="auto"/>
                <w14:textFill>
                  <w14:solidFill>
                    <w14:schemeClr w14:val="tx1"/>
                  </w14:solidFill>
                </w14:textFill>
              </w:rPr>
              <w:t>分，满分得</w:t>
            </w:r>
            <w:r>
              <w:rPr>
                <w:rFonts w:ascii="宋体" w:hAnsi="宋体" w:cs="宋体"/>
                <w:color w:val="000000" w:themeColor="text1"/>
                <w:szCs w:val="21"/>
                <w:highlight w:val="none"/>
                <w:shd w:val="clear" w:color="auto" w:fill="auto"/>
                <w14:textFill>
                  <w14:solidFill>
                    <w14:schemeClr w14:val="tx1"/>
                  </w14:solidFill>
                </w14:textFill>
              </w:rPr>
              <w:t>3</w:t>
            </w:r>
            <w:r>
              <w:rPr>
                <w:rFonts w:hint="eastAsia" w:ascii="宋体" w:hAnsi="宋体" w:cs="宋体"/>
                <w:color w:val="000000" w:themeColor="text1"/>
                <w:szCs w:val="21"/>
                <w:highlight w:val="none"/>
                <w:shd w:val="clear" w:color="auto" w:fill="auto"/>
                <w14:textFill>
                  <w14:solidFill>
                    <w14:schemeClr w14:val="tx1"/>
                  </w14:solidFill>
                </w14:textFill>
              </w:rPr>
              <w:t>分。同一项目以最高奖项为准</w:t>
            </w:r>
            <w:r>
              <w:rPr>
                <w:rFonts w:ascii="宋体" w:hAnsi="宋体" w:cs="宋体"/>
                <w:color w:val="000000" w:themeColor="text1"/>
                <w:szCs w:val="21"/>
                <w:highlight w:val="none"/>
                <w:shd w:val="clear" w:color="auto" w:fill="auto"/>
                <w14:textFill>
                  <w14:solidFill>
                    <w14:schemeClr w14:val="tx1"/>
                  </w14:solidFill>
                </w14:textFill>
              </w:rPr>
              <w:t>,</w:t>
            </w:r>
            <w:r>
              <w:rPr>
                <w:rFonts w:hint="eastAsia" w:ascii="宋体" w:hAnsi="宋体" w:cs="宋体"/>
                <w:color w:val="000000" w:themeColor="text1"/>
                <w:szCs w:val="21"/>
                <w:highlight w:val="none"/>
                <w:shd w:val="clear" w:color="auto" w:fill="auto"/>
                <w14:textFill>
                  <w14:solidFill>
                    <w14:schemeClr w14:val="tx1"/>
                  </w14:solidFill>
                </w14:textFill>
              </w:rPr>
              <w:t>不同项目可以累计</w:t>
            </w:r>
            <w:r>
              <w:rPr>
                <w:rFonts w:ascii="宋体" w:hAnsi="宋体" w:cs="宋体"/>
                <w:color w:val="000000" w:themeColor="text1"/>
                <w:szCs w:val="21"/>
                <w:highlight w:val="none"/>
                <w:shd w:val="clear" w:color="auto" w:fill="auto"/>
                <w14:textFill>
                  <w14:solidFill>
                    <w14:schemeClr w14:val="tx1"/>
                  </w14:solidFill>
                </w14:textFill>
              </w:rPr>
              <w:t>。</w:t>
            </w:r>
          </w:p>
          <w:p>
            <w:pPr>
              <w:widowControl/>
              <w:shd w:val="clear" w:color="auto" w:fill="FCFCFC"/>
              <w:jc w:val="left"/>
              <w:rPr>
                <w:rFonts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需提供相关证明材料原件彩色扫描件（若为联合体，联合体其中一方提供即可）</w:t>
            </w:r>
          </w:p>
        </w:tc>
        <w:tc>
          <w:tcPr>
            <w:tcW w:w="873" w:type="dxa"/>
            <w:vAlign w:val="center"/>
          </w:tcPr>
          <w:p>
            <w:pPr>
              <w:pStyle w:val="38"/>
              <w:autoSpaceDE/>
              <w:autoSpaceDN/>
              <w:adjustRightInd/>
              <w:spacing w:line="240" w:lineRule="auto"/>
              <w:ind w:firstLine="0"/>
              <w:jc w:val="center"/>
              <w:rPr>
                <w:rFonts w:ascii="宋体" w:hAnsi="宋体" w:eastAsia="宋体"/>
                <w:color w:val="000000" w:themeColor="text1"/>
                <w:sz w:val="21"/>
                <w:szCs w:val="21"/>
                <w:highlight w:val="none"/>
                <w:lang w:val="en-US" w:eastAsia="zh-Hans"/>
                <w14:textFill>
                  <w14:solidFill>
                    <w14:schemeClr w14:val="tx1"/>
                  </w14:solidFill>
                </w14:textFill>
              </w:rPr>
            </w:pPr>
            <w:r>
              <w:rPr>
                <w:rFonts w:ascii="宋体" w:hAnsi="宋体" w:eastAsia="宋体"/>
                <w:color w:val="000000" w:themeColor="text1"/>
                <w:sz w:val="21"/>
                <w:szCs w:val="21"/>
                <w:highlight w:val="none"/>
                <w:lang w:val="en-US" w:eastAsia="zh-Hans"/>
                <w14:textFill>
                  <w14:solidFill>
                    <w14:schemeClr w14:val="tx1"/>
                  </w14:solidFill>
                </w14:textFill>
              </w:rPr>
              <w:t>8</w:t>
            </w:r>
            <w:r>
              <w:rPr>
                <w:rFonts w:hint="eastAsia" w:ascii="宋体" w:hAnsi="宋体" w:eastAsia="宋体"/>
                <w:color w:val="000000" w:themeColor="text1"/>
                <w:sz w:val="21"/>
                <w:szCs w:val="21"/>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p>
        </w:tc>
        <w:tc>
          <w:tcPr>
            <w:tcW w:w="1531" w:type="dxa"/>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类似业绩</w:t>
            </w:r>
          </w:p>
        </w:tc>
        <w:tc>
          <w:tcPr>
            <w:tcW w:w="5686" w:type="dxa"/>
            <w:vAlign w:val="center"/>
          </w:tcPr>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ascii="宋体" w:hAnsi="宋体" w:eastAsia="宋体" w:cs="宋体"/>
                <w:color w:val="000000" w:themeColor="text1"/>
                <w:sz w:val="21"/>
                <w:szCs w:val="21"/>
                <w:highlight w:val="none"/>
                <w:lang w:val="en-US"/>
                <w14:textFill>
                  <w14:solidFill>
                    <w14:schemeClr w14:val="tx1"/>
                  </w14:solidFill>
                </w14:textFill>
              </w:rPr>
              <w:t>2018</w:t>
            </w:r>
            <w:r>
              <w:rPr>
                <w:rFonts w:hint="eastAsia" w:ascii="宋体" w:hAnsi="宋体" w:eastAsia="宋体" w:cs="宋体"/>
                <w:color w:val="000000" w:themeColor="text1"/>
                <w:sz w:val="21"/>
                <w:szCs w:val="21"/>
                <w:highlight w:val="none"/>
                <w:lang w:val="en-US"/>
                <w14:textFill>
                  <w14:solidFill>
                    <w14:schemeClr w14:val="tx1"/>
                  </w14:solidFill>
                </w14:textFill>
              </w:rPr>
              <w:t>年1月1日</w:t>
            </w:r>
            <w:r>
              <w:rPr>
                <w:rFonts w:hint="eastAsia" w:ascii="宋体" w:hAnsi="宋体" w:eastAsia="宋体" w:cs="宋体"/>
                <w:color w:val="000000" w:themeColor="text1"/>
                <w:sz w:val="21"/>
                <w:szCs w:val="21"/>
                <w:highlight w:val="none"/>
                <w:lang w:val="en-US" w:eastAsia="zh-Hans"/>
                <w14:textFill>
                  <w14:solidFill>
                    <w14:schemeClr w14:val="tx1"/>
                  </w14:solidFill>
                </w14:textFill>
              </w:rPr>
              <w:t>至</w:t>
            </w:r>
            <w:r>
              <w:rPr>
                <w:rFonts w:hint="eastAsia" w:ascii="宋体" w:hAnsi="宋体" w:eastAsia="宋体" w:cs="宋体"/>
                <w:color w:val="000000" w:themeColor="text1"/>
                <w:sz w:val="21"/>
                <w:szCs w:val="21"/>
                <w:highlight w:val="none"/>
                <w:lang w:val="en-US"/>
                <w14:textFill>
                  <w14:solidFill>
                    <w14:schemeClr w14:val="tx1"/>
                  </w14:solidFill>
                </w14:textFill>
              </w:rPr>
              <w:t>投标截止时间前投标人具有同类项目业绩，每提供</w:t>
            </w:r>
            <w:r>
              <w:rPr>
                <w:rFonts w:ascii="宋体" w:hAnsi="宋体" w:eastAsia="宋体" w:cs="宋体"/>
                <w:color w:val="000000" w:themeColor="text1"/>
                <w:sz w:val="21"/>
                <w:szCs w:val="21"/>
                <w:highlight w:val="none"/>
                <w:lang w:val="en-US"/>
                <w14:textFill>
                  <w14:solidFill>
                    <w14:schemeClr w14:val="tx1"/>
                  </w14:solidFill>
                </w14:textFill>
              </w:rPr>
              <w:t>1</w:t>
            </w:r>
            <w:r>
              <w:rPr>
                <w:rFonts w:hint="eastAsia" w:ascii="宋体" w:hAnsi="宋体" w:eastAsia="宋体" w:cs="宋体"/>
                <w:color w:val="000000" w:themeColor="text1"/>
                <w:sz w:val="21"/>
                <w:szCs w:val="21"/>
                <w:highlight w:val="none"/>
                <w:lang w:val="en-US"/>
                <w14:textFill>
                  <w14:solidFill>
                    <w14:schemeClr w14:val="tx1"/>
                  </w14:solidFill>
                </w14:textFill>
              </w:rPr>
              <w:t>份，得</w:t>
            </w:r>
            <w:r>
              <w:rPr>
                <w:rFonts w:ascii="宋体" w:hAnsi="宋体" w:eastAsia="宋体" w:cs="宋体"/>
                <w:color w:val="000000" w:themeColor="text1"/>
                <w:sz w:val="21"/>
                <w:szCs w:val="21"/>
                <w:highlight w:val="none"/>
                <w:lang w:val="en-US"/>
                <w14:textFill>
                  <w14:solidFill>
                    <w14:schemeClr w14:val="tx1"/>
                  </w14:solidFill>
                </w14:textFill>
              </w:rPr>
              <w:t>1</w:t>
            </w:r>
            <w:r>
              <w:rPr>
                <w:rFonts w:hint="eastAsia" w:ascii="宋体" w:hAnsi="宋体" w:eastAsia="宋体" w:cs="宋体"/>
                <w:color w:val="000000" w:themeColor="text1"/>
                <w:sz w:val="21"/>
                <w:szCs w:val="21"/>
                <w:highlight w:val="none"/>
                <w:lang w:val="en-US"/>
                <w14:textFill>
                  <w14:solidFill>
                    <w14:schemeClr w14:val="tx1"/>
                  </w14:solidFill>
                </w14:textFill>
              </w:rPr>
              <w:t>分，</w:t>
            </w:r>
            <w:r>
              <w:rPr>
                <w:rFonts w:hint="eastAsia" w:ascii="宋体" w:hAnsi="宋体" w:eastAsia="宋体" w:cs="宋体"/>
                <w:color w:val="000000" w:themeColor="text1"/>
                <w:sz w:val="21"/>
                <w:szCs w:val="21"/>
                <w:highlight w:val="none"/>
                <w:lang w:val="en-US" w:eastAsia="zh-Hans"/>
                <w14:textFill>
                  <w14:solidFill>
                    <w14:schemeClr w14:val="tx1"/>
                  </w14:solidFill>
                </w14:textFill>
              </w:rPr>
              <w:t>满分</w:t>
            </w:r>
            <w:r>
              <w:rPr>
                <w:rFonts w:hint="eastAsia" w:ascii="宋体" w:hAnsi="宋体" w:eastAsia="宋体" w:cs="宋体"/>
                <w:color w:val="000000" w:themeColor="text1"/>
                <w:sz w:val="21"/>
                <w:szCs w:val="21"/>
                <w:highlight w:val="none"/>
                <w:lang w:val="en-US"/>
                <w14:textFill>
                  <w14:solidFill>
                    <w14:schemeClr w14:val="tx1"/>
                  </w14:solidFill>
                </w14:textFill>
              </w:rPr>
              <w:t>得</w:t>
            </w:r>
            <w:r>
              <w:rPr>
                <w:rFonts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14:textFill>
                  <w14:solidFill>
                    <w14:schemeClr w14:val="tx1"/>
                  </w14:solidFill>
                </w14:textFill>
              </w:rPr>
              <w:t>分。提供相关证明材料的（提供中标通知书或合同</w:t>
            </w:r>
            <w:r>
              <w:rPr>
                <w:rFonts w:hint="eastAsia" w:ascii="宋体" w:hAnsi="宋体" w:eastAsia="宋体" w:cs="宋体"/>
                <w:color w:val="000000" w:themeColor="text1"/>
                <w:sz w:val="21"/>
                <w:szCs w:val="21"/>
                <w:highlight w:val="none"/>
                <w14:textFill>
                  <w14:solidFill>
                    <w14:schemeClr w14:val="tx1"/>
                  </w14:solidFill>
                </w14:textFill>
              </w:rPr>
              <w:t>原件彩色扫描件</w:t>
            </w:r>
            <w:r>
              <w:rPr>
                <w:rFonts w:hint="eastAsia" w:ascii="宋体" w:hAnsi="宋体" w:eastAsia="宋体" w:cs="宋体"/>
                <w:color w:val="000000" w:themeColor="text1"/>
                <w:sz w:val="21"/>
                <w:szCs w:val="21"/>
                <w:highlight w:val="none"/>
                <w:lang w:val="en-US"/>
                <w14:textFill>
                  <w14:solidFill>
                    <w14:schemeClr w14:val="tx1"/>
                  </w14:solidFill>
                </w14:textFill>
              </w:rPr>
              <w:t>）,以中标通知书发放时间</w:t>
            </w:r>
            <w:r>
              <w:rPr>
                <w:rFonts w:hint="eastAsia" w:ascii="宋体" w:hAnsi="宋体" w:eastAsia="宋体" w:cs="宋体"/>
                <w:color w:val="000000" w:themeColor="text1"/>
                <w:sz w:val="21"/>
                <w:szCs w:val="21"/>
                <w:highlight w:val="none"/>
                <w:lang w:val="en-US"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合同签订时间为准</w:t>
            </w:r>
            <w:r>
              <w:rPr>
                <w:rFonts w:hint="eastAsia" w:ascii="宋体" w:hAnsi="宋体" w:eastAsia="宋体" w:cs="宋体"/>
                <w:color w:val="000000" w:themeColor="text1"/>
                <w:sz w:val="21"/>
                <w:szCs w:val="21"/>
                <w:highlight w:val="none"/>
                <w:lang w:val="en-US" w:eastAsia="zh-Hans"/>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（若为联合体，联合体其中一方提供即可）</w:t>
            </w:r>
          </w:p>
        </w:tc>
        <w:tc>
          <w:tcPr>
            <w:tcW w:w="873" w:type="dxa"/>
            <w:vAlign w:val="center"/>
          </w:tcPr>
          <w:p>
            <w:pPr>
              <w:pStyle w:val="38"/>
              <w:autoSpaceDE/>
              <w:autoSpaceDN/>
              <w:adjustRightInd/>
              <w:spacing w:line="240" w:lineRule="auto"/>
              <w:ind w:firstLine="0"/>
              <w:jc w:val="center"/>
              <w:rPr>
                <w:rFonts w:ascii="宋体" w:hAnsi="宋体" w:eastAsia="宋体"/>
                <w:color w:val="000000" w:themeColor="text1"/>
                <w:sz w:val="21"/>
                <w:szCs w:val="21"/>
                <w:highlight w:val="none"/>
                <w:lang w:val="en-US" w:eastAsia="zh-Hans"/>
                <w14:textFill>
                  <w14:solidFill>
                    <w14:schemeClr w14:val="tx1"/>
                  </w14:solidFill>
                </w14:textFill>
              </w:rPr>
            </w:pPr>
            <w:r>
              <w:rPr>
                <w:rFonts w:ascii="宋体" w:hAnsi="宋体" w:eastAsia="宋体"/>
                <w:color w:val="000000" w:themeColor="text1"/>
                <w:sz w:val="21"/>
                <w:szCs w:val="21"/>
                <w:highlight w:val="none"/>
                <w:lang w:eastAsia="zh-Hans"/>
                <w14:textFill>
                  <w14:solidFill>
                    <w14:schemeClr w14:val="tx1"/>
                  </w14:solidFill>
                </w14:textFill>
              </w:rPr>
              <w:t>5</w:t>
            </w:r>
            <w:r>
              <w:rPr>
                <w:rFonts w:hint="eastAsia" w:ascii="宋体" w:hAnsi="宋体" w:eastAsia="宋体"/>
                <w:color w:val="000000" w:themeColor="text1"/>
                <w:sz w:val="21"/>
                <w:szCs w:val="21"/>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07" w:type="dxa"/>
            <w:vMerge w:val="restart"/>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技术部分</w:t>
            </w:r>
          </w:p>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62</w:t>
            </w:r>
            <w:r>
              <w:rPr>
                <w:rFonts w:hint="eastAsia" w:ascii="宋体" w:hAnsi="宋体" w:eastAsia="宋体" w:cs="宋体"/>
                <w:color w:val="000000" w:themeColor="text1"/>
                <w:sz w:val="21"/>
                <w:szCs w:val="21"/>
                <w:highlight w:val="none"/>
                <w:lang w:val="en-US"/>
                <w14:textFill>
                  <w14:solidFill>
                    <w14:schemeClr w14:val="tx1"/>
                  </w14:solidFill>
                </w14:textFill>
              </w:rPr>
              <w:t>分）</w:t>
            </w:r>
          </w:p>
        </w:tc>
        <w:tc>
          <w:tcPr>
            <w:tcW w:w="1531" w:type="dxa"/>
            <w:vMerge w:val="restart"/>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项目建设</w:t>
            </w:r>
            <w:r>
              <w:rPr>
                <w:rFonts w:ascii="宋体" w:hAnsi="宋体" w:eastAsia="宋体" w:cs="宋体"/>
                <w:color w:val="000000" w:themeColor="text1"/>
                <w:sz w:val="21"/>
                <w:szCs w:val="21"/>
                <w:highlight w:val="none"/>
                <w:lang w:val="en-US"/>
                <w14:textFill>
                  <w14:solidFill>
                    <w14:schemeClr w14:val="tx1"/>
                  </w14:solidFill>
                </w14:textFill>
              </w:rPr>
              <w:t>方案</w:t>
            </w:r>
          </w:p>
        </w:tc>
        <w:tc>
          <w:tcPr>
            <w:tcW w:w="5686" w:type="dxa"/>
            <w:vAlign w:val="center"/>
          </w:tcPr>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对</w:t>
            </w:r>
            <w:r>
              <w:rPr>
                <w:rFonts w:hint="eastAsia" w:ascii="宋体" w:hAnsi="宋体" w:eastAsia="宋体" w:cs="宋体"/>
                <w:color w:val="000000" w:themeColor="text1"/>
                <w:sz w:val="21"/>
                <w:szCs w:val="21"/>
                <w:highlight w:val="none"/>
                <w:lang w:val="en-US" w:eastAsia="zh-Hans"/>
                <w14:textFill>
                  <w14:solidFill>
                    <w14:schemeClr w14:val="tx1"/>
                  </w14:solidFill>
                </w14:textFill>
              </w:rPr>
              <w:t>产业发展现状</w:t>
            </w:r>
            <w:r>
              <w:rPr>
                <w:rFonts w:hint="eastAsia" w:ascii="宋体" w:hAnsi="宋体" w:eastAsia="宋体" w:cs="宋体"/>
                <w:color w:val="000000" w:themeColor="text1"/>
                <w:sz w:val="21"/>
                <w:szCs w:val="21"/>
                <w:highlight w:val="none"/>
                <w:lang w:val="en-US"/>
                <w14:textFill>
                  <w14:solidFill>
                    <w14:schemeClr w14:val="tx1"/>
                  </w14:solidFill>
                </w14:textFill>
              </w:rPr>
              <w:t>和</w:t>
            </w:r>
            <w:r>
              <w:rPr>
                <w:rFonts w:hint="eastAsia" w:ascii="宋体" w:hAnsi="宋体" w:eastAsia="宋体" w:cs="宋体"/>
                <w:color w:val="000000" w:themeColor="text1"/>
                <w:sz w:val="21"/>
                <w:szCs w:val="21"/>
                <w:highlight w:val="none"/>
                <w:lang w:val="en-US" w:eastAsia="zh-Hans"/>
                <w14:textFill>
                  <w14:solidFill>
                    <w14:schemeClr w14:val="tx1"/>
                  </w14:solidFill>
                </w14:textFill>
              </w:rPr>
              <w:t>需要</w:t>
            </w:r>
            <w:r>
              <w:rPr>
                <w:rFonts w:hint="eastAsia" w:ascii="宋体" w:hAnsi="宋体" w:eastAsia="宋体" w:cs="宋体"/>
                <w:color w:val="000000" w:themeColor="text1"/>
                <w:sz w:val="21"/>
                <w:szCs w:val="21"/>
                <w:highlight w:val="none"/>
                <w:lang w:val="en-US"/>
                <w14:textFill>
                  <w14:solidFill>
                    <w14:schemeClr w14:val="tx1"/>
                  </w14:solidFill>
                </w14:textFill>
              </w:rPr>
              <w:t>分析是否准确</w:t>
            </w:r>
            <w:r>
              <w:rPr>
                <w:rFonts w:hint="eastAsia" w:ascii="宋体" w:hAnsi="宋体" w:eastAsia="宋体" w:cs="宋体"/>
                <w:color w:val="000000" w:themeColor="text1"/>
                <w:sz w:val="21"/>
                <w:szCs w:val="21"/>
                <w:highlight w:val="none"/>
                <w:lang w:val="en-US" w:eastAsia="zh-Hans"/>
                <w14:textFill>
                  <w14:solidFill>
                    <w14:schemeClr w14:val="tx1"/>
                  </w14:solidFill>
                </w14:textFill>
              </w:rPr>
              <w:t>性</w:t>
            </w:r>
            <w:r>
              <w:rPr>
                <w:rFonts w:hint="eastAsia" w:ascii="宋体" w:hAnsi="宋体" w:eastAsia="宋体" w:cs="宋体"/>
                <w:color w:val="000000" w:themeColor="text1"/>
                <w:sz w:val="21"/>
                <w:szCs w:val="21"/>
                <w:highlight w:val="none"/>
                <w14:textFill>
                  <w14:solidFill>
                    <w14:schemeClr w14:val="tx1"/>
                  </w14:solidFill>
                </w14:textFill>
              </w:rPr>
              <w:t>；</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lang w:val="en-US" w:eastAsia="zh-Hans"/>
                <w14:textFill>
                  <w14:solidFill>
                    <w14:schemeClr w14:val="tx1"/>
                  </w14:solidFill>
                </w14:textFill>
              </w:rPr>
              <w:t>产业发展现状</w:t>
            </w:r>
            <w:r>
              <w:rPr>
                <w:rFonts w:hint="eastAsia" w:ascii="宋体" w:hAnsi="宋体" w:eastAsia="宋体" w:cs="宋体"/>
                <w:color w:val="000000" w:themeColor="text1"/>
                <w:sz w:val="21"/>
                <w:szCs w:val="21"/>
                <w:highlight w:val="none"/>
                <w:lang w:val="en-US"/>
                <w14:textFill>
                  <w14:solidFill>
                    <w14:schemeClr w14:val="tx1"/>
                  </w14:solidFill>
                </w14:textFill>
              </w:rPr>
              <w:t>和需求分析</w:t>
            </w:r>
            <w:r>
              <w:rPr>
                <w:rFonts w:hint="eastAsia" w:ascii="宋体" w:hAnsi="宋体" w:eastAsia="宋体" w:cs="宋体"/>
                <w:color w:val="000000" w:themeColor="text1"/>
                <w:sz w:val="21"/>
                <w:szCs w:val="21"/>
                <w:highlight w:val="none"/>
                <w:lang w:val="en-US" w:eastAsia="zh-Hans"/>
                <w14:textFill>
                  <w14:solidFill>
                    <w14:schemeClr w14:val="tx1"/>
                  </w14:solidFill>
                </w14:textFill>
              </w:rPr>
              <w:t>准确、全面、透彻</w:t>
            </w:r>
            <w:r>
              <w:rPr>
                <w:rFonts w:hint="eastAsia" w:ascii="宋体" w:hAnsi="宋体" w:eastAsia="宋体" w:cs="宋体"/>
                <w:color w:val="000000" w:themeColor="text1"/>
                <w:sz w:val="21"/>
                <w:szCs w:val="21"/>
                <w:highlight w:val="none"/>
                <w:lang w:val="en-US"/>
                <w14:textFill>
                  <w14:solidFill>
                    <w14:schemeClr w14:val="tx1"/>
                  </w14:solidFill>
                </w14:textFill>
              </w:rPr>
              <w:t>，方案对需求的分析完整透彻、完全吻合</w:t>
            </w:r>
            <w:r>
              <w:rPr>
                <w:rFonts w:hint="eastAsia" w:ascii="宋体" w:hAnsi="宋体" w:eastAsia="宋体" w:cs="宋体"/>
                <w:color w:val="000000" w:themeColor="text1"/>
                <w:sz w:val="21"/>
                <w:szCs w:val="21"/>
                <w:highlight w:val="none"/>
                <w:lang w:val="en-US"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3-5</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lang w:val="en-US" w:eastAsia="zh-Hans"/>
                <w14:textFill>
                  <w14:solidFill>
                    <w14:schemeClr w14:val="tx1"/>
                  </w14:solidFill>
                </w14:textFill>
              </w:rPr>
              <w:t>对产业发展现状</w:t>
            </w:r>
            <w:r>
              <w:rPr>
                <w:rFonts w:hint="eastAsia" w:ascii="宋体" w:hAnsi="宋体" w:eastAsia="宋体" w:cs="宋体"/>
                <w:color w:val="000000" w:themeColor="text1"/>
                <w:sz w:val="21"/>
                <w:szCs w:val="21"/>
                <w:highlight w:val="none"/>
                <w:lang w:val="en-US"/>
                <w14:textFill>
                  <w14:solidFill>
                    <w14:schemeClr w14:val="tx1"/>
                  </w14:solidFill>
                </w14:textFill>
              </w:rPr>
              <w:t>和需求分析</w:t>
            </w:r>
            <w:r>
              <w:rPr>
                <w:rFonts w:hint="eastAsia" w:ascii="宋体" w:hAnsi="宋体" w:eastAsia="宋体" w:cs="宋体"/>
                <w:color w:val="000000" w:themeColor="text1"/>
                <w:sz w:val="21"/>
                <w:szCs w:val="21"/>
                <w:highlight w:val="none"/>
                <w:lang w:val="en-US" w:eastAsia="zh-Hans"/>
                <w14:textFill>
                  <w14:solidFill>
                    <w14:schemeClr w14:val="tx1"/>
                  </w14:solidFill>
                </w14:textFill>
              </w:rPr>
              <w:t>基本准确，方案对需求的分析绝大部分到位、吻合；（</w:t>
            </w:r>
            <w:r>
              <w:rPr>
                <w:rFonts w:hint="eastAsia" w:ascii="宋体" w:hAnsi="宋体" w:eastAsia="宋体" w:cs="宋体"/>
                <w:color w:val="000000" w:themeColor="text1"/>
                <w:sz w:val="21"/>
                <w:szCs w:val="21"/>
                <w:highlight w:val="none"/>
                <w:lang w:val="en-US"/>
                <w14:textFill>
                  <w14:solidFill>
                    <w14:schemeClr w14:val="tx1"/>
                  </w14:solidFill>
                </w14:textFill>
              </w:rPr>
              <w:t>2-3</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lang w:val="en-US" w:eastAsia="zh-Hans"/>
                <w14:textFill>
                  <w14:solidFill>
                    <w14:schemeClr w14:val="tx1"/>
                  </w14:solidFill>
                </w14:textFill>
              </w:rPr>
              <w:t>对产业发展现状</w:t>
            </w:r>
            <w:r>
              <w:rPr>
                <w:rFonts w:hint="eastAsia" w:ascii="宋体" w:hAnsi="宋体" w:eastAsia="宋体" w:cs="宋体"/>
                <w:color w:val="000000" w:themeColor="text1"/>
                <w:sz w:val="21"/>
                <w:szCs w:val="21"/>
                <w:highlight w:val="none"/>
                <w:lang w:val="en-US"/>
                <w14:textFill>
                  <w14:solidFill>
                    <w14:schemeClr w14:val="tx1"/>
                  </w14:solidFill>
                </w14:textFill>
              </w:rPr>
              <w:t>和需求分析</w:t>
            </w:r>
            <w:r>
              <w:rPr>
                <w:rFonts w:hint="eastAsia" w:ascii="宋体" w:hAnsi="宋体" w:eastAsia="宋体" w:cs="宋体"/>
                <w:color w:val="000000" w:themeColor="text1"/>
                <w:sz w:val="21"/>
                <w:szCs w:val="21"/>
                <w:highlight w:val="none"/>
                <w:lang w:val="en-US" w:eastAsia="zh-Hans"/>
                <w14:textFill>
                  <w14:solidFill>
                    <w14:schemeClr w14:val="tx1"/>
                  </w14:solidFill>
                </w14:textFill>
              </w:rPr>
              <w:t>的认识不准确、不完整，设计的方案对需求的分析不吻合。（0</w:t>
            </w: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w:t>
            </w:r>
          </w:p>
        </w:tc>
        <w:tc>
          <w:tcPr>
            <w:tcW w:w="873" w:type="dxa"/>
            <w:vMerge w:val="restart"/>
            <w:vAlign w:val="center"/>
          </w:tcPr>
          <w:p>
            <w:pPr>
              <w:pStyle w:val="38"/>
              <w:autoSpaceDE/>
              <w:autoSpaceDN/>
              <w:adjustRightInd/>
              <w:spacing w:line="240" w:lineRule="auto"/>
              <w:ind w:firstLine="0"/>
              <w:jc w:val="center"/>
              <w:rPr>
                <w:rFonts w:ascii="宋体" w:hAnsi="宋体" w:eastAsia="宋体"/>
                <w:color w:val="000000" w:themeColor="text1"/>
                <w:sz w:val="21"/>
                <w:szCs w:val="21"/>
                <w:highlight w:val="none"/>
                <w:lang w:val="en-US" w:eastAsia="zh-Hans"/>
                <w14:textFill>
                  <w14:solidFill>
                    <w14:schemeClr w14:val="tx1"/>
                  </w14:solidFill>
                </w14:textFill>
              </w:rPr>
            </w:pPr>
            <w:r>
              <w:rPr>
                <w:rFonts w:ascii="宋体" w:hAnsi="宋体" w:eastAsia="宋体"/>
                <w:color w:val="000000" w:themeColor="text1"/>
                <w:sz w:val="21"/>
                <w:szCs w:val="21"/>
                <w:highlight w:val="none"/>
                <w:lang w:val="en-US" w:eastAsia="zh-Hans"/>
                <w14:textFill>
                  <w14:solidFill>
                    <w14:schemeClr w14:val="tx1"/>
                  </w14:solidFill>
                </w14:textFill>
              </w:rPr>
              <w:t>15</w:t>
            </w:r>
            <w:r>
              <w:rPr>
                <w:rFonts w:hint="eastAsia" w:ascii="宋体" w:hAnsi="宋体" w:eastAsia="宋体"/>
                <w:color w:val="000000" w:themeColor="text1"/>
                <w:sz w:val="21"/>
                <w:szCs w:val="21"/>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7" w:type="dxa"/>
            <w:vMerge w:val="continue"/>
            <w:vAlign w:val="center"/>
          </w:tcPr>
          <w:p>
            <w:pPr>
              <w:pStyle w:val="38"/>
              <w:autoSpaceDE/>
              <w:autoSpaceDN/>
              <w:adjustRightInd/>
              <w:spacing w:line="240" w:lineRule="auto"/>
              <w:ind w:firstLine="0"/>
              <w:jc w:val="left"/>
              <w:rPr>
                <w:color w:val="000000" w:themeColor="text1"/>
                <w:highlight w:val="none"/>
                <w14:textFill>
                  <w14:solidFill>
                    <w14:schemeClr w14:val="tx1"/>
                  </w14:solidFill>
                </w14:textFill>
              </w:rPr>
            </w:pPr>
          </w:p>
        </w:tc>
        <w:tc>
          <w:tcPr>
            <w:tcW w:w="1531" w:type="dxa"/>
            <w:vMerge w:val="continue"/>
            <w:vAlign w:val="center"/>
          </w:tcPr>
          <w:p>
            <w:pPr>
              <w:pStyle w:val="38"/>
              <w:autoSpaceDE/>
              <w:autoSpaceDN/>
              <w:adjustRightInd/>
              <w:spacing w:line="240" w:lineRule="auto"/>
              <w:ind w:firstLine="0"/>
              <w:jc w:val="left"/>
              <w:rPr>
                <w:color w:val="000000" w:themeColor="text1"/>
                <w:highlight w:val="none"/>
                <w14:textFill>
                  <w14:solidFill>
                    <w14:schemeClr w14:val="tx1"/>
                  </w14:solidFill>
                </w14:textFill>
              </w:rPr>
            </w:pPr>
          </w:p>
        </w:tc>
        <w:tc>
          <w:tcPr>
            <w:tcW w:w="5686" w:type="dxa"/>
            <w:vAlign w:val="center"/>
          </w:tcPr>
          <w:p>
            <w:pPr>
              <w:pStyle w:val="38"/>
              <w:autoSpaceDE/>
              <w:autoSpaceDN/>
              <w:adjustRightInd/>
              <w:spacing w:line="240" w:lineRule="auto"/>
              <w:ind w:firstLine="0"/>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方案</w:t>
            </w:r>
            <w:r>
              <w:rPr>
                <w:rFonts w:hint="eastAsia" w:ascii="宋体" w:hAnsi="宋体" w:eastAsia="宋体" w:cs="宋体"/>
                <w:color w:val="000000" w:themeColor="text1"/>
                <w:sz w:val="21"/>
                <w:szCs w:val="21"/>
                <w:highlight w:val="none"/>
                <w:lang w:val="en-US" w:eastAsia="zh-Hans"/>
                <w14:textFill>
                  <w14:solidFill>
                    <w14:schemeClr w14:val="tx1"/>
                  </w14:solidFill>
                </w14:textFill>
              </w:rPr>
              <w:t>总体设计</w:t>
            </w:r>
            <w:r>
              <w:rPr>
                <w:rFonts w:hint="eastAsia" w:ascii="宋体" w:hAnsi="宋体" w:eastAsia="宋体" w:cs="宋体"/>
                <w:color w:val="000000" w:themeColor="text1"/>
                <w:sz w:val="21"/>
                <w:szCs w:val="21"/>
                <w:highlight w:val="none"/>
                <w:lang w:val="en-US"/>
                <w14:textFill>
                  <w14:solidFill>
                    <w14:schemeClr w14:val="tx1"/>
                  </w14:solidFill>
                </w14:textFill>
              </w:rPr>
              <w:t>是否合理、</w:t>
            </w:r>
            <w:r>
              <w:rPr>
                <w:rFonts w:hint="eastAsia" w:ascii="宋体" w:hAnsi="宋体" w:eastAsia="宋体" w:cs="宋体"/>
                <w:color w:val="000000" w:themeColor="text1"/>
                <w:sz w:val="21"/>
                <w:szCs w:val="21"/>
                <w:highlight w:val="none"/>
                <w:lang w:val="en-US" w:eastAsia="zh-Hans"/>
                <w14:textFill>
                  <w14:solidFill>
                    <w14:schemeClr w14:val="tx1"/>
                  </w14:solidFill>
                </w14:textFill>
              </w:rPr>
              <w:t>技术框架</w:t>
            </w:r>
            <w:r>
              <w:rPr>
                <w:rFonts w:hint="eastAsia" w:ascii="宋体" w:hAnsi="宋体" w:eastAsia="宋体" w:cs="宋体"/>
                <w:color w:val="000000" w:themeColor="text1"/>
                <w:sz w:val="21"/>
                <w:szCs w:val="21"/>
                <w:highlight w:val="none"/>
                <w:lang w:val="en-US"/>
                <w14:textFill>
                  <w14:solidFill>
                    <w14:schemeClr w14:val="tx1"/>
                  </w14:solidFill>
                </w14:textFill>
              </w:rPr>
              <w:t>是否规范</w:t>
            </w:r>
            <w:r>
              <w:rPr>
                <w:rFonts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可扩展性是否强</w:t>
            </w:r>
            <w:r>
              <w:rPr>
                <w:rFonts w:hint="eastAsia" w:ascii="宋体" w:hAnsi="宋体" w:eastAsia="宋体" w:cs="宋体"/>
                <w:color w:val="000000" w:themeColor="text1"/>
                <w:sz w:val="21"/>
                <w:szCs w:val="21"/>
                <w:highlight w:val="none"/>
                <w14:textFill>
                  <w14:solidFill>
                    <w14:schemeClr w14:val="tx1"/>
                  </w14:solidFill>
                </w14:textFill>
              </w:rPr>
              <w:t>；</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方案总体设计合理、技术框架规范、可扩展性强</w:t>
            </w:r>
            <w:r>
              <w:rPr>
                <w:rFonts w:hint="eastAsia" w:ascii="宋体" w:hAnsi="宋体" w:eastAsia="宋体" w:cs="宋体"/>
                <w:color w:val="000000" w:themeColor="text1"/>
                <w:sz w:val="21"/>
                <w:szCs w:val="21"/>
                <w:highlight w:val="none"/>
                <w:lang w:val="en-US"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3-5</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方案总体设计基本合理、技术框架基本规范、可扩展性基本可行</w:t>
            </w:r>
            <w:r>
              <w:rPr>
                <w:rFonts w:hint="eastAsia" w:ascii="宋体" w:hAnsi="宋体" w:eastAsia="宋体" w:cs="宋体"/>
                <w:color w:val="000000" w:themeColor="text1"/>
                <w:sz w:val="21"/>
                <w:szCs w:val="21"/>
                <w:highlight w:val="none"/>
                <w:lang w:val="en-US"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2-3</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方案总体设计不合理、技术框架不规范、可扩展性不强</w:t>
            </w:r>
            <w:r>
              <w:rPr>
                <w:rFonts w:hint="eastAsia" w:ascii="宋体" w:hAnsi="宋体" w:eastAsia="宋体" w:cs="宋体"/>
                <w:color w:val="000000" w:themeColor="text1"/>
                <w:sz w:val="21"/>
                <w:szCs w:val="21"/>
                <w:highlight w:val="none"/>
                <w:lang w:val="en-US" w:eastAsia="zh-Hans"/>
                <w14:textFill>
                  <w14:solidFill>
                    <w14:schemeClr w14:val="tx1"/>
                  </w14:solidFill>
                </w14:textFill>
              </w:rPr>
              <w:t>。（0</w:t>
            </w: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w:t>
            </w:r>
          </w:p>
        </w:tc>
        <w:tc>
          <w:tcPr>
            <w:tcW w:w="873" w:type="dxa"/>
            <w:vMerge w:val="continue"/>
            <w:vAlign w:val="center"/>
          </w:tcPr>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07" w:type="dxa"/>
            <w:vMerge w:val="continue"/>
            <w:vAlign w:val="center"/>
          </w:tcPr>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p>
        </w:tc>
        <w:tc>
          <w:tcPr>
            <w:tcW w:w="1531" w:type="dxa"/>
            <w:vMerge w:val="continue"/>
            <w:vAlign w:val="center"/>
          </w:tcPr>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p>
        </w:tc>
        <w:tc>
          <w:tcPr>
            <w:tcW w:w="5686" w:type="dxa"/>
            <w:vAlign w:val="center"/>
          </w:tcPr>
          <w:p>
            <w:pPr>
              <w:pStyle w:val="38"/>
              <w:autoSpaceDE/>
              <w:autoSpaceDN/>
              <w:adjustRightInd/>
              <w:spacing w:line="240" w:lineRule="auto"/>
              <w:ind w:firstLine="0"/>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Hans"/>
                <w14:textFill>
                  <w14:solidFill>
                    <w14:schemeClr w14:val="tx1"/>
                  </w14:solidFill>
                </w14:textFill>
              </w:rPr>
              <w:t>方案设计建设内容</w:t>
            </w:r>
            <w:r>
              <w:rPr>
                <w:rFonts w:hint="eastAsia" w:ascii="宋体" w:hAnsi="宋体" w:eastAsia="宋体" w:cs="宋体"/>
                <w:color w:val="000000" w:themeColor="text1"/>
                <w:sz w:val="21"/>
                <w:szCs w:val="21"/>
                <w:highlight w:val="none"/>
                <w:lang w:val="en-US"/>
                <w14:textFill>
                  <w14:solidFill>
                    <w14:schemeClr w14:val="tx1"/>
                  </w14:solidFill>
                </w14:textFill>
              </w:rPr>
              <w:t>总体的全面性</w:t>
            </w:r>
            <w:r>
              <w:rPr>
                <w:rFonts w:hint="eastAsia" w:ascii="宋体" w:hAnsi="宋体" w:eastAsia="宋体" w:cs="宋体"/>
                <w:color w:val="000000" w:themeColor="text1"/>
                <w:sz w:val="21"/>
                <w:szCs w:val="21"/>
                <w:highlight w:val="none"/>
                <w14:textFill>
                  <w14:solidFill>
                    <w14:schemeClr w14:val="tx1"/>
                  </w14:solidFill>
                </w14:textFill>
              </w:rPr>
              <w:t>；</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方案设计的建设内容丰富、且全面，满足项目要求</w:t>
            </w:r>
            <w:r>
              <w:rPr>
                <w:rFonts w:hint="eastAsia" w:ascii="宋体" w:hAnsi="宋体" w:eastAsia="宋体" w:cs="宋体"/>
                <w:color w:val="000000" w:themeColor="text1"/>
                <w:sz w:val="21"/>
                <w:szCs w:val="21"/>
                <w:highlight w:val="none"/>
                <w:lang w:val="en-US"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3-5</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方案设计的建设内容基本满足项目要求</w:t>
            </w:r>
            <w:r>
              <w:rPr>
                <w:rFonts w:hint="eastAsia" w:ascii="宋体" w:hAnsi="宋体" w:eastAsia="宋体" w:cs="宋体"/>
                <w:color w:val="000000" w:themeColor="text1"/>
                <w:sz w:val="21"/>
                <w:szCs w:val="21"/>
                <w:highlight w:val="none"/>
                <w:lang w:val="en-US"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2-3</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方案总体设计的内容与项目需求不吻合</w:t>
            </w:r>
            <w:r>
              <w:rPr>
                <w:rFonts w:hint="eastAsia" w:ascii="宋体" w:hAnsi="宋体" w:eastAsia="宋体" w:cs="宋体"/>
                <w:color w:val="000000" w:themeColor="text1"/>
                <w:sz w:val="21"/>
                <w:szCs w:val="21"/>
                <w:highlight w:val="none"/>
                <w:lang w:val="en-US" w:eastAsia="zh-Hans"/>
                <w14:textFill>
                  <w14:solidFill>
                    <w14:schemeClr w14:val="tx1"/>
                  </w14:solidFill>
                </w14:textFill>
              </w:rPr>
              <w:t>。（0</w:t>
            </w: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w:t>
            </w:r>
          </w:p>
        </w:tc>
        <w:tc>
          <w:tcPr>
            <w:tcW w:w="873" w:type="dxa"/>
            <w:vMerge w:val="continue"/>
            <w:vAlign w:val="center"/>
          </w:tcPr>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07" w:type="dxa"/>
            <w:vMerge w:val="continue"/>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p>
        </w:tc>
        <w:tc>
          <w:tcPr>
            <w:tcW w:w="1531" w:type="dxa"/>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项目实施方案</w:t>
            </w:r>
          </w:p>
        </w:tc>
        <w:tc>
          <w:tcPr>
            <w:tcW w:w="5686" w:type="dxa"/>
            <w:vAlign w:val="center"/>
          </w:tcPr>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项目实施与管理方案的合理性及完整性</w:t>
            </w:r>
            <w:r>
              <w:rPr>
                <w:rFonts w:hint="eastAsia" w:ascii="宋体" w:hAnsi="宋体" w:eastAsia="宋体" w:cs="宋体"/>
                <w:color w:val="000000" w:themeColor="text1"/>
                <w:sz w:val="21"/>
                <w:szCs w:val="21"/>
                <w:highlight w:val="none"/>
                <w:lang w:val="en-US"/>
                <w14:textFill>
                  <w14:solidFill>
                    <w14:schemeClr w14:val="tx1"/>
                  </w14:solidFill>
                </w14:textFill>
              </w:rPr>
              <w:t>；</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实施人员</w:t>
            </w:r>
            <w:r>
              <w:rPr>
                <w:rFonts w:hint="eastAsia" w:ascii="宋体" w:hAnsi="宋体" w:eastAsia="宋体" w:cs="宋体"/>
                <w:color w:val="000000" w:themeColor="text1"/>
                <w:sz w:val="21"/>
                <w:szCs w:val="21"/>
                <w:highlight w:val="none"/>
                <w:lang w:val="en-US"/>
                <w14:textFill>
                  <w14:solidFill>
                    <w14:schemeClr w14:val="tx1"/>
                  </w14:solidFill>
                </w14:textFill>
              </w:rPr>
              <w:t>计划安排基本</w:t>
            </w:r>
            <w:r>
              <w:rPr>
                <w:rFonts w:hint="eastAsia" w:ascii="宋体" w:hAnsi="宋体" w:eastAsia="宋体" w:cs="宋体"/>
                <w:color w:val="000000" w:themeColor="text1"/>
                <w:sz w:val="21"/>
                <w:szCs w:val="21"/>
                <w:highlight w:val="none"/>
                <w14:textFill>
                  <w14:solidFill>
                    <w14:schemeClr w14:val="tx1"/>
                  </w14:solidFill>
                </w14:textFill>
              </w:rPr>
              <w:t>合理，</w:t>
            </w:r>
            <w:r>
              <w:rPr>
                <w:rFonts w:hint="eastAsia" w:ascii="宋体" w:hAnsi="宋体" w:eastAsia="宋体" w:cs="宋体"/>
                <w:color w:val="000000" w:themeColor="text1"/>
                <w:sz w:val="21"/>
                <w:szCs w:val="21"/>
                <w:highlight w:val="none"/>
                <w:lang w:val="en-US"/>
                <w14:textFill>
                  <w14:solidFill>
                    <w14:schemeClr w14:val="tx1"/>
                  </w14:solidFill>
                </w14:textFill>
              </w:rPr>
              <w:t>进度安排和实施步骤</w:t>
            </w:r>
            <w:r>
              <w:rPr>
                <w:rFonts w:hint="eastAsia" w:ascii="宋体" w:hAnsi="宋体" w:eastAsia="宋体" w:cs="宋体"/>
                <w:color w:val="000000" w:themeColor="text1"/>
                <w:sz w:val="21"/>
                <w:szCs w:val="21"/>
                <w:highlight w:val="none"/>
                <w14:textFill>
                  <w14:solidFill>
                    <w14:schemeClr w14:val="tx1"/>
                  </w14:solidFill>
                </w14:textFill>
              </w:rPr>
              <w:t>科学合理性好，对</w:t>
            </w:r>
            <w:r>
              <w:rPr>
                <w:rFonts w:hint="eastAsia" w:ascii="宋体" w:hAnsi="宋体" w:eastAsia="宋体" w:cs="宋体"/>
                <w:color w:val="000000" w:themeColor="text1"/>
                <w:sz w:val="21"/>
                <w:szCs w:val="21"/>
                <w:highlight w:val="none"/>
                <w:lang w:val="en-US"/>
                <w14:textFill>
                  <w14:solidFill>
                    <w14:schemeClr w14:val="tx1"/>
                  </w14:solidFill>
                </w14:textFill>
              </w:rPr>
              <w:t>相关保障措施</w:t>
            </w:r>
            <w:r>
              <w:rPr>
                <w:rFonts w:hint="eastAsia" w:ascii="宋体" w:hAnsi="宋体" w:eastAsia="宋体" w:cs="宋体"/>
                <w:color w:val="000000" w:themeColor="text1"/>
                <w:sz w:val="21"/>
                <w:szCs w:val="21"/>
                <w:highlight w:val="none"/>
                <w14:textFill>
                  <w14:solidFill>
                    <w14:schemeClr w14:val="tx1"/>
                  </w14:solidFill>
                </w14:textFill>
              </w:rPr>
              <w:t>等</w:t>
            </w:r>
            <w:r>
              <w:rPr>
                <w:rFonts w:hint="eastAsia" w:ascii="宋体" w:hAnsi="宋体" w:eastAsia="宋体" w:cs="宋体"/>
                <w:color w:val="000000" w:themeColor="text1"/>
                <w:sz w:val="21"/>
                <w:szCs w:val="21"/>
                <w:highlight w:val="none"/>
                <w:lang w:val="en-US"/>
                <w14:textFill>
                  <w14:solidFill>
                    <w14:schemeClr w14:val="tx1"/>
                  </w14:solidFill>
                </w14:textFill>
              </w:rPr>
              <w:t>内容进行</w:t>
            </w:r>
            <w:r>
              <w:rPr>
                <w:rFonts w:hint="eastAsia" w:ascii="宋体" w:hAnsi="宋体" w:eastAsia="宋体" w:cs="宋体"/>
                <w:color w:val="000000" w:themeColor="text1"/>
                <w:sz w:val="21"/>
                <w:szCs w:val="21"/>
                <w:highlight w:val="none"/>
                <w14:textFill>
                  <w14:solidFill>
                    <w14:schemeClr w14:val="tx1"/>
                  </w14:solidFill>
                </w14:textFill>
              </w:rPr>
              <w:t>了非常</w:t>
            </w:r>
            <w:r>
              <w:rPr>
                <w:rFonts w:hint="eastAsia" w:ascii="宋体" w:hAnsi="宋体" w:eastAsia="宋体" w:cs="宋体"/>
                <w:color w:val="000000" w:themeColor="text1"/>
                <w:sz w:val="21"/>
                <w:szCs w:val="21"/>
                <w:highlight w:val="none"/>
                <w:lang w:val="en-US"/>
                <w14:textFill>
                  <w14:solidFill>
                    <w14:schemeClr w14:val="tx1"/>
                  </w14:solidFill>
                </w14:textFill>
              </w:rPr>
              <w:t>合理的</w:t>
            </w:r>
            <w:r>
              <w:rPr>
                <w:rFonts w:hint="eastAsia" w:ascii="宋体" w:hAnsi="宋体" w:eastAsia="宋体" w:cs="宋体"/>
                <w:color w:val="000000" w:themeColor="text1"/>
                <w:sz w:val="21"/>
                <w:szCs w:val="21"/>
                <w:highlight w:val="none"/>
                <w14:textFill>
                  <w14:solidFill>
                    <w14:schemeClr w14:val="tx1"/>
                  </w14:solidFill>
                </w14:textFill>
              </w:rPr>
              <w:t>规划；（</w:t>
            </w:r>
            <w:r>
              <w:rPr>
                <w:rFonts w:hint="eastAsia" w:ascii="宋体" w:hAnsi="宋体" w:eastAsia="宋体" w:cs="宋体"/>
                <w:color w:val="000000" w:themeColor="text1"/>
                <w:sz w:val="21"/>
                <w:szCs w:val="21"/>
                <w:highlight w:val="none"/>
                <w:lang w:val="en-US"/>
                <w14:textFill>
                  <w14:solidFill>
                    <w14:schemeClr w14:val="tx1"/>
                  </w14:solidFill>
                </w14:textFill>
              </w:rPr>
              <w:t>4-6</w:t>
            </w:r>
            <w:r>
              <w:rPr>
                <w:rFonts w:hint="eastAsia" w:ascii="宋体" w:hAnsi="宋体" w:eastAsia="宋体" w:cs="宋体"/>
                <w:color w:val="000000" w:themeColor="text1"/>
                <w:sz w:val="21"/>
                <w:szCs w:val="21"/>
                <w:highlight w:val="none"/>
                <w14:textFill>
                  <w14:solidFill>
                    <w14:schemeClr w14:val="tx1"/>
                  </w14:solidFill>
                </w14:textFill>
              </w:rPr>
              <w:t xml:space="preserve">分） </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实施人员</w:t>
            </w:r>
            <w:r>
              <w:rPr>
                <w:rFonts w:hint="eastAsia" w:ascii="宋体" w:hAnsi="宋体" w:eastAsia="宋体" w:cs="宋体"/>
                <w:color w:val="000000" w:themeColor="text1"/>
                <w:sz w:val="21"/>
                <w:szCs w:val="21"/>
                <w:highlight w:val="none"/>
                <w:lang w:val="en-US"/>
                <w14:textFill>
                  <w14:solidFill>
                    <w14:schemeClr w14:val="tx1"/>
                  </w14:solidFill>
                </w14:textFill>
              </w:rPr>
              <w:t>计划安排</w:t>
            </w:r>
            <w:r>
              <w:rPr>
                <w:rFonts w:hint="eastAsia" w:ascii="宋体" w:hAnsi="宋体" w:eastAsia="宋体" w:cs="宋体"/>
                <w:color w:val="000000" w:themeColor="text1"/>
                <w:sz w:val="21"/>
                <w:szCs w:val="21"/>
                <w:highlight w:val="none"/>
                <w14:textFill>
                  <w14:solidFill>
                    <w14:schemeClr w14:val="tx1"/>
                  </w14:solidFill>
                </w14:textFill>
              </w:rPr>
              <w:t>合理性好，</w:t>
            </w:r>
            <w:r>
              <w:rPr>
                <w:rFonts w:hint="eastAsia" w:ascii="宋体" w:hAnsi="宋体" w:eastAsia="宋体" w:cs="宋体"/>
                <w:color w:val="000000" w:themeColor="text1"/>
                <w:sz w:val="21"/>
                <w:szCs w:val="21"/>
                <w:highlight w:val="none"/>
                <w:lang w:val="en-US"/>
                <w14:textFill>
                  <w14:solidFill>
                    <w14:schemeClr w14:val="tx1"/>
                  </w14:solidFill>
                </w14:textFill>
              </w:rPr>
              <w:t>进度安排和实施步骤基本合理</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基本描述了相关保障措施</w:t>
            </w:r>
            <w:r>
              <w:rPr>
                <w:rFonts w:hint="eastAsia" w:ascii="宋体" w:hAnsi="宋体" w:eastAsia="宋体" w:cs="宋体"/>
                <w:color w:val="000000" w:themeColor="text1"/>
                <w:sz w:val="21"/>
                <w:szCs w:val="21"/>
                <w:highlight w:val="none"/>
                <w14:textFill>
                  <w14:solidFill>
                    <w14:schemeClr w14:val="tx1"/>
                  </w14:solidFill>
                </w14:textFill>
              </w:rPr>
              <w:t>等</w:t>
            </w:r>
            <w:r>
              <w:rPr>
                <w:rFonts w:hint="eastAsia" w:ascii="宋体" w:hAnsi="宋体" w:eastAsia="宋体" w:cs="宋体"/>
                <w:color w:val="000000" w:themeColor="text1"/>
                <w:sz w:val="21"/>
                <w:szCs w:val="21"/>
                <w:highlight w:val="none"/>
                <w:lang w:val="en-US"/>
                <w14:textFill>
                  <w14:solidFill>
                    <w14:schemeClr w14:val="tx1"/>
                  </w14:solidFill>
                </w14:textFill>
              </w:rPr>
              <w:t>内容</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2-4</w:t>
            </w:r>
            <w:r>
              <w:rPr>
                <w:rFonts w:hint="eastAsia" w:ascii="宋体" w:hAnsi="宋体" w:eastAsia="宋体" w:cs="宋体"/>
                <w:color w:val="000000" w:themeColor="text1"/>
                <w:sz w:val="21"/>
                <w:szCs w:val="21"/>
                <w:highlight w:val="none"/>
                <w14:textFill>
                  <w14:solidFill>
                    <w14:schemeClr w14:val="tx1"/>
                  </w14:solidFill>
                </w14:textFill>
              </w:rPr>
              <w:t xml:space="preserve">分） </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实施人员</w:t>
            </w:r>
            <w:r>
              <w:rPr>
                <w:rFonts w:hint="eastAsia" w:ascii="宋体" w:hAnsi="宋体" w:eastAsia="宋体" w:cs="宋体"/>
                <w:color w:val="000000" w:themeColor="text1"/>
                <w:sz w:val="21"/>
                <w:szCs w:val="21"/>
                <w:highlight w:val="none"/>
                <w:lang w:val="en-US"/>
                <w14:textFill>
                  <w14:solidFill>
                    <w14:schemeClr w14:val="tx1"/>
                  </w14:solidFill>
                </w14:textFill>
              </w:rPr>
              <w:t>计划安排</w:t>
            </w:r>
            <w:r>
              <w:rPr>
                <w:rFonts w:hint="eastAsia" w:ascii="宋体" w:hAnsi="宋体" w:eastAsia="宋体" w:cs="宋体"/>
                <w:color w:val="000000" w:themeColor="text1"/>
                <w:sz w:val="21"/>
                <w:szCs w:val="21"/>
                <w:highlight w:val="none"/>
                <w14:textFill>
                  <w14:solidFill>
                    <w14:schemeClr w14:val="tx1"/>
                  </w14:solidFill>
                </w14:textFill>
              </w:rPr>
              <w:t>合理性</w:t>
            </w:r>
            <w:r>
              <w:rPr>
                <w:rFonts w:hint="eastAsia" w:ascii="宋体" w:hAnsi="宋体" w:eastAsia="宋体" w:cs="宋体"/>
                <w:color w:val="000000" w:themeColor="text1"/>
                <w:sz w:val="21"/>
                <w:szCs w:val="21"/>
                <w:highlight w:val="none"/>
                <w:lang w:val="en-US"/>
                <w14:textFill>
                  <w14:solidFill>
                    <w14:schemeClr w14:val="tx1"/>
                  </w14:solidFill>
                </w14:textFill>
              </w:rPr>
              <w:t>差</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进度安排和实施步骤合理性差</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相关保障措施</w:t>
            </w:r>
            <w:r>
              <w:rPr>
                <w:rFonts w:hint="eastAsia" w:ascii="宋体" w:hAnsi="宋体" w:eastAsia="宋体" w:cs="宋体"/>
                <w:color w:val="000000" w:themeColor="text1"/>
                <w:sz w:val="21"/>
                <w:szCs w:val="21"/>
                <w:highlight w:val="none"/>
                <w14:textFill>
                  <w14:solidFill>
                    <w14:schemeClr w14:val="tx1"/>
                  </w14:solidFill>
                </w14:textFill>
              </w:rPr>
              <w:t>等</w:t>
            </w:r>
            <w:r>
              <w:rPr>
                <w:rFonts w:hint="eastAsia" w:ascii="宋体" w:hAnsi="宋体" w:eastAsia="宋体" w:cs="宋体"/>
                <w:color w:val="000000" w:themeColor="text1"/>
                <w:sz w:val="21"/>
                <w:szCs w:val="21"/>
                <w:highlight w:val="none"/>
                <w:lang w:val="en-US"/>
                <w14:textFill>
                  <w14:solidFill>
                    <w14:schemeClr w14:val="tx1"/>
                  </w14:solidFill>
                </w14:textFill>
              </w:rPr>
              <w:t>内容描述不合理；（0-2分）</w:t>
            </w:r>
          </w:p>
        </w:tc>
        <w:tc>
          <w:tcPr>
            <w:tcW w:w="873" w:type="dxa"/>
            <w:vAlign w:val="center"/>
          </w:tcPr>
          <w:p>
            <w:pPr>
              <w:pStyle w:val="38"/>
              <w:autoSpaceDE/>
              <w:autoSpaceDN/>
              <w:adjustRightInd/>
              <w:spacing w:line="240" w:lineRule="auto"/>
              <w:ind w:firstLine="0"/>
              <w:jc w:val="center"/>
              <w:rPr>
                <w:rFonts w:ascii="宋体" w:hAnsi="宋体" w:eastAsia="宋体"/>
                <w:color w:val="000000" w:themeColor="text1"/>
                <w:sz w:val="21"/>
                <w:szCs w:val="21"/>
                <w:highlight w:val="none"/>
                <w:lang w:val="en-US" w:eastAsia="zh-Hans"/>
                <w14:textFill>
                  <w14:solidFill>
                    <w14:schemeClr w14:val="tx1"/>
                  </w14:solidFill>
                </w14:textFill>
              </w:rPr>
            </w:pPr>
            <w:r>
              <w:rPr>
                <w:rFonts w:ascii="宋体" w:hAnsi="宋体" w:eastAsia="宋体"/>
                <w:color w:val="000000" w:themeColor="text1"/>
                <w:sz w:val="21"/>
                <w:szCs w:val="21"/>
                <w:highlight w:val="none"/>
                <w:lang w:val="en-US"/>
                <w14:textFill>
                  <w14:solidFill>
                    <w14:schemeClr w14:val="tx1"/>
                  </w14:solidFill>
                </w14:textFill>
              </w:rPr>
              <w:t>6</w:t>
            </w:r>
            <w:r>
              <w:rPr>
                <w:rFonts w:hint="eastAsia" w:ascii="宋体" w:hAnsi="宋体" w:eastAsia="宋体"/>
                <w:color w:val="000000" w:themeColor="text1"/>
                <w:sz w:val="21"/>
                <w:szCs w:val="21"/>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7" w:type="dxa"/>
            <w:vMerge w:val="continue"/>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p>
        </w:tc>
        <w:tc>
          <w:tcPr>
            <w:tcW w:w="1531" w:type="dxa"/>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lang w:val="en-US" w:eastAsia="zh-Hans"/>
                <w14:textFill>
                  <w14:solidFill>
                    <w14:schemeClr w14:val="tx1"/>
                  </w14:solidFill>
                </w14:textFill>
              </w:rPr>
              <w:t>安全方案</w:t>
            </w:r>
          </w:p>
        </w:tc>
        <w:tc>
          <w:tcPr>
            <w:tcW w:w="5686" w:type="dxa"/>
            <w:vAlign w:val="center"/>
          </w:tcPr>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安全方案的合理性及完整性；</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详细描述平台的安全监测、数据保护、定时备份、数据恢复等内容，方案详实且合理</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3-5</w:t>
            </w:r>
            <w:r>
              <w:rPr>
                <w:rFonts w:hint="eastAsia" w:ascii="宋体" w:hAnsi="宋体" w:eastAsia="宋体" w:cs="宋体"/>
                <w:color w:val="000000" w:themeColor="text1"/>
                <w:sz w:val="21"/>
                <w:szCs w:val="21"/>
                <w:highlight w:val="none"/>
                <w14:textFill>
                  <w14:solidFill>
                    <w14:schemeClr w14:val="tx1"/>
                  </w14:solidFill>
                </w14:textFill>
              </w:rPr>
              <w:t xml:space="preserve">分） </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较为详细描述平台的安全监测、数据保护、定时备份、数据恢复等内容，方案基本详实、基本合理</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t xml:space="preserve">分） </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不能够提供详细描述平台的安全监测、数据保护、定时备份、数据恢复等内容，方案详实性差、不合理；（0-2分）</w:t>
            </w:r>
          </w:p>
        </w:tc>
        <w:tc>
          <w:tcPr>
            <w:tcW w:w="873" w:type="dxa"/>
            <w:vAlign w:val="center"/>
          </w:tcPr>
          <w:p>
            <w:pPr>
              <w:pStyle w:val="38"/>
              <w:autoSpaceDE/>
              <w:autoSpaceDN/>
              <w:adjustRightInd/>
              <w:spacing w:line="240" w:lineRule="auto"/>
              <w:ind w:firstLine="0"/>
              <w:jc w:val="center"/>
              <w:rPr>
                <w:rFonts w:ascii="宋体" w:hAnsi="宋体" w:eastAsia="宋体"/>
                <w:color w:val="000000" w:themeColor="text1"/>
                <w:sz w:val="21"/>
                <w:szCs w:val="21"/>
                <w:highlight w:val="none"/>
                <w14:textFill>
                  <w14:solidFill>
                    <w14:schemeClr w14:val="tx1"/>
                  </w14:solidFill>
                </w14:textFill>
              </w:rPr>
            </w:pPr>
            <w:r>
              <w:rPr>
                <w:rFonts w:ascii="宋体" w:hAnsi="宋体" w:eastAsia="宋体"/>
                <w:color w:val="000000" w:themeColor="text1"/>
                <w:sz w:val="21"/>
                <w:szCs w:val="21"/>
                <w:highlight w:val="none"/>
                <w14:textFill>
                  <w14:solidFill>
                    <w14:schemeClr w14:val="tx1"/>
                  </w14:solidFill>
                </w14:textFill>
              </w:rPr>
              <w:t>5</w:t>
            </w:r>
            <w:r>
              <w:rPr>
                <w:rFonts w:hint="eastAsia" w:ascii="宋体" w:hAnsi="宋体" w:eastAsia="宋体"/>
                <w:color w:val="000000" w:themeColor="text1"/>
                <w:sz w:val="21"/>
                <w:szCs w:val="21"/>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p>
        </w:tc>
        <w:tc>
          <w:tcPr>
            <w:tcW w:w="1531" w:type="dxa"/>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培训方案</w:t>
            </w:r>
          </w:p>
        </w:tc>
        <w:tc>
          <w:tcPr>
            <w:tcW w:w="5686" w:type="dxa"/>
            <w:vAlign w:val="center"/>
          </w:tcPr>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培训方案的完整性及可操作性</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能够提供详细的服务和培训方案（</w:t>
            </w:r>
            <w:r>
              <w:rPr>
                <w:rFonts w:hint="eastAsia" w:ascii="宋体" w:hAnsi="宋体" w:eastAsia="宋体" w:cs="宋体"/>
                <w:color w:val="000000" w:themeColor="text1"/>
                <w:sz w:val="21"/>
                <w:szCs w:val="21"/>
                <w:highlight w:val="none"/>
                <w:lang w:val="en-US"/>
                <w14:textFill>
                  <w14:solidFill>
                    <w14:schemeClr w14:val="tx1"/>
                  </w14:solidFill>
                </w14:textFill>
              </w:rPr>
              <w:t>包括：培训体系、培训管理、培训目标与方法、培训安排等内容</w:t>
            </w:r>
            <w:r>
              <w:rPr>
                <w:rFonts w:hint="eastAsia" w:ascii="宋体" w:hAnsi="宋体" w:eastAsia="宋体" w:cs="宋体"/>
                <w:color w:val="000000" w:themeColor="text1"/>
                <w:sz w:val="21"/>
                <w:szCs w:val="21"/>
                <w:highlight w:val="none"/>
                <w14:textFill>
                  <w14:solidFill>
                    <w14:schemeClr w14:val="tx1"/>
                  </w14:solidFill>
                </w14:textFill>
              </w:rPr>
              <w:t>），可操作性好；（</w:t>
            </w:r>
            <w:r>
              <w:rPr>
                <w:rFonts w:hint="eastAsia" w:ascii="宋体" w:hAnsi="宋体" w:eastAsia="宋体" w:cs="宋体"/>
                <w:color w:val="000000" w:themeColor="text1"/>
                <w:sz w:val="21"/>
                <w:szCs w:val="21"/>
                <w:highlight w:val="none"/>
                <w:lang w:val="en-US"/>
                <w14:textFill>
                  <w14:solidFill>
                    <w14:schemeClr w14:val="tx1"/>
                  </w14:solidFill>
                </w14:textFill>
              </w:rPr>
              <w:t>3-5</w:t>
            </w:r>
            <w:r>
              <w:rPr>
                <w:rFonts w:hint="eastAsia" w:ascii="宋体" w:hAnsi="宋体" w:eastAsia="宋体" w:cs="宋体"/>
                <w:color w:val="000000" w:themeColor="text1"/>
                <w:sz w:val="21"/>
                <w:szCs w:val="21"/>
                <w:highlight w:val="none"/>
                <w14:textFill>
                  <w14:solidFill>
                    <w14:schemeClr w14:val="tx1"/>
                  </w14:solidFill>
                </w14:textFill>
              </w:rPr>
              <w:t>分）</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基本</w:t>
            </w:r>
            <w:r>
              <w:rPr>
                <w:rFonts w:hint="eastAsia" w:ascii="宋体" w:hAnsi="宋体" w:eastAsia="宋体" w:cs="宋体"/>
                <w:color w:val="000000" w:themeColor="text1"/>
                <w:sz w:val="21"/>
                <w:szCs w:val="21"/>
                <w:highlight w:val="none"/>
                <w14:textFill>
                  <w14:solidFill>
                    <w14:schemeClr w14:val="tx1"/>
                  </w14:solidFill>
                </w14:textFill>
              </w:rPr>
              <w:t>能够提供</w:t>
            </w:r>
            <w:r>
              <w:rPr>
                <w:rFonts w:hint="eastAsia" w:ascii="宋体" w:hAnsi="宋体" w:eastAsia="宋体" w:cs="宋体"/>
                <w:color w:val="000000" w:themeColor="text1"/>
                <w:sz w:val="21"/>
                <w:szCs w:val="21"/>
                <w:highlight w:val="none"/>
                <w:lang w:val="en-US"/>
                <w14:textFill>
                  <w14:solidFill>
                    <w14:schemeClr w14:val="tx1"/>
                  </w14:solidFill>
                </w14:textFill>
              </w:rPr>
              <w:t>较为详细的</w:t>
            </w:r>
            <w:r>
              <w:rPr>
                <w:rFonts w:hint="eastAsia" w:ascii="宋体" w:hAnsi="宋体" w:eastAsia="宋体" w:cs="宋体"/>
                <w:color w:val="000000" w:themeColor="text1"/>
                <w:sz w:val="21"/>
                <w:szCs w:val="21"/>
                <w:highlight w:val="none"/>
                <w14:textFill>
                  <w14:solidFill>
                    <w14:schemeClr w14:val="tx1"/>
                  </w14:solidFill>
                </w14:textFill>
              </w:rPr>
              <w:t>服务和培训方案（</w:t>
            </w:r>
            <w:r>
              <w:rPr>
                <w:rFonts w:hint="eastAsia" w:ascii="宋体" w:hAnsi="宋体" w:eastAsia="宋体" w:cs="宋体"/>
                <w:color w:val="000000" w:themeColor="text1"/>
                <w:sz w:val="21"/>
                <w:szCs w:val="21"/>
                <w:highlight w:val="none"/>
                <w:lang w:val="en-US"/>
                <w14:textFill>
                  <w14:solidFill>
                    <w14:schemeClr w14:val="tx1"/>
                  </w14:solidFill>
                </w14:textFill>
              </w:rPr>
              <w:t>包括：培训体系、培训管理、培训目标与方法、培训安排等内容</w:t>
            </w:r>
            <w:r>
              <w:rPr>
                <w:rFonts w:hint="eastAsia" w:ascii="宋体" w:hAnsi="宋体" w:eastAsia="宋体" w:cs="宋体"/>
                <w:color w:val="000000" w:themeColor="text1"/>
                <w:sz w:val="21"/>
                <w:szCs w:val="21"/>
                <w:highlight w:val="none"/>
                <w14:textFill>
                  <w14:solidFill>
                    <w14:schemeClr w14:val="tx1"/>
                  </w14:solidFill>
                </w14:textFill>
              </w:rPr>
              <w:t>），可操作性</w:t>
            </w:r>
            <w:r>
              <w:rPr>
                <w:rFonts w:hint="eastAsia" w:ascii="宋体" w:hAnsi="宋体" w:eastAsia="宋体" w:cs="宋体"/>
                <w:color w:val="000000" w:themeColor="text1"/>
                <w:sz w:val="21"/>
                <w:szCs w:val="21"/>
                <w:highlight w:val="none"/>
                <w:lang w:val="en-US"/>
                <w14:textFill>
                  <w14:solidFill>
                    <w14:schemeClr w14:val="tx1"/>
                  </w14:solidFill>
                </w14:textFill>
              </w:rPr>
              <w:t>良好</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2-3</w:t>
            </w:r>
            <w:r>
              <w:rPr>
                <w:rFonts w:hint="eastAsia" w:ascii="宋体" w:hAnsi="宋体" w:eastAsia="宋体" w:cs="宋体"/>
                <w:color w:val="000000" w:themeColor="text1"/>
                <w:sz w:val="21"/>
                <w:szCs w:val="21"/>
                <w:highlight w:val="none"/>
                <w14:textFill>
                  <w14:solidFill>
                    <w14:schemeClr w14:val="tx1"/>
                  </w14:solidFill>
                </w14:textFill>
              </w:rPr>
              <w:t>分）</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不能够提供详细的服务和培训方案，可操作性差。（0</w:t>
            </w: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873" w:type="dxa"/>
            <w:vAlign w:val="center"/>
          </w:tcPr>
          <w:p>
            <w:pPr>
              <w:pStyle w:val="38"/>
              <w:autoSpaceDE/>
              <w:autoSpaceDN/>
              <w:adjustRightInd/>
              <w:spacing w:line="240" w:lineRule="auto"/>
              <w:ind w:firstLine="0"/>
              <w:jc w:val="center"/>
              <w:rPr>
                <w:rFonts w:ascii="宋体" w:hAnsi="宋体" w:eastAsia="宋体"/>
                <w:color w:val="000000" w:themeColor="text1"/>
                <w:sz w:val="21"/>
                <w:szCs w:val="21"/>
                <w:highlight w:val="none"/>
                <w:lang w:val="en-US" w:eastAsia="zh-Hans"/>
                <w14:textFill>
                  <w14:solidFill>
                    <w14:schemeClr w14:val="tx1"/>
                  </w14:solidFill>
                </w14:textFill>
              </w:rPr>
            </w:pPr>
            <w:r>
              <w:rPr>
                <w:rFonts w:ascii="宋体" w:hAnsi="宋体" w:eastAsia="宋体"/>
                <w:color w:val="000000" w:themeColor="text1"/>
                <w:sz w:val="21"/>
                <w:szCs w:val="21"/>
                <w:highlight w:val="none"/>
                <w:lang w:val="en-US" w:eastAsia="zh-Hans"/>
                <w14:textFill>
                  <w14:solidFill>
                    <w14:schemeClr w14:val="tx1"/>
                  </w14:solidFill>
                </w14:textFill>
              </w:rPr>
              <w:t>5</w:t>
            </w:r>
            <w:r>
              <w:rPr>
                <w:rFonts w:hint="eastAsia" w:ascii="宋体" w:hAnsi="宋体" w:eastAsia="宋体"/>
                <w:color w:val="000000" w:themeColor="text1"/>
                <w:sz w:val="21"/>
                <w:szCs w:val="21"/>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p>
        </w:tc>
        <w:tc>
          <w:tcPr>
            <w:tcW w:w="1531" w:type="dxa"/>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售后服务方案</w:t>
            </w:r>
          </w:p>
        </w:tc>
        <w:tc>
          <w:tcPr>
            <w:tcW w:w="5686" w:type="dxa"/>
            <w:vAlign w:val="center"/>
          </w:tcPr>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提供项目售后服务方案，评委根据方案中的服务目标、服务范围、服务内容、服务方式、服务期和响应时间等内容进行综合打分，</w:t>
            </w:r>
            <w:r>
              <w:rPr>
                <w:rFonts w:hint="eastAsia" w:ascii="宋体" w:hAnsi="宋体" w:eastAsia="宋体" w:cs="宋体"/>
                <w:color w:val="000000" w:themeColor="text1"/>
                <w:sz w:val="21"/>
                <w:szCs w:val="21"/>
                <w:highlight w:val="none"/>
                <w:lang w:val="en-US" w:eastAsia="zh-Hans"/>
                <w14:textFill>
                  <w14:solidFill>
                    <w14:schemeClr w14:val="tx1"/>
                  </w14:solidFill>
                </w14:textFill>
              </w:rPr>
              <w:t>满分</w:t>
            </w:r>
            <w:r>
              <w:rPr>
                <w:rFonts w:ascii="宋体" w:hAnsi="宋体" w:eastAsia="宋体" w:cs="宋体"/>
                <w:color w:val="000000" w:themeColor="text1"/>
                <w:sz w:val="21"/>
                <w:szCs w:val="21"/>
                <w:highlight w:val="none"/>
                <w:lang w:eastAsia="zh-Hans"/>
                <w14:textFill>
                  <w14:solidFill>
                    <w14:schemeClr w14:val="tx1"/>
                  </w14:solidFill>
                </w14:textFill>
              </w:rPr>
              <w:t>4</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w:t>
            </w:r>
            <w:r>
              <w:rPr>
                <w:rFonts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未提供方案的不得分。</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lang w:val="en-US" w:eastAsia="zh-Hans"/>
                <w14:textFill>
                  <w14:solidFill>
                    <w14:schemeClr w14:val="tx1"/>
                  </w14:solidFill>
                </w14:textFill>
              </w:rPr>
              <w:t>投标人在三年服务期基础上</w:t>
            </w:r>
            <w:r>
              <w:rPr>
                <w:rFonts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eastAsia="zh-Hans"/>
                <w14:textFill>
                  <w14:solidFill>
                    <w14:schemeClr w14:val="tx1"/>
                  </w14:solidFill>
                </w14:textFill>
              </w:rPr>
              <w:t>每增加一年得</w:t>
            </w:r>
            <w:r>
              <w:rPr>
                <w:rFonts w:ascii="宋体" w:hAnsi="宋体" w:eastAsia="宋体" w:cs="宋体"/>
                <w:color w:val="000000" w:themeColor="text1"/>
                <w:sz w:val="21"/>
                <w:szCs w:val="21"/>
                <w:highlight w:val="none"/>
                <w:lang w:eastAsia="zh-Hans"/>
                <w14:textFill>
                  <w14:solidFill>
                    <w14:schemeClr w14:val="tx1"/>
                  </w14:solidFill>
                </w14:textFill>
              </w:rPr>
              <w:t>1</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w:t>
            </w:r>
            <w:r>
              <w:rPr>
                <w:rFonts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eastAsia="zh-Hans"/>
                <w14:textFill>
                  <w14:solidFill>
                    <w14:schemeClr w14:val="tx1"/>
                  </w14:solidFill>
                </w14:textFill>
              </w:rPr>
              <w:t>提供售后服务承诺函</w:t>
            </w:r>
            <w:r>
              <w:rPr>
                <w:rFonts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eastAsia="zh-Hans"/>
                <w14:textFill>
                  <w14:solidFill>
                    <w14:schemeClr w14:val="tx1"/>
                  </w14:solidFill>
                </w14:textFill>
              </w:rPr>
              <w:t>满分</w:t>
            </w:r>
            <w:r>
              <w:rPr>
                <w:rFonts w:ascii="宋体" w:hAnsi="宋体" w:eastAsia="宋体" w:cs="宋体"/>
                <w:color w:val="000000" w:themeColor="text1"/>
                <w:sz w:val="21"/>
                <w:szCs w:val="21"/>
                <w:highlight w:val="none"/>
                <w:lang w:eastAsia="zh-Hans"/>
                <w14:textFill>
                  <w14:solidFill>
                    <w14:schemeClr w14:val="tx1"/>
                  </w14:solidFill>
                </w14:textFill>
              </w:rPr>
              <w:t>2</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w:t>
            </w:r>
            <w:r>
              <w:rPr>
                <w:rFonts w:ascii="宋体" w:hAnsi="宋体" w:eastAsia="宋体" w:cs="宋体"/>
                <w:color w:val="000000" w:themeColor="text1"/>
                <w:sz w:val="21"/>
                <w:szCs w:val="21"/>
                <w:highlight w:val="none"/>
                <w:lang w:eastAsia="zh-Hans"/>
                <w14:textFill>
                  <w14:solidFill>
                    <w14:schemeClr w14:val="tx1"/>
                  </w14:solidFill>
                </w14:textFill>
              </w:rPr>
              <w:t>。</w:t>
            </w:r>
          </w:p>
        </w:tc>
        <w:tc>
          <w:tcPr>
            <w:tcW w:w="873" w:type="dxa"/>
            <w:vAlign w:val="center"/>
          </w:tcPr>
          <w:p>
            <w:pPr>
              <w:pStyle w:val="38"/>
              <w:autoSpaceDE/>
              <w:autoSpaceDN/>
              <w:adjustRightInd/>
              <w:spacing w:line="240" w:lineRule="auto"/>
              <w:ind w:firstLine="0"/>
              <w:jc w:val="center"/>
              <w:rPr>
                <w:rFonts w:ascii="宋体" w:hAnsi="宋体" w:eastAsia="宋体"/>
                <w:color w:val="000000" w:themeColor="text1"/>
                <w:sz w:val="21"/>
                <w:szCs w:val="21"/>
                <w:highlight w:val="none"/>
                <w:lang w:val="en-US" w:eastAsia="zh-Hans"/>
                <w14:textFill>
                  <w14:solidFill>
                    <w14:schemeClr w14:val="tx1"/>
                  </w14:solidFill>
                </w14:textFill>
              </w:rPr>
            </w:pPr>
            <w:r>
              <w:rPr>
                <w:rFonts w:ascii="宋体" w:hAnsi="宋体" w:eastAsia="宋体"/>
                <w:color w:val="000000" w:themeColor="text1"/>
                <w:sz w:val="21"/>
                <w:szCs w:val="21"/>
                <w:highlight w:val="none"/>
                <w:lang w:eastAsia="zh-Hans"/>
                <w14:textFill>
                  <w14:solidFill>
                    <w14:schemeClr w14:val="tx1"/>
                  </w14:solidFill>
                </w14:textFill>
              </w:rPr>
              <w:t>6</w:t>
            </w:r>
            <w:r>
              <w:rPr>
                <w:rFonts w:hint="eastAsia" w:ascii="宋体" w:hAnsi="宋体" w:eastAsia="宋体"/>
                <w:color w:val="000000" w:themeColor="text1"/>
                <w:sz w:val="21"/>
                <w:szCs w:val="21"/>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07" w:type="dxa"/>
            <w:vMerge w:val="continue"/>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p>
        </w:tc>
        <w:tc>
          <w:tcPr>
            <w:tcW w:w="1531" w:type="dxa"/>
            <w:vMerge w:val="restart"/>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人员团队</w:t>
            </w:r>
          </w:p>
        </w:tc>
        <w:tc>
          <w:tcPr>
            <w:tcW w:w="5686" w:type="dxa"/>
            <w:vAlign w:val="center"/>
          </w:tcPr>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Hans"/>
                <w14:textFill>
                  <w14:solidFill>
                    <w14:schemeClr w14:val="tx1"/>
                  </w14:solidFill>
                </w14:textFill>
              </w:rPr>
              <w:t>项目负责人拥有高级软件工程师资质，得</w:t>
            </w:r>
            <w:r>
              <w:rPr>
                <w:rFonts w:ascii="宋体" w:hAnsi="宋体" w:eastAsia="宋体" w:cs="宋体"/>
                <w:color w:val="000000" w:themeColor="text1"/>
                <w:sz w:val="21"/>
                <w:szCs w:val="21"/>
                <w:highlight w:val="none"/>
                <w:lang w:eastAsia="zh-Hans"/>
                <w14:textFill>
                  <w14:solidFill>
                    <w14:schemeClr w14:val="tx1"/>
                  </w14:solidFill>
                </w14:textFill>
              </w:rPr>
              <w:t>2</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w:t>
            </w:r>
            <w:r>
              <w:rPr>
                <w:rFonts w:ascii="宋体" w:hAnsi="宋体" w:eastAsia="宋体" w:cs="宋体"/>
                <w:color w:val="000000" w:themeColor="text1"/>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14:textFill>
                  <w14:solidFill>
                    <w14:schemeClr w14:val="tx1"/>
                  </w14:solidFill>
                </w14:textFill>
              </w:rPr>
              <w:t>提供证书及公司缴纳的人员社保证明（近</w:t>
            </w:r>
            <w:r>
              <w:rPr>
                <w:rFonts w:ascii="宋体" w:hAnsi="宋体" w:eastAsia="宋体" w:cs="宋体"/>
                <w:color w:val="000000" w:themeColor="text1"/>
                <w:sz w:val="21"/>
                <w:szCs w:val="21"/>
                <w:highlight w:val="none"/>
                <w:lang w:val="en-US"/>
                <w14:textFill>
                  <w14:solidFill>
                    <w14:schemeClr w14:val="tx1"/>
                  </w14:solidFill>
                </w14:textFill>
              </w:rPr>
              <w:t>3</w:t>
            </w:r>
            <w:r>
              <w:rPr>
                <w:rFonts w:hint="eastAsia" w:ascii="宋体" w:hAnsi="宋体" w:eastAsia="宋体" w:cs="宋体"/>
                <w:color w:val="000000" w:themeColor="text1"/>
                <w:sz w:val="21"/>
                <w:szCs w:val="21"/>
                <w:highlight w:val="none"/>
                <w:lang w:val="en-US"/>
                <w14:textFill>
                  <w14:solidFill>
                    <w14:schemeClr w14:val="tx1"/>
                  </w14:solidFill>
                </w14:textFill>
              </w:rPr>
              <w:t>个月）</w:t>
            </w:r>
            <w:r>
              <w:rPr>
                <w:rFonts w:hint="eastAsia" w:ascii="宋体" w:hAnsi="宋体" w:eastAsia="宋体" w:cs="宋体"/>
                <w:color w:val="000000" w:themeColor="text1"/>
                <w:sz w:val="21"/>
                <w:szCs w:val="21"/>
                <w:highlight w:val="none"/>
                <w14:textFill>
                  <w14:solidFill>
                    <w14:schemeClr w14:val="tx1"/>
                  </w14:solidFill>
                </w14:textFill>
              </w:rPr>
              <w:t>原件彩色扫描件</w:t>
            </w:r>
          </w:p>
        </w:tc>
        <w:tc>
          <w:tcPr>
            <w:tcW w:w="873" w:type="dxa"/>
            <w:vMerge w:val="restart"/>
            <w:vAlign w:val="center"/>
          </w:tcPr>
          <w:p>
            <w:pPr>
              <w:pStyle w:val="38"/>
              <w:autoSpaceDE/>
              <w:autoSpaceDN/>
              <w:adjustRightInd/>
              <w:spacing w:line="240" w:lineRule="auto"/>
              <w:ind w:firstLine="0"/>
              <w:jc w:val="center"/>
              <w:rPr>
                <w:rFonts w:ascii="宋体" w:hAnsi="宋体" w:eastAsia="宋体"/>
                <w:color w:val="000000" w:themeColor="text1"/>
                <w:sz w:val="21"/>
                <w:szCs w:val="21"/>
                <w:highlight w:val="none"/>
                <w:lang w:eastAsia="zh-Hans"/>
                <w14:textFill>
                  <w14:solidFill>
                    <w14:schemeClr w14:val="tx1"/>
                  </w14:solidFill>
                </w14:textFill>
              </w:rPr>
            </w:pPr>
            <w:r>
              <w:rPr>
                <w:rFonts w:ascii="宋体" w:hAnsi="宋体" w:eastAsia="宋体"/>
                <w:color w:val="000000" w:themeColor="text1"/>
                <w:sz w:val="21"/>
                <w:szCs w:val="21"/>
                <w:highlight w:val="none"/>
                <w:lang w:eastAsia="zh-Hans"/>
                <w14:textFill>
                  <w14:solidFill>
                    <w14:schemeClr w14:val="tx1"/>
                  </w14:solidFill>
                </w14:textFill>
              </w:rPr>
              <w:t>10</w:t>
            </w:r>
            <w:r>
              <w:rPr>
                <w:rFonts w:hint="eastAsia" w:ascii="宋体" w:hAnsi="宋体" w:eastAsia="宋体"/>
                <w:color w:val="000000" w:themeColor="text1"/>
                <w:sz w:val="21"/>
                <w:szCs w:val="21"/>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107" w:type="dxa"/>
            <w:vMerge w:val="continue"/>
            <w:vAlign w:val="center"/>
          </w:tcPr>
          <w:p>
            <w:pPr>
              <w:pStyle w:val="38"/>
              <w:autoSpaceDE/>
              <w:autoSpaceDN/>
              <w:adjustRightInd/>
              <w:spacing w:line="240" w:lineRule="auto"/>
              <w:ind w:firstLine="0"/>
              <w:jc w:val="left"/>
              <w:rPr>
                <w:color w:val="000000" w:themeColor="text1"/>
                <w:highlight w:val="none"/>
                <w14:textFill>
                  <w14:solidFill>
                    <w14:schemeClr w14:val="tx1"/>
                  </w14:solidFill>
                </w14:textFill>
              </w:rPr>
            </w:pPr>
          </w:p>
        </w:tc>
        <w:tc>
          <w:tcPr>
            <w:tcW w:w="1531" w:type="dxa"/>
            <w:vMerge w:val="continue"/>
            <w:vAlign w:val="center"/>
          </w:tcPr>
          <w:p>
            <w:pPr>
              <w:pStyle w:val="38"/>
              <w:autoSpaceDE/>
              <w:autoSpaceDN/>
              <w:adjustRightInd/>
              <w:spacing w:line="240" w:lineRule="auto"/>
              <w:ind w:firstLine="0"/>
              <w:jc w:val="left"/>
              <w:rPr>
                <w:color w:val="000000" w:themeColor="text1"/>
                <w:highlight w:val="none"/>
                <w14:textFill>
                  <w14:solidFill>
                    <w14:schemeClr w14:val="tx1"/>
                  </w14:solidFill>
                </w14:textFill>
              </w:rPr>
            </w:pPr>
          </w:p>
        </w:tc>
        <w:tc>
          <w:tcPr>
            <w:tcW w:w="5686" w:type="dxa"/>
            <w:vAlign w:val="center"/>
          </w:tcPr>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项目团队中(项目负责人除外)具有项目管理专业人员资格认证（</w:t>
            </w:r>
            <w:r>
              <w:rPr>
                <w:rFonts w:ascii="宋体" w:hAnsi="宋体" w:eastAsia="宋体" w:cs="宋体"/>
                <w:color w:val="000000" w:themeColor="text1"/>
                <w:sz w:val="21"/>
                <w:szCs w:val="21"/>
                <w:highlight w:val="none"/>
                <w:lang w:val="en-US"/>
                <w14:textFill>
                  <w14:solidFill>
                    <w14:schemeClr w14:val="tx1"/>
                  </w14:solidFill>
                </w14:textFill>
              </w:rPr>
              <w:t>PMP</w:t>
            </w:r>
            <w:r>
              <w:rPr>
                <w:rFonts w:hint="eastAsia" w:ascii="宋体" w:hAnsi="宋体" w:eastAsia="宋体" w:cs="宋体"/>
                <w:color w:val="000000" w:themeColor="text1"/>
                <w:sz w:val="21"/>
                <w:szCs w:val="21"/>
                <w:highlight w:val="none"/>
                <w:lang w:val="en-US"/>
                <w14:textFill>
                  <w14:solidFill>
                    <w14:schemeClr w14:val="tx1"/>
                  </w14:solidFill>
                </w14:textFill>
              </w:rPr>
              <w:t>）资格、数据库大师、信息系统项目管理师、系统集成项目管理工程师等，每提供一类证书计</w:t>
            </w:r>
            <w:r>
              <w:rPr>
                <w:rFonts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14:textFill>
                  <w14:solidFill>
                    <w14:schemeClr w14:val="tx1"/>
                  </w14:solidFill>
                </w14:textFill>
              </w:rPr>
              <w:t>分，最高得</w:t>
            </w:r>
            <w:r>
              <w:rPr>
                <w:rFonts w:ascii="宋体" w:hAnsi="宋体" w:eastAsia="宋体" w:cs="宋体"/>
                <w:color w:val="000000" w:themeColor="text1"/>
                <w:sz w:val="21"/>
                <w:szCs w:val="21"/>
                <w:highlight w:val="none"/>
                <w14:textFill>
                  <w14:solidFill>
                    <w14:schemeClr w14:val="tx1"/>
                  </w14:solidFill>
                </w14:textFill>
              </w:rPr>
              <w:t>8</w:t>
            </w:r>
            <w:r>
              <w:rPr>
                <w:rFonts w:hint="eastAsia" w:ascii="宋体" w:hAnsi="宋体" w:eastAsia="宋体" w:cs="宋体"/>
                <w:color w:val="000000" w:themeColor="text1"/>
                <w:sz w:val="21"/>
                <w:szCs w:val="21"/>
                <w:highlight w:val="none"/>
                <w:lang w:val="en-US"/>
                <w14:textFill>
                  <w14:solidFill>
                    <w14:schemeClr w14:val="tx1"/>
                  </w14:solidFill>
                </w14:textFill>
              </w:rPr>
              <w:t>分。以上人员提供证书及公司缴纳的人员社保证明（近</w:t>
            </w:r>
            <w:r>
              <w:rPr>
                <w:rFonts w:ascii="宋体" w:hAnsi="宋体" w:eastAsia="宋体" w:cs="宋体"/>
                <w:color w:val="000000" w:themeColor="text1"/>
                <w:sz w:val="21"/>
                <w:szCs w:val="21"/>
                <w:highlight w:val="none"/>
                <w:lang w:val="en-US"/>
                <w14:textFill>
                  <w14:solidFill>
                    <w14:schemeClr w14:val="tx1"/>
                  </w14:solidFill>
                </w14:textFill>
              </w:rPr>
              <w:t>3</w:t>
            </w:r>
            <w:r>
              <w:rPr>
                <w:rFonts w:hint="eastAsia" w:ascii="宋体" w:hAnsi="宋体" w:eastAsia="宋体" w:cs="宋体"/>
                <w:color w:val="000000" w:themeColor="text1"/>
                <w:sz w:val="21"/>
                <w:szCs w:val="21"/>
                <w:highlight w:val="none"/>
                <w:lang w:val="en-US"/>
                <w14:textFill>
                  <w14:solidFill>
                    <w14:schemeClr w14:val="tx1"/>
                  </w14:solidFill>
                </w14:textFill>
              </w:rPr>
              <w:t>个月）</w:t>
            </w:r>
            <w:r>
              <w:rPr>
                <w:rFonts w:hint="eastAsia" w:ascii="宋体" w:hAnsi="宋体" w:eastAsia="宋体" w:cs="宋体"/>
                <w:color w:val="000000" w:themeColor="text1"/>
                <w:sz w:val="21"/>
                <w:szCs w:val="21"/>
                <w:highlight w:val="none"/>
                <w14:textFill>
                  <w14:solidFill>
                    <w14:schemeClr w14:val="tx1"/>
                  </w14:solidFill>
                </w14:textFill>
              </w:rPr>
              <w:t>原件彩色扫描件</w:t>
            </w:r>
          </w:p>
        </w:tc>
        <w:tc>
          <w:tcPr>
            <w:tcW w:w="873" w:type="dxa"/>
            <w:vMerge w:val="continue"/>
            <w:vAlign w:val="center"/>
          </w:tcPr>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Merge w:val="continue"/>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p>
        </w:tc>
        <w:tc>
          <w:tcPr>
            <w:tcW w:w="1531" w:type="dxa"/>
            <w:vAlign w:val="center"/>
          </w:tcPr>
          <w:p>
            <w:pPr>
              <w:pStyle w:val="38"/>
              <w:autoSpaceDE/>
              <w:autoSpaceDN/>
              <w:adjustRightInd/>
              <w:spacing w:line="240" w:lineRule="auto"/>
              <w:ind w:firstLine="0"/>
              <w:jc w:val="center"/>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系统演示</w:t>
            </w:r>
          </w:p>
        </w:tc>
        <w:tc>
          <w:tcPr>
            <w:tcW w:w="5686" w:type="dxa"/>
            <w:vAlign w:val="center"/>
          </w:tcPr>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数据平台演示内容：</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ascii="宋体" w:hAnsi="宋体" w:eastAsia="宋体" w:cs="宋体"/>
                <w:color w:val="000000" w:themeColor="text1"/>
                <w:sz w:val="21"/>
                <w:szCs w:val="21"/>
                <w:highlight w:val="none"/>
                <w:lang w:val="en-US"/>
                <w14:textFill>
                  <w14:solidFill>
                    <w14:schemeClr w14:val="tx1"/>
                  </w14:solidFill>
                </w14:textFill>
              </w:rPr>
              <w:t>1.</w:t>
            </w:r>
            <w:r>
              <w:rPr>
                <w:rFonts w:hint="eastAsia" w:ascii="宋体" w:hAnsi="宋体" w:eastAsia="宋体" w:cs="宋体"/>
                <w:color w:val="000000" w:themeColor="text1"/>
                <w:sz w:val="21"/>
                <w:szCs w:val="21"/>
                <w:highlight w:val="none"/>
                <w:lang w:val="en-US"/>
                <w14:textFill>
                  <w14:solidFill>
                    <w14:schemeClr w14:val="tx1"/>
                  </w14:solidFill>
                </w14:textFill>
              </w:rPr>
              <w:t>数据采集系统：支持在页面中可视化的配置源表、结果表和维表，并关联至任务。满足得</w:t>
            </w:r>
            <w:r>
              <w:rPr>
                <w:rFonts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lang w:val="en-US"/>
                <w14:textFill>
                  <w14:solidFill>
                    <w14:schemeClr w14:val="tx1"/>
                  </w14:solidFill>
                </w14:textFill>
              </w:rPr>
              <w:t>分</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lang w:val="en-US"/>
                <w14:textFill>
                  <w14:solidFill>
                    <w14:schemeClr w14:val="tx1"/>
                  </w14:solidFill>
                </w14:textFill>
              </w:rPr>
              <w:t>数据资产管理系统：支持字段自动脱敏配置。满足得</w:t>
            </w:r>
            <w:r>
              <w:rPr>
                <w:rFonts w:ascii="宋体" w:hAnsi="宋体" w:eastAsia="宋体" w:cs="宋体"/>
                <w:color w:val="000000" w:themeColor="text1"/>
                <w:sz w:val="21"/>
                <w:szCs w:val="21"/>
                <w:highlight w:val="none"/>
                <w:lang w:val="en-US"/>
                <w14:textFill>
                  <w14:solidFill>
                    <w14:schemeClr w14:val="tx1"/>
                  </w14:solidFill>
                </w14:textFill>
              </w:rPr>
              <w:t>1</w:t>
            </w:r>
            <w:r>
              <w:rPr>
                <w:rFonts w:hint="eastAsia" w:ascii="宋体" w:hAnsi="宋体" w:eastAsia="宋体" w:cs="宋体"/>
                <w:color w:val="000000" w:themeColor="text1"/>
                <w:sz w:val="21"/>
                <w:szCs w:val="21"/>
                <w:highlight w:val="none"/>
                <w:lang w:val="en-US"/>
                <w14:textFill>
                  <w14:solidFill>
                    <w14:schemeClr w14:val="tx1"/>
                  </w14:solidFill>
                </w14:textFill>
              </w:rPr>
              <w:t>分</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ascii="宋体" w:hAnsi="宋体" w:eastAsia="宋体" w:cs="宋体"/>
                <w:color w:val="000000" w:themeColor="text1"/>
                <w:sz w:val="21"/>
                <w:szCs w:val="21"/>
                <w:highlight w:val="none"/>
                <w:lang w:val="en-US"/>
                <w14:textFill>
                  <w14:solidFill>
                    <w14:schemeClr w14:val="tx1"/>
                  </w14:solidFill>
                </w14:textFill>
              </w:rPr>
              <w:t>3.</w:t>
            </w:r>
            <w:r>
              <w:rPr>
                <w:rFonts w:hint="eastAsia" w:ascii="宋体" w:hAnsi="宋体" w:eastAsia="宋体" w:cs="宋体"/>
                <w:color w:val="000000" w:themeColor="text1"/>
                <w:sz w:val="21"/>
                <w:szCs w:val="21"/>
                <w:highlight w:val="none"/>
                <w:lang w:val="en-US"/>
                <w14:textFill>
                  <w14:solidFill>
                    <w14:schemeClr w14:val="tx1"/>
                  </w14:solidFill>
                </w14:textFill>
              </w:rPr>
              <w:t>数据共享服务管理系统：支持向导模式和自定义</w:t>
            </w:r>
            <w:r>
              <w:rPr>
                <w:rFonts w:ascii="宋体" w:hAnsi="宋体" w:eastAsia="宋体" w:cs="宋体"/>
                <w:color w:val="000000" w:themeColor="text1"/>
                <w:sz w:val="21"/>
                <w:szCs w:val="21"/>
                <w:highlight w:val="none"/>
                <w:lang w:val="en-US"/>
                <w14:textFill>
                  <w14:solidFill>
                    <w14:schemeClr w14:val="tx1"/>
                  </w14:solidFill>
                </w14:textFill>
              </w:rPr>
              <w:t>SQL</w:t>
            </w:r>
            <w:r>
              <w:rPr>
                <w:rFonts w:hint="eastAsia" w:ascii="宋体" w:hAnsi="宋体" w:eastAsia="宋体" w:cs="宋体"/>
                <w:color w:val="000000" w:themeColor="text1"/>
                <w:sz w:val="21"/>
                <w:szCs w:val="21"/>
                <w:highlight w:val="none"/>
                <w:lang w:val="en-US"/>
                <w14:textFill>
                  <w14:solidFill>
                    <w14:schemeClr w14:val="tx1"/>
                  </w14:solidFill>
                </w14:textFill>
              </w:rPr>
              <w:t>模式快速生成</w:t>
            </w:r>
            <w:r>
              <w:rPr>
                <w:rFonts w:ascii="宋体" w:hAnsi="宋体" w:eastAsia="宋体" w:cs="宋体"/>
                <w:color w:val="000000" w:themeColor="text1"/>
                <w:sz w:val="21"/>
                <w:szCs w:val="21"/>
                <w:highlight w:val="none"/>
                <w:lang w:val="en-US"/>
                <w14:textFill>
                  <w14:solidFill>
                    <w14:schemeClr w14:val="tx1"/>
                  </w14:solidFill>
                </w14:textFill>
              </w:rPr>
              <w:t>API</w:t>
            </w:r>
            <w:r>
              <w:rPr>
                <w:rFonts w:hint="eastAsia" w:ascii="宋体" w:hAnsi="宋体" w:eastAsia="宋体" w:cs="宋体"/>
                <w:color w:val="000000" w:themeColor="text1"/>
                <w:sz w:val="21"/>
                <w:szCs w:val="21"/>
                <w:highlight w:val="none"/>
                <w:lang w:val="en-US"/>
                <w14:textFill>
                  <w14:solidFill>
                    <w14:schemeClr w14:val="tx1"/>
                  </w14:solidFill>
                </w14:textFill>
              </w:rPr>
              <w:t>，支持注册</w:t>
            </w:r>
            <w:r>
              <w:rPr>
                <w:rFonts w:ascii="宋体" w:hAnsi="宋体" w:eastAsia="宋体" w:cs="宋体"/>
                <w:color w:val="000000" w:themeColor="text1"/>
                <w:sz w:val="21"/>
                <w:szCs w:val="21"/>
                <w:highlight w:val="none"/>
                <w:lang w:val="en-US"/>
                <w14:textFill>
                  <w14:solidFill>
                    <w14:schemeClr w14:val="tx1"/>
                  </w14:solidFill>
                </w14:textFill>
              </w:rPr>
              <w:t>API</w:t>
            </w:r>
            <w:r>
              <w:rPr>
                <w:rFonts w:hint="eastAsia" w:ascii="宋体" w:hAnsi="宋体" w:eastAsia="宋体" w:cs="宋体"/>
                <w:color w:val="000000" w:themeColor="text1"/>
                <w:sz w:val="21"/>
                <w:szCs w:val="21"/>
                <w:highlight w:val="none"/>
                <w:lang w:val="en-US"/>
                <w14:textFill>
                  <w14:solidFill>
                    <w14:schemeClr w14:val="tx1"/>
                  </w14:solidFill>
                </w14:textFill>
              </w:rPr>
              <w:t>，及</w:t>
            </w:r>
            <w:r>
              <w:rPr>
                <w:rFonts w:ascii="宋体" w:hAnsi="宋体" w:eastAsia="宋体" w:cs="宋体"/>
                <w:color w:val="000000" w:themeColor="text1"/>
                <w:sz w:val="21"/>
                <w:szCs w:val="21"/>
                <w:highlight w:val="none"/>
                <w:lang w:val="en-US"/>
                <w14:textFill>
                  <w14:solidFill>
                    <w14:schemeClr w14:val="tx1"/>
                  </w14:solidFill>
                </w14:textFill>
              </w:rPr>
              <w:t>API</w:t>
            </w:r>
            <w:r>
              <w:rPr>
                <w:rFonts w:hint="eastAsia" w:ascii="宋体" w:hAnsi="宋体" w:eastAsia="宋体" w:cs="宋体"/>
                <w:color w:val="000000" w:themeColor="text1"/>
                <w:sz w:val="21"/>
                <w:szCs w:val="21"/>
                <w:highlight w:val="none"/>
                <w:lang w:val="en-US"/>
                <w14:textFill>
                  <w14:solidFill>
                    <w14:schemeClr w14:val="tx1"/>
                  </w14:solidFill>
                </w14:textFill>
              </w:rPr>
              <w:t>调用次数查看、调用周期的限制；支持</w:t>
            </w:r>
            <w:r>
              <w:rPr>
                <w:rFonts w:ascii="宋体" w:hAnsi="宋体" w:eastAsia="宋体" w:cs="宋体"/>
                <w:color w:val="000000" w:themeColor="text1"/>
                <w:sz w:val="21"/>
                <w:szCs w:val="21"/>
                <w:highlight w:val="none"/>
                <w:lang w:val="en-US"/>
                <w14:textFill>
                  <w14:solidFill>
                    <w14:schemeClr w14:val="tx1"/>
                  </w14:solidFill>
                </w14:textFill>
              </w:rPr>
              <w:t>API AK/SK</w:t>
            </w:r>
            <w:r>
              <w:rPr>
                <w:rFonts w:hint="eastAsia" w:ascii="宋体" w:hAnsi="宋体" w:eastAsia="宋体" w:cs="宋体"/>
                <w:color w:val="000000" w:themeColor="text1"/>
                <w:sz w:val="21"/>
                <w:szCs w:val="21"/>
                <w:highlight w:val="none"/>
                <w:lang w:val="en-US"/>
                <w14:textFill>
                  <w14:solidFill>
                    <w14:schemeClr w14:val="tx1"/>
                  </w14:solidFill>
                </w14:textFill>
              </w:rPr>
              <w:t>的签名加密调用方式。满足得</w:t>
            </w:r>
            <w:r>
              <w:rPr>
                <w:rFonts w:ascii="宋体" w:hAnsi="宋体" w:eastAsia="宋体" w:cs="宋体"/>
                <w:color w:val="000000" w:themeColor="text1"/>
                <w:sz w:val="21"/>
                <w:szCs w:val="21"/>
                <w:highlight w:val="none"/>
                <w:lang w:val="en-US"/>
                <w14:textFill>
                  <w14:solidFill>
                    <w14:schemeClr w14:val="tx1"/>
                  </w14:solidFill>
                </w14:textFill>
              </w:rPr>
              <w:t>3</w:t>
            </w:r>
            <w:r>
              <w:rPr>
                <w:rFonts w:hint="eastAsia" w:ascii="宋体" w:hAnsi="宋体" w:eastAsia="宋体" w:cs="宋体"/>
                <w:color w:val="000000" w:themeColor="text1"/>
                <w:sz w:val="21"/>
                <w:szCs w:val="21"/>
                <w:highlight w:val="none"/>
                <w:lang w:val="en-US"/>
                <w14:textFill>
                  <w14:solidFill>
                    <w14:schemeClr w14:val="tx1"/>
                  </w14:solidFill>
                </w14:textFill>
              </w:rPr>
              <w:t>分</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lang w:val="en-US"/>
                <w14:textFill>
                  <w14:solidFill>
                    <w14:schemeClr w14:val="tx1"/>
                  </w14:solidFill>
                </w14:textFill>
              </w:rPr>
              <w:t>大领域</w:t>
            </w:r>
            <w:r>
              <w:rPr>
                <w:rFonts w:ascii="宋体" w:hAnsi="宋体" w:eastAsia="宋体" w:cs="宋体"/>
                <w:color w:val="000000" w:themeColor="text1"/>
                <w:sz w:val="21"/>
                <w:szCs w:val="21"/>
                <w:highlight w:val="none"/>
                <w:lang w:val="en-US"/>
                <w14:textFill>
                  <w14:solidFill>
                    <w14:schemeClr w14:val="tx1"/>
                  </w14:solidFill>
                </w14:textFill>
              </w:rPr>
              <w:t>N</w:t>
            </w:r>
            <w:r>
              <w:rPr>
                <w:rFonts w:hint="eastAsia" w:ascii="宋体" w:hAnsi="宋体" w:eastAsia="宋体" w:cs="宋体"/>
                <w:color w:val="000000" w:themeColor="text1"/>
                <w:sz w:val="21"/>
                <w:szCs w:val="21"/>
                <w:highlight w:val="none"/>
                <w:lang w:val="en-US"/>
                <w14:textFill>
                  <w14:solidFill>
                    <w14:schemeClr w14:val="tx1"/>
                  </w14:solidFill>
                </w14:textFill>
              </w:rPr>
              <w:t>个应用演示内容</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公共服务平台：小程序展示、用户管理、积分管理、资讯管理、问答管理，每满足</w:t>
            </w:r>
            <w:r>
              <w:rPr>
                <w:rFonts w:ascii="宋体" w:hAnsi="宋体" w:eastAsia="宋体" w:cs="宋体"/>
                <w:color w:val="000000" w:themeColor="text1"/>
                <w:sz w:val="21"/>
                <w:szCs w:val="21"/>
                <w:highlight w:val="none"/>
                <w:lang w:val="en-US"/>
                <w14:textFill>
                  <w14:solidFill>
                    <w14:schemeClr w14:val="tx1"/>
                  </w14:solidFill>
                </w14:textFill>
              </w:rPr>
              <w:t>1</w:t>
            </w:r>
            <w:r>
              <w:rPr>
                <w:rFonts w:hint="eastAsia" w:ascii="宋体" w:hAnsi="宋体" w:eastAsia="宋体" w:cs="宋体"/>
                <w:color w:val="000000" w:themeColor="text1"/>
                <w:sz w:val="21"/>
                <w:szCs w:val="21"/>
                <w:highlight w:val="none"/>
                <w:lang w:val="en-US"/>
                <w14:textFill>
                  <w14:solidFill>
                    <w14:schemeClr w14:val="tx1"/>
                  </w14:solidFill>
                </w14:textFill>
              </w:rPr>
              <w:t>项，得</w:t>
            </w:r>
            <w:r>
              <w:rPr>
                <w:rFonts w:ascii="宋体" w:hAnsi="宋体" w:eastAsia="宋体" w:cs="宋体"/>
                <w:color w:val="000000" w:themeColor="text1"/>
                <w:sz w:val="21"/>
                <w:szCs w:val="21"/>
                <w:highlight w:val="none"/>
                <w:lang w:val="en-US"/>
                <w14:textFill>
                  <w14:solidFill>
                    <w14:schemeClr w14:val="tx1"/>
                  </w14:solidFill>
                </w14:textFill>
              </w:rPr>
              <w:t>1</w:t>
            </w:r>
            <w:r>
              <w:rPr>
                <w:rFonts w:hint="eastAsia" w:ascii="宋体" w:hAnsi="宋体" w:eastAsia="宋体" w:cs="宋体"/>
                <w:color w:val="000000" w:themeColor="text1"/>
                <w:sz w:val="21"/>
                <w:szCs w:val="21"/>
                <w:highlight w:val="none"/>
                <w:lang w:val="en-US"/>
                <w14:textFill>
                  <w14:solidFill>
                    <w14:schemeClr w14:val="tx1"/>
                  </w14:solidFill>
                </w14:textFill>
              </w:rPr>
              <w:t>分，满分</w:t>
            </w:r>
            <w:r>
              <w:rPr>
                <w:rFonts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lang w:val="en-US"/>
                <w14:textFill>
                  <w14:solidFill>
                    <w14:schemeClr w14:val="tx1"/>
                  </w14:solidFill>
                </w14:textFill>
              </w:rPr>
              <w:t>分</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追溯平台：全链数据采集、追溯标识管理，每满足</w:t>
            </w:r>
            <w:r>
              <w:rPr>
                <w:rFonts w:ascii="宋体" w:hAnsi="宋体" w:eastAsia="宋体" w:cs="宋体"/>
                <w:color w:val="000000" w:themeColor="text1"/>
                <w:sz w:val="21"/>
                <w:szCs w:val="21"/>
                <w:highlight w:val="none"/>
                <w:lang w:val="en-US"/>
                <w14:textFill>
                  <w14:solidFill>
                    <w14:schemeClr w14:val="tx1"/>
                  </w14:solidFill>
                </w14:textFill>
              </w:rPr>
              <w:t>1</w:t>
            </w:r>
            <w:r>
              <w:rPr>
                <w:rFonts w:hint="eastAsia" w:ascii="宋体" w:hAnsi="宋体" w:eastAsia="宋体" w:cs="宋体"/>
                <w:color w:val="000000" w:themeColor="text1"/>
                <w:sz w:val="21"/>
                <w:szCs w:val="21"/>
                <w:highlight w:val="none"/>
                <w:lang w:val="en-US"/>
                <w14:textFill>
                  <w14:solidFill>
                    <w14:schemeClr w14:val="tx1"/>
                  </w14:solidFill>
                </w14:textFill>
              </w:rPr>
              <w:t>项，得</w:t>
            </w:r>
            <w:r>
              <w:rPr>
                <w:rFonts w:ascii="宋体" w:hAnsi="宋体" w:eastAsia="宋体" w:cs="宋体"/>
                <w:color w:val="000000" w:themeColor="text1"/>
                <w:sz w:val="21"/>
                <w:szCs w:val="21"/>
                <w:highlight w:val="none"/>
                <w:lang w:val="en-US"/>
                <w14:textFill>
                  <w14:solidFill>
                    <w14:schemeClr w14:val="tx1"/>
                  </w14:solidFill>
                </w14:textFill>
              </w:rPr>
              <w:t>1</w:t>
            </w:r>
            <w:r>
              <w:rPr>
                <w:rFonts w:hint="eastAsia" w:ascii="宋体" w:hAnsi="宋体" w:eastAsia="宋体" w:cs="宋体"/>
                <w:color w:val="000000" w:themeColor="text1"/>
                <w:sz w:val="21"/>
                <w:szCs w:val="21"/>
                <w:highlight w:val="none"/>
                <w:lang w:val="en-US"/>
                <w14:textFill>
                  <w14:solidFill>
                    <w14:schemeClr w14:val="tx1"/>
                  </w14:solidFill>
                </w14:textFill>
              </w:rPr>
              <w:t>分，满分</w:t>
            </w:r>
            <w:r>
              <w:rPr>
                <w:rFonts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lang w:val="en-US"/>
                <w14:textFill>
                  <w14:solidFill>
                    <w14:schemeClr w14:val="tx1"/>
                  </w14:solidFill>
                </w14:textFill>
              </w:rPr>
              <w:t>分</w:t>
            </w:r>
          </w:p>
          <w:p>
            <w:pPr>
              <w:pStyle w:val="38"/>
              <w:autoSpaceDE/>
              <w:autoSpaceDN/>
              <w:adjustRightInd/>
              <w:spacing w:line="240" w:lineRule="auto"/>
              <w:ind w:firstLine="0"/>
              <w:jc w:val="left"/>
              <w:rPr>
                <w:rFonts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智慧垃圾服务系统：系统首页对垃圾分类总体成效以大数据看板的形式展示，展示参与率以及覆盖率等数据，各数据均采用图形化展示，满足得</w:t>
            </w:r>
            <w:r>
              <w:rPr>
                <w:rFonts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lang w:val="en-US"/>
                <w14:textFill>
                  <w14:solidFill>
                    <w14:schemeClr w14:val="tx1"/>
                  </w14:solidFill>
                </w14:textFill>
              </w:rPr>
              <w:t>分</w:t>
            </w:r>
          </w:p>
        </w:tc>
        <w:tc>
          <w:tcPr>
            <w:tcW w:w="873" w:type="dxa"/>
            <w:vAlign w:val="center"/>
          </w:tcPr>
          <w:p>
            <w:pPr>
              <w:pStyle w:val="38"/>
              <w:autoSpaceDE/>
              <w:autoSpaceDN/>
              <w:adjustRightInd/>
              <w:spacing w:line="240" w:lineRule="auto"/>
              <w:ind w:firstLine="0"/>
              <w:jc w:val="center"/>
              <w:rPr>
                <w:rFonts w:ascii="宋体" w:hAnsi="宋体" w:eastAsia="宋体"/>
                <w:color w:val="000000" w:themeColor="text1"/>
                <w:sz w:val="21"/>
                <w:szCs w:val="21"/>
                <w:highlight w:val="none"/>
                <w:lang w:val="en-US" w:eastAsia="zh-Hans"/>
                <w14:textFill>
                  <w14:solidFill>
                    <w14:schemeClr w14:val="tx1"/>
                  </w14:solidFill>
                </w14:textFill>
              </w:rPr>
            </w:pPr>
            <w:r>
              <w:rPr>
                <w:rFonts w:ascii="宋体" w:hAnsi="宋体" w:eastAsia="宋体"/>
                <w:color w:val="000000" w:themeColor="text1"/>
                <w:sz w:val="21"/>
                <w:szCs w:val="21"/>
                <w:highlight w:val="none"/>
                <w:lang w:val="en-US" w:eastAsia="zh-Hans"/>
                <w14:textFill>
                  <w14:solidFill>
                    <w14:schemeClr w14:val="tx1"/>
                  </w14:solidFill>
                </w14:textFill>
              </w:rPr>
              <w:t>15</w:t>
            </w:r>
            <w:r>
              <w:rPr>
                <w:rFonts w:hint="eastAsia" w:ascii="宋体" w:hAnsi="宋体" w:eastAsia="宋体"/>
                <w:color w:val="000000" w:themeColor="text1"/>
                <w:sz w:val="21"/>
                <w:szCs w:val="21"/>
                <w:highlight w:val="none"/>
                <w:lang w:val="en-US" w:eastAsia="zh-Hans"/>
                <w14:textFill>
                  <w14:solidFill>
                    <w14:schemeClr w14:val="tx1"/>
                  </w14:solidFill>
                </w14:textFill>
              </w:rPr>
              <w:t>分</w:t>
            </w:r>
          </w:p>
        </w:tc>
      </w:tr>
    </w:tbl>
    <w:p>
      <w:pPr>
        <w:spacing w:line="500" w:lineRule="exact"/>
        <w:ind w:firstLine="424"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四、总得分的计算</w:t>
      </w:r>
    </w:p>
    <w:p>
      <w:pPr>
        <w:spacing w:line="500" w:lineRule="exact"/>
        <w:ind w:firstLine="424"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、投标人综合得分由资信、商务分及技术分、报价分合计组成</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满分为</w:t>
      </w:r>
      <w:r>
        <w:rPr>
          <w:rFonts w:ascii="宋体" w:hAnsi="宋体" w:cs="宋体"/>
          <w:color w:val="000000" w:themeColor="text1"/>
          <w:szCs w:val="21"/>
          <w:highlight w:val="none"/>
          <w14:textFill>
            <w14:solidFill>
              <w14:schemeClr w14:val="tx1"/>
            </w14:solidFill>
          </w14:textFill>
        </w:rPr>
        <w:t>100</w:t>
      </w:r>
      <w:r>
        <w:rPr>
          <w:rFonts w:hint="eastAsia" w:ascii="宋体" w:hAnsi="宋体" w:cs="宋体"/>
          <w:color w:val="000000" w:themeColor="text1"/>
          <w:szCs w:val="21"/>
          <w:highlight w:val="none"/>
          <w14:textFill>
            <w14:solidFill>
              <w14:schemeClr w14:val="tx1"/>
            </w14:solidFill>
          </w14:textFill>
        </w:rPr>
        <w:t>分。</w:t>
      </w:r>
    </w:p>
    <w:p>
      <w:pPr>
        <w:spacing w:line="50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２、本项目采用综合评分法，即以投标人完全响应招标文件设定的全部责任条款为前提。由评标委员会按招标文件中规定的各项因素进行综合评审，根据投标人综合得分由高到低进行排序，综合得分最高的投标人作为本项目的中标候选人（得分相同的，按投标报价由低到高顺序排列；得分且投标报价相同的，由招标人现场抽签产生中标候选人）。如最高综合得分相同，投标报价低者为中标候选供应商；如综合得分和投标报价均相同，则采购单位现场抽签确定中标候选供应商。计算结果保留两位小数，四舍五入取。</w:t>
      </w:r>
    </w:p>
    <w:p>
      <w:pPr>
        <w:spacing w:line="500" w:lineRule="exact"/>
        <w:ind w:firstLine="424"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本次招标资信、商务分及技术分的评定由各评委成员按评分细则进行评审打分，每人一张评分计算表，并记名。各评标委员会成员对各投标人的各项评分内容评分合计的算术平均值为各投标人资信、商务分及技术分得分（小数点后按四舍五入保留</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位）。</w:t>
      </w:r>
    </w:p>
    <w:p>
      <w:pPr>
        <w:spacing w:line="500" w:lineRule="exact"/>
        <w:ind w:firstLine="424"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t>五、注意事项</w:t>
      </w:r>
      <w:r>
        <w:rPr>
          <w:rFonts w:ascii="宋体" w:hAnsi="宋体" w:cs="宋体"/>
          <w:b/>
          <w:bCs/>
          <w:color w:val="000000" w:themeColor="text1"/>
          <w:szCs w:val="21"/>
          <w:highlight w:val="none"/>
          <w:lang w:val="zh-CN"/>
          <w14:textFill>
            <w14:solidFill>
              <w14:schemeClr w14:val="tx1"/>
            </w14:solidFill>
          </w14:textFill>
        </w:rPr>
        <w:t xml:space="preserve"> </w:t>
      </w:r>
    </w:p>
    <w:p>
      <w:pPr>
        <w:snapToGrid w:val="0"/>
        <w:spacing w:line="500" w:lineRule="exact"/>
        <w:ind w:firstLine="424"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
        <w:jc w:val="center"/>
        <w:rPr>
          <w:rFonts w:ascii="宋体" w:hAnsi="宋体" w:cs="宋体"/>
          <w:b w:val="0"/>
          <w:color w:val="000000" w:themeColor="text1"/>
          <w:sz w:val="32"/>
          <w:szCs w:val="32"/>
          <w:highlight w:val="none"/>
          <w:lang w:val="zh-CN"/>
          <w14:textFill>
            <w14:solidFill>
              <w14:schemeClr w14:val="tx1"/>
            </w14:solidFill>
          </w14:textFill>
        </w:rPr>
      </w:pPr>
      <w:bookmarkStart w:id="311" w:name="_Toc768668452"/>
      <w:r>
        <w:rPr>
          <w:rFonts w:ascii="宋体" w:hAnsi="宋体" w:cs="宋体"/>
          <w:b w:val="0"/>
          <w:color w:val="000000" w:themeColor="text1"/>
          <w:sz w:val="32"/>
          <w:szCs w:val="32"/>
          <w:highlight w:val="none"/>
          <w:lang w:val="zh-CN"/>
          <w14:textFill>
            <w14:solidFill>
              <w14:schemeClr w14:val="tx1"/>
            </w14:solidFill>
          </w14:textFill>
        </w:rPr>
        <w:br w:type="page"/>
      </w:r>
      <w:bookmarkEnd w:id="311"/>
      <w:bookmarkStart w:id="312" w:name="_Toc388143290"/>
      <w:bookmarkStart w:id="313" w:name="_Toc54798362"/>
      <w:r>
        <w:rPr>
          <w:rFonts w:hint="eastAsia"/>
          <w:color w:val="000000" w:themeColor="text1"/>
          <w:sz w:val="32"/>
          <w:szCs w:val="32"/>
          <w:highlight w:val="none"/>
          <w:lang w:val="zh-CN"/>
          <w14:textFill>
            <w14:solidFill>
              <w14:schemeClr w14:val="tx1"/>
            </w14:solidFill>
          </w14:textFill>
        </w:rPr>
        <w:t xml:space="preserve">第五章  </w:t>
      </w:r>
      <w:bookmarkEnd w:id="312"/>
      <w:r>
        <w:rPr>
          <w:rFonts w:hint="eastAsia"/>
          <w:color w:val="000000" w:themeColor="text1"/>
          <w:sz w:val="32"/>
          <w:szCs w:val="32"/>
          <w:highlight w:val="none"/>
          <w:lang w:val="zh-CN"/>
          <w14:textFill>
            <w14:solidFill>
              <w14:schemeClr w14:val="tx1"/>
            </w14:solidFill>
          </w14:textFill>
        </w:rPr>
        <w:t>拟签订的合同</w:t>
      </w:r>
      <w:bookmarkEnd w:id="313"/>
    </w:p>
    <w:p>
      <w:pPr>
        <w:spacing w:line="400" w:lineRule="exact"/>
        <w:ind w:firstLine="636"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注：本合同条款仅供参考，最终以甲乙双方协商一致的合同为准。</w:t>
      </w:r>
    </w:p>
    <w:p>
      <w:pPr>
        <w:autoSpaceDE w:val="0"/>
        <w:autoSpaceDN w:val="0"/>
        <w:adjustRightInd w:val="0"/>
        <w:spacing w:line="440" w:lineRule="exact"/>
        <w:ind w:firstLine="1484" w:firstLineChars="700"/>
        <w:rPr>
          <w:rFonts w:ascii="宋体" w:hAnsi="宋体" w:cs="宋体"/>
          <w:b/>
          <w:color w:val="000000" w:themeColor="text1"/>
          <w:szCs w:val="21"/>
          <w:highlight w:val="none"/>
          <w:lang w:val="zh-CN"/>
          <w14:textFill>
            <w14:solidFill>
              <w14:schemeClr w14:val="tx1"/>
            </w14:solidFill>
          </w14:textFill>
        </w:rPr>
      </w:pPr>
    </w:p>
    <w:p>
      <w:pPr>
        <w:spacing w:line="480" w:lineRule="exact"/>
        <w:ind w:firstLine="212"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甲方（采购人）： </w:t>
      </w:r>
    </w:p>
    <w:p>
      <w:pPr>
        <w:spacing w:line="480" w:lineRule="exact"/>
        <w:ind w:firstLine="212"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乙方（供应商）： </w:t>
      </w:r>
    </w:p>
    <w:p>
      <w:pPr>
        <w:spacing w:line="360" w:lineRule="auto"/>
        <w:ind w:firstLine="212"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丙方（实施方）：</w:t>
      </w:r>
    </w:p>
    <w:p>
      <w:pPr>
        <w:tabs>
          <w:tab w:val="left" w:pos="567"/>
        </w:tabs>
        <w:adjustRightInd w:val="0"/>
        <w:snapToGrid w:val="0"/>
        <w:spacing w:line="360" w:lineRule="auto"/>
        <w:ind w:firstLine="212"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甲、乙双方根据关于项目编号为**********的（标项及名称）项目公开招标的结果，签署本合同。依据《中华人民共和国政府采购法》、《中华人民共和国合同法》的规定，甲、乙双方就项目的技术开发经协商一致，签定本合同并遵照执行,双方同意下列文件作为本合同不可分割的组成部分：(1)本合同正文；(2)本合同附件；(3)中标人招标文件及书面承诺；(4)招标人招标文件、附件及澄清文件；(5)在合同实施过程中双方共同签署的补充与修正文件。</w:t>
      </w:r>
    </w:p>
    <w:p>
      <w:pPr>
        <w:spacing w:line="360" w:lineRule="auto"/>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一、服务内容及合同价格</w:t>
      </w:r>
    </w:p>
    <w:p>
      <w:pPr>
        <w:pStyle w:val="21"/>
        <w:snapToGrid w:val="0"/>
        <w:spacing w:before="156" w:after="156" w:line="360" w:lineRule="auto"/>
        <w:ind w:firstLine="451" w:firstLineChars="213"/>
        <w:jc w:val="center"/>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 xml:space="preserve">                                                     </w:t>
      </w:r>
      <w:r>
        <w:rPr>
          <w:rFonts w:hAnsi="宋体" w:cs="宋体"/>
          <w:snapToGrid w:val="0"/>
          <w:color w:val="000000" w:themeColor="text1"/>
          <w:szCs w:val="21"/>
          <w:highlight w:val="none"/>
          <w14:textFill>
            <w14:solidFill>
              <w14:schemeClr w14:val="tx1"/>
            </w14:solidFill>
          </w14:textFill>
        </w:rPr>
        <w:t xml:space="preserve"> </w:t>
      </w:r>
      <w:r>
        <w:rPr>
          <w:rFonts w:hint="eastAsia" w:hAnsi="宋体" w:cs="宋体"/>
          <w:snapToGrid w:val="0"/>
          <w:color w:val="000000" w:themeColor="text1"/>
          <w:szCs w:val="21"/>
          <w:highlight w:val="none"/>
          <w14:textFill>
            <w14:solidFill>
              <w14:schemeClr w14:val="tx1"/>
            </w14:solidFill>
          </w14:textFill>
        </w:rPr>
        <w:t xml:space="preserve">金额单位： </w:t>
      </w:r>
      <w:r>
        <w:rPr>
          <w:rFonts w:hAnsi="宋体" w:cs="宋体"/>
          <w:snapToGrid w:val="0"/>
          <w:color w:val="000000" w:themeColor="text1"/>
          <w:szCs w:val="21"/>
          <w:highlight w:val="none"/>
          <w14:textFill>
            <w14:solidFill>
              <w14:schemeClr w14:val="tx1"/>
            </w14:solidFill>
          </w14:textFill>
        </w:rPr>
        <w:t xml:space="preserve">       </w:t>
      </w:r>
      <w:r>
        <w:rPr>
          <w:rFonts w:hint="eastAsia" w:hAnsi="宋体" w:cs="宋体"/>
          <w:snapToGrid w:val="0"/>
          <w:color w:val="000000" w:themeColor="text1"/>
          <w:szCs w:val="21"/>
          <w:highlight w:val="none"/>
          <w14:textFill>
            <w14:solidFill>
              <w14:schemeClr w14:val="tx1"/>
            </w14:solidFill>
          </w14:textFill>
        </w:rPr>
        <w:t xml:space="preserve">元 </w:t>
      </w:r>
    </w:p>
    <w:tbl>
      <w:tblPr>
        <w:tblStyle w:val="39"/>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1417"/>
        <w:gridCol w:w="1418"/>
        <w:gridCol w:w="94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74"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56" w:after="156" w:line="360" w:lineRule="auto"/>
              <w:jc w:val="center"/>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56" w:after="156" w:line="360" w:lineRule="auto"/>
              <w:jc w:val="center"/>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型号规格</w:t>
            </w:r>
          </w:p>
        </w:tc>
        <w:tc>
          <w:tcPr>
            <w:tcW w:w="1418"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56" w:after="156" w:line="360" w:lineRule="auto"/>
              <w:jc w:val="center"/>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配置要求</w:t>
            </w:r>
          </w:p>
        </w:tc>
        <w:tc>
          <w:tcPr>
            <w:tcW w:w="94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56" w:after="156" w:line="360" w:lineRule="auto"/>
              <w:ind w:left="-108"/>
              <w:jc w:val="center"/>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数量</w:t>
            </w:r>
          </w:p>
        </w:tc>
        <w:tc>
          <w:tcPr>
            <w:tcW w:w="2835"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56" w:after="156" w:line="360" w:lineRule="auto"/>
              <w:ind w:left="-108"/>
              <w:jc w:val="center"/>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28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color w:val="000000" w:themeColor="text1"/>
                <w:kern w:val="0"/>
                <w:szCs w:val="21"/>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p>
        </w:tc>
        <w:tc>
          <w:tcPr>
            <w:tcW w:w="2835" w:type="dxa"/>
            <w:tcBorders>
              <w:top w:val="single" w:color="auto" w:sz="4" w:space="0"/>
              <w:left w:val="single" w:color="auto" w:sz="4" w:space="0"/>
              <w:bottom w:val="single" w:color="auto" w:sz="4" w:space="0"/>
              <w:right w:val="single" w:color="auto" w:sz="4" w:space="0"/>
            </w:tcBorders>
            <w:vAlign w:val="center"/>
          </w:tcPr>
          <w:p>
            <w:pPr>
              <w:pStyle w:val="109"/>
              <w:spacing w:line="360" w:lineRule="auto"/>
              <w:jc w:val="center"/>
              <w:rPr>
                <w:rFonts w:ascii="宋体" w:hAnsi="宋体" w:eastAsia="宋体" w:cs="宋体"/>
                <w:snapToGrid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5709" w:type="dxa"/>
            <w:gridSpan w:val="3"/>
            <w:tcBorders>
              <w:top w:val="single" w:color="auto" w:sz="4" w:space="0"/>
              <w:left w:val="single" w:color="auto" w:sz="4" w:space="0"/>
              <w:bottom w:val="single" w:color="auto" w:sz="4" w:space="0"/>
              <w:right w:val="single" w:color="auto" w:sz="4" w:space="0"/>
            </w:tcBorders>
            <w:vAlign w:val="center"/>
          </w:tcPr>
          <w:p>
            <w:pPr>
              <w:pStyle w:val="21"/>
              <w:snapToGrid w:val="0"/>
              <w:spacing w:before="156" w:after="156"/>
              <w:jc w:val="center"/>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合计</w:t>
            </w:r>
          </w:p>
        </w:tc>
        <w:tc>
          <w:tcPr>
            <w:tcW w:w="940" w:type="dxa"/>
            <w:tcBorders>
              <w:top w:val="single" w:color="auto" w:sz="4" w:space="0"/>
              <w:left w:val="single" w:color="auto" w:sz="4" w:space="0"/>
              <w:bottom w:val="single" w:color="auto" w:sz="4" w:space="0"/>
              <w:right w:val="single" w:color="auto" w:sz="4" w:space="0"/>
            </w:tcBorders>
            <w:vAlign w:val="center"/>
          </w:tcPr>
          <w:p>
            <w:pPr>
              <w:pStyle w:val="21"/>
              <w:snapToGrid w:val="0"/>
              <w:spacing w:before="156" w:after="156"/>
              <w:jc w:val="center"/>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1</w:t>
            </w:r>
          </w:p>
        </w:tc>
        <w:tc>
          <w:tcPr>
            <w:tcW w:w="2835" w:type="dxa"/>
            <w:tcBorders>
              <w:top w:val="single" w:color="auto" w:sz="4" w:space="0"/>
              <w:left w:val="single" w:color="auto" w:sz="4" w:space="0"/>
              <w:bottom w:val="single" w:color="auto" w:sz="4" w:space="0"/>
              <w:right w:val="single" w:color="auto" w:sz="4" w:space="0"/>
            </w:tcBorders>
            <w:vAlign w:val="center"/>
          </w:tcPr>
          <w:p>
            <w:pPr>
              <w:pStyle w:val="109"/>
              <w:spacing w:line="360" w:lineRule="auto"/>
              <w:jc w:val="center"/>
              <w:rPr>
                <w:rFonts w:ascii="宋体" w:hAnsi="宋体" w:eastAsia="宋体" w:cs="宋体"/>
                <w:snapToGrid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484" w:type="dxa"/>
            <w:gridSpan w:val="5"/>
            <w:tcBorders>
              <w:top w:val="single" w:color="auto" w:sz="4" w:space="0"/>
              <w:left w:val="single" w:color="auto" w:sz="4" w:space="0"/>
              <w:bottom w:val="single" w:color="auto" w:sz="4" w:space="0"/>
              <w:right w:val="single" w:color="auto" w:sz="4" w:space="0"/>
            </w:tcBorders>
            <w:vAlign w:val="center"/>
          </w:tcPr>
          <w:p>
            <w:pPr>
              <w:pStyle w:val="21"/>
              <w:snapToGrid w:val="0"/>
              <w:spacing w:before="156" w:after="156"/>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 xml:space="preserve">合同总价大写：                 ，小写：           </w:t>
            </w:r>
          </w:p>
        </w:tc>
      </w:tr>
    </w:tbl>
    <w:p>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注: 1.乙方保证所提供的软件能够正常运行使用；</w:t>
      </w:r>
    </w:p>
    <w:p>
      <w:pPr>
        <w:spacing w:line="360" w:lineRule="auto"/>
        <w:ind w:firstLine="318" w:firstLineChars="15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2.以上合同内容包括产品安装、实施，及驻场技术服务；</w:t>
      </w:r>
    </w:p>
    <w:p>
      <w:pPr>
        <w:spacing w:line="360" w:lineRule="auto"/>
        <w:ind w:firstLine="424"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3.乙方承诺所提供的软件无版权争议，拥有所列软件合法版权。</w:t>
      </w:r>
    </w:p>
    <w:p>
      <w:pPr>
        <w:spacing w:line="360" w:lineRule="auto"/>
        <w:ind w:firstLine="424"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4.如本合同未提到内容以招标相关文件为准。</w:t>
      </w:r>
    </w:p>
    <w:p>
      <w:pPr>
        <w:spacing w:line="360" w:lineRule="auto"/>
        <w:ind w:firstLine="424"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5.以上合同总价包含服务到达用户并能正常使用所需的一切费用。</w:t>
      </w:r>
    </w:p>
    <w:p>
      <w:pPr>
        <w:spacing w:line="360" w:lineRule="auto"/>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二、合同履行和服务要求</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1.自本合同签订生效之日起，在常山县及指定地点履行。整体项目要求在合同签订后至       年底前完成所有开发、测试、部署、数据准备、用户培训、试运行等工作：要求    年    月底前完成系统开发工作；要求    年     月底前完成系统的所有开发、测试、部署、数据准备、用户培训、试运行准备工作，具备正式上线运行条件，并通过初验；要求于   年    月底前完成系统试运行，并提交项目所有资料，平台正式上线运行并通过最终的项目验收。</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2.服务要求：提供叁年免费运营运维服务（自项目最终验收通过之日起）。乙方需负责本项目安全工作，根据甲方相应规定及要求，定期做好系统安全性检测及安全加固。</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3.售后要求：</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（1）要求严格按ISO9001 质量管理和保证体系的要求，按由上而下顺序进行项目质量管理，建立完善的项目质量保证体系，贯彻执行ISO9001 质量管理标准，实行项目经理负责制，实施全过程质量监控。</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（2）要求提供完整的项目测试计划和测试用例，项目实施过程严格按计划进行系统测试，定期提交项目质量报告。</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要求提供完整的软件系统需求分析说明文档、软件系统设计文档（含概要设计、详细设计、数据库设计）、软件系统测试用例和测试结果说明文档、系统安装使用手册、用户使用、管理操作说明文档和帮助文档等相关软件开发过程管理文档。</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（4）要求提供完整详细的系统故障维护应急响应机制说明文档，并进行应急响应演练。</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（5）要求提供人员使用操作培训、管理员管理操作培训和二次开发培训直至相关人员熟练掌握所需技能。</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要求提供项目终验后3年驻场免费售后服务，在项目实施过程及售后服务期内，需指定专人负责与用户进行项目对接与服务，驻场人员不得少于两人。售后服务期内免费5×8小时驻场服务和7×24在线技术服务及系统数据容灾恢复上门现场服务。</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（7）要求对软件平台进行运维与安全维护，主要包括运行环境监控、系统故障分析处理、系统升级测试、系统发布验证、系统优化、网络安全管理、系统安全管理、数据容灾、平台数据库维护。</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（8）应用支持：通过电话、电子邮件以及其他方式提供7×24小时的应用支持服务，包括使用咨询、系统管理协助、应用政策建议。</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（9）故障响应及修复：提供快捷、周到、规范的服务，在接到维修及技术服务要求后应在1小时之内作出响应。</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（10）售后服务期内如果本系统被发现存在漏洞、开发实现层面的问题、性能问题，则需要中标方及时进行问题修复。</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（11）售后服务期内如果本系统被发现存在对用户严重不友好不方便的操作，需要中标方及时对相关功能进行整改。</w:t>
      </w:r>
    </w:p>
    <w:p>
      <w:pPr>
        <w:tabs>
          <w:tab w:val="left" w:pos="567"/>
        </w:tabs>
        <w:adjustRightInd w:val="0"/>
        <w:snapToGrid w:val="0"/>
        <w:spacing w:line="360" w:lineRule="auto"/>
        <w:ind w:firstLine="424"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4.其他要求：本项目开发需遵循甲方单位统一技术规范及管理要求。</w:t>
      </w:r>
    </w:p>
    <w:p>
      <w:pPr>
        <w:spacing w:line="360" w:lineRule="auto"/>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三、质量保证</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乙方保证本合同中所供应的商品和服务是符合国家最新技术规格和质量标准的出厂原装合格产品和服务。如发生所供商品和服务与合同不符，甲方（使用方）有权拒收或退货，由此产生的一切责任和后果由乙方承担。乙方应保证系统在正常环境条件下满足至少壹年的运行期限。</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合同和招标文件所列的建设任务为总体要求，乙方应根据本合同和招标文件所列建设内容为依据，在项目实施过程进行细化，并以和甲方书面确定的实际建设需求作为本次项目交付的依据。通过需求调研，准确掌握最终用户对系统的信息管理在功能、特性、系统运行方面的要求，主要包括：信息需求、功能要求、性能要求、可靠性要求、安全和保密要求。</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3.根据甲方相关规定要求，对项目实行监理制，乙方在项目实施过程中需配合监理工作。</w:t>
      </w:r>
    </w:p>
    <w:p>
      <w:pPr>
        <w:spacing w:line="360" w:lineRule="auto"/>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四、技术情报、资料的保密及知识产权</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1.乙方应与甲方签订保密协议（保密协议附后）。</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乙方应按招标文件规定的时间向甲方提供项目的有关技术资料。在项目开发过程和系统运行过程中，乙方所获得的有关甲方或属于甲方的信息，未经甲方同意，不得泄露给任何第三方。任何一方为本项目需要，向任何人透露有关资料或信息，应事先予以告知对方。乙方只能将该信息用于本项目，而且只能由相应的工程技术人员使用。</w:t>
      </w:r>
    </w:p>
    <w:p>
      <w:pPr>
        <w:pStyle w:val="38"/>
        <w:spacing w:line="360" w:lineRule="auto"/>
        <w:ind w:firstLine="212"/>
        <w:rPr>
          <w:rFonts w:ascii="宋体" w:hAnsi="宋体" w:eastAsia="宋体" w:cs="宋体"/>
          <w:snapToGrid w:val="0"/>
          <w:color w:val="000000" w:themeColor="text1"/>
          <w:kern w:val="0"/>
          <w:sz w:val="21"/>
          <w:szCs w:val="21"/>
          <w:highlight w:val="none"/>
          <w:lang w:val="en-US"/>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14:textFill>
            <w14:solidFill>
              <w14:schemeClr w14:val="tx1"/>
            </w14:solidFill>
          </w14:textFill>
        </w:rPr>
        <w:t>3.对于在本合同签订前已经存在的设计方案图纸、各种说明书、测试数据资料、计算机软件、技术产品架构以及其他技术文档，其所有权和知识产权归属原权利人所有，但原权利人需以书面清单的形式交付对方进行备案。</w:t>
      </w:r>
    </w:p>
    <w:p>
      <w:pPr>
        <w:tabs>
          <w:tab w:val="left" w:pos="567"/>
        </w:tabs>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乙方应遵循甲方各项安全保密制度和规章，所有信息数据在迁移、处理等过程中严禁私自复制、传输，完成建设任务后，档案信息数据需根据甲方要求进行物理清除。甲方对乙方项目开发过程中所采集、处理的全部数据享有所有权，未经甲方同意乙方不得擅自使用，也不得允许任何第三方无偿或者有偿使用该数据，否则需承担违约责任。</w:t>
      </w:r>
    </w:p>
    <w:p>
      <w:pPr>
        <w:tabs>
          <w:tab w:val="left" w:pos="567"/>
        </w:tabs>
        <w:adjustRightInd w:val="0"/>
        <w:snapToGrid w:val="0"/>
        <w:spacing w:line="360" w:lineRule="auto"/>
        <w:ind w:firstLine="42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5. 乙方保证制作内容版权合法，乙方承诺其交付给甲方的所有作品为其自主制作，拥有版权（著作权），甲方在使用乙方制作的本合同项下所有作品时不会侵犯任何人合法享有的任何权利（包括但不限于著作权、商标权、肖像权及其他知识产权等）， 如涉及对第三方产品的使用，乙方保证已取得相关权利人的许可并已支付相关的费用。因乙方侵犯第三方权利而给甲方造成的损失，由乙方承担全部赔偿责任。 </w:t>
      </w:r>
      <w:r>
        <w:rPr>
          <w:rFonts w:ascii="宋体" w:hAnsi="宋体" w:cs="宋体"/>
          <w:snapToGrid w:val="0"/>
          <w:color w:val="000000" w:themeColor="text1"/>
          <w:kern w:val="0"/>
          <w:szCs w:val="21"/>
          <w:highlight w:val="none"/>
          <w14:textFill>
            <w14:solidFill>
              <w14:schemeClr w14:val="tx1"/>
            </w14:solidFill>
          </w14:textFill>
        </w:rPr>
        <w:t xml:space="preserve"> </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w:t>
      </w:r>
      <w:r>
        <w:rPr>
          <w:rFonts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乙方作为本项目的开发者，在技术成果完成后，即对其开发的系统享有完整知识产权。甲方可以永久、免费使用乙方所交付的系统，但甲方的使用权并非是独立、排他的使用权，乙方仍然可以转让（但转让不影响甲方永久、免费使用乙方所交付的系统服务），自行使用或者允许第三方使用乙方所开发的系统和技术服务。</w:t>
      </w:r>
    </w:p>
    <w:p>
      <w:pPr>
        <w:spacing w:line="360" w:lineRule="auto"/>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五、验收</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初验：乙方完成系统的所有开发、测试、部署、数据准备、用户培训、试运行准备工作，具备正式上线试运行条件后，应对系统作出全面检查和对验收文件进行整理，列出清单并材料一同提交甲方。投入试运行前，由甲方组织对项目进行初步验收，通过初验后进行试运行。初验费用包含在总费用中，由乙方承担。</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试运行：项目试运行时间为三个月，在试运行期限内，乙方必须在试运行期内派专人常驻配合用户方做好试运行工作，对出现的问题及时进行修改完善。软件试运行结束，应出具试运行报告。乙方凭试运行报告，申请办理本合同的终验收手续。 </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终验：试运行结束，甲方组织对项目进行最终验收，乙方配合，对系统进行现场部署。甲方可依据招标文件上的技术要求、投标文件承诺的技术标准和国家有关质量标准，邀请专家进行验收。终验费用包含在总费用中，由乙方承担。</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4.乙方在系统上线前，需按照《网络安全法》要求，完成第三方安全机构出具的软件功能性能测试、安全性测试和系统代码审计报告，并通过相关网络安全等级保护测评及备案</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5.甲方在乙方提供相关服务的过程中，不定期对服务内容和质量进行考核。不达要求者，乙方承担一切损失和费用。</w:t>
      </w:r>
    </w:p>
    <w:p>
      <w:pPr>
        <w:spacing w:line="360" w:lineRule="auto"/>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六、合同修改与解除</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1.本合同供需双方的任何一方无权对合同内容进行修改，本合同如需修改，必须达成书面协议，并作为该合同的有效组成部分。</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2.合同可以经双方协商一致解除。</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3.合同经双方协商解除或因不可抗力解除的，乙方应返还甲方已支付未履行的款项，并按照同期银行贷款利率支付利息。</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4.乙方履行义务不符合国家有关规定或者合同约定，甲方可随时以书面形式通知乙方解除合同，但甲方需支付乙方已完成工作成果的服务费用。若乙方给甲方造成损失的，甲方并不免除乙方赔偿损失的责任。</w:t>
      </w:r>
    </w:p>
    <w:p>
      <w:pPr>
        <w:spacing w:line="360" w:lineRule="auto"/>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七、协作和工作约定。</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1.甲方的责任和义务</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（1）协调乙方与甲方内部有关部门以及其他单位的工作关系，提供乙方工作需求；</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（2）向乙方提供必要的业务需求；</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（3）根据本合同相关条款按时向乙方支付合同款项；</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（4）向乙方提供实施本项目所必须的应由甲方提供的信息及资料；</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2.乙方的责任和义务</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（1）合同签署后5天内，乙方应书面指定项目负责人；项目负责人应被授权在履行本合同的所有事务中代表乙方，提供本项目所有人员名单（附后）；</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（2）向甲方提供合同所规定的所有服务内容；</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（3）在验收时，负责对合同规定的由乙方完成的所有图纸、文件、资料、记录等技术文档进行整理、归档，其中纸质材料一式两份移交给甲方，并同时提供电子版材料；</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（4）在整个技术服务过程中，应采用适合本项目技术服务的项目实施管理方法和工具，用以指导和管理项目技术服务。</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（5）转让和分包：未经甲方事先书面同意，乙方不得向第三方部分转让或全部转让其应履行的合同义务。</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（6）甲方在项目建设期间将委托第三方监理机构全程参与项目监理。</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（7）乙方须及时汇报项目的进展，定期提交项目进展报告及工作计划。</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（8）乙方有义务保证实施团队稳定性，乙方因人员调动客观上造成甲方工作进度或质量损害的，乙方须承担相应责任。</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（9）乙方负责按时做好项目验收工作，甲方收到乙方提交的文档，经与第三方监理机构协商后，给予答复或确认。</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（10）乙方提供的产品和服务均不得侵犯其知识产权。否则，所产生的一切责任由乙方负责。</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ascii="宋体" w:hAnsi="宋体" w:cs="宋体"/>
          <w:snapToGrid w:val="0"/>
          <w:color w:val="000000" w:themeColor="text1"/>
          <w:kern w:val="0"/>
          <w:szCs w:val="21"/>
          <w:highlight w:val="none"/>
          <w14:textFill>
            <w14:solidFill>
              <w14:schemeClr w14:val="tx1"/>
            </w14:solidFill>
          </w14:textFill>
        </w:rPr>
        <w:t>（11）</w:t>
      </w:r>
      <w:r>
        <w:rPr>
          <w:rFonts w:hint="eastAsia" w:ascii="宋体" w:hAnsi="宋体" w:cs="宋体"/>
          <w:snapToGrid w:val="0"/>
          <w:color w:val="000000" w:themeColor="text1"/>
          <w:kern w:val="0"/>
          <w:szCs w:val="21"/>
          <w:highlight w:val="none"/>
          <w14:textFill>
            <w14:solidFill>
              <w14:schemeClr w14:val="tx1"/>
            </w14:solidFill>
          </w14:textFill>
        </w:rPr>
        <w:t>乙方需在常山县设立此项目的运营公司用于项目后期的运营和运维服务。</w:t>
      </w:r>
    </w:p>
    <w:p>
      <w:pPr>
        <w:spacing w:line="360" w:lineRule="auto"/>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八、合同金额及支付方式</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1.合同金额</w:t>
      </w:r>
    </w:p>
    <w:p>
      <w:pPr>
        <w:tabs>
          <w:tab w:val="left" w:pos="567"/>
        </w:tabs>
        <w:adjustRightInd w:val="0"/>
        <w:snapToGrid w:val="0"/>
        <w:spacing w:line="360" w:lineRule="auto"/>
        <w:ind w:firstLine="424"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本项目合同总金额共计人民币：</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万元。</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2.具体支付方式如下</w:t>
      </w:r>
    </w:p>
    <w:p>
      <w:pPr>
        <w:tabs>
          <w:tab w:val="left" w:pos="567"/>
        </w:tabs>
        <w:adjustRightInd w:val="0"/>
        <w:snapToGrid w:val="0"/>
        <w:spacing w:line="360" w:lineRule="auto"/>
        <w:ind w:firstLine="418" w:firstLineChars="198"/>
        <w:rPr>
          <w:rFonts w:ascii="Times New Roman" w:hAnsi="Times New Roman"/>
          <w:snapToGrid w:val="0"/>
          <w:color w:val="000000" w:themeColor="text1"/>
          <w:kern w:val="0"/>
          <w:szCs w:val="21"/>
          <w:highlight w:val="none"/>
          <w14:textFill>
            <w14:solidFill>
              <w14:schemeClr w14:val="tx1"/>
            </w14:solidFill>
          </w14:textFill>
        </w:rPr>
      </w:pPr>
      <w:r>
        <w:rPr>
          <w:rFonts w:ascii="Times New Roman" w:hAnsi="Times New Roman"/>
          <w:snapToGrid w:val="0"/>
          <w:color w:val="000000" w:themeColor="text1"/>
          <w:kern w:val="0"/>
          <w:szCs w:val="21"/>
          <w:highlight w:val="none"/>
          <w14:textFill>
            <w14:solidFill>
              <w14:schemeClr w14:val="tx1"/>
            </w14:solidFill>
          </w14:textFill>
        </w:rPr>
        <w:t>协议签订后30日内支付项目中标金额的20%作为预付款；大数据平台、驾驶舱及五大领域应用完成开发通过验收后，按进度支付中标金额的70%；运营维护服务到期后，支付剩余10%。</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服务期付款：</w:t>
      </w:r>
    </w:p>
    <w:p>
      <w:pPr>
        <w:tabs>
          <w:tab w:val="left" w:pos="567"/>
        </w:tabs>
        <w:adjustRightInd w:val="0"/>
        <w:snapToGrid w:val="0"/>
        <w:spacing w:line="360" w:lineRule="auto"/>
        <w:ind w:firstLine="418" w:firstLineChars="198"/>
        <w:rPr>
          <w:rFonts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本合同执行中相关的一切税费均由乙方承担</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九、违约责任</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1.由于乙方原因，延误工期或达不到项目规定的技术指标，乙方应当承担违约责任。承担方式和违约金额如下：超期30天内，每天扣合同总金额的0.2‰；累计超期30天，甲方有权终止执行合同。</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2.甲方未按合同按时支付给乙方应付金额，应按每逾期一天支付逾期付款金额0.2‰的比例向乙方支付滞纳金；甲方向乙方支付滞纳金后，本合同并不当然解除。</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双方一经签订合同，非经对方同意或不可抗力或对方严重违约触发本合同其他条款规定的终止合同的条件，不得终止合同，任何一方违约，必须按合同该期金额的30%支付违约金，同时赔偿非违约方因此而受到的合理损失。</w:t>
      </w:r>
    </w:p>
    <w:p>
      <w:pPr>
        <w:spacing w:line="360" w:lineRule="auto"/>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十、争议的解决</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在合同履行过程中发生争议，双方应当协商解决，双方不愿协商、调解解决或者协商、调解不成的，双方商定，允许采用以下任何一种方式解决。</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（一）因本合同所发生任何争议，申请浙江省</w:t>
      </w:r>
      <w:r>
        <w:rPr>
          <w:rFonts w:hint="eastAsia" w:ascii="宋体" w:hAnsi="宋体" w:cs="宋体"/>
          <w:snapToGrid w:val="0"/>
          <w:color w:val="000000" w:themeColor="text1"/>
          <w:kern w:val="0"/>
          <w:szCs w:val="21"/>
          <w:highlight w:val="none"/>
          <w:lang w:eastAsia="zh-Hans"/>
          <w14:textFill>
            <w14:solidFill>
              <w14:schemeClr w14:val="tx1"/>
            </w14:solidFill>
          </w14:textFill>
        </w:rPr>
        <w:t>衢州</w:t>
      </w:r>
      <w:r>
        <w:rPr>
          <w:rFonts w:hint="eastAsia" w:ascii="宋体" w:hAnsi="宋体" w:cs="宋体"/>
          <w:snapToGrid w:val="0"/>
          <w:color w:val="000000" w:themeColor="text1"/>
          <w:kern w:val="0"/>
          <w:szCs w:val="21"/>
          <w:highlight w:val="none"/>
          <w14:textFill>
            <w14:solidFill>
              <w14:schemeClr w14:val="tx1"/>
            </w14:solidFill>
          </w14:textFill>
        </w:rPr>
        <w:t>市仲裁委员会仲裁；</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（二）在浙江省</w:t>
      </w:r>
      <w:r>
        <w:rPr>
          <w:rFonts w:hint="eastAsia" w:ascii="宋体" w:hAnsi="宋体" w:cs="宋体"/>
          <w:snapToGrid w:val="0"/>
          <w:color w:val="000000" w:themeColor="text1"/>
          <w:kern w:val="0"/>
          <w:szCs w:val="21"/>
          <w:highlight w:val="none"/>
          <w:lang w:eastAsia="zh-Hans"/>
          <w14:textFill>
            <w14:solidFill>
              <w14:schemeClr w14:val="tx1"/>
            </w14:solidFill>
          </w14:textFill>
        </w:rPr>
        <w:t>衢州</w:t>
      </w:r>
      <w:r>
        <w:rPr>
          <w:rFonts w:hint="eastAsia" w:ascii="宋体" w:hAnsi="宋体" w:cs="宋体"/>
          <w:snapToGrid w:val="0"/>
          <w:color w:val="000000" w:themeColor="text1"/>
          <w:kern w:val="0"/>
          <w:szCs w:val="21"/>
          <w:highlight w:val="none"/>
          <w14:textFill>
            <w14:solidFill>
              <w14:schemeClr w14:val="tx1"/>
            </w14:solidFill>
          </w14:textFill>
        </w:rPr>
        <w:t>市，按司法程序解决。</w:t>
      </w:r>
    </w:p>
    <w:p>
      <w:pPr>
        <w:spacing w:line="360" w:lineRule="auto"/>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十一、其他约定</w:t>
      </w:r>
    </w:p>
    <w:p>
      <w:pPr>
        <w:pStyle w:val="38"/>
        <w:spacing w:line="360" w:lineRule="auto"/>
        <w:ind w:firstLine="212"/>
        <w:rPr>
          <w:rFonts w:ascii="宋体" w:hAnsi="宋体" w:eastAsia="宋体" w:cs="宋体"/>
          <w:snapToGrid w:val="0"/>
          <w:color w:val="000000" w:themeColor="text1"/>
          <w:kern w:val="0"/>
          <w:sz w:val="21"/>
          <w:szCs w:val="21"/>
          <w:highlight w:val="none"/>
          <w:lang w:val="en-US"/>
          <w14:textFill>
            <w14:solidFill>
              <w14:schemeClr w14:val="tx1"/>
            </w14:solidFill>
          </w14:textFill>
        </w:rPr>
      </w:pPr>
      <w:r>
        <w:rPr>
          <w:rFonts w:ascii="宋体" w:hAnsi="宋体" w:eastAsia="宋体" w:cs="宋体"/>
          <w:snapToGrid w:val="0"/>
          <w:color w:val="000000" w:themeColor="text1"/>
          <w:kern w:val="0"/>
          <w:sz w:val="21"/>
          <w:szCs w:val="21"/>
          <w:highlight w:val="none"/>
          <w:lang w:val="en-US"/>
          <w14:textFill>
            <w14:solidFill>
              <w14:schemeClr w14:val="tx1"/>
            </w14:solidFill>
          </w14:textFill>
        </w:rPr>
        <w:t>1.</w:t>
      </w:r>
      <w:r>
        <w:rPr>
          <w:rFonts w:hint="eastAsia" w:ascii="宋体" w:hAnsi="宋体" w:eastAsia="宋体" w:cs="宋体"/>
          <w:snapToGrid w:val="0"/>
          <w:color w:val="000000" w:themeColor="text1"/>
          <w:kern w:val="0"/>
          <w:sz w:val="21"/>
          <w:szCs w:val="21"/>
          <w:highlight w:val="none"/>
          <w:lang w:val="en-US"/>
          <w14:textFill>
            <w14:solidFill>
              <w14:schemeClr w14:val="tx1"/>
            </w14:solidFill>
          </w14:textFill>
        </w:rPr>
        <w:t xml:space="preserve"> 甲方委托丙方常山县农村投资集团有限公司对本项目进行实施、管理并支付款项，丙方为履行本合同所实施的行为对甲方有效，由甲方承担法律责任。</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2.本合同任何一方给另一方的通知，都应以书面形式发送，而另一方应以书面形式确认并发送到对方明确的地址。</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3.不可抗力：如果双方中任何一方由于战争、火灾、水灾、台风和地震以及其它经双方同意属于不可抗力的事故，致使合同履行受阻时，履行合同的期限应予延长，延长的期限应相当于事故所影响的时间。</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受事故影响的一方应在不可抗力的事故发生后尽快以书面形式通知另一方，并在事故发生后14天内，将有关部门出具的证明文件送给另一方。如果不可抗力影响时间延续120天以上的，双方应通过友好协商在合理的时间内达成进一步履行合同的协议，任何一方也有权解除合同。</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5.项目实施过程及验收阶段，乙方需提交以下文档供甲方确认，并保证所提交文档和程序代码的完整性、正确性和一致性：</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（1）需求规格说明书；</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（2）系统设计文档（包括概要设计、详细设计、数据库设计等）；</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（3）系统部署文档，包括软硬件清单、部署方案；</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（4）用户使用手册、管理手册及培训资料；</w:t>
      </w:r>
    </w:p>
    <w:p>
      <w:pPr>
        <w:tabs>
          <w:tab w:val="left" w:pos="567"/>
        </w:tabs>
        <w:adjustRightInd w:val="0"/>
        <w:snapToGrid w:val="0"/>
        <w:spacing w:line="360" w:lineRule="auto"/>
        <w:ind w:firstLine="424"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（5）验收申请报告及验收所需的全部资料。</w:t>
      </w:r>
    </w:p>
    <w:p>
      <w:pPr>
        <w:spacing w:line="360" w:lineRule="auto"/>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十二、合同生效及其它</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1.本合同由甲方、乙方、丙方签字或者盖章后生效。</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2.合同履行期内甲乙双方均不得随意变更或解除合同。合同若有未尽事宜，需经双方共同协商，订立补充协议，补充协议与本合同有同等法律效力。</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3.招标文件（招标编号：）、投标文件及评标过程中的文字资料均作为本合同的组成部分，优先次序如下：补充协议（若有）、本合同、投标文件及评标过程中的文字资料、招标文件。</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4.乙方在本合同外通过书面形式或大众媒体方式公开做出的服务承诺，自动成为本合同的组成部分，但其中为用户设定的义务，未经甲方同意的，不成为本合同的组成部分。</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5.本合同一式玖份，甲方、乙方、丙方各叁份。</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6.适用法律：本合同应按中华人民共和国的法律进行解释。</w:t>
      </w:r>
    </w:p>
    <w:p>
      <w:pPr>
        <w:pStyle w:val="81"/>
        <w:spacing w:after="160"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（以下无正文，为合同签章页）</w:t>
      </w:r>
    </w:p>
    <w:p>
      <w:pPr>
        <w:pStyle w:val="21"/>
        <w:snapToGrid w:val="0"/>
        <w:spacing w:line="480" w:lineRule="exact"/>
        <w:ind w:left="2" w:leftChars="1" w:firstLine="424" w:firstLineChars="200"/>
        <w:rPr>
          <w:rFonts w:hAnsi="宋体" w:cs="宋体"/>
          <w:snapToGrid w:val="0"/>
          <w:color w:val="000000" w:themeColor="text1"/>
          <w:szCs w:val="21"/>
          <w:highlight w:val="none"/>
          <w14:textFill>
            <w14:solidFill>
              <w14:schemeClr w14:val="tx1"/>
            </w14:solidFill>
          </w14:textFill>
        </w:rPr>
      </w:pPr>
    </w:p>
    <w:p>
      <w:pPr>
        <w:pStyle w:val="21"/>
        <w:snapToGrid w:val="0"/>
        <w:spacing w:line="480" w:lineRule="exact"/>
        <w:ind w:left="2" w:leftChars="1" w:firstLine="424" w:firstLineChars="200"/>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 xml:space="preserve">甲方（盖章）：                          乙方（盖章）： </w:t>
      </w:r>
    </w:p>
    <w:p>
      <w:pPr>
        <w:pStyle w:val="21"/>
        <w:snapToGrid w:val="0"/>
        <w:spacing w:line="480" w:lineRule="exact"/>
        <w:ind w:firstLine="451" w:firstLineChars="213"/>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 xml:space="preserve">地址：                                </w:t>
      </w:r>
      <w:r>
        <w:rPr>
          <w:rFonts w:hAnsi="宋体" w:cs="宋体"/>
          <w:snapToGrid w:val="0"/>
          <w:color w:val="000000" w:themeColor="text1"/>
          <w:szCs w:val="21"/>
          <w:highlight w:val="none"/>
          <w14:textFill>
            <w14:solidFill>
              <w14:schemeClr w14:val="tx1"/>
            </w14:solidFill>
          </w14:textFill>
        </w:rPr>
        <w:t xml:space="preserve"> </w:t>
      </w:r>
      <w:r>
        <w:rPr>
          <w:rFonts w:hint="eastAsia" w:hAnsi="宋体" w:cs="宋体"/>
          <w:snapToGrid w:val="0"/>
          <w:color w:val="000000" w:themeColor="text1"/>
          <w:szCs w:val="21"/>
          <w:highlight w:val="none"/>
          <w14:textFill>
            <w14:solidFill>
              <w14:schemeClr w14:val="tx1"/>
            </w14:solidFill>
          </w14:textFill>
        </w:rPr>
        <w:t>地址：</w:t>
      </w:r>
    </w:p>
    <w:p>
      <w:pPr>
        <w:pStyle w:val="21"/>
        <w:snapToGrid w:val="0"/>
        <w:spacing w:line="480" w:lineRule="exact"/>
        <w:ind w:firstLine="451" w:firstLineChars="213"/>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 xml:space="preserve">法定（授权）代表人：                  </w:t>
      </w:r>
      <w:r>
        <w:rPr>
          <w:rFonts w:hAnsi="宋体" w:cs="宋体"/>
          <w:snapToGrid w:val="0"/>
          <w:color w:val="000000" w:themeColor="text1"/>
          <w:szCs w:val="21"/>
          <w:highlight w:val="none"/>
          <w14:textFill>
            <w14:solidFill>
              <w14:schemeClr w14:val="tx1"/>
            </w14:solidFill>
          </w14:textFill>
        </w:rPr>
        <w:t xml:space="preserve"> </w:t>
      </w:r>
      <w:r>
        <w:rPr>
          <w:rFonts w:hint="eastAsia" w:hAnsi="宋体" w:cs="宋体"/>
          <w:snapToGrid w:val="0"/>
          <w:color w:val="000000" w:themeColor="text1"/>
          <w:szCs w:val="21"/>
          <w:highlight w:val="none"/>
          <w14:textFill>
            <w14:solidFill>
              <w14:schemeClr w14:val="tx1"/>
            </w14:solidFill>
          </w14:textFill>
        </w:rPr>
        <w:t>法定（授权）代表人：</w:t>
      </w:r>
    </w:p>
    <w:p>
      <w:pPr>
        <w:pStyle w:val="21"/>
        <w:snapToGrid w:val="0"/>
        <w:spacing w:line="480" w:lineRule="exact"/>
        <w:ind w:firstLine="451" w:firstLineChars="213"/>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 xml:space="preserve">联系电话：                           </w:t>
      </w:r>
      <w:r>
        <w:rPr>
          <w:rFonts w:hAnsi="宋体" w:cs="宋体"/>
          <w:snapToGrid w:val="0"/>
          <w:color w:val="000000" w:themeColor="text1"/>
          <w:szCs w:val="21"/>
          <w:highlight w:val="none"/>
          <w14:textFill>
            <w14:solidFill>
              <w14:schemeClr w14:val="tx1"/>
            </w14:solidFill>
          </w14:textFill>
        </w:rPr>
        <w:t xml:space="preserve"> </w:t>
      </w:r>
      <w:r>
        <w:rPr>
          <w:rFonts w:hint="eastAsia" w:hAnsi="宋体" w:cs="宋体"/>
          <w:snapToGrid w:val="0"/>
          <w:color w:val="000000" w:themeColor="text1"/>
          <w:szCs w:val="21"/>
          <w:highlight w:val="none"/>
          <w14:textFill>
            <w14:solidFill>
              <w14:schemeClr w14:val="tx1"/>
            </w14:solidFill>
          </w14:textFill>
        </w:rPr>
        <w:t xml:space="preserve"> 联系电话：         </w:t>
      </w:r>
    </w:p>
    <w:p>
      <w:pPr>
        <w:pStyle w:val="21"/>
        <w:snapToGrid w:val="0"/>
        <w:spacing w:line="480" w:lineRule="exact"/>
        <w:ind w:firstLine="451" w:firstLineChars="213"/>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 xml:space="preserve">日期:    年   月   日 </w:t>
      </w:r>
      <w:r>
        <w:rPr>
          <w:rFonts w:hAnsi="宋体" w:cs="宋体"/>
          <w:snapToGrid w:val="0"/>
          <w:color w:val="000000" w:themeColor="text1"/>
          <w:szCs w:val="21"/>
          <w:highlight w:val="none"/>
          <w14:textFill>
            <w14:solidFill>
              <w14:schemeClr w14:val="tx1"/>
            </w14:solidFill>
          </w14:textFill>
        </w:rPr>
        <w:t xml:space="preserve">                 </w:t>
      </w:r>
      <w:r>
        <w:rPr>
          <w:rFonts w:hint="eastAsia" w:hAnsi="宋体" w:cs="宋体"/>
          <w:snapToGrid w:val="0"/>
          <w:color w:val="000000" w:themeColor="text1"/>
          <w:szCs w:val="21"/>
          <w:highlight w:val="none"/>
          <w14:textFill>
            <w14:solidFill>
              <w14:schemeClr w14:val="tx1"/>
            </w14:solidFill>
          </w14:textFill>
        </w:rPr>
        <w:t>日期:    年   月   日</w:t>
      </w:r>
    </w:p>
    <w:p>
      <w:pPr>
        <w:pStyle w:val="21"/>
        <w:snapToGrid w:val="0"/>
        <w:spacing w:line="480" w:lineRule="exact"/>
        <w:rPr>
          <w:rFonts w:hAnsi="宋体" w:cs="宋体"/>
          <w:snapToGrid w:val="0"/>
          <w:color w:val="000000" w:themeColor="text1"/>
          <w:szCs w:val="21"/>
          <w:highlight w:val="none"/>
          <w14:textFill>
            <w14:solidFill>
              <w14:schemeClr w14:val="tx1"/>
            </w14:solidFill>
          </w14:textFill>
        </w:rPr>
      </w:pPr>
    </w:p>
    <w:p>
      <w:pPr>
        <w:pStyle w:val="21"/>
        <w:snapToGrid w:val="0"/>
        <w:spacing w:line="480" w:lineRule="exact"/>
        <w:ind w:firstLine="451" w:firstLineChars="213"/>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 xml:space="preserve">                                      </w:t>
      </w:r>
    </w:p>
    <w:p>
      <w:pPr>
        <w:rPr>
          <w:color w:val="000000" w:themeColor="text1"/>
          <w:highlight w:val="none"/>
          <w14:textFill>
            <w14:solidFill>
              <w14:schemeClr w14:val="tx1"/>
            </w14:solidFill>
          </w14:textFill>
        </w:rPr>
      </w:pPr>
    </w:p>
    <w:p>
      <w:pPr>
        <w:pStyle w:val="21"/>
        <w:snapToGrid w:val="0"/>
        <w:spacing w:line="460" w:lineRule="exact"/>
        <w:ind w:firstLine="424" w:firstLineChars="200"/>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 xml:space="preserve">丙方（盖章） </w:t>
      </w:r>
      <w:r>
        <w:rPr>
          <w:rFonts w:hAnsi="宋体" w:cs="宋体"/>
          <w:snapToGrid w:val="0"/>
          <w:color w:val="000000" w:themeColor="text1"/>
          <w:szCs w:val="21"/>
          <w:highlight w:val="none"/>
          <w14:textFill>
            <w14:solidFill>
              <w14:schemeClr w14:val="tx1"/>
            </w14:solidFill>
          </w14:textFill>
        </w:rPr>
        <w:t xml:space="preserve">                          </w:t>
      </w:r>
      <w:r>
        <w:rPr>
          <w:rFonts w:hint="eastAsia" w:hAnsi="宋体" w:cs="宋体"/>
          <w:snapToGrid w:val="0"/>
          <w:color w:val="000000" w:themeColor="text1"/>
          <w:szCs w:val="21"/>
          <w:highlight w:val="none"/>
          <w14:textFill>
            <w14:solidFill>
              <w14:schemeClr w14:val="tx1"/>
            </w14:solidFill>
          </w14:textFill>
        </w:rPr>
        <w:t>见证方（盖章）：</w:t>
      </w:r>
    </w:p>
    <w:p>
      <w:pPr>
        <w:pStyle w:val="21"/>
        <w:snapToGrid w:val="0"/>
        <w:spacing w:line="480" w:lineRule="exact"/>
        <w:ind w:left="2" w:leftChars="1" w:firstLine="424" w:firstLineChars="200"/>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 xml:space="preserve">法定（授权）代表人： </w:t>
      </w:r>
      <w:r>
        <w:rPr>
          <w:rFonts w:hAnsi="宋体" w:cs="宋体"/>
          <w:snapToGrid w:val="0"/>
          <w:color w:val="000000" w:themeColor="text1"/>
          <w:szCs w:val="21"/>
          <w:highlight w:val="none"/>
          <w14:textFill>
            <w14:solidFill>
              <w14:schemeClr w14:val="tx1"/>
            </w14:solidFill>
          </w14:textFill>
        </w:rPr>
        <w:t xml:space="preserve">                  </w:t>
      </w:r>
      <w:r>
        <w:rPr>
          <w:rFonts w:hint="eastAsia" w:hAnsi="宋体" w:cs="宋体"/>
          <w:snapToGrid w:val="0"/>
          <w:color w:val="000000" w:themeColor="text1"/>
          <w:szCs w:val="21"/>
          <w:highlight w:val="none"/>
          <w14:textFill>
            <w14:solidFill>
              <w14:schemeClr w14:val="tx1"/>
            </w14:solidFill>
          </w14:textFill>
        </w:rPr>
        <w:t>法定（授权）代表人：</w:t>
      </w:r>
    </w:p>
    <w:p>
      <w:pPr>
        <w:pStyle w:val="21"/>
        <w:snapToGrid w:val="0"/>
        <w:spacing w:line="460" w:lineRule="exact"/>
        <w:ind w:firstLine="318" w:firstLineChars="150"/>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 xml:space="preserve"> 地址： </w:t>
      </w:r>
      <w:r>
        <w:rPr>
          <w:rFonts w:hAnsi="宋体" w:cs="宋体"/>
          <w:snapToGrid w:val="0"/>
          <w:color w:val="000000" w:themeColor="text1"/>
          <w:szCs w:val="21"/>
          <w:highlight w:val="none"/>
          <w14:textFill>
            <w14:solidFill>
              <w14:schemeClr w14:val="tx1"/>
            </w14:solidFill>
          </w14:textFill>
        </w:rPr>
        <w:t xml:space="preserve">                                </w:t>
      </w:r>
      <w:r>
        <w:rPr>
          <w:rFonts w:hint="eastAsia" w:hAnsi="宋体" w:cs="宋体"/>
          <w:snapToGrid w:val="0"/>
          <w:color w:val="000000" w:themeColor="text1"/>
          <w:szCs w:val="21"/>
          <w:highlight w:val="none"/>
          <w14:textFill>
            <w14:solidFill>
              <w14:schemeClr w14:val="tx1"/>
            </w14:solidFill>
          </w14:textFill>
        </w:rPr>
        <w:t>地址：</w:t>
      </w:r>
    </w:p>
    <w:p>
      <w:pPr>
        <w:pStyle w:val="21"/>
        <w:snapToGrid w:val="0"/>
        <w:spacing w:line="480" w:lineRule="exact"/>
        <w:ind w:left="2" w:leftChars="1" w:firstLine="424" w:firstLineChars="200"/>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 xml:space="preserve">电话： </w:t>
      </w:r>
      <w:r>
        <w:rPr>
          <w:rFonts w:hAnsi="宋体" w:cs="宋体"/>
          <w:snapToGrid w:val="0"/>
          <w:color w:val="000000" w:themeColor="text1"/>
          <w:szCs w:val="21"/>
          <w:highlight w:val="none"/>
          <w14:textFill>
            <w14:solidFill>
              <w14:schemeClr w14:val="tx1"/>
            </w14:solidFill>
          </w14:textFill>
        </w:rPr>
        <w:t xml:space="preserve">                                </w:t>
      </w:r>
      <w:r>
        <w:rPr>
          <w:rFonts w:hint="eastAsia" w:hAnsi="宋体" w:cs="宋体"/>
          <w:snapToGrid w:val="0"/>
          <w:color w:val="000000" w:themeColor="text1"/>
          <w:szCs w:val="21"/>
          <w:highlight w:val="none"/>
          <w14:textFill>
            <w14:solidFill>
              <w14:schemeClr w14:val="tx1"/>
            </w14:solidFill>
          </w14:textFill>
        </w:rPr>
        <w:t>联系电话：</w:t>
      </w:r>
    </w:p>
    <w:p>
      <w:pPr>
        <w:pStyle w:val="21"/>
        <w:snapToGrid w:val="0"/>
        <w:spacing w:line="480" w:lineRule="exact"/>
        <w:ind w:left="2" w:leftChars="1" w:firstLine="424" w:firstLineChars="200"/>
        <w:rPr>
          <w:rFonts w:hAnsi="宋体" w:cs="宋体"/>
          <w:snapToGrid w:val="0"/>
          <w:color w:val="000000" w:themeColor="text1"/>
          <w:szCs w:val="21"/>
          <w:highlight w:val="none"/>
          <w14:textFill>
            <w14:solidFill>
              <w14:schemeClr w14:val="tx1"/>
            </w14:solidFill>
          </w14:textFill>
        </w:rPr>
      </w:pPr>
      <w:r>
        <w:rPr>
          <w:rFonts w:hint="eastAsia" w:hAnsi="宋体" w:cs="宋体"/>
          <w:snapToGrid w:val="0"/>
          <w:color w:val="000000" w:themeColor="text1"/>
          <w:szCs w:val="21"/>
          <w:highlight w:val="none"/>
          <w14:textFill>
            <w14:solidFill>
              <w14:schemeClr w14:val="tx1"/>
            </w14:solidFill>
          </w14:textFill>
        </w:rPr>
        <w:t xml:space="preserve">日期：   年  月  </w:t>
      </w:r>
      <w:r>
        <w:rPr>
          <w:rFonts w:hAnsi="宋体" w:cs="宋体"/>
          <w:snapToGrid w:val="0"/>
          <w:color w:val="000000" w:themeColor="text1"/>
          <w:szCs w:val="21"/>
          <w:highlight w:val="none"/>
          <w14:textFill>
            <w14:solidFill>
              <w14:schemeClr w14:val="tx1"/>
            </w14:solidFill>
          </w14:textFill>
        </w:rPr>
        <w:t xml:space="preserve"> </w:t>
      </w:r>
      <w:r>
        <w:rPr>
          <w:rFonts w:hint="eastAsia" w:hAnsi="宋体" w:cs="宋体"/>
          <w:snapToGrid w:val="0"/>
          <w:color w:val="000000" w:themeColor="text1"/>
          <w:szCs w:val="21"/>
          <w:highlight w:val="none"/>
          <w14:textFill>
            <w14:solidFill>
              <w14:schemeClr w14:val="tx1"/>
            </w14:solidFill>
          </w14:textFill>
        </w:rPr>
        <w:t xml:space="preserve">日 </w:t>
      </w:r>
      <w:r>
        <w:rPr>
          <w:rFonts w:hAnsi="宋体" w:cs="宋体"/>
          <w:snapToGrid w:val="0"/>
          <w:color w:val="000000" w:themeColor="text1"/>
          <w:szCs w:val="21"/>
          <w:highlight w:val="none"/>
          <w14:textFill>
            <w14:solidFill>
              <w14:schemeClr w14:val="tx1"/>
            </w14:solidFill>
          </w14:textFill>
        </w:rPr>
        <w:t xml:space="preserve">                  </w:t>
      </w:r>
      <w:r>
        <w:rPr>
          <w:rFonts w:hint="eastAsia" w:hAnsi="宋体" w:cs="宋体"/>
          <w:snapToGrid w:val="0"/>
          <w:color w:val="000000" w:themeColor="text1"/>
          <w:szCs w:val="21"/>
          <w:highlight w:val="none"/>
          <w14:textFill>
            <w14:solidFill>
              <w14:schemeClr w14:val="tx1"/>
            </w14:solidFill>
          </w14:textFill>
        </w:rPr>
        <w:t>日期:    年   月   日</w:t>
      </w:r>
    </w:p>
    <w:p>
      <w:pPr>
        <w:spacing w:before="320" w:beforeLines="100" w:after="640" w:afterLines="200"/>
        <w:rPr>
          <w:rFonts w:ascii="宋体" w:hAnsi="宋体" w:cs="宋体"/>
          <w:b/>
          <w:snapToGrid w:val="0"/>
          <w:color w:val="000000" w:themeColor="text1"/>
          <w:kern w:val="0"/>
          <w:szCs w:val="21"/>
          <w:highlight w:val="none"/>
          <w14:textFill>
            <w14:solidFill>
              <w14:schemeClr w14:val="tx1"/>
            </w14:solidFill>
          </w14:textFill>
        </w:rPr>
      </w:pPr>
      <w:r>
        <w:rPr>
          <w:rFonts w:ascii="宋体" w:hAnsi="宋体" w:cs="宋体"/>
          <w:b/>
          <w:snapToGrid w:val="0"/>
          <w:color w:val="000000" w:themeColor="text1"/>
          <w:kern w:val="0"/>
          <w:szCs w:val="21"/>
          <w:highlight w:val="none"/>
          <w14:textFill>
            <w14:solidFill>
              <w14:schemeClr w14:val="tx1"/>
            </w14:solidFill>
          </w14:textFill>
        </w:rPr>
        <w:br w:type="page"/>
      </w:r>
    </w:p>
    <w:p>
      <w:pPr>
        <w:spacing w:before="320" w:beforeLines="100" w:after="640" w:afterLines="200"/>
        <w:jc w:val="center"/>
        <w:rPr>
          <w:rFonts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b/>
          <w:snapToGrid w:val="0"/>
          <w:color w:val="000000" w:themeColor="text1"/>
          <w:kern w:val="0"/>
          <w:szCs w:val="21"/>
          <w:highlight w:val="none"/>
          <w14:textFill>
            <w14:solidFill>
              <w14:schemeClr w14:val="tx1"/>
            </w14:solidFill>
          </w14:textFill>
        </w:rPr>
        <w:t>项目保密协议</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甲方：</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乙方：</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为确保项目的组织、管理、实施的安全性、有效性、正确性，规范工程实施行为，根据国家有关涉密信息系统建设的有关规定，就乙方参与上述项目工程实施的保密责任，甲乙双方达成如下一致意见：</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乙方严格遵守保密管理工作相关法律法规，保守在项目中所涉及的秘密。</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不得擅自记录、复制、拍摄、摘抄、收藏在项目中涉及的秘密和敏感信息；严禁将项目的相关技术方案及实施规划透露给无关人员。</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服从甲方安排，依照有关法律、法规和合同规定工作，不得将项目过程中接触到文件（包括会议纪要及各类通知）的内容泄露给无关人员；不得翻阅与项目无关的文件和资料，不得从事和合同无关的事。</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不得带领无关人员进入办公场所。</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乙方必须向甲方提供从事该项目的所以人员资料给甲方审核。乙方从事该项目的人员必须签订保密协议，保密内容听取甲方意见。</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乙方不得发表该项目的技术文档和论文，未经甲方同意，乙方不得使用工程项目案例进行演示或宣传。</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本协议视同合同的组成部分，对协议的任何修改，必须采取书面形式，并有双方负责人签字。</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乙方如未能遵守上述协议，有违反保密规定行为而造成泄密，甲方可依据有关规定追究乙方的责任，有权按照国家法律法规的规定，采取法律行动：包括要求法院发布禁令、要求责任方赔偿损失。</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乙方应在充分理解本责任书内容的基础上自觉签字承诺愿意接受本保密责任书的法律约束。</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本保密协议书一式肆份，甲乙双方各贰份，双方签字、盖章生效。</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p>
    <w:p>
      <w:pPr>
        <w:tabs>
          <w:tab w:val="left" w:pos="567"/>
        </w:tabs>
        <w:adjustRightInd w:val="0"/>
        <w:snapToGrid w:val="0"/>
        <w:spacing w:line="360" w:lineRule="auto"/>
        <w:rPr>
          <w:rFonts w:ascii="宋体" w:hAnsi="宋体" w:cs="宋体"/>
          <w:snapToGrid w:val="0"/>
          <w:color w:val="000000" w:themeColor="text1"/>
          <w:kern w:val="0"/>
          <w:szCs w:val="21"/>
          <w:highlight w:val="none"/>
          <w14:textFill>
            <w14:solidFill>
              <w14:schemeClr w14:val="tx1"/>
            </w14:solidFill>
          </w14:textFill>
        </w:rPr>
      </w:pP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甲方：（签章）</w:t>
      </w:r>
      <w:r>
        <w:rPr>
          <w:rFonts w:ascii="宋体" w:hAnsi="宋体" w:cs="宋体"/>
          <w:snapToGrid w:val="0"/>
          <w:color w:val="000000" w:themeColor="text1"/>
          <w:kern w:val="0"/>
          <w:szCs w:val="21"/>
          <w:highlight w:val="none"/>
          <w14:textFill>
            <w14:solidFill>
              <w14:schemeClr w14:val="tx1"/>
            </w14:solidFill>
          </w14:textFill>
        </w:rPr>
        <w:tab/>
      </w:r>
      <w:r>
        <w:rPr>
          <w:rFonts w:ascii="宋体" w:hAnsi="宋体" w:cs="宋体"/>
          <w:snapToGrid w:val="0"/>
          <w:color w:val="000000" w:themeColor="text1"/>
          <w:kern w:val="0"/>
          <w:szCs w:val="21"/>
          <w:highlight w:val="none"/>
          <w14:textFill>
            <w14:solidFill>
              <w14:schemeClr w14:val="tx1"/>
            </w14:solidFill>
          </w14:textFill>
        </w:rPr>
        <w:tab/>
      </w:r>
      <w:r>
        <w:rPr>
          <w:rFonts w:ascii="宋体" w:hAnsi="宋体" w:cs="宋体"/>
          <w:snapToGrid w:val="0"/>
          <w:color w:val="000000" w:themeColor="text1"/>
          <w:kern w:val="0"/>
          <w:szCs w:val="21"/>
          <w:highlight w:val="none"/>
          <w14:textFill>
            <w14:solidFill>
              <w14:schemeClr w14:val="tx1"/>
            </w14:solidFill>
          </w14:textFill>
        </w:rPr>
        <w:tab/>
      </w:r>
      <w:r>
        <w:rPr>
          <w:rFonts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乙方：（签章）</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法定代表人：（签章）</w:t>
      </w:r>
      <w:r>
        <w:rPr>
          <w:rFonts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法定代表人：（签章）</w:t>
      </w: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highlight w:val="none"/>
          <w14:textFill>
            <w14:solidFill>
              <w14:schemeClr w14:val="tx1"/>
            </w14:solidFill>
          </w14:textFill>
        </w:rPr>
      </w:pPr>
    </w:p>
    <w:p>
      <w:pPr>
        <w:tabs>
          <w:tab w:val="left" w:pos="567"/>
        </w:tabs>
        <w:adjustRightInd w:val="0"/>
        <w:snapToGrid w:val="0"/>
        <w:spacing w:line="360" w:lineRule="auto"/>
        <w:ind w:firstLine="418" w:firstLineChars="198"/>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年</w:t>
      </w:r>
      <w:r>
        <w:rPr>
          <w:rFonts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月</w:t>
      </w:r>
      <w:r>
        <w:rPr>
          <w:rFonts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日</w:t>
      </w:r>
      <w:r>
        <w:rPr>
          <w:rFonts w:ascii="宋体" w:hAnsi="宋体" w:cs="宋体"/>
          <w:snapToGrid w:val="0"/>
          <w:color w:val="000000" w:themeColor="text1"/>
          <w:kern w:val="0"/>
          <w:szCs w:val="21"/>
          <w:highlight w:val="none"/>
          <w14:textFill>
            <w14:solidFill>
              <w14:schemeClr w14:val="tx1"/>
            </w14:solidFill>
          </w14:textFill>
        </w:rPr>
        <w:tab/>
      </w:r>
      <w:r>
        <w:rPr>
          <w:rFonts w:ascii="宋体" w:hAnsi="宋体" w:cs="宋体"/>
          <w:snapToGrid w:val="0"/>
          <w:color w:val="000000" w:themeColor="text1"/>
          <w:kern w:val="0"/>
          <w:szCs w:val="21"/>
          <w:highlight w:val="none"/>
          <w14:textFill>
            <w14:solidFill>
              <w14:schemeClr w14:val="tx1"/>
            </w14:solidFill>
          </w14:textFill>
        </w:rPr>
        <w:tab/>
      </w:r>
      <w:r>
        <w:rPr>
          <w:rFonts w:ascii="宋体" w:hAnsi="宋体" w:cs="宋体"/>
          <w:snapToGrid w:val="0"/>
          <w:color w:val="000000" w:themeColor="text1"/>
          <w:kern w:val="0"/>
          <w:szCs w:val="21"/>
          <w:highlight w:val="none"/>
          <w14:textFill>
            <w14:solidFill>
              <w14:schemeClr w14:val="tx1"/>
            </w14:solidFill>
          </w14:textFill>
        </w:rPr>
        <w:tab/>
      </w:r>
      <w:r>
        <w:rPr>
          <w:rFonts w:ascii="宋体" w:hAnsi="宋体" w:cs="宋体"/>
          <w:snapToGrid w:val="0"/>
          <w:color w:val="000000" w:themeColor="text1"/>
          <w:kern w:val="0"/>
          <w:szCs w:val="21"/>
          <w:highlight w:val="none"/>
          <w14:textFill>
            <w14:solidFill>
              <w14:schemeClr w14:val="tx1"/>
            </w14:solidFill>
          </w14:textFill>
        </w:rPr>
        <w:tab/>
      </w:r>
      <w:r>
        <w:rPr>
          <w:rFonts w:ascii="宋体" w:hAnsi="宋体" w:cs="宋体"/>
          <w:snapToGrid w:val="0"/>
          <w:color w:val="000000" w:themeColor="text1"/>
          <w:kern w:val="0"/>
          <w:szCs w:val="21"/>
          <w:highlight w:val="none"/>
          <w14:textFill>
            <w14:solidFill>
              <w14:schemeClr w14:val="tx1"/>
            </w14:solidFill>
          </w14:textFill>
        </w:rPr>
        <w:tab/>
      </w:r>
      <w:r>
        <w:rPr>
          <w:rFonts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年</w:t>
      </w:r>
      <w:r>
        <w:rPr>
          <w:rFonts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月</w:t>
      </w:r>
      <w:r>
        <w:rPr>
          <w:rFonts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日</w:t>
      </w:r>
    </w:p>
    <w:p>
      <w:pPr>
        <w:pStyle w:val="4"/>
        <w:ind w:firstLine="2576" w:firstLineChars="800"/>
        <w:rPr>
          <w:color w:val="000000" w:themeColor="text1"/>
          <w:sz w:val="32"/>
          <w:szCs w:val="32"/>
          <w:lang w:val="zh-CN"/>
          <w14:textFill>
            <w14:solidFill>
              <w14:schemeClr w14:val="tx1"/>
            </w14:solidFill>
          </w14:textFill>
        </w:rPr>
      </w:pPr>
      <w:bookmarkStart w:id="314" w:name="_Toc54798363"/>
      <w:r>
        <w:rPr>
          <w:rFonts w:hint="eastAsia"/>
          <w:color w:val="000000" w:themeColor="text1"/>
          <w:sz w:val="32"/>
          <w:szCs w:val="32"/>
          <w:lang w:val="zh-CN"/>
          <w14:textFill>
            <w14:solidFill>
              <w14:schemeClr w14:val="tx1"/>
            </w14:solidFill>
          </w14:textFill>
        </w:rPr>
        <w:t>第六章　投标文件相关格式</w:t>
      </w:r>
      <w:bookmarkEnd w:id="314"/>
    </w:p>
    <w:p>
      <w:pPr>
        <w:snapToGrid w:val="0"/>
        <w:spacing w:before="160" w:beforeLines="50" w:after="50"/>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投标文件正本或副本封面式样</w:t>
      </w:r>
    </w:p>
    <w:p>
      <w:pPr>
        <w:snapToGrid w:val="0"/>
        <w:spacing w:before="160" w:beforeLines="50" w:after="50"/>
        <w:jc w:val="center"/>
        <w:rPr>
          <w:rFonts w:ascii="宋体" w:hAnsi="宋体"/>
          <w:b/>
          <w:color w:val="000000" w:themeColor="text1"/>
          <w:sz w:val="52"/>
          <w:szCs w:val="52"/>
          <w14:textFill>
            <w14:solidFill>
              <w14:schemeClr w14:val="tx1"/>
            </w14:solidFill>
          </w14:textFill>
        </w:rPr>
      </w:pPr>
    </w:p>
    <w:p>
      <w:pPr>
        <w:snapToGrid w:val="0"/>
        <w:spacing w:before="160" w:beforeLines="50" w:after="50"/>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投</w:t>
      </w:r>
      <w:r>
        <w:rPr>
          <w:rFonts w:ascii="宋体" w:hAnsi="宋体"/>
          <w:b/>
          <w:color w:val="000000" w:themeColor="text1"/>
          <w:sz w:val="52"/>
          <w:szCs w:val="52"/>
          <w14:textFill>
            <w14:solidFill>
              <w14:schemeClr w14:val="tx1"/>
            </w14:solidFill>
          </w14:textFill>
        </w:rPr>
        <w:t xml:space="preserve"> </w:t>
      </w:r>
      <w:r>
        <w:rPr>
          <w:rFonts w:hint="eastAsia" w:ascii="宋体" w:hAnsi="宋体"/>
          <w:b/>
          <w:color w:val="000000" w:themeColor="text1"/>
          <w:sz w:val="52"/>
          <w:szCs w:val="52"/>
          <w14:textFill>
            <w14:solidFill>
              <w14:schemeClr w14:val="tx1"/>
            </w14:solidFill>
          </w14:textFill>
        </w:rPr>
        <w:t>标</w:t>
      </w:r>
      <w:r>
        <w:rPr>
          <w:rFonts w:ascii="宋体" w:hAnsi="宋体"/>
          <w:b/>
          <w:color w:val="000000" w:themeColor="text1"/>
          <w:sz w:val="52"/>
          <w:szCs w:val="52"/>
          <w14:textFill>
            <w14:solidFill>
              <w14:schemeClr w14:val="tx1"/>
            </w14:solidFill>
          </w14:textFill>
        </w:rPr>
        <w:t xml:space="preserve"> </w:t>
      </w:r>
      <w:r>
        <w:rPr>
          <w:rFonts w:hint="eastAsia" w:ascii="宋体" w:hAnsi="宋体"/>
          <w:b/>
          <w:color w:val="000000" w:themeColor="text1"/>
          <w:sz w:val="52"/>
          <w:szCs w:val="52"/>
          <w14:textFill>
            <w14:solidFill>
              <w14:schemeClr w14:val="tx1"/>
            </w14:solidFill>
          </w14:textFill>
        </w:rPr>
        <w:t>文</w:t>
      </w:r>
      <w:r>
        <w:rPr>
          <w:rFonts w:ascii="宋体" w:hAnsi="宋体"/>
          <w:b/>
          <w:color w:val="000000" w:themeColor="text1"/>
          <w:sz w:val="52"/>
          <w:szCs w:val="52"/>
          <w14:textFill>
            <w14:solidFill>
              <w14:schemeClr w14:val="tx1"/>
            </w14:solidFill>
          </w14:textFill>
        </w:rPr>
        <w:t xml:space="preserve"> </w:t>
      </w:r>
      <w:r>
        <w:rPr>
          <w:rFonts w:hint="eastAsia" w:ascii="宋体" w:hAnsi="宋体"/>
          <w:b/>
          <w:color w:val="000000" w:themeColor="text1"/>
          <w:sz w:val="52"/>
          <w:szCs w:val="52"/>
          <w14:textFill>
            <w14:solidFill>
              <w14:schemeClr w14:val="tx1"/>
            </w14:solidFill>
          </w14:textFill>
        </w:rPr>
        <w:t>件</w:t>
      </w:r>
    </w:p>
    <w:p>
      <w:pPr>
        <w:snapToGrid w:val="0"/>
        <w:spacing w:before="160" w:beforeLines="50" w:after="50"/>
        <w:jc w:val="center"/>
        <w:rPr>
          <w:rFonts w:ascii="宋体" w:hAnsi="宋体"/>
          <w:color w:val="000000" w:themeColor="text1"/>
          <w:sz w:val="24"/>
          <w:szCs w:val="20"/>
          <w14:textFill>
            <w14:solidFill>
              <w14:schemeClr w14:val="tx1"/>
            </w14:solidFill>
          </w14:textFill>
        </w:rPr>
      </w:pPr>
    </w:p>
    <w:p>
      <w:pPr>
        <w:snapToGrid w:val="0"/>
        <w:spacing w:before="160" w:beforeLines="50" w:after="50"/>
        <w:jc w:val="center"/>
        <w:rPr>
          <w:rFonts w:ascii="宋体" w:hAnsi="宋体"/>
          <w:b/>
          <w:color w:val="000000" w:themeColor="text1"/>
          <w:sz w:val="32"/>
          <w:szCs w:val="32"/>
          <w14:textFill>
            <w14:solidFill>
              <w14:schemeClr w14:val="tx1"/>
            </w14:solidFill>
          </w14:textFill>
        </w:rPr>
      </w:pPr>
    </w:p>
    <w:p>
      <w:pPr>
        <w:snapToGrid w:val="0"/>
        <w:spacing w:before="160" w:beforeLines="50" w:after="5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内容：资格证明文件（或商务及技术文件、报价文件）</w:t>
      </w:r>
    </w:p>
    <w:p>
      <w:pPr>
        <w:snapToGrid w:val="0"/>
        <w:spacing w:before="160" w:beforeLines="50" w:after="50"/>
        <w:rPr>
          <w:rFonts w:ascii="宋体" w:hAnsi="宋体"/>
          <w:b/>
          <w:color w:val="000000" w:themeColor="text1"/>
          <w:sz w:val="32"/>
          <w:szCs w:val="32"/>
          <w14:textFill>
            <w14:solidFill>
              <w14:schemeClr w14:val="tx1"/>
            </w14:solidFill>
          </w14:textFill>
        </w:rPr>
      </w:pPr>
    </w:p>
    <w:p>
      <w:pPr>
        <w:adjustRightInd w:val="0"/>
        <w:snapToGrid w:val="0"/>
        <w:spacing w:line="720" w:lineRule="auto"/>
        <w:rPr>
          <w:rFonts w:ascii="宋体" w:hAnsi="宋体"/>
          <w:color w:val="000000" w:themeColor="text1"/>
          <w:sz w:val="30"/>
          <w:szCs w:val="30"/>
          <w:u w:val="single"/>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项目名称：</w:t>
      </w:r>
      <w:r>
        <w:rPr>
          <w:rFonts w:hint="eastAsia" w:ascii="宋体" w:hAnsi="宋体"/>
          <w:color w:val="000000" w:themeColor="text1"/>
          <w:sz w:val="30"/>
          <w:szCs w:val="30"/>
          <w:u w:val="single"/>
          <w14:textFill>
            <w14:solidFill>
              <w14:schemeClr w14:val="tx1"/>
            </w14:solidFill>
          </w14:textFill>
        </w:rPr>
        <w:t>             </w:t>
      </w:r>
      <w:r>
        <w:rPr>
          <w:rFonts w:ascii="宋体" w:hAnsi="宋体"/>
          <w:color w:val="000000" w:themeColor="text1"/>
          <w:sz w:val="30"/>
          <w:szCs w:val="30"/>
          <w:u w:val="single"/>
          <w14:textFill>
            <w14:solidFill>
              <w14:schemeClr w14:val="tx1"/>
            </w14:solidFill>
          </w14:textFill>
        </w:rPr>
        <w:t xml:space="preserve">          </w:t>
      </w:r>
    </w:p>
    <w:p>
      <w:pPr>
        <w:snapToGrid w:val="0"/>
        <w:spacing w:before="160" w:beforeLines="50" w:after="50"/>
        <w:rPr>
          <w:rFonts w:ascii="宋体" w:hAnsi="宋体"/>
          <w:b/>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项目编号：</w:t>
      </w:r>
      <w:r>
        <w:rPr>
          <w:rFonts w:hint="eastAsia" w:ascii="宋体" w:hAnsi="宋体"/>
          <w:color w:val="000000" w:themeColor="text1"/>
          <w:sz w:val="30"/>
          <w:szCs w:val="30"/>
          <w:u w:val="single"/>
          <w14:textFill>
            <w14:solidFill>
              <w14:schemeClr w14:val="tx1"/>
            </w14:solidFill>
          </w14:textFill>
        </w:rPr>
        <w:t>            </w:t>
      </w:r>
      <w:r>
        <w:rPr>
          <w:rFonts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u w:val="single"/>
          <w14:textFill>
            <w14:solidFill>
              <w14:schemeClr w14:val="tx1"/>
            </w14:solidFill>
          </w14:textFill>
        </w:rPr>
        <w:t> </w:t>
      </w:r>
    </w:p>
    <w:p>
      <w:pPr>
        <w:snapToGrid w:val="0"/>
        <w:spacing w:before="160" w:beforeLines="50" w:after="50"/>
        <w:rPr>
          <w:rFonts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 xml:space="preserve">                                      </w:t>
      </w:r>
    </w:p>
    <w:p>
      <w:pPr>
        <w:snapToGrid w:val="0"/>
        <w:spacing w:before="160" w:beforeLines="50" w:after="5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投标人名称：</w:t>
      </w:r>
      <w:r>
        <w:rPr>
          <w:rFonts w:ascii="宋体" w:hAnsi="宋体"/>
          <w:b/>
          <w:color w:val="000000" w:themeColor="text1"/>
          <w:sz w:val="30"/>
          <w:szCs w:val="30"/>
          <w:u w:val="single"/>
          <w14:textFill>
            <w14:solidFill>
              <w14:schemeClr w14:val="tx1"/>
            </w14:solidFill>
          </w14:textFill>
        </w:rPr>
        <w:t xml:space="preserve">                       </w:t>
      </w:r>
      <w:r>
        <w:rPr>
          <w:rFonts w:hint="eastAsia" w:ascii="宋体" w:hAnsi="宋体"/>
          <w:b/>
          <w:color w:val="000000" w:themeColor="text1"/>
          <w:sz w:val="30"/>
          <w:szCs w:val="30"/>
          <w14:textFill>
            <w14:solidFill>
              <w14:schemeClr w14:val="tx1"/>
            </w14:solidFill>
          </w14:textFill>
        </w:rPr>
        <w:t>（加盖单位公章）</w:t>
      </w:r>
    </w:p>
    <w:p>
      <w:pPr>
        <w:snapToGrid w:val="0"/>
        <w:spacing w:before="160" w:beforeLines="50" w:after="50"/>
        <w:rPr>
          <w:rFonts w:ascii="宋体" w:hAnsi="宋体"/>
          <w:b/>
          <w:color w:val="000000" w:themeColor="text1"/>
          <w:sz w:val="30"/>
          <w:szCs w:val="30"/>
          <w14:textFill>
            <w14:solidFill>
              <w14:schemeClr w14:val="tx1"/>
            </w14:solidFill>
          </w14:textFill>
        </w:rPr>
      </w:pPr>
    </w:p>
    <w:p>
      <w:pPr>
        <w:snapToGrid w:val="0"/>
        <w:spacing w:before="160" w:beforeLines="50" w:after="5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投标人法定代表人或授权委托人：</w:t>
      </w:r>
      <w:r>
        <w:rPr>
          <w:rFonts w:ascii="宋体" w:hAnsi="宋体"/>
          <w:b/>
          <w:color w:val="000000" w:themeColor="text1"/>
          <w:sz w:val="30"/>
          <w:szCs w:val="30"/>
          <w:u w:val="single"/>
          <w14:textFill>
            <w14:solidFill>
              <w14:schemeClr w14:val="tx1"/>
            </w14:solidFill>
          </w14:textFill>
        </w:rPr>
        <w:t xml:space="preserve">        </w:t>
      </w:r>
      <w:r>
        <w:rPr>
          <w:rFonts w:hint="eastAsia" w:ascii="宋体" w:hAnsi="宋体"/>
          <w:b/>
          <w:color w:val="000000" w:themeColor="text1"/>
          <w:sz w:val="30"/>
          <w:szCs w:val="30"/>
          <w14:textFill>
            <w14:solidFill>
              <w14:schemeClr w14:val="tx1"/>
            </w14:solidFill>
          </w14:textFill>
        </w:rPr>
        <w:t>（签字或盖章）</w:t>
      </w:r>
    </w:p>
    <w:p>
      <w:pPr>
        <w:snapToGrid w:val="0"/>
        <w:spacing w:before="160" w:beforeLines="50" w:after="50"/>
        <w:rPr>
          <w:rFonts w:ascii="宋体" w:hAnsi="宋体"/>
          <w:b/>
          <w:color w:val="000000" w:themeColor="text1"/>
          <w:sz w:val="32"/>
          <w:szCs w:val="32"/>
          <w14:textFill>
            <w14:solidFill>
              <w14:schemeClr w14:val="tx1"/>
            </w14:solidFill>
          </w14:textFill>
        </w:rPr>
      </w:pPr>
    </w:p>
    <w:p>
      <w:pPr>
        <w:snapToGrid w:val="0"/>
        <w:spacing w:before="160" w:beforeLines="50" w:after="50"/>
        <w:rPr>
          <w:rFonts w:ascii="宋体" w:hAnsi="宋体"/>
          <w:b/>
          <w:color w:val="000000" w:themeColor="text1"/>
          <w:sz w:val="32"/>
          <w:szCs w:val="32"/>
          <w14:textFill>
            <w14:solidFill>
              <w14:schemeClr w14:val="tx1"/>
            </w14:solidFill>
          </w14:textFill>
        </w:rPr>
      </w:pPr>
    </w:p>
    <w:p>
      <w:pPr>
        <w:snapToGrid w:val="0"/>
        <w:spacing w:before="160" w:beforeLines="50" w:after="50"/>
        <w:rPr>
          <w:rFonts w:ascii="宋体" w:hAnsi="宋体"/>
          <w:b/>
          <w:color w:val="000000" w:themeColor="text1"/>
          <w:sz w:val="32"/>
          <w:szCs w:val="32"/>
          <w14:textFill>
            <w14:solidFill>
              <w14:schemeClr w14:val="tx1"/>
            </w14:solidFill>
          </w14:textFill>
        </w:rPr>
      </w:pPr>
    </w:p>
    <w:p>
      <w:pPr>
        <w:snapToGrid w:val="0"/>
        <w:spacing w:before="160" w:beforeLines="50" w:after="5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日期：</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年</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月</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日</w:t>
      </w:r>
    </w:p>
    <w:p>
      <w:pPr>
        <w:snapToGrid w:val="0"/>
        <w:spacing w:before="160" w:beforeLines="50" w:after="50"/>
        <w:rPr>
          <w:rFonts w:ascii="宋体" w:hAnsi="宋体"/>
          <w:color w:val="000000" w:themeColor="text1"/>
          <w:sz w:val="24"/>
          <w:szCs w:val="20"/>
          <w14:textFill>
            <w14:solidFill>
              <w14:schemeClr w14:val="tx1"/>
            </w14:solidFill>
          </w14:textFill>
        </w:rPr>
      </w:pPr>
    </w:p>
    <w:p>
      <w:pPr>
        <w:snapToGrid w:val="0"/>
        <w:spacing w:before="160" w:beforeLines="50" w:after="50"/>
        <w:rPr>
          <w:rFonts w:ascii="宋体" w:hAnsi="宋体"/>
          <w:color w:val="000000" w:themeColor="text1"/>
          <w:sz w:val="24"/>
          <w:szCs w:val="20"/>
          <w14:textFill>
            <w14:solidFill>
              <w14:schemeClr w14:val="tx1"/>
            </w14:solidFill>
          </w14:textFill>
        </w:rPr>
      </w:pPr>
    </w:p>
    <w:p>
      <w:pPr>
        <w:spacing w:line="500" w:lineRule="exact"/>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 xml:space="preserve">    </w:t>
      </w:r>
    </w:p>
    <w:p>
      <w:pPr>
        <w:spacing w:line="500" w:lineRule="exact"/>
        <w:rPr>
          <w:rFonts w:ascii="宋体" w:hAnsi="宋体"/>
          <w:b/>
          <w:bCs/>
          <w:color w:val="000000" w:themeColor="text1"/>
          <w:sz w:val="28"/>
          <w:szCs w:val="28"/>
          <w14:textFill>
            <w14:solidFill>
              <w14:schemeClr w14:val="tx1"/>
            </w14:solidFill>
          </w14:textFill>
        </w:rPr>
      </w:pPr>
    </w:p>
    <w:p>
      <w:pPr>
        <w:rPr>
          <w:rFonts w:ascii="黑体" w:hAnsi="宋体" w:eastAsia="黑体"/>
          <w:color w:val="000000" w:themeColor="text1"/>
          <w:sz w:val="32"/>
          <w:szCs w:val="32"/>
          <w14:textFill>
            <w14:solidFill>
              <w14:schemeClr w14:val="tx1"/>
            </w14:solidFill>
          </w14:textFill>
        </w:rPr>
      </w:pPr>
    </w:p>
    <w:p>
      <w:pPr>
        <w:autoSpaceDE w:val="0"/>
        <w:autoSpaceDN w:val="0"/>
        <w:adjustRightInd w:val="0"/>
        <w:spacing w:line="440" w:lineRule="exact"/>
        <w:rPr>
          <w:rFonts w:ascii="宋体" w:hAnsi="宋体" w:cs="宋体"/>
          <w:color w:val="000000" w:themeColor="text1"/>
          <w:sz w:val="28"/>
          <w:szCs w:val="28"/>
          <w14:textFill>
            <w14:solidFill>
              <w14:schemeClr w14:val="tx1"/>
            </w14:solidFill>
          </w14:textFill>
        </w:rPr>
      </w:pPr>
    </w:p>
    <w:p>
      <w:pPr>
        <w:jc w:val="center"/>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一、投标声明书</w:t>
      </w:r>
    </w:p>
    <w:p>
      <w:pPr>
        <w:spacing w:line="500" w:lineRule="exact"/>
        <w:ind w:firstLine="4114" w:firstLineChars="1459"/>
        <w:rPr>
          <w:b/>
          <w:color w:val="000000" w:themeColor="text1"/>
          <w:sz w:val="28"/>
          <w:szCs w:val="28"/>
          <w14:textFill>
            <w14:solidFill>
              <w14:schemeClr w14:val="tx1"/>
            </w14:solidFill>
          </w14:textFill>
        </w:rPr>
      </w:pPr>
    </w:p>
    <w:p>
      <w:pPr>
        <w:spacing w:line="500" w:lineRule="exact"/>
        <w:ind w:firstLine="2904" w:firstLineChars="1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p>
    <w:p>
      <w:pPr>
        <w:spacing w:line="500" w:lineRule="exact"/>
        <w:ind w:firstLine="484"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本单位自愿参加“</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（项目编号：</w:t>
      </w:r>
      <w:r>
        <w:rPr>
          <w:rFonts w:ascii="仿宋_GB2312" w:eastAsia="仿宋_GB2312"/>
          <w:b/>
          <w:color w:val="000000" w:themeColor="text1"/>
          <w:sz w:val="28"/>
          <w:szCs w:val="28"/>
          <w14:textFill>
            <w14:solidFill>
              <w14:schemeClr w14:val="tx1"/>
            </w14:solidFill>
          </w14:textFill>
        </w:rPr>
        <w:t xml:space="preserve">                  </w:t>
      </w:r>
      <w:r>
        <w:rPr>
          <w:rFonts w:hint="eastAsia"/>
          <w:color w:val="000000" w:themeColor="text1"/>
          <w:sz w:val="24"/>
          <w14:textFill>
            <w14:solidFill>
              <w14:schemeClr w14:val="tx1"/>
            </w14:solidFill>
          </w14:textFill>
        </w:rPr>
        <w:t>）”的投标，并保证投标文件中所列举的投标报价及相关文件和公司情况资料是真实的、合法的。</w:t>
      </w:r>
    </w:p>
    <w:p>
      <w:pPr>
        <w:spacing w:line="500" w:lineRule="exact"/>
        <w:ind w:firstLine="484"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同意此次采购招标文件中的各项内容。</w:t>
      </w:r>
    </w:p>
    <w:p>
      <w:pPr>
        <w:spacing w:line="500" w:lineRule="exact"/>
        <w:ind w:firstLine="484"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同意提供按照贵方可能要求的与投标相关的一切数据或资料等。</w:t>
      </w:r>
    </w:p>
    <w:p>
      <w:pPr>
        <w:spacing w:line="500" w:lineRule="exact"/>
        <w:ind w:firstLine="484"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本单位如为中标人，保证按照投标文件的承诺与贵方签订协议书，保证履行协议书条款。</w:t>
      </w:r>
    </w:p>
    <w:p>
      <w:pPr>
        <w:spacing w:line="500" w:lineRule="exact"/>
        <w:ind w:firstLine="484" w:firstLineChars="200"/>
        <w:rPr>
          <w:color w:val="000000" w:themeColor="text1"/>
          <w:sz w:val="24"/>
          <w14:textFill>
            <w14:solidFill>
              <w14:schemeClr w14:val="tx1"/>
            </w14:solidFill>
          </w14:textFill>
        </w:rPr>
      </w:pPr>
    </w:p>
    <w:p>
      <w:pPr>
        <w:spacing w:line="500" w:lineRule="exact"/>
        <w:ind w:firstLine="484" w:firstLineChars="200"/>
        <w:rPr>
          <w:color w:val="000000" w:themeColor="text1"/>
          <w:sz w:val="24"/>
          <w14:textFill>
            <w14:solidFill>
              <w14:schemeClr w14:val="tx1"/>
            </w14:solidFill>
          </w14:textFill>
        </w:rPr>
      </w:pPr>
    </w:p>
    <w:p>
      <w:pPr>
        <w:spacing w:line="500" w:lineRule="exact"/>
        <w:ind w:firstLine="484" w:firstLineChars="200"/>
        <w:rPr>
          <w:color w:val="000000" w:themeColor="text1"/>
          <w:sz w:val="24"/>
          <w14:textFill>
            <w14:solidFill>
              <w14:schemeClr w14:val="tx1"/>
            </w14:solidFill>
          </w14:textFill>
        </w:rPr>
      </w:pPr>
    </w:p>
    <w:p>
      <w:pPr>
        <w:spacing w:line="500" w:lineRule="exact"/>
        <w:ind w:firstLine="484" w:firstLineChars="200"/>
        <w:rPr>
          <w:color w:val="000000" w:themeColor="text1"/>
          <w:sz w:val="24"/>
          <w14:textFill>
            <w14:solidFill>
              <w14:schemeClr w14:val="tx1"/>
            </w14:solidFill>
          </w14:textFill>
        </w:rPr>
      </w:pPr>
    </w:p>
    <w:p>
      <w:pPr>
        <w:spacing w:line="500" w:lineRule="exact"/>
        <w:ind w:firstLine="484" w:firstLineChars="200"/>
        <w:rPr>
          <w:color w:val="000000" w:themeColor="text1"/>
          <w:sz w:val="24"/>
          <w14:textFill>
            <w14:solidFill>
              <w14:schemeClr w14:val="tx1"/>
            </w14:solidFill>
          </w14:textFill>
        </w:rPr>
      </w:pPr>
    </w:p>
    <w:p>
      <w:pPr>
        <w:spacing w:line="500" w:lineRule="exact"/>
        <w:ind w:firstLine="484" w:firstLineChars="200"/>
        <w:rPr>
          <w:color w:val="000000" w:themeColor="text1"/>
          <w:sz w:val="24"/>
          <w14:textFill>
            <w14:solidFill>
              <w14:schemeClr w14:val="tx1"/>
            </w14:solidFill>
          </w14:textFill>
        </w:rPr>
      </w:pPr>
    </w:p>
    <w:p>
      <w:pPr>
        <w:spacing w:line="500" w:lineRule="exact"/>
        <w:ind w:firstLine="484"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投标人名称（盖章）：</w:t>
      </w:r>
    </w:p>
    <w:p>
      <w:pPr>
        <w:spacing w:line="500" w:lineRule="exact"/>
        <w:ind w:firstLine="484" w:firstLineChars="200"/>
        <w:rPr>
          <w:color w:val="000000" w:themeColor="text1"/>
          <w:sz w:val="24"/>
          <w14:textFill>
            <w14:solidFill>
              <w14:schemeClr w14:val="tx1"/>
            </w14:solidFill>
          </w14:textFill>
        </w:rPr>
      </w:pPr>
    </w:p>
    <w:p>
      <w:pPr>
        <w:spacing w:line="500" w:lineRule="exact"/>
        <w:ind w:firstLine="484"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color w:val="000000" w:themeColor="text1"/>
          <w:sz w:val="24"/>
          <w14:textFill>
            <w14:solidFill>
              <w14:schemeClr w14:val="tx1"/>
            </w14:solidFill>
          </w14:textFill>
        </w:rPr>
        <w:t>签字</w:t>
      </w:r>
      <w:r>
        <w:rPr>
          <w:rFonts w:hint="eastAsia" w:ascii="宋体" w:hAnsi="宋体"/>
          <w:color w:val="000000" w:themeColor="text1"/>
          <w:sz w:val="24"/>
          <w14:textFill>
            <w14:solidFill>
              <w14:schemeClr w14:val="tx1"/>
            </w14:solidFill>
          </w14:textFill>
        </w:rPr>
        <w:t>：</w:t>
      </w:r>
    </w:p>
    <w:p>
      <w:pPr>
        <w:spacing w:line="500" w:lineRule="exact"/>
        <w:ind w:firstLine="484" w:firstLineChars="200"/>
        <w:rPr>
          <w:color w:val="000000" w:themeColor="text1"/>
          <w:sz w:val="24"/>
          <w14:textFill>
            <w14:solidFill>
              <w14:schemeClr w14:val="tx1"/>
            </w14:solidFill>
          </w14:textFill>
        </w:rPr>
      </w:pPr>
    </w:p>
    <w:p>
      <w:pPr>
        <w:spacing w:line="500" w:lineRule="exact"/>
        <w:ind w:firstLine="484" w:firstLineChars="20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日</w:t>
      </w:r>
    </w:p>
    <w:p>
      <w:pPr>
        <w:spacing w:line="420" w:lineRule="auto"/>
        <w:rPr>
          <w:rFonts w:ascii="仿宋_GB2312" w:hAnsi="宋体" w:eastAsia="仿宋_GB2312"/>
          <w:color w:val="000000" w:themeColor="text1"/>
          <w:sz w:val="24"/>
          <w14:textFill>
            <w14:solidFill>
              <w14:schemeClr w14:val="tx1"/>
            </w14:solidFill>
          </w14:textFill>
        </w:rPr>
      </w:pPr>
    </w:p>
    <w:p>
      <w:pPr>
        <w:snapToGrid w:val="0"/>
        <w:spacing w:before="160" w:beforeLines="50" w:after="50"/>
        <w:rPr>
          <w:rFonts w:ascii="仿宋_GB2312" w:hAnsi="宋体" w:eastAsia="仿宋_GB2312"/>
          <w:color w:val="000000" w:themeColor="text1"/>
          <w:sz w:val="24"/>
          <w14:textFill>
            <w14:solidFill>
              <w14:schemeClr w14:val="tx1"/>
            </w14:solidFill>
          </w14:textFill>
        </w:rPr>
      </w:pPr>
    </w:p>
    <w:p>
      <w:pPr>
        <w:snapToGrid w:val="0"/>
        <w:spacing w:before="160" w:beforeLines="50" w:after="50"/>
        <w:rPr>
          <w:rFonts w:ascii="仿宋_GB2312" w:hAnsi="宋体" w:eastAsia="仿宋_GB2312"/>
          <w:color w:val="000000" w:themeColor="text1"/>
          <w:sz w:val="24"/>
          <w14:textFill>
            <w14:solidFill>
              <w14:schemeClr w14:val="tx1"/>
            </w14:solidFill>
          </w14:textFill>
        </w:rPr>
      </w:pPr>
    </w:p>
    <w:p>
      <w:pPr>
        <w:spacing w:line="500" w:lineRule="exact"/>
        <w:ind w:firstLine="3948" w:firstLineChars="1400"/>
        <w:rPr>
          <w:rFonts w:ascii="宋体" w:hAnsi="宋体"/>
          <w:b/>
          <w:bCs/>
          <w:color w:val="000000" w:themeColor="text1"/>
          <w:sz w:val="28"/>
          <w:szCs w:val="28"/>
          <w14:textFill>
            <w14:solidFill>
              <w14:schemeClr w14:val="tx1"/>
            </w14:solidFill>
          </w14:textFill>
        </w:rPr>
      </w:pPr>
    </w:p>
    <w:p>
      <w:pPr>
        <w:spacing w:line="500" w:lineRule="exact"/>
        <w:ind w:firstLine="3948" w:firstLineChars="1400"/>
        <w:rPr>
          <w:rFonts w:ascii="宋体" w:hAnsi="宋体"/>
          <w:b/>
          <w:bCs/>
          <w:color w:val="000000" w:themeColor="text1"/>
          <w:sz w:val="28"/>
          <w:szCs w:val="28"/>
          <w14:textFill>
            <w14:solidFill>
              <w14:schemeClr w14:val="tx1"/>
            </w14:solidFill>
          </w14:textFill>
        </w:rPr>
      </w:pPr>
    </w:p>
    <w:p>
      <w:pPr>
        <w:spacing w:line="500" w:lineRule="exact"/>
        <w:ind w:firstLine="3948" w:firstLineChars="1400"/>
        <w:rPr>
          <w:rFonts w:ascii="宋体" w:hAnsi="宋体"/>
          <w:b/>
          <w:bCs/>
          <w:color w:val="000000" w:themeColor="text1"/>
          <w:sz w:val="28"/>
          <w:szCs w:val="28"/>
          <w14:textFill>
            <w14:solidFill>
              <w14:schemeClr w14:val="tx1"/>
            </w14:solidFill>
          </w14:textFill>
        </w:rPr>
      </w:pPr>
    </w:p>
    <w:p>
      <w:pPr>
        <w:spacing w:line="500" w:lineRule="exact"/>
        <w:ind w:firstLine="3948" w:firstLineChars="1400"/>
        <w:rPr>
          <w:rFonts w:ascii="宋体" w:hAnsi="宋体"/>
          <w:b/>
          <w:bCs/>
          <w:color w:val="000000" w:themeColor="text1"/>
          <w:sz w:val="28"/>
          <w:szCs w:val="28"/>
          <w14:textFill>
            <w14:solidFill>
              <w14:schemeClr w14:val="tx1"/>
            </w14:solidFill>
          </w14:textFill>
        </w:rPr>
      </w:pPr>
    </w:p>
    <w:p>
      <w:pPr>
        <w:adjustRightInd w:val="0"/>
        <w:snapToGrid w:val="0"/>
        <w:spacing w:line="44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二、法定代表人身份证明书</w:t>
      </w:r>
    </w:p>
    <w:p>
      <w:pPr>
        <w:jc w:val="center"/>
        <w:rPr>
          <w:b/>
          <w:color w:val="000000" w:themeColor="text1"/>
          <w:sz w:val="28"/>
          <w:szCs w:val="28"/>
          <w14:textFill>
            <w14:solidFill>
              <w14:schemeClr w14:val="tx1"/>
            </w14:solidFill>
          </w14:textFill>
        </w:rPr>
      </w:pPr>
    </w:p>
    <w:p>
      <w:pPr>
        <w:spacing w:line="480" w:lineRule="exact"/>
        <w:ind w:firstLine="424" w:firstLineChars="200"/>
        <w:rPr>
          <w:color w:val="000000" w:themeColor="text1"/>
          <w:szCs w:val="21"/>
          <w:u w:val="single"/>
          <w14:textFill>
            <w14:solidFill>
              <w14:schemeClr w14:val="tx1"/>
            </w14:solidFill>
          </w14:textFill>
        </w:rPr>
      </w:pPr>
      <w:r>
        <w:rPr>
          <w:b/>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（姓名）是</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（单位名称）的法定代表人，身份证号码为</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，性别</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，职务</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，联系电话</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，传真</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，联系地址：</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，邮编</w:t>
      </w:r>
      <w:r>
        <w:rPr>
          <w:color w:val="000000" w:themeColor="text1"/>
          <w:szCs w:val="21"/>
          <w:u w:val="single"/>
          <w14:textFill>
            <w14:solidFill>
              <w14:schemeClr w14:val="tx1"/>
            </w14:solidFill>
          </w14:textFill>
        </w:rPr>
        <w:t xml:space="preserve">          </w:t>
      </w:r>
    </w:p>
    <w:p>
      <w:pPr>
        <w:spacing w:line="480" w:lineRule="exact"/>
        <w:ind w:firstLine="424" w:firstLineChars="200"/>
        <w:rPr>
          <w:color w:val="000000" w:themeColor="text1"/>
          <w:szCs w:val="21"/>
          <w14:textFill>
            <w14:solidFill>
              <w14:schemeClr w14:val="tx1"/>
            </w14:solidFill>
          </w14:textFill>
        </w:rPr>
      </w:pPr>
    </w:p>
    <w:p>
      <w:pPr>
        <w:spacing w:line="480" w:lineRule="exact"/>
        <w:ind w:firstLine="636" w:firstLineChars="3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特此证明。</w:t>
      </w:r>
      <w:r>
        <w:rPr>
          <w:color w:val="000000" w:themeColor="text1"/>
          <w:szCs w:val="21"/>
          <w14:textFill>
            <w14:solidFill>
              <w14:schemeClr w14:val="tx1"/>
            </w14:solidFill>
          </w14:textFill>
        </w:rPr>
        <w:t xml:space="preserve"> </w:t>
      </w:r>
    </w:p>
    <w:p>
      <w:pPr>
        <w:spacing w:line="480" w:lineRule="exact"/>
        <w:ind w:firstLine="314" w:firstLineChars="149"/>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p>
    <w:p>
      <w:pPr>
        <w:spacing w:line="480" w:lineRule="exact"/>
        <w:ind w:firstLine="1971" w:firstLineChars="930"/>
        <w:jc w:val="right"/>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投标人：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（盖章）</w:t>
      </w:r>
    </w:p>
    <w:p>
      <w:pPr>
        <w:spacing w:line="480" w:lineRule="exact"/>
        <w:ind w:firstLine="1971" w:firstLineChars="930"/>
        <w:jc w:val="righ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（签名、盖章）</w:t>
      </w:r>
    </w:p>
    <w:p>
      <w:pPr>
        <w:spacing w:line="480" w:lineRule="exact"/>
        <w:ind w:firstLine="314" w:firstLineChars="149"/>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日期：</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日</w:t>
      </w:r>
    </w:p>
    <w:p>
      <w:pPr>
        <w:adjustRightInd w:val="0"/>
        <w:snapToGrid w:val="0"/>
        <w:spacing w:line="440" w:lineRule="exact"/>
        <w:rPr>
          <w:b/>
          <w:color w:val="000000" w:themeColor="text1"/>
          <w:szCs w:val="21"/>
          <w14:textFill>
            <w14:solidFill>
              <w14:schemeClr w14:val="tx1"/>
            </w14:solidFill>
          </w14:textFill>
        </w:rPr>
      </w:pPr>
    </w:p>
    <w:p>
      <w:pPr>
        <w:adjustRightInd w:val="0"/>
        <w:snapToGrid w:val="0"/>
        <w:spacing w:line="440" w:lineRule="exact"/>
        <w:rPr>
          <w:b/>
          <w:color w:val="000000" w:themeColor="text1"/>
          <w:szCs w:val="21"/>
          <w14:textFill>
            <w14:solidFill>
              <w14:schemeClr w14:val="tx1"/>
            </w14:solidFill>
          </w14:textFill>
        </w:rPr>
      </w:pPr>
    </w:p>
    <w:p>
      <w:pPr>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p>
      <w:pPr>
        <w:spacing w:line="440" w:lineRule="exact"/>
        <w:jc w:val="center"/>
        <w:rPr>
          <w:color w:val="000000" w:themeColor="text1"/>
          <w:szCs w:val="21"/>
          <w14:textFill>
            <w14:solidFill>
              <w14:schemeClr w14:val="tx1"/>
            </w14:solidFill>
          </w14:textFill>
        </w:rPr>
      </w:pPr>
    </w:p>
    <w:p>
      <w:pPr>
        <w:spacing w:line="440" w:lineRule="exact"/>
        <w:ind w:firstLine="424" w:firstLineChars="200"/>
        <w:rPr>
          <w:color w:val="000000" w:themeColor="text1"/>
          <w:szCs w:val="21"/>
          <w14:textFill>
            <w14:solidFill>
              <w14:schemeClr w14:val="tx1"/>
            </w14:solidFill>
          </w14:textFill>
        </w:rPr>
      </w:pPr>
    </w:p>
    <w:p>
      <w:pPr>
        <w:spacing w:line="440" w:lineRule="exact"/>
        <w:ind w:firstLine="424" w:firstLineChars="200"/>
        <w:jc w:val="center"/>
        <w:rPr>
          <w:color w:val="000000" w:themeColor="text1"/>
          <w:szCs w:val="21"/>
          <w14:textFill>
            <w14:solidFill>
              <w14:schemeClr w14:val="tx1"/>
            </w14:solidFill>
          </w14:textFill>
        </w:rPr>
      </w:pPr>
    </w:p>
    <w:p>
      <w:pPr>
        <w:spacing w:line="440" w:lineRule="exact"/>
        <w:ind w:firstLine="424" w:firstLineChars="200"/>
        <w:jc w:val="center"/>
        <w:rPr>
          <w:color w:val="000000" w:themeColor="text1"/>
          <w:szCs w:val="21"/>
          <w14:textFill>
            <w14:solidFill>
              <w14:schemeClr w14:val="tx1"/>
            </w14:solidFill>
          </w14:textFill>
        </w:rPr>
      </w:pPr>
    </w:p>
    <w:p>
      <w:pPr>
        <w:spacing w:line="440" w:lineRule="exact"/>
        <w:ind w:firstLine="644" w:firstLineChars="200"/>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有效身份证明复印件粘贴处</w:t>
      </w:r>
    </w:p>
    <w:p>
      <w:pPr>
        <w:spacing w:line="600" w:lineRule="exact"/>
        <w:jc w:val="center"/>
        <w:rPr>
          <w:b/>
          <w:bCs/>
          <w:color w:val="000000" w:themeColor="text1"/>
          <w:spacing w:val="24"/>
          <w:sz w:val="30"/>
          <w14:textFill>
            <w14:solidFill>
              <w14:schemeClr w14:val="tx1"/>
            </w14:solidFill>
          </w14:textFill>
        </w:rPr>
      </w:pPr>
    </w:p>
    <w:p>
      <w:pPr>
        <w:spacing w:line="600" w:lineRule="exact"/>
        <w:jc w:val="center"/>
        <w:rPr>
          <w:b/>
          <w:bCs/>
          <w:color w:val="000000" w:themeColor="text1"/>
          <w:spacing w:val="24"/>
          <w:sz w:val="30"/>
          <w14:textFill>
            <w14:solidFill>
              <w14:schemeClr w14:val="tx1"/>
            </w14:solidFill>
          </w14:textFill>
        </w:rPr>
      </w:pPr>
    </w:p>
    <w:p>
      <w:pPr>
        <w:spacing w:line="600" w:lineRule="exact"/>
        <w:jc w:val="center"/>
        <w:rPr>
          <w:b/>
          <w:bCs/>
          <w:color w:val="000000" w:themeColor="text1"/>
          <w:spacing w:val="24"/>
          <w:sz w:val="30"/>
          <w14:textFill>
            <w14:solidFill>
              <w14:schemeClr w14:val="tx1"/>
            </w14:solidFill>
          </w14:textFill>
        </w:rPr>
      </w:pPr>
    </w:p>
    <w:p>
      <w:pPr>
        <w:spacing w:line="600" w:lineRule="exact"/>
        <w:jc w:val="center"/>
        <w:rPr>
          <w:b/>
          <w:bCs/>
          <w:color w:val="000000" w:themeColor="text1"/>
          <w:spacing w:val="24"/>
          <w:sz w:val="30"/>
          <w14:textFill>
            <w14:solidFill>
              <w14:schemeClr w14:val="tx1"/>
            </w14:solidFill>
          </w14:textFill>
        </w:rPr>
      </w:pPr>
    </w:p>
    <w:p>
      <w:pPr>
        <w:spacing w:line="600" w:lineRule="exact"/>
        <w:jc w:val="center"/>
        <w:rPr>
          <w:b/>
          <w:bCs/>
          <w:color w:val="000000" w:themeColor="text1"/>
          <w:spacing w:val="24"/>
          <w:sz w:val="30"/>
          <w14:textFill>
            <w14:solidFill>
              <w14:schemeClr w14:val="tx1"/>
            </w14:solidFill>
          </w14:textFill>
        </w:rPr>
      </w:pPr>
    </w:p>
    <w:p>
      <w:pPr>
        <w:spacing w:line="500" w:lineRule="exact"/>
        <w:jc w:val="center"/>
        <w:rPr>
          <w:rFonts w:ascii="宋体" w:hAnsi="宋体"/>
          <w:b/>
          <w:color w:val="000000" w:themeColor="text1"/>
          <w:sz w:val="32"/>
          <w:szCs w:val="36"/>
          <w14:textFill>
            <w14:solidFill>
              <w14:schemeClr w14:val="tx1"/>
            </w14:solidFill>
          </w14:textFill>
        </w:rPr>
      </w:pPr>
    </w:p>
    <w:p>
      <w:pPr>
        <w:spacing w:line="500" w:lineRule="exact"/>
        <w:jc w:val="center"/>
        <w:rPr>
          <w:rFonts w:ascii="宋体" w:hAnsi="宋体"/>
          <w:b/>
          <w:color w:val="000000" w:themeColor="text1"/>
          <w:sz w:val="32"/>
          <w:szCs w:val="36"/>
          <w14:textFill>
            <w14:solidFill>
              <w14:schemeClr w14:val="tx1"/>
            </w14:solidFill>
          </w14:textFill>
        </w:rPr>
      </w:pPr>
    </w:p>
    <w:p>
      <w:pPr>
        <w:spacing w:line="500" w:lineRule="exact"/>
        <w:jc w:val="center"/>
        <w:rPr>
          <w:rFonts w:ascii="宋体" w:hAnsi="宋体"/>
          <w:b/>
          <w:color w:val="000000" w:themeColor="text1"/>
          <w:sz w:val="32"/>
          <w:szCs w:val="36"/>
          <w14:textFill>
            <w14:solidFill>
              <w14:schemeClr w14:val="tx1"/>
            </w14:solidFill>
          </w14:textFill>
        </w:rPr>
      </w:pPr>
    </w:p>
    <w:p>
      <w:pPr>
        <w:spacing w:line="500" w:lineRule="exact"/>
        <w:rPr>
          <w:rFonts w:ascii="宋体" w:hAnsi="宋体"/>
          <w:b/>
          <w:color w:val="000000" w:themeColor="text1"/>
          <w:sz w:val="28"/>
          <w:szCs w:val="28"/>
          <w14:textFill>
            <w14:solidFill>
              <w14:schemeClr w14:val="tx1"/>
            </w14:solidFill>
          </w14:textFill>
        </w:rPr>
      </w:pPr>
    </w:p>
    <w:p>
      <w:pPr>
        <w:spacing w:line="500" w:lineRule="exact"/>
        <w:jc w:val="center"/>
        <w:rPr>
          <w:rFonts w:ascii="宋体" w:hAnsi="宋体"/>
          <w:b/>
          <w:color w:val="000000" w:themeColor="text1"/>
          <w:sz w:val="32"/>
          <w:szCs w:val="36"/>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三、法定代表人授权委托书</w:t>
      </w:r>
    </w:p>
    <w:p>
      <w:pPr>
        <w:spacing w:line="500" w:lineRule="exact"/>
        <w:rPr>
          <w:rFonts w:ascii="宋体" w:hAnsi="宋体"/>
          <w:color w:val="000000" w:themeColor="text1"/>
          <w:sz w:val="24"/>
          <w14:textFill>
            <w14:solidFill>
              <w14:schemeClr w14:val="tx1"/>
            </w14:solidFill>
          </w14:textFill>
        </w:rPr>
      </w:pPr>
    </w:p>
    <w:p>
      <w:pPr>
        <w:spacing w:line="500" w:lineRule="exact"/>
        <w:ind w:firstLine="121" w:firstLineChars="5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______</w:t>
      </w:r>
      <w:r>
        <w:rPr>
          <w:rFonts w:ascii="宋体" w:hAnsi="宋体"/>
          <w:color w:val="000000" w:themeColor="text1"/>
          <w:sz w:val="24"/>
          <w:u w:val="single"/>
          <w14:textFill>
            <w14:solidFill>
              <w14:schemeClr w14:val="tx1"/>
            </w14:solidFill>
          </w14:textFill>
        </w:rPr>
        <w:t>_     _</w:t>
      </w:r>
      <w:r>
        <w:rPr>
          <w:rFonts w:ascii="宋体" w:hAnsi="宋体"/>
          <w:color w:val="000000" w:themeColor="text1"/>
          <w:sz w:val="24"/>
          <w14:textFill>
            <w14:solidFill>
              <w14:schemeClr w14:val="tx1"/>
            </w14:solidFill>
          </w14:textFill>
        </w:rPr>
        <w:t>_</w:t>
      </w:r>
      <w:r>
        <w:rPr>
          <w:rFonts w:hint="eastAsia" w:ascii="宋体" w:hAnsi="宋体"/>
          <w:color w:val="000000" w:themeColor="text1"/>
          <w:sz w:val="24"/>
          <w14:textFill>
            <w14:solidFill>
              <w14:schemeClr w14:val="tx1"/>
            </w14:solidFill>
          </w14:textFill>
        </w:rPr>
        <w:t>（采购单位名称）：</w:t>
      </w:r>
    </w:p>
    <w:p>
      <w:pPr>
        <w:spacing w:line="5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我</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（姓名）系</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（投标人名称）的法定代表人，现授权委托本单位在职职工</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（姓名）以我方的名义参加贵处组织的</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采购人名称）</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项目名称），</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（项目编号）的投标活动，并代表我方全权办理针对上述项目的投标、开标、评标、签约等具体事务和签署相关文件。</w:t>
      </w:r>
    </w:p>
    <w:p>
      <w:pPr>
        <w:spacing w:line="500" w:lineRule="exact"/>
        <w:ind w:firstLine="484"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我方对被授权人的签名事项负全部责任。</w:t>
      </w:r>
    </w:p>
    <w:p>
      <w:pPr>
        <w:spacing w:line="500" w:lineRule="exact"/>
        <w:ind w:firstLine="484"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在撤销授权的书面通知以前，本授权书一直有效。被授权人在授权书有效期内签署的所有文件不因授权的撤销而失效。</w:t>
      </w:r>
    </w:p>
    <w:p>
      <w:pPr>
        <w:spacing w:line="500" w:lineRule="exact"/>
        <w:ind w:firstLine="484"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被授权人无转委托权，特此委托。</w:t>
      </w:r>
    </w:p>
    <w:p>
      <w:pPr>
        <w:spacing w:line="500" w:lineRule="exact"/>
        <w:rPr>
          <w:rFonts w:ascii="宋体" w:hAnsi="宋体"/>
          <w:color w:val="000000" w:themeColor="text1"/>
          <w:sz w:val="24"/>
          <w14:textFill>
            <w14:solidFill>
              <w14:schemeClr w14:val="tx1"/>
            </w14:solidFill>
          </w14:textFill>
        </w:rPr>
      </w:pPr>
    </w:p>
    <w:p>
      <w:pPr>
        <w:spacing w:line="500" w:lineRule="exact"/>
        <w:rPr>
          <w:rFonts w:ascii="宋体" w:hAnsi="宋体"/>
          <w:color w:val="000000" w:themeColor="text1"/>
          <w:sz w:val="24"/>
          <w14:textFill>
            <w14:solidFill>
              <w14:schemeClr w14:val="tx1"/>
            </w14:solidFill>
          </w14:textFill>
        </w:rPr>
      </w:pPr>
    </w:p>
    <w:p>
      <w:pPr>
        <w:spacing w:line="50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被授权人签名：</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法定代表人签名：</w:t>
      </w:r>
      <w:r>
        <w:rPr>
          <w:rFonts w:ascii="宋体" w:hAnsi="宋体"/>
          <w:color w:val="000000" w:themeColor="text1"/>
          <w:sz w:val="24"/>
          <w:u w:val="single"/>
          <w14:textFill>
            <w14:solidFill>
              <w14:schemeClr w14:val="tx1"/>
            </w14:solidFill>
          </w14:textFill>
        </w:rPr>
        <w:t xml:space="preserve">             </w:t>
      </w:r>
    </w:p>
    <w:p>
      <w:pPr>
        <w:spacing w:line="500" w:lineRule="exact"/>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职务：</w:t>
      </w:r>
      <w:r>
        <w:rPr>
          <w:rFonts w:ascii="宋体" w:hAnsi="宋体"/>
          <w:color w:val="000000" w:themeColor="text1"/>
          <w:sz w:val="24"/>
          <w:u w:val="single"/>
          <w14:textFill>
            <w14:solidFill>
              <w14:schemeClr w14:val="tx1"/>
            </w14:solidFill>
          </w14:textFill>
        </w:rPr>
        <w:t xml:space="preserve">            </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被授权人身份证号码：</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p>
    <w:p>
      <w:pPr>
        <w:spacing w:line="500" w:lineRule="exact"/>
        <w:rPr>
          <w:rFonts w:ascii="宋体" w:hAnsi="宋体"/>
          <w:color w:val="000000" w:themeColor="text1"/>
          <w:sz w:val="24"/>
          <w14:textFill>
            <w14:solidFill>
              <w14:schemeClr w14:val="tx1"/>
            </w14:solidFill>
          </w14:textFill>
        </w:rPr>
      </w:pP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（注：须提供法定代表人及被授权代表身份证复印件）</w:t>
      </w:r>
    </w:p>
    <w:p>
      <w:pPr>
        <w:spacing w:line="500" w:lineRule="exact"/>
        <w:rPr>
          <w:rFonts w:ascii="宋体" w:hAnsi="宋体"/>
          <w:color w:val="000000" w:themeColor="text1"/>
          <w:sz w:val="24"/>
          <w14:textFill>
            <w14:solidFill>
              <w14:schemeClr w14:val="tx1"/>
            </w14:solidFill>
          </w14:textFill>
        </w:rPr>
      </w:pPr>
    </w:p>
    <w:p>
      <w:pPr>
        <w:spacing w:line="500" w:lineRule="exact"/>
        <w:rPr>
          <w:rFonts w:ascii="宋体" w:hAnsi="宋体"/>
          <w:color w:val="000000" w:themeColor="text1"/>
          <w:sz w:val="24"/>
          <w14:textFill>
            <w14:solidFill>
              <w14:schemeClr w14:val="tx1"/>
            </w14:solidFill>
          </w14:textFill>
        </w:rPr>
      </w:pPr>
    </w:p>
    <w:p>
      <w:pPr>
        <w:spacing w:line="500" w:lineRule="exact"/>
        <w:ind w:firstLine="5082" w:firstLineChars="21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投标人名称：（盖章）</w:t>
      </w:r>
    </w:p>
    <w:p>
      <w:pPr>
        <w:spacing w:line="500" w:lineRule="exact"/>
        <w:ind w:firstLine="5808" w:firstLineChars="24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年</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月</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日</w:t>
      </w:r>
    </w:p>
    <w:p>
      <w:pPr>
        <w:spacing w:line="500" w:lineRule="exact"/>
        <w:ind w:firstLine="3948" w:firstLineChars="1400"/>
        <w:rPr>
          <w:rFonts w:ascii="宋体" w:hAnsi="宋体"/>
          <w:b/>
          <w:bCs/>
          <w:color w:val="000000" w:themeColor="text1"/>
          <w:sz w:val="28"/>
          <w:szCs w:val="28"/>
          <w14:textFill>
            <w14:solidFill>
              <w14:schemeClr w14:val="tx1"/>
            </w14:solidFill>
          </w14:textFill>
        </w:rPr>
      </w:pPr>
    </w:p>
    <w:p>
      <w:pPr>
        <w:spacing w:line="500" w:lineRule="exact"/>
        <w:ind w:firstLine="3948" w:firstLineChars="1400"/>
        <w:rPr>
          <w:rFonts w:ascii="宋体" w:hAnsi="宋体"/>
          <w:b/>
          <w:bCs/>
          <w:color w:val="000000" w:themeColor="text1"/>
          <w:sz w:val="28"/>
          <w:szCs w:val="28"/>
          <w14:textFill>
            <w14:solidFill>
              <w14:schemeClr w14:val="tx1"/>
            </w14:solidFill>
          </w14:textFill>
        </w:rPr>
      </w:pPr>
    </w:p>
    <w:p>
      <w:pPr>
        <w:adjustRightInd w:val="0"/>
        <w:snapToGrid w:val="0"/>
        <w:spacing w:line="360" w:lineRule="auto"/>
        <w:rPr>
          <w:rFonts w:ascii="宋体" w:hAnsi="宋体" w:cs="宋体"/>
          <w:b/>
          <w:color w:val="000000" w:themeColor="text1"/>
          <w:sz w:val="30"/>
          <w:szCs w:val="30"/>
          <w14:textFill>
            <w14:solidFill>
              <w14:schemeClr w14:val="tx1"/>
            </w14:solidFill>
          </w14:textFill>
        </w:rPr>
      </w:pPr>
    </w:p>
    <w:p>
      <w:pPr>
        <w:adjustRightInd w:val="0"/>
        <w:snapToGrid w:val="0"/>
        <w:spacing w:line="360" w:lineRule="auto"/>
        <w:ind w:firstLine="2971" w:firstLineChars="984"/>
        <w:rPr>
          <w:rFonts w:ascii="宋体" w:hAnsi="宋体" w:cs="宋体"/>
          <w:b/>
          <w:color w:val="000000" w:themeColor="text1"/>
          <w:sz w:val="30"/>
          <w:szCs w:val="30"/>
          <w14:textFill>
            <w14:solidFill>
              <w14:schemeClr w14:val="tx1"/>
            </w14:solidFill>
          </w14:textFill>
        </w:rPr>
      </w:pPr>
    </w:p>
    <w:p>
      <w:pPr>
        <w:adjustRightInd w:val="0"/>
        <w:snapToGrid w:val="0"/>
        <w:spacing w:line="360" w:lineRule="auto"/>
        <w:ind w:firstLine="2971" w:firstLineChars="984"/>
        <w:rPr>
          <w:rFonts w:ascii="宋体" w:hAnsi="宋体" w:cs="宋体"/>
          <w:b/>
          <w:color w:val="000000" w:themeColor="text1"/>
          <w:sz w:val="30"/>
          <w:szCs w:val="30"/>
          <w14:textFill>
            <w14:solidFill>
              <w14:schemeClr w14:val="tx1"/>
            </w14:solidFill>
          </w14:textFill>
        </w:rPr>
      </w:pPr>
    </w:p>
    <w:p>
      <w:pPr>
        <w:adjustRightInd w:val="0"/>
        <w:snapToGrid w:val="0"/>
        <w:spacing w:line="360" w:lineRule="auto"/>
        <w:ind w:firstLine="2971" w:firstLineChars="984"/>
        <w:rPr>
          <w:rFonts w:ascii="宋体" w:hAnsi="宋体" w:cs="宋体"/>
          <w:b/>
          <w:color w:val="000000" w:themeColor="text1"/>
          <w:sz w:val="30"/>
          <w:szCs w:val="30"/>
          <w14:textFill>
            <w14:solidFill>
              <w14:schemeClr w14:val="tx1"/>
            </w14:solidFill>
          </w14:textFill>
        </w:rPr>
      </w:pPr>
    </w:p>
    <w:p>
      <w:pPr>
        <w:adjustRightInd w:val="0"/>
        <w:snapToGrid w:val="0"/>
        <w:spacing w:line="360" w:lineRule="auto"/>
        <w:ind w:firstLine="2971" w:firstLineChars="984"/>
        <w:rPr>
          <w:rFonts w:ascii="宋体" w:hAnsi="宋体" w:cs="宋体"/>
          <w:b/>
          <w:color w:val="000000" w:themeColor="text1"/>
          <w:sz w:val="30"/>
          <w:szCs w:val="30"/>
          <w14:textFill>
            <w14:solidFill>
              <w14:schemeClr w14:val="tx1"/>
            </w14:solidFill>
          </w14:textFill>
        </w:rPr>
      </w:pPr>
    </w:p>
    <w:p>
      <w:pPr>
        <w:spacing w:line="460" w:lineRule="exact"/>
        <w:jc w:val="center"/>
        <w:rPr>
          <w:b/>
          <w:color w:val="000000" w:themeColor="text1"/>
          <w:sz w:val="30"/>
          <w14:textFill>
            <w14:solidFill>
              <w14:schemeClr w14:val="tx1"/>
            </w14:solidFill>
          </w14:textFill>
        </w:rPr>
      </w:pPr>
      <w:r>
        <w:rPr>
          <w:rFonts w:hint="eastAsia"/>
          <w:b/>
          <w:color w:val="000000" w:themeColor="text1"/>
          <w:sz w:val="30"/>
          <w14:textFill>
            <w14:solidFill>
              <w14:schemeClr w14:val="tx1"/>
            </w14:solidFill>
          </w14:textFill>
        </w:rPr>
        <w:t>四、具有履行合同所必需的设备和专业技术能力的承诺函</w:t>
      </w:r>
    </w:p>
    <w:p>
      <w:pPr>
        <w:spacing w:line="460" w:lineRule="exact"/>
        <w:jc w:val="center"/>
        <w:rPr>
          <w:b/>
          <w:color w:val="000000" w:themeColor="text1"/>
          <w:sz w:val="30"/>
          <w14:textFill>
            <w14:solidFill>
              <w14:schemeClr w14:val="tx1"/>
            </w14:solidFill>
          </w14:textFill>
        </w:rPr>
      </w:pPr>
    </w:p>
    <w:p>
      <w:pPr>
        <w:pStyle w:val="3"/>
        <w:tabs>
          <w:tab w:val="left" w:pos="3659"/>
        </w:tabs>
        <w:jc w:val="left"/>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（采购人名称）</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108"/>
        <w:rPr>
          <w:color w:val="000000" w:themeColor="text1"/>
          <w14:textFill>
            <w14:solidFill>
              <w14:schemeClr w14:val="tx1"/>
            </w14:solidFill>
          </w14:textFill>
        </w:rPr>
      </w:pPr>
    </w:p>
    <w:p>
      <w:pPr>
        <w:spacing w:line="360" w:lineRule="auto"/>
        <w:ind w:firstLine="416" w:firstLineChars="200"/>
        <w:jc w:val="left"/>
        <w:rPr>
          <w:rFonts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2"/>
          <w:szCs w:val="21"/>
          <w14:textFill>
            <w14:solidFill>
              <w14:schemeClr w14:val="tx1"/>
            </w14:solidFill>
          </w14:textFill>
        </w:rPr>
        <w:t>根据贵方</w:t>
      </w:r>
      <w:r>
        <w:rPr>
          <w:rFonts w:ascii="宋体" w:hAnsi="宋体" w:cs="宋体"/>
          <w:color w:val="000000" w:themeColor="text1"/>
          <w:spacing w:val="-2"/>
          <w:szCs w:val="21"/>
          <w:u w:val="single"/>
          <w14:textFill>
            <w14:solidFill>
              <w14:schemeClr w14:val="tx1"/>
            </w14:solidFill>
          </w14:textFill>
        </w:rPr>
        <w:t xml:space="preserve">        </w:t>
      </w:r>
      <w:r>
        <w:rPr>
          <w:rFonts w:hint="eastAsia" w:ascii="宋体" w:hAnsi="宋体" w:cs="宋体"/>
          <w:color w:val="000000" w:themeColor="text1"/>
          <w:spacing w:val="-3"/>
          <w:szCs w:val="21"/>
          <w:u w:val="single"/>
          <w14:textFill>
            <w14:solidFill>
              <w14:schemeClr w14:val="tx1"/>
            </w14:solidFill>
          </w14:textFill>
        </w:rPr>
        <w:t>项目</w:t>
      </w:r>
      <w:r>
        <w:rPr>
          <w:rFonts w:hint="eastAsia" w:ascii="宋体" w:hAnsi="宋体" w:cs="宋体"/>
          <w:color w:val="000000" w:themeColor="text1"/>
          <w:spacing w:val="-6"/>
          <w:szCs w:val="21"/>
          <w:u w:val="single"/>
          <w14:textFill>
            <w14:solidFill>
              <w14:schemeClr w14:val="tx1"/>
            </w14:solidFill>
          </w14:textFill>
        </w:rPr>
        <w:t>（</w:t>
      </w:r>
      <w:r>
        <w:rPr>
          <w:rFonts w:hint="eastAsia" w:ascii="宋体" w:hAnsi="宋体" w:cs="宋体"/>
          <w:color w:val="000000" w:themeColor="text1"/>
          <w:spacing w:val="-2"/>
          <w:szCs w:val="21"/>
          <w:u w:val="single"/>
          <w14:textFill>
            <w14:solidFill>
              <w14:schemeClr w14:val="tx1"/>
            </w14:solidFill>
          </w14:textFill>
        </w:rPr>
        <w:t>项目编号：</w:t>
      </w:r>
      <w:r>
        <w:rPr>
          <w:rFonts w:ascii="宋体" w:hAnsi="宋体" w:cs="宋体"/>
          <w:color w:val="000000" w:themeColor="text1"/>
          <w:spacing w:val="-2"/>
          <w:szCs w:val="21"/>
          <w:u w:val="single"/>
          <w14:textFill>
            <w14:solidFill>
              <w14:schemeClr w14:val="tx1"/>
            </w14:solidFill>
          </w14:textFill>
        </w:rPr>
        <w:t xml:space="preserve">     </w:t>
      </w:r>
      <w:r>
        <w:rPr>
          <w:rFonts w:hint="eastAsia" w:ascii="宋体" w:hAnsi="宋体" w:cs="宋体"/>
          <w:color w:val="000000" w:themeColor="text1"/>
          <w:spacing w:val="-3"/>
          <w:szCs w:val="21"/>
          <w:u w:val="single"/>
          <w14:textFill>
            <w14:solidFill>
              <w14:schemeClr w14:val="tx1"/>
            </w14:solidFill>
          </w14:textFill>
        </w:rPr>
        <w:t>）</w:t>
      </w:r>
      <w:r>
        <w:rPr>
          <w:rFonts w:hint="eastAsia" w:ascii="宋体" w:hAnsi="宋体" w:cs="宋体"/>
          <w:color w:val="000000" w:themeColor="text1"/>
          <w:spacing w:val="-3"/>
          <w:szCs w:val="21"/>
          <w14:textFill>
            <w14:solidFill>
              <w14:schemeClr w14:val="tx1"/>
            </w14:solidFill>
          </w14:textFill>
        </w:rPr>
        <w:t>采购文件要求，我公司在完全理解采购文件技术要求、商务条款</w:t>
      </w:r>
      <w:r>
        <w:rPr>
          <w:rFonts w:hint="eastAsia" w:ascii="宋体" w:hAnsi="宋体" w:cs="宋体"/>
          <w:color w:val="000000" w:themeColor="text1"/>
          <w:spacing w:val="-6"/>
          <w:szCs w:val="21"/>
          <w14:textFill>
            <w14:solidFill>
              <w14:schemeClr w14:val="tx1"/>
            </w14:solidFill>
          </w14:textFill>
        </w:rPr>
        <w:t>及其他内容的基础上，决定参与该项目的投标活动。并承诺，我公司具有履行合同所必需的设备和专业技术能力，符合政府采购法第二十二条第三款规定的资格条件</w:t>
      </w:r>
      <w:r>
        <w:rPr>
          <w:rFonts w:hint="eastAsia" w:ascii="宋体" w:hAnsi="宋体" w:cs="宋体"/>
          <w:color w:val="000000" w:themeColor="text1"/>
          <w:spacing w:val="-8"/>
          <w:szCs w:val="21"/>
          <w14:textFill>
            <w14:solidFill>
              <w14:schemeClr w14:val="tx1"/>
            </w14:solidFill>
          </w14:textFill>
        </w:rPr>
        <w:t>。</w:t>
      </w:r>
    </w:p>
    <w:p>
      <w:pPr>
        <w:spacing w:line="360" w:lineRule="auto"/>
        <w:ind w:firstLine="392" w:firstLineChars="200"/>
        <w:jc w:val="left"/>
        <w:rPr>
          <w:rFonts w:ascii="宋体" w:hAnsi="宋体" w:cs="宋体"/>
          <w:color w:val="000000" w:themeColor="text1"/>
          <w:spacing w:val="-3"/>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本公司对上述承诺的真实性负责，如有虚假，我公司同意按我方提供虚假材料谋取中标</w:t>
      </w:r>
      <w:r>
        <w:rPr>
          <w:rFonts w:hint="eastAsia" w:ascii="宋体" w:hAnsi="宋体" w:cs="宋体"/>
          <w:color w:val="000000" w:themeColor="text1"/>
          <w:szCs w:val="21"/>
          <w14:textFill>
            <w14:solidFill>
              <w14:schemeClr w14:val="tx1"/>
            </w14:solidFill>
          </w14:textFill>
        </w:rPr>
        <w:t>（成交）</w:t>
      </w:r>
      <w:r>
        <w:rPr>
          <w:rFonts w:hint="eastAsia" w:ascii="宋体" w:hAnsi="宋体" w:cs="宋体"/>
          <w:color w:val="000000" w:themeColor="text1"/>
          <w:spacing w:val="-3"/>
          <w:szCs w:val="21"/>
          <w14:textFill>
            <w14:solidFill>
              <w14:schemeClr w14:val="tx1"/>
            </w14:solidFill>
          </w14:textFill>
        </w:rPr>
        <w:t>处理，并依法承担相应法律责任。</w:t>
      </w:r>
    </w:p>
    <w:p>
      <w:pPr>
        <w:spacing w:line="360" w:lineRule="auto"/>
        <w:ind w:firstLine="392" w:firstLineChars="200"/>
        <w:jc w:val="left"/>
        <w:rPr>
          <w:rFonts w:ascii="宋体" w:hAnsi="宋体" w:cs="宋体"/>
          <w:color w:val="000000" w:themeColor="text1"/>
          <w:spacing w:val="-8"/>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特此承诺。</w:t>
      </w:r>
    </w:p>
    <w:p>
      <w:pPr>
        <w:spacing w:line="360" w:lineRule="auto"/>
        <w:ind w:firstLine="452" w:firstLineChars="200"/>
        <w:jc w:val="left"/>
        <w:rPr>
          <w:rFonts w:ascii="宋体" w:hAnsi="宋体" w:cs="宋体"/>
          <w:color w:val="000000" w:themeColor="text1"/>
          <w:spacing w:val="-8"/>
          <w:sz w:val="24"/>
          <w14:textFill>
            <w14:solidFill>
              <w14:schemeClr w14:val="tx1"/>
            </w14:solidFill>
          </w14:textFill>
        </w:rPr>
      </w:pPr>
    </w:p>
    <w:p>
      <w:pPr>
        <w:spacing w:line="440" w:lineRule="exact"/>
        <w:ind w:firstLine="4860"/>
        <w:jc w:val="left"/>
        <w:rPr>
          <w:rFonts w:ascii="宋体" w:hAnsi="宋体" w:cs="宋体"/>
          <w:b/>
          <w:bCs/>
          <w:color w:val="000000" w:themeColor="text1"/>
          <w:szCs w:val="21"/>
          <w:u w:val="single"/>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投标人（盖章）：</w:t>
      </w:r>
      <w:r>
        <w:rPr>
          <w:rFonts w:ascii="宋体" w:hAnsi="宋体" w:cs="宋体"/>
          <w:b/>
          <w:bCs/>
          <w:color w:val="000000" w:themeColor="text1"/>
          <w:szCs w:val="21"/>
          <w:u w:val="single"/>
          <w14:textFill>
            <w14:solidFill>
              <w14:schemeClr w14:val="tx1"/>
            </w14:solidFill>
          </w14:textFill>
        </w:rPr>
        <w:t xml:space="preserve">                               </w:t>
      </w:r>
    </w:p>
    <w:p>
      <w:pPr>
        <w:pStyle w:val="38"/>
        <w:rPr>
          <w:color w:val="000000" w:themeColor="text1"/>
          <w14:textFill>
            <w14:solidFill>
              <w14:schemeClr w14:val="tx1"/>
            </w14:solidFill>
          </w14:textFill>
        </w:rPr>
      </w:pPr>
    </w:p>
    <w:p>
      <w:pPr>
        <w:adjustRightInd w:val="0"/>
        <w:snapToGrid w:val="0"/>
        <w:spacing w:line="360" w:lineRule="auto"/>
        <w:ind w:firstLine="2085" w:firstLineChars="984"/>
        <w:rPr>
          <w:rFonts w:ascii="宋体" w:hAnsi="宋体" w:cs="宋体"/>
          <w:b/>
          <w:color w:val="000000" w:themeColor="text1"/>
          <w:sz w:val="30"/>
          <w:szCs w:val="30"/>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日</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期：</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年</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月</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日</w:t>
      </w:r>
      <w:r>
        <w:rPr>
          <w:rFonts w:ascii="宋体" w:hAnsi="宋体" w:cs="宋体"/>
          <w:color w:val="000000" w:themeColor="text1"/>
          <w:szCs w:val="21"/>
          <w14:textFill>
            <w14:solidFill>
              <w14:schemeClr w14:val="tx1"/>
            </w14:solidFill>
          </w14:textFill>
        </w:rPr>
        <w:t xml:space="preserve">          </w:t>
      </w:r>
    </w:p>
    <w:p>
      <w:pPr>
        <w:adjustRightInd w:val="0"/>
        <w:snapToGrid w:val="0"/>
        <w:spacing w:line="360" w:lineRule="auto"/>
        <w:ind w:firstLine="2971" w:firstLineChars="984"/>
        <w:rPr>
          <w:rFonts w:ascii="宋体" w:hAnsi="宋体" w:cs="宋体"/>
          <w:b/>
          <w:color w:val="000000" w:themeColor="text1"/>
          <w:sz w:val="30"/>
          <w:szCs w:val="30"/>
          <w14:textFill>
            <w14:solidFill>
              <w14:schemeClr w14:val="tx1"/>
            </w14:solidFill>
          </w14:textFill>
        </w:rPr>
      </w:pPr>
    </w:p>
    <w:p>
      <w:pPr>
        <w:adjustRightInd w:val="0"/>
        <w:snapToGrid w:val="0"/>
        <w:spacing w:line="360" w:lineRule="auto"/>
        <w:ind w:firstLine="2971" w:firstLineChars="984"/>
        <w:rPr>
          <w:rFonts w:ascii="宋体" w:hAnsi="宋体" w:cs="宋体"/>
          <w:b/>
          <w:color w:val="000000" w:themeColor="text1"/>
          <w:sz w:val="30"/>
          <w:szCs w:val="30"/>
          <w14:textFill>
            <w14:solidFill>
              <w14:schemeClr w14:val="tx1"/>
            </w14:solidFill>
          </w14:textFill>
        </w:rPr>
      </w:pPr>
    </w:p>
    <w:p>
      <w:pPr>
        <w:adjustRightInd w:val="0"/>
        <w:snapToGrid w:val="0"/>
        <w:spacing w:line="360" w:lineRule="auto"/>
        <w:ind w:firstLine="2971" w:firstLineChars="984"/>
        <w:rPr>
          <w:rFonts w:ascii="宋体" w:hAnsi="宋体" w:cs="宋体"/>
          <w:b/>
          <w:color w:val="000000" w:themeColor="text1"/>
          <w:sz w:val="30"/>
          <w:szCs w:val="30"/>
          <w14:textFill>
            <w14:solidFill>
              <w14:schemeClr w14:val="tx1"/>
            </w14:solidFill>
          </w14:textFill>
        </w:rPr>
      </w:pPr>
    </w:p>
    <w:p>
      <w:pPr>
        <w:spacing w:line="360" w:lineRule="auto"/>
        <w:jc w:val="center"/>
        <w:rPr>
          <w:b/>
          <w:color w:val="000000" w:themeColor="text1"/>
          <w:sz w:val="30"/>
          <w14:textFill>
            <w14:solidFill>
              <w14:schemeClr w14:val="tx1"/>
            </w14:solidFill>
          </w14:textFill>
        </w:rPr>
      </w:pPr>
    </w:p>
    <w:p>
      <w:pPr>
        <w:spacing w:line="360" w:lineRule="auto"/>
        <w:jc w:val="center"/>
        <w:rPr>
          <w:b/>
          <w:color w:val="000000" w:themeColor="text1"/>
          <w:sz w:val="30"/>
          <w14:textFill>
            <w14:solidFill>
              <w14:schemeClr w14:val="tx1"/>
            </w14:solidFill>
          </w14:textFill>
        </w:rPr>
      </w:pPr>
    </w:p>
    <w:p>
      <w:pPr>
        <w:spacing w:line="360" w:lineRule="auto"/>
        <w:jc w:val="center"/>
        <w:rPr>
          <w:b/>
          <w:color w:val="000000" w:themeColor="text1"/>
          <w:sz w:val="30"/>
          <w14:textFill>
            <w14:solidFill>
              <w14:schemeClr w14:val="tx1"/>
            </w14:solidFill>
          </w14:textFill>
        </w:rPr>
      </w:pPr>
    </w:p>
    <w:p>
      <w:pPr>
        <w:spacing w:line="360" w:lineRule="auto"/>
        <w:jc w:val="center"/>
        <w:rPr>
          <w:b/>
          <w:color w:val="000000" w:themeColor="text1"/>
          <w:sz w:val="30"/>
          <w14:textFill>
            <w14:solidFill>
              <w14:schemeClr w14:val="tx1"/>
            </w14:solidFill>
          </w14:textFill>
        </w:rPr>
      </w:pPr>
    </w:p>
    <w:p>
      <w:pPr>
        <w:spacing w:line="360" w:lineRule="auto"/>
        <w:jc w:val="center"/>
        <w:rPr>
          <w:b/>
          <w:color w:val="000000" w:themeColor="text1"/>
          <w:sz w:val="30"/>
          <w14:textFill>
            <w14:solidFill>
              <w14:schemeClr w14:val="tx1"/>
            </w14:solidFill>
          </w14:textFill>
        </w:rPr>
      </w:pPr>
    </w:p>
    <w:p>
      <w:pPr>
        <w:spacing w:line="360" w:lineRule="auto"/>
        <w:jc w:val="center"/>
        <w:rPr>
          <w:b/>
          <w:color w:val="000000" w:themeColor="text1"/>
          <w:sz w:val="30"/>
          <w14:textFill>
            <w14:solidFill>
              <w14:schemeClr w14:val="tx1"/>
            </w14:solidFill>
          </w14:textFill>
        </w:rPr>
      </w:pPr>
    </w:p>
    <w:p>
      <w:pPr>
        <w:spacing w:line="360" w:lineRule="auto"/>
        <w:jc w:val="center"/>
        <w:rPr>
          <w:b/>
          <w:color w:val="000000" w:themeColor="text1"/>
          <w:sz w:val="30"/>
          <w14:textFill>
            <w14:solidFill>
              <w14:schemeClr w14:val="tx1"/>
            </w14:solidFill>
          </w14:textFill>
        </w:rPr>
      </w:pPr>
    </w:p>
    <w:p>
      <w:pPr>
        <w:spacing w:line="360" w:lineRule="auto"/>
        <w:jc w:val="center"/>
        <w:rPr>
          <w:b/>
          <w:color w:val="000000" w:themeColor="text1"/>
          <w:sz w:val="30"/>
          <w14:textFill>
            <w14:solidFill>
              <w14:schemeClr w14:val="tx1"/>
            </w14:solidFill>
          </w14:textFill>
        </w:rPr>
      </w:pPr>
    </w:p>
    <w:p>
      <w:pPr>
        <w:spacing w:line="360" w:lineRule="auto"/>
        <w:jc w:val="center"/>
        <w:rPr>
          <w:b/>
          <w:color w:val="000000" w:themeColor="text1"/>
          <w:sz w:val="30"/>
          <w14:textFill>
            <w14:solidFill>
              <w14:schemeClr w14:val="tx1"/>
            </w14:solidFill>
          </w14:textFill>
        </w:rPr>
      </w:pPr>
      <w:r>
        <w:rPr>
          <w:rFonts w:hint="eastAsia"/>
          <w:b/>
          <w:color w:val="000000" w:themeColor="text1"/>
          <w:sz w:val="30"/>
          <w14:textFill>
            <w14:solidFill>
              <w14:schemeClr w14:val="tx1"/>
            </w14:solidFill>
          </w14:textFill>
        </w:rPr>
        <w:t>五、参加本次政府采购活动前三年内</w:t>
      </w:r>
    </w:p>
    <w:p>
      <w:pPr>
        <w:spacing w:line="360" w:lineRule="auto"/>
        <w:jc w:val="center"/>
        <w:rPr>
          <w:b/>
          <w:color w:val="000000" w:themeColor="text1"/>
          <w:spacing w:val="-1"/>
          <w:sz w:val="30"/>
          <w14:textFill>
            <w14:solidFill>
              <w14:schemeClr w14:val="tx1"/>
            </w14:solidFill>
          </w14:textFill>
        </w:rPr>
      </w:pPr>
      <w:r>
        <w:rPr>
          <w:rFonts w:hint="eastAsia"/>
          <w:b/>
          <w:color w:val="000000" w:themeColor="text1"/>
          <w:spacing w:val="-1"/>
          <w:sz w:val="30"/>
          <w14:textFill>
            <w14:solidFill>
              <w14:schemeClr w14:val="tx1"/>
            </w14:solidFill>
          </w14:textFill>
        </w:rPr>
        <w:t>在经营活动中无重大违法记录承诺函</w:t>
      </w:r>
    </w:p>
    <w:p>
      <w:pPr>
        <w:pStyle w:val="108"/>
        <w:rPr>
          <w:color w:val="000000" w:themeColor="text1"/>
          <w14:textFill>
            <w14:solidFill>
              <w14:schemeClr w14:val="tx1"/>
            </w14:solidFill>
          </w14:textFill>
        </w:rPr>
      </w:pPr>
    </w:p>
    <w:p>
      <w:pPr>
        <w:pStyle w:val="3"/>
        <w:tabs>
          <w:tab w:val="left" w:pos="3659"/>
        </w:tabs>
        <w:spacing w:after="0"/>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（采购人名称）</w:t>
      </w:r>
      <w:r>
        <w:rPr>
          <w:color w:val="000000" w:themeColor="text1"/>
          <w:u w:val="single"/>
          <w14:textFill>
            <w14:solidFill>
              <w14:schemeClr w14:val="tx1"/>
            </w14:solidFill>
          </w14:textFill>
        </w:rPr>
        <w:tab/>
      </w:r>
      <w:r>
        <w:rPr>
          <w:rFonts w:hint="eastAsia"/>
          <w:color w:val="000000" w:themeColor="text1"/>
          <w14:textFill>
            <w14:solidFill>
              <w14:schemeClr w14:val="tx1"/>
            </w14:solidFill>
          </w14:textFill>
        </w:rPr>
        <w:t>：</w:t>
      </w:r>
    </w:p>
    <w:p>
      <w:pPr>
        <w:pStyle w:val="3"/>
        <w:spacing w:after="0"/>
        <w:rPr>
          <w:color w:val="000000" w:themeColor="text1"/>
          <w:sz w:val="30"/>
          <w14:textFill>
            <w14:solidFill>
              <w14:schemeClr w14:val="tx1"/>
            </w14:solidFill>
          </w14:textFill>
        </w:rPr>
      </w:pPr>
    </w:p>
    <w:p>
      <w:pPr>
        <w:pStyle w:val="3"/>
        <w:spacing w:after="0" w:line="610" w:lineRule="auto"/>
        <w:ind w:firstLine="484"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我公司在参加本次政府采购活动前三年内，在经营活动中没有重大违法</w:t>
      </w:r>
      <w:r>
        <w:rPr>
          <w:rFonts w:hint="eastAsia"/>
          <w:color w:val="000000" w:themeColor="text1"/>
          <w:spacing w:val="-11"/>
          <w:sz w:val="24"/>
          <w:szCs w:val="24"/>
          <w14:textFill>
            <w14:solidFill>
              <w14:schemeClr w14:val="tx1"/>
            </w14:solidFill>
          </w14:textFill>
        </w:rPr>
        <w:t>记录，严格遵守国家有关法律、法规及相关政策，遵循公开、公平、公正和诚实</w:t>
      </w:r>
      <w:r>
        <w:rPr>
          <w:rFonts w:hint="eastAsia"/>
          <w:color w:val="000000" w:themeColor="text1"/>
          <w:sz w:val="24"/>
          <w:szCs w:val="24"/>
          <w14:textFill>
            <w14:solidFill>
              <w14:schemeClr w14:val="tx1"/>
            </w14:solidFill>
          </w14:textFill>
        </w:rPr>
        <w:t>信用的原则参加本次政府采购活动，本公司愿接受监管部门及采购单位监督。</w:t>
      </w:r>
    </w:p>
    <w:p>
      <w:pPr>
        <w:spacing w:line="360" w:lineRule="auto"/>
        <w:ind w:firstLine="484"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pStyle w:val="108"/>
        <w:rPr>
          <w:rFonts w:ascii="宋体" w:hAnsi="宋体" w:cs="宋体"/>
          <w:color w:val="000000" w:themeColor="text1"/>
          <w:sz w:val="24"/>
          <w:szCs w:val="24"/>
          <w14:textFill>
            <w14:solidFill>
              <w14:schemeClr w14:val="tx1"/>
            </w14:solidFill>
          </w14:textFill>
        </w:rPr>
      </w:pPr>
    </w:p>
    <w:p>
      <w:pPr>
        <w:pStyle w:val="108"/>
        <w:rPr>
          <w:rFonts w:ascii="宋体" w:hAnsi="宋体" w:cs="宋体"/>
          <w:color w:val="000000" w:themeColor="text1"/>
          <w:sz w:val="24"/>
          <w:szCs w:val="24"/>
          <w14:textFill>
            <w14:solidFill>
              <w14:schemeClr w14:val="tx1"/>
            </w14:solidFill>
          </w14:textFill>
        </w:rPr>
      </w:pPr>
    </w:p>
    <w:p>
      <w:pPr>
        <w:spacing w:line="440" w:lineRule="exact"/>
        <w:ind w:firstLine="4860"/>
        <w:jc w:val="left"/>
        <w:rPr>
          <w:rFonts w:ascii="宋体" w:hAnsi="宋体" w:cs="宋体"/>
          <w:b/>
          <w:bCs/>
          <w:color w:val="000000" w:themeColor="text1"/>
          <w:szCs w:val="21"/>
          <w:u w:val="single"/>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投标人（盖章）：</w:t>
      </w:r>
      <w:r>
        <w:rPr>
          <w:rFonts w:ascii="宋体" w:hAnsi="宋体" w:cs="宋体"/>
          <w:b/>
          <w:bCs/>
          <w:color w:val="000000" w:themeColor="text1"/>
          <w:szCs w:val="21"/>
          <w:u w:val="single"/>
          <w14:textFill>
            <w14:solidFill>
              <w14:schemeClr w14:val="tx1"/>
            </w14:solidFill>
          </w14:textFill>
        </w:rPr>
        <w:t xml:space="preserve">                               </w:t>
      </w:r>
    </w:p>
    <w:p>
      <w:pPr>
        <w:spacing w:line="440" w:lineRule="exact"/>
        <w:jc w:val="left"/>
        <w:rPr>
          <w:rFonts w:ascii="宋体" w:hAnsi="宋体" w:cs="宋体"/>
          <w:b/>
          <w:bCs/>
          <w:color w:val="000000" w:themeColor="text1"/>
          <w:szCs w:val="21"/>
          <w14:textFill>
            <w14:solidFill>
              <w14:schemeClr w14:val="tx1"/>
            </w14:solidFill>
          </w14:textFill>
        </w:rPr>
      </w:pPr>
    </w:p>
    <w:p>
      <w:pPr>
        <w:spacing w:line="440" w:lineRule="exact"/>
        <w:ind w:firstLine="4860"/>
        <w:jc w:val="left"/>
        <w:rPr>
          <w:rFonts w:ascii="宋体" w:hAnsi="宋体" w:cs="宋体"/>
          <w:b/>
          <w:bCs/>
          <w:color w:val="000000" w:themeColor="text1"/>
          <w:szCs w:val="21"/>
          <w:u w:val="single"/>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日</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期：</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年</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月</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日</w:t>
      </w:r>
    </w:p>
    <w:p>
      <w:pPr>
        <w:adjustRightInd w:val="0"/>
        <w:snapToGrid w:val="0"/>
        <w:spacing w:line="360" w:lineRule="auto"/>
        <w:ind w:firstLine="2971" w:firstLineChars="984"/>
        <w:rPr>
          <w:rFonts w:ascii="宋体" w:hAnsi="宋体" w:cs="宋体"/>
          <w:b/>
          <w:color w:val="000000" w:themeColor="text1"/>
          <w:sz w:val="30"/>
          <w:szCs w:val="30"/>
          <w14:textFill>
            <w14:solidFill>
              <w14:schemeClr w14:val="tx1"/>
            </w14:solidFill>
          </w14:textFill>
        </w:rPr>
      </w:pPr>
    </w:p>
    <w:p>
      <w:pPr>
        <w:adjustRightInd w:val="0"/>
        <w:snapToGrid w:val="0"/>
        <w:spacing w:line="360" w:lineRule="auto"/>
        <w:ind w:firstLine="2971" w:firstLineChars="984"/>
        <w:rPr>
          <w:rFonts w:ascii="宋体" w:hAnsi="宋体" w:cs="宋体"/>
          <w:b/>
          <w:color w:val="000000" w:themeColor="text1"/>
          <w:sz w:val="30"/>
          <w:szCs w:val="30"/>
          <w14:textFill>
            <w14:solidFill>
              <w14:schemeClr w14:val="tx1"/>
            </w14:solidFill>
          </w14:textFill>
        </w:rPr>
      </w:pPr>
    </w:p>
    <w:p>
      <w:pPr>
        <w:adjustRightInd w:val="0"/>
        <w:snapToGrid w:val="0"/>
        <w:spacing w:line="360" w:lineRule="auto"/>
        <w:ind w:firstLine="2971" w:firstLineChars="984"/>
        <w:rPr>
          <w:rFonts w:ascii="宋体" w:hAnsi="宋体" w:cs="宋体"/>
          <w:b/>
          <w:color w:val="000000" w:themeColor="text1"/>
          <w:sz w:val="30"/>
          <w:szCs w:val="30"/>
          <w14:textFill>
            <w14:solidFill>
              <w14:schemeClr w14:val="tx1"/>
            </w14:solidFill>
          </w14:textFill>
        </w:rPr>
      </w:pPr>
    </w:p>
    <w:p>
      <w:pPr>
        <w:adjustRightInd w:val="0"/>
        <w:snapToGrid w:val="0"/>
        <w:spacing w:line="360" w:lineRule="auto"/>
        <w:ind w:firstLine="2971" w:firstLineChars="984"/>
        <w:rPr>
          <w:rFonts w:ascii="宋体" w:hAnsi="宋体" w:cs="宋体"/>
          <w:b/>
          <w:color w:val="000000" w:themeColor="text1"/>
          <w:sz w:val="30"/>
          <w:szCs w:val="30"/>
          <w14:textFill>
            <w14:solidFill>
              <w14:schemeClr w14:val="tx1"/>
            </w14:solidFill>
          </w14:textFill>
        </w:rPr>
      </w:pPr>
    </w:p>
    <w:p>
      <w:pPr>
        <w:adjustRightInd w:val="0"/>
        <w:snapToGrid w:val="0"/>
        <w:spacing w:line="360" w:lineRule="auto"/>
        <w:ind w:firstLine="2971" w:firstLineChars="984"/>
        <w:rPr>
          <w:rFonts w:ascii="宋体" w:hAnsi="宋体" w:cs="宋体"/>
          <w:b/>
          <w:color w:val="000000" w:themeColor="text1"/>
          <w:sz w:val="30"/>
          <w:szCs w:val="30"/>
          <w14:textFill>
            <w14:solidFill>
              <w14:schemeClr w14:val="tx1"/>
            </w14:solidFill>
          </w14:textFill>
        </w:rPr>
      </w:pPr>
    </w:p>
    <w:p>
      <w:pPr>
        <w:adjustRightInd w:val="0"/>
        <w:snapToGrid w:val="0"/>
        <w:spacing w:line="360" w:lineRule="auto"/>
        <w:ind w:firstLine="2971" w:firstLineChars="984"/>
        <w:rPr>
          <w:rFonts w:ascii="宋体" w:hAnsi="宋体" w:cs="宋体"/>
          <w:b/>
          <w:color w:val="000000" w:themeColor="text1"/>
          <w:sz w:val="30"/>
          <w:szCs w:val="30"/>
          <w14:textFill>
            <w14:solidFill>
              <w14:schemeClr w14:val="tx1"/>
            </w14:solidFill>
          </w14:textFill>
        </w:rPr>
      </w:pPr>
    </w:p>
    <w:p>
      <w:pPr>
        <w:adjustRightInd w:val="0"/>
        <w:snapToGrid w:val="0"/>
        <w:spacing w:line="360" w:lineRule="auto"/>
        <w:ind w:firstLine="2971" w:firstLineChars="984"/>
        <w:rPr>
          <w:rFonts w:ascii="宋体" w:hAnsi="宋体" w:cs="宋体"/>
          <w:b/>
          <w:color w:val="000000" w:themeColor="text1"/>
          <w:sz w:val="30"/>
          <w:szCs w:val="30"/>
          <w14:textFill>
            <w14:solidFill>
              <w14:schemeClr w14:val="tx1"/>
            </w14:solidFill>
          </w14:textFill>
        </w:rPr>
      </w:pPr>
    </w:p>
    <w:p>
      <w:pPr>
        <w:adjustRightInd w:val="0"/>
        <w:snapToGrid w:val="0"/>
        <w:spacing w:line="360" w:lineRule="auto"/>
        <w:ind w:firstLine="2971" w:firstLineChars="984"/>
        <w:rPr>
          <w:rFonts w:ascii="宋体" w:hAnsi="宋体" w:cs="宋体"/>
          <w:b/>
          <w:color w:val="000000" w:themeColor="text1"/>
          <w:sz w:val="30"/>
          <w:szCs w:val="30"/>
          <w14:textFill>
            <w14:solidFill>
              <w14:schemeClr w14:val="tx1"/>
            </w14:solidFill>
          </w14:textFill>
        </w:rPr>
      </w:pPr>
    </w:p>
    <w:p>
      <w:pPr>
        <w:adjustRightInd w:val="0"/>
        <w:snapToGrid w:val="0"/>
        <w:spacing w:line="360" w:lineRule="auto"/>
        <w:ind w:firstLine="2971" w:firstLineChars="984"/>
        <w:rPr>
          <w:rFonts w:ascii="宋体" w:hAnsi="宋体" w:cs="宋体"/>
          <w:b/>
          <w:color w:val="000000" w:themeColor="text1"/>
          <w:sz w:val="30"/>
          <w:szCs w:val="30"/>
          <w14:textFill>
            <w14:solidFill>
              <w14:schemeClr w14:val="tx1"/>
            </w14:solidFill>
          </w14:textFill>
        </w:rPr>
      </w:pPr>
    </w:p>
    <w:p>
      <w:pPr>
        <w:adjustRightInd w:val="0"/>
        <w:snapToGrid w:val="0"/>
        <w:spacing w:line="360" w:lineRule="auto"/>
        <w:ind w:firstLine="2971" w:firstLineChars="984"/>
        <w:rPr>
          <w:rFonts w:ascii="宋体" w:hAnsi="宋体" w:cs="宋体"/>
          <w:b/>
          <w:color w:val="000000" w:themeColor="text1"/>
          <w:sz w:val="30"/>
          <w:szCs w:val="30"/>
          <w14:textFill>
            <w14:solidFill>
              <w14:schemeClr w14:val="tx1"/>
            </w14:solidFill>
          </w14:textFill>
        </w:rPr>
      </w:pPr>
    </w:p>
    <w:p>
      <w:pPr>
        <w:adjustRightInd w:val="0"/>
        <w:snapToGrid w:val="0"/>
        <w:spacing w:line="360" w:lineRule="auto"/>
        <w:rPr>
          <w:rFonts w:ascii="宋体" w:hAnsi="宋体" w:cs="宋体"/>
          <w:b/>
          <w:color w:val="000000" w:themeColor="text1"/>
          <w:sz w:val="30"/>
          <w:szCs w:val="30"/>
          <w14:textFill>
            <w14:solidFill>
              <w14:schemeClr w14:val="tx1"/>
            </w14:solidFill>
          </w14:textFill>
        </w:rPr>
      </w:pPr>
    </w:p>
    <w:p>
      <w:pPr>
        <w:adjustRightInd w:val="0"/>
        <w:snapToGrid w:val="0"/>
        <w:spacing w:line="360" w:lineRule="auto"/>
        <w:ind w:firstLine="2971" w:firstLineChars="984"/>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六、偏离说明表</w:t>
      </w:r>
    </w:p>
    <w:p>
      <w:pPr>
        <w:spacing w:line="360" w:lineRule="auto"/>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p>
    <w:tbl>
      <w:tblPr>
        <w:tblStyle w:val="39"/>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2321"/>
        <w:gridCol w:w="2321"/>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081" w:type="dxa"/>
            <w:vAlign w:val="center"/>
          </w:tcPr>
          <w:p>
            <w:pPr>
              <w:adjustRightIn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321" w:type="dxa"/>
            <w:vAlign w:val="center"/>
          </w:tcPr>
          <w:p>
            <w:pPr>
              <w:adjustRightIn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招标文件条款</w:t>
            </w:r>
          </w:p>
        </w:tc>
        <w:tc>
          <w:tcPr>
            <w:tcW w:w="2321" w:type="dxa"/>
            <w:vAlign w:val="center"/>
          </w:tcPr>
          <w:p>
            <w:pPr>
              <w:adjustRightIn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投标文件条款</w:t>
            </w:r>
          </w:p>
        </w:tc>
        <w:tc>
          <w:tcPr>
            <w:tcW w:w="2225" w:type="dxa"/>
            <w:vAlign w:val="center"/>
          </w:tcPr>
          <w:p>
            <w:pPr>
              <w:adjustRightIn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081" w:type="dxa"/>
          </w:tcPr>
          <w:p>
            <w:pPr>
              <w:adjustRightInd w:val="0"/>
              <w:spacing w:line="360" w:lineRule="auto"/>
              <w:jc w:val="center"/>
              <w:rPr>
                <w:rFonts w:ascii="宋体" w:hAnsi="宋体" w:cs="宋体"/>
                <w:color w:val="000000" w:themeColor="text1"/>
                <w:szCs w:val="21"/>
                <w14:textFill>
                  <w14:solidFill>
                    <w14:schemeClr w14:val="tx1"/>
                  </w14:solidFill>
                </w14:textFill>
              </w:rPr>
            </w:pPr>
          </w:p>
        </w:tc>
        <w:tc>
          <w:tcPr>
            <w:tcW w:w="2321" w:type="dxa"/>
          </w:tcPr>
          <w:p>
            <w:pPr>
              <w:adjustRightInd w:val="0"/>
              <w:spacing w:line="360" w:lineRule="auto"/>
              <w:jc w:val="center"/>
              <w:rPr>
                <w:rFonts w:ascii="宋体" w:hAnsi="宋体" w:cs="宋体"/>
                <w:color w:val="000000" w:themeColor="text1"/>
                <w:szCs w:val="21"/>
                <w14:textFill>
                  <w14:solidFill>
                    <w14:schemeClr w14:val="tx1"/>
                  </w14:solidFill>
                </w14:textFill>
              </w:rPr>
            </w:pPr>
          </w:p>
        </w:tc>
        <w:tc>
          <w:tcPr>
            <w:tcW w:w="2321" w:type="dxa"/>
          </w:tcPr>
          <w:p>
            <w:pPr>
              <w:adjustRightInd w:val="0"/>
              <w:spacing w:line="360" w:lineRule="auto"/>
              <w:jc w:val="center"/>
              <w:rPr>
                <w:rFonts w:ascii="宋体" w:hAnsi="宋体" w:cs="宋体"/>
                <w:color w:val="000000" w:themeColor="text1"/>
                <w:szCs w:val="21"/>
                <w14:textFill>
                  <w14:solidFill>
                    <w14:schemeClr w14:val="tx1"/>
                  </w14:solidFill>
                </w14:textFill>
              </w:rPr>
            </w:pPr>
          </w:p>
        </w:tc>
        <w:tc>
          <w:tcPr>
            <w:tcW w:w="2225" w:type="dxa"/>
          </w:tcPr>
          <w:p>
            <w:pPr>
              <w:adjustRightInd w:val="0"/>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081" w:type="dxa"/>
          </w:tcPr>
          <w:p>
            <w:pPr>
              <w:adjustRightInd w:val="0"/>
              <w:spacing w:line="360" w:lineRule="auto"/>
              <w:jc w:val="center"/>
              <w:rPr>
                <w:rFonts w:ascii="宋体" w:hAnsi="宋体" w:cs="宋体"/>
                <w:color w:val="000000" w:themeColor="text1"/>
                <w:szCs w:val="21"/>
                <w14:textFill>
                  <w14:solidFill>
                    <w14:schemeClr w14:val="tx1"/>
                  </w14:solidFill>
                </w14:textFill>
              </w:rPr>
            </w:pPr>
          </w:p>
        </w:tc>
        <w:tc>
          <w:tcPr>
            <w:tcW w:w="2321" w:type="dxa"/>
          </w:tcPr>
          <w:p>
            <w:pPr>
              <w:adjustRightInd w:val="0"/>
              <w:spacing w:line="360" w:lineRule="auto"/>
              <w:jc w:val="center"/>
              <w:rPr>
                <w:rFonts w:ascii="宋体" w:hAnsi="宋体" w:cs="宋体"/>
                <w:color w:val="000000" w:themeColor="text1"/>
                <w:szCs w:val="21"/>
                <w14:textFill>
                  <w14:solidFill>
                    <w14:schemeClr w14:val="tx1"/>
                  </w14:solidFill>
                </w14:textFill>
              </w:rPr>
            </w:pPr>
          </w:p>
        </w:tc>
        <w:tc>
          <w:tcPr>
            <w:tcW w:w="2321" w:type="dxa"/>
          </w:tcPr>
          <w:p>
            <w:pPr>
              <w:adjustRightInd w:val="0"/>
              <w:spacing w:line="360" w:lineRule="auto"/>
              <w:jc w:val="center"/>
              <w:rPr>
                <w:rFonts w:ascii="宋体" w:hAnsi="宋体" w:cs="宋体"/>
                <w:color w:val="000000" w:themeColor="text1"/>
                <w:szCs w:val="21"/>
                <w14:textFill>
                  <w14:solidFill>
                    <w14:schemeClr w14:val="tx1"/>
                  </w14:solidFill>
                </w14:textFill>
              </w:rPr>
            </w:pPr>
          </w:p>
        </w:tc>
        <w:tc>
          <w:tcPr>
            <w:tcW w:w="2225" w:type="dxa"/>
          </w:tcPr>
          <w:p>
            <w:pPr>
              <w:adjustRightInd w:val="0"/>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081" w:type="dxa"/>
          </w:tcPr>
          <w:p>
            <w:pPr>
              <w:adjustRightInd w:val="0"/>
              <w:spacing w:line="360" w:lineRule="auto"/>
              <w:jc w:val="center"/>
              <w:rPr>
                <w:rFonts w:ascii="宋体" w:hAnsi="宋体" w:cs="宋体"/>
                <w:color w:val="000000" w:themeColor="text1"/>
                <w:szCs w:val="21"/>
                <w14:textFill>
                  <w14:solidFill>
                    <w14:schemeClr w14:val="tx1"/>
                  </w14:solidFill>
                </w14:textFill>
              </w:rPr>
            </w:pPr>
          </w:p>
        </w:tc>
        <w:tc>
          <w:tcPr>
            <w:tcW w:w="2321" w:type="dxa"/>
          </w:tcPr>
          <w:p>
            <w:pPr>
              <w:adjustRightInd w:val="0"/>
              <w:spacing w:line="360" w:lineRule="auto"/>
              <w:jc w:val="center"/>
              <w:rPr>
                <w:rFonts w:ascii="宋体" w:hAnsi="宋体" w:cs="宋体"/>
                <w:color w:val="000000" w:themeColor="text1"/>
                <w:szCs w:val="21"/>
                <w14:textFill>
                  <w14:solidFill>
                    <w14:schemeClr w14:val="tx1"/>
                  </w14:solidFill>
                </w14:textFill>
              </w:rPr>
            </w:pPr>
          </w:p>
        </w:tc>
        <w:tc>
          <w:tcPr>
            <w:tcW w:w="2321" w:type="dxa"/>
          </w:tcPr>
          <w:p>
            <w:pPr>
              <w:adjustRightInd w:val="0"/>
              <w:spacing w:line="360" w:lineRule="auto"/>
              <w:jc w:val="center"/>
              <w:rPr>
                <w:rFonts w:ascii="宋体" w:hAnsi="宋体" w:cs="宋体"/>
                <w:color w:val="000000" w:themeColor="text1"/>
                <w:szCs w:val="21"/>
                <w14:textFill>
                  <w14:solidFill>
                    <w14:schemeClr w14:val="tx1"/>
                  </w14:solidFill>
                </w14:textFill>
              </w:rPr>
            </w:pPr>
          </w:p>
        </w:tc>
        <w:tc>
          <w:tcPr>
            <w:tcW w:w="2225" w:type="dxa"/>
          </w:tcPr>
          <w:p>
            <w:pPr>
              <w:adjustRightInd w:val="0"/>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081" w:type="dxa"/>
          </w:tcPr>
          <w:p>
            <w:pPr>
              <w:adjustRightInd w:val="0"/>
              <w:spacing w:line="360" w:lineRule="auto"/>
              <w:jc w:val="center"/>
              <w:rPr>
                <w:rFonts w:ascii="宋体" w:hAnsi="宋体" w:cs="宋体"/>
                <w:color w:val="000000" w:themeColor="text1"/>
                <w:szCs w:val="21"/>
                <w14:textFill>
                  <w14:solidFill>
                    <w14:schemeClr w14:val="tx1"/>
                  </w14:solidFill>
                </w14:textFill>
              </w:rPr>
            </w:pPr>
          </w:p>
        </w:tc>
        <w:tc>
          <w:tcPr>
            <w:tcW w:w="2321" w:type="dxa"/>
          </w:tcPr>
          <w:p>
            <w:pPr>
              <w:adjustRightInd w:val="0"/>
              <w:spacing w:line="360" w:lineRule="auto"/>
              <w:jc w:val="center"/>
              <w:rPr>
                <w:rFonts w:ascii="宋体" w:hAnsi="宋体" w:cs="宋体"/>
                <w:color w:val="000000" w:themeColor="text1"/>
                <w:szCs w:val="21"/>
                <w14:textFill>
                  <w14:solidFill>
                    <w14:schemeClr w14:val="tx1"/>
                  </w14:solidFill>
                </w14:textFill>
              </w:rPr>
            </w:pPr>
          </w:p>
        </w:tc>
        <w:tc>
          <w:tcPr>
            <w:tcW w:w="2321" w:type="dxa"/>
          </w:tcPr>
          <w:p>
            <w:pPr>
              <w:adjustRightInd w:val="0"/>
              <w:spacing w:line="360" w:lineRule="auto"/>
              <w:jc w:val="center"/>
              <w:rPr>
                <w:rFonts w:ascii="宋体" w:hAnsi="宋体" w:cs="宋体"/>
                <w:color w:val="000000" w:themeColor="text1"/>
                <w:szCs w:val="21"/>
                <w14:textFill>
                  <w14:solidFill>
                    <w14:schemeClr w14:val="tx1"/>
                  </w14:solidFill>
                </w14:textFill>
              </w:rPr>
            </w:pPr>
          </w:p>
        </w:tc>
        <w:tc>
          <w:tcPr>
            <w:tcW w:w="2225" w:type="dxa"/>
          </w:tcPr>
          <w:p>
            <w:pPr>
              <w:adjustRightInd w:val="0"/>
              <w:spacing w:line="360" w:lineRule="auto"/>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081" w:type="dxa"/>
          </w:tcPr>
          <w:p>
            <w:pPr>
              <w:adjustRightIn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2321" w:type="dxa"/>
          </w:tcPr>
          <w:p>
            <w:pPr>
              <w:adjustRightInd w:val="0"/>
              <w:spacing w:line="360" w:lineRule="auto"/>
              <w:jc w:val="center"/>
              <w:rPr>
                <w:rFonts w:ascii="宋体" w:hAnsi="宋体" w:cs="宋体"/>
                <w:color w:val="000000" w:themeColor="text1"/>
                <w:szCs w:val="21"/>
                <w14:textFill>
                  <w14:solidFill>
                    <w14:schemeClr w14:val="tx1"/>
                  </w14:solidFill>
                </w14:textFill>
              </w:rPr>
            </w:pPr>
          </w:p>
        </w:tc>
        <w:tc>
          <w:tcPr>
            <w:tcW w:w="2321" w:type="dxa"/>
          </w:tcPr>
          <w:p>
            <w:pPr>
              <w:adjustRightInd w:val="0"/>
              <w:spacing w:line="360" w:lineRule="auto"/>
              <w:jc w:val="center"/>
              <w:rPr>
                <w:rFonts w:ascii="宋体" w:hAnsi="宋体" w:cs="宋体"/>
                <w:color w:val="000000" w:themeColor="text1"/>
                <w:szCs w:val="21"/>
                <w14:textFill>
                  <w14:solidFill>
                    <w14:schemeClr w14:val="tx1"/>
                  </w14:solidFill>
                </w14:textFill>
              </w:rPr>
            </w:pPr>
          </w:p>
        </w:tc>
        <w:tc>
          <w:tcPr>
            <w:tcW w:w="2225" w:type="dxa"/>
          </w:tcPr>
          <w:p>
            <w:pPr>
              <w:adjustRightInd w:val="0"/>
              <w:spacing w:line="360" w:lineRule="auto"/>
              <w:jc w:val="center"/>
              <w:rPr>
                <w:rFonts w:ascii="宋体" w:hAnsi="宋体" w:cs="宋体"/>
                <w:color w:val="000000" w:themeColor="text1"/>
                <w:szCs w:val="21"/>
                <w14:textFill>
                  <w14:solidFill>
                    <w14:schemeClr w14:val="tx1"/>
                  </w14:solidFill>
                </w14:textFill>
              </w:rPr>
            </w:pPr>
          </w:p>
        </w:tc>
      </w:tr>
    </w:tbl>
    <w:p>
      <w:pPr>
        <w:pStyle w:val="16"/>
        <w:rPr>
          <w:rFonts w:ascii="宋体" w:hAnsi="宋体"/>
          <w:spacing w:val="20"/>
          <w:kern w:val="0"/>
          <w:sz w:val="21"/>
          <w:szCs w:val="21"/>
        </w:rPr>
      </w:pPr>
      <w:r>
        <w:rPr>
          <w:rFonts w:hint="eastAsia" w:ascii="宋体" w:hAnsi="宋体"/>
          <w:sz w:val="21"/>
          <w:szCs w:val="21"/>
        </w:rPr>
        <w:t>注：无偏离请注明“完全响应”，有正偏离请详细填写，但不得负偏离。投标人递交的技术规格书中与招标文件的技术规格书中的要求有不同时，应逐条列在偏离表中，否则将认为投标人接受招标文件的要求。</w:t>
      </w:r>
    </w:p>
    <w:p>
      <w:pPr>
        <w:spacing w:line="500" w:lineRule="exact"/>
        <w:ind w:firstLine="3948" w:firstLineChars="1400"/>
        <w:rPr>
          <w:rFonts w:ascii="宋体" w:hAnsi="宋体"/>
          <w:b/>
          <w:bCs/>
          <w:color w:val="000000" w:themeColor="text1"/>
          <w:sz w:val="28"/>
          <w:szCs w:val="28"/>
          <w14:textFill>
            <w14:solidFill>
              <w14:schemeClr w14:val="tx1"/>
            </w14:solidFill>
          </w14:textFill>
        </w:rPr>
      </w:pPr>
    </w:p>
    <w:p>
      <w:pPr>
        <w:spacing w:line="500" w:lineRule="exact"/>
        <w:ind w:firstLine="4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投标人名称（公章）：</w:t>
      </w:r>
      <w:r>
        <w:rPr>
          <w:rFonts w:ascii="宋体" w:hAnsi="宋体"/>
          <w:color w:val="000000" w:themeColor="text1"/>
          <w:szCs w:val="21"/>
          <w:u w:val="single"/>
          <w14:textFill>
            <w14:solidFill>
              <w14:schemeClr w14:val="tx1"/>
            </w14:solidFill>
          </w14:textFill>
        </w:rPr>
        <w:t xml:space="preserve">         </w:t>
      </w:r>
    </w:p>
    <w:p>
      <w:pPr>
        <w:spacing w:line="500" w:lineRule="exact"/>
        <w:ind w:firstLine="4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法定代表人或授权委托代理人</w:t>
      </w:r>
      <w:r>
        <w:rPr>
          <w:rFonts w:hint="eastAsia"/>
          <w:color w:val="000000" w:themeColor="text1"/>
          <w:szCs w:val="21"/>
          <w14:textFill>
            <w14:solidFill>
              <w14:schemeClr w14:val="tx1"/>
            </w14:solidFill>
          </w14:textFill>
        </w:rPr>
        <w:t>签字</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p>
    <w:p>
      <w:pPr>
        <w:spacing w:line="500" w:lineRule="exact"/>
        <w:ind w:firstLine="435"/>
        <w:rPr>
          <w:rFonts w:ascii="宋体" w:hAnsi="宋体"/>
          <w:color w:val="000000" w:themeColor="text1"/>
          <w:szCs w:val="21"/>
          <w:u w:val="single"/>
          <w14:textFill>
            <w14:solidFill>
              <w14:schemeClr w14:val="tx1"/>
            </w14:solidFill>
          </w14:textFill>
        </w:rPr>
        <w:sectPr>
          <w:headerReference r:id="rId3" w:type="default"/>
          <w:footerReference r:id="rId4" w:type="default"/>
          <w:pgSz w:w="11850" w:h="16783"/>
          <w:pgMar w:top="1304" w:right="1134" w:bottom="1020" w:left="1134" w:header="851" w:footer="992" w:gutter="0"/>
          <w:cols w:space="720" w:num="1"/>
          <w:docGrid w:type="linesAndChars" w:linePitch="320" w:charSpace="482"/>
        </w:sect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日期：</w:t>
      </w:r>
      <w:r>
        <w:rPr>
          <w:rFonts w:ascii="宋体" w:hAnsi="宋体"/>
          <w:color w:val="000000" w:themeColor="text1"/>
          <w:szCs w:val="21"/>
          <w:u w:val="single"/>
          <w14:textFill>
            <w14:solidFill>
              <w14:schemeClr w14:val="tx1"/>
            </w14:solidFill>
          </w14:textFill>
        </w:rPr>
        <w:t xml:space="preserve">            </w:t>
      </w:r>
    </w:p>
    <w:p>
      <w:pPr>
        <w:spacing w:line="500" w:lineRule="exact"/>
        <w:ind w:firstLine="3384" w:firstLineChars="12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七、投标函</w:t>
      </w:r>
    </w:p>
    <w:p>
      <w:pPr>
        <w:spacing w:line="500" w:lineRule="exact"/>
        <w:rPr>
          <w:rFonts w:ascii="宋体" w:hAnsi="宋体"/>
          <w:color w:val="000000" w:themeColor="text1"/>
          <w:sz w:val="32"/>
          <w:szCs w:val="32"/>
          <w14:textFill>
            <w14:solidFill>
              <w14:schemeClr w14:val="tx1"/>
            </w14:solidFill>
          </w14:textFill>
        </w:rPr>
      </w:pPr>
    </w:p>
    <w:p>
      <w:pPr>
        <w:spacing w:line="400" w:lineRule="exact"/>
        <w:ind w:firstLine="121" w:firstLineChars="50"/>
        <w:rPr>
          <w:rFonts w:ascii="宋体" w:hAnsi="宋体"/>
          <w:color w:val="000000" w:themeColor="text1"/>
          <w:szCs w:val="21"/>
          <w14:textFill>
            <w14:solidFill>
              <w14:schemeClr w14:val="tx1"/>
            </w14:solidFill>
          </w14:textFill>
        </w:rPr>
      </w:pPr>
      <w:r>
        <w:rPr>
          <w:rFonts w:ascii="宋体" w:hAnsi="宋体"/>
          <w:color w:val="000000" w:themeColor="text1"/>
          <w:sz w:val="24"/>
          <w14:textFill>
            <w14:solidFill>
              <w14:schemeClr w14:val="tx1"/>
            </w14:solidFill>
          </w14:textFill>
        </w:rPr>
        <w:t>_</w:t>
      </w:r>
      <w:r>
        <w:rPr>
          <w:rFonts w:ascii="宋体" w:hAnsi="宋体"/>
          <w:color w:val="000000" w:themeColor="text1"/>
          <w:szCs w:val="21"/>
          <w14:textFill>
            <w14:solidFill>
              <w14:schemeClr w14:val="tx1"/>
            </w14:solidFill>
          </w14:textFill>
        </w:rPr>
        <w:t>_____</w:t>
      </w:r>
      <w:r>
        <w:rPr>
          <w:rFonts w:ascii="宋体" w:hAnsi="宋体"/>
          <w:color w:val="000000" w:themeColor="text1"/>
          <w:szCs w:val="21"/>
          <w:u w:val="single"/>
          <w14:textFill>
            <w14:solidFill>
              <w14:schemeClr w14:val="tx1"/>
            </w14:solidFill>
          </w14:textFill>
        </w:rPr>
        <w:t>_     _</w:t>
      </w:r>
      <w:r>
        <w:rPr>
          <w:rFonts w:ascii="宋体" w:hAnsi="宋体"/>
          <w:color w:val="000000" w:themeColor="text1"/>
          <w:szCs w:val="21"/>
          <w14:textFill>
            <w14:solidFill>
              <w14:schemeClr w14:val="tx1"/>
            </w14:solidFill>
          </w14:textFill>
        </w:rPr>
        <w:t>_</w:t>
      </w:r>
      <w:r>
        <w:rPr>
          <w:rFonts w:hint="eastAsia" w:ascii="宋体" w:hAnsi="宋体"/>
          <w:color w:val="000000" w:themeColor="text1"/>
          <w:szCs w:val="21"/>
          <w14:textFill>
            <w14:solidFill>
              <w14:schemeClr w14:val="tx1"/>
            </w14:solidFill>
          </w14:textFill>
        </w:rPr>
        <w:t>（采购人名称）：</w:t>
      </w:r>
    </w:p>
    <w:p>
      <w:pPr>
        <w:spacing w:line="400" w:lineRule="exact"/>
        <w:ind w:firstLine="530" w:firstLineChars="250"/>
        <w:rPr>
          <w:rFonts w:ascii="宋体" w:hAnsi="宋体" w:cs="宋体"/>
          <w:color w:val="000000" w:themeColor="text1"/>
          <w:kern w:val="0"/>
          <w:szCs w:val="21"/>
          <w:u w:val="single"/>
          <w:lang w:val="zh-CN"/>
          <w14:textFill>
            <w14:solidFill>
              <w14:schemeClr w14:val="tx1"/>
            </w14:solidFill>
          </w14:textFill>
        </w:rPr>
      </w:pPr>
      <w:r>
        <w:rPr>
          <w:rFonts w:ascii="宋体" w:hAnsi="宋体" w:cs="宋体"/>
          <w:color w:val="000000" w:themeColor="text1"/>
          <w:kern w:val="0"/>
          <w:szCs w:val="21"/>
          <w:u w:val="single"/>
          <w:lang w:val="zh-CN"/>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投标人全称</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授权</w:t>
      </w:r>
      <w:r>
        <w:rPr>
          <w:rFonts w:ascii="宋体" w:hAnsi="宋体" w:cs="宋体"/>
          <w:color w:val="000000" w:themeColor="text1"/>
          <w:kern w:val="0"/>
          <w:szCs w:val="21"/>
          <w:u w:val="single"/>
          <w:lang w:val="zh-CN"/>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全权代表姓名</w:t>
      </w:r>
      <w:r>
        <w:rPr>
          <w:rFonts w:ascii="宋体" w:hAnsi="宋体" w:cs="宋体"/>
          <w:color w:val="000000" w:themeColor="text1"/>
          <w:szCs w:val="21"/>
          <w14:textFill>
            <w14:solidFill>
              <w14:schemeClr w14:val="tx1"/>
            </w14:solidFill>
          </w14:textFill>
        </w:rPr>
        <w:t>)</w:t>
      </w:r>
      <w:r>
        <w:rPr>
          <w:rFonts w:ascii="宋体" w:hAnsi="宋体" w:cs="宋体"/>
          <w:color w:val="000000" w:themeColor="text1"/>
          <w:kern w:val="0"/>
          <w:szCs w:val="21"/>
          <w:u w:val="single"/>
          <w:lang w:val="zh-CN"/>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职务、职称</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为全权代表，参加贵方组织的</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的采购公告（项目编号</w:t>
      </w:r>
      <w:r>
        <w:rPr>
          <w:rFonts w:ascii="宋体" w:hAnsi="宋体"/>
          <w:color w:val="000000" w:themeColor="text1"/>
          <w:szCs w:val="21"/>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采购的有关活动，并对此项目进行投标。为此：</w:t>
      </w:r>
    </w:p>
    <w:p>
      <w:pPr>
        <w:tabs>
          <w:tab w:val="left" w:pos="142"/>
          <w:tab w:val="left" w:pos="426"/>
        </w:tabs>
        <w:adjustRightInd w:val="0"/>
        <w:spacing w:line="400" w:lineRule="exact"/>
        <w:ind w:firstLine="212" w:firstLineChars="100"/>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我方同意在投标人</w:t>
      </w:r>
      <w:r>
        <w:rPr>
          <w:rFonts w:hint="eastAsia" w:ascii="宋体" w:hAnsi="宋体" w:cs="宋体"/>
          <w:bCs/>
          <w:color w:val="000000" w:themeColor="text1"/>
          <w:kern w:val="44"/>
          <w:szCs w:val="21"/>
          <w14:textFill>
            <w14:solidFill>
              <w14:schemeClr w14:val="tx1"/>
            </w14:solidFill>
          </w14:textFill>
        </w:rPr>
        <w:t>编制和提交采购投标文件须知</w:t>
      </w:r>
      <w:r>
        <w:rPr>
          <w:rFonts w:hint="eastAsia" w:ascii="宋体" w:hAnsi="宋体" w:cs="宋体"/>
          <w:color w:val="000000" w:themeColor="text1"/>
          <w:szCs w:val="21"/>
          <w14:textFill>
            <w14:solidFill>
              <w14:schemeClr w14:val="tx1"/>
            </w14:solidFill>
          </w14:textFill>
        </w:rPr>
        <w:t>规定的投标日期起遵守本投标文件中的承诺且在投标有效期满之前均具有约束力。</w:t>
      </w:r>
    </w:p>
    <w:p>
      <w:pPr>
        <w:spacing w:line="400" w:lineRule="exact"/>
        <w:ind w:left="6" w:firstLine="298" w:firstLineChars="14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我方已详细审查全部“招标文件”，包括修改文件（如有的话）以及全部参考资料和有关附件，已经了解我方对于招标文件、采购过程、采购结果有依法进行询问、质疑、投诉的权利及相关渠道和要求。</w:t>
      </w:r>
    </w:p>
    <w:p>
      <w:pPr>
        <w:spacing w:line="40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   3.</w:t>
      </w:r>
      <w:r>
        <w:rPr>
          <w:rFonts w:hint="eastAsia" w:ascii="宋体" w:hAnsi="宋体"/>
          <w:color w:val="000000" w:themeColor="text1"/>
          <w:szCs w:val="21"/>
          <w14:textFill>
            <w14:solidFill>
              <w14:schemeClr w14:val="tx1"/>
            </w14:solidFill>
          </w14:textFill>
        </w:rPr>
        <w:t>我方在投标之前已经与贵方进行了充分的沟通，完全理解并接受招标文件的各项规定和要求，对招标文件的合理性、合法性不再有异议。</w:t>
      </w:r>
    </w:p>
    <w:p>
      <w:pPr>
        <w:tabs>
          <w:tab w:val="left" w:pos="142"/>
          <w:tab w:val="left" w:pos="426"/>
        </w:tabs>
        <w:adjustRightInd w:val="0"/>
        <w:spacing w:line="400" w:lineRule="exact"/>
        <w:ind w:firstLine="424"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我方承诺已经具备《中华人民共和国政府采购法》中规定的参加政府采购活动的投标人应当具备的条件：</w:t>
      </w:r>
    </w:p>
    <w:p>
      <w:pPr>
        <w:spacing w:line="400" w:lineRule="exact"/>
        <w:ind w:firstLine="489" w:firstLineChars="231"/>
        <w:rPr>
          <w:rFonts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提供</w:t>
      </w:r>
      <w:r>
        <w:rPr>
          <w:rFonts w:hint="eastAsia" w:ascii="宋体" w:hAnsi="宋体" w:cs="宋体"/>
          <w:bCs/>
          <w:color w:val="000000" w:themeColor="text1"/>
          <w:kern w:val="44"/>
          <w:szCs w:val="21"/>
          <w14:textFill>
            <w14:solidFill>
              <w14:schemeClr w14:val="tx1"/>
            </w14:solidFill>
          </w14:textFill>
        </w:rPr>
        <w:t>编制和提交采购投标文件须知</w:t>
      </w:r>
      <w:r>
        <w:rPr>
          <w:rFonts w:hint="eastAsia" w:ascii="宋体" w:hAnsi="宋体" w:cs="宋体"/>
          <w:color w:val="000000" w:themeColor="text1"/>
          <w:szCs w:val="21"/>
          <w14:textFill>
            <w14:solidFill>
              <w14:schemeClr w14:val="tx1"/>
            </w14:solidFill>
          </w14:textFill>
        </w:rPr>
        <w:t>规定的全部投标文件</w:t>
      </w:r>
      <w:r>
        <w:rPr>
          <w:rFonts w:hint="eastAsia" w:ascii="宋体" w:hAnsi="宋体"/>
          <w:color w:val="000000" w:themeColor="text1"/>
          <w:szCs w:val="21"/>
          <w14:textFill>
            <w14:solidFill>
              <w14:schemeClr w14:val="tx1"/>
            </w14:solidFill>
          </w14:textFill>
        </w:rPr>
        <w:t>。</w:t>
      </w:r>
    </w:p>
    <w:p>
      <w:pPr>
        <w:spacing w:line="400" w:lineRule="exact"/>
        <w:ind w:left="116" w:leftChars="55" w:firstLine="216" w:firstLineChars="102"/>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 xml:space="preserve"> 6.</w:t>
      </w:r>
      <w:r>
        <w:rPr>
          <w:rFonts w:hint="eastAsia" w:ascii="宋体" w:hAnsi="宋体"/>
          <w:color w:val="000000" w:themeColor="text1"/>
          <w:szCs w:val="21"/>
          <w14:textFill>
            <w14:solidFill>
              <w14:schemeClr w14:val="tx1"/>
            </w14:solidFill>
          </w14:textFill>
        </w:rPr>
        <w:t>本投标有效期自开标日起</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90</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天。</w:t>
      </w:r>
    </w:p>
    <w:p>
      <w:pPr>
        <w:spacing w:line="400" w:lineRule="exact"/>
        <w:ind w:left="116" w:leftChars="55" w:firstLine="216" w:firstLineChars="10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7.</w:t>
      </w:r>
      <w:r>
        <w:rPr>
          <w:rFonts w:hint="eastAsia" w:ascii="宋体" w:hAnsi="宋体"/>
          <w:color w:val="000000" w:themeColor="text1"/>
          <w:szCs w:val="21"/>
          <w14:textFill>
            <w14:solidFill>
              <w14:schemeClr w14:val="tx1"/>
            </w14:solidFill>
          </w14:textFill>
        </w:rPr>
        <w:t>如为中标人，本投标文件至本项目合同履行完毕止均保持有效，我方将按“招标文件”及政府采购法律、法规的规定履行合同责任和义务。</w:t>
      </w:r>
    </w:p>
    <w:p>
      <w:pPr>
        <w:spacing w:line="400" w:lineRule="exact"/>
        <w:ind w:firstLine="424"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我方同意按照贵方要求提供与投标有关的一切数据或资料。</w:t>
      </w:r>
    </w:p>
    <w:p>
      <w:pPr>
        <w:spacing w:line="400" w:lineRule="exact"/>
        <w:ind w:firstLine="424"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与本次投标有关的一切正式往来信函请寄：</w:t>
      </w:r>
    </w:p>
    <w:p>
      <w:pPr>
        <w:spacing w:line="400" w:lineRule="exact"/>
        <w:ind w:firstLine="860" w:firstLineChars="40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ascii="宋体" w:hAnsi="宋体" w:cs="宋体"/>
          <w:color w:val="000000" w:themeColor="text1"/>
          <w:szCs w:val="21"/>
          <w:u w:val="single"/>
          <w14:textFill>
            <w14:solidFill>
              <w14:schemeClr w14:val="tx1"/>
            </w14:solidFill>
          </w14:textFill>
        </w:rPr>
        <w:t xml:space="preserve">                           </w:t>
      </w:r>
    </w:p>
    <w:p>
      <w:pPr>
        <w:spacing w:line="400" w:lineRule="exact"/>
        <w:ind w:firstLine="435"/>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电话</w:t>
      </w:r>
      <w:r>
        <w:rPr>
          <w:rFonts w:ascii="宋体" w:hAnsi="宋体" w:cs="宋体"/>
          <w:color w:val="000000" w:themeColor="text1"/>
          <w:szCs w:val="21"/>
          <w:u w:val="single"/>
          <w14:textFill>
            <w14:solidFill>
              <w14:schemeClr w14:val="tx1"/>
            </w14:solidFill>
          </w14:textFill>
        </w:rPr>
        <w:t xml:space="preserve">                           </w:t>
      </w:r>
    </w:p>
    <w:p>
      <w:pPr>
        <w:spacing w:line="400" w:lineRule="exact"/>
        <w:ind w:firstLine="435"/>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传真</w:t>
      </w:r>
      <w:r>
        <w:rPr>
          <w:rFonts w:ascii="宋体" w:hAnsi="宋体" w:cs="宋体"/>
          <w:color w:val="000000" w:themeColor="text1"/>
          <w:szCs w:val="21"/>
          <w:u w:val="single"/>
          <w14:textFill>
            <w14:solidFill>
              <w14:schemeClr w14:val="tx1"/>
            </w14:solidFill>
          </w14:textFill>
        </w:rPr>
        <w:t xml:space="preserve">                           </w:t>
      </w:r>
    </w:p>
    <w:p>
      <w:pPr>
        <w:spacing w:line="440" w:lineRule="exact"/>
        <w:ind w:firstLine="742" w:firstLineChars="3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电子邮件</w:t>
      </w:r>
      <w:r>
        <w:rPr>
          <w:rFonts w:ascii="宋体" w:hAnsi="宋体" w:cs="宋体"/>
          <w:color w:val="000000" w:themeColor="text1"/>
          <w:szCs w:val="21"/>
          <w:u w:val="single"/>
          <w14:textFill>
            <w14:solidFill>
              <w14:schemeClr w14:val="tx1"/>
            </w14:solidFill>
          </w14:textFill>
        </w:rPr>
        <w:t xml:space="preserve">                           </w:t>
      </w:r>
    </w:p>
    <w:p>
      <w:pPr>
        <w:spacing w:line="500" w:lineRule="exact"/>
        <w:rPr>
          <w:rFonts w:ascii="宋体" w:hAnsi="宋体"/>
          <w:color w:val="000000" w:themeColor="text1"/>
          <w:szCs w:val="21"/>
          <w14:textFill>
            <w14:solidFill>
              <w14:schemeClr w14:val="tx1"/>
            </w14:solidFill>
          </w14:textFill>
        </w:rPr>
      </w:pPr>
    </w:p>
    <w:p>
      <w:pPr>
        <w:spacing w:line="500" w:lineRule="exact"/>
        <w:ind w:firstLine="4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p>
    <w:p>
      <w:pPr>
        <w:spacing w:line="500" w:lineRule="exact"/>
        <w:ind w:firstLine="4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投标人名称（公章）：</w:t>
      </w:r>
      <w:r>
        <w:rPr>
          <w:rFonts w:ascii="宋体" w:hAnsi="宋体"/>
          <w:color w:val="000000" w:themeColor="text1"/>
          <w:szCs w:val="21"/>
          <w:u w:val="single"/>
          <w14:textFill>
            <w14:solidFill>
              <w14:schemeClr w14:val="tx1"/>
            </w14:solidFill>
          </w14:textFill>
        </w:rPr>
        <w:t xml:space="preserve">         </w:t>
      </w:r>
    </w:p>
    <w:p>
      <w:pPr>
        <w:spacing w:line="500" w:lineRule="exact"/>
        <w:ind w:firstLine="4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法定代表人或授权委托代理人</w:t>
      </w:r>
      <w:r>
        <w:rPr>
          <w:rFonts w:hint="eastAsia"/>
          <w:color w:val="000000" w:themeColor="text1"/>
          <w:szCs w:val="21"/>
          <w14:textFill>
            <w14:solidFill>
              <w14:schemeClr w14:val="tx1"/>
            </w14:solidFill>
          </w14:textFill>
        </w:rPr>
        <w:t>签字</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p>
    <w:p>
      <w:pPr>
        <w:spacing w:line="500" w:lineRule="exact"/>
        <w:ind w:firstLine="435"/>
        <w:rPr>
          <w:rFonts w:ascii="宋体" w:hAnsi="宋体"/>
          <w:color w:val="000000" w:themeColor="text1"/>
          <w:szCs w:val="21"/>
          <w:u w:val="single"/>
          <w14:textFill>
            <w14:solidFill>
              <w14:schemeClr w14:val="tx1"/>
            </w14:solidFill>
          </w14:textFill>
        </w:rPr>
        <w:sectPr>
          <w:headerReference r:id="rId5" w:type="default"/>
          <w:footerReference r:id="rId6" w:type="default"/>
          <w:pgSz w:w="11850" w:h="16783"/>
          <w:pgMar w:top="1020" w:right="1134" w:bottom="1020" w:left="1134" w:header="851" w:footer="992" w:gutter="0"/>
          <w:cols w:space="720" w:num="1"/>
          <w:docGrid w:type="linesAndChars" w:linePitch="320" w:charSpace="482"/>
        </w:sect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日期：</w:t>
      </w:r>
      <w:r>
        <w:rPr>
          <w:rFonts w:ascii="宋体" w:hAnsi="宋体"/>
          <w:color w:val="000000" w:themeColor="text1"/>
          <w:szCs w:val="21"/>
          <w:u w:val="single"/>
          <w14:textFill>
            <w14:solidFill>
              <w14:schemeClr w14:val="tx1"/>
            </w14:solidFill>
          </w14:textFill>
        </w:rPr>
        <w:t xml:space="preserve">             </w:t>
      </w:r>
    </w:p>
    <w:p>
      <w:pPr>
        <w:snapToGrid w:val="0"/>
        <w:spacing w:line="400" w:lineRule="exact"/>
        <w:ind w:firstLine="3300" w:firstLineChars="1100"/>
        <w:outlineLvl w:val="1"/>
        <w:rPr>
          <w:rFonts w:ascii="宋体" w:hAnsi="宋体" w:cs="宋体"/>
          <w:b/>
          <w:bCs/>
          <w:color w:val="000000" w:themeColor="text1"/>
          <w:kern w:val="0"/>
          <w:sz w:val="30"/>
          <w:szCs w:val="30"/>
          <w14:textFill>
            <w14:solidFill>
              <w14:schemeClr w14:val="tx1"/>
            </w14:solidFill>
          </w14:textFill>
        </w:rPr>
      </w:pPr>
      <w:bookmarkStart w:id="315" w:name="_Toc1457400432"/>
      <w:bookmarkStart w:id="316" w:name="_Toc1965363174"/>
      <w:bookmarkStart w:id="317" w:name="_Toc1175509328"/>
      <w:bookmarkStart w:id="318" w:name="_Toc351546583"/>
      <w:bookmarkStart w:id="319" w:name="_Toc972705106"/>
      <w:r>
        <w:rPr>
          <w:rFonts w:hint="eastAsia" w:ascii="宋体" w:hAnsi="宋体" w:cs="宋体"/>
          <w:b/>
          <w:bCs/>
          <w:color w:val="000000" w:themeColor="text1"/>
          <w:kern w:val="0"/>
          <w:sz w:val="30"/>
          <w:szCs w:val="30"/>
          <w14:textFill>
            <w14:solidFill>
              <w14:schemeClr w14:val="tx1"/>
            </w14:solidFill>
          </w14:textFill>
        </w:rPr>
        <w:t>八、开标一览表</w:t>
      </w:r>
      <w:bookmarkEnd w:id="315"/>
      <w:bookmarkEnd w:id="316"/>
      <w:bookmarkEnd w:id="317"/>
      <w:bookmarkEnd w:id="318"/>
      <w:bookmarkEnd w:id="319"/>
    </w:p>
    <w:p>
      <w:pPr>
        <w:pStyle w:val="21"/>
        <w:spacing w:line="440" w:lineRule="exact"/>
        <w:rPr>
          <w:rFonts w:hAnsi="宋体" w:cs="宋体"/>
          <w:color w:val="000000" w:themeColor="text1"/>
          <w14:textFill>
            <w14:solidFill>
              <w14:schemeClr w14:val="tx1"/>
            </w14:solidFill>
          </w14:textFill>
        </w:rPr>
      </w:pPr>
    </w:p>
    <w:p>
      <w:pPr>
        <w:pStyle w:val="21"/>
        <w:spacing w:line="440" w:lineRule="exac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采购编号：</w:t>
      </w:r>
      <w:r>
        <w:rPr>
          <w:rFonts w:hAnsi="宋体" w:cs="宋体"/>
          <w:color w:val="000000" w:themeColor="text1"/>
          <w14:textFill>
            <w14:solidFill>
              <w14:schemeClr w14:val="tx1"/>
            </w14:solidFill>
          </w14:textFill>
        </w:rPr>
        <w:t xml:space="preserve">                            </w:t>
      </w:r>
      <w:r>
        <w:rPr>
          <w:rFonts w:hint="eastAsia" w:hAnsi="宋体" w:cs="宋体"/>
          <w:color w:val="000000" w:themeColor="text1"/>
          <w14:textFill>
            <w14:solidFill>
              <w14:schemeClr w14:val="tx1"/>
            </w14:solidFill>
          </w14:textFill>
        </w:rPr>
        <w:t>报价金额单位：人民币（元）</w:t>
      </w:r>
      <w:r>
        <w:rPr>
          <w:rFonts w:hAnsi="宋体" w:cs="宋体"/>
          <w:color w:val="000000" w:themeColor="text1"/>
          <w14:textFill>
            <w14:solidFill>
              <w14:schemeClr w14:val="tx1"/>
            </w14:solidFill>
          </w14:textFill>
        </w:rPr>
        <w:t xml:space="preserve">   </w:t>
      </w:r>
    </w:p>
    <w:tbl>
      <w:tblPr>
        <w:tblStyle w:val="39"/>
        <w:tblW w:w="94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7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vAlign w:val="center"/>
          </w:tcPr>
          <w:p>
            <w:pPr>
              <w:snapToGrid w:val="0"/>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p>
        </w:tc>
        <w:tc>
          <w:tcPr>
            <w:tcW w:w="7643" w:type="dxa"/>
            <w:vAlign w:val="center"/>
          </w:tcPr>
          <w:p>
            <w:pPr>
              <w:snapToGrid w:val="0"/>
              <w:spacing w:line="360" w:lineRule="exac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vAlign w:val="center"/>
          </w:tcPr>
          <w:p>
            <w:pPr>
              <w:snapToGrid w:val="0"/>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投标总价</w:t>
            </w:r>
          </w:p>
        </w:tc>
        <w:tc>
          <w:tcPr>
            <w:tcW w:w="7643" w:type="dxa"/>
            <w:vAlign w:val="center"/>
          </w:tcPr>
          <w:p>
            <w:pPr>
              <w:wordWrap w:val="0"/>
              <w:overflowPunct w:val="0"/>
              <w:autoSpaceDE w:val="0"/>
              <w:autoSpaceDN w:val="0"/>
              <w:snapToGrid w:val="0"/>
              <w:spacing w:line="36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大写：</w:t>
            </w:r>
            <w:r>
              <w:rPr>
                <w:rFonts w:ascii="宋体" w:hAnsi="宋体" w:cs="宋体"/>
                <w:color w:val="000000" w:themeColor="text1"/>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（小写：￥</w:t>
            </w:r>
            <w:r>
              <w:rPr>
                <w:rFonts w:ascii="宋体" w:hAnsi="宋体" w:cs="宋体"/>
                <w:color w:val="000000" w:themeColor="text1"/>
                <w14:textFill>
                  <w14:solidFill>
                    <w14:schemeClr w14:val="tx1"/>
                  </w14:solidFill>
                </w14:textFill>
              </w:rPr>
              <w:t>___________</w:t>
            </w:r>
            <w:r>
              <w:rPr>
                <w:rFonts w:hint="eastAsia" w:ascii="宋体" w:hAnsi="宋体" w:cs="宋体"/>
                <w:color w:val="000000" w:themeColor="text1"/>
                <w14:textFill>
                  <w14:solidFill>
                    <w14:schemeClr w14:val="tx1"/>
                  </w14:solidFill>
                </w14:textFill>
              </w:rPr>
              <w:t>）</w:t>
            </w:r>
          </w:p>
        </w:tc>
      </w:tr>
    </w:tbl>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投标总价为完成本招标文件要求和合同有关条款等的所有费用。投标人应根据技术规格、要求及相关附表格式填写报价，投标报价为投标人所能承受的最低、最终报价，如有漏项，视同已包含在其它项目中，投标人不得再要求追加任何费用。</w:t>
      </w:r>
    </w:p>
    <w:p>
      <w:pPr>
        <w:spacing w:line="40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投标人报价超过采购预算为无效报价。</w:t>
      </w:r>
    </w:p>
    <w:p>
      <w:pPr>
        <w:spacing w:line="40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本表投标总价与报价明细表投标总价相一致，若不一致的，以本表投标总价为准，修改报价明细表。</w:t>
      </w:r>
    </w:p>
    <w:p>
      <w:pPr>
        <w:pStyle w:val="21"/>
        <w:spacing w:line="400" w:lineRule="exact"/>
        <w:rPr>
          <w:rFonts w:hAnsi="宋体" w:cs="宋体"/>
          <w:color w:val="000000" w:themeColor="text1"/>
          <w14:textFill>
            <w14:solidFill>
              <w14:schemeClr w14:val="tx1"/>
            </w14:solidFill>
          </w14:textFill>
        </w:rPr>
      </w:pPr>
    </w:p>
    <w:p>
      <w:pPr>
        <w:pStyle w:val="21"/>
        <w:spacing w:line="440" w:lineRule="exact"/>
        <w:rPr>
          <w:rFonts w:hAnsi="宋体" w:cs="宋体"/>
          <w:color w:val="000000" w:themeColor="text1"/>
          <w14:textFill>
            <w14:solidFill>
              <w14:schemeClr w14:val="tx1"/>
            </w14:solidFill>
          </w14:textFill>
        </w:rPr>
      </w:pPr>
    </w:p>
    <w:p>
      <w:pPr>
        <w:wordWrap w:val="0"/>
        <w:spacing w:line="360" w:lineRule="auto"/>
        <w:ind w:firstLine="3570" w:firstLineChars="170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w:t>
      </w:r>
      <w:r>
        <w:rPr>
          <w:rFonts w:hint="eastAsia" w:ascii="宋体" w:hAnsi="宋体" w:cs="宋体"/>
          <w:color w:val="000000" w:themeColor="text1"/>
          <w:kern w:val="0"/>
          <w14:textFill>
            <w14:solidFill>
              <w14:schemeClr w14:val="tx1"/>
            </w14:solidFill>
          </w14:textFill>
        </w:rPr>
        <w:t>签字或盖章）</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p>
    <w:p>
      <w:pPr>
        <w:wordWrap w:val="0"/>
        <w:spacing w:line="360" w:lineRule="auto"/>
        <w:ind w:firstLine="420" w:firstLineChars="200"/>
        <w:rPr>
          <w:rFonts w:ascii="宋体" w:hAnsi="宋体" w:cs="宋体"/>
          <w:color w:val="000000" w:themeColor="text1"/>
          <w:u w:val="single"/>
          <w14:textFill>
            <w14:solidFill>
              <w14:schemeClr w14:val="tx1"/>
            </w14:solidFill>
          </w14:textFill>
        </w:rPr>
      </w:pP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投标人盖章：</w:t>
      </w:r>
      <w:r>
        <w:rPr>
          <w:rFonts w:ascii="宋体" w:hAnsi="宋体" w:cs="宋体"/>
          <w:color w:val="000000" w:themeColor="text1"/>
          <w:u w:val="single"/>
          <w14:textFill>
            <w14:solidFill>
              <w14:schemeClr w14:val="tx1"/>
            </w14:solidFill>
          </w14:textFill>
        </w:rPr>
        <w:t xml:space="preserve">                    </w:t>
      </w:r>
    </w:p>
    <w:p>
      <w:pPr>
        <w:tabs>
          <w:tab w:val="left" w:pos="1418"/>
        </w:tabs>
        <w:wordWrap w:val="0"/>
        <w:spacing w:line="360" w:lineRule="auto"/>
        <w:ind w:left="1417" w:leftChars="675" w:firstLine="3675" w:firstLineChars="175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期：</w:t>
      </w:r>
      <w:r>
        <w:rPr>
          <w:rFonts w:ascii="宋体" w:hAnsi="宋体" w:cs="宋体"/>
          <w:color w:val="000000" w:themeColor="text1"/>
          <w:u w:val="single"/>
          <w14:textFill>
            <w14:solidFill>
              <w14:schemeClr w14:val="tx1"/>
            </w14:solidFill>
          </w14:textFill>
        </w:rPr>
        <w:t xml:space="preserve">                        </w:t>
      </w:r>
    </w:p>
    <w:p>
      <w:pPr>
        <w:snapToGrid w:val="0"/>
        <w:spacing w:line="400" w:lineRule="exact"/>
        <w:jc w:val="center"/>
        <w:rPr>
          <w:rFonts w:ascii="宋体" w:hAnsi="宋体" w:cs="宋体"/>
          <w:b/>
          <w:bCs/>
          <w:color w:val="000000" w:themeColor="text1"/>
          <w:kern w:val="0"/>
          <w:sz w:val="30"/>
          <w:szCs w:val="30"/>
          <w14:textFill>
            <w14:solidFill>
              <w14:schemeClr w14:val="tx1"/>
            </w14:solidFill>
          </w14:textFill>
        </w:rPr>
      </w:pPr>
    </w:p>
    <w:p>
      <w:pPr>
        <w:snapToGrid w:val="0"/>
        <w:spacing w:line="400" w:lineRule="exact"/>
        <w:jc w:val="center"/>
        <w:rPr>
          <w:rFonts w:ascii="宋体" w:hAnsi="宋体" w:cs="宋体"/>
          <w:b/>
          <w:bCs/>
          <w:color w:val="000000" w:themeColor="text1"/>
          <w:kern w:val="0"/>
          <w:sz w:val="30"/>
          <w:szCs w:val="30"/>
          <w14:textFill>
            <w14:solidFill>
              <w14:schemeClr w14:val="tx1"/>
            </w14:solidFill>
          </w14:textFill>
        </w:rPr>
      </w:pPr>
    </w:p>
    <w:p>
      <w:pPr>
        <w:snapToGrid w:val="0"/>
        <w:spacing w:line="400" w:lineRule="exact"/>
        <w:jc w:val="center"/>
        <w:rPr>
          <w:rFonts w:ascii="宋体" w:hAnsi="宋体" w:cs="宋体"/>
          <w:b/>
          <w:bCs/>
          <w:color w:val="000000" w:themeColor="text1"/>
          <w:kern w:val="0"/>
          <w:sz w:val="30"/>
          <w:szCs w:val="30"/>
          <w14:textFill>
            <w14:solidFill>
              <w14:schemeClr w14:val="tx1"/>
            </w14:solidFill>
          </w14:textFill>
        </w:rPr>
      </w:pPr>
    </w:p>
    <w:p>
      <w:pPr>
        <w:snapToGrid w:val="0"/>
        <w:spacing w:line="400" w:lineRule="exact"/>
        <w:jc w:val="center"/>
        <w:rPr>
          <w:rFonts w:ascii="宋体" w:hAnsi="宋体" w:cs="宋体"/>
          <w:b/>
          <w:bCs/>
          <w:color w:val="000000" w:themeColor="text1"/>
          <w:kern w:val="0"/>
          <w:sz w:val="30"/>
          <w:szCs w:val="30"/>
          <w14:textFill>
            <w14:solidFill>
              <w14:schemeClr w14:val="tx1"/>
            </w14:solidFill>
          </w14:textFill>
        </w:rPr>
      </w:pPr>
    </w:p>
    <w:p>
      <w:pPr>
        <w:snapToGrid w:val="0"/>
        <w:spacing w:line="400" w:lineRule="exact"/>
        <w:jc w:val="center"/>
        <w:rPr>
          <w:rFonts w:ascii="宋体" w:hAnsi="宋体" w:cs="宋体"/>
          <w:b/>
          <w:bCs/>
          <w:color w:val="000000" w:themeColor="text1"/>
          <w:kern w:val="0"/>
          <w:sz w:val="30"/>
          <w:szCs w:val="30"/>
          <w14:textFill>
            <w14:solidFill>
              <w14:schemeClr w14:val="tx1"/>
            </w14:solidFill>
          </w14:textFill>
        </w:rPr>
      </w:pPr>
    </w:p>
    <w:p>
      <w:pPr>
        <w:snapToGrid w:val="0"/>
        <w:spacing w:line="400" w:lineRule="exact"/>
        <w:jc w:val="center"/>
        <w:rPr>
          <w:rFonts w:ascii="宋体" w:hAnsi="宋体" w:cs="宋体"/>
          <w:b/>
          <w:bCs/>
          <w:color w:val="000000" w:themeColor="text1"/>
          <w:kern w:val="0"/>
          <w:sz w:val="30"/>
          <w:szCs w:val="30"/>
          <w14:textFill>
            <w14:solidFill>
              <w14:schemeClr w14:val="tx1"/>
            </w14:solidFill>
          </w14:textFill>
        </w:rPr>
      </w:pPr>
    </w:p>
    <w:p>
      <w:pPr>
        <w:snapToGrid w:val="0"/>
        <w:spacing w:line="400" w:lineRule="exact"/>
        <w:jc w:val="center"/>
        <w:rPr>
          <w:rFonts w:ascii="宋体" w:hAnsi="宋体" w:cs="宋体"/>
          <w:b/>
          <w:bCs/>
          <w:color w:val="000000" w:themeColor="text1"/>
          <w:kern w:val="0"/>
          <w:sz w:val="30"/>
          <w:szCs w:val="30"/>
          <w14:textFill>
            <w14:solidFill>
              <w14:schemeClr w14:val="tx1"/>
            </w14:solidFill>
          </w14:textFill>
        </w:rPr>
      </w:pPr>
    </w:p>
    <w:p>
      <w:pPr>
        <w:snapToGrid w:val="0"/>
        <w:spacing w:line="400" w:lineRule="exact"/>
        <w:jc w:val="center"/>
        <w:rPr>
          <w:rFonts w:ascii="宋体" w:hAnsi="宋体" w:cs="宋体"/>
          <w:b/>
          <w:bCs/>
          <w:color w:val="000000" w:themeColor="text1"/>
          <w:kern w:val="0"/>
          <w:sz w:val="30"/>
          <w:szCs w:val="30"/>
          <w14:textFill>
            <w14:solidFill>
              <w14:schemeClr w14:val="tx1"/>
            </w14:solidFill>
          </w14:textFill>
        </w:rPr>
      </w:pPr>
    </w:p>
    <w:p>
      <w:pPr>
        <w:snapToGrid w:val="0"/>
        <w:spacing w:line="400" w:lineRule="exact"/>
        <w:jc w:val="center"/>
        <w:rPr>
          <w:rFonts w:ascii="宋体" w:hAnsi="宋体" w:cs="宋体"/>
          <w:b/>
          <w:bCs/>
          <w:color w:val="000000" w:themeColor="text1"/>
          <w:kern w:val="0"/>
          <w:sz w:val="30"/>
          <w:szCs w:val="30"/>
          <w14:textFill>
            <w14:solidFill>
              <w14:schemeClr w14:val="tx1"/>
            </w14:solidFill>
          </w14:textFill>
        </w:rPr>
      </w:pPr>
    </w:p>
    <w:p>
      <w:pPr>
        <w:snapToGrid w:val="0"/>
        <w:spacing w:line="400" w:lineRule="exact"/>
        <w:jc w:val="center"/>
        <w:rPr>
          <w:rFonts w:ascii="宋体" w:hAnsi="宋体" w:cs="宋体"/>
          <w:b/>
          <w:bCs/>
          <w:color w:val="000000" w:themeColor="text1"/>
          <w:kern w:val="0"/>
          <w:sz w:val="30"/>
          <w:szCs w:val="30"/>
          <w14:textFill>
            <w14:solidFill>
              <w14:schemeClr w14:val="tx1"/>
            </w14:solidFill>
          </w14:textFill>
        </w:rPr>
      </w:pPr>
    </w:p>
    <w:p>
      <w:pPr>
        <w:snapToGrid w:val="0"/>
        <w:spacing w:line="400" w:lineRule="exact"/>
        <w:jc w:val="center"/>
        <w:rPr>
          <w:rFonts w:ascii="宋体" w:hAnsi="宋体" w:cs="宋体"/>
          <w:b/>
          <w:bCs/>
          <w:color w:val="000000" w:themeColor="text1"/>
          <w:kern w:val="0"/>
          <w:sz w:val="30"/>
          <w:szCs w:val="30"/>
          <w14:textFill>
            <w14:solidFill>
              <w14:schemeClr w14:val="tx1"/>
            </w14:solidFill>
          </w14:textFill>
        </w:rPr>
      </w:pPr>
    </w:p>
    <w:p>
      <w:pPr>
        <w:snapToGrid w:val="0"/>
        <w:spacing w:line="400" w:lineRule="exact"/>
        <w:jc w:val="center"/>
        <w:rPr>
          <w:rFonts w:ascii="宋体" w:hAnsi="宋体" w:cs="宋体"/>
          <w:b/>
          <w:bCs/>
          <w:color w:val="000000" w:themeColor="text1"/>
          <w:kern w:val="0"/>
          <w:sz w:val="30"/>
          <w:szCs w:val="30"/>
          <w14:textFill>
            <w14:solidFill>
              <w14:schemeClr w14:val="tx1"/>
            </w14:solidFill>
          </w14:textFill>
        </w:rPr>
      </w:pPr>
    </w:p>
    <w:p>
      <w:pPr>
        <w:snapToGrid w:val="0"/>
        <w:spacing w:line="400" w:lineRule="exact"/>
        <w:jc w:val="center"/>
        <w:rPr>
          <w:rFonts w:ascii="宋体" w:hAnsi="宋体" w:cs="宋体"/>
          <w:b/>
          <w:bCs/>
          <w:color w:val="000000" w:themeColor="text1"/>
          <w:kern w:val="0"/>
          <w:sz w:val="30"/>
          <w:szCs w:val="30"/>
          <w14:textFill>
            <w14:solidFill>
              <w14:schemeClr w14:val="tx1"/>
            </w14:solidFill>
          </w14:textFill>
        </w:rPr>
      </w:pPr>
    </w:p>
    <w:p>
      <w:pPr>
        <w:snapToGrid w:val="0"/>
        <w:spacing w:line="400" w:lineRule="exact"/>
        <w:jc w:val="center"/>
        <w:rPr>
          <w:rFonts w:ascii="宋体" w:hAnsi="宋体" w:cs="宋体"/>
          <w:b/>
          <w:bCs/>
          <w:color w:val="000000" w:themeColor="text1"/>
          <w:kern w:val="0"/>
          <w:sz w:val="30"/>
          <w:szCs w:val="30"/>
          <w14:textFill>
            <w14:solidFill>
              <w14:schemeClr w14:val="tx1"/>
            </w14:solidFill>
          </w14:textFill>
        </w:rPr>
      </w:pPr>
    </w:p>
    <w:p>
      <w:pPr>
        <w:snapToGrid w:val="0"/>
        <w:spacing w:line="400" w:lineRule="exact"/>
        <w:jc w:val="center"/>
        <w:rPr>
          <w:rFonts w:ascii="宋体" w:hAnsi="宋体" w:cs="宋体"/>
          <w:b/>
          <w:bCs/>
          <w:color w:val="000000" w:themeColor="text1"/>
          <w:kern w:val="0"/>
          <w:sz w:val="30"/>
          <w:szCs w:val="30"/>
          <w14:textFill>
            <w14:solidFill>
              <w14:schemeClr w14:val="tx1"/>
            </w14:solidFill>
          </w14:textFill>
        </w:rPr>
      </w:pPr>
    </w:p>
    <w:p>
      <w:pPr>
        <w:snapToGrid w:val="0"/>
        <w:spacing w:line="400" w:lineRule="exact"/>
        <w:jc w:val="center"/>
        <w:outlineLvl w:val="1"/>
        <w:rPr>
          <w:rFonts w:ascii="宋体" w:hAnsi="宋体" w:cs="宋体"/>
          <w:b/>
          <w:bCs/>
          <w:color w:val="000000" w:themeColor="text1"/>
          <w:kern w:val="0"/>
          <w:sz w:val="30"/>
          <w:szCs w:val="30"/>
          <w14:textFill>
            <w14:solidFill>
              <w14:schemeClr w14:val="tx1"/>
            </w14:solidFill>
          </w14:textFill>
        </w:rPr>
      </w:pPr>
      <w:bookmarkStart w:id="320" w:name="_Toc330582942"/>
      <w:bookmarkStart w:id="321" w:name="_Toc1412890911"/>
      <w:bookmarkStart w:id="322" w:name="_Toc1609195578"/>
      <w:bookmarkStart w:id="323" w:name="_Toc2083206943"/>
      <w:bookmarkStart w:id="324" w:name="_Toc715907584"/>
      <w:r>
        <w:rPr>
          <w:rFonts w:hint="eastAsia" w:ascii="宋体" w:hAnsi="宋体" w:cs="宋体"/>
          <w:b/>
          <w:bCs/>
          <w:color w:val="000000" w:themeColor="text1"/>
          <w:kern w:val="0"/>
          <w:sz w:val="30"/>
          <w:szCs w:val="30"/>
          <w14:textFill>
            <w14:solidFill>
              <w14:schemeClr w14:val="tx1"/>
            </w14:solidFill>
          </w14:textFill>
        </w:rPr>
        <w:t>九、报价明细表</w:t>
      </w:r>
      <w:bookmarkEnd w:id="320"/>
      <w:bookmarkEnd w:id="321"/>
      <w:bookmarkEnd w:id="322"/>
      <w:bookmarkEnd w:id="323"/>
      <w:bookmarkEnd w:id="324"/>
    </w:p>
    <w:p>
      <w:pPr>
        <w:spacing w:line="380" w:lineRule="exact"/>
        <w:jc w:val="center"/>
        <w:rPr>
          <w:rFonts w:ascii="宋体" w:hAnsi="宋体" w:cs="宋体"/>
          <w:b/>
          <w:bCs/>
          <w:color w:val="000000" w:themeColor="text1"/>
          <w:sz w:val="28"/>
          <w14:textFill>
            <w14:solidFill>
              <w14:schemeClr w14:val="tx1"/>
            </w14:solidFill>
          </w14:textFill>
        </w:rPr>
      </w:pPr>
    </w:p>
    <w:p>
      <w:pPr>
        <w:spacing w:line="380" w:lineRule="exact"/>
        <w:jc w:val="center"/>
        <w:rPr>
          <w:rFonts w:ascii="宋体" w:hAnsi="宋体" w:cs="宋体"/>
          <w:b/>
          <w:bCs/>
          <w:color w:val="000000" w:themeColor="text1"/>
          <w:sz w:val="28"/>
          <w14:textFill>
            <w14:solidFill>
              <w14:schemeClr w14:val="tx1"/>
            </w14:solidFill>
          </w14:textFill>
        </w:rPr>
      </w:pPr>
    </w:p>
    <w:p>
      <w:pPr>
        <w:spacing w:line="360" w:lineRule="auto"/>
        <w:ind w:right="348" w:rightChars="166" w:firstLine="315" w:firstLineChars="15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项目名称：</w:t>
      </w:r>
      <w:r>
        <w:rPr>
          <w:rFonts w:ascii="宋体" w:hAnsi="宋体" w:cs="宋体"/>
          <w:b/>
          <w:color w:val="000000" w:themeColor="text1"/>
          <w:szCs w:val="21"/>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项目编号：</w:t>
      </w:r>
    </w:p>
    <w:p>
      <w:pPr>
        <w:spacing w:line="360" w:lineRule="auto"/>
        <w:ind w:right="348" w:rightChars="166" w:firstLine="315" w:firstLineChars="15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单位：元</w:t>
      </w:r>
      <w:r>
        <w:rPr>
          <w:rFonts w:ascii="宋体" w:hAnsi="宋体" w:cs="宋体"/>
          <w:b/>
          <w:color w:val="000000" w:themeColor="text1"/>
          <w:szCs w:val="21"/>
          <w14:textFill>
            <w14:solidFill>
              <w14:schemeClr w14:val="tx1"/>
            </w14:solidFill>
          </w14:textFill>
        </w:rPr>
        <w:t xml:space="preserve"> </w:t>
      </w:r>
    </w:p>
    <w:p>
      <w:pPr>
        <w:spacing w:line="360" w:lineRule="auto"/>
        <w:jc w:val="left"/>
        <w:rPr>
          <w:rFonts w:ascii="宋体" w:hAnsi="宋体" w:cs="宋体"/>
          <w:bCs/>
          <w:color w:val="000000" w:themeColor="text1"/>
          <w:szCs w:val="21"/>
          <w:u w:val="single"/>
          <w14:textFill>
            <w14:solidFill>
              <w14:schemeClr w14:val="tx1"/>
            </w14:solidFill>
          </w14:textFill>
        </w:rPr>
      </w:pPr>
    </w:p>
    <w:tbl>
      <w:tblPr>
        <w:tblStyle w:val="39"/>
        <w:tblW w:w="9163"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252"/>
        <w:gridCol w:w="987"/>
        <w:gridCol w:w="1256"/>
        <w:gridCol w:w="1523"/>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98" w:type="dxa"/>
            <w:vAlign w:val="center"/>
          </w:tcPr>
          <w:p>
            <w:pPr>
              <w:spacing w:line="312"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252" w:type="dxa"/>
            <w:vAlign w:val="center"/>
          </w:tcPr>
          <w:p>
            <w:pPr>
              <w:spacing w:line="312"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w:t>
            </w:r>
          </w:p>
        </w:tc>
        <w:tc>
          <w:tcPr>
            <w:tcW w:w="987" w:type="dxa"/>
            <w:vAlign w:val="center"/>
          </w:tcPr>
          <w:p>
            <w:pPr>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1256" w:type="dxa"/>
            <w:vAlign w:val="center"/>
          </w:tcPr>
          <w:p>
            <w:pPr>
              <w:spacing w:line="312"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w:t>
            </w:r>
          </w:p>
        </w:tc>
        <w:tc>
          <w:tcPr>
            <w:tcW w:w="1523" w:type="dxa"/>
            <w:vAlign w:val="center"/>
          </w:tcPr>
          <w:p>
            <w:pPr>
              <w:spacing w:line="312"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单价（元）</w:t>
            </w:r>
          </w:p>
        </w:tc>
        <w:tc>
          <w:tcPr>
            <w:tcW w:w="2247" w:type="dxa"/>
            <w:vAlign w:val="center"/>
          </w:tcPr>
          <w:p>
            <w:pPr>
              <w:spacing w:line="312"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8" w:type="dxa"/>
            <w:vAlign w:val="center"/>
          </w:tcPr>
          <w:p>
            <w:pPr>
              <w:spacing w:line="312" w:lineRule="auto"/>
              <w:jc w:val="center"/>
              <w:rPr>
                <w:rFonts w:ascii="宋体" w:hAnsi="宋体" w:cs="宋体"/>
                <w:color w:val="000000" w:themeColor="text1"/>
                <w:szCs w:val="21"/>
                <w14:textFill>
                  <w14:solidFill>
                    <w14:schemeClr w14:val="tx1"/>
                  </w14:solidFill>
                </w14:textFill>
              </w:rPr>
            </w:pPr>
          </w:p>
        </w:tc>
        <w:tc>
          <w:tcPr>
            <w:tcW w:w="2252" w:type="dxa"/>
          </w:tcPr>
          <w:p>
            <w:pPr>
              <w:autoSpaceDE w:val="0"/>
              <w:autoSpaceDN w:val="0"/>
              <w:adjustRightInd w:val="0"/>
              <w:spacing w:line="440" w:lineRule="exact"/>
              <w:jc w:val="left"/>
              <w:rPr>
                <w:rFonts w:ascii="宋体" w:hAnsi="宋体" w:cs="宋体"/>
                <w:bCs/>
                <w:color w:val="000000" w:themeColor="text1"/>
                <w:sz w:val="24"/>
                <w:lang w:val="zh-CN"/>
                <w14:textFill>
                  <w14:solidFill>
                    <w14:schemeClr w14:val="tx1"/>
                  </w14:solidFill>
                </w14:textFill>
              </w:rPr>
            </w:pPr>
          </w:p>
        </w:tc>
        <w:tc>
          <w:tcPr>
            <w:tcW w:w="987" w:type="dxa"/>
            <w:vAlign w:val="center"/>
          </w:tcPr>
          <w:p>
            <w:pPr>
              <w:spacing w:line="312" w:lineRule="auto"/>
              <w:jc w:val="center"/>
              <w:rPr>
                <w:rFonts w:ascii="宋体" w:hAnsi="宋体" w:cs="宋体"/>
                <w:color w:val="000000" w:themeColor="text1"/>
                <w:szCs w:val="21"/>
                <w14:textFill>
                  <w14:solidFill>
                    <w14:schemeClr w14:val="tx1"/>
                  </w14:solidFill>
                </w14:textFill>
              </w:rPr>
            </w:pPr>
          </w:p>
        </w:tc>
        <w:tc>
          <w:tcPr>
            <w:tcW w:w="1256" w:type="dxa"/>
            <w:vAlign w:val="center"/>
          </w:tcPr>
          <w:p>
            <w:pPr>
              <w:spacing w:line="312" w:lineRule="auto"/>
              <w:jc w:val="center"/>
              <w:rPr>
                <w:rFonts w:ascii="宋体" w:hAnsi="宋体" w:cs="宋体"/>
                <w:color w:val="000000" w:themeColor="text1"/>
                <w:szCs w:val="21"/>
                <w14:textFill>
                  <w14:solidFill>
                    <w14:schemeClr w14:val="tx1"/>
                  </w14:solidFill>
                </w14:textFill>
              </w:rPr>
            </w:pPr>
          </w:p>
        </w:tc>
        <w:tc>
          <w:tcPr>
            <w:tcW w:w="1523" w:type="dxa"/>
            <w:vAlign w:val="center"/>
          </w:tcPr>
          <w:p>
            <w:pPr>
              <w:widowControl/>
              <w:spacing w:line="312" w:lineRule="auto"/>
              <w:jc w:val="center"/>
              <w:rPr>
                <w:rFonts w:ascii="宋体" w:hAnsi="宋体" w:cs="宋体"/>
                <w:color w:val="000000" w:themeColor="text1"/>
                <w:kern w:val="0"/>
                <w:szCs w:val="21"/>
                <w14:textFill>
                  <w14:solidFill>
                    <w14:schemeClr w14:val="tx1"/>
                  </w14:solidFill>
                </w14:textFill>
              </w:rPr>
            </w:pPr>
          </w:p>
        </w:tc>
        <w:tc>
          <w:tcPr>
            <w:tcW w:w="2247" w:type="dxa"/>
            <w:vAlign w:val="center"/>
          </w:tcPr>
          <w:p>
            <w:pPr>
              <w:widowControl/>
              <w:spacing w:line="312" w:lineRule="auto"/>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8" w:type="dxa"/>
            <w:vAlign w:val="center"/>
          </w:tcPr>
          <w:p>
            <w:pPr>
              <w:spacing w:line="312" w:lineRule="auto"/>
              <w:jc w:val="center"/>
              <w:rPr>
                <w:rFonts w:ascii="宋体" w:hAnsi="宋体" w:cs="宋体"/>
                <w:color w:val="000000" w:themeColor="text1"/>
                <w:szCs w:val="21"/>
                <w14:textFill>
                  <w14:solidFill>
                    <w14:schemeClr w14:val="tx1"/>
                  </w14:solidFill>
                </w14:textFill>
              </w:rPr>
            </w:pPr>
          </w:p>
        </w:tc>
        <w:tc>
          <w:tcPr>
            <w:tcW w:w="2252" w:type="dxa"/>
          </w:tcPr>
          <w:p>
            <w:pPr>
              <w:autoSpaceDE w:val="0"/>
              <w:autoSpaceDN w:val="0"/>
              <w:adjustRightInd w:val="0"/>
              <w:spacing w:line="440" w:lineRule="exact"/>
              <w:jc w:val="left"/>
              <w:rPr>
                <w:rFonts w:ascii="宋体" w:hAnsi="宋体" w:cs="宋体"/>
                <w:bCs/>
                <w:color w:val="000000" w:themeColor="text1"/>
                <w:sz w:val="24"/>
                <w:lang w:val="zh-CN"/>
                <w14:textFill>
                  <w14:solidFill>
                    <w14:schemeClr w14:val="tx1"/>
                  </w14:solidFill>
                </w14:textFill>
              </w:rPr>
            </w:pPr>
          </w:p>
        </w:tc>
        <w:tc>
          <w:tcPr>
            <w:tcW w:w="987" w:type="dxa"/>
            <w:vAlign w:val="center"/>
          </w:tcPr>
          <w:p>
            <w:pPr>
              <w:spacing w:line="312" w:lineRule="auto"/>
              <w:jc w:val="center"/>
              <w:rPr>
                <w:rFonts w:ascii="宋体" w:hAnsi="宋体" w:cs="宋体"/>
                <w:color w:val="000000" w:themeColor="text1"/>
                <w:szCs w:val="21"/>
                <w14:textFill>
                  <w14:solidFill>
                    <w14:schemeClr w14:val="tx1"/>
                  </w14:solidFill>
                </w14:textFill>
              </w:rPr>
            </w:pPr>
          </w:p>
        </w:tc>
        <w:tc>
          <w:tcPr>
            <w:tcW w:w="1256" w:type="dxa"/>
            <w:vAlign w:val="center"/>
          </w:tcPr>
          <w:p>
            <w:pPr>
              <w:spacing w:line="312" w:lineRule="auto"/>
              <w:jc w:val="center"/>
              <w:rPr>
                <w:rFonts w:ascii="宋体" w:hAnsi="宋体" w:cs="宋体"/>
                <w:color w:val="000000" w:themeColor="text1"/>
                <w:szCs w:val="21"/>
                <w14:textFill>
                  <w14:solidFill>
                    <w14:schemeClr w14:val="tx1"/>
                  </w14:solidFill>
                </w14:textFill>
              </w:rPr>
            </w:pPr>
          </w:p>
        </w:tc>
        <w:tc>
          <w:tcPr>
            <w:tcW w:w="1523" w:type="dxa"/>
            <w:vAlign w:val="center"/>
          </w:tcPr>
          <w:p>
            <w:pPr>
              <w:widowControl/>
              <w:spacing w:line="312" w:lineRule="auto"/>
              <w:jc w:val="center"/>
              <w:rPr>
                <w:rFonts w:ascii="宋体" w:hAnsi="宋体" w:cs="宋体"/>
                <w:color w:val="000000" w:themeColor="text1"/>
                <w:kern w:val="0"/>
                <w:szCs w:val="21"/>
                <w14:textFill>
                  <w14:solidFill>
                    <w14:schemeClr w14:val="tx1"/>
                  </w14:solidFill>
                </w14:textFill>
              </w:rPr>
            </w:pPr>
          </w:p>
        </w:tc>
        <w:tc>
          <w:tcPr>
            <w:tcW w:w="2247" w:type="dxa"/>
            <w:vAlign w:val="center"/>
          </w:tcPr>
          <w:p>
            <w:pPr>
              <w:widowControl/>
              <w:spacing w:line="312" w:lineRule="auto"/>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8" w:type="dxa"/>
            <w:vAlign w:val="center"/>
          </w:tcPr>
          <w:p>
            <w:pPr>
              <w:spacing w:line="312" w:lineRule="auto"/>
              <w:jc w:val="center"/>
              <w:rPr>
                <w:rFonts w:ascii="宋体" w:hAnsi="宋体" w:cs="宋体"/>
                <w:color w:val="000000" w:themeColor="text1"/>
                <w:szCs w:val="21"/>
                <w14:textFill>
                  <w14:solidFill>
                    <w14:schemeClr w14:val="tx1"/>
                  </w14:solidFill>
                </w14:textFill>
              </w:rPr>
            </w:pPr>
          </w:p>
        </w:tc>
        <w:tc>
          <w:tcPr>
            <w:tcW w:w="2252" w:type="dxa"/>
          </w:tcPr>
          <w:p>
            <w:pPr>
              <w:autoSpaceDE w:val="0"/>
              <w:autoSpaceDN w:val="0"/>
              <w:adjustRightInd w:val="0"/>
              <w:spacing w:line="440" w:lineRule="exact"/>
              <w:jc w:val="left"/>
              <w:rPr>
                <w:rFonts w:ascii="宋体" w:hAnsi="宋体" w:cs="宋体"/>
                <w:bCs/>
                <w:color w:val="000000" w:themeColor="text1"/>
                <w:sz w:val="24"/>
                <w:lang w:val="zh-CN"/>
                <w14:textFill>
                  <w14:solidFill>
                    <w14:schemeClr w14:val="tx1"/>
                  </w14:solidFill>
                </w14:textFill>
              </w:rPr>
            </w:pPr>
          </w:p>
        </w:tc>
        <w:tc>
          <w:tcPr>
            <w:tcW w:w="987" w:type="dxa"/>
            <w:vAlign w:val="center"/>
          </w:tcPr>
          <w:p>
            <w:pPr>
              <w:spacing w:line="312" w:lineRule="auto"/>
              <w:jc w:val="center"/>
              <w:rPr>
                <w:rFonts w:ascii="宋体" w:hAnsi="宋体" w:cs="宋体"/>
                <w:color w:val="000000" w:themeColor="text1"/>
                <w:szCs w:val="21"/>
                <w14:textFill>
                  <w14:solidFill>
                    <w14:schemeClr w14:val="tx1"/>
                  </w14:solidFill>
                </w14:textFill>
              </w:rPr>
            </w:pPr>
          </w:p>
        </w:tc>
        <w:tc>
          <w:tcPr>
            <w:tcW w:w="1256" w:type="dxa"/>
            <w:vAlign w:val="center"/>
          </w:tcPr>
          <w:p>
            <w:pPr>
              <w:spacing w:line="312" w:lineRule="auto"/>
              <w:jc w:val="center"/>
              <w:rPr>
                <w:rFonts w:ascii="宋体" w:hAnsi="宋体" w:cs="宋体"/>
                <w:color w:val="000000" w:themeColor="text1"/>
                <w:szCs w:val="21"/>
                <w14:textFill>
                  <w14:solidFill>
                    <w14:schemeClr w14:val="tx1"/>
                  </w14:solidFill>
                </w14:textFill>
              </w:rPr>
            </w:pPr>
          </w:p>
        </w:tc>
        <w:tc>
          <w:tcPr>
            <w:tcW w:w="1523" w:type="dxa"/>
            <w:vAlign w:val="center"/>
          </w:tcPr>
          <w:p>
            <w:pPr>
              <w:widowControl/>
              <w:spacing w:line="312" w:lineRule="auto"/>
              <w:jc w:val="center"/>
              <w:rPr>
                <w:rFonts w:ascii="宋体" w:hAnsi="宋体" w:cs="宋体"/>
                <w:color w:val="000000" w:themeColor="text1"/>
                <w:kern w:val="0"/>
                <w:szCs w:val="21"/>
                <w14:textFill>
                  <w14:solidFill>
                    <w14:schemeClr w14:val="tx1"/>
                  </w14:solidFill>
                </w14:textFill>
              </w:rPr>
            </w:pPr>
          </w:p>
        </w:tc>
        <w:tc>
          <w:tcPr>
            <w:tcW w:w="2247" w:type="dxa"/>
            <w:vAlign w:val="center"/>
          </w:tcPr>
          <w:p>
            <w:pPr>
              <w:widowControl/>
              <w:spacing w:line="312" w:lineRule="auto"/>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8" w:type="dxa"/>
            <w:vAlign w:val="center"/>
          </w:tcPr>
          <w:p>
            <w:pPr>
              <w:spacing w:line="312" w:lineRule="auto"/>
              <w:jc w:val="center"/>
              <w:rPr>
                <w:rFonts w:ascii="宋体" w:hAnsi="宋体" w:cs="宋体"/>
                <w:color w:val="000000" w:themeColor="text1"/>
                <w:szCs w:val="21"/>
                <w14:textFill>
                  <w14:solidFill>
                    <w14:schemeClr w14:val="tx1"/>
                  </w14:solidFill>
                </w14:textFill>
              </w:rPr>
            </w:pPr>
          </w:p>
        </w:tc>
        <w:tc>
          <w:tcPr>
            <w:tcW w:w="2252" w:type="dxa"/>
          </w:tcPr>
          <w:p>
            <w:pPr>
              <w:autoSpaceDE w:val="0"/>
              <w:autoSpaceDN w:val="0"/>
              <w:adjustRightInd w:val="0"/>
              <w:spacing w:line="440" w:lineRule="exact"/>
              <w:jc w:val="left"/>
              <w:rPr>
                <w:rFonts w:ascii="宋体" w:hAnsi="宋体" w:cs="宋体"/>
                <w:bCs/>
                <w:color w:val="000000" w:themeColor="text1"/>
                <w:sz w:val="24"/>
                <w:lang w:val="zh-CN"/>
                <w14:textFill>
                  <w14:solidFill>
                    <w14:schemeClr w14:val="tx1"/>
                  </w14:solidFill>
                </w14:textFill>
              </w:rPr>
            </w:pPr>
          </w:p>
        </w:tc>
        <w:tc>
          <w:tcPr>
            <w:tcW w:w="987" w:type="dxa"/>
            <w:vAlign w:val="center"/>
          </w:tcPr>
          <w:p>
            <w:pPr>
              <w:spacing w:line="312" w:lineRule="auto"/>
              <w:jc w:val="center"/>
              <w:rPr>
                <w:rFonts w:ascii="宋体" w:hAnsi="宋体" w:cs="宋体"/>
                <w:color w:val="000000" w:themeColor="text1"/>
                <w:szCs w:val="21"/>
                <w14:textFill>
                  <w14:solidFill>
                    <w14:schemeClr w14:val="tx1"/>
                  </w14:solidFill>
                </w14:textFill>
              </w:rPr>
            </w:pPr>
          </w:p>
        </w:tc>
        <w:tc>
          <w:tcPr>
            <w:tcW w:w="1256" w:type="dxa"/>
            <w:vAlign w:val="center"/>
          </w:tcPr>
          <w:p>
            <w:pPr>
              <w:spacing w:line="312" w:lineRule="auto"/>
              <w:jc w:val="center"/>
              <w:rPr>
                <w:rFonts w:ascii="宋体" w:hAnsi="宋体" w:cs="宋体"/>
                <w:color w:val="000000" w:themeColor="text1"/>
                <w:szCs w:val="21"/>
                <w14:textFill>
                  <w14:solidFill>
                    <w14:schemeClr w14:val="tx1"/>
                  </w14:solidFill>
                </w14:textFill>
              </w:rPr>
            </w:pPr>
          </w:p>
        </w:tc>
        <w:tc>
          <w:tcPr>
            <w:tcW w:w="1523" w:type="dxa"/>
            <w:vAlign w:val="center"/>
          </w:tcPr>
          <w:p>
            <w:pPr>
              <w:widowControl/>
              <w:spacing w:line="312" w:lineRule="auto"/>
              <w:jc w:val="center"/>
              <w:rPr>
                <w:rFonts w:ascii="宋体" w:hAnsi="宋体" w:cs="宋体"/>
                <w:color w:val="000000" w:themeColor="text1"/>
                <w:kern w:val="0"/>
                <w:szCs w:val="21"/>
                <w14:textFill>
                  <w14:solidFill>
                    <w14:schemeClr w14:val="tx1"/>
                  </w14:solidFill>
                </w14:textFill>
              </w:rPr>
            </w:pPr>
          </w:p>
        </w:tc>
        <w:tc>
          <w:tcPr>
            <w:tcW w:w="2247" w:type="dxa"/>
            <w:vAlign w:val="center"/>
          </w:tcPr>
          <w:p>
            <w:pPr>
              <w:widowControl/>
              <w:spacing w:line="312" w:lineRule="auto"/>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150" w:type="dxa"/>
            <w:gridSpan w:val="2"/>
            <w:vAlign w:val="center"/>
          </w:tcPr>
          <w:p>
            <w:pPr>
              <w:spacing w:line="312"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投标总价（人民币）</w:t>
            </w:r>
          </w:p>
        </w:tc>
        <w:tc>
          <w:tcPr>
            <w:tcW w:w="6013" w:type="dxa"/>
            <w:gridSpan w:val="4"/>
          </w:tcPr>
          <w:p>
            <w:pPr>
              <w:autoSpaceDE w:val="0"/>
              <w:autoSpaceDN w:val="0"/>
              <w:adjustRightInd w:val="0"/>
              <w:spacing w:line="440" w:lineRule="exact"/>
              <w:ind w:firstLine="2310" w:firstLineChars="1100"/>
              <w:jc w:val="left"/>
              <w:rPr>
                <w:rFonts w:ascii="宋体" w:hAnsi="宋体" w:cs="宋体"/>
                <w:b/>
                <w:color w:val="000000" w:themeColor="text1"/>
                <w:sz w:val="24"/>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150" w:type="dxa"/>
            <w:gridSpan w:val="2"/>
            <w:vAlign w:val="center"/>
          </w:tcPr>
          <w:p>
            <w:pPr>
              <w:spacing w:line="312"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投标总价（人民币）</w:t>
            </w:r>
          </w:p>
        </w:tc>
        <w:tc>
          <w:tcPr>
            <w:tcW w:w="6013" w:type="dxa"/>
            <w:gridSpan w:val="4"/>
            <w:vAlign w:val="center"/>
          </w:tcPr>
          <w:p>
            <w:pPr>
              <w:widowControl/>
              <w:spacing w:line="312" w:lineRule="auto"/>
              <w:ind w:firstLine="2310" w:firstLineChars="11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（大写）</w:t>
            </w:r>
          </w:p>
        </w:tc>
      </w:tr>
    </w:tbl>
    <w:p>
      <w:pPr>
        <w:snapToGrid w:val="0"/>
        <w:spacing w:before="50" w:after="50" w:line="360" w:lineRule="auto"/>
        <w:rPr>
          <w:rFonts w:ascii="宋体" w:hAnsi="宋体" w:cs="宋体"/>
          <w:smallCaps/>
          <w:color w:val="000000" w:themeColor="text1"/>
          <w:szCs w:val="21"/>
          <w14:textFill>
            <w14:solidFill>
              <w14:schemeClr w14:val="tx1"/>
            </w14:solidFill>
          </w14:textFill>
        </w:rPr>
      </w:pPr>
    </w:p>
    <w:p>
      <w:pPr>
        <w:snapToGrid w:val="0"/>
        <w:spacing w:before="50" w:after="5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r>
        <w:rPr>
          <w:rFonts w:ascii="宋体" w:hAnsi="宋体" w:cs="宋体"/>
          <w:color w:val="000000" w:themeColor="text1"/>
          <w:szCs w:val="21"/>
          <w14:textFill>
            <w14:solidFill>
              <w14:schemeClr w14:val="tx1"/>
            </w14:solidFill>
          </w14:textFill>
        </w:rPr>
        <w:t>:</w:t>
      </w:r>
    </w:p>
    <w:p>
      <w:pPr>
        <w:numPr>
          <w:ilvl w:val="0"/>
          <w:numId w:val="7"/>
        </w:numPr>
        <w:snapToGrid w:val="0"/>
        <w:spacing w:before="50" w:after="50" w:line="360" w:lineRule="auto"/>
        <w:ind w:left="29" w:leftChars="14" w:firstLine="315" w:firstLine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报价一经涂改，应在涂改处加盖单位公章或者由法定代表人或授权委托人签字或盖章，否则其投标作无效标处理。</w:t>
      </w:r>
    </w:p>
    <w:p>
      <w:pPr>
        <w:numPr>
          <w:ilvl w:val="0"/>
          <w:numId w:val="7"/>
        </w:numPr>
        <w:snapToGrid w:val="0"/>
        <w:spacing w:before="50" w:after="50" w:line="360" w:lineRule="auto"/>
        <w:ind w:left="29" w:leftChars="14" w:firstLine="315" w:firstLine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本表报价不得高于预算价，否则其投标作无效标处理。</w:t>
      </w:r>
    </w:p>
    <w:p>
      <w:pPr>
        <w:numPr>
          <w:ilvl w:val="0"/>
          <w:numId w:val="7"/>
        </w:numPr>
        <w:snapToGrid w:val="0"/>
        <w:spacing w:before="50" w:after="50" w:line="360" w:lineRule="auto"/>
        <w:ind w:left="29" w:leftChars="14" w:firstLine="315" w:firstLineChars="15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本表报价总价应与开标一览表报价一致。</w:t>
      </w:r>
    </w:p>
    <w:p>
      <w:pPr>
        <w:spacing w:line="360" w:lineRule="auto"/>
        <w:ind w:left="522" w:leftChars="247" w:hanging="4" w:hangingChars="2"/>
        <w:rPr>
          <w:rFonts w:ascii="宋体" w:hAnsi="宋体" w:cs="宋体"/>
          <w:b/>
          <w:color w:val="000000" w:themeColor="text1"/>
          <w:szCs w:val="21"/>
          <w14:textFill>
            <w14:solidFill>
              <w14:schemeClr w14:val="tx1"/>
            </w14:solidFill>
          </w14:textFill>
        </w:rPr>
      </w:pPr>
    </w:p>
    <w:p>
      <w:pPr>
        <w:spacing w:line="360" w:lineRule="auto"/>
        <w:ind w:firstLine="630" w:firstLineChars="300"/>
        <w:rPr>
          <w:rFonts w:ascii="宋体" w:hAnsi="宋体" w:cs="宋体"/>
          <w:color w:val="000000" w:themeColor="text1"/>
          <w:szCs w:val="21"/>
          <w14:textFill>
            <w14:solidFill>
              <w14:schemeClr w14:val="tx1"/>
            </w14:solidFill>
          </w14:textFill>
        </w:rPr>
      </w:pPr>
    </w:p>
    <w:p>
      <w:pPr>
        <w:spacing w:line="360" w:lineRule="auto"/>
        <w:ind w:left="359" w:leftChars="17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投标人全称（盖章）：</w:t>
      </w:r>
    </w:p>
    <w:p>
      <w:pPr>
        <w:spacing w:line="360" w:lineRule="auto"/>
        <w:ind w:left="359" w:leftChars="171"/>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法定代表人或授权代表（签字）：</w:t>
      </w:r>
    </w:p>
    <w:p>
      <w:pPr>
        <w:spacing w:line="360" w:lineRule="auto"/>
        <w:ind w:left="359" w:leftChars="171"/>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期：</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spacing w:line="360" w:lineRule="auto"/>
        <w:ind w:left="359" w:leftChars="171"/>
        <w:jc w:val="center"/>
        <w:rPr>
          <w:rFonts w:ascii="宋体" w:hAnsi="宋体" w:cs="宋体"/>
          <w:color w:val="000000" w:themeColor="text1"/>
          <w:szCs w:val="21"/>
          <w14:textFill>
            <w14:solidFill>
              <w14:schemeClr w14:val="tx1"/>
            </w14:solidFill>
          </w14:textFill>
        </w:rPr>
      </w:pPr>
    </w:p>
    <w:p>
      <w:pPr>
        <w:spacing w:line="360" w:lineRule="auto"/>
        <w:ind w:left="359" w:leftChars="171"/>
        <w:jc w:val="center"/>
        <w:rPr>
          <w:rFonts w:ascii="宋体" w:hAnsi="宋体" w:cs="宋体"/>
          <w:color w:val="000000" w:themeColor="text1"/>
          <w:szCs w:val="21"/>
          <w14:textFill>
            <w14:solidFill>
              <w14:schemeClr w14:val="tx1"/>
            </w14:solidFill>
          </w14:textFill>
        </w:rPr>
      </w:pPr>
    </w:p>
    <w:p>
      <w:pPr>
        <w:snapToGrid w:val="0"/>
        <w:jc w:val="center"/>
        <w:rPr>
          <w:rFonts w:ascii="宋体" w:hAnsi="宋体" w:cs="宋体"/>
          <w:b/>
          <w:bCs/>
          <w:color w:val="000000" w:themeColor="text1"/>
          <w:kern w:val="0"/>
          <w:sz w:val="30"/>
          <w:szCs w:val="30"/>
          <w14:textFill>
            <w14:solidFill>
              <w14:schemeClr w14:val="tx1"/>
            </w14:solidFill>
          </w14:textFill>
        </w:rPr>
      </w:pPr>
    </w:p>
    <w:p>
      <w:pPr>
        <w:snapToGrid w:val="0"/>
        <w:rPr>
          <w:rFonts w:ascii="宋体" w:hAnsi="宋体" w:cs="宋体"/>
          <w:b/>
          <w:bCs/>
          <w:color w:val="000000" w:themeColor="text1"/>
          <w:kern w:val="0"/>
          <w:sz w:val="30"/>
          <w:szCs w:val="30"/>
          <w14:textFill>
            <w14:solidFill>
              <w14:schemeClr w14:val="tx1"/>
            </w14:solidFill>
          </w14:textFill>
        </w:rPr>
      </w:pPr>
    </w:p>
    <w:p>
      <w:pPr>
        <w:snapToGrid w:val="0"/>
        <w:spacing w:line="400" w:lineRule="exact"/>
        <w:jc w:val="center"/>
        <w:outlineLvl w:val="1"/>
        <w:rPr>
          <w:rFonts w:ascii="宋体" w:hAnsi="宋体" w:cs="宋体"/>
          <w:b/>
          <w:bCs/>
          <w:color w:val="000000" w:themeColor="text1"/>
          <w:kern w:val="0"/>
          <w:sz w:val="30"/>
          <w:szCs w:val="30"/>
          <w14:textFill>
            <w14:solidFill>
              <w14:schemeClr w14:val="tx1"/>
            </w14:solidFill>
          </w14:textFill>
        </w:rPr>
      </w:pPr>
      <w:bookmarkStart w:id="325" w:name="_Toc1419337814"/>
      <w:bookmarkStart w:id="326" w:name="_Toc1360314339"/>
      <w:bookmarkStart w:id="327" w:name="_Toc1147443437"/>
      <w:bookmarkStart w:id="328" w:name="_Toc276569855"/>
      <w:bookmarkStart w:id="329" w:name="_Toc818316196"/>
    </w:p>
    <w:p>
      <w:pPr>
        <w:snapToGrid w:val="0"/>
        <w:spacing w:line="400" w:lineRule="exact"/>
        <w:jc w:val="center"/>
        <w:outlineLvl w:val="1"/>
        <w:rPr>
          <w:rFonts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十、自评表</w:t>
      </w:r>
      <w:bookmarkEnd w:id="325"/>
      <w:bookmarkEnd w:id="326"/>
      <w:bookmarkEnd w:id="327"/>
      <w:bookmarkEnd w:id="328"/>
      <w:bookmarkEnd w:id="329"/>
    </w:p>
    <w:tbl>
      <w:tblPr>
        <w:tblStyle w:val="39"/>
        <w:tblW w:w="10265" w:type="dxa"/>
        <w:tblInd w:w="0" w:type="dxa"/>
        <w:tblLayout w:type="fixed"/>
        <w:tblCellMar>
          <w:top w:w="15" w:type="dxa"/>
          <w:left w:w="15" w:type="dxa"/>
          <w:bottom w:w="15" w:type="dxa"/>
          <w:right w:w="15" w:type="dxa"/>
        </w:tblCellMar>
      </w:tblPr>
      <w:tblGrid>
        <w:gridCol w:w="1276"/>
        <w:gridCol w:w="4057"/>
        <w:gridCol w:w="933"/>
        <w:gridCol w:w="1117"/>
        <w:gridCol w:w="1448"/>
        <w:gridCol w:w="1434"/>
      </w:tblGrid>
      <w:tr>
        <w:tblPrEx>
          <w:tblCellMar>
            <w:top w:w="15" w:type="dxa"/>
            <w:left w:w="15" w:type="dxa"/>
            <w:bottom w:w="15" w:type="dxa"/>
            <w:right w:w="15" w:type="dxa"/>
          </w:tblCellMar>
        </w:tblPrEx>
        <w:trPr>
          <w:trHeight w:val="440"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分值</w:t>
            </w: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自评</w:t>
            </w:r>
          </w:p>
          <w:p>
            <w:pPr>
              <w:widowControl/>
              <w:spacing w:line="360" w:lineRule="auto"/>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分值</w:t>
            </w: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评分</w:t>
            </w:r>
          </w:p>
          <w:p>
            <w:pPr>
              <w:widowControl/>
              <w:spacing w:line="360" w:lineRule="auto"/>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依据</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评分对</w:t>
            </w:r>
          </w:p>
          <w:p>
            <w:pPr>
              <w:widowControl/>
              <w:spacing w:line="360" w:lineRule="auto"/>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应页码</w:t>
            </w:r>
          </w:p>
        </w:tc>
      </w:tr>
      <w:tr>
        <w:tblPrEx>
          <w:tblCellMar>
            <w:top w:w="15" w:type="dxa"/>
            <w:left w:w="15" w:type="dxa"/>
            <w:bottom w:w="15" w:type="dxa"/>
            <w:right w:w="15" w:type="dxa"/>
          </w:tblCellMar>
        </w:tblPrEx>
        <w:trPr>
          <w:trHeight w:val="1279"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color w:val="000000" w:themeColor="text1"/>
                <w14:textFill>
                  <w14:solidFill>
                    <w14:schemeClr w14:val="tx1"/>
                  </w14:solidFill>
                </w14:textFill>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szCs w:val="21"/>
                <w:lang w:bidi="ar"/>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szCs w:val="21"/>
                <w:lang w:bidi="ar"/>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szCs w:val="21"/>
                <w:lang w:bidi="ar"/>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themeColor="text1"/>
                <w:szCs w:val="21"/>
                <w:lang w:bidi="ar"/>
                <w14:textFill>
                  <w14:solidFill>
                    <w14:schemeClr w14:val="tx1"/>
                  </w14:solidFill>
                </w14:textFill>
              </w:rPr>
            </w:pPr>
          </w:p>
        </w:tc>
      </w:tr>
      <w:tr>
        <w:tblPrEx>
          <w:tblCellMar>
            <w:top w:w="15" w:type="dxa"/>
            <w:left w:w="15" w:type="dxa"/>
            <w:bottom w:w="15" w:type="dxa"/>
            <w:right w:w="15" w:type="dxa"/>
          </w:tblCellMar>
        </w:tblPrEx>
        <w:trPr>
          <w:trHeight w:val="1597"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宋体" w:hAnsi="宋体" w:cs="宋体"/>
                <w:color w:val="000000" w:themeColor="text1"/>
                <w:szCs w:val="21"/>
                <w14:textFill>
                  <w14:solidFill>
                    <w14:schemeClr w14:val="tx1"/>
                  </w14:solidFill>
                </w14:textFill>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themeColor="text1"/>
                <w:szCs w:val="21"/>
                <w:lang w:bidi="ar"/>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themeColor="text1"/>
                <w:szCs w:val="21"/>
                <w:lang w:bidi="ar"/>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themeColor="text1"/>
                <w:szCs w:val="21"/>
                <w:lang w:bidi="ar"/>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themeColor="text1"/>
                <w:szCs w:val="21"/>
                <w:lang w:bidi="ar"/>
                <w14:textFill>
                  <w14:solidFill>
                    <w14:schemeClr w14:val="tx1"/>
                  </w14:solidFill>
                </w14:textFill>
              </w:rPr>
            </w:pPr>
          </w:p>
        </w:tc>
      </w:tr>
      <w:tr>
        <w:tblPrEx>
          <w:tblCellMar>
            <w:top w:w="15" w:type="dxa"/>
            <w:left w:w="15" w:type="dxa"/>
            <w:bottom w:w="15" w:type="dxa"/>
            <w:right w:w="15" w:type="dxa"/>
          </w:tblCellMar>
        </w:tblPrEx>
        <w:trPr>
          <w:trHeight w:val="1545"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000000" w:themeColor="text1"/>
                <w14:textFill>
                  <w14:solidFill>
                    <w14:schemeClr w14:val="tx1"/>
                  </w14:solidFill>
                </w14:textFill>
              </w:rPr>
            </w:pP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color w:val="000000" w:themeColor="text1"/>
                <w14:textFill>
                  <w14:solidFill>
                    <w14:schemeClr w14:val="tx1"/>
                  </w14:solidFill>
                </w14:textFill>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themeColor="text1"/>
                <w:szCs w:val="21"/>
                <w:lang w:bidi="ar"/>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themeColor="text1"/>
                <w:szCs w:val="21"/>
                <w:lang w:bidi="ar"/>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themeColor="text1"/>
                <w:szCs w:val="21"/>
                <w:lang w:bidi="ar"/>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themeColor="text1"/>
                <w:szCs w:val="21"/>
                <w:lang w:bidi="ar"/>
                <w14:textFill>
                  <w14:solidFill>
                    <w14:schemeClr w14:val="tx1"/>
                  </w14:solidFill>
                </w14:textFill>
              </w:rPr>
            </w:pPr>
          </w:p>
        </w:tc>
      </w:tr>
      <w:tr>
        <w:tblPrEx>
          <w:tblCellMar>
            <w:top w:w="15" w:type="dxa"/>
            <w:left w:w="15" w:type="dxa"/>
            <w:bottom w:w="15" w:type="dxa"/>
            <w:right w:w="15" w:type="dxa"/>
          </w:tblCellMar>
        </w:tblPrEx>
        <w:trPr>
          <w:trHeight w:val="1320"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000000" w:themeColor="text1"/>
                <w14:textFill>
                  <w14:solidFill>
                    <w14:schemeClr w14:val="tx1"/>
                  </w14:solidFill>
                </w14:textFill>
              </w:rPr>
            </w:pPr>
          </w:p>
        </w:tc>
        <w:tc>
          <w:tcPr>
            <w:tcW w:w="405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color w:val="000000" w:themeColor="text1"/>
                <w14:textFill>
                  <w14:solidFill>
                    <w14:schemeClr w14:val="tx1"/>
                  </w14:solidFill>
                </w14:textFill>
              </w:rPr>
            </w:pPr>
          </w:p>
        </w:tc>
        <w:tc>
          <w:tcPr>
            <w:tcW w:w="9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p>
        </w:tc>
      </w:tr>
    </w:tbl>
    <w:p>
      <w:pPr>
        <w:spacing w:line="440" w:lineRule="exac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注：评审项目、评分标准、分值对应“第四章</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评标原则及方法”资信、商务及技术分评审内容。</w:t>
      </w:r>
    </w:p>
    <w:p>
      <w:pPr>
        <w:spacing w:line="440" w:lineRule="exact"/>
        <w:ind w:firstLine="4860"/>
        <w:rPr>
          <w:rFonts w:ascii="宋体" w:hAnsi="宋体" w:cs="宋体"/>
          <w:b/>
          <w:bCs/>
          <w:color w:val="000000" w:themeColor="text1"/>
          <w:szCs w:val="21"/>
          <w14:textFill>
            <w14:solidFill>
              <w14:schemeClr w14:val="tx1"/>
            </w14:solidFill>
          </w14:textFill>
        </w:rPr>
      </w:pPr>
    </w:p>
    <w:p>
      <w:pPr>
        <w:spacing w:line="440" w:lineRule="exact"/>
        <w:ind w:firstLine="4860"/>
        <w:rPr>
          <w:rFonts w:ascii="宋体" w:hAnsi="宋体" w:cs="宋体"/>
          <w:b/>
          <w:bCs/>
          <w:color w:val="000000" w:themeColor="text1"/>
          <w:szCs w:val="21"/>
          <w14:textFill>
            <w14:solidFill>
              <w14:schemeClr w14:val="tx1"/>
            </w14:solidFill>
          </w14:textFill>
        </w:rPr>
      </w:pPr>
    </w:p>
    <w:p>
      <w:pPr>
        <w:spacing w:line="440" w:lineRule="exact"/>
        <w:ind w:firstLine="4860"/>
        <w:rPr>
          <w:rFonts w:ascii="宋体" w:hAnsi="宋体" w:cs="宋体"/>
          <w:b/>
          <w:bCs/>
          <w:color w:val="000000" w:themeColor="text1"/>
          <w:szCs w:val="21"/>
          <w:u w:val="single"/>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投标人（盖章）：</w:t>
      </w:r>
      <w:r>
        <w:rPr>
          <w:rFonts w:ascii="宋体" w:hAnsi="宋体" w:cs="宋体"/>
          <w:b/>
          <w:bCs/>
          <w:color w:val="000000" w:themeColor="text1"/>
          <w:szCs w:val="21"/>
          <w:u w:val="single"/>
          <w14:textFill>
            <w14:solidFill>
              <w14:schemeClr w14:val="tx1"/>
            </w14:solidFill>
          </w14:textFill>
        </w:rPr>
        <w:t xml:space="preserve">                               </w:t>
      </w:r>
    </w:p>
    <w:p>
      <w:pPr>
        <w:spacing w:line="440" w:lineRule="exact"/>
        <w:ind w:firstLine="4860"/>
        <w:rPr>
          <w:rFonts w:ascii="宋体" w:hAnsi="宋体" w:cs="宋体"/>
          <w:b/>
          <w:bCs/>
          <w:color w:val="000000" w:themeColor="text1"/>
          <w:szCs w:val="21"/>
          <w14:textFill>
            <w14:solidFill>
              <w14:schemeClr w14:val="tx1"/>
            </w14:solidFill>
          </w14:textFill>
        </w:rPr>
      </w:pPr>
    </w:p>
    <w:p>
      <w:pPr>
        <w:spacing w:line="440" w:lineRule="exact"/>
        <w:ind w:firstLine="4860"/>
        <w:rPr>
          <w:rFonts w:ascii="宋体" w:hAnsi="宋体" w:cs="宋体"/>
          <w:b/>
          <w:bCs/>
          <w:color w:val="000000" w:themeColor="text1"/>
          <w:szCs w:val="21"/>
          <w:u w:val="single"/>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日</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期：</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年</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月</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日</w:t>
      </w:r>
    </w:p>
    <w:p>
      <w:pPr>
        <w:pStyle w:val="38"/>
        <w:ind w:firstLine="0"/>
        <w:rPr>
          <w:color w:val="000000" w:themeColor="text1"/>
          <w14:textFill>
            <w14:solidFill>
              <w14:schemeClr w14:val="tx1"/>
            </w14:solidFill>
          </w14:textFill>
        </w:rPr>
      </w:pPr>
    </w:p>
    <w:p>
      <w:pPr>
        <w:pStyle w:val="16"/>
        <w:rPr>
          <w:rFonts w:ascii="宋体" w:hAnsi="宋体" w:cs="宋体"/>
          <w:color w:val="000000" w:themeColor="text1"/>
          <w14:textFill>
            <w14:solidFill>
              <w14:schemeClr w14:val="tx1"/>
            </w14:solidFill>
          </w14:textFill>
        </w:rPr>
      </w:pPr>
    </w:p>
    <w:p>
      <w:pPr>
        <w:pStyle w:val="16"/>
        <w:rPr>
          <w:rFonts w:ascii="宋体" w:hAnsi="宋体" w:cs="宋体"/>
          <w:color w:val="000000" w:themeColor="text1"/>
          <w14:textFill>
            <w14:solidFill>
              <w14:schemeClr w14:val="tx1"/>
            </w14:solidFill>
          </w14:textFill>
        </w:rPr>
      </w:pPr>
    </w:p>
    <w:p>
      <w:pPr>
        <w:pStyle w:val="16"/>
        <w:rPr>
          <w:rFonts w:ascii="宋体" w:hAnsi="宋体" w:cs="宋体"/>
          <w:color w:val="000000" w:themeColor="text1"/>
          <w14:textFill>
            <w14:solidFill>
              <w14:schemeClr w14:val="tx1"/>
            </w14:solidFill>
          </w14:textFill>
        </w:rPr>
      </w:pPr>
    </w:p>
    <w:p>
      <w:pPr>
        <w:pStyle w:val="16"/>
        <w:rPr>
          <w:rFonts w:ascii="宋体" w:hAnsi="宋体" w:cs="宋体"/>
          <w:color w:val="000000" w:themeColor="text1"/>
          <w14:textFill>
            <w14:solidFill>
              <w14:schemeClr w14:val="tx1"/>
            </w14:solidFill>
          </w14:textFill>
        </w:rPr>
      </w:pPr>
    </w:p>
    <w:p>
      <w:pPr>
        <w:pStyle w:val="16"/>
        <w:rPr>
          <w:rFonts w:ascii="宋体" w:hAnsi="宋体" w:cs="宋体"/>
          <w:color w:val="000000" w:themeColor="text1"/>
          <w14:textFill>
            <w14:solidFill>
              <w14:schemeClr w14:val="tx1"/>
            </w14:solidFill>
          </w14:textFill>
        </w:rPr>
      </w:pPr>
    </w:p>
    <w:p>
      <w:pPr>
        <w:pStyle w:val="16"/>
        <w:rPr>
          <w:rFonts w:ascii="宋体" w:hAnsi="宋体" w:cs="宋体"/>
          <w:color w:val="000000" w:themeColor="text1"/>
          <w14:textFill>
            <w14:solidFill>
              <w14:schemeClr w14:val="tx1"/>
            </w14:solidFill>
          </w14:textFill>
        </w:rPr>
      </w:pPr>
    </w:p>
    <w:p>
      <w:pPr>
        <w:pStyle w:val="16"/>
        <w:rPr>
          <w:rFonts w:ascii="宋体" w:hAnsi="宋体" w:cs="宋体"/>
          <w:color w:val="000000" w:themeColor="text1"/>
          <w14:textFill>
            <w14:solidFill>
              <w14:schemeClr w14:val="tx1"/>
            </w14:solidFill>
          </w14:textFill>
        </w:rPr>
      </w:pPr>
    </w:p>
    <w:sectPr>
      <w:headerReference r:id="rId7" w:type="default"/>
      <w:footerReference r:id="rId8" w:type="default"/>
      <w:pgSz w:w="11906" w:h="16838"/>
      <w:pgMar w:top="1503" w:right="1134" w:bottom="164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楷体_GB2312">
    <w:altName w:val="楷体"/>
    <w:panose1 w:val="020B0604020202020204"/>
    <w:charset w:val="86"/>
    <w:family w:val="auto"/>
    <w:pitch w:val="default"/>
    <w:sig w:usb0="00000000" w:usb1="00000000" w:usb2="00000000" w:usb3="00000000" w:csb0="00040000" w:csb1="00000000"/>
  </w:font>
  <w:font w:name="Arial Unicode MS">
    <w:panose1 w:val="020B0604020202020204"/>
    <w:charset w:val="80"/>
    <w:family w:val="swiss"/>
    <w:pitch w:val="default"/>
    <w:sig w:usb0="FFFFFFFF" w:usb1="E9FFFFFF" w:usb2="0000003F" w:usb3="00000000" w:csb0="603F01FF" w:csb1="FFFF0000"/>
  </w:font>
  <w:font w:name="Helvetica">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4399"/>
        <w:tab w:val="clear" w:pos="4153"/>
      </w:tabs>
      <w:ind w:right="360"/>
    </w:pPr>
    <w:r>
      <mc:AlternateContent>
        <mc:Choice Requires="wps">
          <w:drawing>
            <wp:anchor distT="0" distB="0" distL="114300" distR="114300" simplePos="0" relativeHeight="251658240" behindDoc="0" locked="0" layoutInCell="1" allowOverlap="1">
              <wp:simplePos x="0" y="0"/>
              <wp:positionH relativeFrom="margin">
                <wp:posOffset>3013075</wp:posOffset>
              </wp:positionH>
              <wp:positionV relativeFrom="paragraph">
                <wp:posOffset>-1905</wp:posOffset>
              </wp:positionV>
              <wp:extent cx="318770" cy="1828800"/>
              <wp:effectExtent l="0" t="0" r="12065" b="0"/>
              <wp:wrapNone/>
              <wp:docPr id="34" name="文本框 5"/>
              <wp:cNvGraphicFramePr/>
              <a:graphic xmlns:a="http://schemas.openxmlformats.org/drawingml/2006/main">
                <a:graphicData uri="http://schemas.microsoft.com/office/word/2010/wordprocessingShape">
                  <wps:wsp>
                    <wps:cNvSpPr txBox="1"/>
                    <wps:spPr>
                      <a:xfrm>
                        <a:off x="0" y="0"/>
                        <a:ext cx="318655"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wps:txbx>
                    <wps:bodyPr wrap="square" lIns="0" tIns="0" rIns="0" bIns="0">
                      <a:spAutoFit/>
                    </wps:bodyPr>
                  </wps:wsp>
                </a:graphicData>
              </a:graphic>
            </wp:anchor>
          </w:drawing>
        </mc:Choice>
        <mc:Fallback>
          <w:pict>
            <v:shape id="文本框 5" o:spid="_x0000_s1026" o:spt="202" type="#_x0000_t202" style="position:absolute;left:0pt;margin-left:237.25pt;margin-top:-0.15pt;height:144pt;width:25.1pt;mso-position-horizontal-relative:margin;z-index:251658240;mso-width-relative:page;mso-height-relative:page;" filled="f" stroked="f" coordsize="21600,21600" o:gfxdata="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RXEXX&#10;AAAACQEAAA8AAAAAAAAAAQAgAAAAIgAAAGRycy9kb3ducmV2LnhtbFBLAQIUABQAAAAIAIdO4kC1&#10;k0y4rwEAAEEDAAAOAAAAAAAAAAEAIAAAACYBAABkcnMvZTJvRG9jLnhtbFBLBQYAAAAABgAGAFkB&#10;AABHBQ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73</w:t>
                    </w:r>
                    <w:r>
                      <w:rPr>
                        <w:rFonts w:hint="eastAsia"/>
                      </w:rPr>
                      <w:fldChar w:fldCharType="end"/>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14935" cy="131445"/>
              <wp:effectExtent l="0" t="0" r="0" b="0"/>
              <wp:wrapNone/>
              <wp:docPr id="33"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6"/>
                          </w:pPr>
                        </w:p>
                      </w:txbxContent>
                    </wps:txbx>
                    <wps:bodyPr wrap="none" lIns="0" tIns="0" rIns="0" bIns="0">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5619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Q+V+SdAAAAADAQAADwAA&#10;AAAAAAABACAAAAAiAAAAZHJzL2Rvd25yZXYueG1sUEsBAhQAFAAAAAgAh07iQCytTLmsAQAAPgMA&#10;AA4AAAAAAAAAAQAgAAAAHwEAAGRycy9lMm9Eb2MueG1sUEsFBgAAAAAGAAYAWQEAAD0FAAAAAA==&#10;">
              <v:fill on="f" focussize="0,0"/>
              <v:stroke on="f"/>
              <v:imagedata o:title=""/>
              <o:lock v:ext="edit" aspectratio="f"/>
              <v:textbox inset="0mm,0mm,0mm,0mm" style="mso-fit-shape-to-text:t;">
                <w:txbxContent>
                  <w:p>
                    <w:pPr>
                      <w:pStyle w:val="26"/>
                    </w:pPr>
                  </w:p>
                </w:txbxContent>
              </v:textbox>
            </v:shape>
          </w:pict>
        </mc:Fallback>
      </mc:AlternateContent>
    </w:r>
    <w:r>
      <w:rPr>
        <w:rFonts w:hint="eastAsia"/>
      </w:rPr>
      <w:t xml:space="preserve">   </w:t>
    </w:r>
    <w:r>
      <w:rPr>
        <w:rFonts w:hint="eastAsia"/>
      </w:rP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4399"/>
        <w:tab w:val="clear" w:pos="4153"/>
      </w:tabs>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K58JhunAQAAQAMAAA4AAAAA&#10;AAAAAQAgAAAAHgEAAGRycy9lMm9Eb2MueG1sUEsFBgAAAAAGAAYAWQEAADc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131445"/>
              <wp:effectExtent l="0" t="0" r="0" b="0"/>
              <wp:wrapNone/>
              <wp:docPr id="3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6"/>
                          </w:pPr>
                        </w:p>
                      </w:txbxContent>
                    </wps:txbx>
                    <wps:bodyPr wrap="none" lIns="0" tIns="0" rIns="0" bIns="0">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721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Q+V+SdAAAAADAQAADwAA&#10;AAAAAAABACAAAAAiAAAAZHJzL2Rvd25yZXYueG1sUEsBAhQAFAAAAAgAh07iQB6EOsesAQAAPgMA&#10;AA4AAAAAAAAAAQAgAAAAHwEAAGRycy9lMm9Eb2MueG1sUEsFBgAAAAAGAAYAWQEAAD0FAAAAAA==&#10;">
              <v:fill on="f" focussize="0,0"/>
              <v:stroke on="f"/>
              <v:imagedata o:title=""/>
              <o:lock v:ext="edit" aspectratio="f"/>
              <v:textbox inset="0mm,0mm,0mm,0mm" style="mso-fit-shape-to-text:t;">
                <w:txbxContent>
                  <w:p>
                    <w:pPr>
                      <w:pStyle w:val="26"/>
                    </w:pPr>
                  </w:p>
                </w:txbxContent>
              </v:textbox>
            </v:shape>
          </w:pict>
        </mc:Fallback>
      </mc:AlternateContent>
    </w:r>
    <w:r>
      <w:rPr>
        <w:rFonts w:hint="eastAsia"/>
      </w:rPr>
      <w:t xml:space="preserve">   </w:t>
    </w:r>
    <w:r>
      <w:rPr>
        <w:rFonts w:hint="eastAsia"/>
      </w:rPr>
      <w:tab/>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4399"/>
        <w:tab w:val="clear" w:pos="4153"/>
      </w:tabs>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9"/>
              <wp:cNvGraphicFramePr/>
              <a:graphic xmlns:a="http://schemas.openxmlformats.org/drawingml/2006/main">
                <a:graphicData uri="http://schemas.microsoft.com/office/word/2010/wordprocessingShape">
                  <wps:wsp>
                    <wps:cNvSpPr txBox="1"/>
                    <wps:spPr bwMode="auto">
                      <a:xfrm>
                        <a:off x="0" y="0"/>
                        <a:ext cx="58420" cy="1397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LW7l30AAAAAIBAAAPAAAAAAAAAAEAIAAAACIAAABk&#10;cnMvZG93bnJldi54bWxQSwECFAAUAAAACACHTuJADdbf5dUBAACDAwAADgAAAAAAAAABACAAAAAf&#10;AQAAZHJzL2Uyb0RvYy54bWxQSwUGAAAAAAYABgBZAQAAZg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03505" cy="139700"/>
              <wp:effectExtent l="0" t="0" r="0" b="0"/>
              <wp:wrapNone/>
              <wp:docPr id="1" name="文本框 1037"/>
              <wp:cNvGraphicFramePr/>
              <a:graphic xmlns:a="http://schemas.openxmlformats.org/drawingml/2006/main">
                <a:graphicData uri="http://schemas.microsoft.com/office/word/2010/wordprocessingShape">
                  <wps:wsp>
                    <wps:cNvSpPr txBox="1"/>
                    <wps:spPr bwMode="auto">
                      <a:xfrm>
                        <a:off x="0" y="0"/>
                        <a:ext cx="103505" cy="139700"/>
                      </a:xfrm>
                      <a:prstGeom prst="rect">
                        <a:avLst/>
                      </a:prstGeom>
                      <a:noFill/>
                      <a:ln>
                        <a:noFill/>
                      </a:ln>
                    </wps:spPr>
                    <wps:txbx>
                      <w:txbxContent>
                        <w:p>
                          <w:pPr>
                            <w:pStyle w:val="26"/>
                          </w:pP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1pt;width:8.15pt;mso-position-horizontal:center;mso-position-horizontal-relative:margin;mso-wrap-style:none;z-index:251655168;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DIhRzQAAAAAwEAAA8AAAAAAAAAAQAgAAAAIgAA&#10;AGRycy9kb3ducmV2LnhtbFBLAQIUABQAAAAIAIdO4kCb1c9W1wEAAIcDAAAOAAAAAAAAAAEAIAAA&#10;AB8BAABkcnMvZTJvRG9jLnhtbFBLBQYAAAAABgAGAFkBAABoBQAAAAA=&#10;">
              <v:fill on="f" focussize="0,0"/>
              <v:stroke on="f"/>
              <v:imagedata o:title=""/>
              <o:lock v:ext="edit" aspectratio="f"/>
              <v:textbox inset="0mm,0mm,0mm,0mm" style="mso-fit-shape-to-text:t;">
                <w:txbxContent>
                  <w:p>
                    <w:pPr>
                      <w:pStyle w:val="26"/>
                    </w:pPr>
                  </w:p>
                </w:txbxContent>
              </v:textbox>
            </v:shape>
          </w:pict>
        </mc:Fallback>
      </mc:AlternateContent>
    </w:r>
    <w:r>
      <w:rPr>
        <w:rFonts w:hint="eastAsia"/>
      </w:rPr>
      <w:t xml:space="preserve">   </w:t>
    </w:r>
    <w:r>
      <w:rPr>
        <w:rFonts w:hint="eastAsia"/>
      </w:rPr>
      <w:tab/>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1AE60F"/>
    <w:multiLevelType w:val="singleLevel"/>
    <w:tmpl w:val="E81AE60F"/>
    <w:lvl w:ilvl="0" w:tentative="0">
      <w:start w:val="1"/>
      <w:numFmt w:val="chineseCounting"/>
      <w:suff w:val="space"/>
      <w:lvlText w:val="第%1章"/>
      <w:lvlJc w:val="left"/>
      <w:rPr>
        <w:rFonts w:hint="eastAsia"/>
      </w:rPr>
    </w:lvl>
  </w:abstractNum>
  <w:abstractNum w:abstractNumId="1">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2">
    <w:nsid w:val="01C498A1"/>
    <w:multiLevelType w:val="singleLevel"/>
    <w:tmpl w:val="01C498A1"/>
    <w:lvl w:ilvl="0" w:tentative="0">
      <w:start w:val="1"/>
      <w:numFmt w:val="decimal"/>
      <w:suff w:val="nothing"/>
      <w:lvlText w:val="（%1）"/>
      <w:lvlJc w:val="left"/>
    </w:lvl>
  </w:abstractNum>
  <w:abstractNum w:abstractNumId="3">
    <w:nsid w:val="3AD53FB9"/>
    <w:multiLevelType w:val="multilevel"/>
    <w:tmpl w:val="3AD53FB9"/>
    <w:lvl w:ilvl="0" w:tentative="0">
      <w:start w:val="1"/>
      <w:numFmt w:val="japaneseCounting"/>
      <w:pStyle w:val="18"/>
      <w:lvlText w:val="%1、"/>
      <w:lvlJc w:val="left"/>
      <w:pPr>
        <w:tabs>
          <w:tab w:val="left" w:pos="645"/>
        </w:tabs>
        <w:ind w:left="645" w:hanging="645"/>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FA9E490"/>
    <w:multiLevelType w:val="singleLevel"/>
    <w:tmpl w:val="3FA9E490"/>
    <w:lvl w:ilvl="0" w:tentative="0">
      <w:start w:val="1"/>
      <w:numFmt w:val="decimal"/>
      <w:suff w:val="nothing"/>
      <w:lvlText w:val="%1、"/>
      <w:lvlJc w:val="left"/>
    </w:lvl>
  </w:abstractNum>
  <w:abstractNum w:abstractNumId="5">
    <w:nsid w:val="596D89DE"/>
    <w:multiLevelType w:val="singleLevel"/>
    <w:tmpl w:val="596D89DE"/>
    <w:lvl w:ilvl="0" w:tentative="0">
      <w:start w:val="1"/>
      <w:numFmt w:val="decimal"/>
      <w:suff w:val="nothing"/>
      <w:lvlText w:val="%1."/>
      <w:lvlJc w:val="left"/>
    </w:lvl>
  </w:abstractNum>
  <w:abstractNum w:abstractNumId="6">
    <w:nsid w:val="596F24B7"/>
    <w:multiLevelType w:val="singleLevel"/>
    <w:tmpl w:val="596F24B7"/>
    <w:lvl w:ilvl="0" w:tentative="0">
      <w:start w:val="4"/>
      <w:numFmt w:val="decimal"/>
      <w:suff w:val="nothing"/>
      <w:lvlText w:val="%1."/>
      <w:lvlJc w:val="left"/>
    </w:lvl>
  </w:abstractNum>
  <w:num w:numId="1">
    <w:abstractNumId w:val="1"/>
  </w:num>
  <w:num w:numId="2">
    <w:abstractNumId w:val="3"/>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6"/>
  <w:drawingGridVerticalSpacing w:val="165"/>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421"/>
    <w:rsid w:val="00002578"/>
    <w:rsid w:val="00003DA6"/>
    <w:rsid w:val="000064DE"/>
    <w:rsid w:val="000069A9"/>
    <w:rsid w:val="000137AB"/>
    <w:rsid w:val="00014BA2"/>
    <w:rsid w:val="00017A10"/>
    <w:rsid w:val="00021E60"/>
    <w:rsid w:val="000221B7"/>
    <w:rsid w:val="00022694"/>
    <w:rsid w:val="00024E05"/>
    <w:rsid w:val="000304CB"/>
    <w:rsid w:val="00030A81"/>
    <w:rsid w:val="0003109E"/>
    <w:rsid w:val="000343A9"/>
    <w:rsid w:val="00034622"/>
    <w:rsid w:val="000357DF"/>
    <w:rsid w:val="00035E52"/>
    <w:rsid w:val="0003649E"/>
    <w:rsid w:val="0003718A"/>
    <w:rsid w:val="00040844"/>
    <w:rsid w:val="0004495D"/>
    <w:rsid w:val="00044DE3"/>
    <w:rsid w:val="00046335"/>
    <w:rsid w:val="00046912"/>
    <w:rsid w:val="0004778B"/>
    <w:rsid w:val="00051250"/>
    <w:rsid w:val="00051379"/>
    <w:rsid w:val="00052816"/>
    <w:rsid w:val="00052F93"/>
    <w:rsid w:val="00056DE5"/>
    <w:rsid w:val="00061A75"/>
    <w:rsid w:val="00061AE0"/>
    <w:rsid w:val="00063467"/>
    <w:rsid w:val="00063FCF"/>
    <w:rsid w:val="000641F7"/>
    <w:rsid w:val="00067323"/>
    <w:rsid w:val="00072451"/>
    <w:rsid w:val="00073DA5"/>
    <w:rsid w:val="0007437A"/>
    <w:rsid w:val="00074EF3"/>
    <w:rsid w:val="00076FF8"/>
    <w:rsid w:val="000805B7"/>
    <w:rsid w:val="000806CE"/>
    <w:rsid w:val="000825EE"/>
    <w:rsid w:val="000855B0"/>
    <w:rsid w:val="00085C79"/>
    <w:rsid w:val="0008703A"/>
    <w:rsid w:val="00091E5F"/>
    <w:rsid w:val="00093E28"/>
    <w:rsid w:val="00094C54"/>
    <w:rsid w:val="000A139D"/>
    <w:rsid w:val="000A48B6"/>
    <w:rsid w:val="000B0099"/>
    <w:rsid w:val="000B06DB"/>
    <w:rsid w:val="000B09B0"/>
    <w:rsid w:val="000B0FD8"/>
    <w:rsid w:val="000B1D1C"/>
    <w:rsid w:val="000B2298"/>
    <w:rsid w:val="000B41B8"/>
    <w:rsid w:val="000C1DB6"/>
    <w:rsid w:val="000C42BE"/>
    <w:rsid w:val="000C509F"/>
    <w:rsid w:val="000C6D1E"/>
    <w:rsid w:val="000D0226"/>
    <w:rsid w:val="000D63D5"/>
    <w:rsid w:val="000D6579"/>
    <w:rsid w:val="000D7B92"/>
    <w:rsid w:val="000E015F"/>
    <w:rsid w:val="000E0321"/>
    <w:rsid w:val="000E04D7"/>
    <w:rsid w:val="000E27C0"/>
    <w:rsid w:val="000E315F"/>
    <w:rsid w:val="000E4FA9"/>
    <w:rsid w:val="000F0B30"/>
    <w:rsid w:val="000F12EA"/>
    <w:rsid w:val="000F1925"/>
    <w:rsid w:val="000F25FF"/>
    <w:rsid w:val="000F5115"/>
    <w:rsid w:val="000F6C59"/>
    <w:rsid w:val="000F755C"/>
    <w:rsid w:val="00105271"/>
    <w:rsid w:val="001070F4"/>
    <w:rsid w:val="001077EF"/>
    <w:rsid w:val="00110FB4"/>
    <w:rsid w:val="00111CB8"/>
    <w:rsid w:val="00111E0E"/>
    <w:rsid w:val="001124DD"/>
    <w:rsid w:val="001133F2"/>
    <w:rsid w:val="00115C42"/>
    <w:rsid w:val="00116309"/>
    <w:rsid w:val="001176B5"/>
    <w:rsid w:val="00121E63"/>
    <w:rsid w:val="00122E0F"/>
    <w:rsid w:val="00123030"/>
    <w:rsid w:val="001263DE"/>
    <w:rsid w:val="001276FA"/>
    <w:rsid w:val="00130B14"/>
    <w:rsid w:val="00131405"/>
    <w:rsid w:val="00135BAE"/>
    <w:rsid w:val="00141D4F"/>
    <w:rsid w:val="00142ABE"/>
    <w:rsid w:val="00143A2C"/>
    <w:rsid w:val="001468FE"/>
    <w:rsid w:val="00146D76"/>
    <w:rsid w:val="00147899"/>
    <w:rsid w:val="00152E80"/>
    <w:rsid w:val="00153DF0"/>
    <w:rsid w:val="00155F4C"/>
    <w:rsid w:val="00162388"/>
    <w:rsid w:val="0016579C"/>
    <w:rsid w:val="00165942"/>
    <w:rsid w:val="001672B9"/>
    <w:rsid w:val="0016730D"/>
    <w:rsid w:val="00172A27"/>
    <w:rsid w:val="00174BFE"/>
    <w:rsid w:val="00180F4A"/>
    <w:rsid w:val="00181F86"/>
    <w:rsid w:val="00182908"/>
    <w:rsid w:val="0018335E"/>
    <w:rsid w:val="0018582C"/>
    <w:rsid w:val="0019034A"/>
    <w:rsid w:val="001911E1"/>
    <w:rsid w:val="00192576"/>
    <w:rsid w:val="00193D4A"/>
    <w:rsid w:val="001940EE"/>
    <w:rsid w:val="001953BB"/>
    <w:rsid w:val="001976E5"/>
    <w:rsid w:val="001A1278"/>
    <w:rsid w:val="001A52B6"/>
    <w:rsid w:val="001A6895"/>
    <w:rsid w:val="001A68E7"/>
    <w:rsid w:val="001A6D81"/>
    <w:rsid w:val="001B1BD9"/>
    <w:rsid w:val="001B3338"/>
    <w:rsid w:val="001B36ED"/>
    <w:rsid w:val="001B72FB"/>
    <w:rsid w:val="001C40A0"/>
    <w:rsid w:val="001C4BF9"/>
    <w:rsid w:val="001C4C7A"/>
    <w:rsid w:val="001C4E8C"/>
    <w:rsid w:val="001C5326"/>
    <w:rsid w:val="001C5663"/>
    <w:rsid w:val="001C74DB"/>
    <w:rsid w:val="001D12D5"/>
    <w:rsid w:val="001D18EA"/>
    <w:rsid w:val="001D4B5D"/>
    <w:rsid w:val="001E2ED6"/>
    <w:rsid w:val="001E3A52"/>
    <w:rsid w:val="001E415B"/>
    <w:rsid w:val="001E55B6"/>
    <w:rsid w:val="001F023F"/>
    <w:rsid w:val="001F0A11"/>
    <w:rsid w:val="001F7082"/>
    <w:rsid w:val="001F7152"/>
    <w:rsid w:val="001F7291"/>
    <w:rsid w:val="00206CC7"/>
    <w:rsid w:val="00207E80"/>
    <w:rsid w:val="00221881"/>
    <w:rsid w:val="00222AF8"/>
    <w:rsid w:val="002239A6"/>
    <w:rsid w:val="00223ECB"/>
    <w:rsid w:val="002242CD"/>
    <w:rsid w:val="00224A21"/>
    <w:rsid w:val="00227C56"/>
    <w:rsid w:val="00231920"/>
    <w:rsid w:val="00233808"/>
    <w:rsid w:val="0023598A"/>
    <w:rsid w:val="0023639A"/>
    <w:rsid w:val="00244D70"/>
    <w:rsid w:val="0024532A"/>
    <w:rsid w:val="00246F24"/>
    <w:rsid w:val="00246F91"/>
    <w:rsid w:val="002509E2"/>
    <w:rsid w:val="00251877"/>
    <w:rsid w:val="002563FD"/>
    <w:rsid w:val="0025695A"/>
    <w:rsid w:val="0025695E"/>
    <w:rsid w:val="00256B8A"/>
    <w:rsid w:val="00256BE1"/>
    <w:rsid w:val="0025740B"/>
    <w:rsid w:val="002612E7"/>
    <w:rsid w:val="00261888"/>
    <w:rsid w:val="00262FDC"/>
    <w:rsid w:val="0026381A"/>
    <w:rsid w:val="00264A4A"/>
    <w:rsid w:val="00265209"/>
    <w:rsid w:val="00265AB8"/>
    <w:rsid w:val="002667CB"/>
    <w:rsid w:val="00267282"/>
    <w:rsid w:val="002672BA"/>
    <w:rsid w:val="00267DB4"/>
    <w:rsid w:val="00272BF6"/>
    <w:rsid w:val="002763A9"/>
    <w:rsid w:val="002778CA"/>
    <w:rsid w:val="002801E1"/>
    <w:rsid w:val="002809AE"/>
    <w:rsid w:val="00283D8F"/>
    <w:rsid w:val="002869B3"/>
    <w:rsid w:val="00291504"/>
    <w:rsid w:val="002931FC"/>
    <w:rsid w:val="0029343E"/>
    <w:rsid w:val="00294568"/>
    <w:rsid w:val="00294792"/>
    <w:rsid w:val="002A0124"/>
    <w:rsid w:val="002A0B47"/>
    <w:rsid w:val="002A3691"/>
    <w:rsid w:val="002A4225"/>
    <w:rsid w:val="002A5DF0"/>
    <w:rsid w:val="002A61AC"/>
    <w:rsid w:val="002A79D0"/>
    <w:rsid w:val="002B0463"/>
    <w:rsid w:val="002B145A"/>
    <w:rsid w:val="002B1691"/>
    <w:rsid w:val="002B4560"/>
    <w:rsid w:val="002C1380"/>
    <w:rsid w:val="002C2266"/>
    <w:rsid w:val="002C43C4"/>
    <w:rsid w:val="002C63EE"/>
    <w:rsid w:val="002C64E3"/>
    <w:rsid w:val="002D1071"/>
    <w:rsid w:val="002D18BC"/>
    <w:rsid w:val="002D2714"/>
    <w:rsid w:val="002D2CBF"/>
    <w:rsid w:val="002D2CDE"/>
    <w:rsid w:val="002D4618"/>
    <w:rsid w:val="002D4810"/>
    <w:rsid w:val="002D6C2D"/>
    <w:rsid w:val="002E362C"/>
    <w:rsid w:val="002E4EC8"/>
    <w:rsid w:val="002E6838"/>
    <w:rsid w:val="002F11F8"/>
    <w:rsid w:val="003027C5"/>
    <w:rsid w:val="003041F1"/>
    <w:rsid w:val="003076E8"/>
    <w:rsid w:val="0031045F"/>
    <w:rsid w:val="003109DC"/>
    <w:rsid w:val="003116DB"/>
    <w:rsid w:val="0031549E"/>
    <w:rsid w:val="003154C4"/>
    <w:rsid w:val="00316570"/>
    <w:rsid w:val="00322EE5"/>
    <w:rsid w:val="003230C7"/>
    <w:rsid w:val="0032349C"/>
    <w:rsid w:val="0033595E"/>
    <w:rsid w:val="00343731"/>
    <w:rsid w:val="003460E6"/>
    <w:rsid w:val="0034623D"/>
    <w:rsid w:val="00347976"/>
    <w:rsid w:val="00350B1A"/>
    <w:rsid w:val="00352139"/>
    <w:rsid w:val="003525C8"/>
    <w:rsid w:val="00354715"/>
    <w:rsid w:val="00356499"/>
    <w:rsid w:val="003603E2"/>
    <w:rsid w:val="00360C57"/>
    <w:rsid w:val="00360E64"/>
    <w:rsid w:val="003624D9"/>
    <w:rsid w:val="00363A42"/>
    <w:rsid w:val="003655A5"/>
    <w:rsid w:val="00365718"/>
    <w:rsid w:val="003672B1"/>
    <w:rsid w:val="00371569"/>
    <w:rsid w:val="0037252A"/>
    <w:rsid w:val="00373274"/>
    <w:rsid w:val="00375F8A"/>
    <w:rsid w:val="0038000F"/>
    <w:rsid w:val="003816C1"/>
    <w:rsid w:val="00382D68"/>
    <w:rsid w:val="003831D7"/>
    <w:rsid w:val="00385147"/>
    <w:rsid w:val="003859C1"/>
    <w:rsid w:val="00390C19"/>
    <w:rsid w:val="0039111C"/>
    <w:rsid w:val="00392FC6"/>
    <w:rsid w:val="00396206"/>
    <w:rsid w:val="00396F7E"/>
    <w:rsid w:val="003978A4"/>
    <w:rsid w:val="003A2B1A"/>
    <w:rsid w:val="003A49C2"/>
    <w:rsid w:val="003A5060"/>
    <w:rsid w:val="003B1511"/>
    <w:rsid w:val="003B1EE4"/>
    <w:rsid w:val="003B5E17"/>
    <w:rsid w:val="003B6C1D"/>
    <w:rsid w:val="003B787A"/>
    <w:rsid w:val="003B7D04"/>
    <w:rsid w:val="003C11C9"/>
    <w:rsid w:val="003C1927"/>
    <w:rsid w:val="003C2232"/>
    <w:rsid w:val="003C3746"/>
    <w:rsid w:val="003C3C84"/>
    <w:rsid w:val="003C48D4"/>
    <w:rsid w:val="003C5C3B"/>
    <w:rsid w:val="003C66CD"/>
    <w:rsid w:val="003C729E"/>
    <w:rsid w:val="003D5F71"/>
    <w:rsid w:val="003D7BC5"/>
    <w:rsid w:val="003E1CE3"/>
    <w:rsid w:val="003E2A23"/>
    <w:rsid w:val="003E5577"/>
    <w:rsid w:val="003F11B5"/>
    <w:rsid w:val="003F2E8A"/>
    <w:rsid w:val="003F3A38"/>
    <w:rsid w:val="003F53CE"/>
    <w:rsid w:val="003F7568"/>
    <w:rsid w:val="0040042F"/>
    <w:rsid w:val="004027A2"/>
    <w:rsid w:val="00406D8C"/>
    <w:rsid w:val="004124BF"/>
    <w:rsid w:val="004141A7"/>
    <w:rsid w:val="0041755B"/>
    <w:rsid w:val="0041784F"/>
    <w:rsid w:val="00420112"/>
    <w:rsid w:val="00420C84"/>
    <w:rsid w:val="0042205C"/>
    <w:rsid w:val="00423C8B"/>
    <w:rsid w:val="00426944"/>
    <w:rsid w:val="004301C6"/>
    <w:rsid w:val="004313B9"/>
    <w:rsid w:val="004367D7"/>
    <w:rsid w:val="00441F4B"/>
    <w:rsid w:val="00442C2F"/>
    <w:rsid w:val="00444265"/>
    <w:rsid w:val="00444D43"/>
    <w:rsid w:val="00445A7B"/>
    <w:rsid w:val="00452552"/>
    <w:rsid w:val="004528AB"/>
    <w:rsid w:val="00452C22"/>
    <w:rsid w:val="00453048"/>
    <w:rsid w:val="00455583"/>
    <w:rsid w:val="0046194E"/>
    <w:rsid w:val="00462B5C"/>
    <w:rsid w:val="00463F21"/>
    <w:rsid w:val="00464013"/>
    <w:rsid w:val="0046447E"/>
    <w:rsid w:val="004657FA"/>
    <w:rsid w:val="004660B9"/>
    <w:rsid w:val="00467916"/>
    <w:rsid w:val="00471FE0"/>
    <w:rsid w:val="00472F03"/>
    <w:rsid w:val="00477587"/>
    <w:rsid w:val="00483C12"/>
    <w:rsid w:val="00483E3F"/>
    <w:rsid w:val="0049005A"/>
    <w:rsid w:val="0049266E"/>
    <w:rsid w:val="004A013A"/>
    <w:rsid w:val="004A0CC0"/>
    <w:rsid w:val="004A2A0E"/>
    <w:rsid w:val="004A649A"/>
    <w:rsid w:val="004A673B"/>
    <w:rsid w:val="004B2608"/>
    <w:rsid w:val="004B4873"/>
    <w:rsid w:val="004B5FA3"/>
    <w:rsid w:val="004C0DAE"/>
    <w:rsid w:val="004C1C37"/>
    <w:rsid w:val="004C43FF"/>
    <w:rsid w:val="004C5352"/>
    <w:rsid w:val="004C6785"/>
    <w:rsid w:val="004D222E"/>
    <w:rsid w:val="004D2BFE"/>
    <w:rsid w:val="004D3767"/>
    <w:rsid w:val="004D5DCF"/>
    <w:rsid w:val="004E2ADA"/>
    <w:rsid w:val="004E58CB"/>
    <w:rsid w:val="004F1022"/>
    <w:rsid w:val="004F4178"/>
    <w:rsid w:val="004F476C"/>
    <w:rsid w:val="004F49C9"/>
    <w:rsid w:val="004F4ECA"/>
    <w:rsid w:val="004F60D5"/>
    <w:rsid w:val="00500DC4"/>
    <w:rsid w:val="00501AFE"/>
    <w:rsid w:val="00504789"/>
    <w:rsid w:val="00506C57"/>
    <w:rsid w:val="0050704C"/>
    <w:rsid w:val="005073CC"/>
    <w:rsid w:val="005111C7"/>
    <w:rsid w:val="00513112"/>
    <w:rsid w:val="005179D1"/>
    <w:rsid w:val="00520F7A"/>
    <w:rsid w:val="00525540"/>
    <w:rsid w:val="005278E2"/>
    <w:rsid w:val="00530B2B"/>
    <w:rsid w:val="005354DF"/>
    <w:rsid w:val="005364A9"/>
    <w:rsid w:val="0054089B"/>
    <w:rsid w:val="005411E6"/>
    <w:rsid w:val="005421FF"/>
    <w:rsid w:val="00543B69"/>
    <w:rsid w:val="0054605A"/>
    <w:rsid w:val="00547175"/>
    <w:rsid w:val="005515B7"/>
    <w:rsid w:val="00551A05"/>
    <w:rsid w:val="00551A44"/>
    <w:rsid w:val="00555E2D"/>
    <w:rsid w:val="005579C8"/>
    <w:rsid w:val="00557B0A"/>
    <w:rsid w:val="00561048"/>
    <w:rsid w:val="005610A9"/>
    <w:rsid w:val="00561ED2"/>
    <w:rsid w:val="00561F29"/>
    <w:rsid w:val="00561F54"/>
    <w:rsid w:val="005630D6"/>
    <w:rsid w:val="005632DA"/>
    <w:rsid w:val="00564789"/>
    <w:rsid w:val="00565312"/>
    <w:rsid w:val="00567971"/>
    <w:rsid w:val="0057139E"/>
    <w:rsid w:val="00571C48"/>
    <w:rsid w:val="0057432F"/>
    <w:rsid w:val="00574DFD"/>
    <w:rsid w:val="00575AEB"/>
    <w:rsid w:val="00577932"/>
    <w:rsid w:val="00577F52"/>
    <w:rsid w:val="00582188"/>
    <w:rsid w:val="005826E4"/>
    <w:rsid w:val="00584969"/>
    <w:rsid w:val="005909A4"/>
    <w:rsid w:val="00592FB6"/>
    <w:rsid w:val="00593895"/>
    <w:rsid w:val="0059394D"/>
    <w:rsid w:val="005A358A"/>
    <w:rsid w:val="005A5120"/>
    <w:rsid w:val="005A5317"/>
    <w:rsid w:val="005A5E27"/>
    <w:rsid w:val="005A6DA5"/>
    <w:rsid w:val="005A6FA5"/>
    <w:rsid w:val="005B07EE"/>
    <w:rsid w:val="005B1BD4"/>
    <w:rsid w:val="005B1DB3"/>
    <w:rsid w:val="005B4D47"/>
    <w:rsid w:val="005B7857"/>
    <w:rsid w:val="005C2653"/>
    <w:rsid w:val="005C5C81"/>
    <w:rsid w:val="005C6E4F"/>
    <w:rsid w:val="005D053D"/>
    <w:rsid w:val="005D0DED"/>
    <w:rsid w:val="005D36D4"/>
    <w:rsid w:val="005D4BA9"/>
    <w:rsid w:val="005D68CD"/>
    <w:rsid w:val="005E1303"/>
    <w:rsid w:val="005E20C6"/>
    <w:rsid w:val="005E33E6"/>
    <w:rsid w:val="005E552D"/>
    <w:rsid w:val="005F0632"/>
    <w:rsid w:val="005F3AAC"/>
    <w:rsid w:val="005F3F29"/>
    <w:rsid w:val="005F48E4"/>
    <w:rsid w:val="005F60CC"/>
    <w:rsid w:val="005F69EA"/>
    <w:rsid w:val="005F6F27"/>
    <w:rsid w:val="005F7234"/>
    <w:rsid w:val="0060133B"/>
    <w:rsid w:val="0060199B"/>
    <w:rsid w:val="00601C26"/>
    <w:rsid w:val="00603DAD"/>
    <w:rsid w:val="0060495F"/>
    <w:rsid w:val="0060564A"/>
    <w:rsid w:val="00605E71"/>
    <w:rsid w:val="00607198"/>
    <w:rsid w:val="00620961"/>
    <w:rsid w:val="006263F5"/>
    <w:rsid w:val="00630EC9"/>
    <w:rsid w:val="00632201"/>
    <w:rsid w:val="006333C8"/>
    <w:rsid w:val="0063426B"/>
    <w:rsid w:val="00634EDD"/>
    <w:rsid w:val="00636887"/>
    <w:rsid w:val="006410BE"/>
    <w:rsid w:val="00643BA2"/>
    <w:rsid w:val="0064402E"/>
    <w:rsid w:val="0064545B"/>
    <w:rsid w:val="00645B46"/>
    <w:rsid w:val="00646732"/>
    <w:rsid w:val="006467AA"/>
    <w:rsid w:val="00647ED3"/>
    <w:rsid w:val="00647F5B"/>
    <w:rsid w:val="00651F28"/>
    <w:rsid w:val="00653DC7"/>
    <w:rsid w:val="00660895"/>
    <w:rsid w:val="006609B5"/>
    <w:rsid w:val="006618D6"/>
    <w:rsid w:val="00662C0D"/>
    <w:rsid w:val="00665D04"/>
    <w:rsid w:val="00665F12"/>
    <w:rsid w:val="0066772F"/>
    <w:rsid w:val="006708E2"/>
    <w:rsid w:val="0067212D"/>
    <w:rsid w:val="00673167"/>
    <w:rsid w:val="00673338"/>
    <w:rsid w:val="00673509"/>
    <w:rsid w:val="006759F5"/>
    <w:rsid w:val="00684288"/>
    <w:rsid w:val="00685485"/>
    <w:rsid w:val="00687E50"/>
    <w:rsid w:val="006908AC"/>
    <w:rsid w:val="00694871"/>
    <w:rsid w:val="00694C20"/>
    <w:rsid w:val="00697232"/>
    <w:rsid w:val="00697C02"/>
    <w:rsid w:val="006A08D0"/>
    <w:rsid w:val="006A0C28"/>
    <w:rsid w:val="006A0FDF"/>
    <w:rsid w:val="006A1BD1"/>
    <w:rsid w:val="006A2876"/>
    <w:rsid w:val="006A298B"/>
    <w:rsid w:val="006A4DF4"/>
    <w:rsid w:val="006A55D0"/>
    <w:rsid w:val="006A5FED"/>
    <w:rsid w:val="006A7C17"/>
    <w:rsid w:val="006A7E8A"/>
    <w:rsid w:val="006A7FE3"/>
    <w:rsid w:val="006B0F30"/>
    <w:rsid w:val="006B1926"/>
    <w:rsid w:val="006B2E56"/>
    <w:rsid w:val="006B32F8"/>
    <w:rsid w:val="006B4BF8"/>
    <w:rsid w:val="006B5698"/>
    <w:rsid w:val="006B5927"/>
    <w:rsid w:val="006B6845"/>
    <w:rsid w:val="006B784D"/>
    <w:rsid w:val="006C2738"/>
    <w:rsid w:val="006C34F9"/>
    <w:rsid w:val="006C61D5"/>
    <w:rsid w:val="006D0F7F"/>
    <w:rsid w:val="006D3E8F"/>
    <w:rsid w:val="006D5A21"/>
    <w:rsid w:val="006D64B2"/>
    <w:rsid w:val="006E00B9"/>
    <w:rsid w:val="006E084A"/>
    <w:rsid w:val="006E17C2"/>
    <w:rsid w:val="006E38D2"/>
    <w:rsid w:val="006E3BED"/>
    <w:rsid w:val="006E4354"/>
    <w:rsid w:val="006E483E"/>
    <w:rsid w:val="006E72AD"/>
    <w:rsid w:val="006F1074"/>
    <w:rsid w:val="006F24B7"/>
    <w:rsid w:val="006F40ED"/>
    <w:rsid w:val="006F4A74"/>
    <w:rsid w:val="006F5D0E"/>
    <w:rsid w:val="006F748A"/>
    <w:rsid w:val="00703FD8"/>
    <w:rsid w:val="00704E5B"/>
    <w:rsid w:val="0070689A"/>
    <w:rsid w:val="00710E1B"/>
    <w:rsid w:val="007110AA"/>
    <w:rsid w:val="00713895"/>
    <w:rsid w:val="00715185"/>
    <w:rsid w:val="0071587D"/>
    <w:rsid w:val="00716677"/>
    <w:rsid w:val="00724752"/>
    <w:rsid w:val="007265BE"/>
    <w:rsid w:val="00726745"/>
    <w:rsid w:val="00727309"/>
    <w:rsid w:val="00727AB3"/>
    <w:rsid w:val="007303D8"/>
    <w:rsid w:val="007307AE"/>
    <w:rsid w:val="00730C1F"/>
    <w:rsid w:val="0073161B"/>
    <w:rsid w:val="00736ABA"/>
    <w:rsid w:val="00737131"/>
    <w:rsid w:val="00737A76"/>
    <w:rsid w:val="00740F0E"/>
    <w:rsid w:val="007419DD"/>
    <w:rsid w:val="00742B1C"/>
    <w:rsid w:val="0074378F"/>
    <w:rsid w:val="00744443"/>
    <w:rsid w:val="007444E5"/>
    <w:rsid w:val="0075096E"/>
    <w:rsid w:val="007512DC"/>
    <w:rsid w:val="007538A6"/>
    <w:rsid w:val="00754D6F"/>
    <w:rsid w:val="00756187"/>
    <w:rsid w:val="00764FAE"/>
    <w:rsid w:val="0076588D"/>
    <w:rsid w:val="007675FD"/>
    <w:rsid w:val="007676F2"/>
    <w:rsid w:val="007700C4"/>
    <w:rsid w:val="00772F3B"/>
    <w:rsid w:val="00773176"/>
    <w:rsid w:val="00774204"/>
    <w:rsid w:val="00774478"/>
    <w:rsid w:val="00777963"/>
    <w:rsid w:val="00777FE8"/>
    <w:rsid w:val="00786647"/>
    <w:rsid w:val="007912A5"/>
    <w:rsid w:val="00793406"/>
    <w:rsid w:val="00794A6C"/>
    <w:rsid w:val="007A4D05"/>
    <w:rsid w:val="007A5156"/>
    <w:rsid w:val="007A5CA5"/>
    <w:rsid w:val="007A7917"/>
    <w:rsid w:val="007B254A"/>
    <w:rsid w:val="007B566E"/>
    <w:rsid w:val="007C0267"/>
    <w:rsid w:val="007C03B8"/>
    <w:rsid w:val="007C1443"/>
    <w:rsid w:val="007C1E8A"/>
    <w:rsid w:val="007C343E"/>
    <w:rsid w:val="007C5D9F"/>
    <w:rsid w:val="007C7DAD"/>
    <w:rsid w:val="007D0326"/>
    <w:rsid w:val="007D0988"/>
    <w:rsid w:val="007D1E47"/>
    <w:rsid w:val="007D2060"/>
    <w:rsid w:val="007D3693"/>
    <w:rsid w:val="007D52F3"/>
    <w:rsid w:val="007D62DF"/>
    <w:rsid w:val="007D630F"/>
    <w:rsid w:val="007D6EA9"/>
    <w:rsid w:val="007E7575"/>
    <w:rsid w:val="007F0850"/>
    <w:rsid w:val="007F25FF"/>
    <w:rsid w:val="007F34AA"/>
    <w:rsid w:val="007F70AA"/>
    <w:rsid w:val="008060A7"/>
    <w:rsid w:val="00806962"/>
    <w:rsid w:val="00813D1F"/>
    <w:rsid w:val="0081489B"/>
    <w:rsid w:val="008152C6"/>
    <w:rsid w:val="00820F90"/>
    <w:rsid w:val="0082206B"/>
    <w:rsid w:val="008250A6"/>
    <w:rsid w:val="0082582F"/>
    <w:rsid w:val="00825B3D"/>
    <w:rsid w:val="00826216"/>
    <w:rsid w:val="008279D9"/>
    <w:rsid w:val="00830274"/>
    <w:rsid w:val="008308C6"/>
    <w:rsid w:val="00832031"/>
    <w:rsid w:val="0083479A"/>
    <w:rsid w:val="008358E4"/>
    <w:rsid w:val="008358E8"/>
    <w:rsid w:val="00836DE8"/>
    <w:rsid w:val="008371C6"/>
    <w:rsid w:val="00844537"/>
    <w:rsid w:val="00844649"/>
    <w:rsid w:val="00845C74"/>
    <w:rsid w:val="00847C9E"/>
    <w:rsid w:val="00850752"/>
    <w:rsid w:val="00850D71"/>
    <w:rsid w:val="0085144B"/>
    <w:rsid w:val="00852A22"/>
    <w:rsid w:val="00854B16"/>
    <w:rsid w:val="00855AA5"/>
    <w:rsid w:val="00857992"/>
    <w:rsid w:val="0086323C"/>
    <w:rsid w:val="00863F64"/>
    <w:rsid w:val="0086555E"/>
    <w:rsid w:val="008660D5"/>
    <w:rsid w:val="0087077B"/>
    <w:rsid w:val="00876D27"/>
    <w:rsid w:val="008773AA"/>
    <w:rsid w:val="00877DD8"/>
    <w:rsid w:val="00880EAE"/>
    <w:rsid w:val="008841F0"/>
    <w:rsid w:val="00884425"/>
    <w:rsid w:val="0088464F"/>
    <w:rsid w:val="00885619"/>
    <w:rsid w:val="00887DCF"/>
    <w:rsid w:val="00890B46"/>
    <w:rsid w:val="00890C70"/>
    <w:rsid w:val="008910EB"/>
    <w:rsid w:val="00891171"/>
    <w:rsid w:val="00892165"/>
    <w:rsid w:val="0089309E"/>
    <w:rsid w:val="008934E7"/>
    <w:rsid w:val="00893ED2"/>
    <w:rsid w:val="00894E7E"/>
    <w:rsid w:val="00895F40"/>
    <w:rsid w:val="008A623A"/>
    <w:rsid w:val="008B257F"/>
    <w:rsid w:val="008B2EBD"/>
    <w:rsid w:val="008B3447"/>
    <w:rsid w:val="008B6085"/>
    <w:rsid w:val="008B7B53"/>
    <w:rsid w:val="008C1E10"/>
    <w:rsid w:val="008C4FD7"/>
    <w:rsid w:val="008D0DC4"/>
    <w:rsid w:val="008D16D1"/>
    <w:rsid w:val="008D238A"/>
    <w:rsid w:val="008D31EC"/>
    <w:rsid w:val="008D4FDA"/>
    <w:rsid w:val="008D555B"/>
    <w:rsid w:val="008D5AEC"/>
    <w:rsid w:val="008D69EA"/>
    <w:rsid w:val="008E119F"/>
    <w:rsid w:val="008E1B0B"/>
    <w:rsid w:val="008E4FD6"/>
    <w:rsid w:val="008E6611"/>
    <w:rsid w:val="008E7EDD"/>
    <w:rsid w:val="008F3050"/>
    <w:rsid w:val="008F325D"/>
    <w:rsid w:val="008F35D9"/>
    <w:rsid w:val="008F41D5"/>
    <w:rsid w:val="008F4276"/>
    <w:rsid w:val="008F4426"/>
    <w:rsid w:val="008F5E4F"/>
    <w:rsid w:val="00901C18"/>
    <w:rsid w:val="00901D0E"/>
    <w:rsid w:val="0090214D"/>
    <w:rsid w:val="009030C9"/>
    <w:rsid w:val="009034AE"/>
    <w:rsid w:val="009038CF"/>
    <w:rsid w:val="009040FB"/>
    <w:rsid w:val="00905089"/>
    <w:rsid w:val="00906753"/>
    <w:rsid w:val="00907656"/>
    <w:rsid w:val="00915309"/>
    <w:rsid w:val="00917452"/>
    <w:rsid w:val="00921873"/>
    <w:rsid w:val="00921BF6"/>
    <w:rsid w:val="00921E8E"/>
    <w:rsid w:val="00922592"/>
    <w:rsid w:val="00922EF4"/>
    <w:rsid w:val="009244D3"/>
    <w:rsid w:val="00925AC8"/>
    <w:rsid w:val="00930EEE"/>
    <w:rsid w:val="0093736F"/>
    <w:rsid w:val="00941355"/>
    <w:rsid w:val="00946891"/>
    <w:rsid w:val="00946EAC"/>
    <w:rsid w:val="009555B3"/>
    <w:rsid w:val="0095730A"/>
    <w:rsid w:val="00957A28"/>
    <w:rsid w:val="00957E17"/>
    <w:rsid w:val="00962563"/>
    <w:rsid w:val="00963632"/>
    <w:rsid w:val="0096469A"/>
    <w:rsid w:val="009648C6"/>
    <w:rsid w:val="00967AC6"/>
    <w:rsid w:val="00970D91"/>
    <w:rsid w:val="00976BBC"/>
    <w:rsid w:val="00984393"/>
    <w:rsid w:val="00985C54"/>
    <w:rsid w:val="009915A1"/>
    <w:rsid w:val="00991DC6"/>
    <w:rsid w:val="00994E87"/>
    <w:rsid w:val="00995FCD"/>
    <w:rsid w:val="00997C10"/>
    <w:rsid w:val="00997E44"/>
    <w:rsid w:val="009A56BF"/>
    <w:rsid w:val="009A6DFB"/>
    <w:rsid w:val="009A70DB"/>
    <w:rsid w:val="009B2902"/>
    <w:rsid w:val="009B33FF"/>
    <w:rsid w:val="009B7345"/>
    <w:rsid w:val="009C2A84"/>
    <w:rsid w:val="009C6F0D"/>
    <w:rsid w:val="009D4B1D"/>
    <w:rsid w:val="009D4D13"/>
    <w:rsid w:val="009D5FCE"/>
    <w:rsid w:val="009E00D2"/>
    <w:rsid w:val="009E015E"/>
    <w:rsid w:val="009E387D"/>
    <w:rsid w:val="009E6E82"/>
    <w:rsid w:val="009F0253"/>
    <w:rsid w:val="009F11AF"/>
    <w:rsid w:val="009F3D81"/>
    <w:rsid w:val="009F581B"/>
    <w:rsid w:val="00A0044F"/>
    <w:rsid w:val="00A005F8"/>
    <w:rsid w:val="00A0133A"/>
    <w:rsid w:val="00A0210B"/>
    <w:rsid w:val="00A02524"/>
    <w:rsid w:val="00A02A37"/>
    <w:rsid w:val="00A02A90"/>
    <w:rsid w:val="00A02B36"/>
    <w:rsid w:val="00A03B9D"/>
    <w:rsid w:val="00A040DC"/>
    <w:rsid w:val="00A047E2"/>
    <w:rsid w:val="00A04A3F"/>
    <w:rsid w:val="00A062C3"/>
    <w:rsid w:val="00A06A57"/>
    <w:rsid w:val="00A112F3"/>
    <w:rsid w:val="00A11572"/>
    <w:rsid w:val="00A11A45"/>
    <w:rsid w:val="00A11EC7"/>
    <w:rsid w:val="00A14226"/>
    <w:rsid w:val="00A21612"/>
    <w:rsid w:val="00A22D18"/>
    <w:rsid w:val="00A32089"/>
    <w:rsid w:val="00A36363"/>
    <w:rsid w:val="00A37B5D"/>
    <w:rsid w:val="00A41DCA"/>
    <w:rsid w:val="00A46387"/>
    <w:rsid w:val="00A4662D"/>
    <w:rsid w:val="00A47AE7"/>
    <w:rsid w:val="00A5425C"/>
    <w:rsid w:val="00A5737D"/>
    <w:rsid w:val="00A60BDF"/>
    <w:rsid w:val="00A6169B"/>
    <w:rsid w:val="00A65088"/>
    <w:rsid w:val="00A71D68"/>
    <w:rsid w:val="00A720FA"/>
    <w:rsid w:val="00A726B6"/>
    <w:rsid w:val="00A73453"/>
    <w:rsid w:val="00A75704"/>
    <w:rsid w:val="00A773D8"/>
    <w:rsid w:val="00A80CE6"/>
    <w:rsid w:val="00A85C80"/>
    <w:rsid w:val="00A86A90"/>
    <w:rsid w:val="00A86BE7"/>
    <w:rsid w:val="00A911E4"/>
    <w:rsid w:val="00A94DE5"/>
    <w:rsid w:val="00A94F07"/>
    <w:rsid w:val="00A95136"/>
    <w:rsid w:val="00A9657B"/>
    <w:rsid w:val="00AA2735"/>
    <w:rsid w:val="00AA2918"/>
    <w:rsid w:val="00AA5E7C"/>
    <w:rsid w:val="00AB0E75"/>
    <w:rsid w:val="00AB1C64"/>
    <w:rsid w:val="00AB72AD"/>
    <w:rsid w:val="00AB735F"/>
    <w:rsid w:val="00AC2552"/>
    <w:rsid w:val="00AC3316"/>
    <w:rsid w:val="00AC4835"/>
    <w:rsid w:val="00AC753A"/>
    <w:rsid w:val="00AD08EE"/>
    <w:rsid w:val="00AE0287"/>
    <w:rsid w:val="00AE1144"/>
    <w:rsid w:val="00AE7347"/>
    <w:rsid w:val="00AE7F98"/>
    <w:rsid w:val="00AF0FA9"/>
    <w:rsid w:val="00AF1DFE"/>
    <w:rsid w:val="00AF24FF"/>
    <w:rsid w:val="00AF308A"/>
    <w:rsid w:val="00AF76C4"/>
    <w:rsid w:val="00B02DD3"/>
    <w:rsid w:val="00B050D1"/>
    <w:rsid w:val="00B06448"/>
    <w:rsid w:val="00B06BB3"/>
    <w:rsid w:val="00B0762E"/>
    <w:rsid w:val="00B07813"/>
    <w:rsid w:val="00B10DF5"/>
    <w:rsid w:val="00B12C46"/>
    <w:rsid w:val="00B13AEA"/>
    <w:rsid w:val="00B13EBB"/>
    <w:rsid w:val="00B15149"/>
    <w:rsid w:val="00B23210"/>
    <w:rsid w:val="00B25018"/>
    <w:rsid w:val="00B26D3C"/>
    <w:rsid w:val="00B27798"/>
    <w:rsid w:val="00B27A80"/>
    <w:rsid w:val="00B30626"/>
    <w:rsid w:val="00B3321F"/>
    <w:rsid w:val="00B40EE4"/>
    <w:rsid w:val="00B43174"/>
    <w:rsid w:val="00B447F0"/>
    <w:rsid w:val="00B46997"/>
    <w:rsid w:val="00B55703"/>
    <w:rsid w:val="00B6041D"/>
    <w:rsid w:val="00B64069"/>
    <w:rsid w:val="00B6601F"/>
    <w:rsid w:val="00B703C3"/>
    <w:rsid w:val="00B7349B"/>
    <w:rsid w:val="00B73CC5"/>
    <w:rsid w:val="00B74E9E"/>
    <w:rsid w:val="00B800C3"/>
    <w:rsid w:val="00B83209"/>
    <w:rsid w:val="00B860F0"/>
    <w:rsid w:val="00B8612A"/>
    <w:rsid w:val="00B86657"/>
    <w:rsid w:val="00B906FA"/>
    <w:rsid w:val="00B90D3D"/>
    <w:rsid w:val="00B91627"/>
    <w:rsid w:val="00B9187D"/>
    <w:rsid w:val="00B91C1A"/>
    <w:rsid w:val="00B92453"/>
    <w:rsid w:val="00B933D4"/>
    <w:rsid w:val="00B97CF3"/>
    <w:rsid w:val="00BA555D"/>
    <w:rsid w:val="00BA5654"/>
    <w:rsid w:val="00BA5D9D"/>
    <w:rsid w:val="00BA6D88"/>
    <w:rsid w:val="00BB0345"/>
    <w:rsid w:val="00BB34C1"/>
    <w:rsid w:val="00BB69EE"/>
    <w:rsid w:val="00BC1CE2"/>
    <w:rsid w:val="00BC701D"/>
    <w:rsid w:val="00BC7429"/>
    <w:rsid w:val="00BD0BCF"/>
    <w:rsid w:val="00BD69E3"/>
    <w:rsid w:val="00BD7877"/>
    <w:rsid w:val="00BE1794"/>
    <w:rsid w:val="00BE25C7"/>
    <w:rsid w:val="00BE2F95"/>
    <w:rsid w:val="00BE31E6"/>
    <w:rsid w:val="00BE72B2"/>
    <w:rsid w:val="00BE79EF"/>
    <w:rsid w:val="00BE7DE7"/>
    <w:rsid w:val="00BF0106"/>
    <w:rsid w:val="00BF0650"/>
    <w:rsid w:val="00BF0BCA"/>
    <w:rsid w:val="00BF10C5"/>
    <w:rsid w:val="00BF3C25"/>
    <w:rsid w:val="00BF41F5"/>
    <w:rsid w:val="00BF57C8"/>
    <w:rsid w:val="00C02C56"/>
    <w:rsid w:val="00C05080"/>
    <w:rsid w:val="00C06D15"/>
    <w:rsid w:val="00C10FC6"/>
    <w:rsid w:val="00C12572"/>
    <w:rsid w:val="00C12989"/>
    <w:rsid w:val="00C15388"/>
    <w:rsid w:val="00C1563F"/>
    <w:rsid w:val="00C20FB9"/>
    <w:rsid w:val="00C23CC4"/>
    <w:rsid w:val="00C25C41"/>
    <w:rsid w:val="00C305F8"/>
    <w:rsid w:val="00C37156"/>
    <w:rsid w:val="00C41337"/>
    <w:rsid w:val="00C42A0A"/>
    <w:rsid w:val="00C45DB7"/>
    <w:rsid w:val="00C46AF0"/>
    <w:rsid w:val="00C506D2"/>
    <w:rsid w:val="00C52BE8"/>
    <w:rsid w:val="00C53721"/>
    <w:rsid w:val="00C53B57"/>
    <w:rsid w:val="00C56624"/>
    <w:rsid w:val="00C57FD5"/>
    <w:rsid w:val="00C62969"/>
    <w:rsid w:val="00C6359F"/>
    <w:rsid w:val="00C63F82"/>
    <w:rsid w:val="00C66A26"/>
    <w:rsid w:val="00C703BA"/>
    <w:rsid w:val="00C70544"/>
    <w:rsid w:val="00C70CA5"/>
    <w:rsid w:val="00C713FD"/>
    <w:rsid w:val="00C74614"/>
    <w:rsid w:val="00C77B97"/>
    <w:rsid w:val="00C84A89"/>
    <w:rsid w:val="00C8511C"/>
    <w:rsid w:val="00C855A6"/>
    <w:rsid w:val="00C86030"/>
    <w:rsid w:val="00C94874"/>
    <w:rsid w:val="00C96DBB"/>
    <w:rsid w:val="00C96FD7"/>
    <w:rsid w:val="00CA22AE"/>
    <w:rsid w:val="00CA2E34"/>
    <w:rsid w:val="00CA2EC7"/>
    <w:rsid w:val="00CA3A60"/>
    <w:rsid w:val="00CA4299"/>
    <w:rsid w:val="00CA531C"/>
    <w:rsid w:val="00CA71A2"/>
    <w:rsid w:val="00CA7888"/>
    <w:rsid w:val="00CB480F"/>
    <w:rsid w:val="00CB4BFA"/>
    <w:rsid w:val="00CC19DD"/>
    <w:rsid w:val="00CC41AF"/>
    <w:rsid w:val="00CD0420"/>
    <w:rsid w:val="00CD2856"/>
    <w:rsid w:val="00CD4547"/>
    <w:rsid w:val="00CE1B7E"/>
    <w:rsid w:val="00CE2C9F"/>
    <w:rsid w:val="00CE3EDE"/>
    <w:rsid w:val="00CE469B"/>
    <w:rsid w:val="00CE4D1C"/>
    <w:rsid w:val="00CE58EC"/>
    <w:rsid w:val="00CE6F31"/>
    <w:rsid w:val="00CE7244"/>
    <w:rsid w:val="00CF064B"/>
    <w:rsid w:val="00CF635E"/>
    <w:rsid w:val="00D03739"/>
    <w:rsid w:val="00D07A0D"/>
    <w:rsid w:val="00D11266"/>
    <w:rsid w:val="00D112FE"/>
    <w:rsid w:val="00D11A88"/>
    <w:rsid w:val="00D12EA2"/>
    <w:rsid w:val="00D13914"/>
    <w:rsid w:val="00D1698F"/>
    <w:rsid w:val="00D17666"/>
    <w:rsid w:val="00D23DB5"/>
    <w:rsid w:val="00D30883"/>
    <w:rsid w:val="00D31798"/>
    <w:rsid w:val="00D35398"/>
    <w:rsid w:val="00D40EA8"/>
    <w:rsid w:val="00D43624"/>
    <w:rsid w:val="00D4533F"/>
    <w:rsid w:val="00D45B36"/>
    <w:rsid w:val="00D47B44"/>
    <w:rsid w:val="00D53909"/>
    <w:rsid w:val="00D559AF"/>
    <w:rsid w:val="00D566E3"/>
    <w:rsid w:val="00D57081"/>
    <w:rsid w:val="00D57CFD"/>
    <w:rsid w:val="00D6088E"/>
    <w:rsid w:val="00D60C0C"/>
    <w:rsid w:val="00D62194"/>
    <w:rsid w:val="00D621DD"/>
    <w:rsid w:val="00D62C72"/>
    <w:rsid w:val="00D65861"/>
    <w:rsid w:val="00D66EE8"/>
    <w:rsid w:val="00D7598A"/>
    <w:rsid w:val="00D75E27"/>
    <w:rsid w:val="00D75EC2"/>
    <w:rsid w:val="00D76916"/>
    <w:rsid w:val="00D8007D"/>
    <w:rsid w:val="00D80672"/>
    <w:rsid w:val="00D81D89"/>
    <w:rsid w:val="00D8374B"/>
    <w:rsid w:val="00D8452A"/>
    <w:rsid w:val="00D931A1"/>
    <w:rsid w:val="00D94B64"/>
    <w:rsid w:val="00D95592"/>
    <w:rsid w:val="00D9566A"/>
    <w:rsid w:val="00DB1805"/>
    <w:rsid w:val="00DB411E"/>
    <w:rsid w:val="00DB4B2A"/>
    <w:rsid w:val="00DB7EF4"/>
    <w:rsid w:val="00DC4A5A"/>
    <w:rsid w:val="00DD2CA4"/>
    <w:rsid w:val="00DD3091"/>
    <w:rsid w:val="00DD3222"/>
    <w:rsid w:val="00DD4CCD"/>
    <w:rsid w:val="00DD52FC"/>
    <w:rsid w:val="00DE2F54"/>
    <w:rsid w:val="00DE32CF"/>
    <w:rsid w:val="00DE57F0"/>
    <w:rsid w:val="00DE7058"/>
    <w:rsid w:val="00DF0A96"/>
    <w:rsid w:val="00DF2241"/>
    <w:rsid w:val="00DF236D"/>
    <w:rsid w:val="00DF34F1"/>
    <w:rsid w:val="00DF3678"/>
    <w:rsid w:val="00DF67E5"/>
    <w:rsid w:val="00DF7A80"/>
    <w:rsid w:val="00E0015B"/>
    <w:rsid w:val="00E032D8"/>
    <w:rsid w:val="00E037EE"/>
    <w:rsid w:val="00E0380B"/>
    <w:rsid w:val="00E06E4F"/>
    <w:rsid w:val="00E07468"/>
    <w:rsid w:val="00E07DC4"/>
    <w:rsid w:val="00E124C7"/>
    <w:rsid w:val="00E1303C"/>
    <w:rsid w:val="00E149F7"/>
    <w:rsid w:val="00E2114B"/>
    <w:rsid w:val="00E27518"/>
    <w:rsid w:val="00E3342B"/>
    <w:rsid w:val="00E33CA3"/>
    <w:rsid w:val="00E36592"/>
    <w:rsid w:val="00E374D0"/>
    <w:rsid w:val="00E442E3"/>
    <w:rsid w:val="00E443BA"/>
    <w:rsid w:val="00E4544E"/>
    <w:rsid w:val="00E4792B"/>
    <w:rsid w:val="00E47A16"/>
    <w:rsid w:val="00E516C9"/>
    <w:rsid w:val="00E525CD"/>
    <w:rsid w:val="00E53762"/>
    <w:rsid w:val="00E53EDB"/>
    <w:rsid w:val="00E55369"/>
    <w:rsid w:val="00E56D4C"/>
    <w:rsid w:val="00E6029C"/>
    <w:rsid w:val="00E61A0A"/>
    <w:rsid w:val="00E6234E"/>
    <w:rsid w:val="00E62BDD"/>
    <w:rsid w:val="00E62F97"/>
    <w:rsid w:val="00E645F1"/>
    <w:rsid w:val="00E7061B"/>
    <w:rsid w:val="00E72136"/>
    <w:rsid w:val="00E72169"/>
    <w:rsid w:val="00E72E74"/>
    <w:rsid w:val="00E73DA7"/>
    <w:rsid w:val="00E75B0F"/>
    <w:rsid w:val="00E766B3"/>
    <w:rsid w:val="00E7732C"/>
    <w:rsid w:val="00E776A8"/>
    <w:rsid w:val="00E8059C"/>
    <w:rsid w:val="00E8296C"/>
    <w:rsid w:val="00E82A5F"/>
    <w:rsid w:val="00E83A42"/>
    <w:rsid w:val="00E8490F"/>
    <w:rsid w:val="00E866E5"/>
    <w:rsid w:val="00E86A09"/>
    <w:rsid w:val="00E873EC"/>
    <w:rsid w:val="00E9143B"/>
    <w:rsid w:val="00E947C3"/>
    <w:rsid w:val="00E95BA7"/>
    <w:rsid w:val="00E96CA8"/>
    <w:rsid w:val="00EB16A7"/>
    <w:rsid w:val="00EB1ECF"/>
    <w:rsid w:val="00EB2001"/>
    <w:rsid w:val="00EC1E5C"/>
    <w:rsid w:val="00EC2127"/>
    <w:rsid w:val="00EC63DD"/>
    <w:rsid w:val="00EC6AA2"/>
    <w:rsid w:val="00ED128A"/>
    <w:rsid w:val="00ED197A"/>
    <w:rsid w:val="00ED22FA"/>
    <w:rsid w:val="00ED4BA1"/>
    <w:rsid w:val="00ED71D1"/>
    <w:rsid w:val="00ED7EF6"/>
    <w:rsid w:val="00EE0CC8"/>
    <w:rsid w:val="00EE0EE5"/>
    <w:rsid w:val="00EE2B34"/>
    <w:rsid w:val="00EE3906"/>
    <w:rsid w:val="00EE442A"/>
    <w:rsid w:val="00EE5349"/>
    <w:rsid w:val="00EE5FF1"/>
    <w:rsid w:val="00EF138A"/>
    <w:rsid w:val="00EF1DEC"/>
    <w:rsid w:val="00EF30DB"/>
    <w:rsid w:val="00EF317E"/>
    <w:rsid w:val="00EF3599"/>
    <w:rsid w:val="00EF612D"/>
    <w:rsid w:val="00EF61E9"/>
    <w:rsid w:val="00EF7827"/>
    <w:rsid w:val="00EF7BF7"/>
    <w:rsid w:val="00F00F20"/>
    <w:rsid w:val="00F01C7A"/>
    <w:rsid w:val="00F02964"/>
    <w:rsid w:val="00F02A3C"/>
    <w:rsid w:val="00F05931"/>
    <w:rsid w:val="00F06738"/>
    <w:rsid w:val="00F07EB2"/>
    <w:rsid w:val="00F14B8C"/>
    <w:rsid w:val="00F14CC2"/>
    <w:rsid w:val="00F159C3"/>
    <w:rsid w:val="00F206E1"/>
    <w:rsid w:val="00F20BBC"/>
    <w:rsid w:val="00F21C56"/>
    <w:rsid w:val="00F27A2B"/>
    <w:rsid w:val="00F31BB0"/>
    <w:rsid w:val="00F338C3"/>
    <w:rsid w:val="00F35567"/>
    <w:rsid w:val="00F355E9"/>
    <w:rsid w:val="00F35A60"/>
    <w:rsid w:val="00F36AA6"/>
    <w:rsid w:val="00F37E41"/>
    <w:rsid w:val="00F408C4"/>
    <w:rsid w:val="00F41509"/>
    <w:rsid w:val="00F433BC"/>
    <w:rsid w:val="00F44EA4"/>
    <w:rsid w:val="00F45686"/>
    <w:rsid w:val="00F46BF2"/>
    <w:rsid w:val="00F46D7C"/>
    <w:rsid w:val="00F50653"/>
    <w:rsid w:val="00F5768A"/>
    <w:rsid w:val="00F64E1B"/>
    <w:rsid w:val="00F64F1D"/>
    <w:rsid w:val="00F651DD"/>
    <w:rsid w:val="00F677C6"/>
    <w:rsid w:val="00F701EC"/>
    <w:rsid w:val="00F7051B"/>
    <w:rsid w:val="00F7161A"/>
    <w:rsid w:val="00F71A0D"/>
    <w:rsid w:val="00F72ACF"/>
    <w:rsid w:val="00F74B50"/>
    <w:rsid w:val="00F824A6"/>
    <w:rsid w:val="00F82729"/>
    <w:rsid w:val="00F83ACF"/>
    <w:rsid w:val="00F85274"/>
    <w:rsid w:val="00F85D82"/>
    <w:rsid w:val="00F87DE6"/>
    <w:rsid w:val="00F910D1"/>
    <w:rsid w:val="00F91F0B"/>
    <w:rsid w:val="00F922B8"/>
    <w:rsid w:val="00F95277"/>
    <w:rsid w:val="00F956EE"/>
    <w:rsid w:val="00F95A03"/>
    <w:rsid w:val="00FA2492"/>
    <w:rsid w:val="00FA3926"/>
    <w:rsid w:val="00FA77C2"/>
    <w:rsid w:val="00FB080A"/>
    <w:rsid w:val="00FB4822"/>
    <w:rsid w:val="00FC1577"/>
    <w:rsid w:val="00FC36C3"/>
    <w:rsid w:val="00FC3F25"/>
    <w:rsid w:val="00FC4AC6"/>
    <w:rsid w:val="00FC4C6A"/>
    <w:rsid w:val="00FC5DB2"/>
    <w:rsid w:val="00FC6C13"/>
    <w:rsid w:val="00FD119A"/>
    <w:rsid w:val="00FD32A6"/>
    <w:rsid w:val="00FD3D7D"/>
    <w:rsid w:val="00FD3F53"/>
    <w:rsid w:val="00FD4750"/>
    <w:rsid w:val="00FD7C8E"/>
    <w:rsid w:val="00FE2214"/>
    <w:rsid w:val="00FE2FAC"/>
    <w:rsid w:val="00FE3091"/>
    <w:rsid w:val="00FE42A9"/>
    <w:rsid w:val="00FE5B54"/>
    <w:rsid w:val="00FE7C90"/>
    <w:rsid w:val="00FF124A"/>
    <w:rsid w:val="00FF7442"/>
    <w:rsid w:val="011A1AD5"/>
    <w:rsid w:val="013874F3"/>
    <w:rsid w:val="01495AB3"/>
    <w:rsid w:val="015B2C10"/>
    <w:rsid w:val="015D72E1"/>
    <w:rsid w:val="01730ED1"/>
    <w:rsid w:val="019C07FC"/>
    <w:rsid w:val="01BB59E6"/>
    <w:rsid w:val="01C86A9D"/>
    <w:rsid w:val="020447BF"/>
    <w:rsid w:val="021D2A7B"/>
    <w:rsid w:val="02252229"/>
    <w:rsid w:val="02652192"/>
    <w:rsid w:val="02760F79"/>
    <w:rsid w:val="028F5D47"/>
    <w:rsid w:val="02910CF0"/>
    <w:rsid w:val="02CF2C52"/>
    <w:rsid w:val="02EB1795"/>
    <w:rsid w:val="02F25F8A"/>
    <w:rsid w:val="031A5157"/>
    <w:rsid w:val="031D6801"/>
    <w:rsid w:val="032370B7"/>
    <w:rsid w:val="03422016"/>
    <w:rsid w:val="035557BD"/>
    <w:rsid w:val="0363404F"/>
    <w:rsid w:val="03675E2C"/>
    <w:rsid w:val="03736B72"/>
    <w:rsid w:val="03EE21FC"/>
    <w:rsid w:val="04205302"/>
    <w:rsid w:val="04347F0C"/>
    <w:rsid w:val="04536D51"/>
    <w:rsid w:val="04593B9F"/>
    <w:rsid w:val="045D72E6"/>
    <w:rsid w:val="046F1066"/>
    <w:rsid w:val="04780EE0"/>
    <w:rsid w:val="04861F75"/>
    <w:rsid w:val="0489505D"/>
    <w:rsid w:val="04AA61EA"/>
    <w:rsid w:val="04D94D0D"/>
    <w:rsid w:val="04EB6478"/>
    <w:rsid w:val="0512568E"/>
    <w:rsid w:val="051537DC"/>
    <w:rsid w:val="052D07EE"/>
    <w:rsid w:val="05653C73"/>
    <w:rsid w:val="05792F29"/>
    <w:rsid w:val="05792F3B"/>
    <w:rsid w:val="059C56C6"/>
    <w:rsid w:val="05B104EB"/>
    <w:rsid w:val="05F55352"/>
    <w:rsid w:val="05F800C9"/>
    <w:rsid w:val="06101502"/>
    <w:rsid w:val="062252BD"/>
    <w:rsid w:val="06277493"/>
    <w:rsid w:val="06282258"/>
    <w:rsid w:val="062B4B8D"/>
    <w:rsid w:val="063612E6"/>
    <w:rsid w:val="06573A8E"/>
    <w:rsid w:val="065B3E06"/>
    <w:rsid w:val="067202DD"/>
    <w:rsid w:val="067B3FF7"/>
    <w:rsid w:val="06C6525C"/>
    <w:rsid w:val="06C806D9"/>
    <w:rsid w:val="06CD43D3"/>
    <w:rsid w:val="06DB0C2B"/>
    <w:rsid w:val="06DE0E08"/>
    <w:rsid w:val="070D6BD6"/>
    <w:rsid w:val="070F2877"/>
    <w:rsid w:val="071858A9"/>
    <w:rsid w:val="07331B07"/>
    <w:rsid w:val="073916C6"/>
    <w:rsid w:val="075E6106"/>
    <w:rsid w:val="07674330"/>
    <w:rsid w:val="076C1DE9"/>
    <w:rsid w:val="077B2F1C"/>
    <w:rsid w:val="077D2825"/>
    <w:rsid w:val="07A17E1C"/>
    <w:rsid w:val="07A20D9B"/>
    <w:rsid w:val="07B91F51"/>
    <w:rsid w:val="07C36BA4"/>
    <w:rsid w:val="07CB748A"/>
    <w:rsid w:val="07CD421B"/>
    <w:rsid w:val="07D7376A"/>
    <w:rsid w:val="07E0701B"/>
    <w:rsid w:val="07FC65AA"/>
    <w:rsid w:val="084076D2"/>
    <w:rsid w:val="085A76B7"/>
    <w:rsid w:val="086A7EB2"/>
    <w:rsid w:val="08921F3B"/>
    <w:rsid w:val="089937C4"/>
    <w:rsid w:val="08C9085C"/>
    <w:rsid w:val="08CC2165"/>
    <w:rsid w:val="0906590D"/>
    <w:rsid w:val="091A3187"/>
    <w:rsid w:val="092B2880"/>
    <w:rsid w:val="092C1D3E"/>
    <w:rsid w:val="0930632B"/>
    <w:rsid w:val="09400537"/>
    <w:rsid w:val="094C6776"/>
    <w:rsid w:val="096C7705"/>
    <w:rsid w:val="0973668F"/>
    <w:rsid w:val="09C16DD8"/>
    <w:rsid w:val="09C56851"/>
    <w:rsid w:val="09CA203A"/>
    <w:rsid w:val="09E05238"/>
    <w:rsid w:val="09F14419"/>
    <w:rsid w:val="0A027C3F"/>
    <w:rsid w:val="0A0A3F8B"/>
    <w:rsid w:val="0A2B076B"/>
    <w:rsid w:val="0A3F0F39"/>
    <w:rsid w:val="0A5B057E"/>
    <w:rsid w:val="0AAC4BBF"/>
    <w:rsid w:val="0ADC4518"/>
    <w:rsid w:val="0ADD546D"/>
    <w:rsid w:val="0AF05FE0"/>
    <w:rsid w:val="0AFF5966"/>
    <w:rsid w:val="0B0D15B8"/>
    <w:rsid w:val="0B2241A0"/>
    <w:rsid w:val="0B272BA2"/>
    <w:rsid w:val="0B502F02"/>
    <w:rsid w:val="0B8F0246"/>
    <w:rsid w:val="0BBA2E67"/>
    <w:rsid w:val="0BD62D54"/>
    <w:rsid w:val="0C0B293F"/>
    <w:rsid w:val="0C212DCB"/>
    <w:rsid w:val="0C480D35"/>
    <w:rsid w:val="0C573191"/>
    <w:rsid w:val="0C58466A"/>
    <w:rsid w:val="0C7505B4"/>
    <w:rsid w:val="0CA4735D"/>
    <w:rsid w:val="0CB45DFD"/>
    <w:rsid w:val="0D082ECD"/>
    <w:rsid w:val="0D550C5A"/>
    <w:rsid w:val="0D761F1D"/>
    <w:rsid w:val="0DA819FB"/>
    <w:rsid w:val="0DBE6789"/>
    <w:rsid w:val="0DE761B3"/>
    <w:rsid w:val="0DF45326"/>
    <w:rsid w:val="0E0C3477"/>
    <w:rsid w:val="0E131E75"/>
    <w:rsid w:val="0E762578"/>
    <w:rsid w:val="0EAD5EFF"/>
    <w:rsid w:val="0ED43D6E"/>
    <w:rsid w:val="0ED76E0F"/>
    <w:rsid w:val="0EE33DFA"/>
    <w:rsid w:val="0F3828F7"/>
    <w:rsid w:val="0F5E2AA3"/>
    <w:rsid w:val="0F6158E6"/>
    <w:rsid w:val="0F672621"/>
    <w:rsid w:val="0F7673A5"/>
    <w:rsid w:val="0F8D2C90"/>
    <w:rsid w:val="0FEC24F3"/>
    <w:rsid w:val="100B4C16"/>
    <w:rsid w:val="104A32B8"/>
    <w:rsid w:val="104D6FF6"/>
    <w:rsid w:val="1066355B"/>
    <w:rsid w:val="10820E91"/>
    <w:rsid w:val="10826CC1"/>
    <w:rsid w:val="108F4A26"/>
    <w:rsid w:val="10B2495D"/>
    <w:rsid w:val="10B7208D"/>
    <w:rsid w:val="10EB0862"/>
    <w:rsid w:val="11072A94"/>
    <w:rsid w:val="11181973"/>
    <w:rsid w:val="111A3F4C"/>
    <w:rsid w:val="113858B5"/>
    <w:rsid w:val="11535D65"/>
    <w:rsid w:val="119C056B"/>
    <w:rsid w:val="11C1165F"/>
    <w:rsid w:val="11CD37BF"/>
    <w:rsid w:val="11ED100A"/>
    <w:rsid w:val="11F6216A"/>
    <w:rsid w:val="12021FBC"/>
    <w:rsid w:val="1217407B"/>
    <w:rsid w:val="12360FF1"/>
    <w:rsid w:val="12695D4A"/>
    <w:rsid w:val="126A6363"/>
    <w:rsid w:val="127D1F77"/>
    <w:rsid w:val="12A1160B"/>
    <w:rsid w:val="12FE74CA"/>
    <w:rsid w:val="13240E61"/>
    <w:rsid w:val="132F42D1"/>
    <w:rsid w:val="13467D47"/>
    <w:rsid w:val="13626FCA"/>
    <w:rsid w:val="137A1AB5"/>
    <w:rsid w:val="13A04CDC"/>
    <w:rsid w:val="13ED04A0"/>
    <w:rsid w:val="13F16B3B"/>
    <w:rsid w:val="14095EE1"/>
    <w:rsid w:val="140B20E2"/>
    <w:rsid w:val="14287653"/>
    <w:rsid w:val="14296762"/>
    <w:rsid w:val="142B78CB"/>
    <w:rsid w:val="14384B34"/>
    <w:rsid w:val="144C305D"/>
    <w:rsid w:val="145105CA"/>
    <w:rsid w:val="146D5761"/>
    <w:rsid w:val="14767838"/>
    <w:rsid w:val="148E4805"/>
    <w:rsid w:val="14974894"/>
    <w:rsid w:val="14BE4DC2"/>
    <w:rsid w:val="14D66ADD"/>
    <w:rsid w:val="14EA2EE6"/>
    <w:rsid w:val="14FE3FD4"/>
    <w:rsid w:val="15031233"/>
    <w:rsid w:val="150F13AA"/>
    <w:rsid w:val="1517689C"/>
    <w:rsid w:val="151B0A99"/>
    <w:rsid w:val="15294DAC"/>
    <w:rsid w:val="153320CF"/>
    <w:rsid w:val="153411D9"/>
    <w:rsid w:val="1539773F"/>
    <w:rsid w:val="154559BF"/>
    <w:rsid w:val="156D3D6D"/>
    <w:rsid w:val="156D77D7"/>
    <w:rsid w:val="156F531F"/>
    <w:rsid w:val="15B8045F"/>
    <w:rsid w:val="15C07E2F"/>
    <w:rsid w:val="15DB593A"/>
    <w:rsid w:val="16096247"/>
    <w:rsid w:val="160E1A09"/>
    <w:rsid w:val="163817FB"/>
    <w:rsid w:val="163B406C"/>
    <w:rsid w:val="165B02D4"/>
    <w:rsid w:val="165F5C2F"/>
    <w:rsid w:val="167F178C"/>
    <w:rsid w:val="16915329"/>
    <w:rsid w:val="16C41A74"/>
    <w:rsid w:val="16DF0A58"/>
    <w:rsid w:val="16FA2226"/>
    <w:rsid w:val="17356CEA"/>
    <w:rsid w:val="173E5AEF"/>
    <w:rsid w:val="17435D7C"/>
    <w:rsid w:val="17775E7C"/>
    <w:rsid w:val="177A39E6"/>
    <w:rsid w:val="17A9271C"/>
    <w:rsid w:val="17B42DED"/>
    <w:rsid w:val="17C3214F"/>
    <w:rsid w:val="17C53FAC"/>
    <w:rsid w:val="17C5589E"/>
    <w:rsid w:val="18024A46"/>
    <w:rsid w:val="18441F8E"/>
    <w:rsid w:val="18516207"/>
    <w:rsid w:val="185E417C"/>
    <w:rsid w:val="18C128A5"/>
    <w:rsid w:val="18D52CEA"/>
    <w:rsid w:val="18DF0F48"/>
    <w:rsid w:val="19293982"/>
    <w:rsid w:val="192F2A6E"/>
    <w:rsid w:val="193525A3"/>
    <w:rsid w:val="195000BA"/>
    <w:rsid w:val="19842E3C"/>
    <w:rsid w:val="198E6089"/>
    <w:rsid w:val="19B75DCC"/>
    <w:rsid w:val="19B93C00"/>
    <w:rsid w:val="19BC65AE"/>
    <w:rsid w:val="19D40A29"/>
    <w:rsid w:val="1A3A618A"/>
    <w:rsid w:val="1A7937A6"/>
    <w:rsid w:val="1A98405A"/>
    <w:rsid w:val="1AB6568D"/>
    <w:rsid w:val="1AB83EF5"/>
    <w:rsid w:val="1AF61CCA"/>
    <w:rsid w:val="1B0D2072"/>
    <w:rsid w:val="1B1B7262"/>
    <w:rsid w:val="1B322788"/>
    <w:rsid w:val="1B532796"/>
    <w:rsid w:val="1B794AE4"/>
    <w:rsid w:val="1B9A4B23"/>
    <w:rsid w:val="1BBB5E07"/>
    <w:rsid w:val="1BCE4FEB"/>
    <w:rsid w:val="1BCF5366"/>
    <w:rsid w:val="1C005DD3"/>
    <w:rsid w:val="1C1243A7"/>
    <w:rsid w:val="1C3A21F2"/>
    <w:rsid w:val="1C436FA9"/>
    <w:rsid w:val="1C5E7B33"/>
    <w:rsid w:val="1C733C22"/>
    <w:rsid w:val="1C8F01C3"/>
    <w:rsid w:val="1C956948"/>
    <w:rsid w:val="1CB3061C"/>
    <w:rsid w:val="1CBC3854"/>
    <w:rsid w:val="1CC86506"/>
    <w:rsid w:val="1CD31AF4"/>
    <w:rsid w:val="1CDF6DB1"/>
    <w:rsid w:val="1D422F5F"/>
    <w:rsid w:val="1D4955BD"/>
    <w:rsid w:val="1D506C09"/>
    <w:rsid w:val="1D62033D"/>
    <w:rsid w:val="1D641A01"/>
    <w:rsid w:val="1D6923E1"/>
    <w:rsid w:val="1D6F6129"/>
    <w:rsid w:val="1D894CC8"/>
    <w:rsid w:val="1D9A0017"/>
    <w:rsid w:val="1D9F6497"/>
    <w:rsid w:val="1DA121BE"/>
    <w:rsid w:val="1DB66D98"/>
    <w:rsid w:val="1E0F4480"/>
    <w:rsid w:val="1E2141A1"/>
    <w:rsid w:val="1E225A68"/>
    <w:rsid w:val="1E54761F"/>
    <w:rsid w:val="1E5B16A2"/>
    <w:rsid w:val="1E6313F2"/>
    <w:rsid w:val="1E6A4CDD"/>
    <w:rsid w:val="1EA20719"/>
    <w:rsid w:val="1EB04815"/>
    <w:rsid w:val="1EB52EEC"/>
    <w:rsid w:val="1EE82765"/>
    <w:rsid w:val="1EE90DF0"/>
    <w:rsid w:val="1EF53B5A"/>
    <w:rsid w:val="1F021195"/>
    <w:rsid w:val="1F0C1A51"/>
    <w:rsid w:val="1F626524"/>
    <w:rsid w:val="1F8739FB"/>
    <w:rsid w:val="1F89008E"/>
    <w:rsid w:val="1F8A3F63"/>
    <w:rsid w:val="1F9C3BAF"/>
    <w:rsid w:val="1F9E392A"/>
    <w:rsid w:val="1FA60EFE"/>
    <w:rsid w:val="1FA7163B"/>
    <w:rsid w:val="1FC44AC8"/>
    <w:rsid w:val="1FFF1FF5"/>
    <w:rsid w:val="20067D5C"/>
    <w:rsid w:val="200D1E9F"/>
    <w:rsid w:val="2026402E"/>
    <w:rsid w:val="20656D60"/>
    <w:rsid w:val="20745AB6"/>
    <w:rsid w:val="20753F79"/>
    <w:rsid w:val="208260D9"/>
    <w:rsid w:val="209E2422"/>
    <w:rsid w:val="20A84ECE"/>
    <w:rsid w:val="20AD0AF2"/>
    <w:rsid w:val="20DF5E4A"/>
    <w:rsid w:val="20FC30C1"/>
    <w:rsid w:val="21092461"/>
    <w:rsid w:val="211B6F3F"/>
    <w:rsid w:val="211D2C02"/>
    <w:rsid w:val="21422834"/>
    <w:rsid w:val="21506418"/>
    <w:rsid w:val="215C45C6"/>
    <w:rsid w:val="21654BA0"/>
    <w:rsid w:val="21783066"/>
    <w:rsid w:val="217E2CF4"/>
    <w:rsid w:val="21A211C3"/>
    <w:rsid w:val="21A754C4"/>
    <w:rsid w:val="21B14A9A"/>
    <w:rsid w:val="21BD10C8"/>
    <w:rsid w:val="21CA6FFC"/>
    <w:rsid w:val="2234745A"/>
    <w:rsid w:val="223C775C"/>
    <w:rsid w:val="22495C68"/>
    <w:rsid w:val="224F76BC"/>
    <w:rsid w:val="22510217"/>
    <w:rsid w:val="22564988"/>
    <w:rsid w:val="226D55AB"/>
    <w:rsid w:val="22731892"/>
    <w:rsid w:val="227377D6"/>
    <w:rsid w:val="228939EC"/>
    <w:rsid w:val="22A86DD0"/>
    <w:rsid w:val="22B1180F"/>
    <w:rsid w:val="22EB035C"/>
    <w:rsid w:val="22ED6679"/>
    <w:rsid w:val="22F43BE4"/>
    <w:rsid w:val="23040BCA"/>
    <w:rsid w:val="23103FB8"/>
    <w:rsid w:val="23394122"/>
    <w:rsid w:val="234A75A9"/>
    <w:rsid w:val="234E62B7"/>
    <w:rsid w:val="238423A7"/>
    <w:rsid w:val="238C3926"/>
    <w:rsid w:val="238D63C3"/>
    <w:rsid w:val="239264C7"/>
    <w:rsid w:val="23BC2C54"/>
    <w:rsid w:val="23CC55AB"/>
    <w:rsid w:val="23D76153"/>
    <w:rsid w:val="23FE18A1"/>
    <w:rsid w:val="24086866"/>
    <w:rsid w:val="2466795D"/>
    <w:rsid w:val="24714FE3"/>
    <w:rsid w:val="247A4A2E"/>
    <w:rsid w:val="248F171C"/>
    <w:rsid w:val="249116FB"/>
    <w:rsid w:val="24983B7D"/>
    <w:rsid w:val="24B90614"/>
    <w:rsid w:val="24F713A8"/>
    <w:rsid w:val="250F35AB"/>
    <w:rsid w:val="251802A4"/>
    <w:rsid w:val="251C4025"/>
    <w:rsid w:val="254B0715"/>
    <w:rsid w:val="255F6C28"/>
    <w:rsid w:val="257B1D64"/>
    <w:rsid w:val="25991238"/>
    <w:rsid w:val="25A7665B"/>
    <w:rsid w:val="25B26694"/>
    <w:rsid w:val="25E50207"/>
    <w:rsid w:val="25F41708"/>
    <w:rsid w:val="25FE23AF"/>
    <w:rsid w:val="260D72A1"/>
    <w:rsid w:val="263D439E"/>
    <w:rsid w:val="26685E46"/>
    <w:rsid w:val="267728F8"/>
    <w:rsid w:val="268A214E"/>
    <w:rsid w:val="26900BC1"/>
    <w:rsid w:val="26A868A1"/>
    <w:rsid w:val="26B62C5D"/>
    <w:rsid w:val="26CC06A9"/>
    <w:rsid w:val="26D941FD"/>
    <w:rsid w:val="26F25839"/>
    <w:rsid w:val="2711714E"/>
    <w:rsid w:val="271C2E42"/>
    <w:rsid w:val="273932D6"/>
    <w:rsid w:val="27594633"/>
    <w:rsid w:val="27692EAA"/>
    <w:rsid w:val="27A96141"/>
    <w:rsid w:val="27D1037C"/>
    <w:rsid w:val="27DB40B7"/>
    <w:rsid w:val="27E4496E"/>
    <w:rsid w:val="27EF3994"/>
    <w:rsid w:val="281D7966"/>
    <w:rsid w:val="282A4D23"/>
    <w:rsid w:val="282E0E41"/>
    <w:rsid w:val="282F1711"/>
    <w:rsid w:val="28683F56"/>
    <w:rsid w:val="28A33A83"/>
    <w:rsid w:val="28AB0EA2"/>
    <w:rsid w:val="28AC3A4B"/>
    <w:rsid w:val="28CF0050"/>
    <w:rsid w:val="28EE041A"/>
    <w:rsid w:val="28EE4EB6"/>
    <w:rsid w:val="28FE0B2F"/>
    <w:rsid w:val="29153492"/>
    <w:rsid w:val="291B6CF9"/>
    <w:rsid w:val="2926465E"/>
    <w:rsid w:val="292C5FF6"/>
    <w:rsid w:val="293159D9"/>
    <w:rsid w:val="29554E92"/>
    <w:rsid w:val="295A1E01"/>
    <w:rsid w:val="299B6D3C"/>
    <w:rsid w:val="299D2756"/>
    <w:rsid w:val="29AF76B5"/>
    <w:rsid w:val="29BE7F41"/>
    <w:rsid w:val="29C62488"/>
    <w:rsid w:val="2A25340E"/>
    <w:rsid w:val="2A2A4B3E"/>
    <w:rsid w:val="2A3C0D45"/>
    <w:rsid w:val="2A594FF3"/>
    <w:rsid w:val="2A8D1D8C"/>
    <w:rsid w:val="2AA147AD"/>
    <w:rsid w:val="2AD85182"/>
    <w:rsid w:val="2AE51FD0"/>
    <w:rsid w:val="2AE95673"/>
    <w:rsid w:val="2AEC6E2B"/>
    <w:rsid w:val="2B2F40B4"/>
    <w:rsid w:val="2B3864CB"/>
    <w:rsid w:val="2B503616"/>
    <w:rsid w:val="2B7644CD"/>
    <w:rsid w:val="2B7B3101"/>
    <w:rsid w:val="2BAC3F72"/>
    <w:rsid w:val="2BBF14EE"/>
    <w:rsid w:val="2BC14676"/>
    <w:rsid w:val="2BC50430"/>
    <w:rsid w:val="2BC667CD"/>
    <w:rsid w:val="2BDD4555"/>
    <w:rsid w:val="2BF6AD76"/>
    <w:rsid w:val="2C1D6177"/>
    <w:rsid w:val="2C286E8D"/>
    <w:rsid w:val="2C842416"/>
    <w:rsid w:val="2C986E5F"/>
    <w:rsid w:val="2CAE042B"/>
    <w:rsid w:val="2CDD3769"/>
    <w:rsid w:val="2CE042A3"/>
    <w:rsid w:val="2D0F3851"/>
    <w:rsid w:val="2D155460"/>
    <w:rsid w:val="2D775203"/>
    <w:rsid w:val="2D7D540C"/>
    <w:rsid w:val="2D821AA6"/>
    <w:rsid w:val="2D9C1674"/>
    <w:rsid w:val="2D9E442A"/>
    <w:rsid w:val="2DCC2956"/>
    <w:rsid w:val="2DFD7B2D"/>
    <w:rsid w:val="2E17448F"/>
    <w:rsid w:val="2E3A5DE8"/>
    <w:rsid w:val="2E3D7026"/>
    <w:rsid w:val="2E5E343C"/>
    <w:rsid w:val="2ECA2D3B"/>
    <w:rsid w:val="2EEA549F"/>
    <w:rsid w:val="2EF201A6"/>
    <w:rsid w:val="2EF874F9"/>
    <w:rsid w:val="2F1C053B"/>
    <w:rsid w:val="2F508D0C"/>
    <w:rsid w:val="2F527A8E"/>
    <w:rsid w:val="2F56081D"/>
    <w:rsid w:val="2F596BA7"/>
    <w:rsid w:val="2F5C52E1"/>
    <w:rsid w:val="2F714CFA"/>
    <w:rsid w:val="2F84274F"/>
    <w:rsid w:val="2F903F97"/>
    <w:rsid w:val="2F9619E4"/>
    <w:rsid w:val="2FB210CA"/>
    <w:rsid w:val="2FBE4ACF"/>
    <w:rsid w:val="300F1B2F"/>
    <w:rsid w:val="30402F1F"/>
    <w:rsid w:val="30690470"/>
    <w:rsid w:val="3087070C"/>
    <w:rsid w:val="308B439F"/>
    <w:rsid w:val="309F592A"/>
    <w:rsid w:val="30A06786"/>
    <w:rsid w:val="30A72009"/>
    <w:rsid w:val="30CB093D"/>
    <w:rsid w:val="30F26979"/>
    <w:rsid w:val="31180193"/>
    <w:rsid w:val="31527A8E"/>
    <w:rsid w:val="31580857"/>
    <w:rsid w:val="31742C9E"/>
    <w:rsid w:val="31755CAD"/>
    <w:rsid w:val="318E0982"/>
    <w:rsid w:val="319E199E"/>
    <w:rsid w:val="31BE3193"/>
    <w:rsid w:val="31C73EE0"/>
    <w:rsid w:val="31D15575"/>
    <w:rsid w:val="31FE6750"/>
    <w:rsid w:val="32034810"/>
    <w:rsid w:val="320C161F"/>
    <w:rsid w:val="32772BDC"/>
    <w:rsid w:val="32CD0486"/>
    <w:rsid w:val="32CE4B83"/>
    <w:rsid w:val="32D559F7"/>
    <w:rsid w:val="32EF42D0"/>
    <w:rsid w:val="32F76369"/>
    <w:rsid w:val="32FD4781"/>
    <w:rsid w:val="330948F0"/>
    <w:rsid w:val="3315585D"/>
    <w:rsid w:val="33181376"/>
    <w:rsid w:val="333B3A7D"/>
    <w:rsid w:val="334059EE"/>
    <w:rsid w:val="335D19CD"/>
    <w:rsid w:val="335F0B9E"/>
    <w:rsid w:val="336A4B5F"/>
    <w:rsid w:val="3384489C"/>
    <w:rsid w:val="33876B3E"/>
    <w:rsid w:val="33C30C94"/>
    <w:rsid w:val="33EF6C38"/>
    <w:rsid w:val="33FB10E9"/>
    <w:rsid w:val="340134CE"/>
    <w:rsid w:val="340C0931"/>
    <w:rsid w:val="342D3B9F"/>
    <w:rsid w:val="34317897"/>
    <w:rsid w:val="345D7C52"/>
    <w:rsid w:val="34636889"/>
    <w:rsid w:val="3469026F"/>
    <w:rsid w:val="346A5C0C"/>
    <w:rsid w:val="34761F6E"/>
    <w:rsid w:val="3478203B"/>
    <w:rsid w:val="347B5300"/>
    <w:rsid w:val="34802AF6"/>
    <w:rsid w:val="34BD0D5D"/>
    <w:rsid w:val="34C969FA"/>
    <w:rsid w:val="34D54120"/>
    <w:rsid w:val="350D6AC3"/>
    <w:rsid w:val="35140256"/>
    <w:rsid w:val="35276603"/>
    <w:rsid w:val="352B1DD3"/>
    <w:rsid w:val="352D74B4"/>
    <w:rsid w:val="353A584F"/>
    <w:rsid w:val="353E23CF"/>
    <w:rsid w:val="35635A53"/>
    <w:rsid w:val="35640C40"/>
    <w:rsid w:val="358E25BD"/>
    <w:rsid w:val="35B6150F"/>
    <w:rsid w:val="35B66183"/>
    <w:rsid w:val="361A0F46"/>
    <w:rsid w:val="36592912"/>
    <w:rsid w:val="36A27E03"/>
    <w:rsid w:val="36C14E80"/>
    <w:rsid w:val="36CE3052"/>
    <w:rsid w:val="36DA244A"/>
    <w:rsid w:val="36DC69A1"/>
    <w:rsid w:val="36FA4336"/>
    <w:rsid w:val="37013A10"/>
    <w:rsid w:val="374201B4"/>
    <w:rsid w:val="374278A9"/>
    <w:rsid w:val="37604D44"/>
    <w:rsid w:val="376F74C1"/>
    <w:rsid w:val="3777598C"/>
    <w:rsid w:val="377B7BA2"/>
    <w:rsid w:val="37926D94"/>
    <w:rsid w:val="37987929"/>
    <w:rsid w:val="37C93CB7"/>
    <w:rsid w:val="37EF774E"/>
    <w:rsid w:val="380C2DF5"/>
    <w:rsid w:val="38110F16"/>
    <w:rsid w:val="38210C8E"/>
    <w:rsid w:val="382F2BB1"/>
    <w:rsid w:val="383A3B9A"/>
    <w:rsid w:val="384657D3"/>
    <w:rsid w:val="38644BEA"/>
    <w:rsid w:val="38862ABC"/>
    <w:rsid w:val="38C913CA"/>
    <w:rsid w:val="38D4406C"/>
    <w:rsid w:val="38E95E25"/>
    <w:rsid w:val="38FE177D"/>
    <w:rsid w:val="39346B96"/>
    <w:rsid w:val="393929FF"/>
    <w:rsid w:val="396B1FB6"/>
    <w:rsid w:val="398B0563"/>
    <w:rsid w:val="39AD3D30"/>
    <w:rsid w:val="39C25625"/>
    <w:rsid w:val="39C34098"/>
    <w:rsid w:val="39D340FD"/>
    <w:rsid w:val="3A012F37"/>
    <w:rsid w:val="3A132BD5"/>
    <w:rsid w:val="3A24252F"/>
    <w:rsid w:val="3A373FC1"/>
    <w:rsid w:val="3A3B3699"/>
    <w:rsid w:val="3A472D5D"/>
    <w:rsid w:val="3A58166E"/>
    <w:rsid w:val="3A737F56"/>
    <w:rsid w:val="3A9368A4"/>
    <w:rsid w:val="3ABA5B72"/>
    <w:rsid w:val="3AC96219"/>
    <w:rsid w:val="3AD01E8E"/>
    <w:rsid w:val="3AE70F8A"/>
    <w:rsid w:val="3AEB147A"/>
    <w:rsid w:val="3AEC05B9"/>
    <w:rsid w:val="3B111A4A"/>
    <w:rsid w:val="3B247D6E"/>
    <w:rsid w:val="3B4C15AB"/>
    <w:rsid w:val="3B9E5B71"/>
    <w:rsid w:val="3BA85FDA"/>
    <w:rsid w:val="3BAF3E87"/>
    <w:rsid w:val="3BDB4183"/>
    <w:rsid w:val="3BE52F0A"/>
    <w:rsid w:val="3C031B3A"/>
    <w:rsid w:val="3C1A748D"/>
    <w:rsid w:val="3C256E2F"/>
    <w:rsid w:val="3C2C7095"/>
    <w:rsid w:val="3C2F683F"/>
    <w:rsid w:val="3C3B5BBD"/>
    <w:rsid w:val="3C3E1A14"/>
    <w:rsid w:val="3C5A06CD"/>
    <w:rsid w:val="3C694D74"/>
    <w:rsid w:val="3C8F2645"/>
    <w:rsid w:val="3CB92447"/>
    <w:rsid w:val="3CDFD019"/>
    <w:rsid w:val="3CFA7FC3"/>
    <w:rsid w:val="3D1751B0"/>
    <w:rsid w:val="3D222EBB"/>
    <w:rsid w:val="3D285387"/>
    <w:rsid w:val="3D50539B"/>
    <w:rsid w:val="3D58438D"/>
    <w:rsid w:val="3D8A7A34"/>
    <w:rsid w:val="3D925599"/>
    <w:rsid w:val="3D977CEF"/>
    <w:rsid w:val="3D987FA9"/>
    <w:rsid w:val="3DA574F8"/>
    <w:rsid w:val="3DD34BA3"/>
    <w:rsid w:val="3DDA73FC"/>
    <w:rsid w:val="3DFC3C9C"/>
    <w:rsid w:val="3E3130C3"/>
    <w:rsid w:val="3E364A7E"/>
    <w:rsid w:val="3E4C259C"/>
    <w:rsid w:val="3E575B21"/>
    <w:rsid w:val="3E5B4BFA"/>
    <w:rsid w:val="3E8B0EBF"/>
    <w:rsid w:val="3E8E6427"/>
    <w:rsid w:val="3E906997"/>
    <w:rsid w:val="3E947543"/>
    <w:rsid w:val="3E9D4A2F"/>
    <w:rsid w:val="3EA5219A"/>
    <w:rsid w:val="3EEE2AAB"/>
    <w:rsid w:val="3F0262AD"/>
    <w:rsid w:val="3F03058C"/>
    <w:rsid w:val="3F127138"/>
    <w:rsid w:val="3F1561B8"/>
    <w:rsid w:val="3F441F1E"/>
    <w:rsid w:val="3F694376"/>
    <w:rsid w:val="3F7C50A1"/>
    <w:rsid w:val="3F8366FD"/>
    <w:rsid w:val="3FA35275"/>
    <w:rsid w:val="3FA86267"/>
    <w:rsid w:val="3FFA037C"/>
    <w:rsid w:val="401B6F2A"/>
    <w:rsid w:val="401C6BFF"/>
    <w:rsid w:val="402B01A8"/>
    <w:rsid w:val="402B5AEE"/>
    <w:rsid w:val="402E7D7A"/>
    <w:rsid w:val="40353D12"/>
    <w:rsid w:val="40456E5E"/>
    <w:rsid w:val="405024E0"/>
    <w:rsid w:val="406C3215"/>
    <w:rsid w:val="409E5BC3"/>
    <w:rsid w:val="40BA0B3F"/>
    <w:rsid w:val="40C9361D"/>
    <w:rsid w:val="40E202D5"/>
    <w:rsid w:val="40E621B4"/>
    <w:rsid w:val="410A3AA3"/>
    <w:rsid w:val="414F0620"/>
    <w:rsid w:val="415D4DDF"/>
    <w:rsid w:val="417B7A47"/>
    <w:rsid w:val="41AB4DA2"/>
    <w:rsid w:val="41C91022"/>
    <w:rsid w:val="41EE350A"/>
    <w:rsid w:val="41F73794"/>
    <w:rsid w:val="41FC68D2"/>
    <w:rsid w:val="420D44E5"/>
    <w:rsid w:val="42546718"/>
    <w:rsid w:val="42571550"/>
    <w:rsid w:val="425C42EF"/>
    <w:rsid w:val="429053DD"/>
    <w:rsid w:val="4296257E"/>
    <w:rsid w:val="42FFF5A4"/>
    <w:rsid w:val="43160A57"/>
    <w:rsid w:val="433A38BC"/>
    <w:rsid w:val="43426BC9"/>
    <w:rsid w:val="436B4E05"/>
    <w:rsid w:val="436D3E47"/>
    <w:rsid w:val="436E45A8"/>
    <w:rsid w:val="4376726D"/>
    <w:rsid w:val="4378550B"/>
    <w:rsid w:val="439D6CE0"/>
    <w:rsid w:val="43C7680D"/>
    <w:rsid w:val="43FF1034"/>
    <w:rsid w:val="441538CC"/>
    <w:rsid w:val="444E3F5B"/>
    <w:rsid w:val="44657D67"/>
    <w:rsid w:val="449515B1"/>
    <w:rsid w:val="44AE2600"/>
    <w:rsid w:val="44B517A2"/>
    <w:rsid w:val="44EB76A3"/>
    <w:rsid w:val="44FE70F9"/>
    <w:rsid w:val="4506276B"/>
    <w:rsid w:val="457840B3"/>
    <w:rsid w:val="458D2D9F"/>
    <w:rsid w:val="4598704A"/>
    <w:rsid w:val="45A227B6"/>
    <w:rsid w:val="45A25B26"/>
    <w:rsid w:val="45DB2EF1"/>
    <w:rsid w:val="45E97AC1"/>
    <w:rsid w:val="460100E1"/>
    <w:rsid w:val="46263968"/>
    <w:rsid w:val="463852C2"/>
    <w:rsid w:val="466E0175"/>
    <w:rsid w:val="466F59D1"/>
    <w:rsid w:val="467A5323"/>
    <w:rsid w:val="468A19CB"/>
    <w:rsid w:val="46B23872"/>
    <w:rsid w:val="46B6620A"/>
    <w:rsid w:val="46E826E8"/>
    <w:rsid w:val="46FA16DD"/>
    <w:rsid w:val="470C1DB5"/>
    <w:rsid w:val="47187BF1"/>
    <w:rsid w:val="474F253D"/>
    <w:rsid w:val="475E7B1A"/>
    <w:rsid w:val="476C760F"/>
    <w:rsid w:val="47C43C3E"/>
    <w:rsid w:val="47E10A6D"/>
    <w:rsid w:val="47E9295B"/>
    <w:rsid w:val="48236D45"/>
    <w:rsid w:val="486F1F59"/>
    <w:rsid w:val="48BC4A38"/>
    <w:rsid w:val="48BC6B7F"/>
    <w:rsid w:val="48C721C4"/>
    <w:rsid w:val="48DA08FB"/>
    <w:rsid w:val="48EB0976"/>
    <w:rsid w:val="48F52ACD"/>
    <w:rsid w:val="490225BF"/>
    <w:rsid w:val="498D506C"/>
    <w:rsid w:val="49E12793"/>
    <w:rsid w:val="4A1525F0"/>
    <w:rsid w:val="4A5D0277"/>
    <w:rsid w:val="4A635106"/>
    <w:rsid w:val="4A6866A1"/>
    <w:rsid w:val="4A6D27B1"/>
    <w:rsid w:val="4A711C62"/>
    <w:rsid w:val="4AA06C55"/>
    <w:rsid w:val="4AB47322"/>
    <w:rsid w:val="4B021AB6"/>
    <w:rsid w:val="4B130D82"/>
    <w:rsid w:val="4B74194D"/>
    <w:rsid w:val="4B877446"/>
    <w:rsid w:val="4BB76790"/>
    <w:rsid w:val="4C0E7E2B"/>
    <w:rsid w:val="4C1E4D8B"/>
    <w:rsid w:val="4C395207"/>
    <w:rsid w:val="4C5328A3"/>
    <w:rsid w:val="4C66393E"/>
    <w:rsid w:val="4C737D52"/>
    <w:rsid w:val="4C9B3EC8"/>
    <w:rsid w:val="4CB00D20"/>
    <w:rsid w:val="4CB05C40"/>
    <w:rsid w:val="4CB9000F"/>
    <w:rsid w:val="4CDA40D6"/>
    <w:rsid w:val="4CED6F47"/>
    <w:rsid w:val="4D2E6F4D"/>
    <w:rsid w:val="4D32543F"/>
    <w:rsid w:val="4D66431D"/>
    <w:rsid w:val="4D7C7566"/>
    <w:rsid w:val="4D8517FD"/>
    <w:rsid w:val="4D8559B4"/>
    <w:rsid w:val="4DC275F3"/>
    <w:rsid w:val="4DDF3DB0"/>
    <w:rsid w:val="4DF0298A"/>
    <w:rsid w:val="4DF86BC0"/>
    <w:rsid w:val="4DFA74BA"/>
    <w:rsid w:val="4DFF6119"/>
    <w:rsid w:val="4E05341D"/>
    <w:rsid w:val="4E063439"/>
    <w:rsid w:val="4E0B5B13"/>
    <w:rsid w:val="4E26508C"/>
    <w:rsid w:val="4E3C4839"/>
    <w:rsid w:val="4E3E6A80"/>
    <w:rsid w:val="4E4C7888"/>
    <w:rsid w:val="4E5E45EF"/>
    <w:rsid w:val="4E694DFE"/>
    <w:rsid w:val="4E8709D0"/>
    <w:rsid w:val="4E8C0DE1"/>
    <w:rsid w:val="4EBF4426"/>
    <w:rsid w:val="4EC450B6"/>
    <w:rsid w:val="4ED47295"/>
    <w:rsid w:val="4EF946AD"/>
    <w:rsid w:val="4F011554"/>
    <w:rsid w:val="4F140FE3"/>
    <w:rsid w:val="4F375DB1"/>
    <w:rsid w:val="4F435FFA"/>
    <w:rsid w:val="4F537FC7"/>
    <w:rsid w:val="4F7173DF"/>
    <w:rsid w:val="4F897C97"/>
    <w:rsid w:val="4FA612D2"/>
    <w:rsid w:val="4FE02B5D"/>
    <w:rsid w:val="4FE22D10"/>
    <w:rsid w:val="4FE47F53"/>
    <w:rsid w:val="4FFC64C8"/>
    <w:rsid w:val="503871A7"/>
    <w:rsid w:val="50720BB1"/>
    <w:rsid w:val="50997CBE"/>
    <w:rsid w:val="50AA1836"/>
    <w:rsid w:val="50CA2BA0"/>
    <w:rsid w:val="50CC6C03"/>
    <w:rsid w:val="51380BD6"/>
    <w:rsid w:val="513D2CD3"/>
    <w:rsid w:val="515B6199"/>
    <w:rsid w:val="515D1EDD"/>
    <w:rsid w:val="51622833"/>
    <w:rsid w:val="51C27A3F"/>
    <w:rsid w:val="51DB1475"/>
    <w:rsid w:val="5206394A"/>
    <w:rsid w:val="52125635"/>
    <w:rsid w:val="52175366"/>
    <w:rsid w:val="523E61F8"/>
    <w:rsid w:val="52C43729"/>
    <w:rsid w:val="530C70CB"/>
    <w:rsid w:val="53345763"/>
    <w:rsid w:val="53351809"/>
    <w:rsid w:val="534B1FDD"/>
    <w:rsid w:val="53557ACA"/>
    <w:rsid w:val="536C21EE"/>
    <w:rsid w:val="53825A1C"/>
    <w:rsid w:val="53EE6CE9"/>
    <w:rsid w:val="53FF2A47"/>
    <w:rsid w:val="54935902"/>
    <w:rsid w:val="54A74004"/>
    <w:rsid w:val="54BD1413"/>
    <w:rsid w:val="54D3648D"/>
    <w:rsid w:val="54EA56F9"/>
    <w:rsid w:val="550958F7"/>
    <w:rsid w:val="552739D4"/>
    <w:rsid w:val="55395D10"/>
    <w:rsid w:val="553B5507"/>
    <w:rsid w:val="554C7008"/>
    <w:rsid w:val="556D4F8F"/>
    <w:rsid w:val="55C34F84"/>
    <w:rsid w:val="55C6780C"/>
    <w:rsid w:val="55CA10EF"/>
    <w:rsid w:val="55CF1075"/>
    <w:rsid w:val="55E0243F"/>
    <w:rsid w:val="55FD304E"/>
    <w:rsid w:val="560D5991"/>
    <w:rsid w:val="56210485"/>
    <w:rsid w:val="56234CB8"/>
    <w:rsid w:val="56283603"/>
    <w:rsid w:val="56546067"/>
    <w:rsid w:val="565E2034"/>
    <w:rsid w:val="56614CC9"/>
    <w:rsid w:val="56717859"/>
    <w:rsid w:val="568943A2"/>
    <w:rsid w:val="569419BC"/>
    <w:rsid w:val="56A440B7"/>
    <w:rsid w:val="56B264B8"/>
    <w:rsid w:val="56BA04E2"/>
    <w:rsid w:val="56D508D3"/>
    <w:rsid w:val="56F238EE"/>
    <w:rsid w:val="56F70397"/>
    <w:rsid w:val="56F93F33"/>
    <w:rsid w:val="56FE2ED8"/>
    <w:rsid w:val="570D6082"/>
    <w:rsid w:val="572052DC"/>
    <w:rsid w:val="573765CC"/>
    <w:rsid w:val="576E3714"/>
    <w:rsid w:val="5797270D"/>
    <w:rsid w:val="579D0177"/>
    <w:rsid w:val="57A62D0B"/>
    <w:rsid w:val="57E24612"/>
    <w:rsid w:val="57FC710F"/>
    <w:rsid w:val="58073246"/>
    <w:rsid w:val="5822756F"/>
    <w:rsid w:val="58490FF3"/>
    <w:rsid w:val="585A75DC"/>
    <w:rsid w:val="58676CD8"/>
    <w:rsid w:val="58892185"/>
    <w:rsid w:val="588B7089"/>
    <w:rsid w:val="58993955"/>
    <w:rsid w:val="589D3A74"/>
    <w:rsid w:val="58A01CC8"/>
    <w:rsid w:val="58AD6774"/>
    <w:rsid w:val="58C76E6B"/>
    <w:rsid w:val="593F24FA"/>
    <w:rsid w:val="595A1025"/>
    <w:rsid w:val="596411B1"/>
    <w:rsid w:val="596E7051"/>
    <w:rsid w:val="597C72D3"/>
    <w:rsid w:val="598B5497"/>
    <w:rsid w:val="59A40167"/>
    <w:rsid w:val="59A71E3F"/>
    <w:rsid w:val="59AC6A06"/>
    <w:rsid w:val="59B61639"/>
    <w:rsid w:val="59CD523A"/>
    <w:rsid w:val="59DB268F"/>
    <w:rsid w:val="59F847EB"/>
    <w:rsid w:val="5A00575E"/>
    <w:rsid w:val="5A116B24"/>
    <w:rsid w:val="5A126A63"/>
    <w:rsid w:val="5A1B4191"/>
    <w:rsid w:val="5A766507"/>
    <w:rsid w:val="5A7D5E89"/>
    <w:rsid w:val="5A950561"/>
    <w:rsid w:val="5ACB6CF9"/>
    <w:rsid w:val="5AE131DA"/>
    <w:rsid w:val="5AF17A8E"/>
    <w:rsid w:val="5AF33A9E"/>
    <w:rsid w:val="5B35375C"/>
    <w:rsid w:val="5B393101"/>
    <w:rsid w:val="5B3A3385"/>
    <w:rsid w:val="5B5674C1"/>
    <w:rsid w:val="5B7719E5"/>
    <w:rsid w:val="5B7C1E31"/>
    <w:rsid w:val="5B916396"/>
    <w:rsid w:val="5BA933DF"/>
    <w:rsid w:val="5BBA7885"/>
    <w:rsid w:val="5BD811EC"/>
    <w:rsid w:val="5BFF52E0"/>
    <w:rsid w:val="5C0906D8"/>
    <w:rsid w:val="5C275B52"/>
    <w:rsid w:val="5C844A66"/>
    <w:rsid w:val="5C8635D8"/>
    <w:rsid w:val="5CAA48E2"/>
    <w:rsid w:val="5CB54155"/>
    <w:rsid w:val="5CB97809"/>
    <w:rsid w:val="5CC75E21"/>
    <w:rsid w:val="5CD1166D"/>
    <w:rsid w:val="5CF61526"/>
    <w:rsid w:val="5D430538"/>
    <w:rsid w:val="5D6E1ABA"/>
    <w:rsid w:val="5D8726CA"/>
    <w:rsid w:val="5D8E7EA6"/>
    <w:rsid w:val="5DA455BC"/>
    <w:rsid w:val="5DC74B1F"/>
    <w:rsid w:val="5DD91E64"/>
    <w:rsid w:val="5DDE3BDD"/>
    <w:rsid w:val="5DFC8447"/>
    <w:rsid w:val="5E11743B"/>
    <w:rsid w:val="5E3303E8"/>
    <w:rsid w:val="5E5843C1"/>
    <w:rsid w:val="5E763415"/>
    <w:rsid w:val="5EA24E2A"/>
    <w:rsid w:val="5EAA15A9"/>
    <w:rsid w:val="5EB60CA8"/>
    <w:rsid w:val="5EBC2E54"/>
    <w:rsid w:val="5EC95CB9"/>
    <w:rsid w:val="5ECB1F4F"/>
    <w:rsid w:val="5EE03276"/>
    <w:rsid w:val="5EE04053"/>
    <w:rsid w:val="5EE34AE5"/>
    <w:rsid w:val="5F35004B"/>
    <w:rsid w:val="5F53186D"/>
    <w:rsid w:val="5F6F6C9B"/>
    <w:rsid w:val="5F764707"/>
    <w:rsid w:val="5F824E74"/>
    <w:rsid w:val="5F841806"/>
    <w:rsid w:val="5F905956"/>
    <w:rsid w:val="5F9B7B7F"/>
    <w:rsid w:val="5FAF693F"/>
    <w:rsid w:val="5FBF7856"/>
    <w:rsid w:val="5FC45A77"/>
    <w:rsid w:val="5FDC08F4"/>
    <w:rsid w:val="5FDD6009"/>
    <w:rsid w:val="5FE510E0"/>
    <w:rsid w:val="5FE747F8"/>
    <w:rsid w:val="5FFD272A"/>
    <w:rsid w:val="60114E10"/>
    <w:rsid w:val="60366C9F"/>
    <w:rsid w:val="6044642C"/>
    <w:rsid w:val="605A6E6C"/>
    <w:rsid w:val="605F413C"/>
    <w:rsid w:val="6091337B"/>
    <w:rsid w:val="60B75487"/>
    <w:rsid w:val="60E57C72"/>
    <w:rsid w:val="60EC5BE8"/>
    <w:rsid w:val="60EE3278"/>
    <w:rsid w:val="610F09D9"/>
    <w:rsid w:val="615233A0"/>
    <w:rsid w:val="619655A0"/>
    <w:rsid w:val="61AF66C6"/>
    <w:rsid w:val="61CB496E"/>
    <w:rsid w:val="61D66D63"/>
    <w:rsid w:val="61F1173E"/>
    <w:rsid w:val="62017828"/>
    <w:rsid w:val="62025F1C"/>
    <w:rsid w:val="62096183"/>
    <w:rsid w:val="62243B07"/>
    <w:rsid w:val="626843CD"/>
    <w:rsid w:val="627F56AC"/>
    <w:rsid w:val="62886734"/>
    <w:rsid w:val="63001011"/>
    <w:rsid w:val="63024A7D"/>
    <w:rsid w:val="63025ECB"/>
    <w:rsid w:val="630A63A0"/>
    <w:rsid w:val="63172A4D"/>
    <w:rsid w:val="6318432C"/>
    <w:rsid w:val="635540F0"/>
    <w:rsid w:val="63704A3B"/>
    <w:rsid w:val="637725B3"/>
    <w:rsid w:val="638D1FD2"/>
    <w:rsid w:val="6395385B"/>
    <w:rsid w:val="63D25485"/>
    <w:rsid w:val="63D308A2"/>
    <w:rsid w:val="642D1D96"/>
    <w:rsid w:val="6448281B"/>
    <w:rsid w:val="646FEF7A"/>
    <w:rsid w:val="647E4F7F"/>
    <w:rsid w:val="64AE2333"/>
    <w:rsid w:val="64B42471"/>
    <w:rsid w:val="64BB4EB9"/>
    <w:rsid w:val="64CD62E0"/>
    <w:rsid w:val="64E44673"/>
    <w:rsid w:val="64E51E76"/>
    <w:rsid w:val="64F37D1D"/>
    <w:rsid w:val="64FF03A6"/>
    <w:rsid w:val="650A57BB"/>
    <w:rsid w:val="651D6005"/>
    <w:rsid w:val="652670B7"/>
    <w:rsid w:val="653568E6"/>
    <w:rsid w:val="653D10BB"/>
    <w:rsid w:val="654B7C0B"/>
    <w:rsid w:val="65651859"/>
    <w:rsid w:val="658565A0"/>
    <w:rsid w:val="65894614"/>
    <w:rsid w:val="65966983"/>
    <w:rsid w:val="65C90790"/>
    <w:rsid w:val="65FE3757"/>
    <w:rsid w:val="660E754A"/>
    <w:rsid w:val="663522E8"/>
    <w:rsid w:val="664A2F19"/>
    <w:rsid w:val="6655357E"/>
    <w:rsid w:val="668428BA"/>
    <w:rsid w:val="668A740C"/>
    <w:rsid w:val="66922340"/>
    <w:rsid w:val="66A711CB"/>
    <w:rsid w:val="66BE44E3"/>
    <w:rsid w:val="66C405A4"/>
    <w:rsid w:val="66DA6F54"/>
    <w:rsid w:val="66DE791C"/>
    <w:rsid w:val="6727156C"/>
    <w:rsid w:val="673C01A2"/>
    <w:rsid w:val="673D7322"/>
    <w:rsid w:val="67424C93"/>
    <w:rsid w:val="674A543D"/>
    <w:rsid w:val="67701520"/>
    <w:rsid w:val="67713D9D"/>
    <w:rsid w:val="677740F3"/>
    <w:rsid w:val="6795286F"/>
    <w:rsid w:val="67A67E62"/>
    <w:rsid w:val="67B879A3"/>
    <w:rsid w:val="67BC1B54"/>
    <w:rsid w:val="67E053F3"/>
    <w:rsid w:val="67E33485"/>
    <w:rsid w:val="67F34692"/>
    <w:rsid w:val="68264048"/>
    <w:rsid w:val="68480B36"/>
    <w:rsid w:val="685245A1"/>
    <w:rsid w:val="68742D21"/>
    <w:rsid w:val="68832E94"/>
    <w:rsid w:val="688F47A7"/>
    <w:rsid w:val="68B72DBB"/>
    <w:rsid w:val="68BC2E95"/>
    <w:rsid w:val="68DB15FA"/>
    <w:rsid w:val="69060916"/>
    <w:rsid w:val="693E2E80"/>
    <w:rsid w:val="69472BBC"/>
    <w:rsid w:val="698961BD"/>
    <w:rsid w:val="69AE1577"/>
    <w:rsid w:val="69B62A41"/>
    <w:rsid w:val="69BD263D"/>
    <w:rsid w:val="69E74341"/>
    <w:rsid w:val="69F385E3"/>
    <w:rsid w:val="6A026AF1"/>
    <w:rsid w:val="6A0E6C44"/>
    <w:rsid w:val="6A326704"/>
    <w:rsid w:val="6A842FBB"/>
    <w:rsid w:val="6A9C10ED"/>
    <w:rsid w:val="6AA13C6B"/>
    <w:rsid w:val="6AE765F4"/>
    <w:rsid w:val="6AFF1747"/>
    <w:rsid w:val="6B035228"/>
    <w:rsid w:val="6B0956B7"/>
    <w:rsid w:val="6B161A26"/>
    <w:rsid w:val="6B2D0381"/>
    <w:rsid w:val="6B4728FD"/>
    <w:rsid w:val="6B4F42A0"/>
    <w:rsid w:val="6B677458"/>
    <w:rsid w:val="6B7C130E"/>
    <w:rsid w:val="6B7D6F2D"/>
    <w:rsid w:val="6B8D1AD7"/>
    <w:rsid w:val="6B8F5730"/>
    <w:rsid w:val="6BA27EAC"/>
    <w:rsid w:val="6BC84C6E"/>
    <w:rsid w:val="6BD65BA8"/>
    <w:rsid w:val="6BE00237"/>
    <w:rsid w:val="6BFB07EF"/>
    <w:rsid w:val="6C1F7C40"/>
    <w:rsid w:val="6C3A7CFF"/>
    <w:rsid w:val="6C462DD3"/>
    <w:rsid w:val="6C8E0C4B"/>
    <w:rsid w:val="6C9D3002"/>
    <w:rsid w:val="6CBE486E"/>
    <w:rsid w:val="6CCD0BBB"/>
    <w:rsid w:val="6CD45298"/>
    <w:rsid w:val="6D0D5A8C"/>
    <w:rsid w:val="6D0E1DD7"/>
    <w:rsid w:val="6DCC1C60"/>
    <w:rsid w:val="6DD56509"/>
    <w:rsid w:val="6DE246D2"/>
    <w:rsid w:val="6DEE0794"/>
    <w:rsid w:val="6E194E84"/>
    <w:rsid w:val="6E301861"/>
    <w:rsid w:val="6E333369"/>
    <w:rsid w:val="6E3551EA"/>
    <w:rsid w:val="6E3F20AF"/>
    <w:rsid w:val="6E4A75FB"/>
    <w:rsid w:val="6E9F1450"/>
    <w:rsid w:val="6EC11D76"/>
    <w:rsid w:val="6EC28CB2"/>
    <w:rsid w:val="6EE323FD"/>
    <w:rsid w:val="6EE64E1B"/>
    <w:rsid w:val="6EF1A273"/>
    <w:rsid w:val="6EFA68DD"/>
    <w:rsid w:val="6F036D9D"/>
    <w:rsid w:val="6F14663D"/>
    <w:rsid w:val="6F5357EA"/>
    <w:rsid w:val="6F7873C5"/>
    <w:rsid w:val="6F7DD246"/>
    <w:rsid w:val="6F896F77"/>
    <w:rsid w:val="6F8B3EFE"/>
    <w:rsid w:val="6F8E7F0E"/>
    <w:rsid w:val="6F905EBB"/>
    <w:rsid w:val="6F970389"/>
    <w:rsid w:val="6FCB4EE0"/>
    <w:rsid w:val="6FD2628E"/>
    <w:rsid w:val="6FDA53C8"/>
    <w:rsid w:val="6FEB2F1E"/>
    <w:rsid w:val="6FEC6147"/>
    <w:rsid w:val="6FED6712"/>
    <w:rsid w:val="70275227"/>
    <w:rsid w:val="70321176"/>
    <w:rsid w:val="703552BC"/>
    <w:rsid w:val="703B2A2A"/>
    <w:rsid w:val="704D5FB3"/>
    <w:rsid w:val="704F76C8"/>
    <w:rsid w:val="705A0510"/>
    <w:rsid w:val="706020CF"/>
    <w:rsid w:val="706D3AB2"/>
    <w:rsid w:val="70AD5F7D"/>
    <w:rsid w:val="70D30A7D"/>
    <w:rsid w:val="70DE3D3C"/>
    <w:rsid w:val="710E5A89"/>
    <w:rsid w:val="7124171A"/>
    <w:rsid w:val="71561D97"/>
    <w:rsid w:val="7182669D"/>
    <w:rsid w:val="718961A0"/>
    <w:rsid w:val="71924C82"/>
    <w:rsid w:val="719D3FD1"/>
    <w:rsid w:val="71BE645B"/>
    <w:rsid w:val="71C72371"/>
    <w:rsid w:val="71E82153"/>
    <w:rsid w:val="71FB71AA"/>
    <w:rsid w:val="72145F1E"/>
    <w:rsid w:val="72180F0E"/>
    <w:rsid w:val="72280192"/>
    <w:rsid w:val="72480E0A"/>
    <w:rsid w:val="726E7272"/>
    <w:rsid w:val="72A45B90"/>
    <w:rsid w:val="72A85B94"/>
    <w:rsid w:val="72D1661E"/>
    <w:rsid w:val="72D175D1"/>
    <w:rsid w:val="72D52EF9"/>
    <w:rsid w:val="730C6EEF"/>
    <w:rsid w:val="73301758"/>
    <w:rsid w:val="73702E10"/>
    <w:rsid w:val="7380224A"/>
    <w:rsid w:val="739222BB"/>
    <w:rsid w:val="73A17977"/>
    <w:rsid w:val="73D54AF4"/>
    <w:rsid w:val="73F37F03"/>
    <w:rsid w:val="73F743A4"/>
    <w:rsid w:val="73FD43CB"/>
    <w:rsid w:val="74132B3A"/>
    <w:rsid w:val="74475CC3"/>
    <w:rsid w:val="74475D24"/>
    <w:rsid w:val="746F6EE7"/>
    <w:rsid w:val="74811EE3"/>
    <w:rsid w:val="749323FD"/>
    <w:rsid w:val="74C73827"/>
    <w:rsid w:val="74D709D8"/>
    <w:rsid w:val="74E32F96"/>
    <w:rsid w:val="752324C6"/>
    <w:rsid w:val="754C49A9"/>
    <w:rsid w:val="756C6B0A"/>
    <w:rsid w:val="756E4090"/>
    <w:rsid w:val="758138AF"/>
    <w:rsid w:val="758836FB"/>
    <w:rsid w:val="758C2727"/>
    <w:rsid w:val="75940949"/>
    <w:rsid w:val="75BA5A42"/>
    <w:rsid w:val="75BF5BF1"/>
    <w:rsid w:val="75E21B04"/>
    <w:rsid w:val="75F01604"/>
    <w:rsid w:val="76472E55"/>
    <w:rsid w:val="7650542E"/>
    <w:rsid w:val="7697153F"/>
    <w:rsid w:val="76EE2961"/>
    <w:rsid w:val="77168B2D"/>
    <w:rsid w:val="773B3C08"/>
    <w:rsid w:val="77436EA5"/>
    <w:rsid w:val="77472505"/>
    <w:rsid w:val="777B8EE1"/>
    <w:rsid w:val="77A66E24"/>
    <w:rsid w:val="77AC3372"/>
    <w:rsid w:val="77BF9144"/>
    <w:rsid w:val="77C31152"/>
    <w:rsid w:val="77E5122A"/>
    <w:rsid w:val="77EB58A1"/>
    <w:rsid w:val="77EB7B6A"/>
    <w:rsid w:val="78011675"/>
    <w:rsid w:val="78156E58"/>
    <w:rsid w:val="781938C6"/>
    <w:rsid w:val="78270C43"/>
    <w:rsid w:val="784907BB"/>
    <w:rsid w:val="78A62A0A"/>
    <w:rsid w:val="78C13367"/>
    <w:rsid w:val="78C31BD3"/>
    <w:rsid w:val="78C45DF6"/>
    <w:rsid w:val="78C51898"/>
    <w:rsid w:val="78DB3231"/>
    <w:rsid w:val="78F3620D"/>
    <w:rsid w:val="790A2426"/>
    <w:rsid w:val="791103A8"/>
    <w:rsid w:val="79210A58"/>
    <w:rsid w:val="79293B1D"/>
    <w:rsid w:val="792F7403"/>
    <w:rsid w:val="79594D9D"/>
    <w:rsid w:val="796B6A6A"/>
    <w:rsid w:val="79A5214D"/>
    <w:rsid w:val="79BE5894"/>
    <w:rsid w:val="79D54352"/>
    <w:rsid w:val="79EC0ABE"/>
    <w:rsid w:val="7A1A29A7"/>
    <w:rsid w:val="7A1E2DD2"/>
    <w:rsid w:val="7A204AF6"/>
    <w:rsid w:val="7A794895"/>
    <w:rsid w:val="7A7D79B0"/>
    <w:rsid w:val="7A800349"/>
    <w:rsid w:val="7AA90EDE"/>
    <w:rsid w:val="7AAC5961"/>
    <w:rsid w:val="7AAC7E90"/>
    <w:rsid w:val="7AB905D7"/>
    <w:rsid w:val="7AC55EDE"/>
    <w:rsid w:val="7ADF1820"/>
    <w:rsid w:val="7AE41BD1"/>
    <w:rsid w:val="7AF94EBD"/>
    <w:rsid w:val="7B1F7831"/>
    <w:rsid w:val="7B5178B1"/>
    <w:rsid w:val="7B866FCB"/>
    <w:rsid w:val="7BAE4582"/>
    <w:rsid w:val="7BBF5E25"/>
    <w:rsid w:val="7BCE1A8F"/>
    <w:rsid w:val="7BD22493"/>
    <w:rsid w:val="7BDB01F0"/>
    <w:rsid w:val="7BF932AF"/>
    <w:rsid w:val="7C01709D"/>
    <w:rsid w:val="7C0268F0"/>
    <w:rsid w:val="7C0D7073"/>
    <w:rsid w:val="7C1842C3"/>
    <w:rsid w:val="7C2869DE"/>
    <w:rsid w:val="7C2A50B8"/>
    <w:rsid w:val="7C354DEF"/>
    <w:rsid w:val="7C3D0044"/>
    <w:rsid w:val="7C406EF1"/>
    <w:rsid w:val="7C7133E4"/>
    <w:rsid w:val="7C7558BC"/>
    <w:rsid w:val="7C7C0363"/>
    <w:rsid w:val="7C990C8E"/>
    <w:rsid w:val="7CA13E34"/>
    <w:rsid w:val="7CB663B2"/>
    <w:rsid w:val="7CCF5F4A"/>
    <w:rsid w:val="7CF558A2"/>
    <w:rsid w:val="7D30373E"/>
    <w:rsid w:val="7D307EC6"/>
    <w:rsid w:val="7D393ECF"/>
    <w:rsid w:val="7D611A56"/>
    <w:rsid w:val="7D7265B5"/>
    <w:rsid w:val="7D8146BE"/>
    <w:rsid w:val="7DA9538F"/>
    <w:rsid w:val="7DAE6755"/>
    <w:rsid w:val="7DB016F8"/>
    <w:rsid w:val="7DDD42F5"/>
    <w:rsid w:val="7DED11AE"/>
    <w:rsid w:val="7DEE2423"/>
    <w:rsid w:val="7DFCDF3C"/>
    <w:rsid w:val="7DFF4FF4"/>
    <w:rsid w:val="7E096945"/>
    <w:rsid w:val="7E322A71"/>
    <w:rsid w:val="7E362A96"/>
    <w:rsid w:val="7E491F26"/>
    <w:rsid w:val="7E4E66B3"/>
    <w:rsid w:val="7E5B0AB3"/>
    <w:rsid w:val="7E61726F"/>
    <w:rsid w:val="7E6B70D4"/>
    <w:rsid w:val="7E8C5E31"/>
    <w:rsid w:val="7E9611EF"/>
    <w:rsid w:val="7EA908B1"/>
    <w:rsid w:val="7EBD2042"/>
    <w:rsid w:val="7EC7678D"/>
    <w:rsid w:val="7EFF9BEA"/>
    <w:rsid w:val="7F090B99"/>
    <w:rsid w:val="7F1661E0"/>
    <w:rsid w:val="7F17777A"/>
    <w:rsid w:val="7F3D4FBE"/>
    <w:rsid w:val="7F481E27"/>
    <w:rsid w:val="7F666EEB"/>
    <w:rsid w:val="7F7531D0"/>
    <w:rsid w:val="7F7E6735"/>
    <w:rsid w:val="7F7FF038"/>
    <w:rsid w:val="7F91180D"/>
    <w:rsid w:val="7F9863F0"/>
    <w:rsid w:val="7FB07B19"/>
    <w:rsid w:val="7FB20180"/>
    <w:rsid w:val="7FBD1CF6"/>
    <w:rsid w:val="7FDF6B7B"/>
    <w:rsid w:val="7FF011E0"/>
    <w:rsid w:val="7FF7095F"/>
    <w:rsid w:val="7FF97BC3"/>
    <w:rsid w:val="7FFB8DF2"/>
    <w:rsid w:val="7FFC72F4"/>
    <w:rsid w:val="7FFD06B8"/>
    <w:rsid w:val="7FFFED63"/>
    <w:rsid w:val="87CFA391"/>
    <w:rsid w:val="8DF752A4"/>
    <w:rsid w:val="ABDFE4DE"/>
    <w:rsid w:val="AC5F12E1"/>
    <w:rsid w:val="B7D764D6"/>
    <w:rsid w:val="B9EE5847"/>
    <w:rsid w:val="BDD9259D"/>
    <w:rsid w:val="BEFFD21A"/>
    <w:rsid w:val="BF0DE93D"/>
    <w:rsid w:val="C6D2CB6A"/>
    <w:rsid w:val="CBEF184D"/>
    <w:rsid w:val="D1120CA7"/>
    <w:rsid w:val="D75F8590"/>
    <w:rsid w:val="D7AD078D"/>
    <w:rsid w:val="D7BE20DA"/>
    <w:rsid w:val="DBFA0C2D"/>
    <w:rsid w:val="DC5C65E1"/>
    <w:rsid w:val="DC674F3F"/>
    <w:rsid w:val="DF7BC769"/>
    <w:rsid w:val="DFFFC37B"/>
    <w:rsid w:val="EBFFDF99"/>
    <w:rsid w:val="EE7FB56F"/>
    <w:rsid w:val="F3769476"/>
    <w:rsid w:val="F7FFFD01"/>
    <w:rsid w:val="F9E9E09E"/>
    <w:rsid w:val="FA56C488"/>
    <w:rsid w:val="FBB7451E"/>
    <w:rsid w:val="FBF25F63"/>
    <w:rsid w:val="FCD36BBE"/>
    <w:rsid w:val="FD659169"/>
    <w:rsid w:val="FDEED45B"/>
    <w:rsid w:val="FEFD4C56"/>
    <w:rsid w:val="FF72D074"/>
    <w:rsid w:val="FF7C84DF"/>
    <w:rsid w:val="FFFF06E4"/>
    <w:rsid w:val="FFFF38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5"/>
    <w:next w:val="6"/>
    <w:link w:val="48"/>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7"/>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link w:val="49"/>
    <w:qFormat/>
    <w:uiPriority w:val="0"/>
    <w:pPr>
      <w:keepNext/>
      <w:keepLines/>
      <w:spacing w:before="260" w:after="260" w:line="416" w:lineRule="auto"/>
      <w:outlineLvl w:val="2"/>
    </w:pPr>
    <w:rPr>
      <w:b/>
      <w:bCs/>
      <w:sz w:val="32"/>
      <w:szCs w:val="32"/>
    </w:rPr>
  </w:style>
  <w:style w:type="paragraph" w:styleId="9">
    <w:name w:val="heading 4"/>
    <w:basedOn w:val="8"/>
    <w:next w:val="6"/>
    <w:link w:val="50"/>
    <w:qFormat/>
    <w:uiPriority w:val="0"/>
    <w:pPr>
      <w:spacing w:line="240" w:lineRule="auto"/>
      <w:ind w:firstLine="643" w:firstLineChars="200"/>
      <w:outlineLvl w:val="3"/>
    </w:p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qFormat/>
    <w:uiPriority w:val="0"/>
    <w:pPr>
      <w:autoSpaceDE w:val="0"/>
      <w:autoSpaceDN w:val="0"/>
      <w:adjustRightInd w:val="0"/>
      <w:spacing w:line="360" w:lineRule="auto"/>
      <w:ind w:firstLine="420" w:firstLineChars="100"/>
    </w:pPr>
    <w:rPr>
      <w:szCs w:val="24"/>
    </w:rPr>
  </w:style>
  <w:style w:type="paragraph" w:styleId="3">
    <w:name w:val="Body Text"/>
    <w:basedOn w:val="1"/>
    <w:next w:val="2"/>
    <w:link w:val="52"/>
    <w:semiHidden/>
    <w:qFormat/>
    <w:uiPriority w:val="0"/>
    <w:pPr>
      <w:spacing w:after="120"/>
    </w:pPr>
    <w:rPr>
      <w:szCs w:val="22"/>
    </w:rPr>
  </w:style>
  <w:style w:type="paragraph" w:customStyle="1" w:styleId="5">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customStyle="1" w:styleId="6">
    <w:name w:val="正文-DTC"/>
    <w:qFormat/>
    <w:uiPriority w:val="0"/>
    <w:pPr>
      <w:spacing w:line="360" w:lineRule="auto"/>
      <w:ind w:firstLine="200" w:firstLineChars="200"/>
      <w:jc w:val="both"/>
    </w:pPr>
    <w:rPr>
      <w:rFonts w:ascii="Times New Roman" w:hAnsi="Times New Roman" w:eastAsia="仿宋" w:cs="宋体"/>
      <w:bCs/>
      <w:sz w:val="28"/>
      <w:szCs w:val="24"/>
      <w:lang w:val="en-US" w:eastAsia="zh-CN" w:bidi="ar-SA"/>
    </w:rPr>
  </w:style>
  <w:style w:type="paragraph" w:styleId="11">
    <w:name w:val="List Number"/>
    <w:basedOn w:val="1"/>
    <w:qFormat/>
    <w:uiPriority w:val="0"/>
    <w:pPr>
      <w:numPr>
        <w:ilvl w:val="0"/>
        <w:numId w:val="1"/>
      </w:numPr>
    </w:pPr>
  </w:style>
  <w:style w:type="paragraph" w:styleId="12">
    <w:name w:val="Normal Indent"/>
    <w:basedOn w:val="1"/>
    <w:qFormat/>
    <w:uiPriority w:val="0"/>
    <w:pPr>
      <w:ind w:firstLine="420" w:firstLineChars="20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83"/>
    <w:qFormat/>
    <w:uiPriority w:val="0"/>
    <w:pPr>
      <w:shd w:val="clear" w:color="auto" w:fill="000080"/>
    </w:pPr>
  </w:style>
  <w:style w:type="paragraph" w:styleId="15">
    <w:name w:val="annotation text"/>
    <w:basedOn w:val="1"/>
    <w:link w:val="70"/>
    <w:qFormat/>
    <w:uiPriority w:val="0"/>
    <w:pPr>
      <w:jc w:val="left"/>
    </w:pPr>
  </w:style>
  <w:style w:type="paragraph" w:styleId="16">
    <w:name w:val="Body Text 3"/>
    <w:basedOn w:val="1"/>
    <w:qFormat/>
    <w:uiPriority w:val="0"/>
    <w:pPr>
      <w:spacing w:after="120"/>
    </w:pPr>
    <w:rPr>
      <w:sz w:val="16"/>
      <w:szCs w:val="16"/>
    </w:rPr>
  </w:style>
  <w:style w:type="paragraph" w:styleId="17">
    <w:name w:val="Body Text Indent"/>
    <w:basedOn w:val="1"/>
    <w:next w:val="1"/>
    <w:link w:val="79"/>
    <w:qFormat/>
    <w:uiPriority w:val="0"/>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18">
    <w:name w:val="List Number 3"/>
    <w:basedOn w:val="1"/>
    <w:qFormat/>
    <w:uiPriority w:val="0"/>
    <w:pPr>
      <w:widowControl/>
      <w:numPr>
        <w:ilvl w:val="0"/>
        <w:numId w:val="2"/>
      </w:numPr>
      <w:tabs>
        <w:tab w:val="left" w:pos="482"/>
        <w:tab w:val="clear" w:pos="645"/>
      </w:tabs>
      <w:spacing w:after="50" w:afterLines="50"/>
      <w:ind w:left="482" w:hanging="340"/>
      <w:jc w:val="left"/>
    </w:pPr>
    <w:rPr>
      <w:kern w:val="0"/>
      <w:sz w:val="24"/>
      <w:szCs w:val="20"/>
    </w:rPr>
  </w:style>
  <w:style w:type="paragraph" w:styleId="19">
    <w:name w:val="List 2"/>
    <w:basedOn w:val="1"/>
    <w:qFormat/>
    <w:uiPriority w:val="0"/>
    <w:pPr>
      <w:ind w:left="100" w:leftChars="200" w:hanging="200" w:hangingChars="200"/>
    </w:pPr>
  </w:style>
  <w:style w:type="paragraph" w:styleId="20">
    <w:name w:val="toc 3"/>
    <w:basedOn w:val="1"/>
    <w:next w:val="1"/>
    <w:qFormat/>
    <w:uiPriority w:val="39"/>
    <w:pPr>
      <w:ind w:left="840" w:leftChars="400"/>
    </w:pPr>
  </w:style>
  <w:style w:type="paragraph" w:styleId="21">
    <w:name w:val="Plain Text"/>
    <w:basedOn w:val="1"/>
    <w:next w:val="1"/>
    <w:link w:val="5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22">
    <w:name w:val="Date"/>
    <w:basedOn w:val="1"/>
    <w:next w:val="1"/>
    <w:link w:val="68"/>
    <w:qFormat/>
    <w:uiPriority w:val="0"/>
    <w:pPr>
      <w:ind w:left="2500" w:leftChars="2500"/>
    </w:pPr>
    <w:rPr>
      <w:rFonts w:eastAsia="楷体_GB2312"/>
      <w:sz w:val="32"/>
      <w:szCs w:val="20"/>
    </w:rPr>
  </w:style>
  <w:style w:type="paragraph" w:styleId="23">
    <w:name w:val="Body Text Indent 2"/>
    <w:basedOn w:val="1"/>
    <w:link w:val="55"/>
    <w:qFormat/>
    <w:uiPriority w:val="0"/>
    <w:pPr>
      <w:autoSpaceDE w:val="0"/>
      <w:autoSpaceDN w:val="0"/>
      <w:adjustRightInd w:val="0"/>
      <w:spacing w:line="520" w:lineRule="exact"/>
      <w:ind w:left="181" w:firstLine="239"/>
    </w:pPr>
    <w:rPr>
      <w:rFonts w:ascii="仿宋_GB2312" w:eastAsia="仿宋_GB2312"/>
      <w:sz w:val="28"/>
      <w:szCs w:val="28"/>
      <w:lang w:val="zh-CN"/>
    </w:rPr>
  </w:style>
  <w:style w:type="paragraph" w:styleId="24">
    <w:name w:val="endnote text"/>
    <w:basedOn w:val="1"/>
    <w:link w:val="64"/>
    <w:semiHidden/>
    <w:qFormat/>
    <w:uiPriority w:val="0"/>
    <w:pPr>
      <w:snapToGrid w:val="0"/>
      <w:jc w:val="left"/>
    </w:pPr>
    <w:rPr>
      <w:szCs w:val="20"/>
    </w:rPr>
  </w:style>
  <w:style w:type="paragraph" w:styleId="25">
    <w:name w:val="Balloon Text"/>
    <w:basedOn w:val="1"/>
    <w:link w:val="73"/>
    <w:qFormat/>
    <w:uiPriority w:val="0"/>
    <w:rPr>
      <w:sz w:val="18"/>
      <w:szCs w:val="18"/>
    </w:rPr>
  </w:style>
  <w:style w:type="paragraph" w:styleId="26">
    <w:name w:val="footer"/>
    <w:basedOn w:val="1"/>
    <w:link w:val="57"/>
    <w:qFormat/>
    <w:uiPriority w:val="0"/>
    <w:pPr>
      <w:tabs>
        <w:tab w:val="center" w:pos="4153"/>
        <w:tab w:val="right" w:pos="8306"/>
      </w:tabs>
      <w:snapToGrid w:val="0"/>
      <w:jc w:val="left"/>
    </w:pPr>
    <w:rPr>
      <w:sz w:val="18"/>
      <w:szCs w:val="18"/>
    </w:rPr>
  </w:style>
  <w:style w:type="paragraph" w:styleId="27">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style>
  <w:style w:type="paragraph" w:styleId="30">
    <w:name w:val="toc 6"/>
    <w:basedOn w:val="1"/>
    <w:next w:val="1"/>
    <w:qFormat/>
    <w:uiPriority w:val="0"/>
    <w:pPr>
      <w:ind w:left="2100" w:leftChars="1000"/>
    </w:pPr>
  </w:style>
  <w:style w:type="paragraph" w:styleId="31">
    <w:name w:val="Body Text Indent 3"/>
    <w:basedOn w:val="1"/>
    <w:link w:val="60"/>
    <w:qFormat/>
    <w:uiPriority w:val="0"/>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32">
    <w:name w:val="table of figures"/>
    <w:basedOn w:val="1"/>
    <w:next w:val="1"/>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33">
    <w:name w:val="toc 2"/>
    <w:basedOn w:val="1"/>
    <w:next w:val="1"/>
    <w:qFormat/>
    <w:uiPriority w:val="39"/>
    <w:pPr>
      <w:ind w:left="420" w:leftChars="200"/>
    </w:pPr>
  </w:style>
  <w:style w:type="paragraph" w:styleId="34">
    <w:name w:val="Body Text 2"/>
    <w:basedOn w:val="1"/>
    <w:link w:val="66"/>
    <w:qFormat/>
    <w:uiPriority w:val="0"/>
    <w:pPr>
      <w:spacing w:after="120" w:line="480" w:lineRule="auto"/>
    </w:p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Title"/>
    <w:basedOn w:val="1"/>
    <w:next w:val="1"/>
    <w:link w:val="76"/>
    <w:qFormat/>
    <w:uiPriority w:val="0"/>
    <w:pPr>
      <w:jc w:val="center"/>
    </w:pPr>
    <w:rPr>
      <w:rFonts w:ascii="Arial" w:hAnsi="Arial"/>
      <w:b/>
      <w:kern w:val="0"/>
      <w:sz w:val="36"/>
      <w:szCs w:val="20"/>
      <w:lang w:eastAsia="en-US"/>
    </w:rPr>
  </w:style>
  <w:style w:type="paragraph" w:styleId="37">
    <w:name w:val="annotation subject"/>
    <w:basedOn w:val="15"/>
    <w:next w:val="15"/>
    <w:link w:val="69"/>
    <w:qFormat/>
    <w:uiPriority w:val="0"/>
    <w:rPr>
      <w:b/>
      <w:bCs/>
    </w:rPr>
  </w:style>
  <w:style w:type="paragraph" w:styleId="38">
    <w:name w:val="Body Text First Indent 2"/>
    <w:basedOn w:val="17"/>
    <w:qFormat/>
    <w:uiPriority w:val="0"/>
    <w:pPr>
      <w:ind w:firstLine="42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none"/>
    </w:rPr>
  </w:style>
  <w:style w:type="character" w:styleId="45">
    <w:name w:val="Hyperlink"/>
    <w:qFormat/>
    <w:uiPriority w:val="99"/>
    <w:rPr>
      <w:color w:val="0000FF"/>
      <w:u w:val="none"/>
    </w:rPr>
  </w:style>
  <w:style w:type="character" w:styleId="46">
    <w:name w:val="annotation reference"/>
    <w:qFormat/>
    <w:uiPriority w:val="0"/>
    <w:rPr>
      <w:sz w:val="21"/>
      <w:szCs w:val="21"/>
    </w:rPr>
  </w:style>
  <w:style w:type="character" w:customStyle="1" w:styleId="47">
    <w:name w:val="标题 2 字符"/>
    <w:link w:val="7"/>
    <w:qFormat/>
    <w:uiPriority w:val="0"/>
    <w:rPr>
      <w:rFonts w:ascii="Arial" w:hAnsi="Arial" w:eastAsia="黑体"/>
      <w:b/>
      <w:bCs/>
      <w:kern w:val="2"/>
      <w:sz w:val="32"/>
      <w:szCs w:val="32"/>
    </w:rPr>
  </w:style>
  <w:style w:type="character" w:customStyle="1" w:styleId="48">
    <w:name w:val="标题 1 字符"/>
    <w:link w:val="4"/>
    <w:qFormat/>
    <w:uiPriority w:val="0"/>
    <w:rPr>
      <w:b/>
      <w:bCs/>
      <w:kern w:val="44"/>
      <w:sz w:val="44"/>
      <w:szCs w:val="44"/>
    </w:rPr>
  </w:style>
  <w:style w:type="character" w:customStyle="1" w:styleId="49">
    <w:name w:val="标题 3 字符"/>
    <w:link w:val="8"/>
    <w:qFormat/>
    <w:uiPriority w:val="0"/>
    <w:rPr>
      <w:b/>
      <w:bCs/>
      <w:kern w:val="2"/>
      <w:sz w:val="32"/>
      <w:szCs w:val="32"/>
    </w:rPr>
  </w:style>
  <w:style w:type="character" w:customStyle="1" w:styleId="50">
    <w:name w:val="标题 4 字符"/>
    <w:link w:val="9"/>
    <w:qFormat/>
    <w:uiPriority w:val="0"/>
    <w:rPr>
      <w:rFonts w:ascii="Arial" w:hAnsi="Arial" w:eastAsia="黑体"/>
      <w:b/>
      <w:bCs/>
      <w:kern w:val="2"/>
      <w:sz w:val="32"/>
      <w:szCs w:val="32"/>
    </w:rPr>
  </w:style>
  <w:style w:type="character" w:customStyle="1" w:styleId="51">
    <w:name w:val="纯文本 字符"/>
    <w:link w:val="21"/>
    <w:qFormat/>
    <w:locked/>
    <w:uiPriority w:val="0"/>
    <w:rPr>
      <w:rFonts w:ascii="宋体" w:hAnsi="Courier New" w:eastAsia="宋体"/>
      <w:sz w:val="21"/>
      <w:lang w:bidi="ar-SA"/>
    </w:rPr>
  </w:style>
  <w:style w:type="character" w:customStyle="1" w:styleId="52">
    <w:name w:val="正文文本 字符"/>
    <w:link w:val="3"/>
    <w:semiHidden/>
    <w:qFormat/>
    <w:locked/>
    <w:uiPriority w:val="0"/>
    <w:rPr>
      <w:rFonts w:ascii="Calibri" w:hAnsi="Calibri" w:eastAsia="宋体"/>
      <w:kern w:val="2"/>
      <w:sz w:val="21"/>
      <w:szCs w:val="22"/>
      <w:lang w:val="en-US" w:eastAsia="zh-CN" w:bidi="ar-SA"/>
    </w:rPr>
  </w:style>
  <w:style w:type="character" w:customStyle="1" w:styleId="53">
    <w:name w:val="font3"/>
    <w:basedOn w:val="41"/>
    <w:qFormat/>
    <w:uiPriority w:val="0"/>
  </w:style>
  <w:style w:type="character" w:customStyle="1" w:styleId="54">
    <w:name w:val="Char Char2"/>
    <w:qFormat/>
    <w:uiPriority w:val="0"/>
    <w:rPr>
      <w:rFonts w:ascii="宋体" w:hAnsi="Courier New" w:eastAsia="宋体"/>
      <w:sz w:val="21"/>
      <w:lang w:val="en-US" w:eastAsia="zh-CN" w:bidi="ar-SA"/>
    </w:rPr>
  </w:style>
  <w:style w:type="character" w:customStyle="1" w:styleId="55">
    <w:name w:val="正文文本缩进 2 字符"/>
    <w:link w:val="23"/>
    <w:qFormat/>
    <w:uiPriority w:val="0"/>
    <w:rPr>
      <w:rFonts w:ascii="仿宋_GB2312" w:eastAsia="仿宋_GB2312"/>
      <w:kern w:val="2"/>
      <w:sz w:val="28"/>
      <w:szCs w:val="28"/>
      <w:lang w:val="zh-CN"/>
    </w:rPr>
  </w:style>
  <w:style w:type="character" w:customStyle="1" w:styleId="56">
    <w:name w:val="bulletintext1"/>
    <w:qFormat/>
    <w:uiPriority w:val="0"/>
    <w:rPr>
      <w:color w:val="000000"/>
      <w:sz w:val="18"/>
      <w:szCs w:val="18"/>
    </w:rPr>
  </w:style>
  <w:style w:type="character" w:customStyle="1" w:styleId="57">
    <w:name w:val="页脚 字符"/>
    <w:link w:val="26"/>
    <w:qFormat/>
    <w:locked/>
    <w:uiPriority w:val="0"/>
    <w:rPr>
      <w:rFonts w:eastAsia="宋体"/>
      <w:kern w:val="2"/>
      <w:sz w:val="18"/>
      <w:szCs w:val="18"/>
      <w:lang w:val="en-US" w:eastAsia="zh-CN" w:bidi="ar-SA"/>
    </w:rPr>
  </w:style>
  <w:style w:type="character" w:customStyle="1" w:styleId="58">
    <w:name w:val="p141"/>
    <w:qFormat/>
    <w:uiPriority w:val="0"/>
    <w:rPr>
      <w:sz w:val="21"/>
      <w:szCs w:val="21"/>
    </w:rPr>
  </w:style>
  <w:style w:type="character" w:customStyle="1" w:styleId="59">
    <w:name w:val="标题 1 Char Char"/>
    <w:qFormat/>
    <w:uiPriority w:val="99"/>
    <w:rPr>
      <w:rFonts w:eastAsia="宋体" w:cs="Times New Roman"/>
      <w:spacing w:val="-2"/>
      <w:sz w:val="24"/>
      <w:lang w:val="en-US" w:eastAsia="zh-CN" w:bidi="ar-SA"/>
    </w:rPr>
  </w:style>
  <w:style w:type="character" w:customStyle="1" w:styleId="60">
    <w:name w:val="正文文本缩进 3 字符"/>
    <w:link w:val="31"/>
    <w:qFormat/>
    <w:uiPriority w:val="0"/>
    <w:rPr>
      <w:rFonts w:ascii="仿宋_GB2312" w:eastAsia="仿宋_GB2312"/>
      <w:kern w:val="2"/>
      <w:sz w:val="28"/>
      <w:szCs w:val="28"/>
      <w:lang w:val="zh-CN"/>
    </w:rPr>
  </w:style>
  <w:style w:type="character" w:customStyle="1" w:styleId="61">
    <w:name w:val="正文文本首行缩进 字符"/>
    <w:link w:val="2"/>
    <w:qFormat/>
    <w:locked/>
    <w:uiPriority w:val="0"/>
    <w:rPr>
      <w:rFonts w:ascii="Calibri" w:hAnsi="Calibri" w:eastAsia="宋体"/>
      <w:kern w:val="2"/>
      <w:sz w:val="21"/>
      <w:szCs w:val="24"/>
      <w:lang w:val="en-US" w:eastAsia="zh-CN" w:bidi="ar-SA"/>
    </w:rPr>
  </w:style>
  <w:style w:type="character" w:customStyle="1" w:styleId="62">
    <w:name w:val="标题 2 Char Char"/>
    <w:qFormat/>
    <w:uiPriority w:val="0"/>
    <w:rPr>
      <w:rFonts w:ascii="宋体" w:hAnsi="宋体" w:eastAsia="黑体"/>
      <w:b/>
      <w:bCs/>
      <w:kern w:val="2"/>
      <w:sz w:val="24"/>
      <w:szCs w:val="32"/>
      <w:lang w:val="en-US" w:eastAsia="zh-CN" w:bidi="ar-SA"/>
    </w:rPr>
  </w:style>
  <w:style w:type="character" w:customStyle="1" w:styleId="63">
    <w:name w:val="页眉 字符"/>
    <w:link w:val="27"/>
    <w:qFormat/>
    <w:locked/>
    <w:uiPriority w:val="0"/>
    <w:rPr>
      <w:rFonts w:eastAsia="宋体"/>
      <w:kern w:val="2"/>
      <w:sz w:val="18"/>
      <w:szCs w:val="18"/>
      <w:lang w:val="en-US" w:eastAsia="zh-CN" w:bidi="ar-SA"/>
    </w:rPr>
  </w:style>
  <w:style w:type="character" w:customStyle="1" w:styleId="64">
    <w:name w:val="尾注文本 字符"/>
    <w:link w:val="24"/>
    <w:semiHidden/>
    <w:qFormat/>
    <w:uiPriority w:val="0"/>
    <w:rPr>
      <w:kern w:val="2"/>
      <w:sz w:val="21"/>
    </w:rPr>
  </w:style>
  <w:style w:type="character" w:customStyle="1" w:styleId="65">
    <w:name w:val="标题 Char1"/>
    <w:qFormat/>
    <w:locked/>
    <w:uiPriority w:val="0"/>
    <w:rPr>
      <w:rFonts w:ascii="Arial" w:hAnsi="Arial"/>
      <w:b/>
      <w:sz w:val="36"/>
      <w:lang w:eastAsia="en-US"/>
    </w:rPr>
  </w:style>
  <w:style w:type="character" w:customStyle="1" w:styleId="66">
    <w:name w:val="正文文本 2 字符"/>
    <w:link w:val="34"/>
    <w:qFormat/>
    <w:uiPriority w:val="0"/>
    <w:rPr>
      <w:kern w:val="2"/>
      <w:sz w:val="21"/>
      <w:szCs w:val="24"/>
    </w:rPr>
  </w:style>
  <w:style w:type="character" w:customStyle="1" w:styleId="67">
    <w:name w:val="font11"/>
    <w:qFormat/>
    <w:uiPriority w:val="0"/>
    <w:rPr>
      <w:rFonts w:hint="eastAsia" w:ascii="宋体" w:hAnsi="宋体" w:eastAsia="宋体" w:cs="宋体"/>
      <w:b/>
      <w:color w:val="000000"/>
      <w:sz w:val="32"/>
      <w:szCs w:val="32"/>
      <w:u w:val="none"/>
    </w:rPr>
  </w:style>
  <w:style w:type="character" w:customStyle="1" w:styleId="68">
    <w:name w:val="日期 字符"/>
    <w:link w:val="22"/>
    <w:qFormat/>
    <w:uiPriority w:val="0"/>
    <w:rPr>
      <w:rFonts w:eastAsia="楷体_GB2312"/>
      <w:kern w:val="2"/>
      <w:sz w:val="32"/>
    </w:rPr>
  </w:style>
  <w:style w:type="character" w:customStyle="1" w:styleId="69">
    <w:name w:val="批注主题 字符"/>
    <w:basedOn w:val="70"/>
    <w:link w:val="37"/>
    <w:qFormat/>
    <w:uiPriority w:val="0"/>
    <w:rPr>
      <w:kern w:val="2"/>
      <w:sz w:val="21"/>
      <w:szCs w:val="24"/>
    </w:rPr>
  </w:style>
  <w:style w:type="character" w:customStyle="1" w:styleId="70">
    <w:name w:val="批注文字 字符"/>
    <w:link w:val="15"/>
    <w:qFormat/>
    <w:uiPriority w:val="0"/>
    <w:rPr>
      <w:kern w:val="2"/>
      <w:sz w:val="21"/>
      <w:szCs w:val="24"/>
    </w:rPr>
  </w:style>
  <w:style w:type="character" w:customStyle="1" w:styleId="71">
    <w:name w:val="font61"/>
    <w:qFormat/>
    <w:uiPriority w:val="0"/>
    <w:rPr>
      <w:rFonts w:hint="eastAsia" w:ascii="宋体" w:hAnsi="宋体" w:eastAsia="宋体" w:cs="宋体"/>
      <w:color w:val="000000"/>
      <w:sz w:val="24"/>
      <w:szCs w:val="24"/>
      <w:u w:val="none"/>
    </w:rPr>
  </w:style>
  <w:style w:type="character" w:customStyle="1" w:styleId="72">
    <w:name w:val="普通文字 Char Char1"/>
    <w:qFormat/>
    <w:locked/>
    <w:uiPriority w:val="0"/>
    <w:rPr>
      <w:rFonts w:ascii="宋体" w:hAnsi="Courier New" w:eastAsia="宋体"/>
      <w:kern w:val="2"/>
      <w:sz w:val="21"/>
      <w:lang w:val="en-US" w:eastAsia="zh-CN" w:bidi="ar-SA"/>
    </w:rPr>
  </w:style>
  <w:style w:type="character" w:customStyle="1" w:styleId="73">
    <w:name w:val="批注框文本 字符"/>
    <w:link w:val="25"/>
    <w:qFormat/>
    <w:uiPriority w:val="0"/>
    <w:rPr>
      <w:kern w:val="2"/>
      <w:sz w:val="18"/>
      <w:szCs w:val="18"/>
    </w:rPr>
  </w:style>
  <w:style w:type="character" w:customStyle="1" w:styleId="74">
    <w:name w:val="Char Char21"/>
    <w:qFormat/>
    <w:uiPriority w:val="0"/>
    <w:rPr>
      <w:rFonts w:hint="eastAsia" w:ascii="宋体" w:hAnsi="Courier New" w:eastAsia="宋体"/>
      <w:sz w:val="21"/>
      <w:lang w:val="en-US" w:eastAsia="zh-CN" w:bidi="ar-SA"/>
    </w:rPr>
  </w:style>
  <w:style w:type="character" w:customStyle="1" w:styleId="75">
    <w:name w:val="font01"/>
    <w:qFormat/>
    <w:uiPriority w:val="0"/>
    <w:rPr>
      <w:rFonts w:hint="eastAsia" w:ascii="宋体" w:hAnsi="宋体" w:eastAsia="宋体" w:cs="宋体"/>
      <w:color w:val="000000"/>
      <w:sz w:val="22"/>
      <w:szCs w:val="22"/>
      <w:u w:val="none"/>
    </w:rPr>
  </w:style>
  <w:style w:type="character" w:customStyle="1" w:styleId="76">
    <w:name w:val="标题 字符"/>
    <w:link w:val="36"/>
    <w:qFormat/>
    <w:locked/>
    <w:uiPriority w:val="0"/>
    <w:rPr>
      <w:rFonts w:ascii="Arial" w:hAnsi="Arial" w:eastAsia="宋体"/>
      <w:b/>
      <w:sz w:val="36"/>
      <w:lang w:val="en-US" w:eastAsia="en-US" w:bidi="ar-SA"/>
    </w:rPr>
  </w:style>
  <w:style w:type="character" w:customStyle="1" w:styleId="77">
    <w:name w:val="Footer Char"/>
    <w:qFormat/>
    <w:locked/>
    <w:uiPriority w:val="0"/>
    <w:rPr>
      <w:rFonts w:ascii="Calibri" w:hAnsi="Calibri" w:eastAsia="宋体"/>
      <w:kern w:val="2"/>
      <w:sz w:val="18"/>
      <w:szCs w:val="18"/>
      <w:lang w:val="en-US" w:eastAsia="zh-CN" w:bidi="ar-SA"/>
    </w:rPr>
  </w:style>
  <w:style w:type="character" w:customStyle="1" w:styleId="78">
    <w:name w:val="Header Char"/>
    <w:qFormat/>
    <w:locked/>
    <w:uiPriority w:val="0"/>
    <w:rPr>
      <w:rFonts w:ascii="Calibri" w:hAnsi="Calibri" w:eastAsia="宋体"/>
      <w:kern w:val="2"/>
      <w:sz w:val="18"/>
      <w:szCs w:val="18"/>
      <w:lang w:val="en-US" w:eastAsia="zh-CN" w:bidi="ar-SA"/>
    </w:rPr>
  </w:style>
  <w:style w:type="character" w:customStyle="1" w:styleId="79">
    <w:name w:val="正文文本缩进 字符"/>
    <w:link w:val="17"/>
    <w:qFormat/>
    <w:uiPriority w:val="0"/>
    <w:rPr>
      <w:rFonts w:ascii="仿宋_GB2312" w:eastAsia="仿宋_GB2312"/>
      <w:kern w:val="2"/>
      <w:sz w:val="28"/>
      <w:szCs w:val="28"/>
      <w:lang w:val="zh-CN"/>
    </w:rPr>
  </w:style>
  <w:style w:type="character" w:customStyle="1" w:styleId="80">
    <w:name w:val="样式1 Char"/>
    <w:link w:val="81"/>
    <w:qFormat/>
    <w:locked/>
    <w:uiPriority w:val="99"/>
    <w:rPr>
      <w:rFonts w:ascii="宋体" w:hAnsi="宋体" w:eastAsia="黑体"/>
      <w:b/>
      <w:bCs/>
      <w:kern w:val="2"/>
      <w:sz w:val="36"/>
      <w:szCs w:val="36"/>
    </w:rPr>
  </w:style>
  <w:style w:type="paragraph" w:customStyle="1" w:styleId="81">
    <w:name w:val="样式1"/>
    <w:basedOn w:val="7"/>
    <w:link w:val="80"/>
    <w:qFormat/>
    <w:uiPriority w:val="99"/>
    <w:pPr>
      <w:jc w:val="center"/>
    </w:pPr>
    <w:rPr>
      <w:rFonts w:ascii="宋体" w:hAnsi="宋体"/>
      <w:sz w:val="36"/>
      <w:szCs w:val="36"/>
    </w:rPr>
  </w:style>
  <w:style w:type="character" w:customStyle="1" w:styleId="82">
    <w:name w:val="large1"/>
    <w:qFormat/>
    <w:uiPriority w:val="0"/>
    <w:rPr>
      <w:rFonts w:hint="eastAsia" w:ascii="宋体" w:hAnsi="宋体" w:eastAsia="宋体"/>
      <w:sz w:val="21"/>
      <w:szCs w:val="21"/>
    </w:rPr>
  </w:style>
  <w:style w:type="character" w:customStyle="1" w:styleId="83">
    <w:name w:val="文档结构图 字符"/>
    <w:link w:val="14"/>
    <w:qFormat/>
    <w:uiPriority w:val="0"/>
    <w:rPr>
      <w:kern w:val="2"/>
      <w:sz w:val="21"/>
      <w:szCs w:val="24"/>
      <w:shd w:val="clear" w:color="auto" w:fill="000080"/>
    </w:rPr>
  </w:style>
  <w:style w:type="paragraph" w:customStyle="1" w:styleId="84">
    <w:name w:val="Char"/>
    <w:basedOn w:val="1"/>
    <w:qFormat/>
    <w:uiPriority w:val="0"/>
  </w:style>
  <w:style w:type="paragraph" w:customStyle="1" w:styleId="85">
    <w:name w:val="表格"/>
    <w:basedOn w:val="1"/>
    <w:qFormat/>
    <w:uiPriority w:val="0"/>
    <w:pPr>
      <w:spacing w:line="360" w:lineRule="auto"/>
      <w:jc w:val="center"/>
    </w:pPr>
  </w:style>
  <w:style w:type="paragraph" w:customStyle="1" w:styleId="86">
    <w:name w:val="Char1"/>
    <w:basedOn w:val="1"/>
    <w:qFormat/>
    <w:uiPriority w:val="0"/>
  </w:style>
  <w:style w:type="paragraph" w:customStyle="1" w:styleId="87">
    <w:name w:val="正文2"/>
    <w:basedOn w:val="1"/>
    <w:qFormat/>
    <w:uiPriority w:val="0"/>
    <w:pPr>
      <w:spacing w:before="156" w:line="360" w:lineRule="auto"/>
      <w:ind w:firstLine="510" w:firstLineChars="200"/>
    </w:pPr>
    <w:rPr>
      <w:sz w:val="24"/>
      <w:szCs w:val="20"/>
    </w:rPr>
  </w:style>
  <w:style w:type="paragraph" w:customStyle="1" w:styleId="88">
    <w:name w:val="BodyText1I2"/>
    <w:basedOn w:val="89"/>
    <w:qFormat/>
    <w:uiPriority w:val="99"/>
    <w:pPr>
      <w:ind w:firstLine="420"/>
    </w:pPr>
  </w:style>
  <w:style w:type="paragraph" w:customStyle="1" w:styleId="89">
    <w:name w:val="BodyTextIndent"/>
    <w:basedOn w:val="1"/>
    <w:qFormat/>
    <w:uiPriority w:val="99"/>
    <w:pPr>
      <w:widowControl/>
      <w:ind w:left="420"/>
      <w:textAlignment w:val="baseline"/>
    </w:pPr>
    <w:rPr>
      <w:rFonts w:ascii="Times New Roman" w:hAnsi="Times New Roman"/>
    </w:rPr>
  </w:style>
  <w:style w:type="paragraph" w:customStyle="1" w:styleId="90">
    <w:name w:val="正文缩进1"/>
    <w:basedOn w:val="1"/>
    <w:qFormat/>
    <w:uiPriority w:val="0"/>
    <w:pPr>
      <w:widowControl/>
      <w:ind w:firstLine="420"/>
      <w:jc w:val="left"/>
    </w:pPr>
    <w:rPr>
      <w:rFonts w:ascii="Times New Roman" w:hAnsi="Times New Roman"/>
      <w:kern w:val="0"/>
      <w:szCs w:val="20"/>
    </w:rPr>
  </w:style>
  <w:style w:type="paragraph" w:customStyle="1" w:styleId="91">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92">
    <w:name w:val="Table Paragraph"/>
    <w:basedOn w:val="1"/>
    <w:qFormat/>
    <w:uiPriority w:val="1"/>
    <w:rPr>
      <w:rFonts w:ascii="宋体" w:hAnsi="宋体" w:cs="宋体"/>
      <w:lang w:val="zh-CN" w:bidi="zh-CN"/>
    </w:rPr>
  </w:style>
  <w:style w:type="paragraph" w:customStyle="1" w:styleId="93">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p18"/>
    <w:basedOn w:val="1"/>
    <w:qFormat/>
    <w:uiPriority w:val="0"/>
    <w:pPr>
      <w:widowControl/>
      <w:spacing w:line="748" w:lineRule="atLeast"/>
      <w:ind w:left="-527" w:firstLine="527"/>
    </w:pPr>
    <w:rPr>
      <w:rFonts w:ascii="宋体" w:hAnsi="宋体" w:cs="宋体"/>
      <w:kern w:val="0"/>
      <w:sz w:val="24"/>
    </w:rPr>
  </w:style>
  <w:style w:type="paragraph" w:customStyle="1" w:styleId="95">
    <w:name w:val="*正文"/>
    <w:basedOn w:val="1"/>
    <w:qFormat/>
    <w:uiPriority w:val="0"/>
    <w:rPr>
      <w:rFonts w:ascii="宋体" w:hAnsi="宋体"/>
      <w:kern w:val="0"/>
      <w:sz w:val="24"/>
      <w:szCs w:val="20"/>
      <w:lang w:val="zh-CN"/>
    </w:rPr>
  </w:style>
  <w:style w:type="paragraph" w:customStyle="1" w:styleId="96">
    <w:name w:val="p0"/>
    <w:basedOn w:val="1"/>
    <w:qFormat/>
    <w:uiPriority w:val="0"/>
    <w:pPr>
      <w:widowControl/>
    </w:pPr>
    <w:rPr>
      <w:rFonts w:cs="Calibri"/>
      <w:kern w:val="0"/>
      <w:szCs w:val="21"/>
    </w:rPr>
  </w:style>
  <w:style w:type="paragraph" w:customStyle="1" w:styleId="97">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9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9">
    <w:name w:val="列表段落1"/>
    <w:basedOn w:val="1"/>
    <w:qFormat/>
    <w:uiPriority w:val="0"/>
    <w:pPr>
      <w:ind w:firstLine="420" w:firstLineChars="200"/>
    </w:pPr>
    <w:rPr>
      <w:szCs w:val="22"/>
    </w:rPr>
  </w:style>
  <w:style w:type="paragraph" w:customStyle="1" w:styleId="100">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101">
    <w:name w:val="喜"/>
    <w:basedOn w:val="8"/>
    <w:qFormat/>
    <w:uiPriority w:val="0"/>
    <w:pPr>
      <w:tabs>
        <w:tab w:val="left" w:pos="600"/>
      </w:tabs>
      <w:adjustRightInd w:val="0"/>
      <w:spacing w:line="416" w:lineRule="atLeast"/>
      <w:ind w:left="600" w:hanging="420"/>
      <w:jc w:val="left"/>
      <w:textAlignment w:val="baseline"/>
    </w:pPr>
    <w:rPr>
      <w:kern w:val="0"/>
      <w:sz w:val="28"/>
      <w:szCs w:val="28"/>
    </w:rPr>
  </w:style>
  <w:style w:type="paragraph" w:customStyle="1" w:styleId="102">
    <w:name w:val="正文段"/>
    <w:basedOn w:val="1"/>
    <w:qFormat/>
    <w:uiPriority w:val="0"/>
    <w:pPr>
      <w:widowControl/>
      <w:snapToGrid w:val="0"/>
      <w:spacing w:after="50" w:afterLines="50"/>
      <w:ind w:firstLine="200" w:firstLineChars="200"/>
    </w:pPr>
    <w:rPr>
      <w:kern w:val="0"/>
      <w:sz w:val="24"/>
      <w:szCs w:val="20"/>
    </w:rPr>
  </w:style>
  <w:style w:type="paragraph" w:customStyle="1" w:styleId="103">
    <w:name w:val="TOC 标题1"/>
    <w:basedOn w:val="4"/>
    <w:next w:val="1"/>
    <w:qFormat/>
    <w:uiPriority w:val="39"/>
    <w:pPr>
      <w:widowControl/>
      <w:spacing w:before="240" w:after="0" w:line="259" w:lineRule="auto"/>
      <w:jc w:val="left"/>
      <w:outlineLvl w:val="9"/>
    </w:pPr>
    <w:rPr>
      <w:rFonts w:ascii="Calibri Light" w:hAnsi="Calibri Light" w:eastAsia="宋体"/>
      <w:b w:val="0"/>
      <w:bCs w:val="0"/>
      <w:color w:val="2E74B5"/>
      <w:kern w:val="0"/>
      <w:sz w:val="32"/>
      <w:szCs w:val="32"/>
    </w:rPr>
  </w:style>
  <w:style w:type="paragraph" w:customStyle="1" w:styleId="104">
    <w:name w:val="Plain Text1"/>
    <w:basedOn w:val="1"/>
    <w:qFormat/>
    <w:uiPriority w:val="0"/>
    <w:pPr>
      <w:adjustRightInd w:val="0"/>
      <w:textAlignment w:val="baseline"/>
    </w:pPr>
    <w:rPr>
      <w:rFonts w:ascii="宋体" w:hAnsi="Courier New"/>
      <w:szCs w:val="20"/>
    </w:rPr>
  </w:style>
  <w:style w:type="paragraph" w:customStyle="1" w:styleId="105">
    <w:name w:val="默认段落字体 Para Char Char Char Char Char Char Char Char Char1 Char Char Char Char"/>
    <w:basedOn w:val="1"/>
    <w:qFormat/>
    <w:uiPriority w:val="0"/>
    <w:rPr>
      <w:rFonts w:ascii="Tahoma" w:hAnsi="Tahoma"/>
      <w:sz w:val="24"/>
      <w:szCs w:val="20"/>
    </w:rPr>
  </w:style>
  <w:style w:type="paragraph" w:customStyle="1" w:styleId="106">
    <w:name w:val="Char Char Char Char Char Char Char Char Char Char"/>
    <w:basedOn w:val="14"/>
    <w:qFormat/>
    <w:uiPriority w:val="0"/>
    <w:rPr>
      <w:rFonts w:ascii="Tahoma" w:hAnsi="Tahoma"/>
      <w:sz w:val="24"/>
    </w:rPr>
  </w:style>
  <w:style w:type="paragraph" w:customStyle="1" w:styleId="107">
    <w:name w:val="表"/>
    <w:basedOn w:val="1"/>
    <w:qFormat/>
    <w:uiPriority w:val="0"/>
    <w:pPr>
      <w:spacing w:line="360" w:lineRule="auto"/>
      <w:jc w:val="center"/>
    </w:pPr>
    <w:rPr>
      <w:rFonts w:ascii="宋体" w:hAnsi="宋体"/>
      <w:b/>
      <w:bCs/>
      <w:szCs w:val="20"/>
    </w:rPr>
  </w:style>
  <w:style w:type="paragraph" w:customStyle="1" w:styleId="108">
    <w:name w:val="Fließtext"/>
    <w:basedOn w:val="1"/>
    <w:qFormat/>
    <w:uiPriority w:val="0"/>
    <w:pPr>
      <w:overflowPunct w:val="0"/>
      <w:autoSpaceDE w:val="0"/>
      <w:autoSpaceDN w:val="0"/>
      <w:adjustRightInd w:val="0"/>
      <w:textAlignment w:val="baseline"/>
    </w:pPr>
    <w:rPr>
      <w:kern w:val="28"/>
      <w:szCs w:val="20"/>
    </w:rPr>
  </w:style>
  <w:style w:type="paragraph" w:customStyle="1" w:styleId="109">
    <w:name w:val="Proposals body"/>
    <w:basedOn w:val="1"/>
    <w:next w:val="1"/>
    <w:qFormat/>
    <w:uiPriority w:val="0"/>
    <w:pPr>
      <w:widowControl/>
      <w:snapToGrid w:val="0"/>
      <w:spacing w:after="120" w:line="460" w:lineRule="exact"/>
      <w:ind w:right="600"/>
      <w:jc w:val="right"/>
    </w:pPr>
    <w:rPr>
      <w:rFonts w:ascii="仿宋" w:hAnsi="仿宋" w:eastAsia="仿宋"/>
      <w:color w:val="000000"/>
      <w:kern w:val="0"/>
      <w:sz w:val="30"/>
      <w:szCs w:val="30"/>
    </w:rPr>
  </w:style>
  <w:style w:type="paragraph" w:customStyle="1" w:styleId="110">
    <w:name w:val="正文首行缩进2字符"/>
    <w:basedOn w:val="1"/>
    <w:qFormat/>
    <w:uiPriority w:val="0"/>
    <w:pPr>
      <w:widowControl/>
      <w:jc w:val="left"/>
    </w:pPr>
    <w:rPr>
      <w:rFonts w:ascii="仿宋" w:hAnsi="仿宋" w:cs="宋体"/>
      <w:kern w:val="0"/>
      <w:sz w:val="28"/>
      <w:szCs w:val="28"/>
    </w:rPr>
  </w:style>
  <w:style w:type="paragraph" w:customStyle="1" w:styleId="111">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12">
    <w:name w:val="CW-正文"/>
    <w:basedOn w:val="1"/>
    <w:qFormat/>
    <w:uiPriority w:val="0"/>
    <w:pPr>
      <w:jc w:val="center"/>
    </w:pPr>
    <w:rPr>
      <w:rFonts w:ascii="宋体" w:hAnsi="宋体" w:cs="宋体"/>
      <w:szCs w:val="28"/>
    </w:rPr>
  </w:style>
  <w:style w:type="paragraph" w:styleId="113">
    <w:name w:val="List Paragraph"/>
    <w:basedOn w:val="1"/>
    <w:qFormat/>
    <w:uiPriority w:val="34"/>
    <w:pPr>
      <w:ind w:firstLine="420" w:firstLineChars="200"/>
    </w:pPr>
    <w:rPr>
      <w:szCs w:val="22"/>
    </w:rPr>
  </w:style>
  <w:style w:type="paragraph" w:customStyle="1" w:styleId="11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15">
    <w:name w:val="文字"/>
    <w:basedOn w:val="1"/>
    <w:qFormat/>
    <w:uiPriority w:val="0"/>
    <w:pPr>
      <w:spacing w:line="360" w:lineRule="auto"/>
      <w:ind w:firstLine="630"/>
      <w:jc w:val="left"/>
    </w:pPr>
    <w:rPr>
      <w:rFonts w:ascii="宋体" w:hAnsi="宋体"/>
      <w:sz w:val="24"/>
      <w:szCs w:val="28"/>
    </w:rPr>
  </w:style>
  <w:style w:type="paragraph" w:customStyle="1" w:styleId="116">
    <w:name w:val="默认段落字体 Para Char"/>
    <w:basedOn w:val="1"/>
    <w:qFormat/>
    <w:uiPriority w:val="0"/>
    <w:rPr>
      <w:szCs w:val="20"/>
    </w:rPr>
  </w:style>
  <w:style w:type="paragraph" w:customStyle="1" w:styleId="117">
    <w:name w:val="Char Char Char Char Char Char Char Char Char Char1"/>
    <w:basedOn w:val="14"/>
    <w:qFormat/>
    <w:uiPriority w:val="0"/>
    <w:rPr>
      <w:rFonts w:ascii="Tahoma" w:hAnsi="Tahoma"/>
      <w:sz w:val="24"/>
    </w:rPr>
  </w:style>
  <w:style w:type="paragraph" w:customStyle="1" w:styleId="118">
    <w:name w:val="列出段落1"/>
    <w:basedOn w:val="1"/>
    <w:qFormat/>
    <w:uiPriority w:val="99"/>
    <w:pPr>
      <w:ind w:firstLine="420" w:firstLineChars="200"/>
    </w:pPr>
  </w:style>
  <w:style w:type="paragraph" w:customStyle="1" w:styleId="119">
    <w:name w:val="p17"/>
    <w:basedOn w:val="1"/>
    <w:qFormat/>
    <w:uiPriority w:val="0"/>
    <w:pPr>
      <w:widowControl/>
      <w:ind w:firstLine="525"/>
    </w:pPr>
    <w:rPr>
      <w:rFonts w:ascii="楷体_GB2312" w:hAnsi="宋体" w:eastAsia="楷体_GB2312" w:cs="宋体"/>
      <w:kern w:val="0"/>
      <w:sz w:val="28"/>
      <w:szCs w:val="28"/>
    </w:rPr>
  </w:style>
  <w:style w:type="paragraph" w:customStyle="1" w:styleId="120">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21">
    <w:name w:val="p2"/>
    <w:basedOn w:val="1"/>
    <w:qFormat/>
    <w:uiPriority w:val="0"/>
    <w:pPr>
      <w:jc w:val="left"/>
    </w:pPr>
    <w:rPr>
      <w:rFonts w:ascii="Helvetica" w:hAnsi="Helvetica" w:eastAsia="Helvetica"/>
      <w:kern w:val="0"/>
      <w:sz w:val="23"/>
      <w:szCs w:val="23"/>
    </w:rPr>
  </w:style>
  <w:style w:type="paragraph" w:customStyle="1" w:styleId="122">
    <w:name w:val="Normal Indent1"/>
    <w:basedOn w:val="1"/>
    <w:qFormat/>
    <w:uiPriority w:val="0"/>
    <w:pPr>
      <w:widowControl/>
      <w:ind w:firstLine="420"/>
      <w:jc w:val="left"/>
    </w:pPr>
    <w:rPr>
      <w:rFonts w:ascii="Times New Roman" w:hAnsi="Times New Roman"/>
      <w:kern w:val="0"/>
      <w:szCs w:val="20"/>
    </w:rPr>
  </w:style>
  <w:style w:type="paragraph" w:customStyle="1" w:styleId="123">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84</Pages>
  <Words>10496</Words>
  <Characters>59833</Characters>
  <Lines>498</Lines>
  <Paragraphs>140</Paragraphs>
  <TotalTime>7</TotalTime>
  <ScaleCrop>false</ScaleCrop>
  <LinksUpToDate>false</LinksUpToDate>
  <CharactersWithSpaces>70189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2020-11-04T12:20:00Z</dcterms:created>
  <dc:creator>李文阳</dc:creator>
  <cp:lastModifiedBy>严晓婷</cp:lastModifiedBy>
  <cp:lastPrinted>2020-09-08T00:29:00Z</cp:lastPrinted>
  <dcterms:modified xsi:type="dcterms:W3CDTF">2020-11-05T08:22:54Z</dcterms:modified>
  <dc:title>政府采购招标文件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