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52"/>
          <w:szCs w:val="52"/>
          <w:u w:val="none"/>
          <w:lang w:val="en-US" w:eastAsia="zh-CN"/>
        </w:rPr>
      </w:pPr>
    </w:p>
    <w:p w14:paraId="1462EEDB">
      <w:pPr>
        <w:widowControl/>
        <w:spacing w:line="240" w:lineRule="auto"/>
        <w:jc w:val="center"/>
        <w:rPr>
          <w:rFonts w:hint="eastAsia" w:ascii="仿宋" w:hAnsi="仿宋" w:eastAsia="仿宋" w:cs="仿宋"/>
          <w:b/>
          <w:bCs/>
          <w:sz w:val="44"/>
          <w:szCs w:val="44"/>
          <w:u w:val="none"/>
          <w:lang w:val="en-US" w:eastAsia="zh-CN"/>
        </w:rPr>
      </w:pPr>
    </w:p>
    <w:p w14:paraId="6B9CD4C9">
      <w:pPr>
        <w:widowControl/>
        <w:spacing w:line="240" w:lineRule="auto"/>
        <w:jc w:val="center"/>
        <w:rPr>
          <w:rFonts w:hint="eastAsia" w:ascii="仿宋" w:hAnsi="仿宋" w:eastAsia="仿宋" w:cs="仿宋"/>
          <w:sz w:val="24"/>
          <w:szCs w:val="24"/>
        </w:rPr>
      </w:pPr>
      <w:r>
        <w:rPr>
          <w:rFonts w:hint="eastAsia" w:ascii="仿宋" w:hAnsi="仿宋" w:eastAsia="仿宋" w:cs="仿宋"/>
          <w:b/>
          <w:bCs/>
          <w:sz w:val="44"/>
          <w:szCs w:val="44"/>
          <w:u w:val="none"/>
          <w:lang w:val="en-US" w:eastAsia="zh-CN"/>
        </w:rPr>
        <w:t>委本级对外宣传项目</w:t>
      </w:r>
    </w:p>
    <w:p w14:paraId="10D49BC9">
      <w:pPr>
        <w:widowControl/>
        <w:spacing w:line="240" w:lineRule="auto"/>
        <w:jc w:val="center"/>
        <w:rPr>
          <w:rFonts w:ascii="仿宋" w:hAnsi="仿宋" w:eastAsia="仿宋" w:cs="仿宋"/>
          <w:b/>
          <w:snapToGrid w:val="0"/>
          <w:sz w:val="96"/>
          <w:szCs w:val="96"/>
        </w:rPr>
      </w:pPr>
      <w:r>
        <w:rPr>
          <w:rFonts w:hint="eastAsia" w:ascii="仿宋" w:hAnsi="仿宋" w:eastAsia="仿宋" w:cs="仿宋"/>
          <w:sz w:val="24"/>
          <w:szCs w:val="24"/>
        </w:rPr>
        <w:t>（财政审</w:t>
      </w:r>
      <w:r>
        <w:rPr>
          <w:rFonts w:hint="eastAsia" w:ascii="仿宋" w:hAnsi="仿宋" w:eastAsia="仿宋" w:cs="仿宋"/>
          <w:sz w:val="28"/>
          <w:szCs w:val="28"/>
        </w:rPr>
        <w:t>批编号:湖财采确</w:t>
      </w:r>
      <w:r>
        <w:rPr>
          <w:rFonts w:hint="eastAsia" w:ascii="仿宋" w:hAnsi="仿宋" w:eastAsia="仿宋" w:cs="仿宋"/>
          <w:sz w:val="28"/>
          <w:szCs w:val="28"/>
          <w:lang w:val="en-US" w:eastAsia="zh-CN"/>
        </w:rPr>
        <w:t>【2025】11833</w:t>
      </w:r>
      <w:r>
        <w:rPr>
          <w:rFonts w:hint="eastAsia" w:ascii="仿宋" w:hAnsi="仿宋" w:eastAsia="仿宋" w:cs="仿宋"/>
          <w:sz w:val="28"/>
          <w:szCs w:val="28"/>
        </w:rPr>
        <w:t>号)</w:t>
      </w:r>
    </w:p>
    <w:p w14:paraId="151BF345">
      <w:pPr>
        <w:pStyle w:val="2"/>
        <w:ind w:left="0" w:leftChars="0" w:firstLine="0" w:firstLineChars="0"/>
        <w:rPr>
          <w:rFonts w:hint="eastAsia" w:ascii="仿宋" w:hAnsi="仿宋" w:eastAsia="仿宋" w:cs="仿宋"/>
          <w:b/>
          <w:snapToGrid w:val="0"/>
          <w:sz w:val="72"/>
          <w:szCs w:val="72"/>
        </w:rPr>
      </w:pPr>
    </w:p>
    <w:p w14:paraId="01EF6E90">
      <w:pPr>
        <w:pStyle w:val="22"/>
        <w:rPr>
          <w:rFonts w:hint="eastAsia" w:ascii="仿宋" w:hAnsi="仿宋" w:eastAsia="仿宋" w:cs="仿宋"/>
          <w:b/>
          <w:snapToGrid w:val="0"/>
          <w:sz w:val="72"/>
          <w:szCs w:val="72"/>
        </w:rPr>
      </w:pPr>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1D2FD58A">
      <w:pPr>
        <w:pStyle w:val="2"/>
        <w:rPr>
          <w:rFonts w:ascii="仿宋" w:hAnsi="仿宋" w:eastAsia="仿宋" w:cs="仿宋"/>
          <w:bCs/>
          <w:snapToGrid w:val="0"/>
          <w:sz w:val="32"/>
        </w:rPr>
      </w:pPr>
    </w:p>
    <w:p w14:paraId="2231E71B">
      <w:pPr>
        <w:pStyle w:val="22"/>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rPr>
          <w:rFonts w:hint="default" w:ascii="仿宋" w:hAnsi="仿宋" w:eastAsia="仿宋" w:cs="仿宋"/>
          <w:snapToGrid w:val="0"/>
          <w:sz w:val="28"/>
          <w:szCs w:val="28"/>
          <w:u w:val="single"/>
          <w:lang w:val="en-US" w:eastAsia="zh-CN"/>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仁皇招字2025199号</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p>
    <w:p w14:paraId="2CF7ADC1">
      <w:pPr>
        <w:adjustRightInd w:val="0"/>
        <w:snapToGrid w:val="0"/>
        <w:spacing w:line="600" w:lineRule="exact"/>
        <w:rPr>
          <w:rFonts w:hint="default" w:ascii="仿宋" w:hAnsi="仿宋" w:eastAsia="仿宋" w:cs="仿宋"/>
          <w:snapToGrid w:val="0"/>
          <w:sz w:val="28"/>
          <w:szCs w:val="28"/>
          <w:u w:val="single"/>
          <w:lang w:val="en-US" w:eastAsia="zh-CN"/>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委本级对外宣传项目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p>
    <w:p w14:paraId="19A9563A">
      <w:pPr>
        <w:adjustRightInd w:val="0"/>
        <w:snapToGrid w:val="0"/>
        <w:spacing w:line="640" w:lineRule="exact"/>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（盖章）</w:t>
      </w:r>
    </w:p>
    <w:p w14:paraId="0B1CA6BF">
      <w:pPr>
        <w:adjustRightInd w:val="0"/>
        <w:snapToGrid w:val="0"/>
        <w:spacing w:line="640" w:lineRule="exact"/>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 xml:space="preserve">湖州市仁皇工程咨询有限公司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（盖章）</w:t>
      </w:r>
    </w:p>
    <w:p w14:paraId="64EDA742">
      <w:pPr>
        <w:pStyle w:val="2"/>
        <w:ind w:left="0" w:leftChars="0" w:firstLine="0" w:firstLineChars="0"/>
        <w:rPr>
          <w:rFonts w:ascii="仿宋" w:hAnsi="仿宋" w:eastAsia="仿宋" w:cs="仿宋"/>
          <w:b/>
          <w:snapToGrid w:val="0"/>
          <w:sz w:val="30"/>
          <w:szCs w:val="30"/>
        </w:rPr>
      </w:pPr>
    </w:p>
    <w:p w14:paraId="5D0CF44C">
      <w:pPr>
        <w:pStyle w:val="22"/>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7</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1C7E4187">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45</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
      </w:pPr>
    </w:p>
    <w:p w14:paraId="283AFCEC">
      <w:pPr>
        <w:widowControl/>
        <w:spacing w:line="360" w:lineRule="auto"/>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highlight w:val="none"/>
          <w:lang w:val="en-US" w:eastAsia="zh-CN"/>
        </w:rPr>
        <w:t xml:space="preserve">【2025】11833 </w:t>
      </w:r>
      <w:r>
        <w:rPr>
          <w:rFonts w:hint="eastAsia" w:ascii="仿宋" w:hAnsi="仿宋" w:eastAsia="仿宋"/>
          <w:sz w:val="24"/>
          <w:highlight w:val="none"/>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szCs w:val="24"/>
          <w:lang w:eastAsia="zh-CN"/>
        </w:rPr>
        <w:t>）</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委本级对外宣传项目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仁皇招字2025199号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3"/>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服务期限</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委本级对外宣传项目</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default" w:ascii="仿宋" w:hAnsi="仿宋" w:eastAsia="仿宋" w:cs="仿宋"/>
                <w:color w:val="000000"/>
                <w:sz w:val="24"/>
                <w:szCs w:val="24"/>
                <w:highlight w:val="none"/>
                <w:lang w:val="en-US"/>
              </w:rPr>
            </w:pPr>
            <w:r>
              <w:rPr>
                <w:rFonts w:hint="eastAsia" w:ascii="仿宋" w:hAnsi="仿宋" w:eastAsia="仿宋" w:cs="仿宋"/>
                <w:sz w:val="24"/>
                <w:szCs w:val="24"/>
                <w:u w:val="none"/>
                <w:lang w:val="en-US" w:eastAsia="zh-CN"/>
              </w:rPr>
              <w:t>详见磋商文件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35</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rPr>
              <w:t>一年</w:t>
            </w:r>
            <w:r>
              <w:rPr>
                <w:rFonts w:hint="eastAsia" w:ascii="仿宋" w:hAnsi="仿宋" w:eastAsia="仿宋" w:cs="仿宋"/>
                <w:color w:val="000000"/>
                <w:sz w:val="24"/>
                <w:szCs w:val="24"/>
                <w:highlight w:val="none"/>
                <w:lang w:val="en-US" w:eastAsia="zh-CN"/>
              </w:rPr>
              <w:t xml:space="preserve"> </w:t>
            </w:r>
          </w:p>
        </w:tc>
      </w:tr>
    </w:tbl>
    <w:p w14:paraId="1A914867">
      <w:pPr>
        <w:pStyle w:val="16"/>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25</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9:00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9:00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0572-2615598</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9:00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沈小坤</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0572-2615598</w:t>
      </w:r>
    </w:p>
    <w:p w14:paraId="3A56B68F">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0572-2619010</w:t>
      </w:r>
      <w:bookmarkStart w:id="14" w:name="_GoBack"/>
      <w:bookmarkEnd w:id="14"/>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74B4AE44">
      <w:pPr>
        <w:snapToGrid w:val="0"/>
        <w:spacing w:line="560" w:lineRule="exact"/>
        <w:ind w:firstLine="480" w:firstLineChars="200"/>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1B75A65F">
      <w:pPr>
        <w:snapToGrid w:val="0"/>
        <w:spacing w:line="560" w:lineRule="exact"/>
        <w:ind w:firstLine="480"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sz w:val="24"/>
          <w:highlight w:val="none"/>
        </w:rPr>
        <w:t>质疑函接收人</w:t>
      </w:r>
      <w:r>
        <w:rPr>
          <w:rFonts w:hint="eastAsia" w:ascii="仿宋" w:hAnsi="仿宋" w:eastAsia="仿宋" w:cs="仿宋"/>
          <w:color w:val="auto"/>
          <w:sz w:val="24"/>
          <w:szCs w:val="24"/>
          <w:highlight w:val="none"/>
          <w:lang w:val="en-US" w:eastAsia="zh-CN"/>
        </w:rPr>
        <w:t>：王时东    联系电话：0572-2398775</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3"/>
        <w:spacing w:line="500" w:lineRule="exact"/>
        <w:ind w:firstLine="7200" w:firstLineChars="30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7</w:t>
      </w:r>
      <w:r>
        <w:rPr>
          <w:rFonts w:hint="eastAsia" w:ascii="仿宋" w:hAnsi="仿宋" w:eastAsia="仿宋" w:cs="仿宋"/>
          <w:bCs/>
          <w:sz w:val="24"/>
        </w:rPr>
        <w:t>月</w:t>
      </w:r>
      <w:r>
        <w:rPr>
          <w:rFonts w:hint="eastAsia" w:ascii="仿宋" w:hAnsi="仿宋" w:eastAsia="仿宋" w:cs="仿宋"/>
          <w:bCs/>
          <w:sz w:val="24"/>
          <w:lang w:val="en-US" w:eastAsia="zh-CN"/>
        </w:rPr>
        <w:t>15</w:t>
      </w:r>
      <w:r>
        <w:rPr>
          <w:rFonts w:hint="eastAsia" w:ascii="仿宋" w:hAnsi="仿宋" w:eastAsia="仿宋" w:cs="仿宋"/>
          <w:bCs/>
          <w:sz w:val="24"/>
        </w:rPr>
        <w:t>日</w:t>
      </w:r>
    </w:p>
    <w:p w14:paraId="0C34AF9F">
      <w:pPr>
        <w:numPr>
          <w:ilvl w:val="0"/>
          <w:numId w:val="0"/>
        </w:numPr>
        <w:spacing w:line="600" w:lineRule="exact"/>
        <w:ind w:leftChars="0"/>
        <w:jc w:val="center"/>
        <w:outlineLvl w:val="0"/>
      </w:pPr>
      <w:bookmarkStart w:id="1" w:name="_Toc452995894"/>
      <w:r>
        <w:rPr>
          <w:rFonts w:hint="eastAsia" w:ascii="仿宋" w:hAnsi="仿宋" w:eastAsia="仿宋" w:cs="仿宋"/>
          <w:b/>
          <w:sz w:val="36"/>
          <w:szCs w:val="36"/>
          <w:lang w:val="en-US" w:eastAsia="zh-CN"/>
        </w:rPr>
        <w:t>第二章</w:t>
      </w:r>
      <w:r>
        <w:rPr>
          <w:rFonts w:hint="eastAsia" w:ascii="仿宋" w:hAnsi="仿宋" w:eastAsia="仿宋" w:cs="仿宋"/>
          <w:b/>
          <w:sz w:val="36"/>
          <w:szCs w:val="36"/>
        </w:rPr>
        <w:t xml:space="preserve">  项目需求</w:t>
      </w:r>
      <w:bookmarkStart w:id="2" w:name="_Toc46305613"/>
      <w:bookmarkStart w:id="3" w:name="_Toc450840086"/>
    </w:p>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仁皇招字2025199号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委本级对外宣传项目</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35</w:t>
      </w:r>
      <w:r>
        <w:rPr>
          <w:rFonts w:hint="eastAsia" w:ascii="仿宋" w:hAnsi="仿宋" w:eastAsia="仿宋" w:cs="仿宋"/>
          <w:b w:val="0"/>
          <w:bCs/>
          <w:sz w:val="24"/>
        </w:rPr>
        <w:t>万</w:t>
      </w:r>
      <w:r>
        <w:rPr>
          <w:rFonts w:hint="eastAsia" w:ascii="仿宋" w:hAnsi="仿宋" w:eastAsia="仿宋" w:cs="仿宋"/>
          <w:bCs/>
          <w:sz w:val="24"/>
        </w:rPr>
        <w:t>元</w:t>
      </w:r>
    </w:p>
    <w:p w14:paraId="601E4EEB">
      <w:pPr>
        <w:spacing w:line="500" w:lineRule="exact"/>
        <w:jc w:val="left"/>
        <w:rPr>
          <w:rFonts w:hint="eastAsia" w:ascii="仿宋" w:hAnsi="仿宋" w:eastAsia="仿宋" w:cs="仿宋"/>
          <w:b/>
          <w:sz w:val="24"/>
        </w:rPr>
      </w:pPr>
      <w:r>
        <w:rPr>
          <w:rFonts w:hint="eastAsia" w:ascii="仿宋" w:hAnsi="仿宋" w:eastAsia="仿宋" w:cs="仿宋"/>
          <w:b/>
          <w:sz w:val="24"/>
        </w:rPr>
        <w:t>五、采购内容及采购要求：</w:t>
      </w:r>
    </w:p>
    <w:p w14:paraId="3D7AC186">
      <w:pPr>
        <w:spacing w:line="500" w:lineRule="exact"/>
        <w:ind w:firstLine="480" w:firstLineChars="20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为适应新形势下发展和改革工作的要求，围绕重点工作，协助在多种媒介上开展综合宣传，高质量开展公众号的日常维护与规范运营，协助开展有关对外宣传其他工作等。</w:t>
      </w:r>
    </w:p>
    <w:p w14:paraId="4FFEFF2F">
      <w:pPr>
        <w:numPr>
          <w:ilvl w:val="0"/>
          <w:numId w:val="2"/>
        </w:numPr>
        <w:spacing w:line="500" w:lineRule="exact"/>
        <w:jc w:val="left"/>
        <w:rPr>
          <w:rFonts w:hint="eastAsia" w:ascii="仿宋" w:hAnsi="仿宋" w:eastAsia="仿宋" w:cs="仿宋"/>
          <w:b/>
          <w:sz w:val="24"/>
        </w:rPr>
      </w:pPr>
      <w:r>
        <w:rPr>
          <w:rFonts w:hint="eastAsia" w:ascii="仿宋" w:hAnsi="仿宋" w:eastAsia="仿宋" w:cs="仿宋"/>
          <w:b/>
          <w:sz w:val="24"/>
        </w:rPr>
        <w:t>成果要求：</w:t>
      </w:r>
    </w:p>
    <w:p w14:paraId="7D63CECF">
      <w:pPr>
        <w:numPr>
          <w:numId w:val="0"/>
        </w:numPr>
        <w:spacing w:line="500" w:lineRule="exact"/>
        <w:ind w:firstLine="480" w:firstLineChars="20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符合采购方宣传工作要求。</w:t>
      </w:r>
    </w:p>
    <w:p w14:paraId="611BDEA3">
      <w:pPr>
        <w:spacing w:line="500" w:lineRule="exact"/>
        <w:jc w:val="left"/>
        <w:rPr>
          <w:rFonts w:hint="eastAsia" w:ascii="仿宋" w:hAnsi="仿宋" w:eastAsia="仿宋" w:cs="仿宋"/>
          <w:b/>
          <w:sz w:val="24"/>
          <w:lang w:val="en-US" w:eastAsia="zh-CN"/>
        </w:rPr>
      </w:pPr>
      <w:r>
        <w:rPr>
          <w:rFonts w:hint="eastAsia" w:ascii="仿宋" w:hAnsi="仿宋" w:eastAsia="仿宋" w:cs="仿宋"/>
          <w:b/>
          <w:sz w:val="24"/>
          <w:lang w:val="en-US" w:eastAsia="zh-CN"/>
        </w:rPr>
        <w:t>七、商务要求：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服务期限：一年。</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0"/>
        </w:numPr>
        <w:spacing w:line="600" w:lineRule="exact"/>
        <w:ind w:leftChars="0"/>
        <w:jc w:val="center"/>
        <w:outlineLvl w:val="0"/>
        <w:rPr>
          <w:rFonts w:ascii="仿宋" w:hAnsi="仿宋" w:eastAsia="仿宋" w:cs="仿宋"/>
          <w:b/>
          <w:sz w:val="36"/>
          <w:szCs w:val="36"/>
        </w:rPr>
      </w:pPr>
      <w:r>
        <w:rPr>
          <w:rFonts w:hint="eastAsia" w:ascii="仿宋" w:hAnsi="仿宋" w:eastAsia="仿宋" w:cs="仿宋"/>
          <w:b/>
          <w:sz w:val="36"/>
          <w:szCs w:val="36"/>
          <w:lang w:val="en-US" w:eastAsia="zh-CN"/>
        </w:rPr>
        <w:t>第三章</w:t>
      </w:r>
      <w:r>
        <w:rPr>
          <w:rFonts w:hint="eastAsia" w:ascii="仿宋" w:hAnsi="仿宋" w:eastAsia="仿宋" w:cs="仿宋"/>
          <w:b/>
          <w:sz w:val="36"/>
          <w:szCs w:val="36"/>
        </w:rPr>
        <w:t xml:space="preserve">  供应商须知</w:t>
      </w:r>
      <w:bookmarkEnd w:id="1"/>
    </w:p>
    <w:p w14:paraId="12DF54E9">
      <w:pPr>
        <w:pStyle w:val="6"/>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3"/>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委本级对外宣传项目</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仁皇招字2025199号</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11833</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委本级对外宣传项目</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3"/>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9:00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9:00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0572-2615598</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9:00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6"/>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委本级对外宣传项目</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4725元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6"/>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59332F8C">
      <w:pPr>
        <w:tabs>
          <w:tab w:val="left" w:pos="3870"/>
          <w:tab w:val="left" w:pos="4085"/>
        </w:tabs>
        <w:snapToGrid w:val="0"/>
        <w:spacing w:line="560" w:lineRule="exact"/>
        <w:jc w:val="left"/>
        <w:rPr>
          <w:rFonts w:ascii="仿宋" w:hAnsi="仿宋" w:eastAsia="仿宋" w:cs="仿宋"/>
          <w:b/>
          <w:sz w:val="24"/>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）技术部分：</w:t>
      </w:r>
    </w:p>
    <w:p w14:paraId="59EA2202">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项目实施方案</w:t>
      </w:r>
      <w:r>
        <w:rPr>
          <w:rFonts w:hint="eastAsia" w:ascii="仿宋" w:hAnsi="仿宋" w:eastAsia="仿宋" w:cs="仿宋"/>
          <w:sz w:val="24"/>
          <w:highlight w:val="none"/>
        </w:rPr>
        <w:t>；</w:t>
      </w:r>
    </w:p>
    <w:p w14:paraId="19D6D47C">
      <w:pPr>
        <w:tabs>
          <w:tab w:val="left" w:pos="3870"/>
          <w:tab w:val="left" w:pos="4085"/>
        </w:tabs>
        <w:snapToGrid w:val="0"/>
        <w:spacing w:line="56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人员配置</w:t>
      </w:r>
      <w:r>
        <w:rPr>
          <w:rFonts w:hint="eastAsia" w:ascii="仿宋" w:hAnsi="仿宋" w:eastAsia="仿宋" w:cs="仿宋"/>
          <w:kern w:val="0"/>
          <w:sz w:val="24"/>
          <w:lang w:eastAsia="zh-CN"/>
        </w:rPr>
        <w:t>。</w:t>
      </w:r>
    </w:p>
    <w:p w14:paraId="0D6C44ED">
      <w:pPr>
        <w:tabs>
          <w:tab w:val="left" w:pos="3870"/>
          <w:tab w:val="left" w:pos="4085"/>
        </w:tabs>
        <w:snapToGrid w:val="0"/>
        <w:spacing w:line="560" w:lineRule="exact"/>
        <w:jc w:val="left"/>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）商务部分：</w:t>
      </w: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服务承诺</w:t>
      </w:r>
      <w:r>
        <w:rPr>
          <w:rFonts w:hint="eastAsia" w:ascii="仿宋" w:hAnsi="仿宋" w:eastAsia="仿宋" w:cs="仿宋"/>
          <w:sz w:val="24"/>
          <w:highlight w:val="none"/>
          <w:lang w:val="en-US" w:eastAsia="zh-CN"/>
        </w:rPr>
        <w:t>；</w:t>
      </w:r>
    </w:p>
    <w:p w14:paraId="5A2A754B">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3.企业业绩；（格式见第五章）</w:t>
      </w:r>
    </w:p>
    <w:p w14:paraId="731BC744">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4.企业荣誉。</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1368885165</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6"/>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0572-2615598</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6"/>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val="en-US" w:eastAsia="zh-CN"/>
        </w:rPr>
        <w:t>委本级对外宣传项目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仁皇招字2025199号</w:t>
      </w:r>
      <w:r>
        <w:rPr>
          <w:rFonts w:hint="eastAsia" w:ascii="仿宋" w:hAnsi="仿宋" w:eastAsia="仿宋" w:cs="仿宋"/>
          <w:bCs/>
          <w:spacing w:val="14"/>
          <w:sz w:val="24"/>
        </w:rPr>
        <w:t>)磋商文件。</w:t>
      </w:r>
    </w:p>
    <w:p w14:paraId="081CE809">
      <w:pPr>
        <w:pStyle w:val="6"/>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22"/>
        <w:ind w:firstLine="0"/>
      </w:pPr>
    </w:p>
    <w:p w14:paraId="4E559C73">
      <w:pPr>
        <w:pStyle w:val="6"/>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0"/>
        </w:numPr>
        <w:spacing w:line="600" w:lineRule="exact"/>
        <w:ind w:leftChars="0"/>
        <w:jc w:val="center"/>
        <w:outlineLvl w:val="0"/>
        <w:rPr>
          <w:rFonts w:ascii="仿宋" w:hAnsi="仿宋" w:eastAsia="仿宋" w:cs="仿宋"/>
          <w:b/>
          <w:sz w:val="36"/>
          <w:szCs w:val="36"/>
        </w:rPr>
      </w:pPr>
      <w:r>
        <w:rPr>
          <w:rFonts w:hint="eastAsia" w:ascii="仿宋" w:hAnsi="仿宋" w:eastAsia="仿宋" w:cs="仿宋"/>
          <w:b/>
          <w:sz w:val="36"/>
          <w:szCs w:val="36"/>
          <w:lang w:val="en-US" w:eastAsia="zh-CN"/>
        </w:rPr>
        <w:t>第四章</w:t>
      </w:r>
      <w:r>
        <w:rPr>
          <w:rFonts w:hint="eastAsia" w:ascii="仿宋" w:hAnsi="仿宋" w:eastAsia="仿宋" w:cs="仿宋"/>
          <w:b/>
          <w:sz w:val="36"/>
          <w:szCs w:val="36"/>
        </w:rPr>
        <w:t xml:space="preserve"> 合同主要条款</w:t>
      </w:r>
    </w:p>
    <w:p w14:paraId="5F77434F">
      <w:pPr>
        <w:pStyle w:val="5"/>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11833</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szCs w:val="24"/>
          <w:u w:val="single"/>
          <w:lang w:val="en-US" w:eastAsia="zh-CN"/>
        </w:rPr>
        <w:t>委本级对外宣传项目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13"/>
        <w:rPr>
          <w:rFonts w:ascii="仿宋" w:hAnsi="仿宋" w:eastAsia="仿宋" w:cs="Times New Roman"/>
          <w:color w:val="auto"/>
        </w:rPr>
      </w:pPr>
    </w:p>
    <w:p w14:paraId="3983B713">
      <w:pPr>
        <w:pStyle w:val="1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13"/>
        <w:rPr>
          <w:rFonts w:ascii="仿宋" w:hAnsi="仿宋" w:eastAsia="仿宋" w:cs="Times New Roman"/>
          <w:color w:val="auto"/>
        </w:rPr>
      </w:pPr>
    </w:p>
    <w:p w14:paraId="23C9CC88">
      <w:pPr>
        <w:pStyle w:val="13"/>
        <w:rPr>
          <w:rFonts w:ascii="仿宋" w:hAnsi="仿宋" w:eastAsia="仿宋" w:cs="Times New Roman"/>
          <w:color w:val="auto"/>
        </w:rPr>
      </w:pPr>
    </w:p>
    <w:p w14:paraId="1428A9CE">
      <w:pPr>
        <w:pStyle w:val="13"/>
        <w:rPr>
          <w:rFonts w:ascii="仿宋" w:hAnsi="仿宋" w:eastAsia="仿宋" w:cs="Times New Roman"/>
          <w:color w:val="auto"/>
          <w:sz w:val="36"/>
          <w:szCs w:val="36"/>
        </w:rPr>
      </w:pPr>
    </w:p>
    <w:p w14:paraId="3D40B0D7">
      <w:pPr>
        <w:pStyle w:val="1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13"/>
        <w:jc w:val="right"/>
        <w:rPr>
          <w:rFonts w:ascii="仿宋" w:hAnsi="仿宋" w:eastAsia="仿宋" w:cs="Times New Roman"/>
          <w:color w:val="auto"/>
        </w:rPr>
      </w:pPr>
    </w:p>
    <w:p w14:paraId="48698F9D">
      <w:pPr>
        <w:pStyle w:val="13"/>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13"/>
        <w:jc w:val="center"/>
        <w:rPr>
          <w:rFonts w:ascii="仿宋" w:hAnsi="仿宋" w:eastAsia="仿宋" w:cs="Times New Roman"/>
          <w:b/>
          <w:color w:val="auto"/>
        </w:rPr>
      </w:pPr>
    </w:p>
    <w:p w14:paraId="2EDECB31">
      <w:pPr>
        <w:pStyle w:val="13"/>
        <w:jc w:val="center"/>
        <w:rPr>
          <w:rFonts w:ascii="仿宋" w:hAnsi="仿宋" w:eastAsia="仿宋" w:cs="Times New Roman"/>
          <w:b/>
          <w:color w:val="auto"/>
        </w:rPr>
      </w:pPr>
    </w:p>
    <w:p w14:paraId="735BFBCC">
      <w:pPr>
        <w:pStyle w:val="13"/>
        <w:jc w:val="center"/>
        <w:rPr>
          <w:rFonts w:ascii="仿宋" w:hAnsi="仿宋" w:eastAsia="仿宋" w:cs="Times New Roman"/>
          <w:b/>
          <w:color w:val="auto"/>
        </w:rPr>
      </w:pPr>
    </w:p>
    <w:p w14:paraId="4E942CDC">
      <w:pPr>
        <w:pStyle w:val="13"/>
        <w:jc w:val="center"/>
        <w:rPr>
          <w:rFonts w:ascii="仿宋" w:hAnsi="仿宋" w:eastAsia="仿宋" w:cs="Times New Roman"/>
          <w:b/>
          <w:color w:val="auto"/>
        </w:rPr>
      </w:pPr>
    </w:p>
    <w:p w14:paraId="747B485E">
      <w:pPr>
        <w:pStyle w:val="13"/>
        <w:rPr>
          <w:rFonts w:ascii="仿宋" w:hAnsi="仿宋" w:eastAsia="仿宋" w:cs="Times New Roman"/>
          <w:color w:val="auto"/>
        </w:rPr>
      </w:pPr>
    </w:p>
    <w:p w14:paraId="6BA64459">
      <w:pPr>
        <w:pStyle w:val="13"/>
        <w:rPr>
          <w:rFonts w:ascii="仿宋" w:hAnsi="仿宋" w:eastAsia="仿宋" w:cs="Times New Roman"/>
          <w:color w:val="auto"/>
        </w:rPr>
      </w:pPr>
      <w:r>
        <w:rPr>
          <w:rFonts w:ascii="仿宋" w:hAnsi="仿宋" w:eastAsia="仿宋" w:cs="Times New Roman"/>
          <w:color w:val="auto"/>
        </w:rPr>
        <w:t xml:space="preserve">项目名称： </w:t>
      </w:r>
    </w:p>
    <w:p w14:paraId="26391612">
      <w:pPr>
        <w:pStyle w:val="13"/>
        <w:rPr>
          <w:rFonts w:ascii="仿宋" w:hAnsi="仿宋" w:eastAsia="仿宋" w:cs="Times New Roman"/>
          <w:color w:val="auto"/>
        </w:rPr>
      </w:pPr>
    </w:p>
    <w:p w14:paraId="4534AEF1">
      <w:pPr>
        <w:pStyle w:val="1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13"/>
        <w:rPr>
          <w:rFonts w:ascii="仿宋" w:hAnsi="仿宋" w:eastAsia="仿宋" w:cs="Times New Roman"/>
          <w:color w:val="auto"/>
        </w:rPr>
      </w:pPr>
    </w:p>
    <w:p w14:paraId="0D5FBEB0">
      <w:pPr>
        <w:pStyle w:val="13"/>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13"/>
        <w:rPr>
          <w:rFonts w:ascii="仿宋" w:hAnsi="仿宋" w:eastAsia="仿宋" w:cs="Times New Roman"/>
          <w:color w:val="auto"/>
        </w:rPr>
      </w:pPr>
    </w:p>
    <w:p w14:paraId="4635C77C">
      <w:pPr>
        <w:pStyle w:val="1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13"/>
        <w:rPr>
          <w:rFonts w:ascii="仿宋" w:hAnsi="仿宋" w:eastAsia="仿宋" w:cs="Times New Roman"/>
          <w:color w:val="auto"/>
        </w:rPr>
      </w:pPr>
    </w:p>
    <w:p w14:paraId="61C9DD00">
      <w:pPr>
        <w:pStyle w:val="1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13"/>
        <w:rPr>
          <w:rFonts w:ascii="仿宋" w:hAnsi="仿宋" w:eastAsia="仿宋" w:cs="Times New Roman"/>
          <w:color w:val="auto"/>
        </w:rPr>
      </w:pPr>
    </w:p>
    <w:p w14:paraId="2BA27D50">
      <w:pPr>
        <w:pStyle w:val="13"/>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8479828">
      <w:pPr>
        <w:jc w:val="left"/>
        <w:rPr>
          <w:rFonts w:ascii="仿宋" w:hAnsi="仿宋" w:eastAsia="仿宋" w:cs="仿宋"/>
          <w:b/>
          <w:sz w:val="28"/>
          <w:szCs w:val="28"/>
        </w:rPr>
      </w:pPr>
      <w:r>
        <w:rPr>
          <w:rFonts w:hint="eastAsia" w:ascii="仿宋" w:hAnsi="仿宋" w:eastAsia="仿宋" w:cs="仿宋"/>
          <w:b/>
          <w:bCs/>
          <w:sz w:val="28"/>
          <w:szCs w:val="28"/>
        </w:rPr>
        <w:br w:type="page"/>
      </w:r>
    </w:p>
    <w:p w14:paraId="4CAB7BF5">
      <w:pPr>
        <w:jc w:val="center"/>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4"/>
        <w:rPr>
          <w:rFonts w:ascii="仿宋" w:hAnsi="仿宋" w:eastAsia="仿宋" w:cs="仿宋"/>
          <w:b/>
          <w:szCs w:val="28"/>
        </w:rPr>
      </w:pPr>
    </w:p>
    <w:p w14:paraId="1FD4A896">
      <w:pPr>
        <w:pStyle w:val="14"/>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
      </w:pPr>
    </w:p>
    <w:p w14:paraId="1B37D2AF">
      <w:pPr>
        <w:pStyle w:val="13"/>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4"/>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4"/>
        <w:spacing w:line="360" w:lineRule="auto"/>
        <w:ind w:firstLine="513" w:firstLineChars="156"/>
        <w:jc w:val="center"/>
        <w:rPr>
          <w:rFonts w:ascii="仿宋" w:hAnsi="仿宋" w:eastAsia="仿宋" w:cs="仿宋"/>
          <w:b/>
          <w:bCs/>
          <w:spacing w:val="24"/>
          <w:sz w:val="28"/>
          <w:szCs w:val="28"/>
        </w:rPr>
      </w:pPr>
    </w:p>
    <w:p w14:paraId="0D3F552C">
      <w:pPr>
        <w:pStyle w:val="4"/>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4"/>
        <w:spacing w:line="480" w:lineRule="auto"/>
        <w:ind w:firstLine="374" w:firstLineChars="156"/>
        <w:rPr>
          <w:rFonts w:ascii="仿宋" w:hAnsi="仿宋" w:eastAsia="仿宋" w:cs="仿宋"/>
          <w:sz w:val="24"/>
          <w:szCs w:val="24"/>
        </w:rPr>
      </w:pPr>
    </w:p>
    <w:p w14:paraId="5EE43444">
      <w:pPr>
        <w:pStyle w:val="4"/>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4"/>
        <w:spacing w:line="480" w:lineRule="auto"/>
        <w:ind w:firstLine="0"/>
        <w:rPr>
          <w:rFonts w:ascii="仿宋" w:hAnsi="仿宋" w:eastAsia="仿宋" w:cs="仿宋"/>
          <w:sz w:val="24"/>
          <w:szCs w:val="24"/>
        </w:rPr>
      </w:pPr>
    </w:p>
    <w:p w14:paraId="765DBAFC">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4"/>
        <w:spacing w:line="480" w:lineRule="auto"/>
        <w:ind w:firstLine="0"/>
        <w:rPr>
          <w:rFonts w:ascii="仿宋" w:hAnsi="仿宋" w:eastAsia="仿宋" w:cs="仿宋"/>
          <w:sz w:val="24"/>
          <w:szCs w:val="24"/>
        </w:rPr>
      </w:pPr>
    </w:p>
    <w:p w14:paraId="46A17FEB">
      <w:pPr>
        <w:pStyle w:val="4"/>
        <w:spacing w:line="480" w:lineRule="auto"/>
        <w:ind w:firstLine="0"/>
        <w:rPr>
          <w:rFonts w:ascii="仿宋" w:hAnsi="仿宋" w:eastAsia="仿宋" w:cs="仿宋"/>
          <w:sz w:val="24"/>
          <w:szCs w:val="24"/>
        </w:rPr>
      </w:pPr>
    </w:p>
    <w:p w14:paraId="0B426336">
      <w:pPr>
        <w:pStyle w:val="4"/>
        <w:pBdr>
          <w:bottom w:val="single" w:color="auto" w:sz="6" w:space="1"/>
        </w:pBdr>
        <w:spacing w:line="480" w:lineRule="auto"/>
        <w:ind w:firstLine="0"/>
        <w:rPr>
          <w:rFonts w:ascii="仿宋" w:hAnsi="仿宋" w:eastAsia="仿宋" w:cs="仿宋"/>
          <w:sz w:val="24"/>
          <w:szCs w:val="24"/>
        </w:rPr>
      </w:pPr>
    </w:p>
    <w:p w14:paraId="69E9C2E6">
      <w:pPr>
        <w:pStyle w:val="4"/>
        <w:spacing w:line="480" w:lineRule="auto"/>
        <w:ind w:firstLine="0"/>
        <w:rPr>
          <w:rFonts w:ascii="仿宋" w:hAnsi="仿宋" w:eastAsia="仿宋" w:cs="仿宋"/>
          <w:sz w:val="24"/>
          <w:szCs w:val="24"/>
        </w:rPr>
      </w:pPr>
    </w:p>
    <w:p w14:paraId="7AE359D0">
      <w:pPr>
        <w:pStyle w:val="4"/>
        <w:spacing w:line="480" w:lineRule="auto"/>
        <w:ind w:firstLine="0"/>
        <w:rPr>
          <w:rFonts w:ascii="仿宋" w:hAnsi="仿宋" w:eastAsia="仿宋" w:cs="仿宋"/>
          <w:sz w:val="24"/>
          <w:szCs w:val="24"/>
        </w:rPr>
      </w:pPr>
    </w:p>
    <w:p w14:paraId="40ED5087">
      <w:pPr>
        <w:pStyle w:val="4"/>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4"/>
        <w:spacing w:line="360" w:lineRule="auto"/>
        <w:ind w:firstLine="545" w:firstLineChars="156"/>
        <w:jc w:val="center"/>
        <w:rPr>
          <w:rFonts w:ascii="仿宋" w:hAnsi="仿宋" w:eastAsia="仿宋" w:cs="仿宋"/>
          <w:b/>
          <w:bCs/>
          <w:spacing w:val="24"/>
          <w:sz w:val="30"/>
        </w:rPr>
      </w:pPr>
    </w:p>
    <w:p w14:paraId="6C8A826F">
      <w:pPr>
        <w:pStyle w:val="4"/>
        <w:spacing w:line="360" w:lineRule="auto"/>
        <w:ind w:firstLine="0"/>
        <w:jc w:val="center"/>
        <w:rPr>
          <w:rFonts w:ascii="仿宋" w:hAnsi="仿宋" w:eastAsia="仿宋" w:cs="仿宋"/>
          <w:b/>
          <w:bCs/>
          <w:spacing w:val="24"/>
          <w:sz w:val="30"/>
        </w:rPr>
      </w:pPr>
    </w:p>
    <w:p w14:paraId="4839B389">
      <w:pPr>
        <w:pStyle w:val="4"/>
        <w:spacing w:line="360" w:lineRule="auto"/>
        <w:ind w:firstLine="0"/>
        <w:jc w:val="center"/>
        <w:rPr>
          <w:rFonts w:ascii="仿宋" w:hAnsi="仿宋" w:eastAsia="仿宋" w:cs="仿宋"/>
          <w:b/>
          <w:bCs/>
          <w:spacing w:val="24"/>
          <w:sz w:val="30"/>
        </w:rPr>
      </w:pPr>
    </w:p>
    <w:p w14:paraId="6D3F00A9">
      <w:pPr>
        <w:pStyle w:val="4"/>
        <w:spacing w:line="360" w:lineRule="auto"/>
        <w:ind w:firstLine="0"/>
        <w:jc w:val="center"/>
        <w:rPr>
          <w:rFonts w:ascii="仿宋" w:hAnsi="仿宋" w:eastAsia="仿宋" w:cs="仿宋"/>
          <w:b/>
          <w:bCs/>
          <w:spacing w:val="24"/>
          <w:sz w:val="30"/>
        </w:rPr>
      </w:pPr>
    </w:p>
    <w:p w14:paraId="1450032C">
      <w:pPr>
        <w:pStyle w:val="4"/>
        <w:spacing w:line="360" w:lineRule="auto"/>
        <w:ind w:firstLine="0"/>
        <w:jc w:val="center"/>
        <w:rPr>
          <w:rFonts w:ascii="仿宋" w:hAnsi="仿宋" w:eastAsia="仿宋" w:cs="仿宋"/>
          <w:b/>
          <w:bCs/>
          <w:spacing w:val="24"/>
          <w:sz w:val="30"/>
        </w:rPr>
      </w:pPr>
    </w:p>
    <w:p w14:paraId="1E62FEA5">
      <w:pPr>
        <w:pStyle w:val="4"/>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4"/>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4"/>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4"/>
        <w:pBdr>
          <w:bottom w:val="single" w:color="auto" w:sz="6" w:space="1"/>
        </w:pBdr>
        <w:spacing w:line="480" w:lineRule="auto"/>
        <w:ind w:firstLine="2774" w:firstLineChars="1156"/>
        <w:rPr>
          <w:rFonts w:ascii="仿宋" w:hAnsi="仿宋" w:eastAsia="仿宋" w:cs="仿宋"/>
          <w:sz w:val="24"/>
          <w:szCs w:val="24"/>
        </w:rPr>
      </w:pPr>
    </w:p>
    <w:p w14:paraId="00D1909E">
      <w:pPr>
        <w:pStyle w:val="4"/>
        <w:spacing w:line="480" w:lineRule="auto"/>
        <w:ind w:firstLine="0"/>
        <w:rPr>
          <w:rFonts w:ascii="仿宋" w:hAnsi="仿宋" w:eastAsia="仿宋" w:cs="仿宋"/>
          <w:sz w:val="24"/>
          <w:szCs w:val="24"/>
        </w:rPr>
      </w:pPr>
    </w:p>
    <w:p w14:paraId="524EBF6B">
      <w:pPr>
        <w:pStyle w:val="4"/>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4"/>
        <w:spacing w:line="480" w:lineRule="auto"/>
        <w:ind w:firstLine="0"/>
        <w:rPr>
          <w:rFonts w:ascii="仿宋" w:hAnsi="仿宋" w:eastAsia="仿宋" w:cs="仿宋"/>
          <w:sz w:val="24"/>
          <w:szCs w:val="24"/>
        </w:rPr>
      </w:pPr>
    </w:p>
    <w:p w14:paraId="7ABD8156">
      <w:pPr>
        <w:pStyle w:val="4"/>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10"/>
        <w:rPr>
          <w:rFonts w:ascii="仿宋" w:hAnsi="仿宋" w:eastAsia="仿宋" w:cs="仿宋"/>
          <w:b/>
          <w:sz w:val="28"/>
          <w:szCs w:val="28"/>
        </w:rPr>
      </w:pPr>
    </w:p>
    <w:p w14:paraId="48EB47A5">
      <w:pPr>
        <w:rPr>
          <w:rFonts w:ascii="仿宋" w:hAnsi="仿宋" w:eastAsia="仿宋" w:cs="仿宋"/>
          <w:b/>
          <w:sz w:val="28"/>
          <w:szCs w:val="28"/>
        </w:rPr>
      </w:pPr>
    </w:p>
    <w:p w14:paraId="6AE962B2">
      <w:pPr>
        <w:pStyle w:val="10"/>
        <w:rPr>
          <w:rFonts w:ascii="仿宋" w:hAnsi="仿宋" w:eastAsia="仿宋" w:cs="仿宋"/>
          <w:b/>
          <w:sz w:val="28"/>
          <w:szCs w:val="28"/>
        </w:rPr>
      </w:pPr>
    </w:p>
    <w:p w14:paraId="2D0572B1">
      <w:pPr>
        <w:rPr>
          <w:rFonts w:ascii="仿宋" w:hAnsi="仿宋" w:eastAsia="仿宋" w:cs="仿宋"/>
          <w:b/>
          <w:sz w:val="28"/>
          <w:szCs w:val="28"/>
        </w:rPr>
      </w:pPr>
    </w:p>
    <w:p w14:paraId="32D761A8">
      <w:pPr>
        <w:pStyle w:val="10"/>
        <w:rPr>
          <w:rFonts w:ascii="仿宋" w:hAnsi="仿宋" w:eastAsia="仿宋" w:cs="仿宋"/>
          <w:b/>
          <w:sz w:val="28"/>
          <w:szCs w:val="28"/>
        </w:rPr>
      </w:pPr>
    </w:p>
    <w:p w14:paraId="58D8917F">
      <w:pPr>
        <w:rPr>
          <w:rFonts w:ascii="仿宋" w:hAnsi="仿宋" w:eastAsia="仿宋" w:cs="仿宋"/>
          <w:b/>
          <w:sz w:val="28"/>
          <w:szCs w:val="28"/>
        </w:rPr>
      </w:pPr>
    </w:p>
    <w:p w14:paraId="07912111">
      <w:pPr>
        <w:pStyle w:val="10"/>
        <w:rPr>
          <w:rFonts w:ascii="仿宋" w:hAnsi="仿宋" w:eastAsia="仿宋" w:cs="仿宋"/>
          <w:b/>
          <w:sz w:val="28"/>
          <w:szCs w:val="28"/>
        </w:rPr>
      </w:pPr>
    </w:p>
    <w:p w14:paraId="694D1984">
      <w:pPr>
        <w:pStyle w:val="45"/>
        <w:spacing w:before="0" w:beforeAutospacing="0" w:after="0" w:afterAutospacing="0" w:line="560" w:lineRule="exact"/>
        <w:ind w:firstLine="3720" w:firstLineChars="1550"/>
        <w:rPr>
          <w:rFonts w:ascii="仿宋" w:hAnsi="仿宋" w:eastAsia="仿宋" w:cs="仿宋"/>
          <w:kern w:val="2"/>
        </w:rPr>
      </w:pPr>
      <w:r>
        <w:rPr>
          <w:rFonts w:hint="eastAsia" w:ascii="仿宋" w:hAnsi="仿宋" w:eastAsia="仿宋" w:cs="仿宋"/>
          <w:kern w:val="2"/>
        </w:rPr>
        <w:t>承诺单位（盖章）</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center"/>
        <w:rPr>
          <w:rFonts w:ascii="仿宋" w:hAnsi="仿宋" w:eastAsia="仿宋" w:cs="仿宋"/>
          <w:kern w:val="2"/>
        </w:rPr>
      </w:pPr>
      <w:r>
        <w:rPr>
          <w:rFonts w:hint="eastAsia" w:ascii="仿宋" w:hAnsi="仿宋" w:eastAsia="仿宋" w:cs="仿宋"/>
          <w:kern w:val="2"/>
          <w:lang w:val="en-US" w:eastAsia="zh-CN"/>
        </w:rPr>
        <w:t xml:space="preserve">                              </w:t>
      </w:r>
      <w:r>
        <w:rPr>
          <w:rFonts w:hint="eastAsia" w:ascii="仿宋" w:hAnsi="仿宋" w:eastAsia="仿宋" w:cs="仿宋"/>
          <w:kern w:val="2"/>
        </w:rPr>
        <w:t>承诺单位：（盖章）</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4"/>
        <w:rPr>
          <w:rFonts w:ascii="仿宋" w:hAnsi="仿宋" w:eastAsia="仿宋" w:cs="仿宋"/>
        </w:rPr>
      </w:pPr>
    </w:p>
    <w:p w14:paraId="1746B4F4">
      <w:pPr>
        <w:pStyle w:val="14"/>
        <w:rPr>
          <w:rFonts w:ascii="仿宋" w:hAnsi="仿宋" w:eastAsia="仿宋" w:cs="仿宋"/>
        </w:rPr>
      </w:pPr>
    </w:p>
    <w:p w14:paraId="393F55FF">
      <w:pPr>
        <w:pStyle w:val="4"/>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
      </w:pPr>
    </w:p>
    <w:p w14:paraId="0C749D70">
      <w:pPr>
        <w:pStyle w:val="2"/>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jc w:val="left"/>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sz w:val="24"/>
                <w:szCs w:val="24"/>
                <w:u w:val="none"/>
                <w:lang w:val="en-US" w:eastAsia="zh-CN"/>
              </w:rPr>
              <w:t>委本级对外宣传项目</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仁皇招字2025199号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28AA1857">
      <w:pPr>
        <w:pStyle w:val="4"/>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磋商代理服务费承诺函</w:t>
      </w:r>
    </w:p>
    <w:p w14:paraId="67C2DA14">
      <w:pPr>
        <w:pStyle w:val="4"/>
        <w:spacing w:line="500" w:lineRule="exact"/>
        <w:jc w:val="center"/>
        <w:rPr>
          <w:rFonts w:ascii="仿宋" w:hAnsi="仿宋" w:eastAsia="仿宋" w:cs="仿宋"/>
          <w:b/>
          <w:sz w:val="28"/>
          <w:szCs w:val="28"/>
        </w:rPr>
      </w:pPr>
    </w:p>
    <w:p w14:paraId="7923B7B3">
      <w:pPr>
        <w:pStyle w:val="4"/>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1D01964">
      <w:pPr>
        <w:pStyle w:val="4"/>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DABE599">
      <w:pPr>
        <w:pStyle w:val="4"/>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1D790401">
      <w:pPr>
        <w:pStyle w:val="4"/>
        <w:spacing w:line="720" w:lineRule="exact"/>
        <w:jc w:val="left"/>
        <w:rPr>
          <w:rFonts w:ascii="仿宋" w:hAnsi="仿宋" w:eastAsia="仿宋" w:cs="仿宋"/>
          <w:sz w:val="24"/>
        </w:rPr>
      </w:pPr>
    </w:p>
    <w:p w14:paraId="394A7E7B">
      <w:pPr>
        <w:pStyle w:val="4"/>
        <w:spacing w:line="720" w:lineRule="exact"/>
        <w:jc w:val="left"/>
        <w:rPr>
          <w:rFonts w:ascii="仿宋" w:hAnsi="仿宋" w:eastAsia="仿宋" w:cs="仿宋"/>
          <w:sz w:val="24"/>
        </w:rPr>
      </w:pPr>
    </w:p>
    <w:p w14:paraId="756646BA">
      <w:pPr>
        <w:pStyle w:val="4"/>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1FFF86E6">
      <w:pPr>
        <w:pStyle w:val="4"/>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03A0F49F">
      <w:pPr>
        <w:pStyle w:val="4"/>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181A050E">
      <w:pPr>
        <w:pBdr>
          <w:bottom w:val="single" w:color="auto" w:sz="6" w:space="1"/>
        </w:pBdr>
        <w:spacing w:line="540" w:lineRule="exact"/>
        <w:rPr>
          <w:rFonts w:ascii="仿宋" w:hAnsi="仿宋" w:eastAsia="仿宋" w:cs="仿宋"/>
          <w:sz w:val="24"/>
        </w:rPr>
      </w:pPr>
    </w:p>
    <w:p w14:paraId="016AD6B3">
      <w:pPr>
        <w:spacing w:line="540" w:lineRule="exact"/>
        <w:rPr>
          <w:rFonts w:ascii="仿宋" w:hAnsi="仿宋" w:eastAsia="仿宋" w:cs="仿宋"/>
          <w:sz w:val="24"/>
        </w:rPr>
      </w:pPr>
    </w:p>
    <w:p w14:paraId="098DED91">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60F91CE3">
      <w:pPr>
        <w:autoSpaceDE w:val="0"/>
        <w:autoSpaceDN w:val="0"/>
        <w:adjustRightInd w:val="0"/>
        <w:spacing w:line="460" w:lineRule="atLeast"/>
        <w:ind w:firstLine="360"/>
        <w:jc w:val="left"/>
        <w:rPr>
          <w:rFonts w:ascii="仿宋" w:hAnsi="仿宋" w:eastAsia="仿宋" w:cs="仿宋"/>
          <w:b/>
          <w:bCs/>
          <w:kern w:val="0"/>
          <w:sz w:val="24"/>
          <w:u w:val="single"/>
        </w:rPr>
      </w:pPr>
    </w:p>
    <w:p w14:paraId="620C4762">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44551C0B">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0C1128DA">
      <w:pPr>
        <w:pStyle w:val="4"/>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3EAC6E57">
      <w:pPr>
        <w:snapToGrid w:val="0"/>
        <w:spacing w:before="156" w:beforeLines="50" w:after="50"/>
        <w:jc w:val="center"/>
        <w:rPr>
          <w:rFonts w:ascii="仿宋" w:hAnsi="仿宋" w:eastAsia="仿宋" w:cs="仿宋"/>
          <w:b/>
          <w:sz w:val="28"/>
          <w:szCs w:val="28"/>
          <w:lang w:val="zh-CN"/>
        </w:rPr>
      </w:pPr>
    </w:p>
    <w:p w14:paraId="754ACD56">
      <w:pPr>
        <w:rPr>
          <w:rFonts w:ascii="仿宋" w:hAnsi="仿宋" w:eastAsia="仿宋" w:cs="仿宋"/>
          <w:b/>
          <w:bCs/>
          <w:sz w:val="28"/>
          <w:szCs w:val="28"/>
        </w:rPr>
      </w:pPr>
      <w:r>
        <w:rPr>
          <w:rFonts w:hint="eastAsia" w:ascii="仿宋" w:hAnsi="仿宋" w:eastAsia="仿宋" w:cs="仿宋"/>
          <w:b/>
          <w:bCs/>
          <w:sz w:val="28"/>
          <w:szCs w:val="28"/>
        </w:rPr>
        <w:br w:type="page"/>
      </w:r>
    </w:p>
    <w:p w14:paraId="36F8EE05">
      <w:pPr>
        <w:rPr>
          <w:rFonts w:ascii="仿宋" w:hAnsi="仿宋" w:eastAsia="仿宋" w:cs="仿宋"/>
          <w:b/>
          <w:bCs/>
          <w:sz w:val="28"/>
          <w:szCs w:val="28"/>
        </w:rPr>
      </w:pPr>
    </w:p>
    <w:p w14:paraId="2E145920">
      <w:pPr>
        <w:pStyle w:val="5"/>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 xml:space="preserve">1、设技术分 </w:t>
      </w:r>
      <w:r>
        <w:rPr>
          <w:rFonts w:hint="eastAsia" w:ascii="仿宋" w:hAnsi="仿宋" w:eastAsia="仿宋" w:cs="仿宋"/>
          <w:b w:val="0"/>
          <w:bCs/>
          <w:sz w:val="24"/>
          <w:lang w:val="en-US" w:eastAsia="zh-CN"/>
        </w:rPr>
        <w:t>66</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24</w:t>
      </w:r>
      <w:r>
        <w:rPr>
          <w:rFonts w:hint="eastAsia" w:ascii="仿宋" w:hAnsi="仿宋" w:eastAsia="仿宋" w:cs="仿宋"/>
          <w:b w:val="0"/>
          <w:bCs/>
          <w:sz w:val="24"/>
        </w:rPr>
        <w:t>分</w:t>
      </w:r>
      <w:r>
        <w:rPr>
          <w:rFonts w:hint="eastAsia" w:ascii="仿宋" w:hAnsi="仿宋" w:eastAsia="仿宋" w:cs="仿宋"/>
          <w:b w:val="0"/>
          <w:bCs/>
          <w:sz w:val="24"/>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3"/>
        <w:tblW w:w="93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285"/>
        <w:gridCol w:w="6282"/>
        <w:gridCol w:w="1043"/>
      </w:tblGrid>
      <w:tr w14:paraId="0F8C5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265AEB1D">
            <w:pPr>
              <w:pStyle w:val="18"/>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序号</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AD9F79C">
            <w:pPr>
              <w:pStyle w:val="18"/>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评审内容</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1DCC6A08">
            <w:pPr>
              <w:pStyle w:val="18"/>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评分标准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AE1561C">
            <w:pPr>
              <w:pStyle w:val="18"/>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分值</w:t>
            </w:r>
          </w:p>
        </w:tc>
      </w:tr>
      <w:tr w14:paraId="2FC68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4103056C">
            <w:pPr>
              <w:pStyle w:val="18"/>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一</w:t>
            </w:r>
          </w:p>
        </w:tc>
        <w:tc>
          <w:tcPr>
            <w:tcW w:w="7567" w:type="dxa"/>
            <w:gridSpan w:val="2"/>
            <w:tcBorders>
              <w:top w:val="single" w:color="auto" w:sz="4" w:space="0"/>
              <w:left w:val="single" w:color="auto" w:sz="4" w:space="0"/>
              <w:bottom w:val="single" w:color="auto" w:sz="4" w:space="0"/>
              <w:right w:val="single" w:color="auto" w:sz="4" w:space="0"/>
            </w:tcBorders>
            <w:noWrap w:val="0"/>
            <w:vAlign w:val="center"/>
          </w:tcPr>
          <w:p w14:paraId="7EA2FE76">
            <w:pPr>
              <w:pStyle w:val="18"/>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技术分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AA72762">
            <w:pPr>
              <w:pStyle w:val="18"/>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lang w:val="en-US" w:eastAsia="zh-CN"/>
              </w:rPr>
              <w:t>66</w:t>
            </w:r>
            <w:r>
              <w:rPr>
                <w:rFonts w:hint="eastAsia" w:ascii="仿宋" w:hAnsi="仿宋" w:eastAsia="仿宋" w:cs="仿宋"/>
                <w:b/>
                <w:bCs/>
                <w:highlight w:val="none"/>
              </w:rPr>
              <w:t>分</w:t>
            </w:r>
          </w:p>
        </w:tc>
      </w:tr>
      <w:tr w14:paraId="24D6B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right w:val="single" w:color="auto" w:sz="4" w:space="0"/>
            </w:tcBorders>
            <w:noWrap w:val="0"/>
            <w:vAlign w:val="center"/>
          </w:tcPr>
          <w:p w14:paraId="635C6242">
            <w:pPr>
              <w:widowControl/>
              <w:spacing w:line="38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285" w:type="dxa"/>
            <w:tcBorders>
              <w:top w:val="single" w:color="auto" w:sz="4" w:space="0"/>
              <w:left w:val="single" w:color="auto" w:sz="4" w:space="0"/>
              <w:right w:val="single" w:color="auto" w:sz="4" w:space="0"/>
            </w:tcBorders>
            <w:noWrap w:val="0"/>
            <w:vAlign w:val="center"/>
          </w:tcPr>
          <w:p w14:paraId="667F0551">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项目实施方案</w:t>
            </w:r>
          </w:p>
        </w:tc>
        <w:tc>
          <w:tcPr>
            <w:tcW w:w="6282" w:type="dxa"/>
            <w:tcBorders>
              <w:top w:val="single" w:color="auto" w:sz="4" w:space="0"/>
              <w:left w:val="single" w:color="auto" w:sz="4" w:space="0"/>
              <w:right w:val="single" w:color="auto" w:sz="4" w:space="0"/>
            </w:tcBorders>
            <w:noWrap w:val="0"/>
            <w:vAlign w:val="center"/>
          </w:tcPr>
          <w:p w14:paraId="1F24309E">
            <w:pPr>
              <w:tabs>
                <w:tab w:val="left" w:pos="1080"/>
              </w:tabs>
              <w:spacing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针对本项目特征对项目实施方案各个部分进行综合评定：</w:t>
            </w:r>
          </w:p>
          <w:p w14:paraId="5025C139">
            <w:pPr>
              <w:tabs>
                <w:tab w:val="left" w:pos="1080"/>
              </w:tabs>
              <w:spacing w:line="440" w:lineRule="exact"/>
              <w:ind w:firstLine="240" w:firstLineChars="100"/>
              <w:jc w:val="left"/>
              <w:rPr>
                <w:rFonts w:ascii="仿宋" w:hAnsi="仿宋" w:eastAsia="仿宋" w:cs="仿宋"/>
                <w:kern w:val="0"/>
                <w:sz w:val="24"/>
                <w:highlight w:val="none"/>
              </w:rPr>
            </w:pPr>
            <w:r>
              <w:rPr>
                <w:rFonts w:hint="eastAsia" w:ascii="仿宋" w:hAnsi="仿宋" w:eastAsia="仿宋" w:cs="仿宋"/>
                <w:kern w:val="0"/>
                <w:sz w:val="24"/>
                <w:highlight w:val="none"/>
              </w:rPr>
              <w:t>1、供应商对本项目的理解与认识：</w:t>
            </w:r>
            <w:r>
              <w:rPr>
                <w:rFonts w:hint="eastAsia" w:ascii="仿宋" w:hAnsi="仿宋" w:eastAsia="仿宋" w:cs="仿宋"/>
                <w:color w:val="auto"/>
                <w:kern w:val="0"/>
                <w:sz w:val="24"/>
                <w:highlight w:val="none"/>
              </w:rPr>
              <w:t>本项目基本情况、</w:t>
            </w:r>
            <w:r>
              <w:rPr>
                <w:rFonts w:hint="eastAsia" w:ascii="仿宋" w:hAnsi="仿宋" w:eastAsia="仿宋" w:cs="仿宋"/>
                <w:color w:val="auto"/>
                <w:kern w:val="0"/>
                <w:sz w:val="24"/>
                <w:highlight w:val="none"/>
                <w:lang w:val="en-US" w:eastAsia="zh-CN"/>
              </w:rPr>
              <w:t>研究内容、对策</w:t>
            </w:r>
            <w:r>
              <w:rPr>
                <w:rFonts w:hint="eastAsia" w:ascii="仿宋" w:hAnsi="仿宋" w:eastAsia="仿宋" w:cs="仿宋"/>
                <w:kern w:val="0"/>
                <w:sz w:val="24"/>
                <w:highlight w:val="none"/>
              </w:rPr>
              <w:t>分析等方面的理解和认识非常清晰、透彻，分析点及思路对本项目的实施有推进作用的得</w:t>
            </w:r>
            <w:r>
              <w:rPr>
                <w:rFonts w:hint="eastAsia" w:ascii="仿宋" w:hAnsi="仿宋" w:eastAsia="仿宋" w:cs="仿宋"/>
                <w:kern w:val="0"/>
                <w:sz w:val="24"/>
                <w:highlight w:val="none"/>
                <w:lang w:val="en-US" w:eastAsia="zh-CN"/>
              </w:rPr>
              <w:t>10-12</w:t>
            </w:r>
            <w:r>
              <w:rPr>
                <w:rFonts w:hint="eastAsia" w:ascii="仿宋" w:hAnsi="仿宋" w:eastAsia="仿宋" w:cs="仿宋"/>
                <w:kern w:val="0"/>
                <w:sz w:val="24"/>
                <w:highlight w:val="none"/>
              </w:rPr>
              <w:t>分；对本项目的理解与认识准确合理，分析思路可行性较强的得</w:t>
            </w:r>
            <w:r>
              <w:rPr>
                <w:rFonts w:hint="eastAsia" w:ascii="仿宋" w:hAnsi="仿宋" w:eastAsia="仿宋" w:cs="仿宋"/>
                <w:kern w:val="0"/>
                <w:sz w:val="24"/>
                <w:highlight w:val="none"/>
                <w:lang w:val="en-US" w:eastAsia="zh-CN"/>
              </w:rPr>
              <w:t>7-9</w:t>
            </w:r>
            <w:r>
              <w:rPr>
                <w:rFonts w:hint="eastAsia" w:ascii="仿宋" w:hAnsi="仿宋" w:eastAsia="仿宋" w:cs="仿宋"/>
                <w:kern w:val="0"/>
                <w:sz w:val="24"/>
                <w:highlight w:val="none"/>
              </w:rPr>
              <w:t>分；对本项目的理解与认识较为合理且可行性一般的得</w:t>
            </w:r>
            <w:r>
              <w:rPr>
                <w:rFonts w:hint="eastAsia" w:ascii="仿宋" w:hAnsi="仿宋" w:eastAsia="仿宋" w:cs="仿宋"/>
                <w:kern w:val="0"/>
                <w:sz w:val="24"/>
                <w:highlight w:val="none"/>
                <w:lang w:val="en-US" w:eastAsia="zh-CN"/>
              </w:rPr>
              <w:t>4-6</w:t>
            </w:r>
            <w:r>
              <w:rPr>
                <w:rFonts w:hint="eastAsia" w:ascii="仿宋" w:hAnsi="仿宋" w:eastAsia="仿宋" w:cs="仿宋"/>
                <w:kern w:val="0"/>
                <w:sz w:val="24"/>
                <w:highlight w:val="none"/>
              </w:rPr>
              <w:t>分；对本项目的理解与认识有缺失的得2-3分；对本项目的理解与认识有较大偏差的得0-1分。最高得</w:t>
            </w:r>
            <w:r>
              <w:rPr>
                <w:rFonts w:hint="eastAsia" w:ascii="仿宋" w:hAnsi="仿宋" w:eastAsia="仿宋" w:cs="仿宋"/>
                <w:kern w:val="0"/>
                <w:sz w:val="24"/>
                <w:highlight w:val="none"/>
                <w:lang w:val="en-US" w:eastAsia="zh-CN"/>
              </w:rPr>
              <w:t>12</w:t>
            </w:r>
            <w:r>
              <w:rPr>
                <w:rFonts w:hint="eastAsia" w:ascii="仿宋" w:hAnsi="仿宋" w:eastAsia="仿宋" w:cs="仿宋"/>
                <w:kern w:val="0"/>
                <w:sz w:val="24"/>
                <w:highlight w:val="none"/>
              </w:rPr>
              <w:t>分。</w:t>
            </w:r>
          </w:p>
          <w:p w14:paraId="056CC432">
            <w:pPr>
              <w:tabs>
                <w:tab w:val="left" w:pos="1080"/>
              </w:tabs>
              <w:spacing w:line="440" w:lineRule="exact"/>
              <w:ind w:firstLine="240" w:firstLineChars="1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、供应商提供的技术路线与工作方法：对本项目的提出的项目实施统筹协调工作方法、以及项目的主要技术路线清晰、全面、合理，可行性高且对本项目实施有推进作用的得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分；工作方法和技术路线分析方案较详尽可行的得</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分；工作方法和技术路线较合理但可行性一般的得</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分；工作方法和技术路线方案一般的得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分；工作方法和技术路线方案可行性不确认的得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最高得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p w14:paraId="6107E2A5">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w:t>
            </w:r>
            <w:r>
              <w:rPr>
                <w:rFonts w:hint="eastAsia" w:ascii="仿宋" w:hAnsi="仿宋" w:eastAsia="仿宋" w:cs="仿宋"/>
                <w:bCs/>
                <w:sz w:val="24"/>
                <w:szCs w:val="24"/>
                <w:highlight w:val="none"/>
              </w:rPr>
              <w:t>供应商提供的</w:t>
            </w:r>
            <w:r>
              <w:rPr>
                <w:rFonts w:hint="eastAsia" w:ascii="仿宋" w:hAnsi="仿宋" w:eastAsia="仿宋" w:cs="仿宋"/>
                <w:bCs/>
                <w:sz w:val="24"/>
                <w:szCs w:val="24"/>
                <w:highlight w:val="none"/>
                <w:lang w:val="en-US" w:eastAsia="zh-CN"/>
              </w:rPr>
              <w:t>项目重难点分析</w:t>
            </w:r>
            <w:r>
              <w:rPr>
                <w:rFonts w:hint="eastAsia" w:ascii="仿宋" w:hAnsi="仿宋" w:eastAsia="仿宋" w:cs="仿宋"/>
                <w:kern w:val="0"/>
                <w:sz w:val="24"/>
                <w:szCs w:val="24"/>
                <w:highlight w:val="none"/>
              </w:rPr>
              <w:t>及解决方案：供应商针对本项目重点难点分析到位，明确且有合理、切实、针对性强的解决方案的得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分；重点难点分析较到位，各项解决方案较可行的得</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分；重点难点分析有部分缺失，且解决方案基本可行的得</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分；重点难点分析一般且解决方案可行一般的得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分；有重点难点分析，但不准确的得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最高得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p w14:paraId="531446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保证计划进度的方案和措施：确保项目进度和分工安排、项目过程中各阶段划分和控制等方案和措施切实可行且对本项目实施有推进作用的得8分；保证计划进度的方案和措施较完善且可行的得6分；方案和措施较完整但可行性一般的得4分；方案和措施较简单且可行性一般的得2分；方案措施欠佳的或存在明显缺陷的得1分。最高得8分。</w:t>
            </w:r>
          </w:p>
          <w:p w14:paraId="2F508774">
            <w:pPr>
              <w:pStyle w:val="7"/>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baseline"/>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5、供应商提供的项目质量保证措施：供应商对项目质量保证措施内容全面严谨，项目质量保证体系完整且对本项目实施有推进作用的得9-10分；项目质量保证措施内容较全面、方案较详细合理，项目质量保证体系基本切实可行的得6-8分；有质量保证体系，但流程不清晰的得3-5分；质量保证体系简单，可行性不强的得1-2分；最高得10分。</w:t>
            </w:r>
          </w:p>
          <w:p w14:paraId="3104BAB4">
            <w:pPr>
              <w:spacing w:line="360" w:lineRule="auto"/>
              <w:rPr>
                <w:rFonts w:hint="eastAsia"/>
                <w:highlight w:val="none"/>
                <w:lang w:val="en-US" w:eastAsia="zh-CN"/>
              </w:rPr>
            </w:pPr>
            <w:r>
              <w:rPr>
                <w:rFonts w:hint="eastAsia" w:ascii="仿宋" w:hAnsi="仿宋" w:eastAsia="仿宋" w:cs="仿宋"/>
                <w:b/>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noWrap w:val="0"/>
            <w:vAlign w:val="center"/>
          </w:tcPr>
          <w:p w14:paraId="1D7DACF4">
            <w:pPr>
              <w:pStyle w:val="18"/>
              <w:spacing w:line="380" w:lineRule="exact"/>
              <w:ind w:firstLine="0" w:firstLineChars="0"/>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0-50分</w:t>
            </w:r>
          </w:p>
        </w:tc>
      </w:tr>
      <w:tr w14:paraId="7B029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751" w:type="dxa"/>
            <w:tcBorders>
              <w:top w:val="single" w:color="auto" w:sz="4" w:space="0"/>
              <w:left w:val="single" w:color="auto" w:sz="4" w:space="0"/>
              <w:right w:val="single" w:color="auto" w:sz="4" w:space="0"/>
            </w:tcBorders>
            <w:noWrap w:val="0"/>
            <w:vAlign w:val="center"/>
          </w:tcPr>
          <w:p w14:paraId="72417CE9">
            <w:pPr>
              <w:widowControl/>
              <w:spacing w:line="3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285" w:type="dxa"/>
            <w:tcBorders>
              <w:top w:val="single" w:color="auto" w:sz="4" w:space="0"/>
              <w:left w:val="single" w:color="auto" w:sz="4" w:space="0"/>
              <w:right w:val="single" w:color="auto" w:sz="4" w:space="0"/>
            </w:tcBorders>
            <w:noWrap w:val="0"/>
            <w:vAlign w:val="center"/>
          </w:tcPr>
          <w:p w14:paraId="4B386F78">
            <w:pPr>
              <w:widowControl/>
              <w:spacing w:line="38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人员配置</w:t>
            </w:r>
          </w:p>
        </w:tc>
        <w:tc>
          <w:tcPr>
            <w:tcW w:w="6282" w:type="dxa"/>
            <w:tcBorders>
              <w:top w:val="single" w:color="auto" w:sz="4" w:space="0"/>
              <w:left w:val="single" w:color="auto" w:sz="4" w:space="0"/>
              <w:right w:val="single" w:color="auto" w:sz="4" w:space="0"/>
            </w:tcBorders>
            <w:noWrap w:val="0"/>
            <w:vAlign w:val="center"/>
          </w:tcPr>
          <w:p w14:paraId="296B9AEE">
            <w:pPr>
              <w:tabs>
                <w:tab w:val="left" w:pos="1080"/>
              </w:tabs>
              <w:spacing w:line="440" w:lineRule="exact"/>
              <w:ind w:firstLine="240" w:firstLineChars="1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1、拟投入本项目的项目负责人具有</w:t>
            </w:r>
            <w:r>
              <w:rPr>
                <w:rFonts w:hint="eastAsia" w:ascii="仿宋" w:hAnsi="仿宋" w:eastAsia="仿宋" w:cs="仿宋"/>
                <w:kern w:val="0"/>
                <w:sz w:val="24"/>
                <w:highlight w:val="none"/>
                <w:lang w:val="en-US" w:eastAsia="zh-CN"/>
              </w:rPr>
              <w:t>中级</w:t>
            </w:r>
            <w:r>
              <w:rPr>
                <w:rFonts w:hint="eastAsia" w:ascii="仿宋" w:hAnsi="仿宋" w:eastAsia="仿宋" w:cs="仿宋"/>
                <w:kern w:val="0"/>
                <w:sz w:val="24"/>
                <w:highlight w:val="none"/>
              </w:rPr>
              <w:t>职称证的得4分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本项最多得4分；</w:t>
            </w:r>
          </w:p>
          <w:p w14:paraId="011940A3">
            <w:pPr>
              <w:tabs>
                <w:tab w:val="left" w:pos="1080"/>
              </w:tabs>
              <w:spacing w:line="440" w:lineRule="exact"/>
              <w:ind w:firstLine="240" w:firstLineChars="10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2、拟投入本项目的团队成员（除项目负责人外）具有</w:t>
            </w:r>
            <w:r>
              <w:rPr>
                <w:rFonts w:hint="eastAsia" w:ascii="仿宋" w:hAnsi="仿宋" w:eastAsia="仿宋" w:cs="仿宋"/>
                <w:kern w:val="0"/>
                <w:sz w:val="24"/>
                <w:highlight w:val="none"/>
                <w:lang w:val="en-US" w:eastAsia="zh-CN"/>
              </w:rPr>
              <w:t>中级</w:t>
            </w:r>
            <w:r>
              <w:rPr>
                <w:rFonts w:hint="eastAsia" w:ascii="仿宋" w:hAnsi="仿宋" w:eastAsia="仿宋" w:cs="仿宋"/>
                <w:kern w:val="0"/>
                <w:sz w:val="24"/>
                <w:highlight w:val="none"/>
              </w:rPr>
              <w:t>职称每提供一个的得2分，</w:t>
            </w:r>
            <w:r>
              <w:rPr>
                <w:rFonts w:hint="eastAsia" w:ascii="仿宋" w:hAnsi="仿宋" w:eastAsia="仿宋" w:cs="仿宋"/>
                <w:kern w:val="0"/>
                <w:sz w:val="24"/>
                <w:highlight w:val="none"/>
                <w:lang w:val="en-US" w:eastAsia="zh-CN"/>
              </w:rPr>
              <w:t>本项</w:t>
            </w:r>
            <w:r>
              <w:rPr>
                <w:rFonts w:hint="eastAsia" w:ascii="仿宋" w:hAnsi="仿宋" w:eastAsia="仿宋" w:cs="仿宋"/>
                <w:kern w:val="0"/>
                <w:sz w:val="24"/>
                <w:highlight w:val="none"/>
              </w:rPr>
              <w:t>最多得6分</w:t>
            </w:r>
            <w:r>
              <w:rPr>
                <w:rFonts w:hint="eastAsia" w:ascii="仿宋" w:hAnsi="仿宋" w:eastAsia="仿宋" w:cs="仿宋"/>
                <w:kern w:val="0"/>
                <w:sz w:val="24"/>
                <w:highlight w:val="none"/>
                <w:lang w:eastAsia="zh-CN"/>
              </w:rPr>
              <w:t>。</w:t>
            </w:r>
          </w:p>
          <w:p w14:paraId="2342FEE1">
            <w:pPr>
              <w:tabs>
                <w:tab w:val="left" w:pos="1080"/>
              </w:tabs>
              <w:spacing w:line="440" w:lineRule="exact"/>
              <w:ind w:firstLine="240" w:firstLineChars="1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根据拟投入本项目人员的人力资源安排、职责岗位分工进行评审，安排合理、职责分工明确且有利于项目实施要求的得6分；人员安排较完善且有效的岗位分工，基本符合项目需求的得5分；人员安排较简单且但个人资质较欠缺的得3分；人员安排简单可行性较差的得2分，最高得6分。</w:t>
            </w:r>
          </w:p>
          <w:p w14:paraId="4B200CC8">
            <w:pPr>
              <w:tabs>
                <w:tab w:val="left" w:pos="1080"/>
              </w:tabs>
              <w:spacing w:line="440" w:lineRule="exact"/>
              <w:jc w:val="left"/>
              <w:rPr>
                <w:rFonts w:hint="eastAsia" w:ascii="仿宋" w:hAnsi="仿宋" w:eastAsia="仿宋" w:cs="仿宋"/>
                <w:b w:val="0"/>
                <w:bCs/>
                <w:kern w:val="0"/>
                <w:sz w:val="24"/>
                <w:highlight w:val="none"/>
                <w:u w:val="single"/>
                <w:lang w:eastAsia="zh-CN"/>
              </w:rPr>
            </w:pPr>
            <w:r>
              <w:rPr>
                <w:rFonts w:hint="eastAsia" w:ascii="仿宋" w:hAnsi="仿宋" w:eastAsia="仿宋" w:cs="仿宋"/>
                <w:b/>
                <w:bCs/>
                <w:sz w:val="24"/>
                <w:szCs w:val="24"/>
                <w:highlight w:val="none"/>
                <w:u w:val="single"/>
              </w:rPr>
              <w:t>注：以上1-2项中人员须相关证书复印件及最近三个月中任意1个月由供应商缴纳的社保证明加盖供应商公章，项目负责人工作经验证明材料加盖供应商公章，未提供不得分。</w:t>
            </w:r>
            <w:r>
              <w:rPr>
                <w:rFonts w:hint="eastAsia" w:ascii="仿宋" w:hAnsi="仿宋" w:eastAsia="仿宋" w:cs="仿宋"/>
                <w:b/>
                <w:kern w:val="0"/>
                <w:sz w:val="24"/>
                <w:szCs w:val="24"/>
                <w:highlight w:val="none"/>
                <w:u w:val="single"/>
                <w:lang w:val="en-US" w:eastAsia="zh-CN"/>
              </w:rPr>
              <w:t>第3项</w:t>
            </w:r>
            <w:r>
              <w:rPr>
                <w:rFonts w:hint="eastAsia" w:ascii="仿宋" w:hAnsi="仿宋" w:eastAsia="仿宋" w:cs="仿宋"/>
                <w:b/>
                <w:kern w:val="0"/>
                <w:sz w:val="24"/>
                <w:szCs w:val="24"/>
                <w:highlight w:val="none"/>
                <w:u w:val="single"/>
              </w:rPr>
              <w:t>方案不提供不得分</w:t>
            </w:r>
            <w:r>
              <w:rPr>
                <w:rFonts w:hint="eastAsia" w:ascii="仿宋" w:hAnsi="仿宋" w:eastAsia="仿宋" w:cs="仿宋"/>
                <w:b/>
                <w:kern w:val="0"/>
                <w:sz w:val="24"/>
                <w:szCs w:val="24"/>
                <w:highlight w:val="none"/>
                <w:u w:val="single"/>
                <w:lang w:eastAsia="zh-CN"/>
              </w:rPr>
              <w:t>。</w:t>
            </w:r>
          </w:p>
        </w:tc>
        <w:tc>
          <w:tcPr>
            <w:tcW w:w="1043" w:type="dxa"/>
            <w:tcBorders>
              <w:top w:val="single" w:color="auto" w:sz="4" w:space="0"/>
              <w:left w:val="single" w:color="auto" w:sz="4" w:space="0"/>
              <w:right w:val="single" w:color="auto" w:sz="4" w:space="0"/>
            </w:tcBorders>
            <w:noWrap w:val="0"/>
            <w:vAlign w:val="center"/>
          </w:tcPr>
          <w:p w14:paraId="300EB6BB">
            <w:pPr>
              <w:pStyle w:val="18"/>
              <w:spacing w:line="380" w:lineRule="exact"/>
              <w:ind w:firstLine="0" w:firstLineChars="0"/>
              <w:jc w:val="center"/>
              <w:rPr>
                <w:rFonts w:hint="eastAsia" w:ascii="仿宋" w:hAnsi="仿宋" w:eastAsia="仿宋" w:cs="仿宋"/>
                <w:highlight w:val="none"/>
              </w:rPr>
            </w:pPr>
            <w:r>
              <w:rPr>
                <w:rFonts w:hint="eastAsia" w:ascii="仿宋" w:hAnsi="仿宋" w:eastAsia="仿宋" w:cs="仿宋"/>
                <w:highlight w:val="none"/>
              </w:rPr>
              <w:t>0-1</w:t>
            </w:r>
            <w:r>
              <w:rPr>
                <w:rFonts w:hint="eastAsia" w:ascii="仿宋" w:hAnsi="仿宋" w:eastAsia="仿宋" w:cs="仿宋"/>
                <w:highlight w:val="none"/>
                <w:lang w:val="en-US" w:eastAsia="zh-CN"/>
              </w:rPr>
              <w:t>6</w:t>
            </w:r>
            <w:r>
              <w:rPr>
                <w:rFonts w:hint="eastAsia" w:ascii="仿宋" w:hAnsi="仿宋" w:eastAsia="仿宋" w:cs="仿宋"/>
                <w:highlight w:val="none"/>
              </w:rPr>
              <w:t>分</w:t>
            </w:r>
          </w:p>
        </w:tc>
      </w:tr>
      <w:tr w14:paraId="1AB3E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626BCD24">
            <w:pPr>
              <w:widowControl/>
              <w:spacing w:line="380" w:lineRule="exact"/>
              <w:jc w:val="center"/>
              <w:rPr>
                <w:rFonts w:ascii="仿宋" w:hAnsi="仿宋" w:eastAsia="仿宋" w:cs="仿宋"/>
                <w:b/>
                <w:sz w:val="24"/>
                <w:highlight w:val="none"/>
              </w:rPr>
            </w:pPr>
            <w:r>
              <w:rPr>
                <w:rFonts w:hint="eastAsia" w:ascii="仿宋" w:hAnsi="仿宋" w:eastAsia="仿宋" w:cs="仿宋"/>
                <w:b/>
                <w:sz w:val="24"/>
                <w:highlight w:val="none"/>
              </w:rPr>
              <w:t>二</w:t>
            </w:r>
          </w:p>
        </w:tc>
        <w:tc>
          <w:tcPr>
            <w:tcW w:w="7567" w:type="dxa"/>
            <w:gridSpan w:val="2"/>
            <w:tcBorders>
              <w:top w:val="single" w:color="auto" w:sz="4" w:space="0"/>
              <w:left w:val="single" w:color="auto" w:sz="4" w:space="0"/>
              <w:bottom w:val="single" w:color="auto" w:sz="4" w:space="0"/>
              <w:right w:val="single" w:color="auto" w:sz="4" w:space="0"/>
            </w:tcBorders>
            <w:noWrap w:val="0"/>
            <w:vAlign w:val="center"/>
          </w:tcPr>
          <w:p w14:paraId="33A7A68A">
            <w:pPr>
              <w:pStyle w:val="18"/>
              <w:spacing w:line="380" w:lineRule="exact"/>
              <w:ind w:firstLine="0" w:firstLineChars="0"/>
              <w:jc w:val="center"/>
              <w:rPr>
                <w:rFonts w:ascii="仿宋" w:hAnsi="仿宋" w:eastAsia="仿宋" w:cs="仿宋"/>
                <w:b/>
                <w:sz w:val="21"/>
                <w:szCs w:val="21"/>
                <w:highlight w:val="none"/>
              </w:rPr>
            </w:pPr>
            <w:r>
              <w:rPr>
                <w:rFonts w:hint="eastAsia" w:ascii="仿宋" w:hAnsi="仿宋" w:eastAsia="仿宋" w:cs="仿宋"/>
                <w:b/>
                <w:highlight w:val="none"/>
              </w:rPr>
              <w:t>商务、资信及其他分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EF17555">
            <w:pPr>
              <w:pStyle w:val="18"/>
              <w:spacing w:line="380" w:lineRule="exact"/>
              <w:ind w:firstLine="0" w:firstLineChars="0"/>
              <w:jc w:val="center"/>
              <w:rPr>
                <w:rFonts w:ascii="仿宋" w:hAnsi="仿宋" w:eastAsia="仿宋" w:cs="仿宋"/>
                <w:b/>
                <w:highlight w:val="none"/>
              </w:rPr>
            </w:pPr>
            <w:r>
              <w:rPr>
                <w:rFonts w:hint="eastAsia" w:ascii="仿宋" w:hAnsi="仿宋" w:eastAsia="仿宋" w:cs="仿宋"/>
                <w:b/>
                <w:highlight w:val="none"/>
                <w:lang w:val="en-US" w:eastAsia="zh-CN"/>
              </w:rPr>
              <w:t>24</w:t>
            </w:r>
            <w:r>
              <w:rPr>
                <w:rFonts w:hint="eastAsia" w:ascii="仿宋" w:hAnsi="仿宋" w:eastAsia="仿宋" w:cs="仿宋"/>
                <w:b/>
                <w:highlight w:val="none"/>
              </w:rPr>
              <w:t>分</w:t>
            </w:r>
          </w:p>
        </w:tc>
      </w:tr>
      <w:tr w14:paraId="46FD5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7" w:hRule="exac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85E8D47">
            <w:pPr>
              <w:widowControl/>
              <w:spacing w:line="38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53319ABA">
            <w:pPr>
              <w:pStyle w:val="3"/>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服务承诺</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720AD28A">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根据供应商提供的服务承诺</w:t>
            </w:r>
            <w:r>
              <w:rPr>
                <w:rFonts w:hint="eastAsia" w:ascii="仿宋" w:hAnsi="仿宋" w:eastAsia="仿宋" w:cs="仿宋"/>
                <w:bCs/>
                <w:color w:val="auto"/>
                <w:sz w:val="24"/>
                <w:szCs w:val="24"/>
                <w:highlight w:val="none"/>
                <w:lang w:val="en-US" w:eastAsia="zh-CN"/>
              </w:rPr>
              <w:t>等方案</w:t>
            </w:r>
            <w:r>
              <w:rPr>
                <w:rFonts w:hint="eastAsia" w:ascii="仿宋" w:hAnsi="仿宋" w:eastAsia="仿宋" w:cs="仿宋"/>
                <w:bCs/>
                <w:color w:val="auto"/>
                <w:sz w:val="24"/>
                <w:szCs w:val="24"/>
                <w:highlight w:val="none"/>
              </w:rPr>
              <w:t>进行</w:t>
            </w:r>
            <w:r>
              <w:rPr>
                <w:rFonts w:hint="eastAsia" w:ascii="仿宋" w:hAnsi="仿宋" w:eastAsia="仿宋" w:cs="仿宋"/>
                <w:bCs/>
                <w:color w:val="auto"/>
                <w:sz w:val="24"/>
                <w:szCs w:val="24"/>
                <w:highlight w:val="none"/>
                <w:lang w:val="en-US" w:eastAsia="zh-CN"/>
              </w:rPr>
              <w:t>综合</w:t>
            </w:r>
            <w:r>
              <w:rPr>
                <w:rFonts w:hint="eastAsia" w:ascii="仿宋" w:hAnsi="仿宋" w:eastAsia="仿宋" w:cs="仿宋"/>
                <w:bCs/>
                <w:color w:val="auto"/>
                <w:sz w:val="24"/>
                <w:szCs w:val="24"/>
                <w:highlight w:val="none"/>
              </w:rPr>
              <w:t>评</w:t>
            </w:r>
            <w:r>
              <w:rPr>
                <w:rFonts w:hint="eastAsia" w:ascii="仿宋" w:hAnsi="仿宋" w:eastAsia="仿宋" w:cs="仿宋"/>
                <w:bCs/>
                <w:color w:val="auto"/>
                <w:sz w:val="24"/>
                <w:szCs w:val="24"/>
                <w:highlight w:val="none"/>
                <w:lang w:val="en-US" w:eastAsia="zh-CN"/>
              </w:rPr>
              <w:t>定</w:t>
            </w:r>
            <w:r>
              <w:rPr>
                <w:rFonts w:hint="eastAsia" w:ascii="仿宋" w:hAnsi="仿宋" w:eastAsia="仿宋" w:cs="仿宋"/>
                <w:bCs/>
                <w:color w:val="auto"/>
                <w:sz w:val="24"/>
                <w:szCs w:val="24"/>
                <w:highlight w:val="none"/>
              </w:rPr>
              <w:t>。</w:t>
            </w:r>
          </w:p>
          <w:p w14:paraId="4BDE7989">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1、供应商的技术保障及后续服务措施：技术支持和跟踪服务能力强，本地化服务的计划切实可行，后续服务保障方案具体且有针对性，对本项目有提升作用的得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分；技术支持和跟踪服务能力较强，本地化服务能力较可行的得</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分；技术支持和跟踪服务能力一般，但基本可行的得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分；技术支持和跟踪服务能力体现不明确的得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分；技术支持和跟踪服务能力表现简单且与本项目实施无关联的得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最高得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p w14:paraId="700916EC">
            <w:pPr>
              <w:spacing w:line="360" w:lineRule="auto"/>
              <w:ind w:firstLine="240" w:firstLineChars="100"/>
              <w:rPr>
                <w:rFonts w:hint="eastAsia" w:ascii="仿宋" w:hAnsi="仿宋" w:eastAsia="仿宋" w:cs="仿宋"/>
                <w:bCs/>
                <w:sz w:val="24"/>
                <w:szCs w:val="24"/>
                <w:highlight w:val="none"/>
                <w:lang w:val="zh-TW"/>
              </w:rPr>
            </w:pPr>
            <w:r>
              <w:rPr>
                <w:rFonts w:hint="eastAsia" w:ascii="仿宋" w:hAnsi="仿宋" w:eastAsia="仿宋" w:cs="仿宋"/>
                <w:bCs/>
                <w:sz w:val="24"/>
                <w:szCs w:val="24"/>
                <w:highlight w:val="none"/>
                <w:lang w:val="zh-TW"/>
              </w:rPr>
              <w:t>2、</w:t>
            </w:r>
            <w:r>
              <w:rPr>
                <w:rFonts w:hint="eastAsia" w:ascii="仿宋" w:hAnsi="仿宋" w:eastAsia="仿宋" w:cs="仿宋"/>
                <w:bCs/>
                <w:sz w:val="24"/>
                <w:szCs w:val="24"/>
                <w:highlight w:val="none"/>
                <w:lang w:val="en-US" w:eastAsia="zh-CN"/>
              </w:rPr>
              <w:t>响应时间：</w:t>
            </w:r>
            <w:r>
              <w:rPr>
                <w:rFonts w:hint="eastAsia" w:ascii="仿宋" w:hAnsi="仿宋" w:eastAsia="仿宋" w:cs="仿宋"/>
                <w:sz w:val="24"/>
                <w:szCs w:val="24"/>
                <w:highlight w:val="none"/>
              </w:rPr>
              <w:t>接到采购人通知（电话、电传等）后5小时内现场响应得1分，每减少1小时加1分，最高得4分。</w:t>
            </w:r>
          </w:p>
          <w:p w14:paraId="4411B289">
            <w:pPr>
              <w:numPr>
                <w:ilvl w:val="0"/>
                <w:numId w:val="0"/>
              </w:numPr>
              <w:spacing w:line="360" w:lineRule="auto"/>
              <w:ind w:firstLine="240" w:firstLineChars="100"/>
              <w:rPr>
                <w:rFonts w:hint="eastAsia" w:ascii="仿宋" w:hAnsi="仿宋" w:eastAsia="仿宋" w:cs="仿宋"/>
                <w:bCs/>
                <w:sz w:val="24"/>
                <w:szCs w:val="24"/>
                <w:highlight w:val="none"/>
                <w:lang w:val="zh-TW"/>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TW"/>
              </w:rPr>
              <w:t>、供应商承诺，未经采购人许可，不引用和泄漏规划编制数据给任何第三方，且编制报告等文本应按照有关保密规定报送的得</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TW"/>
              </w:rPr>
              <w:t>分。</w:t>
            </w:r>
          </w:p>
          <w:p w14:paraId="652D2BFB">
            <w:pPr>
              <w:numPr>
                <w:ilvl w:val="0"/>
                <w:numId w:val="0"/>
              </w:numPr>
              <w:spacing w:line="360" w:lineRule="auto"/>
              <w:rPr>
                <w:rFonts w:hint="eastAsia" w:ascii="仿宋" w:hAnsi="仿宋" w:eastAsia="仿宋" w:cs="仿宋"/>
                <w:b/>
                <w:bCs w:val="0"/>
                <w:sz w:val="24"/>
                <w:szCs w:val="24"/>
                <w:highlight w:val="none"/>
                <w:u w:val="single"/>
                <w:lang w:val="zh-TW" w:eastAsia="zh-CN"/>
              </w:rPr>
            </w:pPr>
            <w:r>
              <w:rPr>
                <w:rFonts w:hint="eastAsia" w:ascii="仿宋" w:hAnsi="仿宋" w:eastAsia="仿宋" w:cs="仿宋"/>
                <w:b/>
                <w:bCs w:val="0"/>
                <w:color w:val="auto"/>
                <w:sz w:val="24"/>
                <w:szCs w:val="24"/>
                <w:highlight w:val="none"/>
                <w:u w:val="single"/>
                <w:lang w:val="en-US" w:eastAsia="zh-CN"/>
              </w:rPr>
              <w:t>以上</w:t>
            </w:r>
            <w:r>
              <w:rPr>
                <w:rFonts w:hint="eastAsia" w:ascii="仿宋" w:hAnsi="仿宋" w:eastAsia="仿宋" w:cs="仿宋"/>
                <w:b/>
                <w:bCs w:val="0"/>
                <w:sz w:val="24"/>
                <w:szCs w:val="24"/>
                <w:highlight w:val="none"/>
                <w:u w:val="single"/>
                <w:lang w:val="zh-TW"/>
              </w:rPr>
              <w:t>供应商须提供承诺函并加盖公章</w:t>
            </w:r>
            <w:r>
              <w:rPr>
                <w:rFonts w:hint="eastAsia" w:ascii="仿宋" w:hAnsi="仿宋" w:eastAsia="仿宋" w:cs="仿宋"/>
                <w:b/>
                <w:bCs w:val="0"/>
                <w:sz w:val="24"/>
                <w:szCs w:val="24"/>
                <w:highlight w:val="none"/>
                <w:u w:val="single"/>
                <w:lang w:val="zh-TW" w:eastAsia="zh-CN"/>
              </w:rPr>
              <w:t>；</w:t>
            </w:r>
          </w:p>
          <w:p w14:paraId="3D6DC025">
            <w:pPr>
              <w:numPr>
                <w:ilvl w:val="0"/>
                <w:numId w:val="0"/>
              </w:numPr>
              <w:spacing w:line="360" w:lineRule="auto"/>
              <w:rPr>
                <w:rFonts w:hint="eastAsia" w:ascii="仿宋" w:hAnsi="仿宋" w:eastAsia="仿宋" w:cs="仿宋"/>
                <w:sz w:val="24"/>
                <w:szCs w:val="24"/>
                <w:highlight w:val="none"/>
                <w:lang w:eastAsia="zh-CN"/>
              </w:rPr>
            </w:pPr>
            <w:r>
              <w:rPr>
                <w:rFonts w:hint="eastAsia" w:ascii="仿宋" w:hAnsi="仿宋" w:eastAsia="仿宋" w:cs="仿宋"/>
                <w:b/>
                <w:bCs w:val="0"/>
                <w:color w:val="auto"/>
                <w:sz w:val="24"/>
                <w:szCs w:val="24"/>
                <w:highlight w:val="none"/>
                <w:u w:val="single"/>
                <w:lang w:val="en-US" w:eastAsia="zh-CN"/>
              </w:rPr>
              <w:t>服务承诺方案不提供的不得分。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C386100">
            <w:pPr>
              <w:pStyle w:val="3"/>
              <w:pageBreakBefore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0-18</w:t>
            </w:r>
            <w:r>
              <w:rPr>
                <w:rFonts w:hint="eastAsia" w:ascii="仿宋" w:hAnsi="仿宋" w:eastAsia="仿宋" w:cs="仿宋"/>
                <w:sz w:val="24"/>
                <w:szCs w:val="24"/>
                <w:highlight w:val="none"/>
              </w:rPr>
              <w:t>分</w:t>
            </w:r>
          </w:p>
        </w:tc>
      </w:tr>
      <w:tr w14:paraId="3A66D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2" w:hRule="exac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1FEDC961">
            <w:pPr>
              <w:widowControl/>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33387D34">
            <w:pPr>
              <w:widowControl/>
              <w:spacing w:line="3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企业业绩</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7A40A034">
            <w:pPr>
              <w:spacing w:line="360" w:lineRule="auto"/>
              <w:jc w:val="left"/>
              <w:rPr>
                <w:rFonts w:ascii="仿宋" w:hAnsi="仿宋" w:eastAsia="仿宋" w:cs="仿宋"/>
                <w:bCs/>
                <w:sz w:val="24"/>
                <w:highlight w:val="none"/>
                <w:lang w:val="zh-TW"/>
              </w:rPr>
            </w:pPr>
            <w:r>
              <w:rPr>
                <w:rFonts w:hint="eastAsia" w:ascii="仿宋" w:hAnsi="仿宋" w:eastAsia="仿宋" w:cs="仿宋"/>
                <w:bCs/>
                <w:sz w:val="24"/>
                <w:highlight w:val="none"/>
                <w:lang w:val="zh-TW"/>
              </w:rPr>
              <w:t>202</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val="zh-TW"/>
              </w:rPr>
              <w:t>年1月1日以来（以合同签订日期为准），</w:t>
            </w:r>
            <w:r>
              <w:rPr>
                <w:rFonts w:hint="eastAsia" w:ascii="仿宋" w:hAnsi="仿宋" w:eastAsia="仿宋" w:cs="仿宋"/>
                <w:b w:val="0"/>
                <w:bCs w:val="0"/>
                <w:sz w:val="24"/>
                <w:szCs w:val="24"/>
                <w:highlight w:val="none"/>
              </w:rPr>
              <w:t>承接过类似项目业绩</w:t>
            </w:r>
            <w:r>
              <w:rPr>
                <w:rFonts w:hint="eastAsia" w:ascii="仿宋" w:hAnsi="仿宋" w:eastAsia="仿宋" w:cs="仿宋"/>
                <w:bCs/>
                <w:sz w:val="24"/>
                <w:highlight w:val="none"/>
                <w:lang w:val="zh-TW"/>
              </w:rPr>
              <w:t>，</w:t>
            </w:r>
            <w:r>
              <w:rPr>
                <w:rFonts w:hint="eastAsia" w:ascii="仿宋" w:hAnsi="仿宋" w:eastAsia="仿宋" w:cs="仿宋"/>
                <w:bCs/>
                <w:sz w:val="24"/>
                <w:highlight w:val="none"/>
                <w:lang w:val="en-US" w:eastAsia="zh-CN"/>
              </w:rPr>
              <w:t>每提供一份得0.5</w:t>
            </w:r>
            <w:r>
              <w:rPr>
                <w:rFonts w:hint="eastAsia" w:ascii="仿宋" w:hAnsi="仿宋" w:eastAsia="仿宋" w:cs="仿宋"/>
                <w:bCs/>
                <w:sz w:val="24"/>
                <w:highlight w:val="none"/>
                <w:lang w:val="zh-TW"/>
              </w:rPr>
              <w:t>分，最多得1分；本项最高得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val="zh-TW"/>
              </w:rPr>
              <w:t>分。</w:t>
            </w:r>
          </w:p>
          <w:p w14:paraId="5571C6A7">
            <w:pPr>
              <w:spacing w:line="360" w:lineRule="auto"/>
              <w:jc w:val="left"/>
              <w:rPr>
                <w:rFonts w:hint="eastAsia" w:ascii="仿宋" w:hAnsi="仿宋" w:eastAsia="仿宋" w:cs="仿宋"/>
                <w:b/>
                <w:bCs/>
                <w:sz w:val="24"/>
                <w:szCs w:val="24"/>
                <w:highlight w:val="none"/>
                <w:u w:val="single"/>
                <w:lang w:val="en-US" w:eastAsia="zh-CN"/>
              </w:rPr>
            </w:pPr>
            <w:r>
              <w:rPr>
                <w:rFonts w:hint="eastAsia" w:ascii="仿宋" w:hAnsi="仿宋" w:eastAsia="仿宋" w:cs="仿宋"/>
                <w:b/>
                <w:sz w:val="24"/>
                <w:highlight w:val="none"/>
                <w:u w:val="single"/>
              </w:rPr>
              <w:t>注：提供合同复印件并加盖供应商公章，不提供不得分。</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6B16A5A">
            <w:pPr>
              <w:pStyle w:val="18"/>
              <w:spacing w:line="38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0-1分</w:t>
            </w:r>
          </w:p>
        </w:tc>
      </w:tr>
      <w:tr w14:paraId="7498A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3" w:hRule="exac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45CB3E9A">
            <w:pPr>
              <w:widowControl/>
              <w:spacing w:line="380" w:lineRule="exact"/>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549FCE30">
            <w:pPr>
              <w:widowControl/>
              <w:spacing w:line="440" w:lineRule="exact"/>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企业荣誉</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5A8B68B2">
            <w:pPr>
              <w:snapToGrid w:val="0"/>
              <w:spacing w:line="440" w:lineRule="exact"/>
              <w:ind w:firstLine="240" w:firstLineChars="100"/>
              <w:jc w:val="left"/>
              <w:rPr>
                <w:rFonts w:hint="eastAsia" w:ascii="仿宋" w:hAnsi="仿宋" w:eastAsia="仿宋" w:cs="仿宋"/>
                <w:snapToGrid w:val="0"/>
                <w:kern w:val="0"/>
                <w:sz w:val="24"/>
                <w:szCs w:val="24"/>
                <w:highlight w:val="none"/>
              </w:rPr>
            </w:pPr>
            <w:r>
              <w:rPr>
                <w:rFonts w:hint="eastAsia" w:ascii="仿宋" w:hAnsi="仿宋" w:eastAsia="仿宋" w:cs="仿宋"/>
                <w:sz w:val="24"/>
                <w:szCs w:val="24"/>
                <w:highlight w:val="none"/>
              </w:rPr>
              <w:t>磋商小组根据供应商提供有效的政府行政职能部门或行业主管部门或行业协会授予投标企业的荣誉证书或奖项（复印件并加盖供应商公章）进行评分：</w:t>
            </w:r>
          </w:p>
          <w:p w14:paraId="228CECFB">
            <w:pPr>
              <w:pStyle w:val="12"/>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国家级，包含国务院所属的部、委、办、局、协会授予的荣誉，每个得2分，最高得4分；</w:t>
            </w:r>
          </w:p>
          <w:p w14:paraId="0AE2CE7E">
            <w:pPr>
              <w:pStyle w:val="12"/>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省级，包含省政府所属的部、委、办、局（厅）、协会授予的荣誉，每个得1分，最高得4分；</w:t>
            </w:r>
          </w:p>
          <w:p w14:paraId="51B1DA2E">
            <w:pPr>
              <w:pStyle w:val="12"/>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市级，包含市政府所属的部、委、办、局或区、县政府、协会授予的荣誉，每个得0.5分，最高得3分。</w:t>
            </w:r>
          </w:p>
          <w:p w14:paraId="0EA1FBB2">
            <w:pPr>
              <w:pStyle w:val="12"/>
              <w:spacing w:line="440" w:lineRule="exact"/>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rPr>
              <w:t>以上分值可累计计算，本项最高得5分。</w:t>
            </w:r>
          </w:p>
          <w:p w14:paraId="600B2E76">
            <w:pPr>
              <w:pStyle w:val="58"/>
              <w:spacing w:line="440" w:lineRule="exact"/>
              <w:ind w:left="0" w:leftChars="0" w:firstLine="0" w:firstLineChars="0"/>
              <w:jc w:val="left"/>
              <w:rPr>
                <w:rFonts w:hint="eastAsia" w:ascii="仿宋" w:hAnsi="仿宋" w:eastAsia="仿宋" w:cs="仿宋"/>
                <w:b/>
                <w:spacing w:val="-11"/>
                <w:kern w:val="2"/>
                <w:sz w:val="24"/>
                <w:szCs w:val="24"/>
                <w:highlight w:val="none"/>
                <w:lang w:val="en-US" w:eastAsia="zh-CN" w:bidi="ar-SA"/>
              </w:rPr>
            </w:pPr>
            <w:r>
              <w:rPr>
                <w:rFonts w:hint="eastAsia" w:ascii="仿宋" w:hAnsi="仿宋" w:eastAsia="仿宋" w:cs="仿宋"/>
                <w:b/>
                <w:sz w:val="24"/>
                <w:szCs w:val="24"/>
                <w:highlight w:val="none"/>
                <w:u w:val="single"/>
              </w:rPr>
              <w:t>注：供应商须提供相关证书或奖项牌匾照片的清晰扫描件或复印件并加盖供应商公章，不提供的不得分。同一项目多次获奖按一次计算。</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45AC0B4">
            <w:pPr>
              <w:pStyle w:val="18"/>
              <w:spacing w:line="38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lang w:val="en-US" w:eastAsia="zh-CN"/>
              </w:rPr>
              <w:t>0-5分</w:t>
            </w:r>
          </w:p>
        </w:tc>
      </w:tr>
    </w:tbl>
    <w:p w14:paraId="492D3BCF">
      <w:pPr>
        <w:pStyle w:val="8"/>
        <w:rPr>
          <w:rFonts w:hint="eastAsia"/>
        </w:rPr>
      </w:pPr>
    </w:p>
    <w:p w14:paraId="08F61672">
      <w:pPr>
        <w:pStyle w:val="2"/>
        <w:ind w:left="0" w:leftChars="0" w:firstLine="0" w:firstLineChars="0"/>
        <w:rPr>
          <w:rFonts w:hint="eastAsia" w:ascii="仿宋" w:hAnsi="仿宋" w:eastAsia="仿宋" w:cs="仿宋"/>
          <w:b/>
          <w:bCs/>
          <w:sz w:val="24"/>
          <w:highlight w:val="none"/>
        </w:rPr>
      </w:pPr>
    </w:p>
    <w:p w14:paraId="0526F104">
      <w:pPr>
        <w:pStyle w:val="22"/>
        <w:rPr>
          <w:rFonts w:hint="eastAsia" w:ascii="仿宋" w:hAnsi="仿宋" w:eastAsia="仿宋" w:cs="仿宋"/>
          <w:b/>
          <w:bCs/>
          <w:sz w:val="24"/>
          <w:highlight w:val="none"/>
        </w:rPr>
      </w:pPr>
    </w:p>
    <w:p w14:paraId="20CF791C">
      <w:pPr>
        <w:rPr>
          <w:rFonts w:hint="eastAsia"/>
        </w:rPr>
      </w:pPr>
    </w:p>
    <w:p w14:paraId="3DDDF92D">
      <w:pPr>
        <w:spacing w:line="540" w:lineRule="exact"/>
        <w:ind w:right="420" w:rightChars="200"/>
        <w:rPr>
          <w:rFonts w:ascii="仿宋" w:hAnsi="仿宋" w:eastAsia="仿宋" w:cs="仿宋"/>
          <w:highlight w:val="none"/>
        </w:rPr>
      </w:pPr>
    </w:p>
    <w:p w14:paraId="133A1E6C">
      <w:pPr>
        <w:pStyle w:val="22"/>
        <w:rPr>
          <w:rFonts w:ascii="仿宋" w:hAnsi="仿宋" w:eastAsia="仿宋" w:cs="仿宋"/>
        </w:rPr>
      </w:pPr>
    </w:p>
    <w:p w14:paraId="7C231B69">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6"/>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6"/>
      <w:jc w:val="center"/>
      <w:rPr>
        <w:rFonts w:ascii="仿宋" w:hAnsi="仿宋" w:eastAsia="仿宋" w:cs="仿宋"/>
        <w:sz w:val="21"/>
        <w:szCs w:val="21"/>
      </w:rPr>
    </w:pPr>
  </w:p>
  <w:p w14:paraId="3810829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6"/>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6"/>
                            <w:rPr>
                              <w:rStyle w:val="27"/>
                            </w:rPr>
                          </w:pPr>
                          <w:r>
                            <w:fldChar w:fldCharType="begin"/>
                          </w:r>
                          <w:r>
                            <w:rPr>
                              <w:rStyle w:val="27"/>
                            </w:rPr>
                            <w:instrText xml:space="preserve">PAGE  </w:instrText>
                          </w:r>
                          <w:r>
                            <w:fldChar w:fldCharType="separate"/>
                          </w:r>
                          <w:r>
                            <w:rPr>
                              <w:rStyle w:val="27"/>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6"/>
                      <w:rPr>
                        <w:rStyle w:val="27"/>
                      </w:rPr>
                    </w:pPr>
                    <w:r>
                      <w:fldChar w:fldCharType="begin"/>
                    </w:r>
                    <w:r>
                      <w:rPr>
                        <w:rStyle w:val="27"/>
                      </w:rPr>
                      <w:instrText xml:space="preserve">PAGE  </w:instrText>
                    </w:r>
                    <w:r>
                      <w:fldChar w:fldCharType="separate"/>
                    </w:r>
                    <w:r>
                      <w:rPr>
                        <w:rStyle w:val="27"/>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7"/>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D55190"/>
    <w:multiLevelType w:val="singleLevel"/>
    <w:tmpl w:val="79D55190"/>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292BAB"/>
    <w:rsid w:val="00535E7A"/>
    <w:rsid w:val="00571EEA"/>
    <w:rsid w:val="008375F1"/>
    <w:rsid w:val="00847DE1"/>
    <w:rsid w:val="00880919"/>
    <w:rsid w:val="008878D1"/>
    <w:rsid w:val="008D418C"/>
    <w:rsid w:val="00901BDB"/>
    <w:rsid w:val="0098388D"/>
    <w:rsid w:val="00A13691"/>
    <w:rsid w:val="00A965E0"/>
    <w:rsid w:val="00B20E0B"/>
    <w:rsid w:val="00C91C98"/>
    <w:rsid w:val="00CB1EB4"/>
    <w:rsid w:val="00D348C5"/>
    <w:rsid w:val="00E13291"/>
    <w:rsid w:val="00E474A5"/>
    <w:rsid w:val="00E60057"/>
    <w:rsid w:val="00F470EA"/>
    <w:rsid w:val="013C1BC3"/>
    <w:rsid w:val="014337F8"/>
    <w:rsid w:val="01714809"/>
    <w:rsid w:val="019B1886"/>
    <w:rsid w:val="01C4065D"/>
    <w:rsid w:val="02094A42"/>
    <w:rsid w:val="02182ED7"/>
    <w:rsid w:val="02223D56"/>
    <w:rsid w:val="022B0E5C"/>
    <w:rsid w:val="02493090"/>
    <w:rsid w:val="025D08EA"/>
    <w:rsid w:val="02973924"/>
    <w:rsid w:val="02A1245A"/>
    <w:rsid w:val="02A92B78"/>
    <w:rsid w:val="02D8723E"/>
    <w:rsid w:val="02DD1A2B"/>
    <w:rsid w:val="02F93752"/>
    <w:rsid w:val="02FE3E7B"/>
    <w:rsid w:val="031B4DCD"/>
    <w:rsid w:val="03280EF8"/>
    <w:rsid w:val="032F672A"/>
    <w:rsid w:val="038D6936"/>
    <w:rsid w:val="03B40A04"/>
    <w:rsid w:val="03B456A1"/>
    <w:rsid w:val="04243DB5"/>
    <w:rsid w:val="042B2A2D"/>
    <w:rsid w:val="044C6E68"/>
    <w:rsid w:val="04730898"/>
    <w:rsid w:val="048407C6"/>
    <w:rsid w:val="0490363D"/>
    <w:rsid w:val="04A70542"/>
    <w:rsid w:val="04F82B4C"/>
    <w:rsid w:val="052D1615"/>
    <w:rsid w:val="053718C6"/>
    <w:rsid w:val="05465FAD"/>
    <w:rsid w:val="05A4454E"/>
    <w:rsid w:val="05A50F26"/>
    <w:rsid w:val="05AD3936"/>
    <w:rsid w:val="05B72FC8"/>
    <w:rsid w:val="05CA098C"/>
    <w:rsid w:val="060A6E17"/>
    <w:rsid w:val="06135E8F"/>
    <w:rsid w:val="063E0A32"/>
    <w:rsid w:val="06640499"/>
    <w:rsid w:val="06641602"/>
    <w:rsid w:val="06654211"/>
    <w:rsid w:val="06820426"/>
    <w:rsid w:val="06BB3CE5"/>
    <w:rsid w:val="06D51397"/>
    <w:rsid w:val="06E670D4"/>
    <w:rsid w:val="070B26EF"/>
    <w:rsid w:val="072478F4"/>
    <w:rsid w:val="07277E4A"/>
    <w:rsid w:val="0771579B"/>
    <w:rsid w:val="07775401"/>
    <w:rsid w:val="07DF55C6"/>
    <w:rsid w:val="08031AC5"/>
    <w:rsid w:val="082D0FEC"/>
    <w:rsid w:val="082D7FAC"/>
    <w:rsid w:val="08633A9A"/>
    <w:rsid w:val="086C7628"/>
    <w:rsid w:val="087B5F6E"/>
    <w:rsid w:val="08803584"/>
    <w:rsid w:val="088F5575"/>
    <w:rsid w:val="08964B56"/>
    <w:rsid w:val="08C43471"/>
    <w:rsid w:val="08C63771"/>
    <w:rsid w:val="08D00067"/>
    <w:rsid w:val="08D631A4"/>
    <w:rsid w:val="08E51639"/>
    <w:rsid w:val="08EB6C4F"/>
    <w:rsid w:val="08F16ED1"/>
    <w:rsid w:val="08FA55C2"/>
    <w:rsid w:val="0904563C"/>
    <w:rsid w:val="093F3F82"/>
    <w:rsid w:val="09420839"/>
    <w:rsid w:val="096B5FE2"/>
    <w:rsid w:val="09900F7D"/>
    <w:rsid w:val="09AF5ECF"/>
    <w:rsid w:val="09CA0F5B"/>
    <w:rsid w:val="0A386E8E"/>
    <w:rsid w:val="0A7809B7"/>
    <w:rsid w:val="0A7C22D5"/>
    <w:rsid w:val="0A7D6C81"/>
    <w:rsid w:val="0A8A693C"/>
    <w:rsid w:val="0A9915BA"/>
    <w:rsid w:val="0AA03A6A"/>
    <w:rsid w:val="0AB06A35"/>
    <w:rsid w:val="0ACB306F"/>
    <w:rsid w:val="0AD376B8"/>
    <w:rsid w:val="0AEC4F01"/>
    <w:rsid w:val="0B016BFE"/>
    <w:rsid w:val="0B0E7607"/>
    <w:rsid w:val="0B1008C8"/>
    <w:rsid w:val="0B21104E"/>
    <w:rsid w:val="0B4F7C07"/>
    <w:rsid w:val="0B64718D"/>
    <w:rsid w:val="0B6E767D"/>
    <w:rsid w:val="0B77573F"/>
    <w:rsid w:val="0B8D3891"/>
    <w:rsid w:val="0B9C269D"/>
    <w:rsid w:val="0BCB720C"/>
    <w:rsid w:val="0BD01866"/>
    <w:rsid w:val="0BEB24AE"/>
    <w:rsid w:val="0BF91214"/>
    <w:rsid w:val="0C0127B5"/>
    <w:rsid w:val="0C07111F"/>
    <w:rsid w:val="0C230DF6"/>
    <w:rsid w:val="0C2A5CE1"/>
    <w:rsid w:val="0C2C180D"/>
    <w:rsid w:val="0C2F46F9"/>
    <w:rsid w:val="0C321039"/>
    <w:rsid w:val="0C3969CD"/>
    <w:rsid w:val="0C526FE5"/>
    <w:rsid w:val="0C727688"/>
    <w:rsid w:val="0C782EF0"/>
    <w:rsid w:val="0CCD4A25"/>
    <w:rsid w:val="0CE71E24"/>
    <w:rsid w:val="0CF62067"/>
    <w:rsid w:val="0CF87B8D"/>
    <w:rsid w:val="0CFC185B"/>
    <w:rsid w:val="0D0C152E"/>
    <w:rsid w:val="0D166265"/>
    <w:rsid w:val="0D2C7DDD"/>
    <w:rsid w:val="0D3B2BC7"/>
    <w:rsid w:val="0D4234FE"/>
    <w:rsid w:val="0D690623"/>
    <w:rsid w:val="0D6D057B"/>
    <w:rsid w:val="0DA341AF"/>
    <w:rsid w:val="0DB717F6"/>
    <w:rsid w:val="0DD86730"/>
    <w:rsid w:val="0DF3026D"/>
    <w:rsid w:val="0E0802A4"/>
    <w:rsid w:val="0E0C604A"/>
    <w:rsid w:val="0E137E11"/>
    <w:rsid w:val="0E4512A2"/>
    <w:rsid w:val="0E503ABF"/>
    <w:rsid w:val="0E5728E3"/>
    <w:rsid w:val="0E61268F"/>
    <w:rsid w:val="0E653000"/>
    <w:rsid w:val="0E745939"/>
    <w:rsid w:val="0E7E75D8"/>
    <w:rsid w:val="0EAA3109"/>
    <w:rsid w:val="0EC824E7"/>
    <w:rsid w:val="0ED168E7"/>
    <w:rsid w:val="0ED62150"/>
    <w:rsid w:val="0F0C072C"/>
    <w:rsid w:val="0F1648C1"/>
    <w:rsid w:val="0F17340C"/>
    <w:rsid w:val="0F205179"/>
    <w:rsid w:val="0F5A4B2F"/>
    <w:rsid w:val="0F6C6610"/>
    <w:rsid w:val="0FA638D0"/>
    <w:rsid w:val="0FAE6C29"/>
    <w:rsid w:val="0FB94391"/>
    <w:rsid w:val="0FEC095C"/>
    <w:rsid w:val="0FF56606"/>
    <w:rsid w:val="10130D68"/>
    <w:rsid w:val="10170F15"/>
    <w:rsid w:val="104135F9"/>
    <w:rsid w:val="10883F53"/>
    <w:rsid w:val="109140D0"/>
    <w:rsid w:val="109B53FF"/>
    <w:rsid w:val="10F5757C"/>
    <w:rsid w:val="10F66AD9"/>
    <w:rsid w:val="10F90377"/>
    <w:rsid w:val="111749F9"/>
    <w:rsid w:val="112F3D99"/>
    <w:rsid w:val="11357601"/>
    <w:rsid w:val="11617E2F"/>
    <w:rsid w:val="11AC7198"/>
    <w:rsid w:val="11C52008"/>
    <w:rsid w:val="11CE5360"/>
    <w:rsid w:val="11FC3C7B"/>
    <w:rsid w:val="122625C9"/>
    <w:rsid w:val="12A10CC2"/>
    <w:rsid w:val="12A72D69"/>
    <w:rsid w:val="12B10F0A"/>
    <w:rsid w:val="12CD0AA7"/>
    <w:rsid w:val="12E4798B"/>
    <w:rsid w:val="12E75043"/>
    <w:rsid w:val="12F26E2C"/>
    <w:rsid w:val="1328579D"/>
    <w:rsid w:val="133228BF"/>
    <w:rsid w:val="1335758E"/>
    <w:rsid w:val="135447AC"/>
    <w:rsid w:val="138403CC"/>
    <w:rsid w:val="138C102F"/>
    <w:rsid w:val="14096B23"/>
    <w:rsid w:val="141352AC"/>
    <w:rsid w:val="14135A37"/>
    <w:rsid w:val="141F586E"/>
    <w:rsid w:val="14282CBE"/>
    <w:rsid w:val="1430271A"/>
    <w:rsid w:val="143D67CD"/>
    <w:rsid w:val="14535FF1"/>
    <w:rsid w:val="146E6986"/>
    <w:rsid w:val="14C638D4"/>
    <w:rsid w:val="14DC5FE6"/>
    <w:rsid w:val="15063063"/>
    <w:rsid w:val="15593193"/>
    <w:rsid w:val="156D73A9"/>
    <w:rsid w:val="15887DFB"/>
    <w:rsid w:val="15D66ED9"/>
    <w:rsid w:val="15ED5270"/>
    <w:rsid w:val="16157A01"/>
    <w:rsid w:val="16443A9D"/>
    <w:rsid w:val="16740EF4"/>
    <w:rsid w:val="167C538B"/>
    <w:rsid w:val="16980228"/>
    <w:rsid w:val="16BF032A"/>
    <w:rsid w:val="16C86822"/>
    <w:rsid w:val="17163A31"/>
    <w:rsid w:val="172A1E64"/>
    <w:rsid w:val="1740285C"/>
    <w:rsid w:val="176A0194"/>
    <w:rsid w:val="17797B1C"/>
    <w:rsid w:val="17BD48F2"/>
    <w:rsid w:val="17D15A19"/>
    <w:rsid w:val="17EB2569"/>
    <w:rsid w:val="17F673BF"/>
    <w:rsid w:val="18041ADC"/>
    <w:rsid w:val="18293209"/>
    <w:rsid w:val="18357EE7"/>
    <w:rsid w:val="185D743E"/>
    <w:rsid w:val="187C3D68"/>
    <w:rsid w:val="18801768"/>
    <w:rsid w:val="18B772D5"/>
    <w:rsid w:val="18FA468A"/>
    <w:rsid w:val="1916338F"/>
    <w:rsid w:val="191F64A1"/>
    <w:rsid w:val="1921046B"/>
    <w:rsid w:val="19317DF2"/>
    <w:rsid w:val="194B373A"/>
    <w:rsid w:val="19514BD9"/>
    <w:rsid w:val="19600F94"/>
    <w:rsid w:val="196B7938"/>
    <w:rsid w:val="197426D9"/>
    <w:rsid w:val="1990646A"/>
    <w:rsid w:val="19E33973"/>
    <w:rsid w:val="19E35BF1"/>
    <w:rsid w:val="1A1F4C93"/>
    <w:rsid w:val="1A4E5F65"/>
    <w:rsid w:val="1A5D1525"/>
    <w:rsid w:val="1A8707A2"/>
    <w:rsid w:val="1AA4685E"/>
    <w:rsid w:val="1AAE3F81"/>
    <w:rsid w:val="1AB83F78"/>
    <w:rsid w:val="1AE148A9"/>
    <w:rsid w:val="1B293607"/>
    <w:rsid w:val="1B34092A"/>
    <w:rsid w:val="1B4F4DFB"/>
    <w:rsid w:val="1B506DE6"/>
    <w:rsid w:val="1B8B3E21"/>
    <w:rsid w:val="1BBE5191"/>
    <w:rsid w:val="1BC17CE4"/>
    <w:rsid w:val="1BCC16E4"/>
    <w:rsid w:val="1BE877C1"/>
    <w:rsid w:val="1BE87B64"/>
    <w:rsid w:val="1BF73705"/>
    <w:rsid w:val="1C1053E1"/>
    <w:rsid w:val="1C1A0C21"/>
    <w:rsid w:val="1C1E6EE4"/>
    <w:rsid w:val="1C2A5889"/>
    <w:rsid w:val="1C5B3C94"/>
    <w:rsid w:val="1CC7757C"/>
    <w:rsid w:val="1CCE7A03"/>
    <w:rsid w:val="1CFA11B9"/>
    <w:rsid w:val="1D2547F1"/>
    <w:rsid w:val="1D556936"/>
    <w:rsid w:val="1D5E649D"/>
    <w:rsid w:val="1DB71936"/>
    <w:rsid w:val="1DDA1A07"/>
    <w:rsid w:val="1DFB7C65"/>
    <w:rsid w:val="1E035D66"/>
    <w:rsid w:val="1E4F7829"/>
    <w:rsid w:val="1E5170FD"/>
    <w:rsid w:val="1E652BA8"/>
    <w:rsid w:val="1E7D2CEF"/>
    <w:rsid w:val="1E9608A4"/>
    <w:rsid w:val="1ECA4992"/>
    <w:rsid w:val="1ED61CF8"/>
    <w:rsid w:val="1EDB6AA2"/>
    <w:rsid w:val="1EF6339E"/>
    <w:rsid w:val="1EFB01D2"/>
    <w:rsid w:val="1F2418C4"/>
    <w:rsid w:val="1F316F2E"/>
    <w:rsid w:val="1F4849A4"/>
    <w:rsid w:val="1F505D79"/>
    <w:rsid w:val="1F5350F7"/>
    <w:rsid w:val="1F645556"/>
    <w:rsid w:val="1F6A6F23"/>
    <w:rsid w:val="1F6D7F66"/>
    <w:rsid w:val="1F971487"/>
    <w:rsid w:val="1FF71F26"/>
    <w:rsid w:val="202251F5"/>
    <w:rsid w:val="202D3B9A"/>
    <w:rsid w:val="204F1D62"/>
    <w:rsid w:val="206261AF"/>
    <w:rsid w:val="20922CB7"/>
    <w:rsid w:val="20A53B59"/>
    <w:rsid w:val="20AE4CDA"/>
    <w:rsid w:val="20B61DE1"/>
    <w:rsid w:val="20D606B0"/>
    <w:rsid w:val="20DF4E94"/>
    <w:rsid w:val="20EB1A8B"/>
    <w:rsid w:val="20FA7F20"/>
    <w:rsid w:val="212B00D9"/>
    <w:rsid w:val="21423675"/>
    <w:rsid w:val="2144119B"/>
    <w:rsid w:val="21470C8B"/>
    <w:rsid w:val="21B46321"/>
    <w:rsid w:val="21B77A73"/>
    <w:rsid w:val="22482F0D"/>
    <w:rsid w:val="224945BD"/>
    <w:rsid w:val="224A2BFB"/>
    <w:rsid w:val="225B2C40"/>
    <w:rsid w:val="2281728D"/>
    <w:rsid w:val="228A2AFC"/>
    <w:rsid w:val="22EC1AEA"/>
    <w:rsid w:val="23056708"/>
    <w:rsid w:val="232D20FA"/>
    <w:rsid w:val="232F19D7"/>
    <w:rsid w:val="23314190"/>
    <w:rsid w:val="23623B5A"/>
    <w:rsid w:val="237F7C33"/>
    <w:rsid w:val="23881862"/>
    <w:rsid w:val="238D507B"/>
    <w:rsid w:val="23983773"/>
    <w:rsid w:val="23A10B26"/>
    <w:rsid w:val="23D1105D"/>
    <w:rsid w:val="23D762F6"/>
    <w:rsid w:val="23DC2FC8"/>
    <w:rsid w:val="241237D2"/>
    <w:rsid w:val="24594F5D"/>
    <w:rsid w:val="24935653"/>
    <w:rsid w:val="24A21A72"/>
    <w:rsid w:val="24E87D94"/>
    <w:rsid w:val="2507579C"/>
    <w:rsid w:val="25302054"/>
    <w:rsid w:val="25414148"/>
    <w:rsid w:val="25421E95"/>
    <w:rsid w:val="25950217"/>
    <w:rsid w:val="25A42208"/>
    <w:rsid w:val="25D7082F"/>
    <w:rsid w:val="25D725DE"/>
    <w:rsid w:val="25F5515A"/>
    <w:rsid w:val="25FD3FBA"/>
    <w:rsid w:val="261A4BC0"/>
    <w:rsid w:val="26347D83"/>
    <w:rsid w:val="264F4255"/>
    <w:rsid w:val="268D73AC"/>
    <w:rsid w:val="270333F6"/>
    <w:rsid w:val="272F01F7"/>
    <w:rsid w:val="27786FE8"/>
    <w:rsid w:val="279C6222"/>
    <w:rsid w:val="27A25997"/>
    <w:rsid w:val="27F80A5E"/>
    <w:rsid w:val="27F84A8D"/>
    <w:rsid w:val="28042ABA"/>
    <w:rsid w:val="280F58EA"/>
    <w:rsid w:val="2814527D"/>
    <w:rsid w:val="281C0B28"/>
    <w:rsid w:val="2830745C"/>
    <w:rsid w:val="28365677"/>
    <w:rsid w:val="284B72B3"/>
    <w:rsid w:val="28924EE2"/>
    <w:rsid w:val="289831A1"/>
    <w:rsid w:val="28A16ED3"/>
    <w:rsid w:val="28DE3252"/>
    <w:rsid w:val="28F17B25"/>
    <w:rsid w:val="291034CC"/>
    <w:rsid w:val="29112458"/>
    <w:rsid w:val="293D309F"/>
    <w:rsid w:val="295E4DC4"/>
    <w:rsid w:val="29736AC1"/>
    <w:rsid w:val="29932CBF"/>
    <w:rsid w:val="299F1664"/>
    <w:rsid w:val="29B8498C"/>
    <w:rsid w:val="29E74DB9"/>
    <w:rsid w:val="29EB5D54"/>
    <w:rsid w:val="29ED27BF"/>
    <w:rsid w:val="29F80E81"/>
    <w:rsid w:val="2A2102CB"/>
    <w:rsid w:val="2A2878AC"/>
    <w:rsid w:val="2A384496"/>
    <w:rsid w:val="2A492A2D"/>
    <w:rsid w:val="2A545010"/>
    <w:rsid w:val="2A6E159A"/>
    <w:rsid w:val="2A787807"/>
    <w:rsid w:val="2A97233B"/>
    <w:rsid w:val="2AC07052"/>
    <w:rsid w:val="2AD43590"/>
    <w:rsid w:val="2AE9491C"/>
    <w:rsid w:val="2AFA6849"/>
    <w:rsid w:val="2AFB7590"/>
    <w:rsid w:val="2AFC79E9"/>
    <w:rsid w:val="2B0214BD"/>
    <w:rsid w:val="2B0F281A"/>
    <w:rsid w:val="2B190124"/>
    <w:rsid w:val="2B477065"/>
    <w:rsid w:val="2B620B9B"/>
    <w:rsid w:val="2B717030"/>
    <w:rsid w:val="2BB11284"/>
    <w:rsid w:val="2BD535DF"/>
    <w:rsid w:val="2BD8709E"/>
    <w:rsid w:val="2BDF043E"/>
    <w:rsid w:val="2BEC28A4"/>
    <w:rsid w:val="2C365B84"/>
    <w:rsid w:val="2C3F2F17"/>
    <w:rsid w:val="2CA156F3"/>
    <w:rsid w:val="2CA6101E"/>
    <w:rsid w:val="2CAA6070"/>
    <w:rsid w:val="2CBB6D5D"/>
    <w:rsid w:val="2CC444C4"/>
    <w:rsid w:val="2CDC2C61"/>
    <w:rsid w:val="2CEA52EC"/>
    <w:rsid w:val="2D126E0D"/>
    <w:rsid w:val="2D2C2DED"/>
    <w:rsid w:val="2DA84860"/>
    <w:rsid w:val="2DC57458"/>
    <w:rsid w:val="2DCE37E0"/>
    <w:rsid w:val="2DEA76C0"/>
    <w:rsid w:val="2DEE4968"/>
    <w:rsid w:val="2E1819E5"/>
    <w:rsid w:val="2E2020E1"/>
    <w:rsid w:val="2E7035CF"/>
    <w:rsid w:val="2E8A2E93"/>
    <w:rsid w:val="2E8B0409"/>
    <w:rsid w:val="2EAB2B9C"/>
    <w:rsid w:val="2EE10029"/>
    <w:rsid w:val="2EE87A66"/>
    <w:rsid w:val="2EEB414F"/>
    <w:rsid w:val="2EF02C89"/>
    <w:rsid w:val="2EF8624D"/>
    <w:rsid w:val="2EFB6551"/>
    <w:rsid w:val="2F4A2072"/>
    <w:rsid w:val="2F4E41C3"/>
    <w:rsid w:val="2F6A7BFA"/>
    <w:rsid w:val="2F6F5944"/>
    <w:rsid w:val="2F9E6908"/>
    <w:rsid w:val="2FA8323D"/>
    <w:rsid w:val="2FD13C65"/>
    <w:rsid w:val="2FE14059"/>
    <w:rsid w:val="2FE456D1"/>
    <w:rsid w:val="300D3D16"/>
    <w:rsid w:val="30155FAA"/>
    <w:rsid w:val="304271ED"/>
    <w:rsid w:val="30497D75"/>
    <w:rsid w:val="304F650E"/>
    <w:rsid w:val="307373A7"/>
    <w:rsid w:val="308253DB"/>
    <w:rsid w:val="3095731D"/>
    <w:rsid w:val="309865EE"/>
    <w:rsid w:val="309D2676"/>
    <w:rsid w:val="30C23E8A"/>
    <w:rsid w:val="30D37E45"/>
    <w:rsid w:val="311E37B6"/>
    <w:rsid w:val="31300690"/>
    <w:rsid w:val="31482F68"/>
    <w:rsid w:val="31552F9F"/>
    <w:rsid w:val="318555E4"/>
    <w:rsid w:val="31C335E3"/>
    <w:rsid w:val="31CC6AA5"/>
    <w:rsid w:val="31D10829"/>
    <w:rsid w:val="320063EB"/>
    <w:rsid w:val="322A1CE7"/>
    <w:rsid w:val="323963CE"/>
    <w:rsid w:val="32764F2C"/>
    <w:rsid w:val="32A004DC"/>
    <w:rsid w:val="33013677"/>
    <w:rsid w:val="331035D3"/>
    <w:rsid w:val="332A4581"/>
    <w:rsid w:val="332E52E9"/>
    <w:rsid w:val="333B3FD9"/>
    <w:rsid w:val="33466BF6"/>
    <w:rsid w:val="336B6A5B"/>
    <w:rsid w:val="33C0176F"/>
    <w:rsid w:val="33C55E5D"/>
    <w:rsid w:val="33D75E9F"/>
    <w:rsid w:val="340547AC"/>
    <w:rsid w:val="3442156A"/>
    <w:rsid w:val="344C23E9"/>
    <w:rsid w:val="345614B9"/>
    <w:rsid w:val="346911EC"/>
    <w:rsid w:val="34750972"/>
    <w:rsid w:val="349C731B"/>
    <w:rsid w:val="34A86D7C"/>
    <w:rsid w:val="34AB35B3"/>
    <w:rsid w:val="34B85698"/>
    <w:rsid w:val="34D50630"/>
    <w:rsid w:val="34F15104"/>
    <w:rsid w:val="34FD1935"/>
    <w:rsid w:val="352E2230"/>
    <w:rsid w:val="3591125C"/>
    <w:rsid w:val="360867E3"/>
    <w:rsid w:val="36763ED2"/>
    <w:rsid w:val="36A2696C"/>
    <w:rsid w:val="36A83953"/>
    <w:rsid w:val="36CE3589"/>
    <w:rsid w:val="36D35A1E"/>
    <w:rsid w:val="36E7464B"/>
    <w:rsid w:val="36EE5669"/>
    <w:rsid w:val="37441298"/>
    <w:rsid w:val="375F0685"/>
    <w:rsid w:val="37725351"/>
    <w:rsid w:val="377810D4"/>
    <w:rsid w:val="379848D3"/>
    <w:rsid w:val="379C71E3"/>
    <w:rsid w:val="381A2417"/>
    <w:rsid w:val="387664FA"/>
    <w:rsid w:val="38767A34"/>
    <w:rsid w:val="38A320EF"/>
    <w:rsid w:val="38A90B3C"/>
    <w:rsid w:val="38CD4B92"/>
    <w:rsid w:val="38EE1CC0"/>
    <w:rsid w:val="391D336C"/>
    <w:rsid w:val="39253208"/>
    <w:rsid w:val="39476DB6"/>
    <w:rsid w:val="396E2E01"/>
    <w:rsid w:val="39AA6F7C"/>
    <w:rsid w:val="39AB5E03"/>
    <w:rsid w:val="39AF5EFA"/>
    <w:rsid w:val="39B036C9"/>
    <w:rsid w:val="39E3559D"/>
    <w:rsid w:val="39F64DC7"/>
    <w:rsid w:val="39F75B70"/>
    <w:rsid w:val="3A0B34EA"/>
    <w:rsid w:val="3A212C7F"/>
    <w:rsid w:val="3A2C2B3E"/>
    <w:rsid w:val="3A331955"/>
    <w:rsid w:val="3A3A3B2A"/>
    <w:rsid w:val="3A472E37"/>
    <w:rsid w:val="3A473F82"/>
    <w:rsid w:val="3A4C711F"/>
    <w:rsid w:val="3A59463F"/>
    <w:rsid w:val="3ADB4E16"/>
    <w:rsid w:val="3ADE3FB6"/>
    <w:rsid w:val="3AE15D7F"/>
    <w:rsid w:val="3AF9494C"/>
    <w:rsid w:val="3B02049A"/>
    <w:rsid w:val="3B0404F3"/>
    <w:rsid w:val="3B223EA3"/>
    <w:rsid w:val="3B3910A0"/>
    <w:rsid w:val="3B45726A"/>
    <w:rsid w:val="3B5D4EDB"/>
    <w:rsid w:val="3B646736"/>
    <w:rsid w:val="3B702E61"/>
    <w:rsid w:val="3BB6283D"/>
    <w:rsid w:val="3BB76668"/>
    <w:rsid w:val="3BC1540C"/>
    <w:rsid w:val="3BCB44F6"/>
    <w:rsid w:val="3BFA5493"/>
    <w:rsid w:val="3BFF41E4"/>
    <w:rsid w:val="3C0A7E90"/>
    <w:rsid w:val="3C3209F8"/>
    <w:rsid w:val="3CE82ECA"/>
    <w:rsid w:val="3CF11A46"/>
    <w:rsid w:val="3CFC0724"/>
    <w:rsid w:val="3D031AB2"/>
    <w:rsid w:val="3D053ED7"/>
    <w:rsid w:val="3D290773"/>
    <w:rsid w:val="3D5D60A8"/>
    <w:rsid w:val="3D6D2906"/>
    <w:rsid w:val="3D7D3613"/>
    <w:rsid w:val="3D87623F"/>
    <w:rsid w:val="3D89645B"/>
    <w:rsid w:val="3DA45043"/>
    <w:rsid w:val="3DC201B3"/>
    <w:rsid w:val="3DC924E9"/>
    <w:rsid w:val="3DD57961"/>
    <w:rsid w:val="3DFE4168"/>
    <w:rsid w:val="3E5B462E"/>
    <w:rsid w:val="3E5E1696"/>
    <w:rsid w:val="3E8310FD"/>
    <w:rsid w:val="3EB05C6A"/>
    <w:rsid w:val="3EC3599D"/>
    <w:rsid w:val="3EC62D97"/>
    <w:rsid w:val="3EF773F5"/>
    <w:rsid w:val="3F081602"/>
    <w:rsid w:val="3F42139D"/>
    <w:rsid w:val="3F5600D8"/>
    <w:rsid w:val="3F5901B6"/>
    <w:rsid w:val="3F676329"/>
    <w:rsid w:val="3F8A0269"/>
    <w:rsid w:val="3F980BD8"/>
    <w:rsid w:val="3FAB5528"/>
    <w:rsid w:val="3FD37E62"/>
    <w:rsid w:val="40283D80"/>
    <w:rsid w:val="403825E8"/>
    <w:rsid w:val="404448BC"/>
    <w:rsid w:val="40724826"/>
    <w:rsid w:val="40866F91"/>
    <w:rsid w:val="40B25CC9"/>
    <w:rsid w:val="40DA6FCE"/>
    <w:rsid w:val="40EB2F89"/>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2192802"/>
    <w:rsid w:val="423C5C2A"/>
    <w:rsid w:val="4243251F"/>
    <w:rsid w:val="424D3EFC"/>
    <w:rsid w:val="42C8103A"/>
    <w:rsid w:val="42D068DB"/>
    <w:rsid w:val="42D9110E"/>
    <w:rsid w:val="431959A7"/>
    <w:rsid w:val="431C3AFC"/>
    <w:rsid w:val="432B62F8"/>
    <w:rsid w:val="434846C3"/>
    <w:rsid w:val="435E5276"/>
    <w:rsid w:val="438A50CB"/>
    <w:rsid w:val="438D0328"/>
    <w:rsid w:val="43972F54"/>
    <w:rsid w:val="43B908FD"/>
    <w:rsid w:val="43BE32CC"/>
    <w:rsid w:val="43C01C71"/>
    <w:rsid w:val="43D321DE"/>
    <w:rsid w:val="43D9356D"/>
    <w:rsid w:val="441F23A8"/>
    <w:rsid w:val="4422728B"/>
    <w:rsid w:val="44383774"/>
    <w:rsid w:val="4447497A"/>
    <w:rsid w:val="445C6678"/>
    <w:rsid w:val="448E4357"/>
    <w:rsid w:val="44953938"/>
    <w:rsid w:val="44BA60A8"/>
    <w:rsid w:val="44D07F90"/>
    <w:rsid w:val="44E03886"/>
    <w:rsid w:val="44E26451"/>
    <w:rsid w:val="450A60D4"/>
    <w:rsid w:val="454B049A"/>
    <w:rsid w:val="455A06DD"/>
    <w:rsid w:val="45605CF4"/>
    <w:rsid w:val="45886FF9"/>
    <w:rsid w:val="45DC5C7F"/>
    <w:rsid w:val="45E306D3"/>
    <w:rsid w:val="45F16C50"/>
    <w:rsid w:val="462417D4"/>
    <w:rsid w:val="462C4F57"/>
    <w:rsid w:val="46472A10"/>
    <w:rsid w:val="464B3AF8"/>
    <w:rsid w:val="464F25F8"/>
    <w:rsid w:val="46577A99"/>
    <w:rsid w:val="466E2692"/>
    <w:rsid w:val="468A0B4E"/>
    <w:rsid w:val="4691012F"/>
    <w:rsid w:val="46A2233C"/>
    <w:rsid w:val="46A42044"/>
    <w:rsid w:val="46A70758"/>
    <w:rsid w:val="46C44412"/>
    <w:rsid w:val="46E44B13"/>
    <w:rsid w:val="470628CB"/>
    <w:rsid w:val="470775A3"/>
    <w:rsid w:val="472E597E"/>
    <w:rsid w:val="47507FEA"/>
    <w:rsid w:val="476E221E"/>
    <w:rsid w:val="47F7241B"/>
    <w:rsid w:val="47FC782A"/>
    <w:rsid w:val="480C5D35"/>
    <w:rsid w:val="481D7ECC"/>
    <w:rsid w:val="481F6B0D"/>
    <w:rsid w:val="483376F0"/>
    <w:rsid w:val="483D1C62"/>
    <w:rsid w:val="486B1FD7"/>
    <w:rsid w:val="48A24875"/>
    <w:rsid w:val="48A51F76"/>
    <w:rsid w:val="48C26B67"/>
    <w:rsid w:val="48C81ADB"/>
    <w:rsid w:val="48DC1F20"/>
    <w:rsid w:val="48FD1ECC"/>
    <w:rsid w:val="49301E81"/>
    <w:rsid w:val="49661035"/>
    <w:rsid w:val="499A3736"/>
    <w:rsid w:val="49BC54C3"/>
    <w:rsid w:val="49CD3525"/>
    <w:rsid w:val="49DA3B9B"/>
    <w:rsid w:val="49DC5B65"/>
    <w:rsid w:val="49DF11B1"/>
    <w:rsid w:val="4A183041"/>
    <w:rsid w:val="4A1C197E"/>
    <w:rsid w:val="4A392F80"/>
    <w:rsid w:val="4A4C71A1"/>
    <w:rsid w:val="4A550FBD"/>
    <w:rsid w:val="4A8065F0"/>
    <w:rsid w:val="4A985F30"/>
    <w:rsid w:val="4A9A7C03"/>
    <w:rsid w:val="4AA778D1"/>
    <w:rsid w:val="4AA82F6B"/>
    <w:rsid w:val="4B13436B"/>
    <w:rsid w:val="4B1A6945"/>
    <w:rsid w:val="4B1D60B4"/>
    <w:rsid w:val="4B313C8F"/>
    <w:rsid w:val="4B3F0159"/>
    <w:rsid w:val="4B692A55"/>
    <w:rsid w:val="4B8244EA"/>
    <w:rsid w:val="4B887C90"/>
    <w:rsid w:val="4BB74194"/>
    <w:rsid w:val="4BB900ED"/>
    <w:rsid w:val="4BE807F1"/>
    <w:rsid w:val="4BF60E13"/>
    <w:rsid w:val="4C1244F7"/>
    <w:rsid w:val="4C2A0E0A"/>
    <w:rsid w:val="4CA85A8C"/>
    <w:rsid w:val="4CAC7A71"/>
    <w:rsid w:val="4CEA7917"/>
    <w:rsid w:val="4CF82CB6"/>
    <w:rsid w:val="4D060757"/>
    <w:rsid w:val="4D2E0486"/>
    <w:rsid w:val="4D490D09"/>
    <w:rsid w:val="4D6E2F78"/>
    <w:rsid w:val="4DA370C6"/>
    <w:rsid w:val="4DA51ED7"/>
    <w:rsid w:val="4DB73B3A"/>
    <w:rsid w:val="4DC4184D"/>
    <w:rsid w:val="4DE414E3"/>
    <w:rsid w:val="4DF3347D"/>
    <w:rsid w:val="4DF860E9"/>
    <w:rsid w:val="4E04568A"/>
    <w:rsid w:val="4E094FEC"/>
    <w:rsid w:val="4E0B4E03"/>
    <w:rsid w:val="4E10402F"/>
    <w:rsid w:val="4E213FB1"/>
    <w:rsid w:val="4E526418"/>
    <w:rsid w:val="4E96389C"/>
    <w:rsid w:val="4EB55C5D"/>
    <w:rsid w:val="4F0E0B39"/>
    <w:rsid w:val="4F1373BE"/>
    <w:rsid w:val="4F5C3E56"/>
    <w:rsid w:val="4F6E20F8"/>
    <w:rsid w:val="4F8971BB"/>
    <w:rsid w:val="4FA36F0E"/>
    <w:rsid w:val="4FE83E65"/>
    <w:rsid w:val="4FEE10DA"/>
    <w:rsid w:val="501E0C85"/>
    <w:rsid w:val="50291EF0"/>
    <w:rsid w:val="502B33A2"/>
    <w:rsid w:val="50594CB7"/>
    <w:rsid w:val="50C80BF1"/>
    <w:rsid w:val="50CA6717"/>
    <w:rsid w:val="50E2468A"/>
    <w:rsid w:val="50F6575E"/>
    <w:rsid w:val="50FE2865"/>
    <w:rsid w:val="51331AED"/>
    <w:rsid w:val="51694182"/>
    <w:rsid w:val="51782617"/>
    <w:rsid w:val="51876716"/>
    <w:rsid w:val="51C838E3"/>
    <w:rsid w:val="51DF2696"/>
    <w:rsid w:val="51FC3D11"/>
    <w:rsid w:val="52103846"/>
    <w:rsid w:val="524D4E26"/>
    <w:rsid w:val="5294522F"/>
    <w:rsid w:val="529E0791"/>
    <w:rsid w:val="52CF6267"/>
    <w:rsid w:val="52DF5181"/>
    <w:rsid w:val="52E47D41"/>
    <w:rsid w:val="52EF3704"/>
    <w:rsid w:val="53090C02"/>
    <w:rsid w:val="532F6D06"/>
    <w:rsid w:val="532F71C7"/>
    <w:rsid w:val="53312A7E"/>
    <w:rsid w:val="5336727E"/>
    <w:rsid w:val="53A01A80"/>
    <w:rsid w:val="53EB70D0"/>
    <w:rsid w:val="53FF492A"/>
    <w:rsid w:val="541D1254"/>
    <w:rsid w:val="544B5DC1"/>
    <w:rsid w:val="545C1D7C"/>
    <w:rsid w:val="549E4143"/>
    <w:rsid w:val="54A35CBB"/>
    <w:rsid w:val="54C55B73"/>
    <w:rsid w:val="54D32A41"/>
    <w:rsid w:val="54FB30C3"/>
    <w:rsid w:val="550B5EF4"/>
    <w:rsid w:val="5539030F"/>
    <w:rsid w:val="555B3075"/>
    <w:rsid w:val="555D2250"/>
    <w:rsid w:val="555D5DAC"/>
    <w:rsid w:val="559519EA"/>
    <w:rsid w:val="55A30152"/>
    <w:rsid w:val="55A7428C"/>
    <w:rsid w:val="55AF412E"/>
    <w:rsid w:val="55B61960"/>
    <w:rsid w:val="55E069DD"/>
    <w:rsid w:val="55F240DF"/>
    <w:rsid w:val="55F25770"/>
    <w:rsid w:val="55F54236"/>
    <w:rsid w:val="568D446F"/>
    <w:rsid w:val="56AD68BF"/>
    <w:rsid w:val="56BE6D1E"/>
    <w:rsid w:val="571132F2"/>
    <w:rsid w:val="57390153"/>
    <w:rsid w:val="57527466"/>
    <w:rsid w:val="575B456D"/>
    <w:rsid w:val="57732BFF"/>
    <w:rsid w:val="57862D68"/>
    <w:rsid w:val="57C32112"/>
    <w:rsid w:val="57DD4F82"/>
    <w:rsid w:val="57DF5CC8"/>
    <w:rsid w:val="57F62CC3"/>
    <w:rsid w:val="580544D9"/>
    <w:rsid w:val="583B614D"/>
    <w:rsid w:val="583E0CB1"/>
    <w:rsid w:val="584C2108"/>
    <w:rsid w:val="585322D1"/>
    <w:rsid w:val="5871327B"/>
    <w:rsid w:val="5889335C"/>
    <w:rsid w:val="58991383"/>
    <w:rsid w:val="58B101BD"/>
    <w:rsid w:val="58D03A3A"/>
    <w:rsid w:val="5921098E"/>
    <w:rsid w:val="59396B30"/>
    <w:rsid w:val="5959417B"/>
    <w:rsid w:val="597C07CB"/>
    <w:rsid w:val="59AF0A45"/>
    <w:rsid w:val="59F842F5"/>
    <w:rsid w:val="5A2426D0"/>
    <w:rsid w:val="5A2E41BB"/>
    <w:rsid w:val="5A3966BC"/>
    <w:rsid w:val="5A61633E"/>
    <w:rsid w:val="5A87548E"/>
    <w:rsid w:val="5AC468CD"/>
    <w:rsid w:val="5AE31B30"/>
    <w:rsid w:val="5AF0321E"/>
    <w:rsid w:val="5B22432A"/>
    <w:rsid w:val="5B2829B8"/>
    <w:rsid w:val="5B386973"/>
    <w:rsid w:val="5B435A44"/>
    <w:rsid w:val="5B5437AD"/>
    <w:rsid w:val="5B5B7E08"/>
    <w:rsid w:val="5BF7739A"/>
    <w:rsid w:val="5C1C00BB"/>
    <w:rsid w:val="5C2E0911"/>
    <w:rsid w:val="5C3A5362"/>
    <w:rsid w:val="5C4750C0"/>
    <w:rsid w:val="5C4C048C"/>
    <w:rsid w:val="5C7F2AAC"/>
    <w:rsid w:val="5C855BE8"/>
    <w:rsid w:val="5C9A1694"/>
    <w:rsid w:val="5CBC76BB"/>
    <w:rsid w:val="5CCB5CF1"/>
    <w:rsid w:val="5D064F7B"/>
    <w:rsid w:val="5D7F13FC"/>
    <w:rsid w:val="5DC63856"/>
    <w:rsid w:val="5DCF35BF"/>
    <w:rsid w:val="5DF136C0"/>
    <w:rsid w:val="5DFA49BA"/>
    <w:rsid w:val="5E0F1AB2"/>
    <w:rsid w:val="5E2733FB"/>
    <w:rsid w:val="5E2F1776"/>
    <w:rsid w:val="5E541E21"/>
    <w:rsid w:val="5E957EC3"/>
    <w:rsid w:val="5EB32EE1"/>
    <w:rsid w:val="5EB63A05"/>
    <w:rsid w:val="5F3A715E"/>
    <w:rsid w:val="5F423DF6"/>
    <w:rsid w:val="5F641286"/>
    <w:rsid w:val="5F9E593F"/>
    <w:rsid w:val="5FCB4C55"/>
    <w:rsid w:val="5FEE72CA"/>
    <w:rsid w:val="60326087"/>
    <w:rsid w:val="60361BA1"/>
    <w:rsid w:val="60402552"/>
    <w:rsid w:val="605E6E7C"/>
    <w:rsid w:val="60762418"/>
    <w:rsid w:val="60786190"/>
    <w:rsid w:val="60836CBE"/>
    <w:rsid w:val="608A5EC3"/>
    <w:rsid w:val="6094289E"/>
    <w:rsid w:val="60A70823"/>
    <w:rsid w:val="611063C8"/>
    <w:rsid w:val="611575D5"/>
    <w:rsid w:val="61273D49"/>
    <w:rsid w:val="613025C6"/>
    <w:rsid w:val="61354081"/>
    <w:rsid w:val="6138147B"/>
    <w:rsid w:val="614318D6"/>
    <w:rsid w:val="618A73AA"/>
    <w:rsid w:val="61AF76B0"/>
    <w:rsid w:val="61D75138"/>
    <w:rsid w:val="61E27004"/>
    <w:rsid w:val="6200758C"/>
    <w:rsid w:val="620A72BB"/>
    <w:rsid w:val="620B4C69"/>
    <w:rsid w:val="6229295F"/>
    <w:rsid w:val="622B59FA"/>
    <w:rsid w:val="623C1CCF"/>
    <w:rsid w:val="62516C98"/>
    <w:rsid w:val="627771D2"/>
    <w:rsid w:val="62A0377C"/>
    <w:rsid w:val="62A56FE4"/>
    <w:rsid w:val="62BD432E"/>
    <w:rsid w:val="62C47861"/>
    <w:rsid w:val="62DE0A1E"/>
    <w:rsid w:val="62DF0C60"/>
    <w:rsid w:val="62E0001C"/>
    <w:rsid w:val="62E80C7F"/>
    <w:rsid w:val="62F835B8"/>
    <w:rsid w:val="63057A83"/>
    <w:rsid w:val="630C0E11"/>
    <w:rsid w:val="633A4C72"/>
    <w:rsid w:val="638B1041"/>
    <w:rsid w:val="63B514A9"/>
    <w:rsid w:val="63C57B95"/>
    <w:rsid w:val="63CE48B3"/>
    <w:rsid w:val="63D70ECA"/>
    <w:rsid w:val="64097DEB"/>
    <w:rsid w:val="645A795A"/>
    <w:rsid w:val="645D3FD0"/>
    <w:rsid w:val="64615B78"/>
    <w:rsid w:val="64692996"/>
    <w:rsid w:val="64E75692"/>
    <w:rsid w:val="65111CE5"/>
    <w:rsid w:val="6511270F"/>
    <w:rsid w:val="65206DF6"/>
    <w:rsid w:val="65235F13"/>
    <w:rsid w:val="652443D8"/>
    <w:rsid w:val="653852E6"/>
    <w:rsid w:val="6558033E"/>
    <w:rsid w:val="657F771D"/>
    <w:rsid w:val="65E322FD"/>
    <w:rsid w:val="65EB7145"/>
    <w:rsid w:val="662B1962"/>
    <w:rsid w:val="66880611"/>
    <w:rsid w:val="668A7943"/>
    <w:rsid w:val="66BC3D6A"/>
    <w:rsid w:val="66C5425B"/>
    <w:rsid w:val="66E225B5"/>
    <w:rsid w:val="66E52CB4"/>
    <w:rsid w:val="66F652E5"/>
    <w:rsid w:val="66FB71D3"/>
    <w:rsid w:val="671A198D"/>
    <w:rsid w:val="67211A33"/>
    <w:rsid w:val="672C1A82"/>
    <w:rsid w:val="673749DB"/>
    <w:rsid w:val="67562CB8"/>
    <w:rsid w:val="676E3E49"/>
    <w:rsid w:val="677A1D46"/>
    <w:rsid w:val="67CE4229"/>
    <w:rsid w:val="68025E35"/>
    <w:rsid w:val="68141B8B"/>
    <w:rsid w:val="681C5653"/>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365C28"/>
    <w:rsid w:val="6B403D4E"/>
    <w:rsid w:val="6B4A0729"/>
    <w:rsid w:val="6B4C4FC6"/>
    <w:rsid w:val="6B6C2B09"/>
    <w:rsid w:val="6B7E03D2"/>
    <w:rsid w:val="6BA82C30"/>
    <w:rsid w:val="6BDF5315"/>
    <w:rsid w:val="6BE446D9"/>
    <w:rsid w:val="6BF971F7"/>
    <w:rsid w:val="6C07661A"/>
    <w:rsid w:val="6C1F5711"/>
    <w:rsid w:val="6C2E4B41"/>
    <w:rsid w:val="6C5337CF"/>
    <w:rsid w:val="6CAD19D3"/>
    <w:rsid w:val="6CC41357"/>
    <w:rsid w:val="6CCB7001"/>
    <w:rsid w:val="6CDF13D4"/>
    <w:rsid w:val="6CED1CB3"/>
    <w:rsid w:val="6CF13D2F"/>
    <w:rsid w:val="6CFA7F2C"/>
    <w:rsid w:val="6D156B14"/>
    <w:rsid w:val="6D3558E2"/>
    <w:rsid w:val="6D8617C0"/>
    <w:rsid w:val="6D99465B"/>
    <w:rsid w:val="6DAE1443"/>
    <w:rsid w:val="6DC522E8"/>
    <w:rsid w:val="6DD24A05"/>
    <w:rsid w:val="6DD30EA9"/>
    <w:rsid w:val="6DD5685C"/>
    <w:rsid w:val="6E05302D"/>
    <w:rsid w:val="6E1B7E27"/>
    <w:rsid w:val="6E37145A"/>
    <w:rsid w:val="6E671469"/>
    <w:rsid w:val="6E674EC9"/>
    <w:rsid w:val="6E697118"/>
    <w:rsid w:val="6E9653A5"/>
    <w:rsid w:val="6E97376B"/>
    <w:rsid w:val="6E9A3775"/>
    <w:rsid w:val="6E9D5013"/>
    <w:rsid w:val="6EA746BC"/>
    <w:rsid w:val="6F433E0D"/>
    <w:rsid w:val="6F652652"/>
    <w:rsid w:val="6F6C40D6"/>
    <w:rsid w:val="6F914B78"/>
    <w:rsid w:val="6FB16FC8"/>
    <w:rsid w:val="6FB40867"/>
    <w:rsid w:val="6FC0720B"/>
    <w:rsid w:val="6FD46EC6"/>
    <w:rsid w:val="6FDC4C41"/>
    <w:rsid w:val="6FE75F47"/>
    <w:rsid w:val="6FF25EF0"/>
    <w:rsid w:val="70027824"/>
    <w:rsid w:val="701F1AA8"/>
    <w:rsid w:val="702C664F"/>
    <w:rsid w:val="705362D1"/>
    <w:rsid w:val="705C171E"/>
    <w:rsid w:val="705F6A89"/>
    <w:rsid w:val="70A96034"/>
    <w:rsid w:val="70C714BA"/>
    <w:rsid w:val="70C96F32"/>
    <w:rsid w:val="70D311C0"/>
    <w:rsid w:val="71070441"/>
    <w:rsid w:val="71734656"/>
    <w:rsid w:val="719C5A56"/>
    <w:rsid w:val="71B75B64"/>
    <w:rsid w:val="71C829EA"/>
    <w:rsid w:val="722E2B52"/>
    <w:rsid w:val="724F2AC9"/>
    <w:rsid w:val="72515C8C"/>
    <w:rsid w:val="729F75AC"/>
    <w:rsid w:val="72E24852"/>
    <w:rsid w:val="731F693F"/>
    <w:rsid w:val="732950C8"/>
    <w:rsid w:val="733A72D5"/>
    <w:rsid w:val="733C3406"/>
    <w:rsid w:val="7343262D"/>
    <w:rsid w:val="739E5AB6"/>
    <w:rsid w:val="73AC4C34"/>
    <w:rsid w:val="740C5F2E"/>
    <w:rsid w:val="74122000"/>
    <w:rsid w:val="74330669"/>
    <w:rsid w:val="744228E5"/>
    <w:rsid w:val="7457432F"/>
    <w:rsid w:val="745B7503"/>
    <w:rsid w:val="74843801"/>
    <w:rsid w:val="74852ECC"/>
    <w:rsid w:val="74A44223"/>
    <w:rsid w:val="74A67F54"/>
    <w:rsid w:val="74BA71F8"/>
    <w:rsid w:val="74D3178F"/>
    <w:rsid w:val="74E20FCC"/>
    <w:rsid w:val="74E33F0A"/>
    <w:rsid w:val="74E514C2"/>
    <w:rsid w:val="74EA09B6"/>
    <w:rsid w:val="74F556AA"/>
    <w:rsid w:val="74FC365E"/>
    <w:rsid w:val="75130EA2"/>
    <w:rsid w:val="753E2038"/>
    <w:rsid w:val="756D4B8D"/>
    <w:rsid w:val="75984177"/>
    <w:rsid w:val="75A924F0"/>
    <w:rsid w:val="75AA6219"/>
    <w:rsid w:val="75CD61DE"/>
    <w:rsid w:val="75D03F20"/>
    <w:rsid w:val="76191423"/>
    <w:rsid w:val="765E152C"/>
    <w:rsid w:val="766C1E9B"/>
    <w:rsid w:val="7694572A"/>
    <w:rsid w:val="779D52B1"/>
    <w:rsid w:val="77F75794"/>
    <w:rsid w:val="783A7849"/>
    <w:rsid w:val="785D2CC2"/>
    <w:rsid w:val="78620F5C"/>
    <w:rsid w:val="78A91184"/>
    <w:rsid w:val="78B537F0"/>
    <w:rsid w:val="78D635FC"/>
    <w:rsid w:val="78E63D42"/>
    <w:rsid w:val="791C7043"/>
    <w:rsid w:val="79216FB6"/>
    <w:rsid w:val="793B5B55"/>
    <w:rsid w:val="794C38BE"/>
    <w:rsid w:val="796C5D0E"/>
    <w:rsid w:val="79764DDF"/>
    <w:rsid w:val="79780B57"/>
    <w:rsid w:val="799007E5"/>
    <w:rsid w:val="79BB51B5"/>
    <w:rsid w:val="79C4103C"/>
    <w:rsid w:val="79F341C6"/>
    <w:rsid w:val="7A016D09"/>
    <w:rsid w:val="7A6F5AB6"/>
    <w:rsid w:val="7A79053F"/>
    <w:rsid w:val="7A7D5833"/>
    <w:rsid w:val="7A844E9A"/>
    <w:rsid w:val="7A9C2379"/>
    <w:rsid w:val="7AD814F7"/>
    <w:rsid w:val="7AFD7566"/>
    <w:rsid w:val="7B0A1C83"/>
    <w:rsid w:val="7B1138F9"/>
    <w:rsid w:val="7B150160"/>
    <w:rsid w:val="7B845591"/>
    <w:rsid w:val="7BA06143"/>
    <w:rsid w:val="7BFA5853"/>
    <w:rsid w:val="7C2B1EB0"/>
    <w:rsid w:val="7C3431D7"/>
    <w:rsid w:val="7C8E28D9"/>
    <w:rsid w:val="7CA86455"/>
    <w:rsid w:val="7CAD4FBB"/>
    <w:rsid w:val="7CB579CC"/>
    <w:rsid w:val="7CC01B5A"/>
    <w:rsid w:val="7CE02C9B"/>
    <w:rsid w:val="7CE85FF3"/>
    <w:rsid w:val="7D246948"/>
    <w:rsid w:val="7D41467E"/>
    <w:rsid w:val="7D494CE4"/>
    <w:rsid w:val="7D4B095E"/>
    <w:rsid w:val="7D4F3628"/>
    <w:rsid w:val="7D783EEB"/>
    <w:rsid w:val="7D9B444F"/>
    <w:rsid w:val="7D9D0B8C"/>
    <w:rsid w:val="7DA63EE4"/>
    <w:rsid w:val="7DAA0ADC"/>
    <w:rsid w:val="7DAC0DCF"/>
    <w:rsid w:val="7DB23A4C"/>
    <w:rsid w:val="7E0E61F2"/>
    <w:rsid w:val="7E1A3F8B"/>
    <w:rsid w:val="7E207934"/>
    <w:rsid w:val="7E2968C4"/>
    <w:rsid w:val="7E417769"/>
    <w:rsid w:val="7E4F632A"/>
    <w:rsid w:val="7E64769F"/>
    <w:rsid w:val="7E6D4D40"/>
    <w:rsid w:val="7E81022F"/>
    <w:rsid w:val="7E8E7D1F"/>
    <w:rsid w:val="7EC148B6"/>
    <w:rsid w:val="7F0F3592"/>
    <w:rsid w:val="7F10538E"/>
    <w:rsid w:val="7F7C213C"/>
    <w:rsid w:val="7F896EDB"/>
    <w:rsid w:val="7F9E6E81"/>
    <w:rsid w:val="7FC05006"/>
    <w:rsid w:val="7FCB5E84"/>
    <w:rsid w:val="7FCE555C"/>
    <w:rsid w:val="7FDD5BB8"/>
    <w:rsid w:val="7FE27939"/>
    <w:rsid w:val="7FF8654D"/>
    <w:rsid w:val="7FFD5912"/>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8">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spacing w:after="120" w:line="240" w:lineRule="auto"/>
      <w:ind w:left="420" w:leftChars="200" w:firstLine="420"/>
    </w:pPr>
    <w:rPr>
      <w:sz w:val="21"/>
      <w:szCs w:val="21"/>
    </w:rPr>
  </w:style>
  <w:style w:type="paragraph" w:styleId="3">
    <w:name w:val="Body Text Indent"/>
    <w:basedOn w:val="1"/>
    <w:next w:val="4"/>
    <w:qFormat/>
    <w:uiPriority w:val="0"/>
    <w:pPr>
      <w:spacing w:line="360" w:lineRule="auto"/>
      <w:ind w:firstLine="600" w:firstLineChars="200"/>
    </w:pPr>
    <w:rPr>
      <w:rFonts w:ascii="仿宋_GB2312" w:hAnsi="宋体" w:eastAsia="仿宋_GB2312"/>
      <w:sz w:val="30"/>
    </w:rPr>
  </w:style>
  <w:style w:type="paragraph" w:styleId="4">
    <w:name w:val="Normal Indent"/>
    <w:basedOn w:val="1"/>
    <w:qFormat/>
    <w:uiPriority w:val="0"/>
    <w:pPr>
      <w:ind w:firstLine="420"/>
    </w:pPr>
    <w:rPr>
      <w:szCs w:val="20"/>
    </w:rPr>
  </w:style>
  <w:style w:type="paragraph" w:styleId="9">
    <w:name w:val="caption"/>
    <w:basedOn w:val="1"/>
    <w:next w:val="1"/>
    <w:qFormat/>
    <w:uiPriority w:val="0"/>
    <w:rPr>
      <w:rFonts w:ascii="Arial" w:hAnsi="Arial" w:eastAsia="黑体"/>
      <w:sz w:val="20"/>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w:basedOn w:val="1"/>
    <w:next w:val="13"/>
    <w:qFormat/>
    <w:uiPriority w:val="0"/>
    <w:rPr>
      <w:rFonts w:ascii="宋体" w:hAnsi="宋体"/>
      <w:sz w:val="28"/>
    </w:rPr>
  </w:style>
  <w:style w:type="paragraph" w:customStyle="1" w:styleId="1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4">
    <w:name w:val="Block Text"/>
    <w:basedOn w:val="1"/>
    <w:qFormat/>
    <w:uiPriority w:val="99"/>
    <w:pPr>
      <w:adjustRightInd w:val="0"/>
      <w:ind w:left="420" w:right="33"/>
      <w:textAlignment w:val="baseline"/>
    </w:pPr>
    <w:rPr>
      <w:sz w:val="24"/>
    </w:rPr>
  </w:style>
  <w:style w:type="paragraph" w:styleId="15">
    <w:name w:val="Plain Text"/>
    <w:basedOn w:val="1"/>
    <w:qFormat/>
    <w:uiPriority w:val="0"/>
    <w:pPr>
      <w:spacing w:beforeLines="50" w:afterLines="50" w:line="400" w:lineRule="exact"/>
    </w:pPr>
    <w:rPr>
      <w:rFonts w:ascii="宋体" w:hAnsi="Courier New"/>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Body Text Indent 3"/>
    <w:basedOn w:val="1"/>
    <w:qFormat/>
    <w:uiPriority w:val="99"/>
    <w:pPr>
      <w:spacing w:line="500" w:lineRule="atLeast"/>
      <w:ind w:firstLine="720" w:firstLineChars="300"/>
    </w:pPr>
    <w:rPr>
      <w:rFonts w:ascii="Times New Roman" w:hAnsi="Times New Roman"/>
      <w:sz w:val="24"/>
    </w:rPr>
  </w:style>
  <w:style w:type="paragraph" w:styleId="19">
    <w:name w:val="toc 2"/>
    <w:basedOn w:val="1"/>
    <w:next w:val="1"/>
    <w:qFormat/>
    <w:uiPriority w:val="39"/>
    <w:pPr>
      <w:ind w:left="420" w:leftChars="200"/>
    </w:pPr>
    <w:rPr>
      <w:szCs w:val="20"/>
    </w:rPr>
  </w:style>
  <w:style w:type="paragraph" w:styleId="2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1">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2">
    <w:name w:val="Body Text First Indent"/>
    <w:basedOn w:val="12"/>
    <w:next w:val="1"/>
    <w:qFormat/>
    <w:uiPriority w:val="0"/>
    <w:pPr>
      <w:spacing w:line="312" w:lineRule="auto"/>
      <w:ind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page number"/>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1F1F1F"/>
      <w:u w:val="none"/>
    </w:rPr>
  </w:style>
  <w:style w:type="character" w:styleId="35">
    <w:name w:val="HTML Code"/>
    <w:basedOn w:val="25"/>
    <w:qFormat/>
    <w:uiPriority w:val="0"/>
    <w:rPr>
      <w:rFonts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表格文字"/>
    <w:basedOn w:val="1"/>
    <w:next w:val="12"/>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5"/>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5"/>
    <w:qFormat/>
    <w:uiPriority w:val="0"/>
    <w:rPr>
      <w:rFonts w:hint="default" w:ascii="Times New Roman" w:hAnsi="Times New Roman" w:cs="Times New Roman"/>
      <w:color w:val="000000"/>
      <w:sz w:val="22"/>
      <w:szCs w:val="22"/>
      <w:u w:val="none"/>
    </w:rPr>
  </w:style>
  <w:style w:type="character" w:customStyle="1" w:styleId="57">
    <w:name w:val="font61"/>
    <w:basedOn w:val="25"/>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20533</Words>
  <Characters>22282</Characters>
  <Lines>204</Lines>
  <Paragraphs>57</Paragraphs>
  <TotalTime>18</TotalTime>
  <ScaleCrop>false</ScaleCrop>
  <LinksUpToDate>false</LinksUpToDate>
  <CharactersWithSpaces>23347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小太阳</cp:lastModifiedBy>
  <cp:lastPrinted>2025-06-23T03:08:00Z</cp:lastPrinted>
  <dcterms:modified xsi:type="dcterms:W3CDTF">2025-07-09T01:33:57Z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2EB8A04B3DB34431862DFF45AB5AF53F_13</vt:lpwstr>
  </property>
  <property fmtid="{D5CDD505-2E9C-101B-9397-08002B2CF9AE}" pid="4" name="KSOSaveFontToCloudKey">
    <vt:lpwstr>240195731_btnclosed</vt:lpwstr>
  </property>
  <property fmtid="{D5CDD505-2E9C-101B-9397-08002B2CF9AE}" pid="5" name="KSOTemplateDocerSaveRecord">
    <vt:lpwstr>eyJoZGlkIjoiZWY5MTg2MjdlZWNmZmU4ZDkzY2ZlZTlhZDY5NTRkMTgiLCJ1c2VySWQiOiI1NDk0OTEwMDMifQ==</vt:lpwstr>
  </property>
</Properties>
</file>