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hint="eastAsia" w:ascii="仿宋" w:hAnsi="仿宋" w:eastAsia="仿宋" w:cs="仿宋"/>
          <w:color w:val="auto"/>
          <w:lang w:val="en-US" w:eastAsia="zh-CN"/>
        </w:rPr>
      </w:pPr>
    </w:p>
    <w:p>
      <w:pPr>
        <w:pStyle w:val="24"/>
        <w:rPr>
          <w:rFonts w:hint="eastAsia" w:ascii="仿宋" w:hAnsi="仿宋" w:eastAsia="仿宋" w:cs="仿宋"/>
          <w:color w:val="auto"/>
        </w:rPr>
      </w:pPr>
    </w:p>
    <w:p>
      <w:pPr>
        <w:pStyle w:val="24"/>
        <w:spacing w:beforeLines="50" w:afterLines="50" w:line="1000" w:lineRule="exact"/>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湖州市民政局</w:t>
      </w:r>
    </w:p>
    <w:p>
      <w:pPr>
        <w:pStyle w:val="24"/>
        <w:spacing w:beforeLines="50" w:afterLines="50" w:line="1000" w:lineRule="exact"/>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2023年度湖州市老年人意外伤害统筹保险采购项目</w:t>
      </w:r>
    </w:p>
    <w:p>
      <w:pPr>
        <w:pStyle w:val="24"/>
        <w:jc w:val="center"/>
        <w:rPr>
          <w:rFonts w:hint="eastAsia" w:ascii="仿宋" w:hAnsi="仿宋" w:eastAsia="仿宋" w:cs="仿宋"/>
          <w:color w:val="auto"/>
          <w:sz w:val="30"/>
          <w:szCs w:val="30"/>
        </w:rPr>
      </w:pPr>
    </w:p>
    <w:p>
      <w:pPr>
        <w:pStyle w:val="24"/>
        <w:jc w:val="center"/>
        <w:rPr>
          <w:rFonts w:hint="eastAsia" w:ascii="仿宋" w:hAnsi="仿宋" w:eastAsia="仿宋" w:cs="仿宋"/>
          <w:color w:val="auto"/>
          <w:sz w:val="30"/>
          <w:szCs w:val="30"/>
        </w:rPr>
      </w:pPr>
      <w:r>
        <w:rPr>
          <w:rFonts w:hint="eastAsia" w:ascii="仿宋" w:hAnsi="仿宋" w:eastAsia="仿宋" w:cs="仿宋"/>
          <w:color w:val="auto"/>
          <w:sz w:val="30"/>
          <w:szCs w:val="30"/>
        </w:rPr>
        <w:t>（财政审批编号:</w:t>
      </w:r>
      <w:r>
        <w:rPr>
          <w:rFonts w:hint="eastAsia" w:ascii="仿宋" w:hAnsi="仿宋" w:eastAsia="仿宋" w:cs="仿宋"/>
          <w:color w:val="auto"/>
          <w:sz w:val="30"/>
          <w:szCs w:val="30"/>
          <w:lang w:val="en-US" w:eastAsia="zh-CN"/>
        </w:rPr>
        <w:t>湖财采确临[2023]2951号</w:t>
      </w:r>
      <w:r>
        <w:rPr>
          <w:rFonts w:hint="eastAsia" w:ascii="仿宋" w:hAnsi="仿宋" w:eastAsia="仿宋" w:cs="仿宋"/>
          <w:color w:val="auto"/>
          <w:sz w:val="30"/>
          <w:szCs w:val="30"/>
        </w:rPr>
        <w:t>）</w:t>
      </w:r>
    </w:p>
    <w:p>
      <w:pPr>
        <w:pStyle w:val="24"/>
        <w:jc w:val="center"/>
        <w:rPr>
          <w:rFonts w:hint="eastAsia" w:ascii="仿宋" w:hAnsi="仿宋" w:eastAsia="仿宋" w:cs="仿宋"/>
          <w:color w:val="auto"/>
          <w:sz w:val="30"/>
          <w:szCs w:val="30"/>
        </w:rPr>
      </w:pPr>
    </w:p>
    <w:p>
      <w:pPr>
        <w:pStyle w:val="24"/>
        <w:jc w:val="center"/>
        <w:rPr>
          <w:rFonts w:hint="eastAsia" w:ascii="仿宋" w:hAnsi="仿宋" w:eastAsia="仿宋" w:cs="仿宋"/>
          <w:color w:val="auto"/>
          <w:sz w:val="30"/>
          <w:szCs w:val="30"/>
        </w:rPr>
      </w:pPr>
    </w:p>
    <w:p>
      <w:pPr>
        <w:pStyle w:val="24"/>
        <w:jc w:val="center"/>
        <w:rPr>
          <w:rFonts w:hint="eastAsia" w:ascii="仿宋" w:hAnsi="仿宋" w:eastAsia="仿宋" w:cs="仿宋"/>
          <w:color w:val="auto"/>
          <w:sz w:val="72"/>
          <w:szCs w:val="72"/>
        </w:rPr>
      </w:pPr>
    </w:p>
    <w:p>
      <w:pPr>
        <w:pStyle w:val="24"/>
        <w:jc w:val="center"/>
        <w:rPr>
          <w:rFonts w:hint="eastAsia" w:ascii="仿宋" w:hAnsi="仿宋" w:eastAsia="仿宋" w:cs="仿宋"/>
          <w:color w:val="auto"/>
          <w:sz w:val="72"/>
          <w:szCs w:val="72"/>
          <w:lang w:eastAsia="zh-CN"/>
        </w:rPr>
      </w:pPr>
      <w:r>
        <w:rPr>
          <w:rFonts w:hint="eastAsia" w:ascii="仿宋" w:hAnsi="仿宋" w:eastAsia="仿宋" w:cs="仿宋"/>
          <w:color w:val="auto"/>
          <w:sz w:val="72"/>
          <w:szCs w:val="72"/>
          <w:lang w:eastAsia="zh-CN"/>
        </w:rPr>
        <w:t>采购文件</w:t>
      </w:r>
    </w:p>
    <w:p>
      <w:pPr>
        <w:pStyle w:val="24"/>
        <w:jc w:val="center"/>
        <w:rPr>
          <w:rFonts w:hint="eastAsia" w:ascii="仿宋" w:hAnsi="仿宋" w:eastAsia="仿宋" w:cs="仿宋"/>
          <w:color w:val="auto"/>
          <w:sz w:val="72"/>
          <w:szCs w:val="72"/>
        </w:rPr>
      </w:pPr>
      <w:r>
        <w:rPr>
          <w:rFonts w:hint="eastAsia" w:ascii="仿宋" w:hAnsi="仿宋" w:eastAsia="仿宋" w:cs="仿宋"/>
          <w:color w:val="auto"/>
          <w:sz w:val="21"/>
          <w:szCs w:val="21"/>
        </w:rPr>
        <w:t>（全流程电子）</w:t>
      </w:r>
    </w:p>
    <w:p>
      <w:pPr>
        <w:pStyle w:val="24"/>
        <w:jc w:val="both"/>
        <w:rPr>
          <w:rFonts w:hint="eastAsia" w:ascii="仿宋" w:hAnsi="仿宋" w:eastAsia="仿宋" w:cs="仿宋"/>
          <w:color w:val="auto"/>
          <w:sz w:val="72"/>
          <w:szCs w:val="72"/>
        </w:rPr>
      </w:pPr>
    </w:p>
    <w:p>
      <w:pPr>
        <w:pStyle w:val="24"/>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lang w:eastAsia="zh-CN"/>
        </w:rPr>
        <w:t>HZFH2023-011号</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p>
    <w:p>
      <w:pPr>
        <w:pStyle w:val="24"/>
        <w:spacing w:line="360" w:lineRule="auto"/>
        <w:rPr>
          <w:rFonts w:hint="eastAsia" w:ascii="仿宋" w:hAnsi="仿宋" w:eastAsia="仿宋" w:cs="仿宋"/>
          <w:color w:val="auto"/>
          <w:sz w:val="30"/>
          <w:szCs w:val="30"/>
        </w:rPr>
      </w:pPr>
    </w:p>
    <w:p>
      <w:pPr>
        <w:pStyle w:val="24"/>
        <w:spacing w:line="360" w:lineRule="auto"/>
        <w:ind w:left="1500" w:hanging="1500" w:hangingChars="500"/>
        <w:rPr>
          <w:rFonts w:hint="eastAsia" w:ascii="仿宋" w:hAnsi="仿宋" w:eastAsia="仿宋" w:cs="仿宋"/>
          <w:color w:val="auto"/>
          <w:sz w:val="30"/>
          <w:szCs w:val="30"/>
          <w:u w:val="single"/>
        </w:rPr>
      </w:pPr>
      <w:r>
        <w:rPr>
          <w:rFonts w:hint="eastAsia" w:ascii="仿宋" w:hAnsi="仿宋" w:eastAsia="仿宋" w:cs="仿宋"/>
          <w:color w:val="auto"/>
          <w:sz w:val="30"/>
          <w:szCs w:val="30"/>
        </w:rPr>
        <w:t>项目名称：</w:t>
      </w:r>
      <w:r>
        <w:rPr>
          <w:rFonts w:hint="eastAsia" w:ascii="仿宋" w:hAnsi="仿宋" w:eastAsia="仿宋" w:cs="仿宋"/>
          <w:color w:val="auto"/>
          <w:sz w:val="30"/>
          <w:szCs w:val="30"/>
          <w:u w:val="single"/>
          <w:lang w:eastAsia="zh-CN"/>
        </w:rPr>
        <w:t>湖州市民政局2023年度湖州市老年人意外伤害统筹保险采购项目</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p>
    <w:p>
      <w:pPr>
        <w:pStyle w:val="24"/>
        <w:spacing w:line="360" w:lineRule="auto"/>
        <w:rPr>
          <w:rFonts w:hint="eastAsia" w:ascii="仿宋" w:hAnsi="仿宋" w:eastAsia="仿宋" w:cs="仿宋"/>
          <w:color w:val="auto"/>
          <w:sz w:val="30"/>
          <w:szCs w:val="30"/>
        </w:rPr>
      </w:pPr>
    </w:p>
    <w:p>
      <w:pPr>
        <w:pStyle w:val="24"/>
        <w:spacing w:line="360" w:lineRule="auto"/>
        <w:rPr>
          <w:rFonts w:hint="eastAsia" w:ascii="仿宋" w:hAnsi="仿宋" w:eastAsia="仿宋" w:cs="仿宋"/>
          <w:color w:val="auto"/>
          <w:sz w:val="30"/>
          <w:szCs w:val="30"/>
          <w:u w:val="single"/>
        </w:rPr>
      </w:pPr>
      <w:r>
        <w:rPr>
          <w:rFonts w:hint="eastAsia" w:ascii="仿宋" w:hAnsi="仿宋" w:eastAsia="仿宋" w:cs="仿宋"/>
          <w:color w:val="auto"/>
          <w:sz w:val="30"/>
          <w:szCs w:val="30"/>
        </w:rPr>
        <w:t>采 购 人：</w:t>
      </w:r>
      <w:r>
        <w:rPr>
          <w:rFonts w:hint="eastAsia" w:ascii="仿宋" w:hAnsi="仿宋" w:eastAsia="仿宋" w:cs="仿宋"/>
          <w:color w:val="auto"/>
          <w:sz w:val="30"/>
          <w:szCs w:val="30"/>
          <w:u w:val="single"/>
          <w:lang w:eastAsia="zh-CN"/>
        </w:rPr>
        <w:t>湖州市民政局</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（盖章） </w:t>
      </w:r>
    </w:p>
    <w:p>
      <w:pPr>
        <w:pStyle w:val="24"/>
        <w:spacing w:line="360" w:lineRule="auto"/>
        <w:rPr>
          <w:rFonts w:hint="eastAsia" w:ascii="仿宋" w:hAnsi="仿宋" w:eastAsia="仿宋" w:cs="仿宋"/>
          <w:color w:val="auto"/>
          <w:sz w:val="30"/>
          <w:szCs w:val="30"/>
          <w:u w:val="single"/>
        </w:rPr>
      </w:pPr>
    </w:p>
    <w:p>
      <w:pPr>
        <w:pStyle w:val="24"/>
        <w:spacing w:line="360" w:lineRule="auto"/>
        <w:rPr>
          <w:rFonts w:hint="eastAsia" w:ascii="仿宋" w:hAnsi="仿宋" w:eastAsia="仿宋" w:cs="仿宋"/>
          <w:color w:val="auto"/>
          <w:sz w:val="30"/>
          <w:szCs w:val="30"/>
          <w:u w:val="single"/>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u w:val="single"/>
          <w:lang w:eastAsia="zh-CN"/>
        </w:rPr>
        <w:t>湖州帆华工程管理有限公司</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（盖章） </w:t>
      </w:r>
    </w:p>
    <w:p>
      <w:pPr>
        <w:pStyle w:val="24"/>
        <w:spacing w:line="360" w:lineRule="auto"/>
        <w:rPr>
          <w:rFonts w:hint="eastAsia" w:ascii="仿宋" w:hAnsi="仿宋" w:eastAsia="仿宋" w:cs="仿宋"/>
          <w:color w:val="auto"/>
          <w:sz w:val="30"/>
          <w:szCs w:val="30"/>
          <w:u w:val="single"/>
        </w:rPr>
      </w:pPr>
    </w:p>
    <w:p>
      <w:pPr>
        <w:pStyle w:val="24"/>
        <w:spacing w:line="360" w:lineRule="auto"/>
        <w:jc w:val="center"/>
        <w:rPr>
          <w:rFonts w:hint="eastAsia" w:ascii="仿宋" w:hAnsi="仿宋" w:eastAsia="仿宋" w:cs="仿宋"/>
          <w:color w:val="auto"/>
          <w:sz w:val="30"/>
          <w:szCs w:val="30"/>
          <w:u w:val="single"/>
        </w:rPr>
      </w:pPr>
      <w:r>
        <w:rPr>
          <w:rFonts w:hint="eastAsia" w:ascii="仿宋" w:hAnsi="仿宋" w:eastAsia="仿宋" w:cs="仿宋"/>
          <w:color w:val="auto"/>
          <w:sz w:val="28"/>
          <w:szCs w:val="28"/>
        </w:rPr>
        <w:t>二○二</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月</w:t>
      </w:r>
    </w:p>
    <w:p>
      <w:pPr>
        <w:pageBreakBefore/>
        <w:tabs>
          <w:tab w:val="left" w:pos="3153"/>
          <w:tab w:val="center" w:pos="4260"/>
        </w:tabs>
        <w:spacing w:beforeLines="100" w:line="288" w:lineRule="auto"/>
        <w:jc w:val="center"/>
        <w:rPr>
          <w:rFonts w:hint="eastAsia" w:ascii="仿宋" w:hAnsi="仿宋" w:eastAsia="仿宋" w:cs="仿宋"/>
          <w:b/>
          <w:sz w:val="36"/>
          <w:szCs w:val="36"/>
        </w:rPr>
        <w:sectPr>
          <w:headerReference r:id="rId3" w:type="default"/>
          <w:footerReference r:id="rId4" w:type="default"/>
          <w:pgSz w:w="11907" w:h="16840"/>
          <w:pgMar w:top="1418" w:right="1701" w:bottom="1134" w:left="1701" w:header="851" w:footer="618" w:gutter="0"/>
          <w:cols w:space="720" w:num="1"/>
          <w:docGrid w:linePitch="312" w:charSpace="0"/>
        </w:sectPr>
      </w:pPr>
    </w:p>
    <w:p>
      <w:pPr>
        <w:pageBreakBefore/>
        <w:tabs>
          <w:tab w:val="left" w:pos="3153"/>
          <w:tab w:val="center" w:pos="4260"/>
        </w:tabs>
        <w:spacing w:beforeLines="100" w:line="288" w:lineRule="auto"/>
        <w:jc w:val="center"/>
        <w:rPr>
          <w:rFonts w:hint="eastAsia" w:ascii="仿宋" w:hAnsi="仿宋" w:eastAsia="仿宋" w:cs="仿宋"/>
          <w:b/>
          <w:sz w:val="36"/>
          <w:szCs w:val="36"/>
        </w:rPr>
      </w:pPr>
      <w:r>
        <w:rPr>
          <w:rFonts w:hint="eastAsia" w:ascii="仿宋" w:hAnsi="仿宋" w:eastAsia="仿宋" w:cs="仿宋"/>
          <w:b/>
          <w:sz w:val="36"/>
          <w:szCs w:val="36"/>
        </w:rPr>
        <w:t>目    录</w:t>
      </w:r>
    </w:p>
    <w:p>
      <w:pPr>
        <w:pStyle w:val="3"/>
        <w:rPr>
          <w:rFonts w:hint="eastAsia" w:ascii="仿宋" w:hAnsi="仿宋" w:eastAsia="仿宋" w:cs="仿宋"/>
        </w:rPr>
      </w:pPr>
    </w:p>
    <w:p>
      <w:pPr>
        <w:pStyle w:val="24"/>
        <w:rPr>
          <w:rFonts w:hint="eastAsia" w:ascii="仿宋" w:hAnsi="仿宋" w:eastAsia="仿宋" w:cs="仿宋"/>
          <w:color w:val="auto"/>
        </w:rPr>
      </w:pPr>
      <w:bookmarkStart w:id="0" w:name="_Toc130094904"/>
    </w:p>
    <w:p>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第一章 公开招标采购公告………………………………………03</w:t>
      </w:r>
    </w:p>
    <w:p>
      <w:pPr>
        <w:pStyle w:val="24"/>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第二章 招标需求…………………………………………………1</w:t>
      </w:r>
      <w:r>
        <w:rPr>
          <w:rFonts w:hint="eastAsia" w:ascii="仿宋" w:hAnsi="仿宋" w:eastAsia="仿宋" w:cs="仿宋"/>
          <w:color w:val="auto"/>
          <w:sz w:val="30"/>
          <w:szCs w:val="30"/>
          <w:lang w:val="en-US" w:eastAsia="zh-CN"/>
        </w:rPr>
        <w:t>0</w:t>
      </w:r>
    </w:p>
    <w:p>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第三章 投标人须知……………………………………………1</w:t>
      </w:r>
      <w:r>
        <w:rPr>
          <w:rFonts w:hint="eastAsia" w:ascii="仿宋" w:hAnsi="仿宋" w:eastAsia="仿宋" w:cs="仿宋"/>
          <w:color w:val="auto"/>
          <w:sz w:val="30"/>
          <w:szCs w:val="30"/>
          <w:lang w:val="en-US" w:eastAsia="zh-CN"/>
        </w:rPr>
        <w:t>5</w:t>
      </w:r>
    </w:p>
    <w:p>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一、总则………………………………………………………1</w:t>
      </w:r>
      <w:r>
        <w:rPr>
          <w:rFonts w:hint="eastAsia" w:ascii="仿宋" w:hAnsi="仿宋" w:eastAsia="仿宋" w:cs="仿宋"/>
          <w:color w:val="auto"/>
          <w:sz w:val="30"/>
          <w:szCs w:val="30"/>
          <w:lang w:val="en-US" w:eastAsia="zh-CN"/>
        </w:rPr>
        <w:t>7</w:t>
      </w:r>
    </w:p>
    <w:p>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采购文件</w:t>
      </w: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9</w:t>
      </w:r>
    </w:p>
    <w:p>
      <w:pPr>
        <w:pStyle w:val="24"/>
        <w:tabs>
          <w:tab w:val="left" w:pos="7938"/>
        </w:tabs>
        <w:spacing w:line="480" w:lineRule="auto"/>
        <w:jc w:val="distribut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三、投标文件的编制…………………………………………</w:t>
      </w:r>
      <w:r>
        <w:rPr>
          <w:rFonts w:hint="eastAsia" w:ascii="仿宋" w:hAnsi="仿宋" w:eastAsia="仿宋" w:cs="仿宋"/>
          <w:color w:val="auto"/>
          <w:sz w:val="30"/>
          <w:szCs w:val="30"/>
          <w:lang w:val="en-US" w:eastAsia="zh-CN"/>
        </w:rPr>
        <w:t>20</w:t>
      </w:r>
    </w:p>
    <w:p>
      <w:pPr>
        <w:pStyle w:val="24"/>
        <w:tabs>
          <w:tab w:val="left" w:pos="7938"/>
        </w:tabs>
        <w:spacing w:line="480" w:lineRule="auto"/>
        <w:jc w:val="distribut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四、开标………………………………………………………</w:t>
      </w:r>
      <w:r>
        <w:rPr>
          <w:rFonts w:hint="eastAsia" w:ascii="仿宋" w:hAnsi="仿宋" w:eastAsia="仿宋" w:cs="仿宋"/>
          <w:color w:val="auto"/>
          <w:sz w:val="30"/>
          <w:szCs w:val="30"/>
          <w:lang w:val="en-US" w:eastAsia="zh-CN"/>
        </w:rPr>
        <w:t>27</w:t>
      </w:r>
    </w:p>
    <w:p>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五、评标………………………………………………………2</w:t>
      </w:r>
      <w:r>
        <w:rPr>
          <w:rFonts w:hint="eastAsia" w:ascii="仿宋" w:hAnsi="仿宋" w:eastAsia="仿宋" w:cs="仿宋"/>
          <w:color w:val="auto"/>
          <w:sz w:val="30"/>
          <w:szCs w:val="30"/>
          <w:lang w:val="en-US" w:eastAsia="zh-CN"/>
        </w:rPr>
        <w:t>8</w:t>
      </w:r>
    </w:p>
    <w:p>
      <w:pPr>
        <w:pStyle w:val="24"/>
        <w:tabs>
          <w:tab w:val="left" w:pos="7938"/>
        </w:tabs>
        <w:spacing w:line="480" w:lineRule="auto"/>
        <w:jc w:val="distribut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六、定标………………………………………………………</w:t>
      </w:r>
      <w:r>
        <w:rPr>
          <w:rFonts w:hint="eastAsia" w:ascii="仿宋" w:hAnsi="仿宋" w:eastAsia="仿宋" w:cs="仿宋"/>
          <w:color w:val="auto"/>
          <w:sz w:val="30"/>
          <w:szCs w:val="30"/>
          <w:lang w:val="en-US" w:eastAsia="zh-CN"/>
        </w:rPr>
        <w:t>30</w:t>
      </w:r>
    </w:p>
    <w:p>
      <w:pPr>
        <w:pStyle w:val="24"/>
        <w:tabs>
          <w:tab w:val="left" w:pos="7938"/>
        </w:tabs>
        <w:spacing w:line="480" w:lineRule="auto"/>
        <w:jc w:val="distribut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七、合同授予…………………………………………………</w:t>
      </w:r>
      <w:r>
        <w:rPr>
          <w:rFonts w:hint="eastAsia" w:ascii="仿宋" w:hAnsi="仿宋" w:eastAsia="仿宋" w:cs="仿宋"/>
          <w:color w:val="auto"/>
          <w:sz w:val="30"/>
          <w:szCs w:val="30"/>
          <w:lang w:val="en-US" w:eastAsia="zh-CN"/>
        </w:rPr>
        <w:t>30</w:t>
      </w:r>
    </w:p>
    <w:p>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八、其他内容…………………………………………………3</w:t>
      </w:r>
      <w:r>
        <w:rPr>
          <w:rFonts w:hint="eastAsia" w:ascii="仿宋" w:hAnsi="仿宋" w:eastAsia="仿宋" w:cs="仿宋"/>
          <w:color w:val="auto"/>
          <w:sz w:val="30"/>
          <w:szCs w:val="30"/>
          <w:lang w:val="en-US" w:eastAsia="zh-CN"/>
        </w:rPr>
        <w:t>1</w:t>
      </w:r>
    </w:p>
    <w:p>
      <w:pPr>
        <w:pStyle w:val="24"/>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第四章 评标办法及评分标准…………………………………3</w:t>
      </w:r>
      <w:r>
        <w:rPr>
          <w:rFonts w:hint="eastAsia" w:ascii="仿宋" w:hAnsi="仿宋" w:eastAsia="仿宋" w:cs="仿宋"/>
          <w:color w:val="auto"/>
          <w:sz w:val="30"/>
          <w:szCs w:val="30"/>
          <w:lang w:val="en-US" w:eastAsia="zh-CN"/>
        </w:rPr>
        <w:t>2</w:t>
      </w:r>
    </w:p>
    <w:p>
      <w:pPr>
        <w:pStyle w:val="24"/>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第五章 合同主要条款……………………………………………3</w:t>
      </w:r>
      <w:r>
        <w:rPr>
          <w:rFonts w:hint="eastAsia" w:ascii="仿宋" w:hAnsi="仿宋" w:eastAsia="仿宋" w:cs="仿宋"/>
          <w:color w:val="auto"/>
          <w:sz w:val="30"/>
          <w:szCs w:val="30"/>
          <w:lang w:val="en-US" w:eastAsia="zh-CN"/>
        </w:rPr>
        <w:t>6</w:t>
      </w:r>
    </w:p>
    <w:p>
      <w:pPr>
        <w:spacing w:line="480" w:lineRule="auto"/>
        <w:jc w:val="distribute"/>
        <w:rPr>
          <w:rFonts w:hint="eastAsia" w:ascii="仿宋" w:hAnsi="仿宋" w:eastAsia="仿宋" w:cs="仿宋"/>
          <w:kern w:val="0"/>
          <w:sz w:val="30"/>
          <w:szCs w:val="30"/>
          <w:lang w:eastAsia="zh-CN"/>
        </w:rPr>
      </w:pPr>
      <w:r>
        <w:rPr>
          <w:rFonts w:hint="eastAsia" w:ascii="仿宋" w:hAnsi="仿宋" w:eastAsia="仿宋" w:cs="仿宋"/>
          <w:sz w:val="30"/>
          <w:szCs w:val="30"/>
        </w:rPr>
        <w:t>第六章 投标格式与附件…………………………………………</w:t>
      </w:r>
      <w:r>
        <w:rPr>
          <w:rFonts w:hint="eastAsia" w:ascii="仿宋" w:hAnsi="仿宋" w:eastAsia="仿宋" w:cs="仿宋"/>
          <w:kern w:val="0"/>
          <w:sz w:val="30"/>
          <w:szCs w:val="30"/>
        </w:rPr>
        <w:t>4</w:t>
      </w:r>
      <w:r>
        <w:rPr>
          <w:rFonts w:hint="eastAsia" w:ascii="仿宋" w:hAnsi="仿宋" w:eastAsia="仿宋" w:cs="仿宋"/>
          <w:kern w:val="0"/>
          <w:sz w:val="30"/>
          <w:szCs w:val="30"/>
          <w:lang w:val="en-US" w:eastAsia="zh-CN"/>
        </w:rPr>
        <w:t>2</w:t>
      </w:r>
    </w:p>
    <w:p>
      <w:pPr>
        <w:spacing w:line="720" w:lineRule="auto"/>
        <w:rPr>
          <w:rFonts w:hint="eastAsia" w:ascii="仿宋" w:hAnsi="仿宋" w:eastAsia="仿宋" w:cs="仿宋"/>
          <w:kern w:val="0"/>
          <w:sz w:val="30"/>
          <w:szCs w:val="30"/>
        </w:rPr>
      </w:pPr>
    </w:p>
    <w:bookmarkEnd w:id="0"/>
    <w:p>
      <w:pPr>
        <w:pStyle w:val="3"/>
        <w:spacing w:line="560" w:lineRule="exact"/>
        <w:rPr>
          <w:rFonts w:hint="eastAsia" w:ascii="仿宋" w:hAnsi="仿宋" w:eastAsia="仿宋" w:cs="仿宋"/>
          <w:sz w:val="32"/>
          <w:highlight w:val="none"/>
        </w:rPr>
        <w:sectPr>
          <w:footerReference r:id="rId5" w:type="default"/>
          <w:pgSz w:w="11907" w:h="16840"/>
          <w:pgMar w:top="1418" w:right="1701" w:bottom="1134" w:left="1701" w:header="851" w:footer="618" w:gutter="0"/>
          <w:pgNumType w:start="1"/>
          <w:cols w:space="720" w:num="1"/>
          <w:docGrid w:linePitch="312" w:charSpace="0"/>
        </w:sectPr>
      </w:pPr>
      <w:bookmarkStart w:id="1" w:name="_Toc510462676"/>
      <w:bookmarkStart w:id="2" w:name="_Toc11724"/>
    </w:p>
    <w:p>
      <w:pPr>
        <w:pStyle w:val="3"/>
        <w:spacing w:line="560" w:lineRule="exact"/>
        <w:rPr>
          <w:rFonts w:hint="eastAsia" w:ascii="仿宋" w:hAnsi="仿宋" w:eastAsia="仿宋" w:cs="仿宋"/>
          <w:sz w:val="32"/>
          <w:highlight w:val="none"/>
        </w:rPr>
      </w:pPr>
      <w:r>
        <w:rPr>
          <w:rFonts w:hint="eastAsia" w:ascii="仿宋" w:hAnsi="仿宋" w:eastAsia="仿宋" w:cs="仿宋"/>
          <w:sz w:val="32"/>
          <w:highlight w:val="none"/>
        </w:rPr>
        <w:t>第一章   公开招标公告</w:t>
      </w:r>
      <w:bookmarkEnd w:id="1"/>
      <w:bookmarkEnd w:id="2"/>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根据《中华人民共和国政府采购法》《政府采购货物和服务招标投标管理办法》及相关法律、法规等规定，经湖州市财政局政府采购监管处(财政审批编号：</w:t>
      </w:r>
      <w:r>
        <w:rPr>
          <w:rFonts w:hint="eastAsia" w:ascii="仿宋" w:hAnsi="仿宋" w:eastAsia="仿宋" w:cs="仿宋"/>
          <w:sz w:val="24"/>
          <w:highlight w:val="none"/>
          <w:lang w:val="en-US" w:eastAsia="zh-CN"/>
        </w:rPr>
        <w:t>湖财采确临[2023]2951号</w:t>
      </w:r>
      <w:r>
        <w:rPr>
          <w:rFonts w:hint="eastAsia" w:ascii="仿宋" w:hAnsi="仿宋" w:eastAsia="仿宋" w:cs="仿宋"/>
          <w:sz w:val="24"/>
          <w:highlight w:val="none"/>
          <w:u w:val="none"/>
          <w:lang w:val="en-US" w:eastAsia="zh-CN"/>
        </w:rPr>
        <w:t xml:space="preserve"> </w:t>
      </w:r>
      <w:r>
        <w:rPr>
          <w:rFonts w:hint="eastAsia" w:ascii="仿宋" w:hAnsi="仿宋" w:eastAsia="仿宋" w:cs="仿宋"/>
          <w:color w:val="000000"/>
          <w:sz w:val="24"/>
          <w:highlight w:val="none"/>
          <w:u w:val="none"/>
        </w:rPr>
        <w:t>)</w:t>
      </w:r>
      <w:r>
        <w:rPr>
          <w:rFonts w:hint="eastAsia" w:ascii="仿宋" w:hAnsi="仿宋" w:eastAsia="仿宋" w:cs="仿宋"/>
          <w:sz w:val="24"/>
          <w:highlight w:val="none"/>
        </w:rPr>
        <w:t>批准，</w:t>
      </w:r>
      <w:r>
        <w:rPr>
          <w:rFonts w:hint="eastAsia" w:ascii="仿宋" w:hAnsi="仿宋" w:eastAsia="仿宋" w:cs="仿宋"/>
          <w:sz w:val="24"/>
          <w:highlight w:val="none"/>
          <w:u w:val="single"/>
          <w:lang w:eastAsia="zh-CN"/>
        </w:rPr>
        <w:t>湖州帆华工程管理有限公司</w:t>
      </w:r>
      <w:r>
        <w:rPr>
          <w:rFonts w:hint="eastAsia" w:ascii="仿宋" w:hAnsi="仿宋" w:eastAsia="仿宋" w:cs="仿宋"/>
          <w:sz w:val="24"/>
          <w:highlight w:val="none"/>
        </w:rPr>
        <w:t>受</w:t>
      </w:r>
      <w:r>
        <w:rPr>
          <w:rFonts w:hint="eastAsia" w:ascii="仿宋" w:hAnsi="仿宋" w:eastAsia="仿宋" w:cs="仿宋"/>
          <w:sz w:val="24"/>
          <w:highlight w:val="none"/>
          <w:u w:val="single"/>
          <w:lang w:eastAsia="zh-CN"/>
        </w:rPr>
        <w:t>湖州市民政局</w:t>
      </w:r>
      <w:r>
        <w:rPr>
          <w:rFonts w:hint="eastAsia" w:ascii="仿宋" w:hAnsi="仿宋" w:eastAsia="仿宋" w:cs="仿宋"/>
          <w:sz w:val="24"/>
          <w:highlight w:val="none"/>
        </w:rPr>
        <w:t>委托，现就</w:t>
      </w:r>
      <w:r>
        <w:rPr>
          <w:rFonts w:hint="eastAsia" w:ascii="仿宋" w:hAnsi="仿宋" w:eastAsia="仿宋" w:cs="仿宋"/>
          <w:b/>
          <w:sz w:val="24"/>
          <w:highlight w:val="none"/>
          <w:u w:val="single"/>
          <w:lang w:eastAsia="zh-CN"/>
        </w:rPr>
        <w:t>湖州市民政局2023年度湖州市老年人意外伤害统筹保险采购项目</w:t>
      </w:r>
      <w:r>
        <w:rPr>
          <w:rFonts w:hint="eastAsia" w:ascii="仿宋" w:hAnsi="仿宋" w:eastAsia="仿宋" w:cs="仿宋"/>
          <w:sz w:val="24"/>
          <w:highlight w:val="none"/>
        </w:rPr>
        <w:t>进行采购，欢迎中华人民共和国境内的合格投标人前来参加投标。</w:t>
      </w:r>
    </w:p>
    <w:p>
      <w:pPr>
        <w:spacing w:line="560" w:lineRule="exact"/>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一、项目编号：</w:t>
      </w:r>
      <w:r>
        <w:rPr>
          <w:rFonts w:hint="eastAsia" w:ascii="仿宋" w:hAnsi="仿宋" w:eastAsia="仿宋" w:cs="仿宋"/>
          <w:b/>
          <w:sz w:val="24"/>
          <w:highlight w:val="none"/>
          <w:lang w:eastAsia="zh-CN"/>
        </w:rPr>
        <w:t>HZFH2023-011号</w:t>
      </w:r>
    </w:p>
    <w:p>
      <w:pPr>
        <w:spacing w:line="560" w:lineRule="exact"/>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二、采购组织类型：</w:t>
      </w:r>
      <w:r>
        <w:rPr>
          <w:rFonts w:hint="eastAsia" w:ascii="仿宋" w:hAnsi="仿宋" w:eastAsia="仿宋" w:cs="仿宋"/>
          <w:sz w:val="24"/>
          <w:highlight w:val="none"/>
        </w:rPr>
        <w:t>分散采购委托代理</w:t>
      </w:r>
    </w:p>
    <w:p>
      <w:pPr>
        <w:spacing w:line="560" w:lineRule="exact"/>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三、采购方式：</w:t>
      </w:r>
      <w:r>
        <w:rPr>
          <w:rFonts w:hint="eastAsia" w:ascii="仿宋" w:hAnsi="仿宋" w:eastAsia="仿宋" w:cs="仿宋"/>
          <w:sz w:val="24"/>
          <w:highlight w:val="none"/>
          <w:lang w:val="en-US" w:eastAsia="zh-CN"/>
        </w:rPr>
        <w:t>公开招标</w:t>
      </w:r>
    </w:p>
    <w:p>
      <w:pPr>
        <w:spacing w:line="560" w:lineRule="exact"/>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四、招标项目概况</w:t>
      </w:r>
      <w:r>
        <w:rPr>
          <w:rFonts w:hint="eastAsia" w:ascii="仿宋" w:hAnsi="仿宋" w:eastAsia="仿宋" w:cs="仿宋"/>
          <w:sz w:val="24"/>
          <w:highlight w:val="none"/>
        </w:rPr>
        <w:t>（内容、数量、简要技术要求等）:</w:t>
      </w:r>
    </w:p>
    <w:tbl>
      <w:tblPr>
        <w:tblStyle w:val="18"/>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645"/>
        <w:gridCol w:w="1215"/>
        <w:gridCol w:w="1755"/>
        <w:gridCol w:w="159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标项</w:t>
            </w:r>
          </w:p>
        </w:tc>
        <w:tc>
          <w:tcPr>
            <w:tcW w:w="264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项目名称</w:t>
            </w:r>
          </w:p>
        </w:tc>
        <w:tc>
          <w:tcPr>
            <w:tcW w:w="121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服务区域</w:t>
            </w:r>
          </w:p>
        </w:tc>
        <w:tc>
          <w:tcPr>
            <w:tcW w:w="175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单价</w:t>
            </w:r>
            <w:r>
              <w:rPr>
                <w:rFonts w:hint="eastAsia" w:ascii="仿宋" w:hAnsi="仿宋" w:eastAsia="仿宋" w:cs="仿宋"/>
                <w:kern w:val="0"/>
                <w:sz w:val="24"/>
                <w:highlight w:val="none"/>
                <w:lang w:eastAsia="zh-CN"/>
              </w:rPr>
              <w:t>采购预算</w:t>
            </w:r>
          </w:p>
        </w:tc>
        <w:tc>
          <w:tcPr>
            <w:tcW w:w="159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保险数量</w:t>
            </w:r>
          </w:p>
        </w:tc>
        <w:tc>
          <w:tcPr>
            <w:tcW w:w="1432"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4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64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202</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年度湖州市老年人意外伤害统筹保险采购项目</w:t>
            </w:r>
          </w:p>
        </w:tc>
        <w:tc>
          <w:tcPr>
            <w:tcW w:w="121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南浔区</w:t>
            </w:r>
          </w:p>
        </w:tc>
        <w:tc>
          <w:tcPr>
            <w:tcW w:w="175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43</w:t>
            </w:r>
            <w:r>
              <w:rPr>
                <w:rFonts w:hint="eastAsia" w:ascii="仿宋" w:hAnsi="仿宋" w:eastAsia="仿宋" w:cs="仿宋"/>
                <w:kern w:val="0"/>
                <w:sz w:val="21"/>
                <w:szCs w:val="21"/>
                <w:highlight w:val="none"/>
              </w:rPr>
              <w:t xml:space="preserve"> 元/人/份</w:t>
            </w:r>
          </w:p>
        </w:tc>
        <w:tc>
          <w:tcPr>
            <w:tcW w:w="159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约</w:t>
            </w:r>
            <w:r>
              <w:rPr>
                <w:rFonts w:hint="eastAsia" w:ascii="仿宋" w:hAnsi="仿宋" w:eastAsia="仿宋" w:cs="仿宋"/>
                <w:kern w:val="0"/>
                <w:sz w:val="21"/>
                <w:szCs w:val="21"/>
                <w:highlight w:val="none"/>
                <w:lang w:val="en-US" w:eastAsia="zh-CN"/>
              </w:rPr>
              <w:t>19.33万</w:t>
            </w:r>
            <w:r>
              <w:rPr>
                <w:rFonts w:hint="eastAsia" w:ascii="仿宋" w:hAnsi="仿宋" w:eastAsia="仿宋" w:cs="仿宋"/>
                <w:kern w:val="0"/>
                <w:sz w:val="21"/>
                <w:szCs w:val="21"/>
                <w:highlight w:val="none"/>
              </w:rPr>
              <w:t>份</w:t>
            </w:r>
          </w:p>
        </w:tc>
        <w:tc>
          <w:tcPr>
            <w:tcW w:w="1432"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人民币</w:t>
            </w:r>
            <w:r>
              <w:rPr>
                <w:rFonts w:hint="eastAsia" w:ascii="仿宋" w:hAnsi="仿宋" w:eastAsia="仿宋" w:cs="仿宋"/>
                <w:kern w:val="0"/>
                <w:sz w:val="21"/>
                <w:szCs w:val="21"/>
                <w:highlight w:val="none"/>
                <w:lang w:val="en-US" w:eastAsia="zh-CN"/>
              </w:rPr>
              <w:t>831.19万</w:t>
            </w:r>
            <w:r>
              <w:rPr>
                <w:rFonts w:hint="eastAsia" w:ascii="仿宋" w:hAnsi="仿宋" w:eastAsia="仿宋" w:cs="仿宋"/>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4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64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202</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年度湖州市老年人意外伤害统筹保险采购项目</w:t>
            </w:r>
          </w:p>
        </w:tc>
        <w:tc>
          <w:tcPr>
            <w:tcW w:w="121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吴兴区</w:t>
            </w:r>
          </w:p>
        </w:tc>
        <w:tc>
          <w:tcPr>
            <w:tcW w:w="175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43</w:t>
            </w:r>
            <w:r>
              <w:rPr>
                <w:rFonts w:hint="eastAsia" w:ascii="仿宋" w:hAnsi="仿宋" w:eastAsia="仿宋" w:cs="仿宋"/>
                <w:kern w:val="0"/>
                <w:sz w:val="21"/>
                <w:szCs w:val="21"/>
                <w:highlight w:val="none"/>
              </w:rPr>
              <w:t xml:space="preserve"> 元/人/份</w:t>
            </w:r>
          </w:p>
        </w:tc>
        <w:tc>
          <w:tcPr>
            <w:tcW w:w="159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约</w:t>
            </w:r>
            <w:r>
              <w:rPr>
                <w:rFonts w:hint="eastAsia" w:ascii="仿宋" w:hAnsi="仿宋" w:eastAsia="仿宋" w:cs="仿宋"/>
                <w:kern w:val="0"/>
                <w:sz w:val="21"/>
                <w:szCs w:val="21"/>
                <w:highlight w:val="none"/>
                <w:lang w:val="en-US" w:eastAsia="zh-CN"/>
              </w:rPr>
              <w:t>15.7万份</w:t>
            </w:r>
          </w:p>
        </w:tc>
        <w:tc>
          <w:tcPr>
            <w:tcW w:w="1432"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人民币</w:t>
            </w:r>
          </w:p>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675.1万元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45" w:type="dxa"/>
            <w:noWrap w:val="0"/>
            <w:vAlign w:val="center"/>
          </w:tcPr>
          <w:p>
            <w:pPr>
              <w:widowControl/>
              <w:adjustRightInd w:val="0"/>
              <w:snapToGrid w:val="0"/>
              <w:spacing w:line="5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264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202</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年度湖州市老年人意外伤害统筹保险采购项目</w:t>
            </w:r>
          </w:p>
        </w:tc>
        <w:tc>
          <w:tcPr>
            <w:tcW w:w="121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南太湖</w:t>
            </w:r>
          </w:p>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新区</w:t>
            </w:r>
          </w:p>
        </w:tc>
        <w:tc>
          <w:tcPr>
            <w:tcW w:w="175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43</w:t>
            </w:r>
            <w:r>
              <w:rPr>
                <w:rFonts w:hint="eastAsia" w:ascii="仿宋" w:hAnsi="仿宋" w:eastAsia="仿宋" w:cs="仿宋"/>
                <w:kern w:val="0"/>
                <w:sz w:val="21"/>
                <w:szCs w:val="21"/>
                <w:highlight w:val="none"/>
              </w:rPr>
              <w:t xml:space="preserve"> 元/人/份</w:t>
            </w:r>
          </w:p>
        </w:tc>
        <w:tc>
          <w:tcPr>
            <w:tcW w:w="1595"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约</w:t>
            </w:r>
            <w:r>
              <w:rPr>
                <w:rFonts w:hint="eastAsia" w:ascii="仿宋" w:hAnsi="仿宋" w:eastAsia="仿宋" w:cs="仿宋"/>
                <w:kern w:val="0"/>
                <w:sz w:val="21"/>
                <w:szCs w:val="21"/>
                <w:highlight w:val="none"/>
                <w:lang w:val="en-US" w:eastAsia="zh-CN"/>
              </w:rPr>
              <w:t>5.08万</w:t>
            </w:r>
            <w:r>
              <w:rPr>
                <w:rFonts w:hint="eastAsia" w:ascii="仿宋" w:hAnsi="仿宋" w:eastAsia="仿宋" w:cs="仿宋"/>
                <w:kern w:val="0"/>
                <w:sz w:val="21"/>
                <w:szCs w:val="21"/>
                <w:highlight w:val="none"/>
              </w:rPr>
              <w:t>份</w:t>
            </w:r>
          </w:p>
        </w:tc>
        <w:tc>
          <w:tcPr>
            <w:tcW w:w="1432" w:type="dxa"/>
            <w:noWrap w:val="0"/>
            <w:vAlign w:val="center"/>
          </w:tcPr>
          <w:p>
            <w:pPr>
              <w:widowControl/>
              <w:adjustRightInd w:val="0"/>
              <w:snapToGrid w:val="0"/>
              <w:spacing w:line="50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人民币</w:t>
            </w:r>
            <w:r>
              <w:rPr>
                <w:rFonts w:hint="eastAsia" w:ascii="仿宋" w:hAnsi="仿宋" w:eastAsia="仿宋" w:cs="仿宋"/>
                <w:kern w:val="0"/>
                <w:sz w:val="21"/>
                <w:szCs w:val="21"/>
                <w:highlight w:val="none"/>
                <w:lang w:val="en-US" w:eastAsia="zh-CN"/>
              </w:rPr>
              <w:t>218.44万</w:t>
            </w:r>
            <w:r>
              <w:rPr>
                <w:rFonts w:hint="eastAsia" w:ascii="仿宋" w:hAnsi="仿宋" w:eastAsia="仿宋" w:cs="仿宋"/>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387" w:type="dxa"/>
            <w:gridSpan w:val="6"/>
            <w:noWrap w:val="0"/>
            <w:vAlign w:val="center"/>
          </w:tcPr>
          <w:p>
            <w:pPr>
              <w:snapToGrid w:val="0"/>
              <w:spacing w:line="490" w:lineRule="exact"/>
              <w:rPr>
                <w:rFonts w:hint="eastAsia" w:ascii="仿宋" w:hAnsi="仿宋" w:eastAsia="仿宋" w:cs="仿宋"/>
                <w:kern w:val="0"/>
                <w:sz w:val="24"/>
                <w:highlight w:val="none"/>
              </w:rPr>
            </w:pPr>
            <w:r>
              <w:rPr>
                <w:rFonts w:hint="eastAsia" w:ascii="仿宋" w:hAnsi="仿宋" w:eastAsia="仿宋" w:cs="仿宋"/>
                <w:b/>
                <w:bCs/>
                <w:kern w:val="0"/>
                <w:sz w:val="24"/>
                <w:highlight w:val="none"/>
              </w:rPr>
              <w:t>备注：</w:t>
            </w:r>
            <w:r>
              <w:rPr>
                <w:rFonts w:hint="eastAsia" w:ascii="仿宋" w:hAnsi="仿宋" w:eastAsia="仿宋" w:cs="仿宋"/>
                <w:kern w:val="0"/>
                <w:sz w:val="24"/>
                <w:highlight w:val="none"/>
              </w:rPr>
              <w:t>①本项目服务期限为1年，至所有保险期限结束之日或所有保险理赔结束时止，以最后发生者为准。②</w:t>
            </w:r>
            <w:r>
              <w:rPr>
                <w:rFonts w:hint="eastAsia" w:ascii="仿宋" w:hAnsi="仿宋" w:eastAsia="仿宋" w:cs="仿宋"/>
                <w:bCs/>
                <w:kern w:val="0"/>
                <w:sz w:val="24"/>
                <w:highlight w:val="none"/>
              </w:rPr>
              <w:t>本项目3个标项同时开标，开标顺序按标项顺序，允许供应商多标段报名，但每个供应商只允许中标 1个标项，中标顺序根据开标顺序；已中标供应商的投标文件依然进入下一标项的评审，但不再推荐为中标供应商。</w:t>
            </w:r>
          </w:p>
        </w:tc>
      </w:tr>
    </w:tbl>
    <w:p>
      <w:pPr>
        <w:spacing w:line="38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 xml:space="preserve"> </w:t>
      </w:r>
    </w:p>
    <w:p>
      <w:pPr>
        <w:spacing w:line="380" w:lineRule="exact"/>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五、投标人资格要求:</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sz w:val="24"/>
          <w:highlight w:val="none"/>
        </w:rPr>
        <w:t>1、符合《中华人民共和国政府采购法》第二十二条规定和浙财采监【2013】24号《</w:t>
      </w:r>
      <w:r>
        <w:rPr>
          <w:rFonts w:hint="eastAsia" w:ascii="仿宋" w:hAnsi="仿宋" w:eastAsia="仿宋" w:cs="仿宋"/>
          <w:sz w:val="24"/>
          <w:highlight w:val="none"/>
          <w:lang w:eastAsia="zh-CN"/>
        </w:rPr>
        <w:t>关于规范政府采购供应商资格设定及资格审查的通知</w:t>
      </w:r>
      <w:r>
        <w:rPr>
          <w:rFonts w:hint="eastAsia" w:ascii="仿宋" w:hAnsi="仿宋" w:eastAsia="仿宋" w:cs="仿宋"/>
          <w:sz w:val="24"/>
          <w:highlight w:val="none"/>
        </w:rPr>
        <w:t>》第六条规定,且未被“信用中国”</w:t>
      </w:r>
      <w:r>
        <w:rPr>
          <w:rFonts w:hint="eastAsia" w:ascii="仿宋" w:hAnsi="仿宋" w:eastAsia="仿宋" w:cs="仿宋"/>
          <w:sz w:val="24"/>
        </w:rPr>
        <w:t>（www.creditchina.gov.cn）、“中国政府采购网”（www.ccgp.gov.cn）列入失信被执行</w:t>
      </w:r>
      <w:r>
        <w:rPr>
          <w:rFonts w:hint="eastAsia" w:ascii="仿宋" w:hAnsi="仿宋" w:eastAsia="仿宋" w:cs="仿宋"/>
          <w:color w:val="000000"/>
          <w:sz w:val="24"/>
        </w:rPr>
        <w:t>人、重大税收违法案件当事人名单、政府采购严重违法失信行为记录名单。</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sz w:val="24"/>
        </w:rPr>
        <w:t>具有经</w:t>
      </w:r>
      <w:r>
        <w:rPr>
          <w:rFonts w:hint="eastAsia" w:ascii="仿宋" w:hAnsi="仿宋" w:eastAsia="仿宋" w:cs="仿宋"/>
          <w:sz w:val="24"/>
          <w:lang w:eastAsia="zh-CN"/>
        </w:rPr>
        <w:t>原</w:t>
      </w:r>
      <w:r>
        <w:rPr>
          <w:rFonts w:hint="eastAsia" w:ascii="仿宋" w:hAnsi="仿宋" w:eastAsia="仿宋" w:cs="仿宋"/>
          <w:sz w:val="24"/>
        </w:rPr>
        <w:t>中国保险监督管理委员会</w:t>
      </w:r>
      <w:r>
        <w:rPr>
          <w:rFonts w:hint="eastAsia" w:ascii="仿宋" w:hAnsi="仿宋" w:eastAsia="仿宋" w:cs="仿宋"/>
          <w:sz w:val="24"/>
          <w:lang w:eastAsia="zh-CN"/>
        </w:rPr>
        <w:t>或</w:t>
      </w:r>
      <w:r>
        <w:rPr>
          <w:rFonts w:hint="eastAsia" w:ascii="仿宋" w:hAnsi="仿宋" w:eastAsia="仿宋" w:cs="仿宋"/>
          <w:sz w:val="24"/>
        </w:rPr>
        <w:t>中国</w:t>
      </w:r>
      <w:r>
        <w:rPr>
          <w:rFonts w:hint="eastAsia" w:ascii="仿宋" w:hAnsi="仿宋" w:eastAsia="仿宋" w:cs="仿宋"/>
          <w:sz w:val="24"/>
          <w:lang w:eastAsia="zh-CN"/>
        </w:rPr>
        <w:t>银行</w:t>
      </w:r>
      <w:r>
        <w:rPr>
          <w:rFonts w:hint="eastAsia" w:ascii="仿宋" w:hAnsi="仿宋" w:eastAsia="仿宋" w:cs="仿宋"/>
          <w:sz w:val="24"/>
        </w:rPr>
        <w:t>保险监督管理委员会批准的</w:t>
      </w:r>
      <w:r>
        <w:rPr>
          <w:rFonts w:hint="eastAsia" w:ascii="仿宋" w:hAnsi="仿宋" w:eastAsia="仿宋" w:cs="仿宋"/>
          <w:sz w:val="24"/>
          <w:lang w:eastAsia="zh-CN"/>
        </w:rPr>
        <w:t>经营保险业务许可证</w:t>
      </w:r>
      <w:r>
        <w:rPr>
          <w:rFonts w:hint="eastAsia" w:ascii="仿宋" w:hAnsi="仿宋" w:eastAsia="仿宋" w:cs="仿宋"/>
          <w:sz w:val="24"/>
        </w:rPr>
        <w:t>。</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auto"/>
          <w:sz w:val="24"/>
          <w:highlight w:val="none"/>
          <w:lang w:val="en-US" w:eastAsia="zh-CN"/>
        </w:rPr>
        <w:t>3、</w:t>
      </w:r>
      <w:r>
        <w:rPr>
          <w:rFonts w:hint="eastAsia" w:ascii="仿宋" w:hAnsi="仿宋" w:eastAsia="仿宋" w:cs="仿宋"/>
          <w:color w:val="000000"/>
          <w:sz w:val="24"/>
        </w:rPr>
        <w:t>本项目不接受联合体投标。</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六、</w:t>
      </w:r>
      <w:r>
        <w:rPr>
          <w:rFonts w:hint="eastAsia" w:ascii="仿宋" w:hAnsi="仿宋" w:eastAsia="仿宋" w:cs="仿宋"/>
          <w:b/>
          <w:sz w:val="24"/>
          <w:lang w:eastAsia="zh-CN"/>
        </w:rPr>
        <w:t>采购文件</w:t>
      </w:r>
      <w:r>
        <w:rPr>
          <w:rFonts w:hint="eastAsia" w:ascii="仿宋" w:hAnsi="仿宋" w:eastAsia="仿宋" w:cs="仿宋"/>
          <w:b/>
          <w:sz w:val="24"/>
        </w:rPr>
        <w:t>的获取:</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1、获取</w:t>
      </w:r>
      <w:r>
        <w:rPr>
          <w:rFonts w:hint="eastAsia" w:ascii="仿宋" w:hAnsi="仿宋" w:eastAsia="仿宋" w:cs="仿宋"/>
          <w:sz w:val="24"/>
          <w:lang w:eastAsia="zh-CN"/>
        </w:rPr>
        <w:t>采购文件</w:t>
      </w:r>
      <w:r>
        <w:rPr>
          <w:rFonts w:hint="eastAsia" w:ascii="仿宋" w:hAnsi="仿宋" w:eastAsia="仿宋" w:cs="仿宋"/>
          <w:sz w:val="24"/>
        </w:rPr>
        <w:t>时间：</w:t>
      </w:r>
      <w:r>
        <w:rPr>
          <w:rFonts w:hint="eastAsia" w:ascii="仿宋" w:hAnsi="仿宋" w:eastAsia="仿宋" w:cs="仿宋"/>
          <w:sz w:val="24"/>
          <w:lang w:eastAsia="zh-CN"/>
        </w:rPr>
        <w:t>招标</w:t>
      </w:r>
      <w:r>
        <w:rPr>
          <w:rFonts w:hint="eastAsia" w:ascii="仿宋" w:hAnsi="仿宋" w:eastAsia="仿宋" w:cs="仿宋"/>
          <w:sz w:val="24"/>
          <w:shd w:val="pct10" w:color="auto" w:fill="FFFFFF"/>
          <w:lang w:eastAsia="zh-CN"/>
        </w:rPr>
        <w:t>公告发布之日</w:t>
      </w:r>
      <w:r>
        <w:rPr>
          <w:rFonts w:hint="eastAsia" w:ascii="仿宋" w:hAnsi="仿宋" w:eastAsia="仿宋" w:cs="仿宋"/>
          <w:sz w:val="24"/>
          <w:shd w:val="pct10" w:color="auto" w:fill="FFFFFF"/>
        </w:rPr>
        <w:t>至投标截止时间</w:t>
      </w:r>
      <w:r>
        <w:rPr>
          <w:rFonts w:hint="eastAsia" w:ascii="仿宋" w:hAnsi="仿宋" w:eastAsia="仿宋" w:cs="仿宋"/>
          <w:sz w:val="24"/>
        </w:rPr>
        <w:t>(潜在投标人获取采购文件前应当在电子交易平台上注册账号并登录，截止时间后不再接受潜在投标人获取采购文件)。</w:t>
      </w:r>
    </w:p>
    <w:p>
      <w:pPr>
        <w:spacing w:line="560" w:lineRule="exact"/>
        <w:ind w:firstLine="480" w:firstLineChars="200"/>
        <w:rPr>
          <w:rFonts w:hint="eastAsia" w:ascii="仿宋" w:hAnsi="仿宋" w:eastAsia="仿宋" w:cs="仿宋"/>
          <w:sz w:val="24"/>
        </w:rPr>
      </w:pPr>
      <w:bookmarkStart w:id="3" w:name="_Toc98731748"/>
      <w:bookmarkStart w:id="4" w:name="_Toc8034"/>
      <w:bookmarkStart w:id="5" w:name="_Toc130094905"/>
      <w:r>
        <w:rPr>
          <w:rFonts w:hint="eastAsia" w:ascii="仿宋" w:hAnsi="仿宋" w:eastAsia="仿宋" w:cs="仿宋"/>
          <w:sz w:val="24"/>
        </w:rPr>
        <w:t>2、本项目</w:t>
      </w:r>
      <w:r>
        <w:rPr>
          <w:rFonts w:hint="eastAsia" w:ascii="仿宋" w:hAnsi="仿宋" w:eastAsia="仿宋" w:cs="仿宋"/>
          <w:sz w:val="24"/>
          <w:lang w:eastAsia="zh-CN"/>
        </w:rPr>
        <w:t>采购文件</w:t>
      </w:r>
      <w:r>
        <w:rPr>
          <w:rFonts w:hint="eastAsia" w:ascii="仿宋" w:hAnsi="仿宋" w:eastAsia="仿宋" w:cs="仿宋"/>
          <w:sz w:val="24"/>
        </w:rPr>
        <w:t>实行网上获取，不在接受投标人现场报名。投标人登录浙江政府采购网（https://zfcg.czt.zj.gov.cn/)进入政采云系统“项目采购”模块“获取采购文件”菜单，进行网上获取</w:t>
      </w:r>
      <w:r>
        <w:rPr>
          <w:rFonts w:hint="eastAsia" w:ascii="仿宋" w:hAnsi="仿宋" w:eastAsia="仿宋" w:cs="仿宋"/>
          <w:sz w:val="24"/>
          <w:lang w:eastAsia="zh-CN"/>
        </w:rPr>
        <w:t>采购文件</w:t>
      </w:r>
      <w:r>
        <w:rPr>
          <w:rFonts w:hint="eastAsia" w:ascii="仿宋" w:hAnsi="仿宋" w:eastAsia="仿宋" w:cs="仿宋"/>
          <w:sz w:val="24"/>
        </w:rPr>
        <w:t>。（“政采云”注册账号、密码登录系统后获取采购文件）。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3、免费注册网址：浙江政府采购网https://zfcg.czt.zj.gov.cn/咨询电话：400-881-7190。已经注册成功的投标人无需重复注册</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七、投标文件的递交及相关事宜</w:t>
      </w:r>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1、投标文件递交的截止时间（投标截止时间，下同）为</w:t>
      </w:r>
      <w:r>
        <w:rPr>
          <w:rFonts w:hint="eastAsia" w:ascii="仿宋" w:hAnsi="仿宋" w:eastAsia="仿宋" w:cs="仿宋"/>
          <w:sz w:val="24"/>
          <w:shd w:val="pct10" w:color="auto" w:fill="FFFFFF"/>
        </w:rPr>
        <w:t>202</w:t>
      </w:r>
      <w:r>
        <w:rPr>
          <w:rFonts w:hint="eastAsia" w:ascii="仿宋" w:hAnsi="仿宋" w:eastAsia="仿宋" w:cs="仿宋"/>
          <w:sz w:val="24"/>
          <w:shd w:val="pct10" w:color="auto" w:fill="FFFFFF"/>
          <w:lang w:val="en-US" w:eastAsia="zh-CN"/>
        </w:rPr>
        <w:t>3</w:t>
      </w:r>
      <w:r>
        <w:rPr>
          <w:rFonts w:hint="eastAsia" w:ascii="仿宋" w:hAnsi="仿宋" w:eastAsia="仿宋" w:cs="仿宋"/>
          <w:sz w:val="24"/>
          <w:shd w:val="pct10" w:color="auto" w:fill="FFFFFF"/>
        </w:rPr>
        <w:t>年</w:t>
      </w:r>
      <w:r>
        <w:rPr>
          <w:rFonts w:hint="eastAsia" w:ascii="仿宋" w:hAnsi="仿宋" w:eastAsia="仿宋" w:cs="仿宋"/>
          <w:sz w:val="24"/>
          <w:shd w:val="pct10" w:color="auto" w:fill="FFFFFF"/>
          <w:lang w:val="en-US" w:eastAsia="zh-CN"/>
        </w:rPr>
        <w:t>5</w:t>
      </w:r>
      <w:r>
        <w:rPr>
          <w:rFonts w:hint="eastAsia" w:ascii="仿宋" w:hAnsi="仿宋" w:eastAsia="仿宋" w:cs="仿宋"/>
          <w:sz w:val="24"/>
          <w:shd w:val="pct10" w:color="auto" w:fill="FFFFFF"/>
        </w:rPr>
        <w:t>月</w:t>
      </w:r>
      <w:r>
        <w:rPr>
          <w:rFonts w:hint="eastAsia" w:ascii="仿宋" w:hAnsi="仿宋" w:eastAsia="仿宋" w:cs="仿宋"/>
          <w:sz w:val="24"/>
          <w:shd w:val="pct10" w:color="auto" w:fill="FFFFFF"/>
          <w:lang w:val="en-US" w:eastAsia="zh-CN"/>
        </w:rPr>
        <w:t>5</w:t>
      </w:r>
      <w:r>
        <w:rPr>
          <w:rFonts w:hint="eastAsia" w:ascii="仿宋" w:hAnsi="仿宋" w:eastAsia="仿宋" w:cs="仿宋"/>
          <w:sz w:val="24"/>
          <w:shd w:val="pct10" w:color="auto" w:fill="FFFFFF"/>
        </w:rPr>
        <w:t>日</w:t>
      </w:r>
      <w:r>
        <w:rPr>
          <w:rFonts w:hint="eastAsia" w:ascii="仿宋" w:hAnsi="仿宋" w:eastAsia="仿宋" w:cs="仿宋"/>
          <w:sz w:val="24"/>
          <w:shd w:val="pct10" w:color="auto" w:fill="FFFFFF"/>
          <w:lang w:val="en-US" w:eastAsia="zh-CN"/>
        </w:rPr>
        <w:t>13:30</w:t>
      </w:r>
      <w:r>
        <w:rPr>
          <w:rFonts w:hint="eastAsia" w:ascii="仿宋" w:hAnsi="仿宋" w:eastAsia="仿宋" w:cs="仿宋"/>
          <w:sz w:val="24"/>
          <w:shd w:val="pct10" w:color="auto" w:fill="FFFFFF"/>
          <w:lang w:eastAsia="zh-CN"/>
        </w:rPr>
        <w:t>时</w:t>
      </w:r>
      <w:r>
        <w:rPr>
          <w:rFonts w:hint="eastAsia" w:ascii="仿宋" w:hAnsi="仿宋" w:eastAsia="仿宋" w:cs="仿宋"/>
          <w:sz w:val="24"/>
          <w:shd w:val="pct10" w:color="auto" w:fill="FFFFFF"/>
        </w:rPr>
        <w:t>（北京时间）</w:t>
      </w:r>
      <w:r>
        <w:rPr>
          <w:rFonts w:hint="eastAsia" w:ascii="仿宋" w:hAnsi="仿宋" w:eastAsia="仿宋" w:cs="仿宋"/>
          <w:sz w:val="24"/>
        </w:rPr>
        <w:t>。</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2、投标文件递交方式：</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(1)电子投标文件：按政采云平台项目采购-电子交易操作指南及本</w:t>
      </w:r>
      <w:r>
        <w:rPr>
          <w:rFonts w:hint="eastAsia" w:ascii="仿宋" w:hAnsi="仿宋" w:eastAsia="仿宋" w:cs="仿宋"/>
          <w:sz w:val="24"/>
          <w:lang w:eastAsia="zh-CN"/>
        </w:rPr>
        <w:t>采购文件</w:t>
      </w:r>
      <w:r>
        <w:rPr>
          <w:rFonts w:hint="eastAsia" w:ascii="仿宋" w:hAnsi="仿宋" w:eastAsia="仿宋" w:cs="仿宋"/>
          <w:sz w:val="24"/>
        </w:rPr>
        <w:t>要求递交。投标人应于</w:t>
      </w:r>
      <w:r>
        <w:rPr>
          <w:rFonts w:hint="eastAsia" w:ascii="仿宋" w:hAnsi="仿宋" w:eastAsia="仿宋" w:cs="仿宋"/>
          <w:sz w:val="24"/>
          <w:shd w:val="pct10" w:color="auto" w:fill="FFFFFF"/>
        </w:rPr>
        <w:t>202</w:t>
      </w:r>
      <w:r>
        <w:rPr>
          <w:rFonts w:hint="eastAsia" w:ascii="仿宋" w:hAnsi="仿宋" w:eastAsia="仿宋" w:cs="仿宋"/>
          <w:sz w:val="24"/>
          <w:shd w:val="pct10" w:color="auto" w:fill="FFFFFF"/>
          <w:lang w:val="en-US" w:eastAsia="zh-CN"/>
        </w:rPr>
        <w:t>3</w:t>
      </w:r>
      <w:r>
        <w:rPr>
          <w:rFonts w:hint="eastAsia" w:ascii="仿宋" w:hAnsi="仿宋" w:eastAsia="仿宋" w:cs="仿宋"/>
          <w:sz w:val="24"/>
          <w:shd w:val="pct10" w:color="auto" w:fill="FFFFFF"/>
        </w:rPr>
        <w:t>年</w:t>
      </w:r>
      <w:r>
        <w:rPr>
          <w:rFonts w:hint="eastAsia" w:ascii="仿宋" w:hAnsi="仿宋" w:eastAsia="仿宋" w:cs="仿宋"/>
          <w:sz w:val="24"/>
          <w:shd w:val="pct10" w:color="auto" w:fill="FFFFFF"/>
          <w:lang w:val="en-US" w:eastAsia="zh-CN"/>
        </w:rPr>
        <w:t>5</w:t>
      </w:r>
      <w:r>
        <w:rPr>
          <w:rFonts w:hint="eastAsia" w:ascii="仿宋" w:hAnsi="仿宋" w:eastAsia="仿宋" w:cs="仿宋"/>
          <w:sz w:val="24"/>
          <w:shd w:val="pct10" w:color="auto" w:fill="FFFFFF"/>
        </w:rPr>
        <w:t>月</w:t>
      </w:r>
      <w:r>
        <w:rPr>
          <w:rFonts w:hint="eastAsia" w:ascii="仿宋" w:hAnsi="仿宋" w:eastAsia="仿宋" w:cs="仿宋"/>
          <w:sz w:val="24"/>
          <w:shd w:val="pct10" w:color="auto" w:fill="FFFFFF"/>
          <w:lang w:val="en-US" w:eastAsia="zh-CN"/>
        </w:rPr>
        <w:t>5</w:t>
      </w:r>
      <w:r>
        <w:rPr>
          <w:rFonts w:hint="eastAsia" w:ascii="仿宋" w:hAnsi="仿宋" w:eastAsia="仿宋" w:cs="仿宋"/>
          <w:sz w:val="24"/>
          <w:shd w:val="pct10" w:color="auto" w:fill="FFFFFF"/>
        </w:rPr>
        <w:t>日</w:t>
      </w:r>
      <w:r>
        <w:rPr>
          <w:rFonts w:hint="eastAsia" w:ascii="仿宋" w:hAnsi="仿宋" w:eastAsia="仿宋" w:cs="仿宋"/>
          <w:sz w:val="24"/>
          <w:shd w:val="pct10" w:color="auto" w:fill="FFFFFF"/>
          <w:lang w:val="en-US" w:eastAsia="zh-CN"/>
        </w:rPr>
        <w:t>13:30</w:t>
      </w:r>
      <w:r>
        <w:rPr>
          <w:rFonts w:hint="eastAsia" w:ascii="仿宋" w:hAnsi="仿宋" w:eastAsia="仿宋" w:cs="仿宋"/>
          <w:sz w:val="24"/>
          <w:shd w:val="pct10" w:color="auto" w:fill="FFFFFF"/>
          <w:lang w:eastAsia="zh-CN"/>
        </w:rPr>
        <w:t>时</w:t>
      </w:r>
      <w:r>
        <w:rPr>
          <w:rFonts w:hint="eastAsia" w:ascii="仿宋" w:hAnsi="仿宋" w:eastAsia="仿宋" w:cs="仿宋"/>
          <w:sz w:val="24"/>
        </w:rPr>
        <w:t>(北京时间）前将加密的电子版投标文件上传到政采云系统中（不准时上传视为不参加）。</w:t>
      </w:r>
    </w:p>
    <w:p>
      <w:pPr>
        <w:spacing w:line="5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kern w:val="0"/>
          <w:sz w:val="24"/>
        </w:rPr>
        <w:t>递交主要有以下两种方式：①</w:t>
      </w:r>
      <w:r>
        <w:rPr>
          <w:rFonts w:hint="eastAsia" w:ascii="仿宋" w:hAnsi="仿宋" w:eastAsia="仿宋" w:cs="仿宋"/>
          <w:kern w:val="0"/>
          <w:sz w:val="24"/>
        </w:rPr>
        <w:t>通过邮寄快递方式送达，邮寄地址为：</w:t>
      </w:r>
      <w:r>
        <w:rPr>
          <w:rFonts w:hint="eastAsia" w:ascii="仿宋" w:hAnsi="仿宋" w:eastAsia="仿宋" w:cs="仿宋"/>
          <w:kern w:val="0"/>
          <w:sz w:val="24"/>
          <w:lang w:eastAsia="zh-CN"/>
        </w:rPr>
        <w:t>湖州帆华工程管理有限公司</w:t>
      </w:r>
      <w:r>
        <w:rPr>
          <w:rFonts w:hint="eastAsia" w:ascii="仿宋" w:hAnsi="仿宋" w:eastAsia="仿宋" w:cs="仿宋"/>
          <w:kern w:val="0"/>
          <w:sz w:val="24"/>
        </w:rPr>
        <w:t>[</w:t>
      </w:r>
      <w:r>
        <w:rPr>
          <w:rFonts w:hint="eastAsia" w:ascii="仿宋" w:hAnsi="仿宋" w:eastAsia="仿宋" w:cs="仿宋"/>
          <w:sz w:val="24"/>
          <w:lang w:eastAsia="zh-CN"/>
        </w:rPr>
        <w:t>湖州市太湖路1155号8层</w:t>
      </w:r>
      <w:r>
        <w:rPr>
          <w:rFonts w:hint="eastAsia" w:ascii="仿宋" w:hAnsi="仿宋" w:eastAsia="仿宋" w:cs="仿宋"/>
          <w:kern w:val="0"/>
          <w:sz w:val="24"/>
        </w:rPr>
        <w:t>]，联系电话：0572-</w:t>
      </w:r>
      <w:r>
        <w:rPr>
          <w:rFonts w:hint="eastAsia" w:ascii="仿宋" w:hAnsi="仿宋" w:eastAsia="仿宋" w:cs="仿宋"/>
          <w:kern w:val="0"/>
          <w:sz w:val="24"/>
          <w:lang w:eastAsia="zh-CN"/>
        </w:rPr>
        <w:t>2292887</w:t>
      </w:r>
      <w:r>
        <w:rPr>
          <w:rFonts w:hint="eastAsia" w:ascii="仿宋" w:hAnsi="仿宋" w:eastAsia="仿宋" w:cs="仿宋"/>
          <w:kern w:val="0"/>
          <w:sz w:val="24"/>
        </w:rPr>
        <w:t>。邮寄截止时间：投标人应</w:t>
      </w:r>
      <w:r>
        <w:rPr>
          <w:rFonts w:hint="eastAsia" w:ascii="仿宋" w:hAnsi="仿宋" w:eastAsia="仿宋" w:cs="仿宋"/>
          <w:kern w:val="0"/>
          <w:sz w:val="24"/>
          <w:highlight w:val="none"/>
        </w:rPr>
        <w:t>于202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日下午17:00时前</w:t>
      </w:r>
      <w:r>
        <w:rPr>
          <w:rFonts w:hint="eastAsia" w:ascii="仿宋" w:hAnsi="仿宋" w:eastAsia="仿宋" w:cs="仿宋"/>
          <w:kern w:val="0"/>
          <w:sz w:val="24"/>
        </w:rPr>
        <w:t>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②若投标人派授权代表</w:t>
      </w:r>
      <w:r>
        <w:rPr>
          <w:rFonts w:hint="eastAsia" w:ascii="仿宋" w:hAnsi="仿宋" w:eastAsia="仿宋" w:cs="仿宋"/>
          <w:kern w:val="0"/>
          <w:sz w:val="24"/>
          <w:lang w:eastAsia="zh-CN"/>
        </w:rPr>
        <w:t>送达</w:t>
      </w:r>
      <w:r>
        <w:rPr>
          <w:rFonts w:hint="eastAsia" w:ascii="仿宋" w:hAnsi="仿宋" w:eastAsia="仿宋" w:cs="仿宋"/>
          <w:kern w:val="0"/>
          <w:sz w:val="24"/>
        </w:rPr>
        <w:t>（授权代表必须携带身份证、法人授权委托书或法人身份证明文书等有效证明文件。未携带有效证明文件，其数据电子备份投标文件将被拒绝），数据电子备份投标文件（U盘）应在2023年</w:t>
      </w:r>
      <w:r>
        <w:rPr>
          <w:rFonts w:hint="eastAsia" w:ascii="仿宋" w:hAnsi="仿宋" w:eastAsia="仿宋" w:cs="仿宋"/>
          <w:kern w:val="0"/>
          <w:sz w:val="24"/>
          <w:lang w:val="en-US" w:eastAsia="zh-CN"/>
        </w:rPr>
        <w:t>5</w:t>
      </w:r>
      <w:r>
        <w:rPr>
          <w:rFonts w:hint="eastAsia" w:ascii="仿宋" w:hAnsi="仿宋" w:eastAsia="仿宋" w:cs="仿宋"/>
          <w:kern w:val="0"/>
          <w:sz w:val="24"/>
        </w:rPr>
        <w:t>月</w:t>
      </w:r>
      <w:r>
        <w:rPr>
          <w:rFonts w:hint="eastAsia" w:ascii="仿宋" w:hAnsi="仿宋" w:eastAsia="仿宋" w:cs="仿宋"/>
          <w:kern w:val="0"/>
          <w:sz w:val="24"/>
          <w:lang w:val="en-US" w:eastAsia="zh-CN"/>
        </w:rPr>
        <w:t>4</w:t>
      </w:r>
      <w:r>
        <w:rPr>
          <w:rFonts w:hint="eastAsia" w:ascii="仿宋" w:hAnsi="仿宋" w:eastAsia="仿宋" w:cs="仿宋"/>
          <w:kern w:val="0"/>
          <w:sz w:val="24"/>
        </w:rPr>
        <w:t>日下午17:00时前准时送达，逾期不予受理。</w:t>
      </w:r>
    </w:p>
    <w:p>
      <w:pPr>
        <w:widowControl/>
        <w:spacing w:line="540" w:lineRule="exact"/>
        <w:ind w:left="44" w:leftChars="21" w:right="60" w:firstLine="482" w:firstLineChars="200"/>
        <w:jc w:val="left"/>
        <w:rPr>
          <w:rFonts w:hint="eastAsia" w:ascii="仿宋" w:hAnsi="仿宋" w:eastAsia="仿宋" w:cs="仿宋"/>
          <w:kern w:val="0"/>
          <w:sz w:val="24"/>
        </w:rPr>
      </w:pPr>
      <w:r>
        <w:rPr>
          <w:rFonts w:hint="eastAsia" w:ascii="仿宋" w:hAnsi="仿宋" w:eastAsia="仿宋" w:cs="仿宋"/>
          <w:b/>
          <w:kern w:val="0"/>
          <w:sz w:val="24"/>
        </w:rPr>
        <w:t>注：（1）投标人应权衡利弊考虑是否提供数据电子备份投标文件（U盘），采购人及采购代理机构不做强制性要求，若因下一条款（第3条）原因须启用数据电子备份投标文件（U盘）时，而投标人未提供的，视为放弃投标资格，作无效标处理；（2）投标人应对提供的数据电子备份投标文件（U盘）进行加密处理，若需要启用数据电子备份投标文件（U盘）时，由采购人或采购代理机构启封并进行解密；（3）若投标人未提供数据电子备份投标文件（U盘），招标公告及</w:t>
      </w:r>
      <w:r>
        <w:rPr>
          <w:rFonts w:hint="eastAsia" w:ascii="仿宋" w:hAnsi="仿宋" w:eastAsia="仿宋" w:cs="仿宋"/>
          <w:b/>
          <w:kern w:val="0"/>
          <w:sz w:val="24"/>
          <w:lang w:eastAsia="zh-CN"/>
        </w:rPr>
        <w:t>采购文件</w:t>
      </w:r>
      <w:r>
        <w:rPr>
          <w:rFonts w:hint="eastAsia" w:ascii="仿宋" w:hAnsi="仿宋" w:eastAsia="仿宋" w:cs="仿宋"/>
          <w:b/>
          <w:kern w:val="0"/>
          <w:sz w:val="24"/>
        </w:rPr>
        <w:t>中关于数据电子备份投标文件（U盘）的要求及内容不再适用。</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3、CA锁解密时间为开标当日投标截止时间后</w:t>
      </w:r>
      <w:r>
        <w:rPr>
          <w:rFonts w:hint="eastAsia" w:ascii="仿宋" w:hAnsi="仿宋" w:eastAsia="仿宋" w:cs="仿宋"/>
          <w:sz w:val="24"/>
          <w:shd w:val="pct10" w:color="auto" w:fill="FFFFFF"/>
        </w:rPr>
        <w:t>30分钟内</w:t>
      </w:r>
      <w:r>
        <w:rPr>
          <w:rFonts w:hint="eastAsia" w:ascii="仿宋" w:hAnsi="仿宋" w:eastAsia="仿宋" w:cs="仿宋"/>
          <w:sz w:val="24"/>
        </w:rPr>
        <w:t>。投标截止时间止未完成上传的电子投标文件作无效标处理；未按</w:t>
      </w:r>
      <w:r>
        <w:rPr>
          <w:rFonts w:hint="eastAsia" w:ascii="仿宋" w:hAnsi="仿宋" w:eastAsia="仿宋" w:cs="仿宋"/>
          <w:sz w:val="24"/>
          <w:lang w:eastAsia="zh-CN"/>
        </w:rPr>
        <w:t>采购文件</w:t>
      </w:r>
      <w:r>
        <w:rPr>
          <w:rFonts w:hint="eastAsia" w:ascii="仿宋" w:hAnsi="仿宋" w:eastAsia="仿宋" w:cs="仿宋"/>
          <w:sz w:val="24"/>
        </w:rPr>
        <w:t>要求密封、包装的数据电子备份投标文件（U 盘）将拒绝接收。整个开标过程中若因投标人问题造成电子投标文件无法正常解密的，均认定为未提交电子投标文件，作无效标处理。若因网络或者其他非投标人问题造成电子投标文件无法正常解密的，启用数据电子备份投标文件（U 盘），因投标人自身原因造成数据电子备份投标文件（U 盘）无法打开的，作无效标处理。若正常解密成功，则数据电子备份投标文件（U 盘）不予开启。在下一顺位的投标文件启用时，前一顺位的投标文件自动失效。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4、投标人须在线获取CA数字证书（完成CA数字证书办理预计一周左右，建议各投标人自行把握时间）,办理流程详见</w:t>
      </w:r>
    </w:p>
    <w:p>
      <w:pPr>
        <w:spacing w:line="560" w:lineRule="exact"/>
        <w:rPr>
          <w:rFonts w:hint="eastAsia" w:ascii="仿宋" w:hAnsi="仿宋" w:eastAsia="仿宋" w:cs="仿宋"/>
          <w:sz w:val="24"/>
        </w:rPr>
      </w:pPr>
      <w:r>
        <w:rPr>
          <w:rFonts w:hint="eastAsia" w:ascii="仿宋" w:hAnsi="仿宋" w:eastAsia="仿宋" w:cs="仿宋"/>
          <w:sz w:val="24"/>
        </w:rPr>
        <w:t>“浙江政府采购网”（http://zfcg.czt.zj.gov.cn/),进入“下载专区”下载“电子交易客户端”，制作投标文件。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5、投标人将加密的电子版投标文件于投标截止时间前上传到政采云系统中。</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6、具体的投标文件加密上传等操作详见政采云平台操作指南。</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 xml:space="preserve">八、投标地址：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1、本项目通过“政府采购云平台（www.zcygov.cn）”实行在线投标响应（电子投标）。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2、投标人应当在投标截止时间前，将生成的文件格式“.jmbs”的“电子加密投标 </w:t>
      </w:r>
    </w:p>
    <w:p>
      <w:pPr>
        <w:spacing w:line="560" w:lineRule="exact"/>
        <w:rPr>
          <w:rFonts w:hint="eastAsia" w:ascii="仿宋" w:hAnsi="仿宋" w:eastAsia="仿宋" w:cs="仿宋"/>
          <w:sz w:val="24"/>
        </w:rPr>
      </w:pPr>
      <w:r>
        <w:rPr>
          <w:rFonts w:hint="eastAsia" w:ascii="仿宋" w:hAnsi="仿宋" w:eastAsia="仿宋" w:cs="仿宋"/>
          <w:sz w:val="24"/>
        </w:rPr>
        <w:t xml:space="preserve">文件”上传递交至“政府采购云平台”实行在线投标响应。投标截止时间以后上传递交 </w:t>
      </w:r>
    </w:p>
    <w:p>
      <w:pPr>
        <w:spacing w:line="560" w:lineRule="exact"/>
        <w:rPr>
          <w:rFonts w:hint="eastAsia" w:ascii="仿宋" w:hAnsi="仿宋" w:eastAsia="仿宋" w:cs="仿宋"/>
          <w:sz w:val="24"/>
        </w:rPr>
      </w:pPr>
      <w:r>
        <w:rPr>
          <w:rFonts w:hint="eastAsia" w:ascii="仿宋" w:hAnsi="仿宋" w:eastAsia="仿宋" w:cs="仿宋"/>
          <w:sz w:val="24"/>
        </w:rPr>
        <w:t xml:space="preserve">的投标文件将被“政府采购云平台”拒收，作无效标处理。 </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九、开标时间：202</w:t>
      </w:r>
      <w:r>
        <w:rPr>
          <w:rFonts w:hint="eastAsia" w:ascii="仿宋" w:hAnsi="仿宋" w:eastAsia="仿宋" w:cs="仿宋"/>
          <w:b/>
          <w:sz w:val="24"/>
          <w:lang w:val="en-US" w:eastAsia="zh-CN"/>
        </w:rPr>
        <w:t>3</w:t>
      </w:r>
      <w:r>
        <w:rPr>
          <w:rFonts w:hint="eastAsia" w:ascii="仿宋" w:hAnsi="仿宋" w:eastAsia="仿宋" w:cs="仿宋"/>
          <w:b/>
          <w:sz w:val="24"/>
        </w:rPr>
        <w:t>年</w:t>
      </w:r>
      <w:r>
        <w:rPr>
          <w:rFonts w:hint="eastAsia" w:ascii="仿宋" w:hAnsi="仿宋" w:eastAsia="仿宋" w:cs="仿宋"/>
          <w:b/>
          <w:sz w:val="24"/>
          <w:lang w:val="en-US" w:eastAsia="zh-CN"/>
        </w:rPr>
        <w:t>5</w:t>
      </w:r>
      <w:r>
        <w:rPr>
          <w:rFonts w:hint="eastAsia" w:ascii="仿宋" w:hAnsi="仿宋" w:eastAsia="仿宋" w:cs="仿宋"/>
          <w:b/>
          <w:sz w:val="24"/>
        </w:rPr>
        <w:t>月</w:t>
      </w:r>
      <w:r>
        <w:rPr>
          <w:rFonts w:hint="eastAsia" w:ascii="仿宋" w:hAnsi="仿宋" w:eastAsia="仿宋" w:cs="仿宋"/>
          <w:b/>
          <w:sz w:val="24"/>
          <w:lang w:val="en-US" w:eastAsia="zh-CN"/>
        </w:rPr>
        <w:t>5</w:t>
      </w:r>
      <w:r>
        <w:rPr>
          <w:rFonts w:hint="eastAsia" w:ascii="仿宋" w:hAnsi="仿宋" w:eastAsia="仿宋" w:cs="仿宋"/>
          <w:b/>
          <w:sz w:val="24"/>
        </w:rPr>
        <w:t>日</w:t>
      </w:r>
      <w:r>
        <w:rPr>
          <w:rFonts w:hint="eastAsia" w:ascii="仿宋" w:hAnsi="仿宋" w:eastAsia="仿宋" w:cs="仿宋"/>
          <w:b/>
          <w:sz w:val="24"/>
          <w:lang w:val="en-US" w:eastAsia="zh-CN"/>
        </w:rPr>
        <w:t>13:30</w:t>
      </w:r>
      <w:r>
        <w:rPr>
          <w:rFonts w:hint="eastAsia" w:ascii="仿宋" w:hAnsi="仿宋" w:eastAsia="仿宋" w:cs="仿宋"/>
          <w:b/>
          <w:sz w:val="24"/>
          <w:lang w:eastAsia="zh-CN"/>
        </w:rPr>
        <w:t>时</w:t>
      </w:r>
      <w:r>
        <w:rPr>
          <w:rFonts w:hint="eastAsia" w:ascii="仿宋" w:hAnsi="仿宋" w:eastAsia="仿宋" w:cs="仿宋"/>
          <w:b/>
          <w:sz w:val="24"/>
        </w:rPr>
        <w:t xml:space="preserve">整 </w:t>
      </w:r>
    </w:p>
    <w:p>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十、开标地址：</w:t>
      </w:r>
      <w:r>
        <w:rPr>
          <w:rFonts w:hint="eastAsia" w:ascii="仿宋" w:hAnsi="仿宋" w:eastAsia="仿宋" w:cs="仿宋"/>
          <w:sz w:val="24"/>
        </w:rPr>
        <w:t xml:space="preserve">投标人应在投标截止时间前登入“政府采购云平台（www.zcygov.cn）”在线参与开标，并完成 CA 锁在线解密投标文件等相关工作。 </w:t>
      </w:r>
    </w:p>
    <w:p>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十</w:t>
      </w:r>
      <w:r>
        <w:rPr>
          <w:rFonts w:hint="eastAsia" w:ascii="仿宋" w:hAnsi="仿宋" w:eastAsia="仿宋" w:cs="仿宋"/>
          <w:b/>
          <w:sz w:val="24"/>
          <w:lang w:eastAsia="zh-CN"/>
        </w:rPr>
        <w:t>一</w:t>
      </w:r>
      <w:r>
        <w:rPr>
          <w:rFonts w:hint="eastAsia" w:ascii="仿宋" w:hAnsi="仿宋" w:eastAsia="仿宋" w:cs="仿宋"/>
          <w:b/>
          <w:sz w:val="24"/>
        </w:rPr>
        <w:t>、其他事项：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1、本项目为电子招投标项目，实行网上招投标，应按照本</w:t>
      </w:r>
      <w:r>
        <w:rPr>
          <w:rFonts w:hint="eastAsia" w:ascii="仿宋" w:hAnsi="仿宋" w:eastAsia="仿宋" w:cs="仿宋"/>
          <w:sz w:val="24"/>
          <w:lang w:eastAsia="zh-CN"/>
        </w:rPr>
        <w:t>采购文件</w:t>
      </w:r>
      <w:r>
        <w:rPr>
          <w:rFonts w:hint="eastAsia" w:ascii="仿宋" w:hAnsi="仿宋" w:eastAsia="仿宋" w:cs="仿宋"/>
          <w:sz w:val="24"/>
        </w:rPr>
        <w:t xml:space="preserve">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锁，投标人在使用系统进行投标的过程中遇到涉及平台使用的任何问题，可致电政采云平台技术支持热线咨询，联系方式：400-881-7190。其中数据电子备份投标文件（U 盘）在投标截止时间前于开标现场以密封、包装的形式提供。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2、投标人如认为</w:t>
      </w:r>
      <w:r>
        <w:rPr>
          <w:rFonts w:hint="eastAsia" w:ascii="仿宋" w:hAnsi="仿宋" w:eastAsia="仿宋" w:cs="仿宋"/>
          <w:sz w:val="24"/>
          <w:lang w:eastAsia="zh-CN"/>
        </w:rPr>
        <w:t>采购文件</w:t>
      </w:r>
      <w:r>
        <w:rPr>
          <w:rFonts w:hint="eastAsia" w:ascii="仿宋" w:hAnsi="仿宋" w:eastAsia="仿宋" w:cs="仿宋"/>
          <w:sz w:val="24"/>
        </w:rPr>
        <w:t>表述不清晰、存在歧视性或者其他违法内容的，可以在知道或者应知其权益受到损害之日起 7 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w:t>
      </w:r>
      <w:r>
        <w:rPr>
          <w:rFonts w:hint="eastAsia" w:ascii="仿宋" w:hAnsi="仿宋" w:eastAsia="仿宋" w:cs="仿宋"/>
          <w:sz w:val="24"/>
          <w:lang w:eastAsia="zh-CN"/>
        </w:rPr>
        <w:t>采购文件</w:t>
      </w:r>
      <w:r>
        <w:rPr>
          <w:rFonts w:hint="eastAsia" w:ascii="仿宋" w:hAnsi="仿宋" w:eastAsia="仿宋" w:cs="仿宋"/>
          <w:sz w:val="24"/>
        </w:rPr>
        <w:t xml:space="preserve">的组成部分，并将在网上发布补充（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3、潜在投标人已依法获取其可质疑的</w:t>
      </w:r>
      <w:r>
        <w:rPr>
          <w:rFonts w:hint="eastAsia" w:ascii="仿宋" w:hAnsi="仿宋" w:eastAsia="仿宋" w:cs="仿宋"/>
          <w:sz w:val="24"/>
          <w:lang w:eastAsia="zh-CN"/>
        </w:rPr>
        <w:t>采购文件</w:t>
      </w:r>
      <w:r>
        <w:rPr>
          <w:rFonts w:hint="eastAsia" w:ascii="仿宋" w:hAnsi="仿宋" w:eastAsia="仿宋" w:cs="仿宋"/>
          <w:sz w:val="24"/>
        </w:rPr>
        <w:t>，可以对该文件提出质疑。未按照规定方式依法获取</w:t>
      </w:r>
      <w:r>
        <w:rPr>
          <w:rFonts w:hint="eastAsia" w:ascii="仿宋" w:hAnsi="仿宋" w:eastAsia="仿宋" w:cs="仿宋"/>
          <w:sz w:val="24"/>
          <w:lang w:eastAsia="zh-CN"/>
        </w:rPr>
        <w:t>采购文件</w:t>
      </w:r>
      <w:r>
        <w:rPr>
          <w:rFonts w:hint="eastAsia" w:ascii="仿宋" w:hAnsi="仿宋" w:eastAsia="仿宋" w:cs="仿宋"/>
          <w:sz w:val="24"/>
        </w:rPr>
        <w:t>的，不得对</w:t>
      </w:r>
      <w:r>
        <w:rPr>
          <w:rFonts w:hint="eastAsia" w:ascii="仿宋" w:hAnsi="仿宋" w:eastAsia="仿宋" w:cs="仿宋"/>
          <w:sz w:val="24"/>
          <w:lang w:eastAsia="zh-CN"/>
        </w:rPr>
        <w:t>采购文件</w:t>
      </w:r>
      <w:r>
        <w:rPr>
          <w:rFonts w:hint="eastAsia" w:ascii="仿宋" w:hAnsi="仿宋" w:eastAsia="仿宋" w:cs="仿宋"/>
          <w:sz w:val="24"/>
        </w:rPr>
        <w:t xml:space="preserve">提起质疑投诉。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4、答疑内容是</w:t>
      </w:r>
      <w:r>
        <w:rPr>
          <w:rFonts w:hint="eastAsia" w:ascii="仿宋" w:hAnsi="仿宋" w:eastAsia="仿宋" w:cs="仿宋"/>
          <w:sz w:val="24"/>
          <w:lang w:eastAsia="zh-CN"/>
        </w:rPr>
        <w:t>采购文件</w:t>
      </w:r>
      <w:r>
        <w:rPr>
          <w:rFonts w:hint="eastAsia" w:ascii="仿宋" w:hAnsi="仿宋" w:eastAsia="仿宋" w:cs="仿宋"/>
          <w:sz w:val="24"/>
        </w:rPr>
        <w:t xml:space="preserve">的组成部分，并将在网上发布补充（答疑、澄清）文件，潜在投标人应自行关注网站公告，采购人不再一一通知，投标人因自身贻误行为导致投标失效的，责任自负。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5、参与政府采购项目的注册投标人，需登录浙江政府采购云平台 （http://www.zcygov.cn）进行网上报名，尚未注册的投标人应当先在浙江政府采购云平台上申请注册，注册终审通过后再进行网上报名。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7、本项目是否专门面向中小企业采购：</w:t>
      </w:r>
      <w:r>
        <w:rPr>
          <w:rFonts w:hint="eastAsia" w:ascii="仿宋" w:hAnsi="仿宋" w:eastAsia="仿宋" w:cs="仿宋"/>
          <w:sz w:val="24"/>
          <w:lang w:eastAsia="zh-CN"/>
        </w:rPr>
        <w:t>否</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8、本项目公告发布网站：浙江政府采购网：http://zfcg.czt.zj.gov.cn/ 、湖州市公共资源交易信息网：</w:t>
      </w:r>
      <w:r>
        <w:rPr>
          <w:rFonts w:hint="eastAsia" w:ascii="仿宋" w:hAnsi="仿宋" w:eastAsia="仿宋" w:cs="仿宋"/>
          <w:sz w:val="24"/>
          <w:lang w:eastAsia="zh-CN"/>
        </w:rPr>
        <w:t>http://ggzyjy.huzhou.gov.cn/</w:t>
      </w:r>
      <w:r>
        <w:rPr>
          <w:rFonts w:hint="eastAsia" w:ascii="仿宋" w:hAnsi="仿宋" w:eastAsia="仿宋" w:cs="仿宋"/>
          <w:sz w:val="24"/>
        </w:rPr>
        <w:t xml:space="preserve">-“政府采购”模块 </w:t>
      </w:r>
    </w:p>
    <w:p>
      <w:pPr>
        <w:spacing w:line="560" w:lineRule="exact"/>
        <w:ind w:firstLine="482" w:firstLineChars="200"/>
        <w:rPr>
          <w:rFonts w:hint="eastAsia" w:ascii="仿宋" w:hAnsi="仿宋" w:eastAsia="仿宋" w:cs="仿宋"/>
          <w:b/>
          <w:sz w:val="24"/>
        </w:rPr>
      </w:pPr>
      <w:r>
        <w:rPr>
          <w:rFonts w:hint="eastAsia" w:ascii="仿宋" w:hAnsi="仿宋" w:eastAsia="仿宋" w:cs="仿宋"/>
          <w:b/>
          <w:bCs/>
          <w:sz w:val="24"/>
        </w:rPr>
        <w:t>十</w:t>
      </w:r>
      <w:r>
        <w:rPr>
          <w:rFonts w:hint="eastAsia" w:ascii="仿宋" w:hAnsi="仿宋" w:eastAsia="仿宋" w:cs="仿宋"/>
          <w:b/>
          <w:bCs/>
          <w:sz w:val="24"/>
          <w:lang w:eastAsia="zh-CN"/>
        </w:rPr>
        <w:t>二</w:t>
      </w:r>
      <w:r>
        <w:rPr>
          <w:rFonts w:hint="eastAsia" w:ascii="仿宋" w:hAnsi="仿宋" w:eastAsia="仿宋" w:cs="仿宋"/>
          <w:b/>
          <w:bCs/>
          <w:sz w:val="24"/>
        </w:rPr>
        <w:t xml:space="preserve"> 、</w:t>
      </w:r>
      <w:r>
        <w:rPr>
          <w:rFonts w:hint="eastAsia" w:ascii="仿宋" w:hAnsi="仿宋" w:eastAsia="仿宋" w:cs="仿宋"/>
          <w:b/>
          <w:sz w:val="24"/>
        </w:rPr>
        <w:t>联系方式：</w:t>
      </w:r>
    </w:p>
    <w:p>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1、采购代理机构名称：</w:t>
      </w:r>
      <w:r>
        <w:rPr>
          <w:rFonts w:hint="eastAsia" w:ascii="仿宋" w:hAnsi="仿宋" w:eastAsia="仿宋" w:cs="仿宋"/>
          <w:color w:val="auto"/>
          <w:sz w:val="24"/>
          <w:highlight w:val="none"/>
          <w:lang w:eastAsia="zh-CN"/>
        </w:rPr>
        <w:t>湖州帆华工程管理有限公司</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eastAsia="zh-CN"/>
        </w:rPr>
        <w:t>沈小坤</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联系电话：0572-2292887   </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质疑函接收人：朱圻睿   联系电话：13362210699</w:t>
      </w:r>
    </w:p>
    <w:p>
      <w:pPr>
        <w:snapToGrid w:val="0"/>
        <w:spacing w:line="400" w:lineRule="exact"/>
        <w:ind w:firstLine="480" w:firstLineChars="200"/>
        <w:jc w:val="left"/>
        <w:rPr>
          <w:rFonts w:hint="eastAsia" w:ascii="仿宋" w:hAnsi="仿宋" w:eastAsia="仿宋" w:cs="仿宋"/>
        </w:rPr>
      </w:pPr>
      <w:r>
        <w:rPr>
          <w:rFonts w:hint="eastAsia" w:ascii="仿宋" w:hAnsi="仿宋" w:eastAsia="仿宋" w:cs="仿宋"/>
          <w:sz w:val="24"/>
        </w:rPr>
        <w:t>地址：湖州市太湖路1155号中新商务大厦8层</w:t>
      </w:r>
    </w:p>
    <w:p>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2、采购人名称：</w:t>
      </w:r>
      <w:r>
        <w:rPr>
          <w:rFonts w:hint="eastAsia" w:ascii="仿宋" w:hAnsi="仿宋" w:eastAsia="仿宋" w:cs="仿宋"/>
          <w:color w:val="auto"/>
          <w:sz w:val="24"/>
          <w:highlight w:val="none"/>
          <w:lang w:eastAsia="zh-CN"/>
        </w:rPr>
        <w:t>湖州市民政局</w:t>
      </w:r>
    </w:p>
    <w:p>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：方冲</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0572-2100576</w:t>
      </w:r>
    </w:p>
    <w:p>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质疑联系人：顾闻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0572-2655802</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李女士</w:t>
      </w:r>
      <w:r>
        <w:rPr>
          <w:rFonts w:hint="eastAsia" w:ascii="仿宋" w:hAnsi="仿宋" w:eastAsia="仿宋" w:cs="仿宋"/>
          <w:color w:val="auto"/>
          <w:sz w:val="24"/>
          <w:highlight w:val="none"/>
        </w:rPr>
        <w:t xml:space="preserve">         联系电话：0572-2150086</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地址：湖州市龙王山路518号</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napToGrid w:val="0"/>
        <w:spacing w:line="560" w:lineRule="exact"/>
        <w:ind w:firstLine="640" w:firstLineChars="200"/>
        <w:jc w:val="center"/>
        <w:rPr>
          <w:rFonts w:hint="eastAsia" w:ascii="仿宋" w:hAnsi="仿宋" w:eastAsia="仿宋" w:cs="仿宋"/>
          <w:sz w:val="32"/>
        </w:rPr>
      </w:pPr>
      <w:r>
        <w:rPr>
          <w:rFonts w:hint="eastAsia" w:ascii="仿宋" w:hAnsi="仿宋" w:eastAsia="仿宋" w:cs="仿宋"/>
          <w:sz w:val="32"/>
        </w:rPr>
        <w:t>第二章招标</w:t>
      </w:r>
      <w:bookmarkEnd w:id="3"/>
      <w:bookmarkEnd w:id="4"/>
      <w:bookmarkEnd w:id="5"/>
      <w:r>
        <w:rPr>
          <w:rFonts w:hint="eastAsia" w:ascii="仿宋" w:hAnsi="仿宋" w:eastAsia="仿宋" w:cs="仿宋"/>
          <w:sz w:val="32"/>
        </w:rPr>
        <w:t>需求</w:t>
      </w:r>
    </w:p>
    <w:p>
      <w:pPr>
        <w:spacing w:line="500" w:lineRule="exact"/>
        <w:jc w:val="left"/>
        <w:rPr>
          <w:rFonts w:hint="eastAsia" w:ascii="仿宋" w:hAnsi="仿宋" w:eastAsia="仿宋" w:cs="仿宋"/>
          <w:b/>
          <w:bCs/>
          <w:sz w:val="24"/>
        </w:rPr>
      </w:pPr>
      <w:r>
        <w:rPr>
          <w:rFonts w:hint="eastAsia" w:ascii="仿宋" w:hAnsi="仿宋" w:eastAsia="仿宋" w:cs="仿宋"/>
          <w:b/>
          <w:sz w:val="24"/>
        </w:rPr>
        <w:t>一、项目编号：HZFH2023-011号</w:t>
      </w:r>
    </w:p>
    <w:p>
      <w:pPr>
        <w:spacing w:line="500" w:lineRule="exact"/>
        <w:rPr>
          <w:rFonts w:hint="eastAsia" w:ascii="仿宋" w:hAnsi="仿宋" w:eastAsia="仿宋" w:cs="仿宋"/>
          <w:sz w:val="24"/>
          <w:lang w:eastAsia="zh-CN"/>
        </w:rPr>
      </w:pPr>
      <w:r>
        <w:rPr>
          <w:rFonts w:hint="eastAsia" w:ascii="仿宋" w:hAnsi="仿宋" w:eastAsia="仿宋" w:cs="仿宋"/>
          <w:b/>
          <w:sz w:val="24"/>
        </w:rPr>
        <w:t>二、采购人名称：</w:t>
      </w:r>
      <w:r>
        <w:rPr>
          <w:rFonts w:hint="eastAsia" w:ascii="仿宋" w:hAnsi="仿宋" w:eastAsia="仿宋" w:cs="仿宋"/>
          <w:sz w:val="24"/>
          <w:lang w:eastAsia="zh-CN"/>
        </w:rPr>
        <w:t>湖州市民政局</w:t>
      </w:r>
    </w:p>
    <w:p>
      <w:pPr>
        <w:spacing w:line="500" w:lineRule="exact"/>
        <w:jc w:val="left"/>
        <w:rPr>
          <w:rFonts w:hint="eastAsia" w:ascii="仿宋" w:hAnsi="仿宋" w:eastAsia="仿宋" w:cs="仿宋"/>
          <w:sz w:val="24"/>
          <w:highlight w:val="none"/>
          <w:lang w:eastAsia="zh-CN"/>
        </w:rPr>
      </w:pPr>
      <w:r>
        <w:rPr>
          <w:rFonts w:hint="eastAsia" w:ascii="仿宋" w:hAnsi="仿宋" w:eastAsia="仿宋" w:cs="仿宋"/>
          <w:b/>
          <w:sz w:val="24"/>
        </w:rPr>
        <w:t>三、采</w:t>
      </w:r>
      <w:r>
        <w:rPr>
          <w:rFonts w:hint="eastAsia" w:ascii="仿宋" w:hAnsi="仿宋" w:eastAsia="仿宋" w:cs="仿宋"/>
          <w:b/>
          <w:sz w:val="24"/>
          <w:highlight w:val="none"/>
        </w:rPr>
        <w:t>购项目：</w:t>
      </w:r>
      <w:r>
        <w:rPr>
          <w:rFonts w:hint="eastAsia" w:ascii="仿宋" w:hAnsi="仿宋" w:eastAsia="仿宋" w:cs="仿宋"/>
          <w:sz w:val="24"/>
          <w:highlight w:val="none"/>
          <w:lang w:eastAsia="zh-CN"/>
        </w:rPr>
        <w:t>湖州市民政局2023年度湖州市老年人意外伤害统筹保险采购项目</w:t>
      </w:r>
    </w:p>
    <w:p>
      <w:pPr>
        <w:snapToGrid w:val="0"/>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四、招标</w:t>
      </w:r>
      <w:r>
        <w:rPr>
          <w:rFonts w:hint="eastAsia" w:ascii="仿宋" w:hAnsi="仿宋" w:eastAsia="仿宋" w:cs="仿宋"/>
          <w:b/>
          <w:sz w:val="24"/>
          <w:highlight w:val="none"/>
          <w:lang w:eastAsia="zh-CN"/>
        </w:rPr>
        <w:t>内容</w:t>
      </w:r>
      <w:r>
        <w:rPr>
          <w:rFonts w:hint="eastAsia" w:ascii="仿宋" w:hAnsi="仿宋" w:eastAsia="仿宋" w:cs="仿宋"/>
          <w:b/>
          <w:sz w:val="24"/>
          <w:highlight w:val="none"/>
        </w:rPr>
        <w:t>：</w:t>
      </w:r>
      <w:bookmarkStart w:id="6" w:name="_Toc9632"/>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（一）招标项目概况</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2023年度湖州市老年人意外伤害统筹保险采购项目分三个标项进行招标，标项1（服务区域为南浔区，保险数量约19.33万份，采购预算人民币831.19万元）、标项2（服务区域为吴兴区，保险数量约15.7万份，采购预算人民币675.1万元）、标项3（服务区域为南太湖新区，保险数量约5.08万份，采购预算人民币218.44万元）。</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2、本项目3个标项同时开标，开标顺序按标项顺序，允许供应商多标段报名，但每个供应商只允许中标 1个标项，中标顺序根据开标顺序；已中标供应商的投标文件依然进入下一标项的评审，但不再推荐为中标供应商。</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3、以上服务区域的保险数量为预估数量，最终以实际需求数量进行结算。</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（二）项目招标需求</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为了促进老年社会保障事业更好地适应市场经济体制要求，提高应对人口老龄化的能力，减轻政府和家庭的负担，提高老年人的生活质量。倡导老年人投保意外伤害保险，提高老年人抵御意外风险的能力，发挥商业保险的重要补充作用，湖州市民政局会在全市范围内推出湖州市老年人意外伤害统筹保险项目。</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保险对象：</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政府补贴：湖州市户籍60周岁（含）以上老年人，政府补贴一份；其中最低生活保障家庭中的老年人、最低生活保障边缘家庭中的老年人、特困人员中的老年人、计划生育特殊家庭中的老年人、高龄老人，政府再补贴一份，合计两份。【上述60周岁老年人是指在2023年5月1日前达到60周岁的老年人、高龄老人指2023年5月1日前达到80周岁的老年人】</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（2）个人购买：湖州市户籍50周岁及以上人员；不具有湖州市户籍在湖州市居住生活的50周岁及以上人员。【上述50周岁及以上是指在2023年5月1日前达到50周岁的老年人】</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（3）本保险系湖州市民政局为湖州市老年人专门定制的，本保险最高限购3份（含政府补贴部分）</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（三）保险方案</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1、保险险种：湖州市老年人意外伤害统筹保险。</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保险范围”必须包括以下内容，具体的“保险范围”供应商可在投标文件中详细列明；“赔偿限额”为编制招标方案所需，供应商应根据自身情况在投标文件中详细列出具体保险金额及赔付细则，完成满足采购文件要求。（赔付金额不得低于或高于列表中的赔偿限额）</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（四）保险责任（扩展及摘要）</w:t>
      </w:r>
    </w:p>
    <w:p>
      <w:pPr>
        <w:tabs>
          <w:tab w:val="left" w:pos="1288"/>
        </w:tabs>
        <w:autoSpaceDE w:val="0"/>
        <w:autoSpaceDN w:val="0"/>
        <w:snapToGrid w:val="0"/>
        <w:spacing w:line="480" w:lineRule="exact"/>
        <w:ind w:firstLine="470" w:firstLineChars="196"/>
        <w:rPr>
          <w:rFonts w:hint="eastAsia" w:ascii="仿宋" w:hAnsi="仿宋" w:eastAsia="仿宋" w:cs="仿宋"/>
          <w:sz w:val="24"/>
        </w:rPr>
      </w:pPr>
      <w:r>
        <w:rPr>
          <w:rFonts w:hint="eastAsia" w:ascii="仿宋" w:hAnsi="仿宋" w:eastAsia="仿宋" w:cs="仿宋"/>
          <w:sz w:val="24"/>
        </w:rPr>
        <w:t>在保险有效期内，被保险人遭受意外伤害导致被保险人身故、残疾或有医疗费支出及住院津贴，保险人依据下列约定承担赔偿责任：</w:t>
      </w:r>
    </w:p>
    <w:tbl>
      <w:tblPr>
        <w:tblStyle w:val="1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98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38"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保险范围</w:t>
            </w: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38" w:type="dxa"/>
            <w:vMerge w:val="restart"/>
            <w:noWrap/>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全国范围内</w:t>
            </w:r>
          </w:p>
          <w:p>
            <w:pPr>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（港、澳、台除外）</w:t>
            </w: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意外身故最高赔偿限额5000元/人/份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意外残疾最高赔偿限额15000元/人/份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意外伤害医疗费最高赔偿限额1000元/人/份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意外住院津贴最高赔付5400元/人/份（每次最高赔付30天，累计最高赔付90天，每天赔付60元/人/份））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意外骨折康复津贴每次最高赔付1000元/人/份，累计最高赔付3000元/人/份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298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因意外导致被保险人受到伤害，由二级及二级以上医院或骨伤科医院出具相关证明或建议进行康复治疗的，且由康复机构出具诊疗记录（如门诊记录、器械使用记录、住院记录等）</w:t>
            </w:r>
          </w:p>
        </w:tc>
        <w:tc>
          <w:tcPr>
            <w:tcW w:w="3167" w:type="dxa"/>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门诊康复的，保险人承担门诊康复津贴，每天100元/人/份，最高赔付60天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29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p>
        </w:tc>
        <w:tc>
          <w:tcPr>
            <w:tcW w:w="3167" w:type="dxa"/>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住院康复的，保险人承担住院康复津贴，每天200元/人/份，最高赔付60天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8" w:type="dxa"/>
            <w:vMerge w:val="continue"/>
            <w:noWrap/>
            <w:vAlign w:val="center"/>
          </w:tcPr>
          <w:p>
            <w:pPr>
              <w:rPr>
                <w:rFonts w:hint="eastAsia" w:ascii="仿宋" w:hAnsi="仿宋" w:eastAsia="仿宋" w:cs="仿宋"/>
                <w:sz w:val="24"/>
                <w:szCs w:val="24"/>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突发急性病身故（猝死）慰问金2000元/人/份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8"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保险费</w:t>
            </w:r>
          </w:p>
        </w:tc>
        <w:tc>
          <w:tcPr>
            <w:tcW w:w="6152" w:type="dxa"/>
            <w:gridSpan w:val="2"/>
            <w:noWrap/>
            <w:vAlign w:val="center"/>
          </w:tcPr>
          <w:p>
            <w:pPr>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43</w:t>
            </w:r>
            <w:r>
              <w:rPr>
                <w:rFonts w:hint="eastAsia" w:ascii="仿宋" w:hAnsi="仿宋" w:eastAsia="仿宋" w:cs="仿宋"/>
                <w:b/>
                <w:bCs/>
                <w:sz w:val="24"/>
                <w:szCs w:val="24"/>
                <w:highlight w:val="none"/>
              </w:rPr>
              <w:t>元/份/年/人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90"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1.本保险只承担被保险人在全国范围（港、澳、台除外）区内发生的保险事故；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意外医疗费赔付比例：通过医保先行赔付的意外医疗费，剩余部分在医保赔付的范围内保险人同意在扣除免赔额后按照100%赔付；不通过医保直接向保险人赔付的意外医疗费，在医保赔付的范围内保险人同意在扣除免赔额后按照80%赔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3.猝死：由潜在疾病、身体机能障碍或其他非外来性原因所导致的、在出现急性症状后发生的突然死亡，以医院的诊断或公安、司法机关的鉴定为准。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4.对无外伤且无法提供二级及二级以上医院诊断证明或其他权威机构（公安、交警、司法鉴定所）证明属于意外伤害的身故，保险公司不承担保险责任；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5.被保险人身故，家属未及时报案，在火葬处理后报案且无法提供医院诊断证明或其他权威机构（公安、交警、司法鉴定所）证明属于意外伤害的身故，保险公司不承担保险责任；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6.伤残评定标准参照最高人民法院、最高人民检察院、公安部、国家安全部、司法部联合发布的《人体损伤致残程度分级（2017）》执行。若理赔时，上述标准修订或变更，按照新赔偿标准执行；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7.意外骨折康复津贴：在保险期间内，被保险人遭受意外伤害并因该意外伤害而造成骨折的，保险人按《意外骨折康复津贴给付金额对应表》所列骨折类别及骨折程度所对应意外骨折康复津贴标准给付骨折津贴。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8.如果被保险人同时遭受两项以上（含两项）骨折时，保险人只给付较高一项的骨折津贴。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9.被保险人出险，要第一时间拨打保险公司的报案电话进行报案。</w:t>
            </w:r>
          </w:p>
        </w:tc>
      </w:tr>
    </w:tbl>
    <w:p>
      <w:pPr>
        <w:spacing w:line="480" w:lineRule="exact"/>
        <w:ind w:firstLine="482" w:firstLineChars="200"/>
        <w:rPr>
          <w:rFonts w:hint="eastAsia" w:ascii="仿宋" w:hAnsi="仿宋" w:eastAsia="仿宋" w:cs="仿宋"/>
          <w:b/>
          <w:sz w:val="24"/>
        </w:rPr>
      </w:pPr>
      <w:r>
        <w:rPr>
          <w:rFonts w:hint="eastAsia" w:ascii="仿宋" w:hAnsi="仿宋" w:eastAsia="仿宋" w:cs="仿宋"/>
          <w:b/>
          <w:sz w:val="24"/>
        </w:rPr>
        <w:t>1、意外身故保险金、意外残疾保险金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被保险人因遭受意外伤害导致身故、残疾的，乙方按以下约定给付保险金：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被保险人自意外伤害事故发生之日起180日内以该次意外伤害为直接原因导致身故的，或被保险人因意外伤害、自然灾害被人民法院宣告死亡的，乙方按保险单所载意外伤害保险金额给付意外身故保险金。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被保险人因遭受意外伤害事故，并自事故发生之日起一百八十日内造成残疾的，按照《人体损伤致残程度分级（2017）》确定伤残等级，乙方按下表所列比例乘以其保险金额给付“意外伤害残疾保险金”。</w:t>
      </w:r>
    </w:p>
    <w:tbl>
      <w:tblPr>
        <w:tblStyle w:val="1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800"/>
        <w:gridCol w:w="675"/>
        <w:gridCol w:w="674"/>
        <w:gridCol w:w="674"/>
        <w:gridCol w:w="674"/>
        <w:gridCol w:w="674"/>
        <w:gridCol w:w="674"/>
        <w:gridCol w:w="674"/>
        <w:gridCol w:w="67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伤残等级</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6</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7</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8</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9</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残疾赔付比例</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90%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80%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70%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60%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50%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40%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30%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20%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10%</w:t>
            </w:r>
          </w:p>
        </w:tc>
      </w:tr>
    </w:tbl>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pPr>
        <w:spacing w:line="480" w:lineRule="exact"/>
        <w:ind w:firstLine="480" w:firstLineChars="200"/>
        <w:rPr>
          <w:rFonts w:hint="eastAsia" w:ascii="仿宋" w:hAnsi="仿宋" w:eastAsia="仿宋" w:cs="仿宋"/>
          <w:b/>
          <w:sz w:val="24"/>
        </w:rPr>
      </w:pPr>
      <w:r>
        <w:rPr>
          <w:rFonts w:hint="eastAsia" w:ascii="仿宋" w:hAnsi="仿宋" w:eastAsia="仿宋" w:cs="仿宋"/>
          <w:sz w:val="24"/>
        </w:rPr>
        <w:t>乙方对被保险人所负的给付上述各项保险金的责任以意外伤害保险金额为限，一次或累计给付的保险金达到意外伤害保险金额时，乙方对该被保险人的上述各项保险责任终止。</w:t>
      </w:r>
    </w:p>
    <w:p>
      <w:pPr>
        <w:spacing w:line="480" w:lineRule="exact"/>
        <w:ind w:firstLine="482" w:firstLineChars="200"/>
        <w:rPr>
          <w:rFonts w:hint="eastAsia" w:ascii="仿宋" w:hAnsi="仿宋" w:eastAsia="仿宋" w:cs="仿宋"/>
          <w:b/>
          <w:sz w:val="24"/>
        </w:rPr>
      </w:pPr>
      <w:r>
        <w:rPr>
          <w:rFonts w:hint="eastAsia" w:ascii="仿宋" w:hAnsi="仿宋" w:eastAsia="仿宋" w:cs="仿宋"/>
          <w:b/>
          <w:sz w:val="24"/>
        </w:rPr>
        <w:t>2、意外伤害医疗保险金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若被保险人遭受意外伤害在卫生行政部门认定的二级及二级以上医院接受治疗，乙方对被保险人因该次意外伤害的治疗而发生的符合本协议保单签发地政府基本医疗保险管理规定范围内合理的医疗费用，保险人按照保险采购合同相关约定进行赔偿。</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被保险人在保险期间内因意外伤害而住院治疗，至保险期间届满治疗仍未结束的，保险人继续承担本条前述所列的保险责任至住院结束，但最长不超过意外伤害发生之日起第180天。</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被保险人在保险期间内因意外伤害而进行门急诊治疗，至保险期间届满治疗仍未结束的，保险人继续承担本条前述所列的保险责任，但最长不超过意外伤害发生之日起第30天。</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在任何情况下，无论被保险人一次或多次发生意外伤害而进行治疗，保险人均按约定给付保险金，但一次或累计给付的保险金达到意外伤害医疗保险金额时，保险人对被保险人的本项保险责任终止。</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如被保险人在保险期间所发生保险责任范围内的医疗费用，已经从社会医疗保险保障计划或其他商业医疗保险保障计划或其他任何途径获得补偿或赔偿，乙方仅承担剩余部分的赔偿责任；如果被保险人虽有上述社会医疗保险或其他商业医疗保险但未获补偿或赔偿的，不论何种原因，乙方不得据此作为免责或拒赔的理由。</w:t>
      </w:r>
    </w:p>
    <w:p>
      <w:pPr>
        <w:spacing w:line="480" w:lineRule="exact"/>
        <w:ind w:firstLine="482" w:firstLineChars="200"/>
        <w:rPr>
          <w:rFonts w:hint="eastAsia" w:ascii="仿宋" w:hAnsi="仿宋" w:eastAsia="仿宋" w:cs="仿宋"/>
          <w:kern w:val="0"/>
          <w:sz w:val="24"/>
        </w:rPr>
      </w:pPr>
      <w:r>
        <w:rPr>
          <w:rFonts w:hint="eastAsia" w:ascii="仿宋" w:hAnsi="仿宋" w:eastAsia="仿宋" w:cs="仿宋"/>
          <w:b/>
          <w:sz w:val="24"/>
        </w:rPr>
        <w:t>3、</w:t>
      </w:r>
      <w:r>
        <w:rPr>
          <w:rFonts w:hint="eastAsia" w:ascii="仿宋" w:hAnsi="仿宋" w:eastAsia="仿宋" w:cs="仿宋"/>
          <w:b/>
          <w:kern w:val="0"/>
          <w:sz w:val="24"/>
        </w:rPr>
        <w:t>意外伤害住院津贴</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若被保险人遭受意外伤害，经卫生行政部门认定的二级及二级以上医院诊断必须接受住院治疗的（急诊不受医院等级限制可在具有医疗资质的医院先行治疗，但是三天内须转到二级及二级以上医院治疗），乙方按本合同约定的每日住院津贴乘以实际住院天数给付保险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被保险人在保险期间内因意外伤害而住院治疗，至保险期间届满治疗仍未结束的，保险人继续承担本条前述所列的保险责任至住院结束，累计最高给付90天。</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无论被保险人住院治疗是否延续至保险期间届满后，因同一次意外伤害而住院的，最高给付天数以90天为限。（具体详见保险条款）</w:t>
      </w:r>
    </w:p>
    <w:p>
      <w:pPr>
        <w:spacing w:line="480" w:lineRule="exact"/>
        <w:ind w:firstLine="482" w:firstLineChars="200"/>
        <w:rPr>
          <w:rFonts w:hint="eastAsia" w:ascii="仿宋" w:hAnsi="仿宋" w:eastAsia="仿宋" w:cs="仿宋"/>
          <w:sz w:val="24"/>
        </w:rPr>
      </w:pPr>
      <w:r>
        <w:rPr>
          <w:rFonts w:hint="eastAsia" w:ascii="仿宋" w:hAnsi="仿宋" w:eastAsia="仿宋" w:cs="仿宋"/>
          <w:b/>
          <w:sz w:val="24"/>
          <w:lang w:val="en-US" w:eastAsia="zh-CN"/>
        </w:rPr>
        <w:t>4</w:t>
      </w:r>
      <w:r>
        <w:rPr>
          <w:rFonts w:hint="eastAsia" w:ascii="仿宋" w:hAnsi="仿宋" w:eastAsia="仿宋" w:cs="仿宋"/>
          <w:b/>
          <w:sz w:val="24"/>
        </w:rPr>
        <w:t>、</w:t>
      </w:r>
      <w:r>
        <w:rPr>
          <w:rFonts w:hint="eastAsia" w:ascii="仿宋" w:hAnsi="仿宋" w:eastAsia="仿宋" w:cs="仿宋"/>
          <w:b/>
          <w:bCs/>
          <w:sz w:val="24"/>
        </w:rPr>
        <w:t>意外骨折康复津贴</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在保险期间内，被保险人遭受意外伤害并因该意外伤害而造成骨折的，保险人按《意外骨折康复津贴给付金额对应表》所列骨折类别及骨折程度所对应意外骨折康复津贴标准给付骨折津贴；没有明确的骨折部位，按照相邻高者骨折赔付标准赔付。</w:t>
      </w:r>
    </w:p>
    <w:p>
      <w:pPr>
        <w:spacing w:line="480" w:lineRule="exact"/>
        <w:ind w:firstLine="480" w:firstLineChars="200"/>
        <w:rPr>
          <w:rFonts w:hint="eastAsia" w:ascii="仿宋" w:hAnsi="仿宋" w:eastAsia="仿宋" w:cs="仿宋"/>
          <w:b/>
          <w:sz w:val="24"/>
        </w:rPr>
      </w:pPr>
      <w:r>
        <w:rPr>
          <w:rFonts w:hint="eastAsia" w:ascii="仿宋" w:hAnsi="仿宋" w:eastAsia="仿宋" w:cs="仿宋"/>
          <w:sz w:val="24"/>
        </w:rPr>
        <w:t>（2）如果被保险人同时遭受《意外骨折康复津贴给付金额对应表》所列两项以上（含两项）骨折时，保险人只给付较高一项的骨折津贴。</w:t>
      </w:r>
    </w:p>
    <w:tbl>
      <w:tblPr>
        <w:tblStyle w:val="18"/>
        <w:tblW w:w="8593" w:type="dxa"/>
        <w:tblInd w:w="68" w:type="dxa"/>
        <w:tblLayout w:type="fixed"/>
        <w:tblCellMar>
          <w:top w:w="0" w:type="dxa"/>
          <w:left w:w="0" w:type="dxa"/>
          <w:bottom w:w="0" w:type="dxa"/>
          <w:right w:w="0" w:type="dxa"/>
        </w:tblCellMar>
      </w:tblPr>
      <w:tblGrid>
        <w:gridCol w:w="855"/>
        <w:gridCol w:w="5565"/>
        <w:gridCol w:w="2173"/>
      </w:tblGrid>
      <w:tr>
        <w:tblPrEx>
          <w:tblCellMar>
            <w:top w:w="0" w:type="dxa"/>
            <w:left w:w="0" w:type="dxa"/>
            <w:bottom w:w="0" w:type="dxa"/>
            <w:right w:w="0" w:type="dxa"/>
          </w:tblCellMar>
        </w:tblPrEx>
        <w:trPr>
          <w:trHeight w:val="424"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b/>
                <w:bCs/>
                <w:sz w:val="24"/>
              </w:rPr>
            </w:pPr>
            <w:r>
              <w:rPr>
                <w:rFonts w:hint="eastAsia" w:ascii="仿宋" w:hAnsi="仿宋" w:eastAsia="仿宋" w:cs="仿宋"/>
                <w:b/>
                <w:bCs/>
                <w:kern w:val="0"/>
                <w:sz w:val="24"/>
              </w:rPr>
              <w:t>序号</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b/>
                <w:bCs/>
                <w:sz w:val="24"/>
              </w:rPr>
            </w:pPr>
            <w:r>
              <w:rPr>
                <w:rFonts w:hint="eastAsia" w:ascii="仿宋" w:hAnsi="仿宋" w:eastAsia="仿宋" w:cs="仿宋"/>
                <w:b/>
                <w:bCs/>
                <w:kern w:val="0"/>
                <w:sz w:val="24"/>
              </w:rPr>
              <w:t>骨折类别</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b/>
                <w:bCs/>
                <w:sz w:val="24"/>
              </w:rPr>
            </w:pPr>
            <w:r>
              <w:rPr>
                <w:rFonts w:hint="eastAsia" w:ascii="仿宋" w:hAnsi="仿宋" w:eastAsia="仿宋" w:cs="仿宋"/>
                <w:b/>
                <w:bCs/>
                <w:kern w:val="0"/>
                <w:sz w:val="24"/>
              </w:rPr>
              <w:t>给付金额（元）</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眼眶骨折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2</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鼻骨骨折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3</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掌骨、指骨骨折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4</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跖骨、趾骨骨折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5</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跟骨、距骨骨折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6</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牙槽骨骨折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7</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left"/>
              <w:textAlignment w:val="bottom"/>
              <w:rPr>
                <w:rFonts w:hint="eastAsia" w:ascii="仿宋" w:hAnsi="仿宋" w:eastAsia="仿宋" w:cs="仿宋"/>
                <w:sz w:val="24"/>
              </w:rPr>
            </w:pPr>
            <w:r>
              <w:rPr>
                <w:rFonts w:hint="eastAsia" w:ascii="仿宋" w:hAnsi="仿宋" w:eastAsia="仿宋" w:cs="仿宋"/>
                <w:kern w:val="0"/>
                <w:sz w:val="24"/>
                <w:lang w:bidi="ar"/>
              </w:rPr>
              <w:t>颧弓、颧骨骨折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8</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Style w:val="39"/>
                <w:rFonts w:hint="eastAsia" w:ascii="仿宋" w:hAnsi="仿宋" w:eastAsia="仿宋" w:cs="仿宋"/>
                <w:color w:val="auto"/>
                <w:lang w:bidi="ar"/>
              </w:rPr>
              <w:t>上、下颌骨骨折</w:t>
            </w:r>
            <w:r>
              <w:rPr>
                <w:rStyle w:val="40"/>
                <w:rFonts w:hint="eastAsia" w:ascii="仿宋" w:hAnsi="仿宋" w:eastAsia="仿宋" w:cs="仿宋"/>
                <w:color w:val="auto"/>
                <w:lang w:bidi="ar"/>
              </w:rPr>
              <w:t>(</w:t>
            </w:r>
            <w:r>
              <w:rPr>
                <w:rStyle w:val="39"/>
                <w:rFonts w:hint="eastAsia" w:ascii="仿宋" w:hAnsi="仿宋" w:eastAsia="仿宋" w:cs="仿宋"/>
                <w:color w:val="auto"/>
                <w:lang w:bidi="ar"/>
              </w:rPr>
              <w:t>齿槽医疗除外</w:t>
            </w:r>
            <w:r>
              <w:rPr>
                <w:rStyle w:val="40"/>
                <w:rFonts w:hint="eastAsia" w:ascii="仿宋" w:hAnsi="仿宋" w:eastAsia="仿宋" w:cs="仿宋"/>
                <w:color w:val="auto"/>
                <w:lang w:bidi="ar"/>
              </w:rPr>
              <w:t>)</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400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9</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肋骨骨折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400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10</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锁骨骨折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11</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尺骨骨折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12</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桡骨骨折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13</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髌骨骨折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14</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尺骨鹰嘴骨折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15</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肩胛骨骨折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600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16</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肱骨骨折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700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17</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Style w:val="39"/>
                <w:rFonts w:hint="eastAsia" w:ascii="仿宋" w:hAnsi="仿宋" w:eastAsia="仿宋" w:cs="仿宋"/>
                <w:color w:val="auto"/>
                <w:lang w:bidi="ar"/>
              </w:rPr>
              <w:t>骨盆骨折</w:t>
            </w:r>
            <w:r>
              <w:rPr>
                <w:rStyle w:val="40"/>
                <w:rFonts w:hint="eastAsia" w:ascii="仿宋" w:hAnsi="仿宋" w:eastAsia="仿宋" w:cs="仿宋"/>
                <w:color w:val="auto"/>
                <w:lang w:bidi="ar"/>
              </w:rPr>
              <w:t>(</w:t>
            </w:r>
            <w:r>
              <w:rPr>
                <w:rStyle w:val="39"/>
                <w:rFonts w:hint="eastAsia" w:ascii="仿宋" w:hAnsi="仿宋" w:eastAsia="仿宋" w:cs="仿宋"/>
                <w:color w:val="auto"/>
                <w:lang w:bidi="ar"/>
              </w:rPr>
              <w:t>包括髂骨、耻骨、坐骨</w:t>
            </w:r>
            <w:r>
              <w:rPr>
                <w:rStyle w:val="40"/>
                <w:rFonts w:hint="eastAsia" w:ascii="仿宋" w:hAnsi="仿宋" w:eastAsia="仿宋" w:cs="仿宋"/>
                <w:color w:val="auto"/>
                <w:lang w:bidi="ar"/>
              </w:rPr>
              <w:t>)</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700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18</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尺桡骨骨折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700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19</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Style w:val="39"/>
                <w:rFonts w:hint="eastAsia" w:ascii="仿宋" w:hAnsi="仿宋" w:eastAsia="仿宋" w:cs="仿宋"/>
                <w:color w:val="auto"/>
                <w:lang w:bidi="ar"/>
              </w:rPr>
              <w:t>腕骨骨折</w:t>
            </w:r>
            <w:r>
              <w:rPr>
                <w:rStyle w:val="40"/>
                <w:rFonts w:hint="eastAsia" w:ascii="仿宋" w:hAnsi="仿宋" w:eastAsia="仿宋" w:cs="仿宋"/>
                <w:color w:val="auto"/>
                <w:lang w:bidi="ar"/>
              </w:rPr>
              <w:t>(</w:t>
            </w:r>
            <w:r>
              <w:rPr>
                <w:rStyle w:val="39"/>
                <w:rFonts w:hint="eastAsia" w:ascii="仿宋" w:hAnsi="仿宋" w:eastAsia="仿宋" w:cs="仿宋"/>
                <w:color w:val="auto"/>
                <w:lang w:bidi="ar"/>
              </w:rPr>
              <w:t>一手或双手</w:t>
            </w:r>
            <w:r>
              <w:rPr>
                <w:rStyle w:val="40"/>
                <w:rFonts w:hint="eastAsia" w:ascii="仿宋" w:hAnsi="仿宋" w:eastAsia="仿宋" w:cs="仿宋"/>
                <w:color w:val="auto"/>
                <w:lang w:bidi="ar"/>
              </w:rPr>
              <w:t>)</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700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4"/>
              </w:rPr>
            </w:pPr>
            <w:r>
              <w:rPr>
                <w:rFonts w:hint="eastAsia" w:ascii="仿宋" w:hAnsi="仿宋" w:eastAsia="仿宋" w:cs="仿宋"/>
                <w:kern w:val="0"/>
                <w:sz w:val="24"/>
              </w:rPr>
              <w:t>20</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4"/>
              </w:rPr>
            </w:pPr>
            <w:r>
              <w:rPr>
                <w:rFonts w:hint="eastAsia" w:ascii="仿宋" w:hAnsi="仿宋" w:eastAsia="仿宋" w:cs="仿宋"/>
                <w:kern w:val="0"/>
                <w:sz w:val="24"/>
                <w:lang w:bidi="ar"/>
              </w:rPr>
              <w:t>胫骨或腓骨骨折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4"/>
              </w:rPr>
            </w:pPr>
            <w:r>
              <w:rPr>
                <w:rFonts w:hint="eastAsia" w:ascii="仿宋" w:hAnsi="仿宋" w:eastAsia="仿宋" w:cs="仿宋"/>
                <w:kern w:val="0"/>
                <w:sz w:val="24"/>
                <w:lang w:bidi="ar"/>
              </w:rPr>
              <w:t>700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21</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Style w:val="39"/>
                <w:rFonts w:hint="eastAsia" w:ascii="仿宋" w:hAnsi="仿宋" w:eastAsia="仿宋" w:cs="仿宋"/>
                <w:color w:val="auto"/>
                <w:lang w:bidi="ar"/>
              </w:rPr>
              <w:t>踝骨骨折</w:t>
            </w:r>
            <w:r>
              <w:rPr>
                <w:rStyle w:val="40"/>
                <w:rFonts w:hint="eastAsia" w:ascii="仿宋" w:hAnsi="仿宋" w:eastAsia="仿宋" w:cs="仿宋"/>
                <w:color w:val="auto"/>
                <w:lang w:bidi="ar"/>
              </w:rPr>
              <w:t>(</w:t>
            </w:r>
            <w:r>
              <w:rPr>
                <w:rStyle w:val="39"/>
                <w:rFonts w:hint="eastAsia" w:ascii="仿宋" w:hAnsi="仿宋" w:eastAsia="仿宋" w:cs="仿宋"/>
                <w:color w:val="auto"/>
                <w:lang w:bidi="ar"/>
              </w:rPr>
              <w:t>一足或双足</w:t>
            </w:r>
            <w:r>
              <w:rPr>
                <w:rStyle w:val="40"/>
                <w:rFonts w:hint="eastAsia" w:ascii="仿宋" w:hAnsi="仿宋" w:eastAsia="仿宋" w:cs="仿宋"/>
                <w:color w:val="auto"/>
                <w:lang w:bidi="ar"/>
              </w:rPr>
              <w:t>)</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700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22</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Fonts w:hint="eastAsia" w:ascii="仿宋" w:hAnsi="仿宋" w:eastAsia="仿宋" w:cs="仿宋"/>
                <w:kern w:val="0"/>
                <w:sz w:val="24"/>
                <w:lang w:bidi="ar"/>
              </w:rPr>
              <w:t>颅骨（包括颅盖骨、颅底骨折、枕骨骨折）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800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23</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Style w:val="39"/>
                <w:rFonts w:hint="eastAsia" w:ascii="仿宋" w:hAnsi="仿宋" w:eastAsia="仿宋" w:cs="仿宋"/>
                <w:color w:val="auto"/>
                <w:lang w:bidi="ar"/>
              </w:rPr>
              <w:t>椎体骨折</w:t>
            </w:r>
            <w:r>
              <w:rPr>
                <w:rStyle w:val="40"/>
                <w:rFonts w:hint="eastAsia" w:ascii="仿宋" w:hAnsi="仿宋" w:eastAsia="仿宋" w:cs="仿宋"/>
                <w:color w:val="auto"/>
                <w:lang w:bidi="ar"/>
              </w:rPr>
              <w:t>(</w:t>
            </w:r>
            <w:r>
              <w:rPr>
                <w:rStyle w:val="39"/>
                <w:rFonts w:hint="eastAsia" w:ascii="仿宋" w:hAnsi="仿宋" w:eastAsia="仿宋" w:cs="仿宋"/>
                <w:color w:val="auto"/>
                <w:lang w:bidi="ar"/>
              </w:rPr>
              <w:t>包括胸椎、腰椎及尾骨</w:t>
            </w:r>
            <w:r>
              <w:rPr>
                <w:rStyle w:val="40"/>
                <w:rFonts w:hint="eastAsia" w:ascii="仿宋" w:hAnsi="仿宋" w:eastAsia="仿宋" w:cs="仿宋"/>
                <w:color w:val="auto"/>
                <w:lang w:bidi="ar"/>
              </w:rPr>
              <w:t>)</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800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24</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Fonts w:hint="eastAsia" w:ascii="仿宋" w:hAnsi="仿宋" w:eastAsia="仿宋" w:cs="仿宋"/>
                <w:kern w:val="0"/>
                <w:sz w:val="24"/>
                <w:lang w:bidi="ar"/>
              </w:rPr>
              <w:t>股骨干骨折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25</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Fonts w:hint="eastAsia" w:ascii="仿宋" w:hAnsi="仿宋" w:eastAsia="仿宋" w:cs="仿宋"/>
                <w:kern w:val="0"/>
                <w:sz w:val="24"/>
                <w:lang w:bidi="ar"/>
              </w:rPr>
              <w:t>胫骨平台骨折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26</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Fonts w:hint="eastAsia" w:ascii="仿宋" w:hAnsi="仿宋" w:eastAsia="仿宋" w:cs="仿宋"/>
                <w:kern w:val="0"/>
                <w:sz w:val="24"/>
                <w:lang w:bidi="ar"/>
              </w:rPr>
              <w:t>股骨粗隆间骨折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27</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Fonts w:hint="eastAsia" w:ascii="仿宋" w:hAnsi="仿宋" w:eastAsia="仿宋" w:cs="仿宋"/>
                <w:kern w:val="0"/>
                <w:sz w:val="24"/>
                <w:lang w:bidi="ar"/>
              </w:rPr>
              <w:t>胫腓骨骨折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4"/>
              </w:rPr>
            </w:pPr>
            <w:r>
              <w:rPr>
                <w:rFonts w:hint="eastAsia" w:ascii="仿宋" w:hAnsi="仿宋" w:eastAsia="仿宋" w:cs="仿宋"/>
                <w:kern w:val="0"/>
                <w:sz w:val="24"/>
              </w:rPr>
              <w:t>28</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4"/>
              </w:rPr>
            </w:pPr>
            <w:r>
              <w:rPr>
                <w:rFonts w:hint="eastAsia" w:ascii="仿宋" w:hAnsi="仿宋" w:eastAsia="仿宋" w:cs="仿宋"/>
                <w:kern w:val="0"/>
                <w:sz w:val="24"/>
                <w:lang w:bidi="ar"/>
              </w:rPr>
              <w:t>股骨颈骨折</w:t>
            </w:r>
          </w:p>
        </w:tc>
        <w:tc>
          <w:tcPr>
            <w:tcW w:w="2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4"/>
              </w:rPr>
            </w:pPr>
            <w:r>
              <w:rPr>
                <w:rFonts w:hint="eastAsia" w:ascii="仿宋" w:hAnsi="仿宋" w:eastAsia="仿宋" w:cs="仿宋"/>
                <w:kern w:val="0"/>
                <w:sz w:val="24"/>
                <w:lang w:bidi="ar"/>
              </w:rPr>
              <w:t>1000</w:t>
            </w:r>
          </w:p>
        </w:tc>
      </w:tr>
    </w:tbl>
    <w:p>
      <w:pPr>
        <w:numPr>
          <w:ilvl w:val="0"/>
          <w:numId w:val="1"/>
        </w:numPr>
        <w:spacing w:line="480" w:lineRule="exact"/>
        <w:ind w:firstLine="472" w:firstLineChars="196"/>
        <w:rPr>
          <w:rFonts w:hint="eastAsia" w:ascii="仿宋" w:hAnsi="仿宋" w:eastAsia="仿宋" w:cs="仿宋"/>
          <w:b/>
          <w:bCs/>
          <w:sz w:val="24"/>
          <w:lang w:val="en-US" w:eastAsia="zh-CN"/>
        </w:rPr>
      </w:pPr>
      <w:r>
        <w:rPr>
          <w:rFonts w:hint="eastAsia" w:ascii="仿宋" w:hAnsi="仿宋" w:eastAsia="仿宋" w:cs="仿宋"/>
          <w:b/>
          <w:bCs/>
          <w:sz w:val="24"/>
          <w:lang w:val="en-US" w:eastAsia="zh-CN"/>
        </w:rPr>
        <w:t>意外康复治疗津贴</w:t>
      </w:r>
    </w:p>
    <w:p>
      <w:pPr>
        <w:spacing w:line="480" w:lineRule="exact"/>
        <w:ind w:firstLine="480" w:firstLineChars="200"/>
        <w:rPr>
          <w:rFonts w:hint="eastAsia" w:ascii="仿宋" w:hAnsi="仿宋" w:eastAsia="仿宋" w:cs="仿宋"/>
          <w:lang w:val="en-US" w:eastAsia="zh-CN"/>
        </w:rPr>
      </w:pPr>
      <w:r>
        <w:rPr>
          <w:rFonts w:hint="eastAsia" w:ascii="仿宋" w:hAnsi="仿宋" w:eastAsia="仿宋" w:cs="仿宋"/>
          <w:sz w:val="24"/>
        </w:rPr>
        <w:t>被保险人在保险期间</w:t>
      </w:r>
      <w:r>
        <w:rPr>
          <w:rFonts w:hint="eastAsia" w:ascii="仿宋" w:hAnsi="仿宋" w:eastAsia="仿宋" w:cs="仿宋"/>
          <w:sz w:val="24"/>
          <w:szCs w:val="24"/>
          <w:highlight w:val="none"/>
          <w:lang w:val="en-US" w:eastAsia="zh-CN"/>
        </w:rPr>
        <w:t>内因意外受到伤害的，由二级及二级以上医院或骨伤科医院出具相关证明或建议进行康复治疗的，且由康复机构出具诊疗记录（如门诊记录、器械使用记录、住院记录等），保险人按照</w:t>
      </w:r>
      <w:r>
        <w:rPr>
          <w:rFonts w:hint="eastAsia" w:ascii="仿宋" w:hAnsi="仿宋" w:eastAsia="仿宋" w:cs="仿宋"/>
          <w:sz w:val="24"/>
        </w:rPr>
        <w:t>合同约定承担本次保险责任</w:t>
      </w:r>
      <w:r>
        <w:rPr>
          <w:rFonts w:hint="eastAsia" w:ascii="仿宋" w:hAnsi="仿宋" w:eastAsia="仿宋" w:cs="仿宋"/>
          <w:sz w:val="24"/>
          <w:lang w:eastAsia="zh-CN"/>
        </w:rPr>
        <w:t>。</w:t>
      </w:r>
    </w:p>
    <w:p>
      <w:pPr>
        <w:spacing w:line="480" w:lineRule="exact"/>
        <w:ind w:firstLine="472" w:firstLineChars="196"/>
        <w:rPr>
          <w:rFonts w:hint="eastAsia" w:ascii="仿宋" w:hAnsi="仿宋" w:eastAsia="仿宋" w:cs="仿宋"/>
          <w:b/>
          <w:bCs/>
          <w:sz w:val="24"/>
        </w:rPr>
      </w:pPr>
      <w:r>
        <w:rPr>
          <w:rFonts w:hint="eastAsia" w:ascii="仿宋" w:hAnsi="仿宋" w:eastAsia="仿宋" w:cs="仿宋"/>
          <w:b/>
          <w:bCs/>
          <w:sz w:val="24"/>
        </w:rPr>
        <w:t>6、特别约定</w:t>
      </w:r>
    </w:p>
    <w:p>
      <w:pPr>
        <w:spacing w:line="480" w:lineRule="exact"/>
        <w:ind w:firstLine="482" w:firstLineChars="200"/>
        <w:rPr>
          <w:rFonts w:hint="eastAsia" w:ascii="仿宋" w:hAnsi="仿宋" w:eastAsia="仿宋" w:cs="仿宋"/>
          <w:sz w:val="24"/>
        </w:rPr>
      </w:pPr>
      <w:r>
        <w:rPr>
          <w:rFonts w:hint="eastAsia" w:ascii="仿宋" w:hAnsi="仿宋" w:eastAsia="仿宋" w:cs="仿宋"/>
          <w:b/>
          <w:bCs/>
          <w:sz w:val="24"/>
        </w:rPr>
        <w:t>（1）骨质疏松特别约定：</w:t>
      </w:r>
      <w:r>
        <w:rPr>
          <w:rFonts w:hint="eastAsia" w:ascii="仿宋" w:hAnsi="仿宋" w:eastAsia="仿宋" w:cs="仿宋"/>
          <w:sz w:val="24"/>
        </w:rPr>
        <w:t>被保险人在保险期间内因意外伤害治疗，保险人不考虑骨质疏松对该事故产生的影响，按照合同约定承担本次保险责任。</w:t>
      </w:r>
    </w:p>
    <w:p>
      <w:pPr>
        <w:spacing w:line="480" w:lineRule="exact"/>
        <w:ind w:firstLine="482" w:firstLineChars="200"/>
        <w:rPr>
          <w:rFonts w:hint="eastAsia" w:ascii="仿宋" w:hAnsi="仿宋" w:eastAsia="仿宋" w:cs="仿宋"/>
          <w:sz w:val="24"/>
        </w:rPr>
      </w:pPr>
      <w:r>
        <w:rPr>
          <w:rFonts w:hint="eastAsia" w:ascii="仿宋" w:hAnsi="仿宋" w:eastAsia="仿宋" w:cs="仿宋"/>
          <w:b/>
          <w:bCs/>
          <w:sz w:val="24"/>
        </w:rPr>
        <w:t>（2）司法鉴定机构特别约定：</w:t>
      </w:r>
      <w:r>
        <w:rPr>
          <w:rFonts w:hint="eastAsia" w:ascii="仿宋" w:hAnsi="仿宋" w:eastAsia="仿宋" w:cs="仿宋"/>
          <w:snapToGrid w:val="0"/>
          <w:kern w:val="0"/>
          <w:sz w:val="24"/>
        </w:rPr>
        <w:t>被保险人因意外导致伤残，在浙江商检司法鉴定所湖州分所或浙江迪安司法鉴定中心湖州分所两家司法鉴定机构进行咨询评估，咨询评估等级为1-10级并出具咨询评估意见书的，咨询评估意见书费用由保险人承担。</w:t>
      </w:r>
    </w:p>
    <w:p>
      <w:pPr>
        <w:tabs>
          <w:tab w:val="left" w:pos="1288"/>
        </w:tabs>
        <w:autoSpaceDE w:val="0"/>
        <w:autoSpaceDN w:val="0"/>
        <w:snapToGrid w:val="0"/>
        <w:spacing w:line="480" w:lineRule="exact"/>
        <w:ind w:firstLine="472" w:firstLineChars="196"/>
        <w:rPr>
          <w:rFonts w:hint="eastAsia" w:ascii="仿宋" w:hAnsi="仿宋" w:eastAsia="仿宋" w:cs="仿宋"/>
          <w:sz w:val="24"/>
        </w:rPr>
      </w:pPr>
      <w:r>
        <w:rPr>
          <w:rFonts w:hint="eastAsia" w:ascii="仿宋" w:hAnsi="仿宋" w:eastAsia="仿宋" w:cs="仿宋"/>
          <w:b/>
          <w:sz w:val="24"/>
        </w:rPr>
        <w:t>7、赔付时效</w:t>
      </w:r>
    </w:p>
    <w:p>
      <w:pPr>
        <w:tabs>
          <w:tab w:val="left" w:pos="1288"/>
        </w:tabs>
        <w:autoSpaceDE w:val="0"/>
        <w:autoSpaceDN w:val="0"/>
        <w:snapToGrid w:val="0"/>
        <w:spacing w:line="480" w:lineRule="exact"/>
        <w:ind w:firstLine="472" w:firstLineChars="196"/>
        <w:rPr>
          <w:rFonts w:hint="eastAsia" w:ascii="仿宋" w:hAnsi="仿宋" w:eastAsia="仿宋" w:cs="仿宋"/>
          <w:b/>
          <w:sz w:val="24"/>
        </w:rPr>
      </w:pPr>
      <w:r>
        <w:rPr>
          <w:rFonts w:hint="eastAsia" w:ascii="仿宋" w:hAnsi="仿宋" w:eastAsia="仿宋" w:cs="仿宋"/>
          <w:b/>
          <w:sz w:val="24"/>
        </w:rPr>
        <w:t>常规赔付时效：</w:t>
      </w:r>
    </w:p>
    <w:p>
      <w:pPr>
        <w:tabs>
          <w:tab w:val="left" w:pos="1288"/>
        </w:tabs>
        <w:autoSpaceDE w:val="0"/>
        <w:autoSpaceDN w:val="0"/>
        <w:snapToGrid w:val="0"/>
        <w:spacing w:line="480" w:lineRule="exact"/>
        <w:ind w:firstLine="470" w:firstLineChars="196"/>
        <w:rPr>
          <w:rFonts w:hint="eastAsia" w:ascii="仿宋" w:hAnsi="仿宋" w:eastAsia="仿宋" w:cs="仿宋"/>
          <w:sz w:val="24"/>
        </w:rPr>
      </w:pPr>
      <w:r>
        <w:rPr>
          <w:rFonts w:hint="eastAsia" w:ascii="仿宋" w:hAnsi="仿宋" w:eastAsia="仿宋" w:cs="仿宋"/>
          <w:sz w:val="24"/>
        </w:rPr>
        <w:t>在索赔单证齐全后，1万元（含）以下五个工作日、1万元以上十个工作日内将保险赔款支付到被保险人或受益人（指定）的银行账户。</w:t>
      </w:r>
    </w:p>
    <w:p>
      <w:pPr>
        <w:tabs>
          <w:tab w:val="left" w:pos="1288"/>
        </w:tabs>
        <w:autoSpaceDE w:val="0"/>
        <w:autoSpaceDN w:val="0"/>
        <w:snapToGrid w:val="0"/>
        <w:spacing w:line="480" w:lineRule="exact"/>
        <w:ind w:firstLine="472" w:firstLineChars="196"/>
        <w:rPr>
          <w:rFonts w:hint="eastAsia" w:ascii="仿宋" w:hAnsi="仿宋" w:eastAsia="仿宋" w:cs="仿宋"/>
          <w:b/>
          <w:sz w:val="24"/>
        </w:rPr>
      </w:pPr>
      <w:r>
        <w:rPr>
          <w:rFonts w:hint="eastAsia" w:ascii="仿宋" w:hAnsi="仿宋" w:eastAsia="仿宋" w:cs="仿宋"/>
          <w:b/>
          <w:sz w:val="24"/>
        </w:rPr>
        <w:t>线上快捷赔付时效：</w:t>
      </w:r>
    </w:p>
    <w:p>
      <w:pPr>
        <w:tabs>
          <w:tab w:val="left" w:pos="1288"/>
        </w:tabs>
        <w:autoSpaceDE w:val="0"/>
        <w:autoSpaceDN w:val="0"/>
        <w:snapToGrid w:val="0"/>
        <w:spacing w:line="480" w:lineRule="exact"/>
        <w:ind w:firstLine="470" w:firstLineChars="196"/>
        <w:rPr>
          <w:rFonts w:hint="eastAsia" w:ascii="仿宋" w:hAnsi="仿宋" w:eastAsia="仿宋" w:cs="仿宋"/>
          <w:sz w:val="24"/>
        </w:rPr>
      </w:pPr>
      <w:r>
        <w:rPr>
          <w:rFonts w:hint="eastAsia" w:ascii="仿宋" w:hAnsi="仿宋" w:eastAsia="仿宋" w:cs="仿宋"/>
          <w:sz w:val="24"/>
        </w:rPr>
        <w:t>在接收到理赔数据后，1个工作日内将保险赔款支付到被保险人或受益人（指定）的银行账户。</w:t>
      </w:r>
    </w:p>
    <w:p>
      <w:pPr>
        <w:tabs>
          <w:tab w:val="left" w:pos="1288"/>
        </w:tabs>
        <w:autoSpaceDE w:val="0"/>
        <w:autoSpaceDN w:val="0"/>
        <w:snapToGrid w:val="0"/>
        <w:spacing w:line="480" w:lineRule="exact"/>
        <w:ind w:firstLine="470" w:firstLineChars="196"/>
        <w:rPr>
          <w:rFonts w:hint="eastAsia"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服务要求</w:t>
      </w:r>
    </w:p>
    <w:p>
      <w:pPr>
        <w:tabs>
          <w:tab w:val="left" w:pos="1288"/>
        </w:tabs>
        <w:autoSpaceDE w:val="0"/>
        <w:autoSpaceDN w:val="0"/>
        <w:snapToGrid w:val="0"/>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投标文件的保险方案中至少包括但不限于以下内容：</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1、承保方面：</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结合采购需求，详细列举承保方面的实施思路、创新点、项目推进方法、实施举措等；</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2、理赔方面：</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（1）结合采购需求，详细列举理赔方面的实施思路、创新点、项目推进方法、实施举措等；</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（2）保险公司各区域设置理赔服务专员，负责指导和协助老年人处理理赔相关事宜。</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经调查后保险责任明确、索赔资料齐全的案件，5000元（含）以下赔款2个工作日支付；5000元以上20000元（含）以下赔款4个工作日支付；2万元以上10万元（含）以下赔款6个工作日支付；10万元以上赔款10个工作日支付；</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3、事故认定、理赔措施与承诺；</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4、保证项目实施的机构设置、技术力量和人力资源安排，包括：专项承保理赔工作组、事故定损理赔专职机构的设置情况；专业服务人员履历，学历、资质证书的复印件和近3个月的社保缴纳证明（须加盖社保部门公章）；</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5、赔付响应情况及更优的赔付范围、比例说明；</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6、保证项目实施进度（主要指保单制作、保单派发、人员配备等）的措施；</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7、供应商具体的服务与措施，可包括：咨询服务保证措施；相应的理赔简化措施；独立处理投诉、纠纷等异常情况的措施等； </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8、宣传推动的工作方案，应对整个保险项目的特性制定的宣传方案，包括宣传模式、宣传流程、宣传费用的支付、宣传结果的评估等方案，并能够有效提高群众的认知度；</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9、承保当年保险简单赔付率不低于75%；</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10、承诺当年保险政策型部分+分散型部分合计简单赔付率不低于100%（合计简单赔付率=保险政策型部分+分散型部分的赔付金额/政策型部分保险费）；</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11、各网点的关于本项目开展后的管理制度，如提供理赔情况的反馈制度等；</w:t>
      </w:r>
    </w:p>
    <w:p>
      <w:pPr>
        <w:tabs>
          <w:tab w:val="left" w:pos="1288"/>
        </w:tabs>
        <w:autoSpaceDE w:val="0"/>
        <w:autoSpaceDN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12、提供优于采购文件要求的增项服务及合理化建议（如果有的话）；</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rPr>
        <w:t>13、投标供应商可提供的其他特色服务或优惠服务。</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bookmarkStart w:id="7" w:name="_Toc243928883"/>
      <w:bookmarkStart w:id="8" w:name="_Toc228002624"/>
      <w:bookmarkStart w:id="9" w:name="_Toc155322448"/>
      <w:r>
        <w:rPr>
          <w:rFonts w:hint="eastAsia" w:ascii="仿宋" w:hAnsi="仿宋" w:eastAsia="仿宋" w:cs="仿宋"/>
          <w:bCs/>
          <w:sz w:val="24"/>
          <w:lang w:eastAsia="zh-CN"/>
        </w:rPr>
        <w:t>（六）</w:t>
      </w:r>
      <w:r>
        <w:rPr>
          <w:rFonts w:hint="eastAsia" w:ascii="仿宋" w:hAnsi="仿宋" w:eastAsia="仿宋" w:cs="仿宋"/>
          <w:bCs/>
          <w:sz w:val="24"/>
        </w:rPr>
        <w:t>保险费</w:t>
      </w:r>
      <w:bookmarkEnd w:id="7"/>
      <w:bookmarkEnd w:id="8"/>
      <w:bookmarkEnd w:id="9"/>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rPr>
        <w:t>1、本项目仅针对政府补贴人员，保险费用单价</w:t>
      </w:r>
      <w:r>
        <w:rPr>
          <w:rFonts w:hint="eastAsia" w:ascii="仿宋" w:hAnsi="仿宋" w:eastAsia="仿宋" w:cs="仿宋"/>
          <w:bCs/>
          <w:sz w:val="24"/>
          <w:lang w:eastAsia="zh-CN"/>
        </w:rPr>
        <w:t>采购预算</w:t>
      </w:r>
      <w:r>
        <w:rPr>
          <w:rFonts w:hint="eastAsia" w:ascii="仿宋" w:hAnsi="仿宋" w:eastAsia="仿宋" w:cs="仿宋"/>
          <w:bCs/>
          <w:sz w:val="24"/>
        </w:rPr>
        <w:t>为人民币</w:t>
      </w:r>
      <w:r>
        <w:rPr>
          <w:rFonts w:hint="eastAsia" w:ascii="仿宋" w:hAnsi="仿宋" w:eastAsia="仿宋" w:cs="仿宋"/>
          <w:bCs/>
          <w:sz w:val="24"/>
          <w:lang w:val="en-US" w:eastAsia="zh-CN"/>
        </w:rPr>
        <w:t>43</w:t>
      </w:r>
      <w:r>
        <w:rPr>
          <w:rFonts w:hint="eastAsia" w:ascii="仿宋" w:hAnsi="仿宋" w:eastAsia="仿宋" w:cs="仿宋"/>
          <w:bCs/>
          <w:sz w:val="24"/>
        </w:rPr>
        <w:t>元/人/份。供应商的投标报价不得高于此单价</w:t>
      </w:r>
      <w:r>
        <w:rPr>
          <w:rFonts w:hint="eastAsia" w:ascii="仿宋" w:hAnsi="仿宋" w:eastAsia="仿宋" w:cs="仿宋"/>
          <w:bCs/>
          <w:sz w:val="24"/>
          <w:lang w:eastAsia="zh-CN"/>
        </w:rPr>
        <w:t>采购预算</w:t>
      </w:r>
      <w:r>
        <w:rPr>
          <w:rFonts w:hint="eastAsia" w:ascii="仿宋" w:hAnsi="仿宋" w:eastAsia="仿宋" w:cs="仿宋"/>
          <w:bCs/>
          <w:sz w:val="24"/>
        </w:rPr>
        <w:t>，否则认定为无效报价。</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rPr>
        <w:t>2、每人限保不超过</w:t>
      </w:r>
      <w:r>
        <w:rPr>
          <w:rFonts w:hint="eastAsia" w:ascii="仿宋" w:hAnsi="仿宋" w:eastAsia="仿宋" w:cs="仿宋"/>
          <w:bCs/>
          <w:sz w:val="24"/>
          <w:lang w:val="en-US" w:eastAsia="zh-CN"/>
        </w:rPr>
        <w:t>三</w:t>
      </w:r>
      <w:r>
        <w:rPr>
          <w:rFonts w:hint="eastAsia" w:ascii="仿宋" w:hAnsi="仿宋" w:eastAsia="仿宋" w:cs="仿宋"/>
          <w:bCs/>
          <w:sz w:val="24"/>
        </w:rPr>
        <w:t>份。</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lang w:eastAsia="zh-CN"/>
        </w:rPr>
        <w:t>（七）</w:t>
      </w:r>
      <w:r>
        <w:rPr>
          <w:rFonts w:hint="eastAsia" w:ascii="仿宋" w:hAnsi="仿宋" w:eastAsia="仿宋" w:cs="仿宋"/>
          <w:bCs/>
          <w:sz w:val="24"/>
        </w:rPr>
        <w:t>其他要求：</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rPr>
        <w:t>1、湖州市民政局代表各区在《中标通知书》发出之日起30日内与中标供应商签订中标合同。</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rPr>
        <w:t>2、各区域民政部门与相对应的中标供应商签订《老年人意外伤害统筹保险》服务合同，为本项目中标合同的附件。</w:t>
      </w:r>
    </w:p>
    <w:p>
      <w:pPr>
        <w:tabs>
          <w:tab w:val="left" w:pos="1288"/>
        </w:tabs>
        <w:autoSpaceDE w:val="0"/>
        <w:autoSpaceDN w:val="0"/>
        <w:snapToGrid w:val="0"/>
        <w:spacing w:line="48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3、本项目已聘请保险经纪人，具体中标单位详见保险经纪委托协议。</w:t>
      </w:r>
    </w:p>
    <w:p>
      <w:pPr>
        <w:tabs>
          <w:tab w:val="left" w:pos="1288"/>
        </w:tabs>
        <w:autoSpaceDE w:val="0"/>
        <w:autoSpaceDN w:val="0"/>
        <w:snapToGrid w:val="0"/>
        <w:spacing w:line="48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本项目各标项确定1家中标供应商，若各标项通过资格和符合性审查的供应商≥3家，则按照最终综合得分由高到低排序确定第1名的投标供应商为中标候选人；如通过资格和符合性审查的供应商≤3家，采购人可重新组织招标。</w:t>
      </w:r>
    </w:p>
    <w:p>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sz w:val="24"/>
          <w:highlight w:val="none"/>
          <w:lang w:eastAsia="zh-CN"/>
        </w:rPr>
        <w:t>五、</w:t>
      </w:r>
      <w:r>
        <w:rPr>
          <w:rFonts w:hint="eastAsia" w:ascii="仿宋" w:hAnsi="仿宋" w:eastAsia="仿宋" w:cs="仿宋"/>
          <w:b/>
          <w:bCs/>
          <w:color w:val="auto"/>
          <w:sz w:val="24"/>
          <w:highlight w:val="none"/>
        </w:rPr>
        <w:t>商务要求</w:t>
      </w:r>
      <w:r>
        <w:rPr>
          <w:rFonts w:hint="eastAsia" w:ascii="仿宋" w:hAnsi="仿宋" w:eastAsia="仿宋" w:cs="仿宋"/>
          <w:b/>
          <w:bCs/>
          <w:color w:val="auto"/>
          <w:sz w:val="24"/>
          <w:highlight w:val="none"/>
          <w:lang w:eastAsia="zh-CN"/>
        </w:rPr>
        <w:t>：</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1、服务期限：</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1年，至所有保险期限结束之日或所有保险理赔结束时止，以最后发生者为准。从2023年5月1日零时起至本项目合同生效前所发生的理赔事项由本项目中标单位承担。</w:t>
      </w:r>
    </w:p>
    <w:p>
      <w:pPr>
        <w:numPr>
          <w:ilvl w:val="0"/>
          <w:numId w:val="2"/>
        </w:num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响应时间：</w:t>
      </w:r>
    </w:p>
    <w:p>
      <w:pPr>
        <w:numPr>
          <w:ilvl w:val="0"/>
          <w:numId w:val="0"/>
        </w:num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服务期内需要投标人现场响应时，响应时间不得超过6小时。</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3、履约保证金：</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（1）投标人在与采购人签订合同后7日内，需缴纳人民币1%的履约保证金。</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重大事故、突发事故发生时，在保险责任明确且在范围内的前提下，为实现事故的快速处理、减少事故损失，可以根据投保人申请，动用履约保证金进行施救，具体动用数额由采购人、投标人共同协商确定。赔款金额确定后，先行补足履约保证金已支付部分，剩余赔款支付给被保险人。</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（3）如投标人未能履行协议规定的义务和承诺，采购人、投保方有权从履约保证金中取得补偿。</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（4）履约保证金在本次协议有效期满后且无服务质量问题，于七个工作日内无息退还给投标人。</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4、付款方式：</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根据《保障中小企业款项支付条例》、省财政厅《关于进一步发挥政府采购政策功能全力推动经济稳进提质的通知》（浙财采监〔2022〕3号）要求，制定如下付款方式：</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（1）付款方式一：适用《政府采购促进中小企业发展管理办法》认定的中小企业合同。合同生效以及具备实施条件后7个工作日内支付合同价款的40%作为预付款，项目完成后支付剩余款项。</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注：签订合同时供应商明确表示无需预付款（由供应商签订合同代表手抄并签字，手写文字上加盖供应商公章）或者要求降低预付款比例的，采购人可在合同中另行约定。</w:t>
      </w:r>
      <w:r>
        <w:rPr>
          <w:rFonts w:hint="eastAsia" w:ascii="仿宋" w:hAnsi="仿宋" w:eastAsia="仿宋" w:cs="仿宋"/>
          <w:i w:val="0"/>
          <w:iCs w:val="0"/>
          <w:color w:val="auto"/>
          <w:sz w:val="24"/>
          <w:highlight w:val="none"/>
        </w:rPr>
        <w:t>采购人在向供应商支付预付款之前，有权要求供应商向采购人提供与预付款金额相对应的担保措施，担保措施可以是银行、保险公司等金融机构出具的预付款保函或其他担保措施。</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lang w:val="en-US" w:eastAsia="zh-CN"/>
        </w:rPr>
        <w:t>（2）付款方式二：适用《政府采购促进中小企业发展管理办法》认定的非中小企业合同。</w:t>
      </w:r>
      <w:r>
        <w:rPr>
          <w:rFonts w:hint="eastAsia" w:ascii="仿宋" w:hAnsi="仿宋" w:eastAsia="仿宋" w:cs="仿宋"/>
          <w:i w:val="0"/>
          <w:iCs w:val="0"/>
          <w:color w:val="auto"/>
          <w:sz w:val="24"/>
          <w:szCs w:val="24"/>
          <w:highlight w:val="none"/>
          <w:lang w:val="en-US" w:eastAsia="zh-CN"/>
        </w:rPr>
        <w:t xml:space="preserve">付款方式详见采购合同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符合付款条件后，</w:t>
      </w:r>
      <w:r>
        <w:rPr>
          <w:rFonts w:hint="eastAsia" w:ascii="仿宋" w:hAnsi="仿宋" w:eastAsia="仿宋" w:cs="仿宋"/>
          <w:i w:val="0"/>
          <w:iCs w:val="0"/>
          <w:color w:val="auto"/>
          <w:sz w:val="24"/>
          <w:highlight w:val="none"/>
        </w:rPr>
        <w:t>采购人应自收到成交供应商开具的发票后</w:t>
      </w:r>
      <w:r>
        <w:rPr>
          <w:rFonts w:hint="eastAsia" w:ascii="仿宋" w:hAnsi="仿宋" w:eastAsia="仿宋" w:cs="仿宋"/>
          <w:i w:val="0"/>
          <w:iCs w:val="0"/>
          <w:color w:val="auto"/>
          <w:sz w:val="24"/>
          <w:highlight w:val="none"/>
          <w:lang w:val="en-US" w:eastAsia="zh-CN"/>
        </w:rPr>
        <w:t>7个工作</w:t>
      </w:r>
      <w:r>
        <w:rPr>
          <w:rFonts w:hint="eastAsia" w:ascii="仿宋" w:hAnsi="仿宋" w:eastAsia="仿宋" w:cs="仿宋"/>
          <w:i w:val="0"/>
          <w:iCs w:val="0"/>
          <w:color w:val="auto"/>
          <w:sz w:val="24"/>
          <w:highlight w:val="none"/>
        </w:rPr>
        <w:t>日内将上述相关款项支付到合同约定的</w:t>
      </w:r>
      <w:r>
        <w:rPr>
          <w:rFonts w:hint="eastAsia" w:ascii="仿宋" w:hAnsi="仿宋" w:eastAsia="仿宋" w:cs="仿宋"/>
          <w:i w:val="0"/>
          <w:iCs w:val="0"/>
          <w:color w:val="auto"/>
          <w:sz w:val="24"/>
          <w:highlight w:val="none"/>
          <w:lang w:eastAsia="zh-CN"/>
        </w:rPr>
        <w:t>成交</w:t>
      </w:r>
      <w:r>
        <w:rPr>
          <w:rFonts w:hint="eastAsia" w:ascii="仿宋" w:hAnsi="仿宋" w:eastAsia="仿宋" w:cs="仿宋"/>
          <w:i w:val="0"/>
          <w:iCs w:val="0"/>
          <w:color w:val="auto"/>
          <w:sz w:val="24"/>
          <w:highlight w:val="none"/>
        </w:rPr>
        <w:t>供应商账户。</w:t>
      </w:r>
    </w:p>
    <w:p>
      <w:pPr>
        <w:spacing w:line="560" w:lineRule="exact"/>
        <w:ind w:firstLine="482" w:firstLineChars="200"/>
        <w:rPr>
          <w:rFonts w:hint="eastAsia" w:ascii="仿宋" w:hAnsi="仿宋" w:eastAsia="仿宋" w:cs="仿宋"/>
          <w:b/>
          <w:bCs/>
          <w:sz w:val="24"/>
          <w:lang w:val="en-US" w:eastAsia="zh-CN"/>
        </w:rPr>
      </w:pPr>
    </w:p>
    <w:p>
      <w:pPr>
        <w:spacing w:line="500" w:lineRule="exact"/>
        <w:rPr>
          <w:rFonts w:hint="eastAsia" w:ascii="仿宋" w:hAnsi="仿宋" w:eastAsia="仿宋" w:cs="仿宋"/>
          <w:sz w:val="24"/>
        </w:rPr>
      </w:pPr>
    </w:p>
    <w:p>
      <w:pPr>
        <w:spacing w:line="500" w:lineRule="exact"/>
        <w:rPr>
          <w:rFonts w:hint="eastAsia" w:ascii="仿宋" w:hAnsi="仿宋" w:eastAsia="仿宋" w:cs="仿宋"/>
          <w:sz w:val="32"/>
        </w:rPr>
      </w:pPr>
      <w:r>
        <w:rPr>
          <w:rFonts w:hint="eastAsia" w:ascii="仿宋" w:hAnsi="仿宋" w:eastAsia="仿宋" w:cs="仿宋"/>
          <w:sz w:val="32"/>
        </w:rPr>
        <w:br w:type="page"/>
      </w:r>
    </w:p>
    <w:p>
      <w:pPr>
        <w:spacing w:line="380" w:lineRule="exact"/>
        <w:jc w:val="center"/>
        <w:rPr>
          <w:rFonts w:hint="eastAsia" w:ascii="仿宋" w:hAnsi="仿宋" w:eastAsia="仿宋" w:cs="仿宋"/>
        </w:rPr>
      </w:pPr>
      <w:r>
        <w:rPr>
          <w:rFonts w:hint="eastAsia" w:ascii="仿宋" w:hAnsi="仿宋" w:eastAsia="仿宋" w:cs="仿宋"/>
          <w:sz w:val="32"/>
        </w:rPr>
        <w:t>第三章</w:t>
      </w:r>
      <w:bookmarkEnd w:id="6"/>
      <w:r>
        <w:rPr>
          <w:rFonts w:hint="eastAsia" w:ascii="仿宋" w:hAnsi="仿宋" w:eastAsia="仿宋" w:cs="仿宋"/>
          <w:sz w:val="32"/>
        </w:rPr>
        <w:t xml:space="preserve"> 投标人须知</w:t>
      </w:r>
    </w:p>
    <w:p>
      <w:pPr>
        <w:snapToGrid w:val="0"/>
        <w:spacing w:beforeLines="50" w:afterLines="50"/>
        <w:ind w:left="238"/>
        <w:jc w:val="center"/>
        <w:outlineLvl w:val="1"/>
        <w:rPr>
          <w:rFonts w:hint="eastAsia" w:ascii="仿宋" w:hAnsi="仿宋" w:eastAsia="仿宋" w:cs="仿宋"/>
          <w:b/>
          <w:bCs/>
          <w:sz w:val="30"/>
          <w:szCs w:val="30"/>
        </w:rPr>
      </w:pPr>
      <w:bookmarkStart w:id="10" w:name="_Toc98731777"/>
      <w:bookmarkStart w:id="11" w:name="_Toc130094928"/>
      <w:bookmarkStart w:id="12" w:name="_Toc130094913"/>
      <w:bookmarkStart w:id="13" w:name="_Toc98731756"/>
      <w:r>
        <w:rPr>
          <w:rFonts w:hint="eastAsia" w:ascii="仿宋" w:hAnsi="仿宋" w:eastAsia="仿宋" w:cs="仿宋"/>
          <w:b/>
          <w:bCs/>
          <w:sz w:val="30"/>
          <w:szCs w:val="30"/>
        </w:rPr>
        <w:t>前附表</w:t>
      </w:r>
    </w:p>
    <w:tbl>
      <w:tblPr>
        <w:tblStyle w:val="18"/>
        <w:tblW w:w="926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序号</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1</w:t>
            </w:r>
          </w:p>
        </w:tc>
        <w:tc>
          <w:tcPr>
            <w:tcW w:w="8523" w:type="dxa"/>
            <w:tcBorders>
              <w:top w:val="single" w:color="auto" w:sz="4" w:space="0"/>
              <w:left w:val="nil"/>
              <w:bottom w:val="single" w:color="auto" w:sz="4" w:space="0"/>
              <w:right w:val="single" w:color="auto" w:sz="4" w:space="0"/>
            </w:tcBorders>
            <w:noWrap w:val="0"/>
            <w:vAlign w:val="center"/>
          </w:tcPr>
          <w:p>
            <w:pPr>
              <w:spacing w:line="273" w:lineRule="auto"/>
              <w:rPr>
                <w:rFonts w:hint="eastAsia" w:ascii="仿宋" w:hAnsi="仿宋" w:eastAsia="仿宋" w:cs="仿宋"/>
                <w:spacing w:val="-14"/>
                <w:sz w:val="24"/>
                <w:lang w:eastAsia="zh-CN"/>
              </w:rPr>
            </w:pPr>
            <w:r>
              <w:rPr>
                <w:rFonts w:hint="eastAsia" w:ascii="仿宋" w:hAnsi="仿宋" w:eastAsia="仿宋" w:cs="仿宋"/>
                <w:spacing w:val="-14"/>
                <w:sz w:val="24"/>
              </w:rPr>
              <w:t>项目名称：</w:t>
            </w:r>
            <w:r>
              <w:rPr>
                <w:rFonts w:hint="eastAsia" w:ascii="仿宋" w:hAnsi="仿宋" w:eastAsia="仿宋" w:cs="仿宋"/>
                <w:sz w:val="24"/>
                <w:lang w:eastAsia="zh-CN"/>
              </w:rPr>
              <w:t>湖州市民政局2023年度湖州市老年人意外伤害统筹保险采购项目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2</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3</w:t>
            </w:r>
          </w:p>
        </w:tc>
        <w:tc>
          <w:tcPr>
            <w:tcW w:w="8523" w:type="dxa"/>
            <w:tcBorders>
              <w:top w:val="single" w:color="auto" w:sz="4" w:space="0"/>
              <w:left w:val="nil"/>
              <w:bottom w:val="single" w:color="auto" w:sz="4" w:space="0"/>
              <w:right w:val="single" w:color="auto" w:sz="4" w:space="0"/>
            </w:tcBorders>
            <w:noWrap w:val="0"/>
            <w:vAlign w:val="center"/>
          </w:tcPr>
          <w:p>
            <w:pPr>
              <w:spacing w:line="273" w:lineRule="auto"/>
              <w:rPr>
                <w:rFonts w:hint="eastAsia" w:ascii="仿宋" w:hAnsi="仿宋" w:eastAsia="仿宋" w:cs="仿宋"/>
                <w:sz w:val="24"/>
              </w:rPr>
            </w:pPr>
            <w:r>
              <w:rPr>
                <w:rFonts w:hint="eastAsia" w:ascii="仿宋" w:hAnsi="仿宋" w:eastAsia="仿宋" w:cs="仿宋"/>
                <w:sz w:val="24"/>
              </w:rPr>
              <w:t>投标报价及费用：本项目投标应以人民币报价；2、不论投标结果如何，投标人均应自行承担所有与投标有关的全部费用；3、本项目代理服务费</w:t>
            </w:r>
            <w:r>
              <w:rPr>
                <w:rFonts w:hint="eastAsia" w:ascii="仿宋" w:hAnsi="仿宋" w:eastAsia="仿宋" w:cs="仿宋"/>
                <w:sz w:val="24"/>
                <w:lang w:val="en-US" w:eastAsia="zh-CN"/>
              </w:rPr>
              <w:t>标项一50700元，标项二45100元，标项三20800元</w:t>
            </w:r>
            <w:r>
              <w:rPr>
                <w:rFonts w:hint="eastAsia" w:ascii="仿宋" w:hAnsi="仿宋" w:eastAsia="仿宋" w:cs="仿宋"/>
                <w:sz w:val="24"/>
              </w:rPr>
              <w:t>在确定中标人后，领取中标通知书前，由中标人全额支付，请各投标人自行考虑计入投标报价中。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4</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答疑与澄清：投标人如认为</w:t>
            </w:r>
            <w:r>
              <w:rPr>
                <w:rFonts w:hint="eastAsia" w:ascii="仿宋" w:hAnsi="仿宋" w:eastAsia="仿宋" w:cs="仿宋"/>
                <w:sz w:val="24"/>
                <w:lang w:eastAsia="zh-CN"/>
              </w:rPr>
              <w:t>采购文件</w:t>
            </w:r>
            <w:r>
              <w:rPr>
                <w:rFonts w:hint="eastAsia" w:ascii="仿宋" w:hAnsi="仿宋" w:eastAsia="仿宋" w:cs="仿宋"/>
                <w:sz w:val="24"/>
              </w:rPr>
              <w:t>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w:t>
            </w:r>
            <w:r>
              <w:rPr>
                <w:rFonts w:hint="eastAsia" w:ascii="仿宋" w:hAnsi="仿宋" w:eastAsia="仿宋" w:cs="仿宋"/>
                <w:sz w:val="24"/>
                <w:lang w:eastAsia="zh-CN"/>
              </w:rPr>
              <w:t>采购文件</w:t>
            </w:r>
            <w:r>
              <w:rPr>
                <w:rFonts w:hint="eastAsia" w:ascii="仿宋" w:hAnsi="仿宋" w:eastAsia="仿宋" w:cs="仿宋"/>
                <w:sz w:val="24"/>
              </w:rPr>
              <w:t>的组成部分，并将在网上发布补充（答疑、澄清）文件，潜在投标人应自行关注网站公告，采购人不再一一通知，投标人因自身贻误行为导致投标失效的，责任自负。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5</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仿宋" w:hAnsi="仿宋" w:eastAsia="仿宋" w:cs="仿宋"/>
                <w:b/>
                <w:sz w:val="24"/>
                <w:highlight w:val="none"/>
                <w:lang w:val="en-US" w:eastAsia="zh-CN"/>
              </w:rPr>
            </w:pPr>
            <w:r>
              <w:rPr>
                <w:rFonts w:hint="eastAsia" w:ascii="仿宋" w:hAnsi="仿宋" w:eastAsia="仿宋" w:cs="仿宋"/>
                <w:sz w:val="24"/>
                <w:highlight w:val="none"/>
                <w:lang w:val="en-US" w:eastAsia="zh-CN"/>
              </w:rPr>
              <w:t>采购预算</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标项1人民币831.19万元，标项2人民币675.1万元，标项3人民币218.44万元。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6</w:t>
            </w:r>
          </w:p>
        </w:tc>
        <w:tc>
          <w:tcPr>
            <w:tcW w:w="8523"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line="273" w:lineRule="auto"/>
              <w:textAlignment w:val="bottom"/>
              <w:rPr>
                <w:rFonts w:hint="eastAsia" w:ascii="仿宋" w:hAnsi="仿宋" w:eastAsia="仿宋" w:cs="仿宋"/>
                <w:sz w:val="24"/>
              </w:rPr>
            </w:pPr>
            <w:r>
              <w:rPr>
                <w:rFonts w:hint="eastAsia" w:ascii="仿宋" w:hAnsi="仿宋" w:eastAsia="仿宋" w:cs="仿宋"/>
                <w:sz w:val="24"/>
              </w:rPr>
              <w:t>1、投标文件的制作：本项目实行电子招投标。</w:t>
            </w:r>
          </w:p>
          <w:p>
            <w:pPr>
              <w:snapToGrid w:val="0"/>
              <w:spacing w:line="273"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、投标人应按要求提供电子投标文件及数据电子备份投标文件（U盘），具体内容如下：</w:t>
            </w:r>
          </w:p>
          <w:p>
            <w:pPr>
              <w:snapToGrid w:val="0"/>
              <w:spacing w:line="273" w:lineRule="auto"/>
              <w:rPr>
                <w:rFonts w:hint="eastAsia" w:ascii="仿宋" w:hAnsi="仿宋" w:eastAsia="仿宋" w:cs="仿宋"/>
                <w:sz w:val="24"/>
              </w:rPr>
            </w:pPr>
            <w:r>
              <w:rPr>
                <w:rFonts w:hint="eastAsia" w:ascii="仿宋" w:hAnsi="仿宋" w:eastAsia="仿宋" w:cs="仿宋"/>
                <w:sz w:val="24"/>
              </w:rPr>
              <w:t>（1）电子投标文件：按政采云平台项目采购-电子交易操作指南及本</w:t>
            </w:r>
            <w:r>
              <w:rPr>
                <w:rFonts w:hint="eastAsia" w:ascii="仿宋" w:hAnsi="仿宋" w:eastAsia="仿宋" w:cs="仿宋"/>
                <w:sz w:val="24"/>
                <w:lang w:eastAsia="zh-CN"/>
              </w:rPr>
              <w:t>采购文件</w:t>
            </w:r>
            <w:r>
              <w:rPr>
                <w:rFonts w:hint="eastAsia" w:ascii="仿宋" w:hAnsi="仿宋" w:eastAsia="仿宋" w:cs="仿宋"/>
                <w:sz w:val="24"/>
              </w:rPr>
              <w:t>要求制作、加密并递交，超过上传时间的视为放弃投标资格，作无效标处理；</w:t>
            </w:r>
          </w:p>
          <w:p>
            <w:pPr>
              <w:snapToGrid w:val="0"/>
              <w:spacing w:line="273" w:lineRule="auto"/>
              <w:rPr>
                <w:rFonts w:hint="eastAsia" w:ascii="仿宋" w:hAnsi="仿宋" w:eastAsia="仿宋" w:cs="仿宋"/>
                <w:sz w:val="24"/>
              </w:rPr>
            </w:pPr>
            <w:r>
              <w:rPr>
                <w:rFonts w:hint="eastAsia" w:ascii="仿宋" w:hAnsi="仿宋" w:eastAsia="仿宋" w:cs="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7</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highlight w:val="none"/>
                <w:shd w:val="pct10" w:color="auto" w:fill="FFFFFF"/>
              </w:rPr>
            </w:pPr>
            <w:r>
              <w:rPr>
                <w:rFonts w:hint="eastAsia" w:ascii="仿宋" w:hAnsi="仿宋" w:eastAsia="仿宋" w:cs="仿宋"/>
                <w:sz w:val="24"/>
                <w:highlight w:val="none"/>
              </w:rPr>
              <w:t>投标截止时间：</w:t>
            </w:r>
            <w:r>
              <w:rPr>
                <w:rFonts w:hint="eastAsia" w:ascii="仿宋" w:hAnsi="仿宋" w:eastAsia="仿宋" w:cs="仿宋"/>
                <w:sz w:val="24"/>
                <w:highlight w:val="none"/>
                <w:shd w:val="pct10" w:color="auto" w:fill="FFFFFF"/>
              </w:rPr>
              <w:t>202</w:t>
            </w:r>
            <w:r>
              <w:rPr>
                <w:rFonts w:hint="eastAsia" w:ascii="仿宋" w:hAnsi="仿宋" w:eastAsia="仿宋" w:cs="仿宋"/>
                <w:sz w:val="24"/>
                <w:highlight w:val="none"/>
                <w:shd w:val="pct10" w:color="auto" w:fill="FFFFFF"/>
                <w:lang w:val="en-US" w:eastAsia="zh-CN"/>
              </w:rPr>
              <w:t>3</w:t>
            </w:r>
            <w:r>
              <w:rPr>
                <w:rFonts w:hint="eastAsia" w:ascii="仿宋" w:hAnsi="仿宋" w:eastAsia="仿宋" w:cs="仿宋"/>
                <w:sz w:val="24"/>
                <w:highlight w:val="none"/>
                <w:shd w:val="pct10" w:color="auto" w:fill="FFFFFF"/>
              </w:rPr>
              <w:t>年</w:t>
            </w:r>
            <w:r>
              <w:rPr>
                <w:rFonts w:hint="eastAsia" w:ascii="仿宋" w:hAnsi="仿宋" w:eastAsia="仿宋" w:cs="仿宋"/>
                <w:sz w:val="24"/>
                <w:highlight w:val="none"/>
                <w:shd w:val="pct10" w:color="auto" w:fill="FFFFFF"/>
                <w:lang w:val="en-US" w:eastAsia="zh-CN"/>
              </w:rPr>
              <w:t>5</w:t>
            </w:r>
            <w:r>
              <w:rPr>
                <w:rFonts w:hint="eastAsia" w:ascii="仿宋" w:hAnsi="仿宋" w:eastAsia="仿宋" w:cs="仿宋"/>
                <w:sz w:val="24"/>
                <w:highlight w:val="none"/>
                <w:shd w:val="pct10" w:color="auto" w:fill="FFFFFF"/>
              </w:rPr>
              <w:t>月</w:t>
            </w:r>
            <w:r>
              <w:rPr>
                <w:rFonts w:hint="eastAsia" w:ascii="仿宋" w:hAnsi="仿宋" w:eastAsia="仿宋" w:cs="仿宋"/>
                <w:sz w:val="24"/>
                <w:highlight w:val="none"/>
                <w:shd w:val="pct10" w:color="auto" w:fill="FFFFFF"/>
                <w:lang w:val="en-US" w:eastAsia="zh-CN"/>
              </w:rPr>
              <w:t>5</w:t>
            </w:r>
            <w:r>
              <w:rPr>
                <w:rFonts w:hint="eastAsia" w:ascii="仿宋" w:hAnsi="仿宋" w:eastAsia="仿宋" w:cs="仿宋"/>
                <w:sz w:val="24"/>
                <w:highlight w:val="none"/>
                <w:shd w:val="pct10" w:color="auto" w:fill="FFFFFF"/>
              </w:rPr>
              <w:t>日</w:t>
            </w:r>
            <w:r>
              <w:rPr>
                <w:rFonts w:hint="eastAsia" w:ascii="仿宋" w:hAnsi="仿宋" w:eastAsia="仿宋" w:cs="仿宋"/>
                <w:sz w:val="24"/>
                <w:highlight w:val="none"/>
                <w:shd w:val="pct10" w:color="auto" w:fill="FFFFFF"/>
                <w:lang w:val="en-US" w:eastAsia="zh-CN"/>
              </w:rPr>
              <w:t>13:30</w:t>
            </w:r>
            <w:r>
              <w:rPr>
                <w:rFonts w:hint="eastAsia" w:ascii="仿宋" w:hAnsi="仿宋" w:eastAsia="仿宋" w:cs="仿宋"/>
                <w:sz w:val="24"/>
                <w:highlight w:val="none"/>
                <w:shd w:val="pct10" w:color="auto" w:fill="FFFFFF"/>
                <w:lang w:eastAsia="zh-CN"/>
              </w:rPr>
              <w:t>时</w:t>
            </w:r>
            <w:r>
              <w:rPr>
                <w:rFonts w:hint="eastAsia" w:ascii="仿宋" w:hAnsi="仿宋" w:eastAsia="仿宋" w:cs="仿宋"/>
                <w:sz w:val="24"/>
                <w:highlight w:val="none"/>
                <w:shd w:val="pct10" w:color="auto" w:fill="FFFFFF"/>
              </w:rPr>
              <w:t>；</w:t>
            </w:r>
          </w:p>
          <w:p>
            <w:pPr>
              <w:snapToGrid w:val="0"/>
              <w:spacing w:line="273" w:lineRule="auto"/>
              <w:rPr>
                <w:rFonts w:hint="eastAsia" w:ascii="仿宋" w:hAnsi="仿宋" w:eastAsia="仿宋" w:cs="仿宋"/>
                <w:sz w:val="24"/>
                <w:highlight w:val="none"/>
              </w:rPr>
            </w:pPr>
            <w:r>
              <w:rPr>
                <w:rFonts w:hint="eastAsia" w:ascii="仿宋" w:hAnsi="仿宋" w:eastAsia="仿宋" w:cs="仿宋"/>
                <w:sz w:val="24"/>
                <w:highlight w:val="none"/>
              </w:rPr>
              <w:t>投标地点：（1）本项目通过“政府采购云平台（www.zcygov.cn）”实行在线投标响应（电子投标）；</w:t>
            </w:r>
          </w:p>
          <w:p>
            <w:pPr>
              <w:snapToGrid w:val="0"/>
              <w:spacing w:line="273" w:lineRule="auto"/>
              <w:rPr>
                <w:rFonts w:hint="eastAsia" w:ascii="仿宋" w:hAnsi="仿宋" w:eastAsia="仿宋" w:cs="仿宋"/>
                <w:sz w:val="24"/>
                <w:highlight w:val="none"/>
              </w:rPr>
            </w:pPr>
            <w:r>
              <w:rPr>
                <w:rFonts w:hint="eastAsia" w:ascii="仿宋" w:hAnsi="仿宋" w:eastAsia="仿宋" w:cs="仿宋"/>
                <w:sz w:val="24"/>
                <w:highlight w:val="none"/>
              </w:rPr>
              <w:t>（2）投标人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8</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highlight w:val="none"/>
              </w:rPr>
            </w:pPr>
            <w:r>
              <w:rPr>
                <w:rFonts w:hint="eastAsia" w:ascii="仿宋" w:hAnsi="仿宋" w:eastAsia="仿宋" w:cs="仿宋"/>
                <w:sz w:val="24"/>
                <w:highlight w:val="none"/>
              </w:rPr>
              <w:t>开标时间：</w:t>
            </w:r>
            <w:r>
              <w:rPr>
                <w:rFonts w:hint="eastAsia" w:ascii="仿宋" w:hAnsi="仿宋" w:eastAsia="仿宋" w:cs="仿宋"/>
                <w:sz w:val="24"/>
                <w:highlight w:val="none"/>
                <w:shd w:val="pct10" w:color="auto" w:fill="FFFFFF"/>
              </w:rPr>
              <w:t>202</w:t>
            </w:r>
            <w:r>
              <w:rPr>
                <w:rFonts w:hint="eastAsia" w:ascii="仿宋" w:hAnsi="仿宋" w:eastAsia="仿宋" w:cs="仿宋"/>
                <w:sz w:val="24"/>
                <w:highlight w:val="none"/>
                <w:shd w:val="pct10" w:color="auto" w:fill="FFFFFF"/>
                <w:lang w:val="en-US" w:eastAsia="zh-CN"/>
              </w:rPr>
              <w:t>3</w:t>
            </w:r>
            <w:r>
              <w:rPr>
                <w:rFonts w:hint="eastAsia" w:ascii="仿宋" w:hAnsi="仿宋" w:eastAsia="仿宋" w:cs="仿宋"/>
                <w:sz w:val="24"/>
                <w:highlight w:val="none"/>
                <w:shd w:val="pct10" w:color="auto" w:fill="FFFFFF"/>
              </w:rPr>
              <w:t>年</w:t>
            </w:r>
            <w:r>
              <w:rPr>
                <w:rFonts w:hint="eastAsia" w:ascii="仿宋" w:hAnsi="仿宋" w:eastAsia="仿宋" w:cs="仿宋"/>
                <w:sz w:val="24"/>
                <w:highlight w:val="none"/>
                <w:shd w:val="pct10" w:color="auto" w:fill="FFFFFF"/>
                <w:lang w:val="en-US" w:eastAsia="zh-CN"/>
              </w:rPr>
              <w:t>5</w:t>
            </w:r>
            <w:r>
              <w:rPr>
                <w:rFonts w:hint="eastAsia" w:ascii="仿宋" w:hAnsi="仿宋" w:eastAsia="仿宋" w:cs="仿宋"/>
                <w:sz w:val="24"/>
                <w:highlight w:val="none"/>
                <w:shd w:val="pct10" w:color="auto" w:fill="FFFFFF"/>
              </w:rPr>
              <w:t>月</w:t>
            </w:r>
            <w:r>
              <w:rPr>
                <w:rFonts w:hint="eastAsia" w:ascii="仿宋" w:hAnsi="仿宋" w:eastAsia="仿宋" w:cs="仿宋"/>
                <w:sz w:val="24"/>
                <w:highlight w:val="none"/>
                <w:shd w:val="pct10" w:color="auto" w:fill="FFFFFF"/>
                <w:lang w:val="en-US" w:eastAsia="zh-CN"/>
              </w:rPr>
              <w:t>5</w:t>
            </w:r>
            <w:r>
              <w:rPr>
                <w:rFonts w:hint="eastAsia" w:ascii="仿宋" w:hAnsi="仿宋" w:eastAsia="仿宋" w:cs="仿宋"/>
                <w:sz w:val="24"/>
                <w:highlight w:val="none"/>
                <w:shd w:val="pct10" w:color="auto" w:fill="FFFFFF"/>
              </w:rPr>
              <w:t>日</w:t>
            </w:r>
            <w:r>
              <w:rPr>
                <w:rFonts w:hint="eastAsia" w:ascii="仿宋" w:hAnsi="仿宋" w:eastAsia="仿宋" w:cs="仿宋"/>
                <w:sz w:val="24"/>
                <w:highlight w:val="none"/>
                <w:shd w:val="pct10" w:color="auto" w:fill="FFFFFF"/>
                <w:lang w:val="en-US" w:eastAsia="zh-CN"/>
              </w:rPr>
              <w:t>13:30</w:t>
            </w:r>
            <w:r>
              <w:rPr>
                <w:rFonts w:hint="eastAsia" w:ascii="仿宋" w:hAnsi="仿宋" w:eastAsia="仿宋" w:cs="仿宋"/>
                <w:sz w:val="24"/>
                <w:highlight w:val="none"/>
                <w:shd w:val="pct10" w:color="auto" w:fill="FFFFFF"/>
                <w:lang w:eastAsia="zh-CN"/>
              </w:rPr>
              <w:t>时</w:t>
            </w:r>
            <w:r>
              <w:rPr>
                <w:rFonts w:hint="eastAsia" w:ascii="仿宋" w:hAnsi="仿宋" w:eastAsia="仿宋" w:cs="仿宋"/>
                <w:sz w:val="24"/>
                <w:highlight w:val="none"/>
                <w:shd w:val="pct10" w:color="auto" w:fill="FFFFFF"/>
              </w:rPr>
              <w:t>；</w:t>
            </w:r>
          </w:p>
          <w:p>
            <w:pPr>
              <w:snapToGrid w:val="0"/>
              <w:spacing w:line="273" w:lineRule="auto"/>
              <w:rPr>
                <w:rFonts w:hint="eastAsia" w:ascii="仿宋" w:hAnsi="仿宋" w:eastAsia="仿宋" w:cs="仿宋"/>
                <w:sz w:val="24"/>
                <w:highlight w:val="none"/>
              </w:rPr>
            </w:pPr>
            <w:r>
              <w:rPr>
                <w:rFonts w:hint="eastAsia" w:ascii="仿宋" w:hAnsi="仿宋" w:eastAsia="仿宋" w:cs="仿宋"/>
                <w:sz w:val="24"/>
                <w:highlight w:val="none"/>
              </w:rPr>
              <w:t>地点：湖州市公共资源交易中心（湖州市仁皇山片区金盖山路66号湖州市民服务中心内）。具体详见二楼休息区大屏幕。</w:t>
            </w:r>
          </w:p>
          <w:p>
            <w:pPr>
              <w:snapToGrid w:val="0"/>
              <w:spacing w:line="273"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snapToGrid w:val="0"/>
              <w:spacing w:line="273"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2、数据电子备份投标文件（U 盘）：以 U 盘形式提供的数据电子备份投标文件格式及内容须与政采云平台项目采购-电子交易操作指南中制作、加密并递交的电子投标文件格式及内容一致。递交主要有以下两种方式：</w:t>
            </w:r>
          </w:p>
          <w:p>
            <w:pPr>
              <w:snapToGrid w:val="0"/>
              <w:spacing w:line="273"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（1）因疫情原因，数据电子备份投标文件（U盘）应通过邮寄快递方式送达，邮寄地址为：</w:t>
            </w:r>
            <w:r>
              <w:rPr>
                <w:rFonts w:hint="eastAsia" w:ascii="仿宋" w:hAnsi="仿宋" w:eastAsia="仿宋" w:cs="仿宋"/>
                <w:sz w:val="24"/>
                <w:highlight w:val="none"/>
                <w:lang w:eastAsia="zh-CN"/>
              </w:rPr>
              <w:t>湖州帆华工程管理有限公司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湖州市太湖路1155号8层</w:t>
            </w:r>
            <w:r>
              <w:rPr>
                <w:rFonts w:hint="eastAsia" w:ascii="仿宋" w:hAnsi="仿宋" w:eastAsia="仿宋" w:cs="仿宋"/>
                <w:sz w:val="24"/>
                <w:highlight w:val="none"/>
              </w:rPr>
              <w:t>]，联系电话：0572-</w:t>
            </w:r>
            <w:r>
              <w:rPr>
                <w:rFonts w:hint="eastAsia" w:ascii="仿宋" w:hAnsi="仿宋" w:eastAsia="仿宋" w:cs="仿宋"/>
                <w:sz w:val="24"/>
                <w:highlight w:val="none"/>
                <w:lang w:eastAsia="zh-CN"/>
              </w:rPr>
              <w:t>2292887</w:t>
            </w:r>
            <w:r>
              <w:rPr>
                <w:rFonts w:hint="eastAsia" w:ascii="仿宋" w:hAnsi="仿宋" w:eastAsia="仿宋" w:cs="仿宋"/>
                <w:sz w:val="24"/>
                <w:highlight w:val="none"/>
              </w:rPr>
              <w:t>。邮寄截止时间：投标人应于202</w:t>
            </w:r>
            <w:r>
              <w:rPr>
                <w:rFonts w:hint="eastAsia" w:ascii="仿宋" w:hAnsi="仿宋" w:eastAsia="仿宋" w:cs="仿宋"/>
                <w:sz w:val="24"/>
                <w:highlight w:val="none"/>
                <w:lang w:val="en-US" w:eastAsia="zh-CN"/>
              </w:rPr>
              <w:t>3年5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 xml:space="preserve">日下午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napToGrid w:val="0"/>
              <w:spacing w:line="273"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若投标人派授权代表出席开标会议（授权代表必须携带身份证、法人授权委托书或法人身份证明文书等有效证明文件。未携带有效证明文件，其数据电子备份投标文件将被拒绝），数据电子备份投标文件（U盘）应在投标截止时间前送达，超过投标截止时间前送达的，按未提供处理。</w:t>
            </w:r>
          </w:p>
          <w:p>
            <w:pPr>
              <w:snapToGrid w:val="0"/>
              <w:spacing w:line="273"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1）投标人应权衡利弊考虑是否提供数据电子备份投标文件（U盘），采购人及采购代理机构不做强制性要求，若因下一条款（第3条）原因须启用数据电子备份投标文件（U盘）时，而投标人未提供的，视为放弃投标资格，作无效标处理；（2）投标人应对提供的数据电子备份投标文件（U盘）进行加密处理，若需要启用数据电子备份投标文件（U盘）时，由采购人或采购代理机构启封并进行解密；（3）若投标人未提供数据电子备份投标文件（U盘），招标公告及</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中关于数据电子备份投标文件（U盘）的要求及内容不再适用。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9</w:t>
            </w:r>
          </w:p>
        </w:tc>
        <w:tc>
          <w:tcPr>
            <w:tcW w:w="8523"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line="273" w:lineRule="auto"/>
              <w:textAlignment w:val="bottom"/>
              <w:rPr>
                <w:rFonts w:hint="eastAsia" w:ascii="仿宋" w:hAnsi="仿宋" w:eastAsia="仿宋" w:cs="仿宋"/>
                <w:sz w:val="24"/>
              </w:rPr>
            </w:pPr>
            <w:r>
              <w:rPr>
                <w:rFonts w:hint="eastAsia" w:ascii="仿宋" w:hAnsi="仿宋" w:eastAsia="仿宋" w:cs="仿宋"/>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10</w:t>
            </w:r>
          </w:p>
        </w:tc>
        <w:tc>
          <w:tcPr>
            <w:tcW w:w="852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中标结果公告：采购人依法确定中标后 2 个工作日内，并公告 7 个工作日，公告发布网址如下：</w:t>
            </w:r>
          </w:p>
          <w:p>
            <w:pPr>
              <w:spacing w:line="360" w:lineRule="auto"/>
              <w:rPr>
                <w:rFonts w:hint="eastAsia" w:ascii="仿宋" w:hAnsi="仿宋" w:eastAsia="仿宋" w:cs="仿宋"/>
                <w:sz w:val="24"/>
              </w:rPr>
            </w:pPr>
            <w:r>
              <w:rPr>
                <w:rFonts w:hint="eastAsia" w:ascii="仿宋" w:hAnsi="仿宋" w:eastAsia="仿宋" w:cs="仿宋"/>
                <w:sz w:val="24"/>
              </w:rPr>
              <w:t>浙江省政府采购网：http://zfcg.czt.zj.gov.cn/；</w:t>
            </w:r>
          </w:p>
          <w:p>
            <w:pPr>
              <w:spacing w:line="360" w:lineRule="auto"/>
              <w:rPr>
                <w:rFonts w:hint="eastAsia" w:ascii="仿宋" w:hAnsi="仿宋" w:eastAsia="仿宋" w:cs="仿宋"/>
                <w:sz w:val="24"/>
              </w:rPr>
            </w:pPr>
            <w:r>
              <w:rPr>
                <w:rFonts w:hint="eastAsia" w:ascii="仿宋" w:hAnsi="仿宋" w:eastAsia="仿宋" w:cs="仿宋"/>
                <w:sz w:val="24"/>
              </w:rPr>
              <w:t>湖州市公共资源交易信息网：</w:t>
            </w:r>
            <w:r>
              <w:rPr>
                <w:rFonts w:hint="eastAsia" w:ascii="仿宋" w:hAnsi="仿宋" w:eastAsia="仿宋" w:cs="仿宋"/>
              </w:rPr>
              <w:fldChar w:fldCharType="begin"/>
            </w:r>
            <w:r>
              <w:rPr>
                <w:rFonts w:hint="eastAsia" w:ascii="仿宋" w:hAnsi="仿宋" w:eastAsia="仿宋" w:cs="仿宋"/>
              </w:rPr>
              <w:instrText xml:space="preserve"> HYPERLINK "http://ggzy.huzhou.gov.cn/hzfront/" </w:instrText>
            </w:r>
            <w:r>
              <w:rPr>
                <w:rFonts w:hint="eastAsia" w:ascii="仿宋" w:hAnsi="仿宋" w:eastAsia="仿宋" w:cs="仿宋"/>
              </w:rPr>
              <w:fldChar w:fldCharType="separate"/>
            </w:r>
            <w:r>
              <w:rPr>
                <w:rStyle w:val="22"/>
                <w:rFonts w:hint="eastAsia" w:ascii="仿宋" w:hAnsi="仿宋" w:eastAsia="仿宋" w:cs="仿宋"/>
                <w:color w:val="auto"/>
                <w:sz w:val="24"/>
                <w:u w:val="none"/>
                <w:lang w:eastAsia="zh-CN"/>
              </w:rPr>
              <w:t>http://ggzyjy.huzhou.gov.cn/</w:t>
            </w:r>
            <w:r>
              <w:rPr>
                <w:rStyle w:val="22"/>
                <w:rFonts w:hint="eastAsia" w:ascii="仿宋" w:hAnsi="仿宋" w:eastAsia="仿宋" w:cs="仿宋"/>
                <w:color w:val="auto"/>
                <w:sz w:val="24"/>
                <w:u w:val="none"/>
              </w:rPr>
              <w:fldChar w:fldCharType="end"/>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11</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中标通知书：在发布中标结果公告的同时，向中标人发中标通知书。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rPr>
            </w:pPr>
            <w:r>
              <w:rPr>
                <w:rFonts w:hint="eastAsia" w:ascii="仿宋" w:hAnsi="仿宋" w:eastAsia="仿宋" w:cs="仿宋"/>
                <w:sz w:val="24"/>
              </w:rPr>
              <w:t>12</w:t>
            </w:r>
          </w:p>
        </w:tc>
        <w:tc>
          <w:tcPr>
            <w:tcW w:w="8523"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line="273" w:lineRule="auto"/>
              <w:textAlignment w:val="bottom"/>
              <w:rPr>
                <w:rFonts w:hint="eastAsia"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解释：本</w:t>
            </w:r>
            <w:r>
              <w:rPr>
                <w:rFonts w:hint="eastAsia" w:ascii="仿宋" w:hAnsi="仿宋" w:eastAsia="仿宋" w:cs="仿宋"/>
                <w:sz w:val="24"/>
                <w:lang w:eastAsia="zh-CN"/>
              </w:rPr>
              <w:t>采购文件</w:t>
            </w:r>
            <w:r>
              <w:rPr>
                <w:rFonts w:hint="eastAsia" w:ascii="仿宋" w:hAnsi="仿宋" w:eastAsia="仿宋" w:cs="仿宋"/>
                <w:sz w:val="24"/>
              </w:rPr>
              <w:t>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在确定中标人后，签订合同前，中标人须提供</w:t>
            </w:r>
            <w:r>
              <w:rPr>
                <w:rFonts w:hint="eastAsia" w:ascii="仿宋" w:hAnsi="仿宋" w:eastAsia="仿宋" w:cs="仿宋"/>
                <w:sz w:val="24"/>
                <w:lang w:eastAsia="zh-CN"/>
              </w:rPr>
              <w:t>一正二副</w:t>
            </w:r>
            <w:r>
              <w:rPr>
                <w:rFonts w:hint="eastAsia" w:ascii="仿宋" w:hAnsi="仿宋" w:eastAsia="仿宋" w:cs="仿宋"/>
                <w:sz w:val="24"/>
              </w:rPr>
              <w:t>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273"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8523" w:type="dxa"/>
            <w:tcBorders>
              <w:top w:val="single" w:color="auto" w:sz="4" w:space="0"/>
              <w:left w:val="nil"/>
              <w:bottom w:val="single" w:color="auto" w:sz="4" w:space="0"/>
              <w:right w:val="single" w:color="auto" w:sz="4" w:space="0"/>
            </w:tcBorders>
            <w:noWrap w:val="0"/>
            <w:vAlign w:val="center"/>
          </w:tcPr>
          <w:p>
            <w:pPr>
              <w:snapToGrid w:val="0"/>
              <w:spacing w:line="273" w:lineRule="auto"/>
              <w:rPr>
                <w:rFonts w:hint="eastAsia" w:ascii="仿宋" w:hAnsi="仿宋" w:eastAsia="仿宋" w:cs="仿宋"/>
                <w:sz w:val="24"/>
              </w:rPr>
            </w:pPr>
            <w:r>
              <w:rPr>
                <w:rFonts w:hint="eastAsia" w:ascii="仿宋" w:hAnsi="仿宋" w:eastAsia="仿宋" w:cs="仿宋"/>
                <w:sz w:val="24"/>
              </w:rPr>
              <w:t>特别说明：政采云公司如对电子化开标及评审程序有调整的，应按调整的程序操作。</w:t>
            </w:r>
          </w:p>
        </w:tc>
      </w:tr>
      <w:bookmarkEnd w:id="10"/>
      <w:bookmarkEnd w:id="11"/>
    </w:tbl>
    <w:p>
      <w:pPr>
        <w:pStyle w:val="24"/>
        <w:rPr>
          <w:rFonts w:hint="eastAsia" w:ascii="仿宋" w:hAnsi="仿宋" w:eastAsia="仿宋" w:cs="仿宋"/>
          <w:color w:val="auto"/>
        </w:rPr>
      </w:pPr>
    </w:p>
    <w:p>
      <w:pPr>
        <w:pStyle w:val="24"/>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一、总 则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（一）适用范围 </w:t>
      </w:r>
    </w:p>
    <w:p>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rPr>
        <w:t>本</w:t>
      </w:r>
      <w:r>
        <w:rPr>
          <w:rFonts w:hint="eastAsia" w:ascii="仿宋" w:hAnsi="仿宋" w:eastAsia="仿宋" w:cs="仿宋"/>
          <w:sz w:val="24"/>
          <w:lang w:eastAsia="zh-CN"/>
        </w:rPr>
        <w:t>采购文件</w:t>
      </w:r>
      <w:r>
        <w:rPr>
          <w:rFonts w:hint="eastAsia" w:ascii="仿宋" w:hAnsi="仿宋" w:eastAsia="仿宋" w:cs="仿宋"/>
          <w:sz w:val="24"/>
          <w:highlight w:val="none"/>
        </w:rPr>
        <w:t>适用于</w:t>
      </w:r>
      <w:r>
        <w:rPr>
          <w:rFonts w:hint="eastAsia" w:ascii="仿宋" w:hAnsi="仿宋" w:eastAsia="仿宋" w:cs="仿宋"/>
          <w:sz w:val="24"/>
          <w:highlight w:val="none"/>
          <w:u w:val="single"/>
          <w:lang w:eastAsia="zh-CN"/>
        </w:rPr>
        <w:t>湖州市民政局2023年度湖州市老年人意外伤害统筹保险采购项目</w:t>
      </w:r>
      <w:r>
        <w:rPr>
          <w:rFonts w:hint="eastAsia" w:ascii="仿宋" w:hAnsi="仿宋" w:eastAsia="仿宋" w:cs="仿宋"/>
          <w:sz w:val="24"/>
          <w:highlight w:val="none"/>
        </w:rPr>
        <w:t xml:space="preserve">的招标、投标、评标、定标、验收、合同履约、付款等行为（法律、法规另有规定的，从其规定）。 </w:t>
      </w:r>
    </w:p>
    <w:p>
      <w:pPr>
        <w:pStyle w:val="24"/>
        <w:spacing w:line="460" w:lineRule="exact"/>
        <w:ind w:firstLine="480" w:firstLineChars="200"/>
        <w:rPr>
          <w:rFonts w:hint="eastAsia" w:ascii="仿宋" w:hAnsi="仿宋" w:eastAsia="仿宋" w:cs="仿宋"/>
          <w:color w:val="auto"/>
          <w:highlight w:val="none"/>
          <w:shd w:val="pct10" w:color="auto" w:fill="FFFFFF"/>
          <w:lang w:val="en-US" w:eastAsia="zh-CN"/>
        </w:rPr>
      </w:pPr>
      <w:r>
        <w:rPr>
          <w:rFonts w:hint="eastAsia" w:ascii="仿宋" w:hAnsi="仿宋" w:eastAsia="仿宋" w:cs="仿宋"/>
          <w:color w:val="auto"/>
          <w:highlight w:val="none"/>
        </w:rPr>
        <w:t>（二）采购预算：</w:t>
      </w:r>
      <w:r>
        <w:rPr>
          <w:rFonts w:hint="eastAsia" w:ascii="仿宋" w:hAnsi="仿宋" w:eastAsia="仿宋" w:cs="仿宋"/>
          <w:color w:val="auto"/>
          <w:highlight w:val="none"/>
          <w:lang w:val="en-US" w:eastAsia="zh-CN"/>
        </w:rPr>
        <w:t>标项1人民币831.19万元，标项2人民币675.1万元，标项3人民币218.44万元。</w:t>
      </w:r>
    </w:p>
    <w:p>
      <w:pPr>
        <w:pStyle w:val="24"/>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（三）定义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highlight w:val="none"/>
        </w:rPr>
        <w:t>1. 采购人系指组织本次项目采购的</w:t>
      </w:r>
      <w:r>
        <w:rPr>
          <w:rFonts w:hint="eastAsia" w:ascii="仿宋" w:hAnsi="仿宋" w:eastAsia="仿宋" w:cs="仿宋"/>
          <w:b/>
          <w:color w:val="auto"/>
          <w:highlight w:val="none"/>
          <w:u w:val="single"/>
          <w:lang w:eastAsia="zh-CN"/>
        </w:rPr>
        <w:t>湖州市民政局</w:t>
      </w:r>
      <w:r>
        <w:rPr>
          <w:rFonts w:hint="eastAsia" w:ascii="仿宋" w:hAnsi="仿宋" w:eastAsia="仿宋" w:cs="仿宋"/>
          <w:color w:val="auto"/>
          <w:highlight w:val="none"/>
        </w:rPr>
        <w:t>；采购代理机构系指采购人授权委托代理本项目招标程序的</w:t>
      </w:r>
      <w:r>
        <w:rPr>
          <w:rFonts w:hint="eastAsia" w:ascii="仿宋" w:hAnsi="仿宋" w:eastAsia="仿宋" w:cs="仿宋"/>
          <w:b/>
          <w:color w:val="auto"/>
          <w:highlight w:val="none"/>
          <w:u w:val="single"/>
          <w:lang w:eastAsia="zh-CN"/>
        </w:rPr>
        <w:t>湖州帆华工</w:t>
      </w:r>
      <w:r>
        <w:rPr>
          <w:rFonts w:hint="eastAsia" w:ascii="仿宋" w:hAnsi="仿宋" w:eastAsia="仿宋" w:cs="仿宋"/>
          <w:b/>
          <w:color w:val="auto"/>
          <w:u w:val="single"/>
          <w:lang w:eastAsia="zh-CN"/>
        </w:rPr>
        <w:t>程管理有限公司</w:t>
      </w:r>
      <w:r>
        <w:rPr>
          <w:rFonts w:hint="eastAsia" w:ascii="仿宋" w:hAnsi="仿宋" w:eastAsia="仿宋" w:cs="仿宋"/>
          <w:color w:val="auto"/>
        </w:rPr>
        <w:t xml:space="preserve">。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2.“投标人”指向采购人提交投标文件的单位。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3. “产品”系指供方按</w:t>
      </w:r>
      <w:r>
        <w:rPr>
          <w:rFonts w:hint="eastAsia" w:ascii="仿宋" w:hAnsi="仿宋" w:eastAsia="仿宋" w:cs="仿宋"/>
          <w:color w:val="auto"/>
          <w:lang w:eastAsia="zh-CN"/>
        </w:rPr>
        <w:t>采购文件</w:t>
      </w:r>
      <w:r>
        <w:rPr>
          <w:rFonts w:hint="eastAsia" w:ascii="仿宋" w:hAnsi="仿宋" w:eastAsia="仿宋" w:cs="仿宋"/>
          <w:color w:val="auto"/>
        </w:rPr>
        <w:t>规定，须向采购人提供的一切产品、保险、税金、备品备件、工具、手册及其它有关技术资料和材料。</w:t>
      </w:r>
    </w:p>
    <w:p>
      <w:pPr>
        <w:pStyle w:val="24"/>
        <w:spacing w:line="460" w:lineRule="exact"/>
        <w:ind w:firstLine="480" w:firstLineChars="200"/>
        <w:rPr>
          <w:rFonts w:hint="eastAsia" w:ascii="仿宋" w:hAnsi="仿宋" w:eastAsia="仿宋" w:cs="仿宋"/>
          <w:color w:val="auto"/>
          <w:szCs w:val="20"/>
        </w:rPr>
      </w:pPr>
      <w:r>
        <w:rPr>
          <w:rFonts w:hint="eastAsia" w:ascii="仿宋" w:hAnsi="仿宋" w:eastAsia="仿宋" w:cs="仿宋"/>
          <w:color w:val="auto"/>
        </w:rPr>
        <w:t>4.“服务”系指</w:t>
      </w:r>
      <w:r>
        <w:rPr>
          <w:rFonts w:hint="eastAsia" w:ascii="仿宋" w:hAnsi="仿宋" w:eastAsia="仿宋" w:cs="仿宋"/>
          <w:color w:val="auto"/>
          <w:lang w:eastAsia="zh-CN"/>
        </w:rPr>
        <w:t>采购文件</w:t>
      </w:r>
      <w:r>
        <w:rPr>
          <w:rFonts w:hint="eastAsia" w:ascii="仿宋" w:hAnsi="仿宋" w:eastAsia="仿宋" w:cs="仿宋"/>
          <w:color w:val="auto"/>
        </w:rPr>
        <w:t>规定投标人须承担的安装、调试、技术协助、校准、培训、技术指导以及其他类似的义务。</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5.“项目”系指投标人按</w:t>
      </w:r>
      <w:r>
        <w:rPr>
          <w:rFonts w:hint="eastAsia" w:ascii="仿宋" w:hAnsi="仿宋" w:eastAsia="仿宋" w:cs="仿宋"/>
          <w:color w:val="auto"/>
          <w:lang w:eastAsia="zh-CN"/>
        </w:rPr>
        <w:t>采购文件</w:t>
      </w:r>
      <w:r>
        <w:rPr>
          <w:rFonts w:hint="eastAsia" w:ascii="仿宋" w:hAnsi="仿宋" w:eastAsia="仿宋" w:cs="仿宋"/>
          <w:color w:val="auto"/>
        </w:rPr>
        <w:t xml:space="preserve">规定向采购人提供的服务。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6.“书面形式”包括信函、传真、电报等。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7.“▲”系指实质性要求条款。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（四）采购方式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本次招标采用公开招标方式进行。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（五）</w:t>
      </w:r>
      <w:bookmarkEnd w:id="12"/>
      <w:bookmarkEnd w:id="13"/>
      <w:r>
        <w:rPr>
          <w:rFonts w:hint="eastAsia" w:ascii="仿宋" w:hAnsi="仿宋" w:eastAsia="仿宋" w:cs="仿宋"/>
          <w:color w:val="auto"/>
        </w:rPr>
        <w:t>投标费用</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 投标人应自行承担投标过程中的所有相关费用，不论中标与否，采购人在任何情况下不承担有关费用。</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（六）联合体投标</w:t>
      </w:r>
    </w:p>
    <w:p>
      <w:pPr>
        <w:spacing w:line="460" w:lineRule="exact"/>
        <w:ind w:firstLine="482" w:firstLineChars="200"/>
        <w:jc w:val="left"/>
        <w:rPr>
          <w:rFonts w:hint="eastAsia" w:ascii="仿宋" w:hAnsi="仿宋" w:eastAsia="仿宋" w:cs="仿宋"/>
          <w:b/>
          <w:kern w:val="0"/>
          <w:sz w:val="24"/>
        </w:rPr>
      </w:pPr>
      <w:r>
        <w:rPr>
          <w:rFonts w:hint="eastAsia" w:ascii="仿宋" w:hAnsi="仿宋" w:eastAsia="仿宋" w:cs="仿宋"/>
          <w:b/>
          <w:sz w:val="24"/>
        </w:rPr>
        <w:t>本项目不接受联合体投标</w:t>
      </w:r>
      <w:r>
        <w:rPr>
          <w:rFonts w:hint="eastAsia" w:ascii="仿宋" w:hAnsi="仿宋" w:eastAsia="仿宋" w:cs="仿宋"/>
          <w:b/>
          <w:kern w:val="0"/>
          <w:sz w:val="24"/>
        </w:rPr>
        <w:t>。</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（七）转包与分包</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本项目不允许转包与分包。</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特别说明：</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▲1.投标人投标所使用的资格、信誉、荣誉、业绩与企业认证必须为本法人所拥有。投标人投标所使用的采购项目实施人员必须为本法人员工。</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▲2.投标人应仔细阅读</w:t>
      </w:r>
      <w:r>
        <w:rPr>
          <w:rFonts w:hint="eastAsia" w:ascii="仿宋" w:hAnsi="仿宋" w:eastAsia="仿宋" w:cs="仿宋"/>
          <w:kern w:val="0"/>
          <w:sz w:val="24"/>
          <w:lang w:eastAsia="zh-CN"/>
        </w:rPr>
        <w:t>采购文件</w:t>
      </w:r>
      <w:r>
        <w:rPr>
          <w:rFonts w:hint="eastAsia" w:ascii="仿宋" w:hAnsi="仿宋" w:eastAsia="仿宋" w:cs="仿宋"/>
          <w:kern w:val="0"/>
          <w:sz w:val="24"/>
        </w:rPr>
        <w:t>的所有内容，按照</w:t>
      </w:r>
      <w:r>
        <w:rPr>
          <w:rFonts w:hint="eastAsia" w:ascii="仿宋" w:hAnsi="仿宋" w:eastAsia="仿宋" w:cs="仿宋"/>
          <w:kern w:val="0"/>
          <w:sz w:val="24"/>
          <w:lang w:eastAsia="zh-CN"/>
        </w:rPr>
        <w:t>采购文件</w:t>
      </w:r>
      <w:r>
        <w:rPr>
          <w:rFonts w:hint="eastAsia" w:ascii="仿宋" w:hAnsi="仿宋" w:eastAsia="仿宋" w:cs="仿宋"/>
          <w:kern w:val="0"/>
          <w:sz w:val="24"/>
        </w:rPr>
        <w:t>的要求提交投标文件，并对所提供的全部资料的真实性承担法律责任。</w:t>
      </w:r>
    </w:p>
    <w:p>
      <w:pPr>
        <w:widowControl/>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（八）质疑和投诉</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根据《中华人民共和国财政部令第 94 号-政府采购质疑和投诉办法》第二章规定。</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1.投标人认为</w:t>
      </w:r>
      <w:r>
        <w:rPr>
          <w:rFonts w:hint="eastAsia" w:ascii="仿宋" w:hAnsi="仿宋" w:eastAsia="仿宋" w:cs="仿宋"/>
          <w:kern w:val="0"/>
          <w:sz w:val="24"/>
          <w:lang w:eastAsia="zh-CN"/>
        </w:rPr>
        <w:t>采购文件</w:t>
      </w:r>
      <w:r>
        <w:rPr>
          <w:rFonts w:hint="eastAsia" w:ascii="仿宋" w:hAnsi="仿宋" w:eastAsia="仿宋" w:cs="仿宋"/>
          <w:kern w:val="0"/>
          <w:sz w:val="24"/>
        </w:rPr>
        <w:t>、采购过程、中标或者中标结果使自己的权益受到损害的，可以在知道或者应知其权益受到损害之日起 7 个工作日内，以书面形式向采购人、采购代理机构提出质疑。</w:t>
      </w:r>
      <w:r>
        <w:rPr>
          <w:rFonts w:hint="eastAsia" w:ascii="仿宋" w:hAnsi="仿宋" w:eastAsia="仿宋" w:cs="仿宋"/>
          <w:kern w:val="0"/>
          <w:sz w:val="24"/>
          <w:lang w:eastAsia="zh-CN"/>
        </w:rPr>
        <w:t>采购文件</w:t>
      </w:r>
      <w:r>
        <w:rPr>
          <w:rFonts w:hint="eastAsia" w:ascii="仿宋" w:hAnsi="仿宋" w:eastAsia="仿宋" w:cs="仿宋"/>
          <w:kern w:val="0"/>
          <w:sz w:val="24"/>
        </w:rPr>
        <w:t>可以要求投标人在法定质疑期内一次性提出针对同一采购程序环节的质疑。</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2.提出质疑的投标人（以下简称质疑</w:t>
      </w:r>
      <w:r>
        <w:rPr>
          <w:rFonts w:hint="eastAsia" w:ascii="仿宋" w:hAnsi="仿宋" w:eastAsia="仿宋" w:cs="仿宋"/>
          <w:kern w:val="0"/>
          <w:sz w:val="24"/>
          <w:lang w:eastAsia="zh-CN"/>
        </w:rPr>
        <w:t>投标人</w:t>
      </w:r>
      <w:r>
        <w:rPr>
          <w:rFonts w:hint="eastAsia" w:ascii="仿宋" w:hAnsi="仿宋" w:eastAsia="仿宋" w:cs="仿宋"/>
          <w:kern w:val="0"/>
          <w:sz w:val="24"/>
        </w:rPr>
        <w:t>）应当是参与所质疑项目采购活动的投标人。潜在投标人已依法获取其可质疑的</w:t>
      </w:r>
      <w:r>
        <w:rPr>
          <w:rFonts w:hint="eastAsia" w:ascii="仿宋" w:hAnsi="仿宋" w:eastAsia="仿宋" w:cs="仿宋"/>
          <w:kern w:val="0"/>
          <w:sz w:val="24"/>
          <w:lang w:eastAsia="zh-CN"/>
        </w:rPr>
        <w:t>采购文件</w:t>
      </w:r>
      <w:r>
        <w:rPr>
          <w:rFonts w:hint="eastAsia" w:ascii="仿宋" w:hAnsi="仿宋" w:eastAsia="仿宋" w:cs="仿宋"/>
          <w:kern w:val="0"/>
          <w:sz w:val="24"/>
        </w:rPr>
        <w:t>的，可以对该文件提出质疑。未按照规定方式依法获取</w:t>
      </w:r>
      <w:r>
        <w:rPr>
          <w:rFonts w:hint="eastAsia" w:ascii="仿宋" w:hAnsi="仿宋" w:eastAsia="仿宋" w:cs="仿宋"/>
          <w:kern w:val="0"/>
          <w:sz w:val="24"/>
          <w:lang w:eastAsia="zh-CN"/>
        </w:rPr>
        <w:t>采购文件</w:t>
      </w:r>
      <w:r>
        <w:rPr>
          <w:rFonts w:hint="eastAsia" w:ascii="仿宋" w:hAnsi="仿宋" w:eastAsia="仿宋" w:cs="仿宋"/>
          <w:kern w:val="0"/>
          <w:sz w:val="24"/>
        </w:rPr>
        <w:t>的，不得对</w:t>
      </w:r>
      <w:r>
        <w:rPr>
          <w:rFonts w:hint="eastAsia" w:ascii="仿宋" w:hAnsi="仿宋" w:eastAsia="仿宋" w:cs="仿宋"/>
          <w:kern w:val="0"/>
          <w:sz w:val="24"/>
          <w:lang w:eastAsia="zh-CN"/>
        </w:rPr>
        <w:t>采购文件</w:t>
      </w:r>
      <w:r>
        <w:rPr>
          <w:rFonts w:hint="eastAsia" w:ascii="仿宋" w:hAnsi="仿宋" w:eastAsia="仿宋" w:cs="仿宋"/>
          <w:kern w:val="0"/>
          <w:sz w:val="24"/>
        </w:rPr>
        <w:t>提起质疑投诉。对</w:t>
      </w:r>
      <w:r>
        <w:rPr>
          <w:rFonts w:hint="eastAsia" w:ascii="仿宋" w:hAnsi="仿宋" w:eastAsia="仿宋" w:cs="仿宋"/>
          <w:kern w:val="0"/>
          <w:sz w:val="24"/>
          <w:lang w:eastAsia="zh-CN"/>
        </w:rPr>
        <w:t>采购文件</w:t>
      </w:r>
      <w:r>
        <w:rPr>
          <w:rFonts w:hint="eastAsia" w:ascii="仿宋" w:hAnsi="仿宋" w:eastAsia="仿宋" w:cs="仿宋"/>
          <w:kern w:val="0"/>
          <w:sz w:val="24"/>
        </w:rPr>
        <w:t>提出质疑的，应当在获取</w:t>
      </w:r>
      <w:r>
        <w:rPr>
          <w:rFonts w:hint="eastAsia" w:ascii="仿宋" w:hAnsi="仿宋" w:eastAsia="仿宋" w:cs="仿宋"/>
          <w:kern w:val="0"/>
          <w:sz w:val="24"/>
          <w:lang w:eastAsia="zh-CN"/>
        </w:rPr>
        <w:t>采购文件</w:t>
      </w:r>
      <w:r>
        <w:rPr>
          <w:rFonts w:hint="eastAsia" w:ascii="仿宋" w:hAnsi="仿宋" w:eastAsia="仿宋" w:cs="仿宋"/>
          <w:kern w:val="0"/>
          <w:sz w:val="24"/>
        </w:rPr>
        <w:t>或者</w:t>
      </w:r>
      <w:r>
        <w:rPr>
          <w:rFonts w:hint="eastAsia" w:ascii="仿宋" w:hAnsi="仿宋" w:eastAsia="仿宋" w:cs="仿宋"/>
          <w:kern w:val="0"/>
          <w:sz w:val="24"/>
          <w:lang w:eastAsia="zh-CN"/>
        </w:rPr>
        <w:t>采购文件</w:t>
      </w:r>
      <w:r>
        <w:rPr>
          <w:rFonts w:hint="eastAsia" w:ascii="仿宋" w:hAnsi="仿宋" w:eastAsia="仿宋" w:cs="仿宋"/>
          <w:kern w:val="0"/>
          <w:sz w:val="24"/>
        </w:rPr>
        <w:t>公告期限届满之日起 7 个工作日内提出。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3. 投标人提出质疑应当提交质疑函和必要的证明材料。质疑函应当包括下列内容: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（1）投标人的姓名或者名称、地址、邮编、联系人及联系电话；</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（2）质疑项目的名称、编号；</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（3）具体、明确的质疑事项和与质疑事项相关的请求；</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（4）事实依据；</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（5）必要的法律依据；</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（6）提出质疑的日期。</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投标人为自然人的，应当由本人签字；投标人为法人或者其他组织的，应当由法定代表人、主要负责人，或者其授权代表签字或者盖章，并加盖公章。</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4.采购人、采购代理机构不得拒收质疑</w:t>
      </w:r>
      <w:r>
        <w:rPr>
          <w:rFonts w:hint="eastAsia" w:ascii="仿宋" w:hAnsi="仿宋" w:eastAsia="仿宋" w:cs="仿宋"/>
          <w:kern w:val="0"/>
          <w:sz w:val="24"/>
          <w:lang w:eastAsia="zh-CN"/>
        </w:rPr>
        <w:t>投标人</w:t>
      </w:r>
      <w:r>
        <w:rPr>
          <w:rFonts w:hint="eastAsia" w:ascii="仿宋" w:hAnsi="仿宋" w:eastAsia="仿宋" w:cs="仿宋"/>
          <w:kern w:val="0"/>
          <w:sz w:val="24"/>
        </w:rPr>
        <w:t>在法定质疑期内发出的质疑函，应当在收到质疑函后 7 个工作日内作出答复，并以书面形式通知质疑投标人和其他有关投标人。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 投标人对评审过程、中标或者中标结果提出质疑的，采购人、采购代理机构可以组织原评标委员会、竞争性谈判小组、询价小组或者竞争性</w:t>
      </w:r>
      <w:r>
        <w:rPr>
          <w:rFonts w:hint="eastAsia" w:ascii="仿宋" w:hAnsi="仿宋" w:eastAsia="仿宋" w:cs="仿宋"/>
          <w:kern w:val="0"/>
          <w:sz w:val="24"/>
          <w:lang w:eastAsia="zh-CN"/>
        </w:rPr>
        <w:t>评标委员会</w:t>
      </w:r>
      <w:r>
        <w:rPr>
          <w:rFonts w:hint="eastAsia" w:ascii="仿宋" w:hAnsi="仿宋" w:eastAsia="仿宋" w:cs="仿宋"/>
          <w:kern w:val="0"/>
          <w:sz w:val="24"/>
        </w:rPr>
        <w:t>协助答复质疑。</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6.质疑答复应当包括下列内容：</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（1）质疑投标人的姓名或者名称；</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（2）收到质疑函的日期、质疑项目名称及编号；</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（3）质疑事项、质疑答复的具体内容、事实依据和法律依据；</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（4）告知质疑</w:t>
      </w:r>
      <w:r>
        <w:rPr>
          <w:rFonts w:hint="eastAsia" w:ascii="仿宋" w:hAnsi="仿宋" w:eastAsia="仿宋" w:cs="仿宋"/>
          <w:kern w:val="0"/>
          <w:sz w:val="24"/>
          <w:lang w:eastAsia="zh-CN"/>
        </w:rPr>
        <w:t>投标人</w:t>
      </w:r>
      <w:r>
        <w:rPr>
          <w:rFonts w:hint="eastAsia" w:ascii="仿宋" w:hAnsi="仿宋" w:eastAsia="仿宋" w:cs="仿宋"/>
          <w:kern w:val="0"/>
          <w:sz w:val="24"/>
        </w:rPr>
        <w:t>依法投诉的权利；</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（5）质疑答复人名称；</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（6）答复质疑的日期。</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质疑答复的内容不得涉及商业秘密。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（1）对</w:t>
      </w:r>
      <w:r>
        <w:rPr>
          <w:rFonts w:hint="eastAsia" w:ascii="仿宋" w:hAnsi="仿宋" w:eastAsia="仿宋" w:cs="仿宋"/>
          <w:kern w:val="0"/>
          <w:sz w:val="24"/>
          <w:lang w:eastAsia="zh-CN"/>
        </w:rPr>
        <w:t>采购文件</w:t>
      </w:r>
      <w:r>
        <w:rPr>
          <w:rFonts w:hint="eastAsia" w:ascii="仿宋" w:hAnsi="仿宋" w:eastAsia="仿宋" w:cs="仿宋"/>
          <w:kern w:val="0"/>
          <w:sz w:val="24"/>
        </w:rPr>
        <w:t>提出的质疑，依法通过澄清或者修改可以继续开展采购活动的，澄清或者修改</w:t>
      </w:r>
      <w:r>
        <w:rPr>
          <w:rFonts w:hint="eastAsia" w:ascii="仿宋" w:hAnsi="仿宋" w:eastAsia="仿宋" w:cs="仿宋"/>
          <w:kern w:val="0"/>
          <w:sz w:val="24"/>
          <w:lang w:eastAsia="zh-CN"/>
        </w:rPr>
        <w:t>采购文件</w:t>
      </w:r>
      <w:r>
        <w:rPr>
          <w:rFonts w:hint="eastAsia" w:ascii="仿宋" w:hAnsi="仿宋" w:eastAsia="仿宋" w:cs="仿宋"/>
          <w:kern w:val="0"/>
          <w:sz w:val="24"/>
        </w:rPr>
        <w:t>后继续开展采购活动；否则应当修改</w:t>
      </w:r>
      <w:r>
        <w:rPr>
          <w:rFonts w:hint="eastAsia" w:ascii="仿宋" w:hAnsi="仿宋" w:eastAsia="仿宋" w:cs="仿宋"/>
          <w:kern w:val="0"/>
          <w:sz w:val="24"/>
          <w:lang w:eastAsia="zh-CN"/>
        </w:rPr>
        <w:t>采购文件</w:t>
      </w:r>
      <w:r>
        <w:rPr>
          <w:rFonts w:hint="eastAsia" w:ascii="仿宋" w:hAnsi="仿宋" w:eastAsia="仿宋" w:cs="仿宋"/>
          <w:kern w:val="0"/>
          <w:sz w:val="24"/>
        </w:rPr>
        <w:t>后重新开展采购活动。</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pPr>
        <w:spacing w:line="460" w:lineRule="exact"/>
        <w:ind w:firstLine="482" w:firstLineChars="200"/>
        <w:rPr>
          <w:rFonts w:hint="eastAsia" w:ascii="仿宋" w:hAnsi="仿宋" w:eastAsia="仿宋" w:cs="仿宋"/>
          <w:kern w:val="0"/>
          <w:sz w:val="24"/>
          <w:lang w:eastAsia="zh-CN"/>
        </w:rPr>
      </w:pPr>
      <w:r>
        <w:rPr>
          <w:rFonts w:hint="eastAsia" w:ascii="仿宋" w:hAnsi="仿宋" w:eastAsia="仿宋" w:cs="仿宋"/>
          <w:b/>
          <w:kern w:val="0"/>
          <w:sz w:val="24"/>
        </w:rPr>
        <w:t>二、</w:t>
      </w:r>
      <w:r>
        <w:rPr>
          <w:rFonts w:hint="eastAsia" w:ascii="仿宋" w:hAnsi="仿宋" w:eastAsia="仿宋" w:cs="仿宋"/>
          <w:b/>
          <w:kern w:val="0"/>
          <w:sz w:val="24"/>
          <w:lang w:eastAsia="zh-CN"/>
        </w:rPr>
        <w:t>采购文件</w:t>
      </w:r>
    </w:p>
    <w:p>
      <w:pPr>
        <w:spacing w:line="460" w:lineRule="exact"/>
        <w:ind w:firstLine="482" w:firstLineChars="200"/>
        <w:rPr>
          <w:rFonts w:hint="eastAsia" w:ascii="仿宋" w:hAnsi="仿宋" w:eastAsia="仿宋" w:cs="仿宋"/>
          <w:kern w:val="0"/>
          <w:sz w:val="24"/>
        </w:rPr>
      </w:pPr>
      <w:r>
        <w:rPr>
          <w:rFonts w:hint="eastAsia" w:ascii="仿宋" w:hAnsi="仿宋" w:eastAsia="仿宋" w:cs="仿宋"/>
          <w:b/>
          <w:kern w:val="0"/>
          <w:sz w:val="24"/>
        </w:rPr>
        <w:t xml:space="preserve">（一） </w:t>
      </w:r>
      <w:r>
        <w:rPr>
          <w:rFonts w:hint="eastAsia" w:ascii="仿宋" w:hAnsi="仿宋" w:eastAsia="仿宋" w:cs="仿宋"/>
          <w:b/>
          <w:kern w:val="0"/>
          <w:sz w:val="24"/>
          <w:lang w:eastAsia="zh-CN"/>
        </w:rPr>
        <w:t>采购文件</w:t>
      </w:r>
      <w:r>
        <w:rPr>
          <w:rFonts w:hint="eastAsia" w:ascii="仿宋" w:hAnsi="仿宋" w:eastAsia="仿宋" w:cs="仿宋"/>
          <w:b/>
          <w:kern w:val="0"/>
          <w:sz w:val="24"/>
        </w:rPr>
        <w:t>的构成。本</w:t>
      </w:r>
      <w:r>
        <w:rPr>
          <w:rFonts w:hint="eastAsia" w:ascii="仿宋" w:hAnsi="仿宋" w:eastAsia="仿宋" w:cs="仿宋"/>
          <w:b/>
          <w:kern w:val="0"/>
          <w:sz w:val="24"/>
          <w:lang w:eastAsia="zh-CN"/>
        </w:rPr>
        <w:t>采购文件</w:t>
      </w:r>
      <w:r>
        <w:rPr>
          <w:rFonts w:hint="eastAsia" w:ascii="仿宋" w:hAnsi="仿宋" w:eastAsia="仿宋" w:cs="仿宋"/>
          <w:b/>
          <w:kern w:val="0"/>
          <w:sz w:val="24"/>
        </w:rPr>
        <w:t>由以下部份组成：</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1.公开招标采购公告</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2.招标需求</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3.投标人须知</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4.评标办法及标准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5.合同主要条款</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6.投标格式与附件</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7.本项目</w:t>
      </w:r>
      <w:r>
        <w:rPr>
          <w:rFonts w:hint="eastAsia" w:ascii="仿宋" w:hAnsi="仿宋" w:eastAsia="仿宋" w:cs="仿宋"/>
          <w:kern w:val="0"/>
          <w:sz w:val="24"/>
          <w:lang w:eastAsia="zh-CN"/>
        </w:rPr>
        <w:t>采购文件</w:t>
      </w:r>
      <w:r>
        <w:rPr>
          <w:rFonts w:hint="eastAsia" w:ascii="仿宋" w:hAnsi="仿宋" w:eastAsia="仿宋" w:cs="仿宋"/>
          <w:kern w:val="0"/>
          <w:sz w:val="24"/>
        </w:rPr>
        <w:t>的澄清、答复、修改、补充的内容</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（二）投标人的风险</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投标人没有按照</w:t>
      </w:r>
      <w:r>
        <w:rPr>
          <w:rFonts w:hint="eastAsia" w:ascii="仿宋" w:hAnsi="仿宋" w:eastAsia="仿宋" w:cs="仿宋"/>
          <w:kern w:val="0"/>
          <w:sz w:val="24"/>
          <w:lang w:eastAsia="zh-CN"/>
        </w:rPr>
        <w:t>采购文件</w:t>
      </w:r>
      <w:r>
        <w:rPr>
          <w:rFonts w:hint="eastAsia" w:ascii="仿宋" w:hAnsi="仿宋" w:eastAsia="仿宋" w:cs="仿宋"/>
          <w:kern w:val="0"/>
          <w:sz w:val="24"/>
        </w:rPr>
        <w:t>要求提供全部资料，或者投标人没有对</w:t>
      </w:r>
      <w:r>
        <w:rPr>
          <w:rFonts w:hint="eastAsia" w:ascii="仿宋" w:hAnsi="仿宋" w:eastAsia="仿宋" w:cs="仿宋"/>
          <w:kern w:val="0"/>
          <w:sz w:val="24"/>
          <w:lang w:eastAsia="zh-CN"/>
        </w:rPr>
        <w:t>采购文件</w:t>
      </w:r>
      <w:r>
        <w:rPr>
          <w:rFonts w:hint="eastAsia" w:ascii="仿宋" w:hAnsi="仿宋" w:eastAsia="仿宋" w:cs="仿宋"/>
          <w:kern w:val="0"/>
          <w:sz w:val="24"/>
        </w:rPr>
        <w:t>在各方面作出实质性响应是投标人的风险，并可能导致其投标被拒绝。</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w:t>
      </w:r>
      <w:r>
        <w:rPr>
          <w:rFonts w:hint="eastAsia" w:ascii="仿宋" w:hAnsi="仿宋" w:eastAsia="仿宋" w:cs="仿宋"/>
          <w:kern w:val="0"/>
          <w:sz w:val="24"/>
          <w:lang w:eastAsia="zh-CN"/>
        </w:rPr>
        <w:t>采购文件</w:t>
      </w:r>
      <w:r>
        <w:rPr>
          <w:rFonts w:hint="eastAsia" w:ascii="仿宋" w:hAnsi="仿宋" w:eastAsia="仿宋" w:cs="仿宋"/>
          <w:kern w:val="0"/>
          <w:sz w:val="24"/>
        </w:rPr>
        <w:t>的澄清与修改</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1.投标人应认真阅读本</w:t>
      </w:r>
      <w:r>
        <w:rPr>
          <w:rFonts w:hint="eastAsia" w:ascii="仿宋" w:hAnsi="仿宋" w:eastAsia="仿宋" w:cs="仿宋"/>
          <w:kern w:val="0"/>
          <w:sz w:val="24"/>
          <w:lang w:eastAsia="zh-CN"/>
        </w:rPr>
        <w:t>采购文件</w:t>
      </w:r>
      <w:r>
        <w:rPr>
          <w:rFonts w:hint="eastAsia" w:ascii="仿宋" w:hAnsi="仿宋" w:eastAsia="仿宋" w:cs="仿宋"/>
          <w:kern w:val="0"/>
          <w:sz w:val="24"/>
        </w:rPr>
        <w:t>，发现其中有误或有不合理要求的，投标人应当在获取</w:t>
      </w:r>
      <w:r>
        <w:rPr>
          <w:rFonts w:hint="eastAsia" w:ascii="仿宋" w:hAnsi="仿宋" w:eastAsia="仿宋" w:cs="仿宋"/>
          <w:kern w:val="0"/>
          <w:sz w:val="24"/>
          <w:lang w:eastAsia="zh-CN"/>
        </w:rPr>
        <w:t>采购文件</w:t>
      </w:r>
      <w:r>
        <w:rPr>
          <w:rFonts w:hint="eastAsia" w:ascii="仿宋" w:hAnsi="仿宋" w:eastAsia="仿宋" w:cs="仿宋"/>
          <w:kern w:val="0"/>
          <w:sz w:val="24"/>
        </w:rPr>
        <w:t>或者</w:t>
      </w:r>
      <w:r>
        <w:rPr>
          <w:rFonts w:hint="eastAsia" w:ascii="仿宋" w:hAnsi="仿宋" w:eastAsia="仿宋" w:cs="仿宋"/>
          <w:kern w:val="0"/>
          <w:sz w:val="24"/>
          <w:lang w:eastAsia="zh-CN"/>
        </w:rPr>
        <w:t>采购文件</w:t>
      </w:r>
      <w:r>
        <w:rPr>
          <w:rFonts w:hint="eastAsia" w:ascii="仿宋" w:hAnsi="仿宋" w:eastAsia="仿宋" w:cs="仿宋"/>
          <w:kern w:val="0"/>
          <w:sz w:val="24"/>
        </w:rPr>
        <w:t>公告期限届满之日起七个工作日内提出，否则逾期视为默认。采购人对已发出的</w:t>
      </w:r>
      <w:r>
        <w:rPr>
          <w:rFonts w:hint="eastAsia" w:ascii="仿宋" w:hAnsi="仿宋" w:eastAsia="仿宋" w:cs="仿宋"/>
          <w:kern w:val="0"/>
          <w:sz w:val="24"/>
          <w:lang w:eastAsia="zh-CN"/>
        </w:rPr>
        <w:t>采购文件</w:t>
      </w:r>
      <w:r>
        <w:rPr>
          <w:rFonts w:hint="eastAsia" w:ascii="仿宋" w:hAnsi="仿宋" w:eastAsia="仿宋" w:cs="仿宋"/>
          <w:kern w:val="0"/>
          <w:sz w:val="24"/>
        </w:rPr>
        <w:t>进行必要澄清、答复、修改或补充的，应当在</w:t>
      </w:r>
      <w:r>
        <w:rPr>
          <w:rFonts w:hint="eastAsia" w:ascii="仿宋" w:hAnsi="仿宋" w:eastAsia="仿宋" w:cs="仿宋"/>
          <w:kern w:val="0"/>
          <w:sz w:val="24"/>
          <w:lang w:eastAsia="zh-CN"/>
        </w:rPr>
        <w:t>采购文件</w:t>
      </w:r>
      <w:r>
        <w:rPr>
          <w:rFonts w:hint="eastAsia" w:ascii="仿宋" w:hAnsi="仿宋" w:eastAsia="仿宋" w:cs="仿宋"/>
          <w:kern w:val="0"/>
          <w:sz w:val="24"/>
        </w:rPr>
        <w:t>要求提交投标文件截止时间十五日前，在财政部门指定的政府采购信息发布媒体上发布更正公告，并以书面形式通知所有</w:t>
      </w:r>
      <w:r>
        <w:rPr>
          <w:rFonts w:hint="eastAsia" w:ascii="仿宋" w:hAnsi="仿宋" w:eastAsia="仿宋" w:cs="仿宋"/>
          <w:kern w:val="0"/>
          <w:sz w:val="24"/>
          <w:lang w:eastAsia="zh-CN"/>
        </w:rPr>
        <w:t>采购文件</w:t>
      </w:r>
      <w:r>
        <w:rPr>
          <w:rFonts w:hint="eastAsia" w:ascii="仿宋" w:hAnsi="仿宋" w:eastAsia="仿宋" w:cs="仿宋"/>
          <w:kern w:val="0"/>
          <w:sz w:val="24"/>
        </w:rPr>
        <w:t>收受人；不足十五日的，采购人或者采购代理机构应当顺延提交投标文件的截止时间。</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2.采购人、采购代理机构必须以书面形式答复投标人要求澄清的问题，并将不包含问题来源的答复书面通知所有购买</w:t>
      </w:r>
      <w:r>
        <w:rPr>
          <w:rFonts w:hint="eastAsia" w:ascii="仿宋" w:hAnsi="仿宋" w:eastAsia="仿宋" w:cs="仿宋"/>
          <w:kern w:val="0"/>
          <w:sz w:val="24"/>
          <w:lang w:eastAsia="zh-CN"/>
        </w:rPr>
        <w:t>采购文件</w:t>
      </w:r>
      <w:r>
        <w:rPr>
          <w:rFonts w:hint="eastAsia" w:ascii="仿宋" w:hAnsi="仿宋" w:eastAsia="仿宋" w:cs="仿宋"/>
          <w:kern w:val="0"/>
          <w:sz w:val="24"/>
        </w:rPr>
        <w:t>的投标人；除书面答复以外的其他澄清方式及澄清内容均无效。</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eastAsia="zh-CN"/>
        </w:rPr>
        <w:t>采购文件</w:t>
      </w:r>
      <w:r>
        <w:rPr>
          <w:rFonts w:hint="eastAsia" w:ascii="仿宋" w:hAnsi="仿宋" w:eastAsia="仿宋" w:cs="仿宋"/>
          <w:kern w:val="0"/>
          <w:sz w:val="24"/>
        </w:rPr>
        <w:t>澄清、答复、修改、补充的内容为</w:t>
      </w:r>
      <w:r>
        <w:rPr>
          <w:rFonts w:hint="eastAsia" w:ascii="仿宋" w:hAnsi="仿宋" w:eastAsia="仿宋" w:cs="仿宋"/>
          <w:kern w:val="0"/>
          <w:sz w:val="24"/>
          <w:lang w:eastAsia="zh-CN"/>
        </w:rPr>
        <w:t>采购文件</w:t>
      </w:r>
      <w:r>
        <w:rPr>
          <w:rFonts w:hint="eastAsia" w:ascii="仿宋" w:hAnsi="仿宋" w:eastAsia="仿宋" w:cs="仿宋"/>
          <w:kern w:val="0"/>
          <w:sz w:val="24"/>
        </w:rPr>
        <w:t>的组成部分。当</w:t>
      </w:r>
      <w:r>
        <w:rPr>
          <w:rFonts w:hint="eastAsia" w:ascii="仿宋" w:hAnsi="仿宋" w:eastAsia="仿宋" w:cs="仿宋"/>
          <w:kern w:val="0"/>
          <w:sz w:val="24"/>
          <w:lang w:eastAsia="zh-CN"/>
        </w:rPr>
        <w:t>采购文件</w:t>
      </w:r>
      <w:r>
        <w:rPr>
          <w:rFonts w:hint="eastAsia" w:ascii="仿宋" w:hAnsi="仿宋" w:eastAsia="仿宋" w:cs="仿宋"/>
          <w:kern w:val="0"/>
          <w:sz w:val="24"/>
        </w:rPr>
        <w:t>与</w:t>
      </w:r>
      <w:r>
        <w:rPr>
          <w:rFonts w:hint="eastAsia" w:ascii="仿宋" w:hAnsi="仿宋" w:eastAsia="仿宋" w:cs="仿宋"/>
          <w:kern w:val="0"/>
          <w:sz w:val="24"/>
          <w:lang w:eastAsia="zh-CN"/>
        </w:rPr>
        <w:t>采购文件</w:t>
      </w:r>
      <w:r>
        <w:rPr>
          <w:rFonts w:hint="eastAsia" w:ascii="仿宋" w:hAnsi="仿宋" w:eastAsia="仿宋" w:cs="仿宋"/>
          <w:kern w:val="0"/>
          <w:sz w:val="24"/>
        </w:rPr>
        <w:t>的答复、澄清、修改、补充通知就同一内容的表述不一致时，以最后发出的书面文件为准。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eastAsia="zh-CN"/>
        </w:rPr>
        <w:t>采购文件</w:t>
      </w:r>
      <w:r>
        <w:rPr>
          <w:rFonts w:hint="eastAsia" w:ascii="仿宋" w:hAnsi="仿宋" w:eastAsia="仿宋" w:cs="仿宋"/>
          <w:kern w:val="0"/>
          <w:sz w:val="24"/>
        </w:rPr>
        <w:t>的澄清、答复、修改或补充都应该通过本采购代理机构以法定形式发布，采购人非通过本采购代理机构，不得擅自澄清、答复、修改或补充</w:t>
      </w:r>
      <w:r>
        <w:rPr>
          <w:rFonts w:hint="eastAsia" w:ascii="仿宋" w:hAnsi="仿宋" w:eastAsia="仿宋" w:cs="仿宋"/>
          <w:kern w:val="0"/>
          <w:sz w:val="24"/>
          <w:lang w:eastAsia="zh-CN"/>
        </w:rPr>
        <w:t>采购文件</w:t>
      </w:r>
      <w:r>
        <w:rPr>
          <w:rFonts w:hint="eastAsia" w:ascii="仿宋" w:hAnsi="仿宋" w:eastAsia="仿宋" w:cs="仿宋"/>
          <w:kern w:val="0"/>
          <w:sz w:val="24"/>
        </w:rPr>
        <w:t>。</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三、投标文件的编制要求</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（一）投标文件的组成（如无格式、格式自拟。）</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投标文件由《资格文件》《技术、商务、资信及其他文件》《报价文件》三部分组成。</w:t>
      </w:r>
    </w:p>
    <w:p>
      <w:pPr>
        <w:numPr>
          <w:ilvl w:val="0"/>
          <w:numId w:val="3"/>
        </w:numPr>
        <w:spacing w:line="460" w:lineRule="exact"/>
        <w:ind w:firstLine="482" w:firstLineChars="200"/>
        <w:rPr>
          <w:rFonts w:hint="eastAsia" w:ascii="仿宋" w:hAnsi="仿宋" w:eastAsia="仿宋" w:cs="仿宋"/>
          <w:b/>
          <w:kern w:val="0"/>
          <w:sz w:val="24"/>
        </w:rPr>
      </w:pPr>
      <w:bookmarkStart w:id="14" w:name="_Hlk69641401"/>
      <w:r>
        <w:rPr>
          <w:rFonts w:hint="eastAsia" w:ascii="仿宋" w:hAnsi="仿宋" w:eastAsia="仿宋" w:cs="仿宋"/>
          <w:b/>
          <w:kern w:val="0"/>
          <w:sz w:val="24"/>
        </w:rPr>
        <w:t>资格文件主要包括下列内容：</w:t>
      </w:r>
    </w:p>
    <w:p>
      <w:pPr>
        <w:snapToGrid w:val="0"/>
        <w:spacing w:line="560" w:lineRule="exact"/>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有效的营业执照、税务登记证、组织机构代码证或“三证合一”的营业执照或“五证合一”的营业执照；</w:t>
      </w:r>
      <w:r>
        <w:rPr>
          <w:rFonts w:hint="eastAsia" w:ascii="仿宋" w:hAnsi="仿宋" w:eastAsia="仿宋" w:cs="仿宋"/>
          <w:b/>
          <w:color w:val="auto"/>
          <w:sz w:val="24"/>
          <w:highlight w:val="none"/>
        </w:rPr>
        <w:t>（资格审查条款）</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法定代表人有效身份证明书及身份证或法定代表人授权书及授权人身份证；</w:t>
      </w:r>
      <w:r>
        <w:rPr>
          <w:rFonts w:hint="eastAsia" w:ascii="仿宋" w:hAnsi="仿宋" w:eastAsia="仿宋" w:cs="仿宋"/>
          <w:b/>
          <w:color w:val="auto"/>
          <w:sz w:val="24"/>
          <w:highlight w:val="none"/>
        </w:rPr>
        <w:t>（资格审查条款）</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kern w:val="0"/>
          <w:sz w:val="24"/>
          <w:highlight w:val="none"/>
          <w:lang w:eastAsia="zh-CN"/>
        </w:rPr>
        <w:t>承诺书（承诺符合参与政府采购活动的资格条件并且没有税收缴纳、社会保障等方面的失信记录，格式自拟）</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（资格审查条款）</w:t>
      </w:r>
    </w:p>
    <w:p>
      <w:pPr>
        <w:snapToGrid w:val="0"/>
        <w:spacing w:line="560" w:lineRule="exact"/>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信用承诺书；</w:t>
      </w:r>
      <w:r>
        <w:rPr>
          <w:rFonts w:hint="eastAsia" w:ascii="仿宋" w:hAnsi="仿宋" w:eastAsia="仿宋" w:cs="仿宋"/>
          <w:b/>
          <w:color w:val="auto"/>
          <w:sz w:val="24"/>
          <w:highlight w:val="none"/>
        </w:rPr>
        <w:t>（资格审查条款）</w:t>
      </w:r>
    </w:p>
    <w:p>
      <w:pPr>
        <w:snapToGrid w:val="0"/>
        <w:spacing w:line="560" w:lineRule="exact"/>
        <w:ind w:firstLine="470" w:firstLineChars="19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5、经原中国保险监督管理委员会或中国银行保险监督管理委员会批准的经营保险业务许可证证书扫描件；</w:t>
      </w:r>
      <w:r>
        <w:rPr>
          <w:rFonts w:hint="eastAsia" w:ascii="仿宋" w:hAnsi="仿宋" w:eastAsia="仿宋" w:cs="仿宋"/>
          <w:b/>
          <w:color w:val="auto"/>
          <w:sz w:val="24"/>
          <w:highlight w:val="none"/>
        </w:rPr>
        <w:t>（资格审查条款）</w:t>
      </w:r>
    </w:p>
    <w:p>
      <w:pPr>
        <w:spacing w:line="460" w:lineRule="exact"/>
        <w:ind w:firstLine="241" w:firstLineChars="100"/>
        <w:rPr>
          <w:rFonts w:hint="eastAsia" w:ascii="仿宋" w:hAnsi="仿宋" w:eastAsia="仿宋" w:cs="仿宋"/>
          <w:b/>
          <w:kern w:val="0"/>
          <w:sz w:val="24"/>
        </w:rPr>
      </w:pPr>
      <w:r>
        <w:rPr>
          <w:rFonts w:hint="eastAsia" w:ascii="仿宋" w:hAnsi="仿宋" w:eastAsia="仿宋" w:cs="仿宋"/>
          <w:b/>
          <w:kern w:val="0"/>
          <w:sz w:val="24"/>
        </w:rPr>
        <w:t>2. 技术、商务、资信及其他文件主要包括下列内容：</w:t>
      </w:r>
    </w:p>
    <w:p>
      <w:pPr>
        <w:tabs>
          <w:tab w:val="left" w:pos="3870"/>
          <w:tab w:val="left" w:pos="4085"/>
        </w:tabs>
        <w:snapToGrid w:val="0"/>
        <w:spacing w:line="560" w:lineRule="exact"/>
        <w:jc w:val="left"/>
        <w:rPr>
          <w:rFonts w:hint="eastAsia" w:ascii="仿宋" w:hAnsi="仿宋" w:eastAsia="仿宋" w:cs="仿宋"/>
          <w:b/>
          <w:sz w:val="24"/>
          <w:highlight w:val="none"/>
          <w:lang w:eastAsia="zh-CN"/>
        </w:rPr>
      </w:pPr>
      <w:r>
        <w:rPr>
          <w:rFonts w:hint="eastAsia" w:ascii="仿宋" w:hAnsi="仿宋" w:eastAsia="仿宋" w:cs="仿宋"/>
          <w:b/>
          <w:sz w:val="24"/>
          <w:highlight w:val="none"/>
        </w:rPr>
        <w:t>（1）</w:t>
      </w:r>
      <w:r>
        <w:rPr>
          <w:rFonts w:hint="eastAsia" w:ascii="仿宋" w:hAnsi="仿宋" w:eastAsia="仿宋" w:cs="仿宋"/>
          <w:b/>
          <w:sz w:val="24"/>
          <w:highlight w:val="none"/>
          <w:lang w:eastAsia="zh-CN"/>
        </w:rPr>
        <w:t>投标人</w:t>
      </w:r>
      <w:r>
        <w:rPr>
          <w:rFonts w:hint="eastAsia" w:ascii="仿宋" w:hAnsi="仿宋" w:eastAsia="仿宋" w:cs="仿宋"/>
          <w:b/>
          <w:sz w:val="24"/>
          <w:highlight w:val="none"/>
        </w:rPr>
        <w:t>自评分索引表</w:t>
      </w:r>
      <w:r>
        <w:rPr>
          <w:rFonts w:hint="eastAsia" w:ascii="仿宋" w:hAnsi="仿宋" w:eastAsia="仿宋" w:cs="仿宋"/>
          <w:b/>
          <w:sz w:val="24"/>
          <w:highlight w:val="none"/>
          <w:lang w:eastAsia="zh-CN"/>
        </w:rPr>
        <w:t>；</w:t>
      </w:r>
    </w:p>
    <w:p>
      <w:pPr>
        <w:tabs>
          <w:tab w:val="left" w:pos="3870"/>
          <w:tab w:val="left" w:pos="4085"/>
        </w:tabs>
        <w:snapToGrid w:val="0"/>
        <w:spacing w:line="560" w:lineRule="exact"/>
        <w:jc w:val="left"/>
        <w:rPr>
          <w:rFonts w:hint="eastAsia" w:ascii="仿宋" w:hAnsi="仿宋" w:eastAsia="仿宋" w:cs="仿宋"/>
          <w:sz w:val="24"/>
          <w:highlight w:val="none"/>
        </w:rPr>
      </w:pPr>
      <w:r>
        <w:rPr>
          <w:rFonts w:hint="eastAsia" w:ascii="仿宋" w:hAnsi="仿宋" w:eastAsia="仿宋" w:cs="仿宋"/>
          <w:b/>
          <w:sz w:val="24"/>
          <w:highlight w:val="none"/>
        </w:rPr>
        <w:t>（2）技术部分：</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1）项目组织实施方案；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2）项目小组成员分配；</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3）优惠和承诺情况；</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4）培训服务实施方案；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5）赔付时效性承诺；</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6）信息化服务能力；</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7）推广服务方案；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8）系统错误数据整改时效方案；</w:t>
      </w:r>
    </w:p>
    <w:p>
      <w:pPr>
        <w:tabs>
          <w:tab w:val="left" w:pos="3870"/>
          <w:tab w:val="left" w:pos="4085"/>
        </w:tabs>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9）招标文件评分所要求的或供应商认为需要提供的其他文件和说明。</w:t>
      </w:r>
    </w:p>
    <w:p>
      <w:pPr>
        <w:tabs>
          <w:tab w:val="left" w:pos="3870"/>
          <w:tab w:val="left" w:pos="4085"/>
        </w:tabs>
        <w:snapToGrid w:val="0"/>
        <w:spacing w:line="560" w:lineRule="exact"/>
        <w:jc w:val="left"/>
        <w:rPr>
          <w:rFonts w:hint="eastAsia" w:ascii="仿宋" w:hAnsi="仿宋" w:eastAsia="仿宋" w:cs="仿宋"/>
          <w:sz w:val="24"/>
          <w:highlight w:val="none"/>
        </w:rPr>
      </w:pPr>
      <w:r>
        <w:rPr>
          <w:rFonts w:hint="eastAsia" w:ascii="仿宋" w:hAnsi="仿宋" w:eastAsia="仿宋" w:cs="仿宋"/>
          <w:b/>
          <w:sz w:val="24"/>
          <w:highlight w:val="none"/>
        </w:rPr>
        <w:t>（3）商务部分：</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1）供应商情况介绍；</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2）商务响应表；</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3）售后服务网点覆盖承诺；</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4）售后承保服务；</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5）售后理赔服务；</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6）招标文件评分所要求的或供应商认为需要提供的其它商务文件和资料。</w:t>
      </w:r>
    </w:p>
    <w:p>
      <w:pPr>
        <w:tabs>
          <w:tab w:val="left" w:pos="3870"/>
          <w:tab w:val="left" w:pos="4085"/>
        </w:tabs>
        <w:snapToGrid w:val="0"/>
        <w:spacing w:line="56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（4）资信及其他部分：</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1）投标声明书；</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2）偿付能力充足率；</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3）项目实施经验；</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4）亿元保费投诉量；</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5）招标文件评分所要求的或供应商认为需要提供的其他文件和资料。</w:t>
      </w:r>
    </w:p>
    <w:p>
      <w:pPr>
        <w:spacing w:line="460" w:lineRule="exact"/>
        <w:ind w:firstLine="241" w:firstLineChars="100"/>
        <w:rPr>
          <w:rFonts w:hint="eastAsia" w:ascii="仿宋" w:hAnsi="仿宋" w:eastAsia="仿宋" w:cs="仿宋"/>
          <w:b/>
          <w:kern w:val="0"/>
          <w:sz w:val="24"/>
        </w:rPr>
      </w:pPr>
      <w:r>
        <w:rPr>
          <w:rFonts w:hint="eastAsia" w:ascii="仿宋" w:hAnsi="仿宋" w:eastAsia="仿宋" w:cs="仿宋"/>
          <w:b/>
          <w:kern w:val="0"/>
          <w:sz w:val="24"/>
        </w:rPr>
        <w:t>3.报价文件：</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1）开标一览表；</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2）报价明细表；</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3）招标代理服务费承诺函；</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4）中小企业声明函（本项目属于中小企业划分标准中的其他未列明行业）；</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5）监狱企业声明函（如有）；</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6）残疾人福利性单位声明函（如有）；</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7）投标人针对报价需要说明的其他文件和说明。</w:t>
      </w:r>
      <w:bookmarkEnd w:id="14"/>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（二）投标文件的语言及计量</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1.投标文件以及投标人与采购人就有关投标事宜的所有来往函电，均应以中文汉语书写。除签名、盖章、专用名称等特殊情形外，以中文汉语以外的文字表述的投标文件视同未提供。</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2.投标计量单位，</w:t>
      </w:r>
      <w:r>
        <w:rPr>
          <w:rFonts w:hint="eastAsia" w:ascii="仿宋" w:hAnsi="仿宋" w:eastAsia="仿宋" w:cs="仿宋"/>
          <w:kern w:val="0"/>
          <w:sz w:val="24"/>
          <w:lang w:eastAsia="zh-CN"/>
        </w:rPr>
        <w:t>采购文件</w:t>
      </w:r>
      <w:r>
        <w:rPr>
          <w:rFonts w:hint="eastAsia" w:ascii="仿宋" w:hAnsi="仿宋" w:eastAsia="仿宋" w:cs="仿宋"/>
          <w:kern w:val="0"/>
          <w:sz w:val="24"/>
        </w:rPr>
        <w:t>已有明确规定的，使用</w:t>
      </w:r>
      <w:r>
        <w:rPr>
          <w:rFonts w:hint="eastAsia" w:ascii="仿宋" w:hAnsi="仿宋" w:eastAsia="仿宋" w:cs="仿宋"/>
          <w:kern w:val="0"/>
          <w:sz w:val="24"/>
          <w:lang w:eastAsia="zh-CN"/>
        </w:rPr>
        <w:t>采购文件</w:t>
      </w:r>
      <w:r>
        <w:rPr>
          <w:rFonts w:hint="eastAsia" w:ascii="仿宋" w:hAnsi="仿宋" w:eastAsia="仿宋" w:cs="仿宋"/>
          <w:kern w:val="0"/>
          <w:sz w:val="24"/>
        </w:rPr>
        <w:t>规定的计量单位；</w:t>
      </w:r>
      <w:r>
        <w:rPr>
          <w:rFonts w:hint="eastAsia" w:ascii="仿宋" w:hAnsi="仿宋" w:eastAsia="仿宋" w:cs="仿宋"/>
          <w:kern w:val="0"/>
          <w:sz w:val="24"/>
          <w:lang w:eastAsia="zh-CN"/>
        </w:rPr>
        <w:t>采购文件</w:t>
      </w:r>
      <w:r>
        <w:rPr>
          <w:rFonts w:hint="eastAsia" w:ascii="仿宋" w:hAnsi="仿宋" w:eastAsia="仿宋" w:cs="仿宋"/>
          <w:kern w:val="0"/>
          <w:sz w:val="24"/>
        </w:rPr>
        <w:t>没有规定的，应采用中华人民共和国法定计量单位（货币单位：人民币元），否则视同未响应。</w:t>
      </w:r>
    </w:p>
    <w:p>
      <w:pPr>
        <w:spacing w:line="460" w:lineRule="exact"/>
        <w:ind w:firstLine="482" w:firstLineChars="200"/>
        <w:rPr>
          <w:rFonts w:hint="eastAsia" w:ascii="仿宋" w:hAnsi="仿宋" w:eastAsia="仿宋" w:cs="仿宋"/>
          <w:kern w:val="0"/>
          <w:sz w:val="24"/>
        </w:rPr>
      </w:pPr>
      <w:r>
        <w:rPr>
          <w:rFonts w:hint="eastAsia" w:ascii="仿宋" w:hAnsi="仿宋" w:eastAsia="仿宋" w:cs="仿宋"/>
          <w:b/>
          <w:kern w:val="0"/>
          <w:sz w:val="24"/>
        </w:rPr>
        <w:t>▲（三）投标报价</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1.投标报价应按</w:t>
      </w:r>
      <w:r>
        <w:rPr>
          <w:rFonts w:hint="eastAsia" w:ascii="仿宋" w:hAnsi="仿宋" w:eastAsia="仿宋" w:cs="仿宋"/>
          <w:kern w:val="0"/>
          <w:sz w:val="24"/>
          <w:lang w:eastAsia="zh-CN"/>
        </w:rPr>
        <w:t>采购文件</w:t>
      </w:r>
      <w:r>
        <w:rPr>
          <w:rFonts w:hint="eastAsia" w:ascii="仿宋" w:hAnsi="仿宋" w:eastAsia="仿宋" w:cs="仿宋"/>
          <w:kern w:val="0"/>
          <w:sz w:val="24"/>
        </w:rPr>
        <w:t>中相关附表格式填写。投标报价为本招标项目全部工作内容的报价，所有报价均应使用（人民币元）表示。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2.投标报价是履行合同的最终价格，应包括产品、包装、运输、装卸、保险、税金、货到就位等一切税金和费用。投标报价为签订合同的依据。因投标人失误的错漏项均视为已包含在总报价中。</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3.投标文件只允许有一个报价，有选择的或有条件的报价将不予接受。</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4.投标人的最终报价由投标人自担全部风险责任，中标后不得以任何理由调整报价或追加任何费用。</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5.投标人所有优惠条件和优惠费用不得降低和影响本采购项目质量。</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6.投标人对</w:t>
      </w:r>
      <w:r>
        <w:rPr>
          <w:rFonts w:hint="eastAsia" w:ascii="仿宋" w:hAnsi="仿宋" w:eastAsia="仿宋" w:cs="仿宋"/>
          <w:kern w:val="0"/>
          <w:sz w:val="24"/>
          <w:lang w:eastAsia="zh-CN"/>
        </w:rPr>
        <w:t>采购文件</w:t>
      </w:r>
      <w:r>
        <w:rPr>
          <w:rFonts w:hint="eastAsia" w:ascii="仿宋" w:hAnsi="仿宋" w:eastAsia="仿宋" w:cs="仿宋"/>
          <w:kern w:val="0"/>
          <w:sz w:val="24"/>
        </w:rPr>
        <w:t>里有关投标报价的全部内容应仔细确认，若有个别异议，应在开标前提出修改意见，否则视同全部确认。</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7.报价如单价与总价不符时，以单价为准；大写与小写不符时以大写为准。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8.投标人在报价中应充分考虑所有可能发生的费用，否则采购人将视报价总价中已包括所有费用。</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9.投标人对在合同执行中，除上述费用及</w:t>
      </w:r>
      <w:r>
        <w:rPr>
          <w:rFonts w:hint="eastAsia" w:ascii="仿宋" w:hAnsi="仿宋" w:eastAsia="仿宋" w:cs="仿宋"/>
          <w:kern w:val="0"/>
          <w:sz w:val="24"/>
          <w:lang w:eastAsia="zh-CN"/>
        </w:rPr>
        <w:t>采购文件</w:t>
      </w:r>
      <w:r>
        <w:rPr>
          <w:rFonts w:hint="eastAsia" w:ascii="仿宋" w:hAnsi="仿宋" w:eastAsia="仿宋" w:cs="仿宋"/>
          <w:kern w:val="0"/>
          <w:sz w:val="24"/>
        </w:rPr>
        <w:t>规定的由中标人负责的工作范围以外需要采购人协调或提供便利的工作应当在报价文件中说明。</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（四）投标文件的有效期</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▲1.自投标截止日起</w:t>
      </w:r>
      <w:r>
        <w:rPr>
          <w:rFonts w:hint="eastAsia" w:ascii="仿宋" w:hAnsi="仿宋" w:eastAsia="仿宋" w:cs="仿宋"/>
          <w:kern w:val="0"/>
          <w:sz w:val="24"/>
          <w:u w:val="single"/>
        </w:rPr>
        <w:t>60天</w:t>
      </w:r>
      <w:r>
        <w:rPr>
          <w:rFonts w:hint="eastAsia" w:ascii="仿宋" w:hAnsi="仿宋" w:eastAsia="仿宋" w:cs="仿宋"/>
          <w:kern w:val="0"/>
          <w:sz w:val="24"/>
        </w:rPr>
        <w:t>投标文件应保持有效。有效期不足的投标文件将被拒绝。</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2.在特殊情况下，采购人可与投标人协商延长投标书的有效期，这种要求和答复均以书面形式进行。</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3.投标人可拒绝接受延期要求。同意延长有效期的投标人不能修改投标文件。</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（五）投标文件的签署和份数</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1、电子投标文件：</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投标人应根据“政采云</w:t>
      </w:r>
      <w:r>
        <w:rPr>
          <w:rFonts w:hint="eastAsia" w:ascii="仿宋" w:hAnsi="仿宋" w:eastAsia="仿宋" w:cs="仿宋"/>
          <w:kern w:val="0"/>
          <w:sz w:val="24"/>
          <w:lang w:eastAsia="zh-CN"/>
        </w:rPr>
        <w:t>投标人</w:t>
      </w:r>
      <w:r>
        <w:rPr>
          <w:rFonts w:hint="eastAsia" w:ascii="仿宋" w:hAnsi="仿宋" w:eastAsia="仿宋" w:cs="仿宋"/>
          <w:kern w:val="0"/>
          <w:sz w:val="24"/>
        </w:rPr>
        <w:t>项目采购-电子招投标操作指南”及本</w:t>
      </w:r>
      <w:r>
        <w:rPr>
          <w:rFonts w:hint="eastAsia" w:ascii="仿宋" w:hAnsi="仿宋" w:eastAsia="仿宋" w:cs="仿宋"/>
          <w:kern w:val="0"/>
          <w:sz w:val="24"/>
          <w:lang w:eastAsia="zh-CN"/>
        </w:rPr>
        <w:t>采购文件</w:t>
      </w:r>
      <w:r>
        <w:rPr>
          <w:rFonts w:hint="eastAsia" w:ascii="仿宋" w:hAnsi="仿宋" w:eastAsia="仿宋" w:cs="仿宋"/>
          <w:kern w:val="0"/>
          <w:sz w:val="24"/>
        </w:rPr>
        <w:t>规定的格式和顺序编制电子投标文件并进行关联定位，若因投标文件内容不完整、编排混乱导致投标文件被误读、漏读或者查找不到相关内容的，是投标人的责任。</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2.数据电子备份投标文件（U 盘）：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3.其他：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 投标文件需按</w:t>
      </w:r>
      <w:r>
        <w:rPr>
          <w:rFonts w:hint="eastAsia" w:ascii="仿宋" w:hAnsi="仿宋" w:eastAsia="仿宋" w:cs="仿宋"/>
          <w:kern w:val="0"/>
          <w:sz w:val="24"/>
          <w:lang w:eastAsia="zh-CN"/>
        </w:rPr>
        <w:t>采购文件</w:t>
      </w:r>
      <w:r>
        <w:rPr>
          <w:rFonts w:hint="eastAsia" w:ascii="仿宋" w:hAnsi="仿宋" w:eastAsia="仿宋" w:cs="仿宋"/>
          <w:kern w:val="0"/>
          <w:sz w:val="24"/>
        </w:rPr>
        <w:t>要求的格式填写并签字盖章。</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 投标文件不应涂改或行间插字和增删, 如有修改，修改处须加盖投标人的公章或由法定代表人或其授权委托人签字或盖章。投标文件因字迹潦草或表达不清所引起的后果由投标人</w:t>
      </w:r>
      <w:r>
        <w:rPr>
          <w:rFonts w:hint="eastAsia" w:ascii="仿宋" w:hAnsi="仿宋" w:eastAsia="仿宋" w:cs="仿宋"/>
          <w:kern w:val="0"/>
          <w:sz w:val="24"/>
          <w:lang w:val="en-US" w:eastAsia="zh-CN"/>
        </w:rPr>
        <w:t>承担</w:t>
      </w:r>
      <w:r>
        <w:rPr>
          <w:rFonts w:hint="eastAsia" w:ascii="仿宋" w:hAnsi="仿宋" w:eastAsia="仿宋" w:cs="仿宋"/>
          <w:kern w:val="0"/>
          <w:sz w:val="24"/>
        </w:rPr>
        <w:t>。</w:t>
      </w:r>
    </w:p>
    <w:p>
      <w:pPr>
        <w:spacing w:line="460" w:lineRule="exact"/>
        <w:ind w:firstLine="482" w:firstLineChars="200"/>
        <w:rPr>
          <w:rFonts w:hint="eastAsia" w:ascii="仿宋" w:hAnsi="仿宋" w:eastAsia="仿宋" w:cs="仿宋"/>
          <w:kern w:val="0"/>
          <w:sz w:val="24"/>
        </w:rPr>
      </w:pPr>
      <w:r>
        <w:rPr>
          <w:rFonts w:hint="eastAsia" w:ascii="仿宋" w:hAnsi="仿宋" w:eastAsia="仿宋" w:cs="仿宋"/>
          <w:b/>
          <w:kern w:val="0"/>
          <w:sz w:val="24"/>
        </w:rPr>
        <w:t>（六）投标文件的包装、递交、修改和撤回</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2.数据电子备份投标文件（U 盘）：以 U 盘形式提供的数据电子备份投标文件格式及内容须与政采云平台项目采购-电子交易操作指南中制作、加密并递交的电子投标文件格式及内容一致。递交主要有以下两种方式：</w:t>
      </w:r>
    </w:p>
    <w:p>
      <w:pPr>
        <w:spacing w:line="560" w:lineRule="exact"/>
        <w:ind w:firstLine="283" w:firstLineChars="118"/>
        <w:jc w:val="left"/>
        <w:rPr>
          <w:rFonts w:hint="eastAsia" w:ascii="仿宋" w:hAnsi="仿宋" w:eastAsia="仿宋" w:cs="仿宋"/>
          <w:kern w:val="0"/>
          <w:sz w:val="24"/>
        </w:rPr>
      </w:pPr>
      <w:r>
        <w:rPr>
          <w:rFonts w:hint="eastAsia" w:ascii="仿宋" w:hAnsi="仿宋" w:eastAsia="仿宋" w:cs="仿宋"/>
          <w:kern w:val="0"/>
          <w:sz w:val="24"/>
        </w:rPr>
        <w:t>（1）因疫情原因，数据电子备份投标文件（U盘）应通过邮寄快递方式送达（原则上邮寄公司统一采用EMS），邮寄地址为：</w:t>
      </w:r>
      <w:r>
        <w:rPr>
          <w:rFonts w:hint="eastAsia" w:ascii="仿宋" w:hAnsi="仿宋" w:eastAsia="仿宋" w:cs="仿宋"/>
          <w:kern w:val="0"/>
          <w:sz w:val="24"/>
          <w:lang w:eastAsia="zh-CN"/>
        </w:rPr>
        <w:t>湖州帆华工程管理有限公司</w:t>
      </w:r>
      <w:r>
        <w:rPr>
          <w:rFonts w:hint="eastAsia" w:ascii="仿宋" w:hAnsi="仿宋" w:eastAsia="仿宋" w:cs="仿宋"/>
          <w:kern w:val="0"/>
          <w:sz w:val="24"/>
        </w:rPr>
        <w:t>[</w:t>
      </w:r>
      <w:r>
        <w:rPr>
          <w:rFonts w:hint="eastAsia" w:ascii="仿宋" w:hAnsi="仿宋" w:eastAsia="仿宋" w:cs="仿宋"/>
          <w:sz w:val="24"/>
          <w:lang w:eastAsia="zh-CN"/>
        </w:rPr>
        <w:t>湖州市太湖路1155号8层</w:t>
      </w:r>
      <w:r>
        <w:rPr>
          <w:rFonts w:hint="eastAsia" w:ascii="仿宋" w:hAnsi="仿宋" w:eastAsia="仿宋" w:cs="仿宋"/>
          <w:kern w:val="0"/>
          <w:sz w:val="24"/>
        </w:rPr>
        <w:t>]，联系电话：0572-</w:t>
      </w:r>
      <w:r>
        <w:rPr>
          <w:rFonts w:hint="eastAsia" w:ascii="仿宋" w:hAnsi="仿宋" w:eastAsia="仿宋" w:cs="仿宋"/>
          <w:kern w:val="0"/>
          <w:sz w:val="24"/>
          <w:lang w:eastAsia="zh-CN"/>
        </w:rPr>
        <w:t>2292887</w:t>
      </w:r>
      <w:r>
        <w:rPr>
          <w:rFonts w:hint="eastAsia" w:ascii="仿宋" w:hAnsi="仿宋" w:eastAsia="仿宋" w:cs="仿宋"/>
          <w:kern w:val="0"/>
          <w:sz w:val="24"/>
        </w:rPr>
        <w:t>。邮寄截止时间：投标人应</w:t>
      </w:r>
      <w:r>
        <w:rPr>
          <w:rFonts w:hint="eastAsia" w:ascii="仿宋" w:hAnsi="仿宋" w:eastAsia="仿宋" w:cs="仿宋"/>
          <w:kern w:val="0"/>
          <w:sz w:val="24"/>
          <w:highlight w:val="none"/>
        </w:rPr>
        <w:t>于202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下午17：0</w:t>
      </w:r>
      <w:r>
        <w:rPr>
          <w:rFonts w:hint="eastAsia" w:ascii="仿宋" w:hAnsi="仿宋" w:eastAsia="仿宋" w:cs="仿宋"/>
          <w:kern w:val="0"/>
          <w:sz w:val="24"/>
          <w:highlight w:val="none"/>
        </w:rPr>
        <w:t>0时</w:t>
      </w:r>
      <w:r>
        <w:rPr>
          <w:rFonts w:hint="eastAsia" w:ascii="仿宋" w:hAnsi="仿宋" w:eastAsia="仿宋" w:cs="仿宋"/>
          <w:kern w:val="0"/>
          <w:sz w:val="24"/>
        </w:rPr>
        <w:t xml:space="preserve">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pacing w:line="560" w:lineRule="exact"/>
        <w:ind w:firstLine="283" w:firstLineChars="118"/>
        <w:jc w:val="left"/>
        <w:rPr>
          <w:rFonts w:hint="eastAsia" w:ascii="仿宋" w:hAnsi="仿宋" w:eastAsia="仿宋" w:cs="仿宋"/>
          <w:kern w:val="0"/>
          <w:sz w:val="24"/>
        </w:rPr>
      </w:pPr>
      <w:r>
        <w:rPr>
          <w:rFonts w:hint="eastAsia" w:ascii="仿宋" w:hAnsi="仿宋" w:eastAsia="仿宋" w:cs="仿宋"/>
          <w:kern w:val="0"/>
          <w:sz w:val="24"/>
        </w:rPr>
        <w:t>（2）若投标人派授权代表出席开标会议（授权代表必须携带身份证、法人授权委托书或法人身份证明文书等有效证明文件。未携带有效证明文件，其数据电子备份投标文件将被拒绝），数据电子备份投标文件（U盘）应在投标截止时间前送达，超过投标截止时间前送达的，按未提供处理。</w:t>
      </w:r>
    </w:p>
    <w:p>
      <w:pPr>
        <w:spacing w:line="560" w:lineRule="exact"/>
        <w:ind w:firstLine="283" w:firstLineChars="118"/>
        <w:jc w:val="left"/>
        <w:rPr>
          <w:rFonts w:hint="eastAsia" w:ascii="仿宋" w:hAnsi="仿宋" w:eastAsia="仿宋" w:cs="仿宋"/>
          <w:kern w:val="0"/>
          <w:sz w:val="24"/>
        </w:rPr>
      </w:pPr>
      <w:r>
        <w:rPr>
          <w:rFonts w:hint="eastAsia" w:ascii="仿宋" w:hAnsi="仿宋" w:eastAsia="仿宋" w:cs="仿宋"/>
          <w:kern w:val="0"/>
          <w:sz w:val="24"/>
        </w:rPr>
        <w:t>（3）若投标人派授权代表出席开标会议（授权代表必须携带身份证、法人授权委托书或法人身份证明文书等有效证明文件。未携带有效证明文件的，其投标文件将被拒绝），数据电子备份投标文件（U 盘）应在投标截止时间前送达，超过投标截止时间前送达的，按未提供处理。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3.整个开标过程中若因投标人问题造成电子投标文件无法正常解密的，均认定为未提交电子投标文件，作无效标处理。若因网络或者其他非投标人问题造成电子投标文件无法正常解密的，启用数据电子备份投标文件（U 盘），因投标人自身原因造成数据电子备份投标文件（U 盘）无法打开的，作无效标处理。若正常解密成功，则数据电子备份投标文件（U 盘）不予开启。在下一顺位的投标文件启用时，前一顺位的投标文件自动失效。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4.投标人应将以数据电子备份（U 盘）形式提供的投标文件一份密封、包装。数据电子备份投标文件（U 盘）的包装封面上应注明投标人名称、投标人地址、投标文件名称、投标项目名称、标项及项目编号，并加盖</w:t>
      </w:r>
      <w:r>
        <w:rPr>
          <w:rFonts w:hint="eastAsia" w:ascii="仿宋" w:hAnsi="仿宋" w:eastAsia="仿宋" w:cs="仿宋"/>
          <w:kern w:val="0"/>
          <w:sz w:val="24"/>
          <w:lang w:eastAsia="zh-CN"/>
        </w:rPr>
        <w:t>单位</w:t>
      </w:r>
      <w:r>
        <w:rPr>
          <w:rFonts w:hint="eastAsia" w:ascii="仿宋" w:hAnsi="仿宋" w:eastAsia="仿宋" w:cs="仿宋"/>
          <w:kern w:val="0"/>
          <w:sz w:val="24"/>
        </w:rPr>
        <w:t>公章。未按规定密封、包装或标记的数据电子备份投标文件（U 盘）将被拒绝，由此造成数据电子备份投标文件（U 盘）被误投或提前拆封的风险由投标人承担。</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（七）投标无效的情形</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实质上没有响应</w:t>
      </w:r>
      <w:r>
        <w:rPr>
          <w:rFonts w:hint="eastAsia" w:ascii="仿宋" w:hAnsi="仿宋" w:eastAsia="仿宋" w:cs="仿宋"/>
          <w:kern w:val="0"/>
          <w:sz w:val="24"/>
          <w:lang w:eastAsia="zh-CN"/>
        </w:rPr>
        <w:t>采购文件</w:t>
      </w:r>
      <w:r>
        <w:rPr>
          <w:rFonts w:hint="eastAsia" w:ascii="仿宋" w:hAnsi="仿宋" w:eastAsia="仿宋" w:cs="仿宋"/>
          <w:kern w:val="0"/>
          <w:sz w:val="24"/>
        </w:rPr>
        <w:t>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仿宋" w:hAnsi="仿宋" w:eastAsia="仿宋" w:cs="仿宋"/>
          <w:kern w:val="0"/>
          <w:sz w:val="24"/>
          <w:lang w:eastAsia="zh-CN"/>
        </w:rPr>
        <w:t>采购文件</w:t>
      </w:r>
      <w:r>
        <w:rPr>
          <w:rFonts w:hint="eastAsia" w:ascii="仿宋" w:hAnsi="仿宋" w:eastAsia="仿宋" w:cs="仿宋"/>
          <w:kern w:val="0"/>
          <w:sz w:val="24"/>
        </w:rPr>
        <w:t>要求的，应认定其投标无效。投标人修改、补正投标文件后，不影响评标委员会对其投标文件所作的评价和评分结果。</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1.在评标开始前，评标委员会或采购代理机构对投标人的资格进行审查，如发现下列情形之一的，投标文件将被视为无效，不在进行下一步评审：</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（1）未提供有效的营业执照、税务登记证、组织机构代码证或未提供“三证合一”的营业执照或未提供“五证合一”的营业执照；</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（2）未提供法定代表人有效身份证明书及身份证或未提供法定代表人授权书及授权人身份证或与法定代表人授权委托人身份不符的；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（3）未提供</w:t>
      </w:r>
      <w:r>
        <w:rPr>
          <w:rFonts w:hint="eastAsia" w:ascii="仿宋" w:hAnsi="仿宋" w:eastAsia="仿宋" w:cs="仿宋"/>
          <w:kern w:val="0"/>
          <w:sz w:val="24"/>
          <w:lang w:eastAsia="zh-CN"/>
        </w:rPr>
        <w:t>承诺书的</w:t>
      </w:r>
      <w:r>
        <w:rPr>
          <w:rFonts w:hint="eastAsia" w:ascii="仿宋" w:hAnsi="仿宋" w:eastAsia="仿宋" w:cs="仿宋"/>
          <w:kern w:val="0"/>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）未提供信用承诺书的；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）资格证明文件不全的，或者不符合</w:t>
      </w:r>
      <w:r>
        <w:rPr>
          <w:rFonts w:hint="eastAsia" w:ascii="仿宋" w:hAnsi="仿宋" w:eastAsia="仿宋" w:cs="仿宋"/>
          <w:kern w:val="0"/>
          <w:sz w:val="24"/>
          <w:lang w:eastAsia="zh-CN"/>
        </w:rPr>
        <w:t>采购文件</w:t>
      </w:r>
      <w:r>
        <w:rPr>
          <w:rFonts w:hint="eastAsia" w:ascii="仿宋" w:hAnsi="仿宋" w:eastAsia="仿宋" w:cs="仿宋"/>
          <w:kern w:val="0"/>
          <w:sz w:val="24"/>
        </w:rPr>
        <w:t>标明的资格要求的。</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2.在符合性审查和商务评审时，如发现下列情形之一的，投标文件将被视为无效：</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（1）投标文件未按</w:t>
      </w:r>
      <w:r>
        <w:rPr>
          <w:rFonts w:hint="eastAsia" w:ascii="仿宋" w:hAnsi="仿宋" w:eastAsia="仿宋" w:cs="仿宋"/>
          <w:kern w:val="0"/>
          <w:sz w:val="24"/>
          <w:lang w:eastAsia="zh-CN"/>
        </w:rPr>
        <w:t>采购文件</w:t>
      </w:r>
      <w:r>
        <w:rPr>
          <w:rFonts w:hint="eastAsia" w:ascii="仿宋" w:hAnsi="仿宋" w:eastAsia="仿宋" w:cs="仿宋"/>
          <w:kern w:val="0"/>
          <w:sz w:val="24"/>
        </w:rPr>
        <w:t>要求签字或盖章；</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（2）投标文件格式不规范、项目不齐全或者内容虚假的；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（3）投标文件的实质性内容未使用中文表述、意思表述不明确、前后矛盾或者使用计量单位不符合</w:t>
      </w:r>
      <w:r>
        <w:rPr>
          <w:rFonts w:hint="eastAsia" w:ascii="仿宋" w:hAnsi="仿宋" w:eastAsia="仿宋" w:cs="仿宋"/>
          <w:kern w:val="0"/>
          <w:sz w:val="24"/>
          <w:lang w:eastAsia="zh-CN"/>
        </w:rPr>
        <w:t>采购文件</w:t>
      </w:r>
      <w:r>
        <w:rPr>
          <w:rFonts w:hint="eastAsia" w:ascii="仿宋" w:hAnsi="仿宋" w:eastAsia="仿宋" w:cs="仿宋"/>
          <w:kern w:val="0"/>
          <w:sz w:val="24"/>
        </w:rPr>
        <w:t>要求的（经评标委员会认定并允许其当场更正的笔误除外）；</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（4）未实质性响应</w:t>
      </w:r>
      <w:r>
        <w:rPr>
          <w:rFonts w:hint="eastAsia" w:ascii="仿宋" w:hAnsi="仿宋" w:eastAsia="仿宋" w:cs="仿宋"/>
          <w:kern w:val="0"/>
          <w:sz w:val="24"/>
          <w:lang w:eastAsia="zh-CN"/>
        </w:rPr>
        <w:t>采购文件</w:t>
      </w:r>
      <w:r>
        <w:rPr>
          <w:rFonts w:hint="eastAsia" w:ascii="仿宋" w:hAnsi="仿宋" w:eastAsia="仿宋" w:cs="仿宋"/>
          <w:kern w:val="0"/>
          <w:sz w:val="24"/>
        </w:rPr>
        <w:t>要求或者投标文件有采购人不能接受的附加条件的。</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3.在技术评审时，如发现下列情形之一的，投标文件将被视为无效：</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（1）未提供或未如实提供投标货物的技术参数，或者投标文件标明的响应或偏离与事实不符或虚假投标的；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（2）明显不符合</w:t>
      </w:r>
      <w:r>
        <w:rPr>
          <w:rFonts w:hint="eastAsia" w:ascii="仿宋" w:hAnsi="仿宋" w:eastAsia="仿宋" w:cs="仿宋"/>
          <w:kern w:val="0"/>
          <w:sz w:val="24"/>
          <w:lang w:eastAsia="zh-CN"/>
        </w:rPr>
        <w:t>采购文件</w:t>
      </w:r>
      <w:r>
        <w:rPr>
          <w:rFonts w:hint="eastAsia" w:ascii="仿宋" w:hAnsi="仿宋" w:eastAsia="仿宋" w:cs="仿宋"/>
          <w:kern w:val="0"/>
          <w:sz w:val="24"/>
        </w:rPr>
        <w:t>要求的规格型号、质量标准，或者与</w:t>
      </w:r>
      <w:r>
        <w:rPr>
          <w:rFonts w:hint="eastAsia" w:ascii="仿宋" w:hAnsi="仿宋" w:eastAsia="仿宋" w:cs="仿宋"/>
          <w:kern w:val="0"/>
          <w:sz w:val="24"/>
          <w:lang w:eastAsia="zh-CN"/>
        </w:rPr>
        <w:t>采购文件</w:t>
      </w:r>
      <w:r>
        <w:rPr>
          <w:rFonts w:hint="eastAsia" w:ascii="仿宋" w:hAnsi="仿宋" w:eastAsia="仿宋" w:cs="仿宋"/>
          <w:kern w:val="0"/>
          <w:sz w:val="24"/>
        </w:rPr>
        <w:t>中标有“▲”的技术指标、主要功能项目发生实质性偏离的；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（3）投标技术方案不明确，存在一个或一个以上备选（替代）投标方案的；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（4）与其他参加本次投标投标人的投标文件（技术文件）的文字表述内容相同连续 20行以上或者差错相同2处以上的。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4.在报价评审时，如发现下列情形之一的，投标文件将被视为无效：</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（1）未采用“人民币元”报价的或未按照</w:t>
      </w:r>
      <w:r>
        <w:rPr>
          <w:rFonts w:hint="eastAsia" w:ascii="仿宋" w:hAnsi="仿宋" w:eastAsia="仿宋" w:cs="仿宋"/>
          <w:kern w:val="0"/>
          <w:sz w:val="24"/>
          <w:lang w:eastAsia="zh-CN"/>
        </w:rPr>
        <w:t>采购文件</w:t>
      </w:r>
      <w:r>
        <w:rPr>
          <w:rFonts w:hint="eastAsia" w:ascii="仿宋" w:hAnsi="仿宋" w:eastAsia="仿宋" w:cs="仿宋"/>
          <w:kern w:val="0"/>
          <w:sz w:val="24"/>
        </w:rPr>
        <w:t>表明的币种报价的；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（2）报价无偏离采购人的采购定价，或者超出采购预算金额，采购人不能支付的；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（3）投标报价具有选择性，或者投标报价未按照</w:t>
      </w:r>
      <w:r>
        <w:rPr>
          <w:rFonts w:hint="eastAsia" w:ascii="仿宋" w:hAnsi="仿宋" w:eastAsia="仿宋" w:cs="仿宋"/>
          <w:kern w:val="0"/>
          <w:sz w:val="24"/>
          <w:lang w:eastAsia="zh-CN"/>
        </w:rPr>
        <w:t>采购文件</w:t>
      </w:r>
      <w:r>
        <w:rPr>
          <w:rFonts w:hint="eastAsia" w:ascii="仿宋" w:hAnsi="仿宋" w:eastAsia="仿宋" w:cs="仿宋"/>
          <w:kern w:val="0"/>
          <w:sz w:val="24"/>
        </w:rPr>
        <w:t>规定的价格进行报价的。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5.被拒绝的投标文件为无效。</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6.投标人有下列情形之一的，视为投标人串通投标，其投标无效：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（1）不同投标人的投标（响应）文件由同一单位或者个人编制；</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（2）不同投标人委托同一单位或者个人办理投标事宜；</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（3）不同投标人的投标文件或响应文件载明的项目管理成员或者联系人员为同一人；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（4）不同投标人的投标（响应）文件件异常一致或者投标报价呈规律性差异；</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（5）不同投标人的投标（响应）文件相互混装。</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 投标人有下列情形之一的，属于恶意串通，其投标无效：</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（1）投标人直接或者间接从采购人或者采购代理机构处获得其他投标人的相关情况并修改其投标（响应）文件；</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（2）投标人按照采购人或者采购代理机构的授意撤换、修改投标（响应）文件；</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（3）投标人之间协商报价、技术方案等投标（响应）文件的实质性内容；</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（4）属于同一集团、协会、商会等组织成员的投标人按照该组织要求协同参加政府采购活动；</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（5）投标人之间事先约定由某一特定投标人中标、</w:t>
      </w:r>
      <w:r>
        <w:rPr>
          <w:rFonts w:hint="eastAsia" w:ascii="仿宋" w:hAnsi="仿宋" w:eastAsia="仿宋" w:cs="仿宋"/>
          <w:kern w:val="0"/>
          <w:sz w:val="24"/>
          <w:lang w:eastAsia="zh-CN"/>
        </w:rPr>
        <w:t>中标</w:t>
      </w:r>
      <w:r>
        <w:rPr>
          <w:rFonts w:hint="eastAsia" w:ascii="仿宋" w:hAnsi="仿宋" w:eastAsia="仿宋" w:cs="仿宋"/>
          <w:kern w:val="0"/>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（6）投标人之间商定部分投标人放弃参加政府采购活动或者放弃中标、</w:t>
      </w:r>
      <w:r>
        <w:rPr>
          <w:rFonts w:hint="eastAsia" w:ascii="仿宋" w:hAnsi="仿宋" w:eastAsia="仿宋" w:cs="仿宋"/>
          <w:kern w:val="0"/>
          <w:sz w:val="24"/>
          <w:lang w:eastAsia="zh-CN"/>
        </w:rPr>
        <w:t>中标</w:t>
      </w:r>
      <w:r>
        <w:rPr>
          <w:rFonts w:hint="eastAsia" w:ascii="仿宋" w:hAnsi="仿宋" w:eastAsia="仿宋" w:cs="仿宋"/>
          <w:kern w:val="0"/>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（7）投标人与采购人或者采购代理机构之间、投标人相互之间，为谋求特定投标人中标、</w:t>
      </w:r>
      <w:r>
        <w:rPr>
          <w:rFonts w:hint="eastAsia" w:ascii="仿宋" w:hAnsi="仿宋" w:eastAsia="仿宋" w:cs="仿宋"/>
          <w:kern w:val="0"/>
          <w:sz w:val="24"/>
          <w:lang w:eastAsia="zh-CN"/>
        </w:rPr>
        <w:t>中标</w:t>
      </w:r>
      <w:r>
        <w:rPr>
          <w:rFonts w:hint="eastAsia" w:ascii="仿宋" w:hAnsi="仿宋" w:eastAsia="仿宋" w:cs="仿宋"/>
          <w:kern w:val="0"/>
          <w:sz w:val="24"/>
        </w:rPr>
        <w:t>或者排斥其他投标人的其他串通行为。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8.出现以下情形，导致电子交易平台无法正常进行，或者无法保证电子交易的公平、公正和安全时，中止电子交易活动：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（1）电子交易平台发生故障而无法登录访问的；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（2）电子交易平台应用或数据库出现错误，不能进行正常操作的；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（3）电子交易平台发现严重安全漏洞，有潜在泄密危险的；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（4）病毒发作导致不能进行正常操作的；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（5）其他无法保证电子交易的公平、公正和安全的情况。</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(八）废标的情形</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在采购活动中，出现下列情形之一的，应予废标：</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(1)符合专业条件的投标人或者对</w:t>
      </w:r>
      <w:r>
        <w:rPr>
          <w:rFonts w:hint="eastAsia" w:ascii="仿宋" w:hAnsi="仿宋" w:eastAsia="仿宋" w:cs="仿宋"/>
          <w:kern w:val="0"/>
          <w:sz w:val="24"/>
          <w:lang w:eastAsia="zh-CN"/>
        </w:rPr>
        <w:t>采购文件</w:t>
      </w:r>
      <w:r>
        <w:rPr>
          <w:rFonts w:hint="eastAsia" w:ascii="仿宋" w:hAnsi="仿宋" w:eastAsia="仿宋" w:cs="仿宋"/>
          <w:kern w:val="0"/>
          <w:sz w:val="24"/>
        </w:rPr>
        <w:t>作实质性响应的投标人不足三家的；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(2)出现影响采购公正的违法、违规行为的；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(3)投标人的报价均超过了采购预算，采购人不能支付的；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(4)因重大变故，采购任务取消的。</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四、开标</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（一）开标准备</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采购代理机构将在规定的时间和地点进行开标，并按照</w:t>
      </w:r>
      <w:r>
        <w:rPr>
          <w:rFonts w:hint="eastAsia" w:ascii="仿宋" w:hAnsi="仿宋" w:eastAsia="仿宋" w:cs="仿宋"/>
          <w:kern w:val="0"/>
          <w:sz w:val="24"/>
          <w:lang w:eastAsia="zh-CN"/>
        </w:rPr>
        <w:t>采购文件</w:t>
      </w:r>
      <w:r>
        <w:rPr>
          <w:rFonts w:hint="eastAsia" w:ascii="仿宋" w:hAnsi="仿宋" w:eastAsia="仿宋" w:cs="仿宋"/>
          <w:kern w:val="0"/>
          <w:sz w:val="24"/>
        </w:rPr>
        <w:t>规定的时间通过“政府采购云平台”组织开标、开启投标文件，所有投标人均应当准时在线参加。若投标人派授权代表出席开标会议，应当准时签到，未按时签到的，视同放弃开标监督权利、认可开标结果。</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（二） 电子招投标开标及评审程序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1.开标由采购人或者采购代理机构主持，邀请投标人在线参加。评标委员会成员不得参加开标活动；</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2.主持人宣布开标会议开始，并按照规定的时间通过政采云系统组织开标，所有投标人应当准时在线参加；</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3.主持人介绍参加开标会的人员名单；</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4.主持人宣布评标期间的有关事项，告知应当回避的情形,请有关人员回避，并组织投标人签署不存在影响公平竞争的《政府采购活动现场确认声明书》，并由采购人及监督人检查数据电子备份投标文件（U 盘）的密封、包装情况；</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5.开标过程应当由采购人或者采购代理机构负责记录, 由参加开标的相关人员签字确认后随</w:t>
      </w:r>
      <w:r>
        <w:rPr>
          <w:rFonts w:hint="eastAsia" w:ascii="仿宋" w:hAnsi="仿宋" w:eastAsia="仿宋" w:cs="仿宋"/>
          <w:kern w:val="0"/>
          <w:sz w:val="24"/>
          <w:lang w:eastAsia="zh-CN"/>
        </w:rPr>
        <w:t>采购文件</w:t>
      </w:r>
      <w:r>
        <w:rPr>
          <w:rFonts w:hint="eastAsia" w:ascii="仿宋" w:hAnsi="仿宋" w:eastAsia="仿宋" w:cs="仿宋"/>
          <w:kern w:val="0"/>
          <w:sz w:val="24"/>
        </w:rPr>
        <w:t>一并存档。投标人代表对开标过程和开标记录有疑义，以及认为采购人、采购代理机构相关工作人员有需要回避情形的，应当在线提出询问或者回避申请。采购人、采购代理机构对投标人代表提出的疑问或者回避申请应当及时处理。投标人未准时在线参加开标的，视同认可开标结果；</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6.投标截止时间后，投标人应登录政采云平台，在收到电子加密投标文件【开始解密】通知后，通过“项目采购-开标评标”模块对电子投标文件进行在线解密；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7.在开标结束后（评标开始前），由采购人或采购代理机构进行资格审查。资格审查后在系统上公布资格审查结果；</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8.由评标委员会对资格审查通过的投标人进行技术、商务、资信及其他部分评审，符合性审查及评分结束后，由主持人公布无效投标的投标人名单、投标无效的原因，并在系统上公布其他有效投标的评审结果；</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9.由主持人在系统上公布的投标人名称及在其投标文件中承诺的投标报价、投标内容以及其他有必要宣读的内容；</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10.报价部分符合性审查及评分结束后，由主持人公布无效投标的投标人名单、投标无效的原因，并在系统上公布其他有效投标的评分结果；</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11.最终在政采云系统上公布评审结果；</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12.开标会议结束。</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特别说明：政采云公司如对电子化开标及评审程序有调整的，应按调整的程序操作。</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lang w:eastAsia="zh-CN"/>
        </w:rPr>
        <w:t>五</w:t>
      </w:r>
      <w:r>
        <w:rPr>
          <w:rFonts w:hint="eastAsia" w:ascii="仿宋" w:hAnsi="仿宋" w:eastAsia="仿宋" w:cs="仿宋"/>
          <w:b/>
          <w:kern w:val="0"/>
          <w:sz w:val="24"/>
        </w:rPr>
        <w:t>、评标</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（一）组建评标委员会</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本项目评标委员会由5人或以上政府采购评审专家组成。</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（二）评标的方式</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本项目采用不公开方式评标，评标的依据为</w:t>
      </w:r>
      <w:r>
        <w:rPr>
          <w:rFonts w:hint="eastAsia" w:ascii="仿宋" w:hAnsi="仿宋" w:eastAsia="仿宋" w:cs="仿宋"/>
          <w:kern w:val="0"/>
          <w:sz w:val="24"/>
          <w:lang w:eastAsia="zh-CN"/>
        </w:rPr>
        <w:t>采购文件</w:t>
      </w:r>
      <w:r>
        <w:rPr>
          <w:rFonts w:hint="eastAsia" w:ascii="仿宋" w:hAnsi="仿宋" w:eastAsia="仿宋" w:cs="仿宋"/>
          <w:kern w:val="0"/>
          <w:sz w:val="24"/>
        </w:rPr>
        <w:t>和投标文件。</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（三）评标程序</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1.形式审查</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在开标结束后（评标开始前），采购人或代理机构负责对投标人的资格和投标文件的完整性、合法性等进行审查。</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2.实质审查与比较</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（1）评标委员会审查投标文件的实质性内容是否符合</w:t>
      </w:r>
      <w:r>
        <w:rPr>
          <w:rFonts w:hint="eastAsia" w:ascii="仿宋" w:hAnsi="仿宋" w:eastAsia="仿宋" w:cs="仿宋"/>
          <w:kern w:val="0"/>
          <w:sz w:val="24"/>
          <w:lang w:eastAsia="zh-CN"/>
        </w:rPr>
        <w:t>采购文件</w:t>
      </w:r>
      <w:r>
        <w:rPr>
          <w:rFonts w:hint="eastAsia" w:ascii="仿宋" w:hAnsi="仿宋" w:eastAsia="仿宋" w:cs="仿宋"/>
          <w:kern w:val="0"/>
          <w:sz w:val="24"/>
        </w:rPr>
        <w:t>的实质性要求。</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评标委员会将根据投标人的投标文件进行审查、核对,如有疑问,将对投标人进行询标,投标人要向评标委员会澄清有关问题,并最终以书面形式进行答复。投标人未的规定时间内澄清或者拒绝澄清或者澄清的内容改变了投标文件的实质性内容的，评标委员会有权对该投标文件做出不利于投标人的评判。</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（3）评标委员会完成评标后,按评标原则推荐中标候选人同时起草评标报告。</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（4）评标委员会按评标原则通过电子系统向采购人及采购代理机构提交评审报告。</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（四）澄清问题的形式</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（五）错误修正</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投标文件如果出现计算或表达上的错误，修正错误的原则如下：</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1.投标文件的大写和小写不一致的，以大写为准；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2.对不同文字文本投标文件的解释发生异议的，以中文文本为准。</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（六）评标原则和评标办法</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2.评标办法。本项目评标办法是</w:t>
      </w:r>
      <w:r>
        <w:rPr>
          <w:rFonts w:hint="eastAsia" w:ascii="仿宋" w:hAnsi="仿宋" w:eastAsia="仿宋" w:cs="仿宋"/>
          <w:b/>
          <w:kern w:val="0"/>
          <w:sz w:val="24"/>
          <w:u w:val="single"/>
        </w:rPr>
        <w:t>综合评分法</w:t>
      </w:r>
      <w:r>
        <w:rPr>
          <w:rFonts w:hint="eastAsia" w:ascii="仿宋" w:hAnsi="仿宋" w:eastAsia="仿宋" w:cs="仿宋"/>
          <w:kern w:val="0"/>
          <w:sz w:val="24"/>
        </w:rPr>
        <w:t>，具体评标内容及评分标准等详见《第四章：评标办法及评分标准》。</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3.评标过程中凡是属于审查、澄清、评审和比较的有关资料以及授标建议，任何人均不得向投标人或其他无关人员透露。</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（七）评标过程的监控</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本项目评标过程实行全程录音、录像监控，由湖州市公共资源交易管理办公室进行现场监督。投标人在评标过程中所进行的试图影响评标结果的不公正活动，可能导致其投标被拒绝。</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lang w:eastAsia="zh-CN"/>
        </w:rPr>
        <w:t>六</w:t>
      </w:r>
      <w:r>
        <w:rPr>
          <w:rFonts w:hint="eastAsia" w:ascii="仿宋" w:hAnsi="仿宋" w:eastAsia="仿宋" w:cs="仿宋"/>
          <w:b/>
          <w:kern w:val="0"/>
          <w:sz w:val="24"/>
        </w:rPr>
        <w:t>、定标</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（一）确定中标人。本项目由采购人确定中标人。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1.评标委员会完成评审后，采购代理机构通过电子交易平台向采购人提交评标报告。采购人通过电子交易平台确认中标人。</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w:t>
      </w:r>
      <w:r>
        <w:rPr>
          <w:rFonts w:hint="eastAsia" w:ascii="仿宋" w:hAnsi="仿宋" w:eastAsia="仿宋" w:cs="仿宋"/>
          <w:sz w:val="24"/>
          <w:lang w:eastAsia="zh-CN"/>
        </w:rPr>
        <w:t>采购文件</w:t>
      </w:r>
      <w:r>
        <w:rPr>
          <w:rFonts w:hint="eastAsia" w:ascii="仿宋" w:hAnsi="仿宋" w:eastAsia="仿宋" w:cs="仿宋"/>
          <w:sz w:val="24"/>
        </w:rPr>
        <w:t>规定的方式确定中标人；</w:t>
      </w:r>
      <w:r>
        <w:rPr>
          <w:rFonts w:hint="eastAsia" w:ascii="仿宋" w:hAnsi="仿宋" w:eastAsia="仿宋" w:cs="仿宋"/>
          <w:sz w:val="24"/>
          <w:lang w:eastAsia="zh-CN"/>
        </w:rPr>
        <w:t>采购文件</w:t>
      </w:r>
      <w:r>
        <w:rPr>
          <w:rFonts w:hint="eastAsia" w:ascii="仿宋" w:hAnsi="仿宋" w:eastAsia="仿宋" w:cs="仿宋"/>
          <w:sz w:val="24"/>
        </w:rPr>
        <w:t>未规定的，采取随机抽取的方式确定。</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4.采购人依法确定中标人后2个工作日内，采购代理机构、采购人向中标人发出中标通知书，并同时在相关网站上发布中标结果公告。</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lang w:eastAsia="zh-CN"/>
        </w:rPr>
        <w:t>七</w:t>
      </w:r>
      <w:r>
        <w:rPr>
          <w:rFonts w:hint="eastAsia" w:ascii="仿宋" w:hAnsi="仿宋" w:eastAsia="仿宋" w:cs="仿宋"/>
          <w:b/>
          <w:kern w:val="0"/>
          <w:sz w:val="24"/>
        </w:rPr>
        <w:t>、合同授予</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（一）签订合同</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2.中标人拖延、拒签合同的,将被取消中标资格。</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（二）中标通知书</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1.确定中标人后，采购代理机构将以书面形式发出中标通知书，通知中标的投标人其投标被接受；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2.中标通知书为双方签订合同的依据；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3.中标人应根据中标通知书中规定的时间内，由法定代表人或其授权代理人与采购人签订合同。</w:t>
      </w:r>
    </w:p>
    <w:p>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lang w:eastAsia="zh-CN"/>
        </w:rPr>
        <w:t>八</w:t>
      </w:r>
      <w:r>
        <w:rPr>
          <w:rFonts w:hint="eastAsia" w:ascii="仿宋" w:hAnsi="仿宋" w:eastAsia="仿宋" w:cs="仿宋"/>
          <w:b/>
          <w:kern w:val="0"/>
          <w:sz w:val="24"/>
        </w:rPr>
        <w:t xml:space="preserve">、其他内容 </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发生下列情况之一，投标人自愿接受取消投标资格、记入信用档案、媒体通报、1-3年内禁止参与政府采购等处罚；如已中标（</w:t>
      </w:r>
      <w:r>
        <w:rPr>
          <w:rFonts w:hint="eastAsia" w:ascii="仿宋" w:hAnsi="仿宋" w:eastAsia="仿宋" w:cs="仿宋"/>
          <w:kern w:val="0"/>
          <w:sz w:val="24"/>
          <w:lang w:eastAsia="zh-CN"/>
        </w:rPr>
        <w:t>中标</w:t>
      </w:r>
      <w:r>
        <w:rPr>
          <w:rFonts w:hint="eastAsia" w:ascii="仿宋" w:hAnsi="仿宋" w:eastAsia="仿宋" w:cs="仿宋"/>
          <w:kern w:val="0"/>
          <w:sz w:val="24"/>
        </w:rPr>
        <w:t>）的，自动放弃中标（</w:t>
      </w:r>
      <w:r>
        <w:rPr>
          <w:rFonts w:hint="eastAsia" w:ascii="仿宋" w:hAnsi="仿宋" w:eastAsia="仿宋" w:cs="仿宋"/>
          <w:kern w:val="0"/>
          <w:sz w:val="24"/>
          <w:lang w:eastAsia="zh-CN"/>
        </w:rPr>
        <w:t>中标</w:t>
      </w:r>
      <w:r>
        <w:rPr>
          <w:rFonts w:hint="eastAsia" w:ascii="仿宋" w:hAnsi="仿宋" w:eastAsia="仿宋" w:cs="仿宋"/>
          <w:kern w:val="0"/>
          <w:sz w:val="24"/>
        </w:rPr>
        <w:t>）资格，并承担全部法律责任；给采购人造成损失的，依法承担赔偿责任：</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1.投标人在提交投标（响应）文件截止时间后撤回投标（响应）文件的；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 投标人在投标（响应）文件中提交虚假材料的；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3.除因不可抗力或</w:t>
      </w:r>
      <w:r>
        <w:rPr>
          <w:rFonts w:hint="eastAsia" w:ascii="仿宋" w:hAnsi="仿宋" w:eastAsia="仿宋" w:cs="仿宋"/>
          <w:kern w:val="0"/>
          <w:sz w:val="24"/>
          <w:lang w:eastAsia="zh-CN"/>
        </w:rPr>
        <w:t>采购文件</w:t>
      </w:r>
      <w:r>
        <w:rPr>
          <w:rFonts w:hint="eastAsia" w:ascii="仿宋" w:hAnsi="仿宋" w:eastAsia="仿宋" w:cs="仿宋"/>
          <w:kern w:val="0"/>
          <w:sz w:val="24"/>
        </w:rPr>
        <w:t>认可的情形以外，中标人不与采购人签订合同的；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4.投标人与采购人、其他投标人或者采购代理机构恶意串通的；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5.中标人拒绝缴纳招标代理服务费的；</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kern w:val="0"/>
          <w:sz w:val="24"/>
          <w:lang w:eastAsia="zh-CN"/>
        </w:rPr>
        <w:t>采购文件</w:t>
      </w:r>
      <w:r>
        <w:rPr>
          <w:rFonts w:hint="eastAsia" w:ascii="仿宋" w:hAnsi="仿宋" w:eastAsia="仿宋" w:cs="仿宋"/>
          <w:kern w:val="0"/>
          <w:sz w:val="24"/>
        </w:rPr>
        <w:t>规定的其他情形。</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ageBreakBefore/>
        <w:ind w:firstLine="281" w:firstLineChars="100"/>
        <w:jc w:val="center"/>
        <w:rPr>
          <w:rFonts w:hint="eastAsia" w:ascii="仿宋" w:hAnsi="仿宋" w:eastAsia="仿宋" w:cs="仿宋"/>
          <w:b/>
          <w:kern w:val="0"/>
          <w:sz w:val="28"/>
          <w:szCs w:val="28"/>
        </w:rPr>
      </w:pPr>
      <w:r>
        <w:rPr>
          <w:rFonts w:hint="eastAsia" w:ascii="仿宋" w:hAnsi="仿宋" w:eastAsia="仿宋" w:cs="仿宋"/>
          <w:b/>
          <w:kern w:val="0"/>
          <w:sz w:val="28"/>
          <w:szCs w:val="28"/>
        </w:rPr>
        <w:t>第四章 评标办法及评分标准</w:t>
      </w:r>
    </w:p>
    <w:p>
      <w:pPr>
        <w:spacing w:line="550" w:lineRule="exact"/>
        <w:ind w:firstLine="470" w:firstLineChars="196"/>
        <w:rPr>
          <w:rFonts w:hint="eastAsia" w:ascii="仿宋" w:hAnsi="仿宋" w:eastAsia="仿宋" w:cs="仿宋"/>
          <w:kern w:val="0"/>
          <w:sz w:val="24"/>
        </w:rPr>
      </w:pPr>
      <w:r>
        <w:rPr>
          <w:rFonts w:hint="eastAsia" w:ascii="仿宋" w:hAnsi="仿宋" w:eastAsia="仿宋" w:cs="仿宋"/>
          <w:kern w:val="0"/>
          <w:sz w:val="24"/>
        </w:rPr>
        <w:t>为公正、公平、科学地选择中标人，根据《中华人民共和国政府采购法》、《政府采购货物和服务招标投标管理办法》及相关法律、法规等规定，并结合本项目的实际，制定本办法。</w:t>
      </w:r>
    </w:p>
    <w:p>
      <w:pPr>
        <w:spacing w:line="55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一、总则：</w:t>
      </w:r>
    </w:p>
    <w:p>
      <w:pPr>
        <w:spacing w:line="550" w:lineRule="exact"/>
        <w:ind w:left="472"/>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遵循公开、公平、公正、科学合理、竞争择优的原则；</w:t>
      </w:r>
    </w:p>
    <w:p>
      <w:pPr>
        <w:spacing w:line="55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sz w:val="24"/>
          <w:highlight w:val="none"/>
          <w:lang w:eastAsia="zh-CN"/>
        </w:rPr>
        <w:t>评标</w:t>
      </w:r>
      <w:r>
        <w:rPr>
          <w:rFonts w:hint="eastAsia" w:ascii="仿宋" w:hAnsi="仿宋" w:eastAsia="仿宋" w:cs="仿宋"/>
          <w:sz w:val="24"/>
          <w:highlight w:val="none"/>
        </w:rPr>
        <w:t>由</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负责，</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由采购人以及相关专业的专家共</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rPr>
        <w:t>人组成。</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由采购人依据有关规定组建，其中技术、经济专家于</w:t>
      </w:r>
      <w:r>
        <w:rPr>
          <w:rFonts w:hint="eastAsia" w:ascii="仿宋" w:hAnsi="仿宋" w:eastAsia="仿宋" w:cs="仿宋"/>
          <w:sz w:val="24"/>
          <w:highlight w:val="none"/>
          <w:lang w:eastAsia="zh-CN"/>
        </w:rPr>
        <w:t>开标</w:t>
      </w:r>
      <w:r>
        <w:rPr>
          <w:rFonts w:hint="eastAsia" w:ascii="仿宋" w:hAnsi="仿宋" w:eastAsia="仿宋" w:cs="仿宋"/>
          <w:sz w:val="24"/>
          <w:highlight w:val="none"/>
        </w:rPr>
        <w:t>前在监管人员的监督下从专家库中随机抽取。有关人员对</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成员名单必须严格保密，与</w:t>
      </w:r>
      <w:r>
        <w:rPr>
          <w:rFonts w:hint="eastAsia" w:ascii="仿宋" w:hAnsi="仿宋" w:eastAsia="仿宋" w:cs="仿宋"/>
          <w:sz w:val="24"/>
          <w:highlight w:val="none"/>
          <w:lang w:eastAsia="zh-CN"/>
        </w:rPr>
        <w:t>评标</w:t>
      </w:r>
      <w:r>
        <w:rPr>
          <w:rFonts w:hint="eastAsia" w:ascii="仿宋" w:hAnsi="仿宋" w:eastAsia="仿宋" w:cs="仿宋"/>
          <w:sz w:val="24"/>
          <w:highlight w:val="none"/>
        </w:rPr>
        <w:t>有利害关系的人员不得参加</w:t>
      </w:r>
      <w:r>
        <w:rPr>
          <w:rFonts w:hint="eastAsia" w:ascii="仿宋" w:hAnsi="仿宋" w:eastAsia="仿宋" w:cs="仿宋"/>
          <w:sz w:val="24"/>
          <w:highlight w:val="none"/>
          <w:lang w:eastAsia="zh-CN"/>
        </w:rPr>
        <w:t>开标</w:t>
      </w:r>
      <w:r>
        <w:rPr>
          <w:rFonts w:hint="eastAsia" w:ascii="仿宋" w:hAnsi="仿宋" w:eastAsia="仿宋" w:cs="仿宋"/>
          <w:sz w:val="24"/>
          <w:highlight w:val="none"/>
        </w:rPr>
        <w:t>会；</w:t>
      </w:r>
    </w:p>
    <w:p>
      <w:pPr>
        <w:spacing w:line="55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（三）</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成员及参加</w:t>
      </w:r>
      <w:r>
        <w:rPr>
          <w:rFonts w:hint="eastAsia" w:ascii="仿宋" w:hAnsi="仿宋" w:eastAsia="仿宋" w:cs="仿宋"/>
          <w:sz w:val="24"/>
          <w:highlight w:val="none"/>
          <w:lang w:eastAsia="zh-CN"/>
        </w:rPr>
        <w:t>评标</w:t>
      </w:r>
      <w:r>
        <w:rPr>
          <w:rFonts w:hint="eastAsia" w:ascii="仿宋" w:hAnsi="仿宋" w:eastAsia="仿宋" w:cs="仿宋"/>
          <w:sz w:val="24"/>
          <w:highlight w:val="none"/>
        </w:rPr>
        <w:t>的其他相关人员应严格遵守国家有关保密的法律、法规和规定，并接受有关部门的监督；</w:t>
      </w:r>
    </w:p>
    <w:p>
      <w:pPr>
        <w:spacing w:line="55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（四）</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应按</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规定的程序进行</w:t>
      </w:r>
      <w:r>
        <w:rPr>
          <w:rFonts w:hint="eastAsia" w:ascii="仿宋" w:hAnsi="仿宋" w:eastAsia="仿宋" w:cs="仿宋"/>
          <w:sz w:val="24"/>
          <w:highlight w:val="none"/>
          <w:lang w:eastAsia="zh-CN"/>
        </w:rPr>
        <w:t>评标</w:t>
      </w:r>
      <w:r>
        <w:rPr>
          <w:rFonts w:hint="eastAsia" w:ascii="仿宋" w:hAnsi="仿宋" w:eastAsia="仿宋" w:cs="仿宋"/>
          <w:sz w:val="24"/>
          <w:highlight w:val="none"/>
        </w:rPr>
        <w:t>；</w:t>
      </w:r>
    </w:p>
    <w:p>
      <w:pPr>
        <w:spacing w:line="55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（五）通讯工具管理：在</w:t>
      </w:r>
      <w:r>
        <w:rPr>
          <w:rFonts w:hint="eastAsia" w:ascii="仿宋" w:hAnsi="仿宋" w:eastAsia="仿宋" w:cs="仿宋"/>
          <w:sz w:val="24"/>
          <w:highlight w:val="none"/>
          <w:lang w:eastAsia="zh-CN"/>
        </w:rPr>
        <w:t>评标</w:t>
      </w:r>
      <w:r>
        <w:rPr>
          <w:rFonts w:hint="eastAsia" w:ascii="仿宋" w:hAnsi="仿宋" w:eastAsia="仿宋" w:cs="仿宋"/>
          <w:sz w:val="24"/>
          <w:highlight w:val="none"/>
        </w:rPr>
        <w:t>期间，</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每个成员的手机都必须关机；</w:t>
      </w:r>
    </w:p>
    <w:p>
      <w:pPr>
        <w:spacing w:line="55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（六）在</w:t>
      </w:r>
      <w:r>
        <w:rPr>
          <w:rFonts w:hint="eastAsia" w:ascii="仿宋" w:hAnsi="仿宋" w:eastAsia="仿宋" w:cs="仿宋"/>
          <w:sz w:val="24"/>
          <w:highlight w:val="none"/>
          <w:lang w:eastAsia="zh-CN"/>
        </w:rPr>
        <w:t>评标</w:t>
      </w:r>
      <w:r>
        <w:rPr>
          <w:rFonts w:hint="eastAsia" w:ascii="仿宋" w:hAnsi="仿宋" w:eastAsia="仿宋" w:cs="仿宋"/>
          <w:sz w:val="24"/>
          <w:highlight w:val="none"/>
        </w:rPr>
        <w:t>期间，</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各成员不得随意离开规定的</w:t>
      </w:r>
      <w:r>
        <w:rPr>
          <w:rFonts w:hint="eastAsia" w:ascii="仿宋" w:hAnsi="仿宋" w:eastAsia="仿宋" w:cs="仿宋"/>
          <w:sz w:val="24"/>
          <w:highlight w:val="none"/>
          <w:lang w:eastAsia="zh-CN"/>
        </w:rPr>
        <w:t>评标</w:t>
      </w:r>
      <w:r>
        <w:rPr>
          <w:rFonts w:hint="eastAsia" w:ascii="仿宋" w:hAnsi="仿宋" w:eastAsia="仿宋" w:cs="仿宋"/>
          <w:sz w:val="24"/>
          <w:highlight w:val="none"/>
        </w:rPr>
        <w:t>地点，所有资料由采购代理机构工作人员专门保管和发放。</w:t>
      </w:r>
      <w:r>
        <w:rPr>
          <w:rFonts w:hint="eastAsia" w:ascii="仿宋" w:hAnsi="仿宋" w:eastAsia="仿宋" w:cs="仿宋"/>
          <w:sz w:val="24"/>
          <w:highlight w:val="none"/>
          <w:lang w:eastAsia="zh-CN"/>
        </w:rPr>
        <w:t>评标委员会</w:t>
      </w:r>
      <w:r>
        <w:rPr>
          <w:rFonts w:hint="eastAsia" w:ascii="仿宋" w:hAnsi="仿宋" w:eastAsia="仿宋" w:cs="仿宋"/>
          <w:sz w:val="24"/>
          <w:highlight w:val="none"/>
        </w:rPr>
        <w:t>成员完成</w:t>
      </w:r>
      <w:r>
        <w:rPr>
          <w:rFonts w:hint="eastAsia" w:ascii="仿宋" w:hAnsi="仿宋" w:eastAsia="仿宋" w:cs="仿宋"/>
          <w:sz w:val="24"/>
          <w:highlight w:val="none"/>
          <w:lang w:eastAsia="zh-CN"/>
        </w:rPr>
        <w:t>评标</w:t>
      </w:r>
      <w:r>
        <w:rPr>
          <w:rFonts w:hint="eastAsia" w:ascii="仿宋" w:hAnsi="仿宋" w:eastAsia="仿宋" w:cs="仿宋"/>
          <w:sz w:val="24"/>
          <w:highlight w:val="none"/>
        </w:rPr>
        <w:t>时应如数、及时归还，任何与本项目有关的资料不得带离</w:t>
      </w:r>
      <w:r>
        <w:rPr>
          <w:rFonts w:hint="eastAsia" w:ascii="仿宋" w:hAnsi="仿宋" w:eastAsia="仿宋" w:cs="仿宋"/>
          <w:sz w:val="24"/>
          <w:highlight w:val="none"/>
          <w:lang w:eastAsia="zh-CN"/>
        </w:rPr>
        <w:t>评标</w:t>
      </w:r>
      <w:r>
        <w:rPr>
          <w:rFonts w:hint="eastAsia" w:ascii="仿宋" w:hAnsi="仿宋" w:eastAsia="仿宋" w:cs="仿宋"/>
          <w:sz w:val="24"/>
          <w:highlight w:val="none"/>
        </w:rPr>
        <w:t>现场；</w:t>
      </w:r>
    </w:p>
    <w:p>
      <w:pPr>
        <w:spacing w:line="55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（七）本次</w:t>
      </w:r>
      <w:r>
        <w:rPr>
          <w:rFonts w:hint="eastAsia" w:ascii="仿宋" w:hAnsi="仿宋" w:eastAsia="仿宋" w:cs="仿宋"/>
          <w:bCs/>
          <w:sz w:val="24"/>
          <w:highlight w:val="none"/>
          <w:lang w:eastAsia="zh-CN"/>
        </w:rPr>
        <w:t>评标</w:t>
      </w:r>
      <w:r>
        <w:rPr>
          <w:rFonts w:hint="eastAsia" w:ascii="仿宋" w:hAnsi="仿宋" w:eastAsia="仿宋" w:cs="仿宋"/>
          <w:bCs/>
          <w:sz w:val="24"/>
          <w:highlight w:val="none"/>
        </w:rPr>
        <w:t>采用综合评分法，总分为100分，其中价格分</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分、技术、商务、资信及其他</w:t>
      </w:r>
      <w:r>
        <w:rPr>
          <w:rFonts w:hint="eastAsia" w:ascii="仿宋" w:hAnsi="仿宋" w:eastAsia="仿宋" w:cs="仿宋"/>
          <w:bCs/>
          <w:sz w:val="24"/>
          <w:highlight w:val="none"/>
          <w:lang w:val="en-US" w:eastAsia="zh-CN"/>
        </w:rPr>
        <w:t>90</w:t>
      </w:r>
      <w:r>
        <w:rPr>
          <w:rFonts w:hint="eastAsia" w:ascii="仿宋" w:hAnsi="仿宋" w:eastAsia="仿宋" w:cs="仿宋"/>
          <w:bCs/>
          <w:sz w:val="24"/>
          <w:highlight w:val="none"/>
        </w:rPr>
        <w:t>分。合格</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的</w:t>
      </w:r>
      <w:r>
        <w:rPr>
          <w:rFonts w:hint="eastAsia" w:ascii="仿宋" w:hAnsi="仿宋" w:eastAsia="仿宋" w:cs="仿宋"/>
          <w:bCs/>
          <w:sz w:val="24"/>
          <w:highlight w:val="none"/>
          <w:lang w:eastAsia="zh-CN"/>
        </w:rPr>
        <w:t>评标</w:t>
      </w:r>
      <w:r>
        <w:rPr>
          <w:rFonts w:hint="eastAsia" w:ascii="仿宋" w:hAnsi="仿宋" w:eastAsia="仿宋" w:cs="仿宋"/>
          <w:bCs/>
          <w:sz w:val="24"/>
          <w:highlight w:val="none"/>
        </w:rPr>
        <w:t>得分为各项目汇总得分，</w:t>
      </w:r>
      <w:r>
        <w:rPr>
          <w:rFonts w:hint="eastAsia" w:ascii="仿宋" w:hAnsi="仿宋" w:eastAsia="仿宋" w:cs="仿宋"/>
          <w:bCs/>
          <w:sz w:val="24"/>
          <w:highlight w:val="none"/>
          <w:lang w:eastAsia="zh-CN"/>
        </w:rPr>
        <w:t>中标</w:t>
      </w:r>
      <w:r>
        <w:rPr>
          <w:rFonts w:hint="eastAsia" w:ascii="仿宋" w:hAnsi="仿宋" w:eastAsia="仿宋" w:cs="仿宋"/>
          <w:bCs/>
          <w:sz w:val="24"/>
          <w:highlight w:val="none"/>
        </w:rPr>
        <w:t>候选资格按</w:t>
      </w:r>
      <w:r>
        <w:rPr>
          <w:rFonts w:hint="eastAsia" w:ascii="仿宋" w:hAnsi="仿宋" w:eastAsia="仿宋" w:cs="仿宋"/>
          <w:bCs/>
          <w:sz w:val="24"/>
          <w:highlight w:val="none"/>
          <w:lang w:eastAsia="zh-CN"/>
        </w:rPr>
        <w:t>评标</w:t>
      </w:r>
      <w:r>
        <w:rPr>
          <w:rFonts w:hint="eastAsia" w:ascii="仿宋" w:hAnsi="仿宋" w:eastAsia="仿宋" w:cs="仿宋"/>
          <w:bCs/>
          <w:sz w:val="24"/>
          <w:highlight w:val="none"/>
        </w:rPr>
        <w:t>得分由高到低顺序排列，并推荐前三名作为</w:t>
      </w:r>
      <w:r>
        <w:rPr>
          <w:rFonts w:hint="eastAsia" w:ascii="仿宋" w:hAnsi="仿宋" w:eastAsia="仿宋" w:cs="仿宋"/>
          <w:bCs/>
          <w:sz w:val="24"/>
          <w:highlight w:val="none"/>
          <w:lang w:eastAsia="zh-CN"/>
        </w:rPr>
        <w:t>中标候选人</w:t>
      </w:r>
      <w:r>
        <w:rPr>
          <w:rFonts w:hint="eastAsia" w:ascii="仿宋" w:hAnsi="仿宋" w:eastAsia="仿宋" w:cs="仿宋"/>
          <w:bCs/>
          <w:sz w:val="24"/>
          <w:highlight w:val="none"/>
        </w:rPr>
        <w:t>。得分相同按技术部分得分由高到低顺序排列。技术部分得分仍相同的，由采购人采用随机抽取的方式决定，排名第一的</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为第一</w:t>
      </w:r>
      <w:r>
        <w:rPr>
          <w:rFonts w:hint="eastAsia" w:ascii="仿宋" w:hAnsi="仿宋" w:eastAsia="仿宋" w:cs="仿宋"/>
          <w:bCs/>
          <w:sz w:val="24"/>
          <w:highlight w:val="none"/>
          <w:lang w:eastAsia="zh-CN"/>
        </w:rPr>
        <w:t>中标候选人</w:t>
      </w:r>
      <w:r>
        <w:rPr>
          <w:rFonts w:hint="eastAsia" w:ascii="仿宋" w:hAnsi="仿宋" w:eastAsia="仿宋" w:cs="仿宋"/>
          <w:bCs/>
          <w:sz w:val="24"/>
          <w:highlight w:val="none"/>
        </w:rPr>
        <w:t>,其他</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中标候选资格依此类推。第一</w:t>
      </w:r>
      <w:r>
        <w:rPr>
          <w:rFonts w:hint="eastAsia" w:ascii="仿宋" w:hAnsi="仿宋" w:eastAsia="仿宋" w:cs="仿宋"/>
          <w:bCs/>
          <w:sz w:val="24"/>
          <w:highlight w:val="none"/>
          <w:lang w:eastAsia="zh-CN"/>
        </w:rPr>
        <w:t>中标候选人</w:t>
      </w:r>
      <w:r>
        <w:rPr>
          <w:rFonts w:hint="eastAsia" w:ascii="仿宋" w:hAnsi="仿宋" w:eastAsia="仿宋" w:cs="仿宋"/>
          <w:bCs/>
          <w:sz w:val="24"/>
          <w:highlight w:val="none"/>
        </w:rPr>
        <w:t>放弃中标或者因不可抗力提出不能履行合同，采购人可以确定第二</w:t>
      </w:r>
      <w:r>
        <w:rPr>
          <w:rFonts w:hint="eastAsia" w:ascii="仿宋" w:hAnsi="仿宋" w:eastAsia="仿宋" w:cs="仿宋"/>
          <w:bCs/>
          <w:sz w:val="24"/>
          <w:highlight w:val="none"/>
          <w:lang w:eastAsia="zh-CN"/>
        </w:rPr>
        <w:t>中标候选人</w:t>
      </w:r>
      <w:r>
        <w:rPr>
          <w:rFonts w:hint="eastAsia" w:ascii="仿宋" w:hAnsi="仿宋" w:eastAsia="仿宋" w:cs="仿宋"/>
          <w:bCs/>
          <w:sz w:val="24"/>
          <w:highlight w:val="none"/>
        </w:rPr>
        <w:t>为中标人，排名第二的</w:t>
      </w:r>
      <w:r>
        <w:rPr>
          <w:rFonts w:hint="eastAsia" w:ascii="仿宋" w:hAnsi="仿宋" w:eastAsia="仿宋" w:cs="仿宋"/>
          <w:bCs/>
          <w:sz w:val="24"/>
          <w:highlight w:val="none"/>
          <w:lang w:eastAsia="zh-CN"/>
        </w:rPr>
        <w:t>中标候选人</w:t>
      </w:r>
      <w:r>
        <w:rPr>
          <w:rFonts w:hint="eastAsia" w:ascii="仿宋" w:hAnsi="仿宋" w:eastAsia="仿宋" w:cs="仿宋"/>
          <w:bCs/>
          <w:sz w:val="24"/>
          <w:highlight w:val="none"/>
        </w:rPr>
        <w:t>因前款同样的原因不能签订合同，采购人可以确定排名第三的</w:t>
      </w:r>
      <w:r>
        <w:rPr>
          <w:rFonts w:hint="eastAsia" w:ascii="仿宋" w:hAnsi="仿宋" w:eastAsia="仿宋" w:cs="仿宋"/>
          <w:bCs/>
          <w:sz w:val="24"/>
          <w:highlight w:val="none"/>
          <w:lang w:eastAsia="zh-CN"/>
        </w:rPr>
        <w:t>中标候选人</w:t>
      </w:r>
      <w:r>
        <w:rPr>
          <w:rFonts w:hint="eastAsia" w:ascii="仿宋" w:hAnsi="仿宋" w:eastAsia="仿宋" w:cs="仿宋"/>
          <w:bCs/>
          <w:sz w:val="24"/>
          <w:highlight w:val="none"/>
        </w:rPr>
        <w:t>为中标人。评分过程中采用四舍五入法，并保留小数2位。</w:t>
      </w:r>
    </w:p>
    <w:p>
      <w:pPr>
        <w:tabs>
          <w:tab w:val="left" w:pos="3870"/>
          <w:tab w:val="left" w:pos="4085"/>
        </w:tabs>
        <w:snapToGrid w:val="0"/>
        <w:spacing w:line="550" w:lineRule="exact"/>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二、计算方法：（按评分标准）</w:t>
      </w:r>
    </w:p>
    <w:p>
      <w:pPr>
        <w:spacing w:line="55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（一）报价部分：</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0分</w:t>
      </w:r>
    </w:p>
    <w:p>
      <w:pPr>
        <w:spacing w:line="55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1、价格分采用低价优先法计算，即满足</w:t>
      </w:r>
      <w:r>
        <w:rPr>
          <w:rFonts w:hint="eastAsia" w:ascii="仿宋" w:hAnsi="仿宋" w:eastAsia="仿宋" w:cs="仿宋"/>
          <w:bCs/>
          <w:sz w:val="24"/>
          <w:highlight w:val="none"/>
          <w:lang w:eastAsia="zh-CN"/>
        </w:rPr>
        <w:t>采购文件</w:t>
      </w:r>
      <w:r>
        <w:rPr>
          <w:rFonts w:hint="eastAsia" w:ascii="仿宋" w:hAnsi="仿宋" w:eastAsia="仿宋" w:cs="仿宋"/>
          <w:bCs/>
          <w:sz w:val="24"/>
          <w:highlight w:val="none"/>
        </w:rPr>
        <w:t>要求且最后报价最低的</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的价格为基准价，其价格分为满分。其他</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的价格分统一按照下列公式计算：</w:t>
      </w:r>
    </w:p>
    <w:p>
      <w:pPr>
        <w:spacing w:line="55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报价得分=（基准价/</w:t>
      </w: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报价）×100×</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0%</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2、根据财政部、工业和信息化部制定的《政府采购促进中小企业发展管理办法》(财库〔2020〕46号)，对小型或微型企业的报价给予</w:t>
      </w:r>
      <w:r>
        <w:rPr>
          <w:rFonts w:hint="eastAsia" w:ascii="仿宋" w:hAnsi="仿宋" w:eastAsia="仿宋" w:cs="仿宋"/>
          <w:bCs/>
          <w:sz w:val="24"/>
          <w:highlight w:val="none"/>
          <w:lang w:val="en-US" w:eastAsia="zh-CN"/>
        </w:rPr>
        <w:t>20</w:t>
      </w:r>
      <w:r>
        <w:rPr>
          <w:rFonts w:hint="eastAsia" w:ascii="仿宋" w:hAnsi="仿宋" w:eastAsia="仿宋" w:cs="仿宋"/>
          <w:bCs/>
          <w:sz w:val="24"/>
          <w:highlight w:val="none"/>
        </w:rPr>
        <w:t>%的扣除，并用扣除后的价格计算价格评分。</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符合以下要求的</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被认定为小型、微型企业：</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按照《关于印发中小企业划型标准规定的通知》（工信部联企业【2011】300号）的所属行业规定为小型、微型企业【按《政府采购促进中小企业发展管理办法》的通知（财库【2020】46 号）规定提供《中小企业声明函》，不提供不予认可】。</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（2）监狱企业参加</w:t>
      </w: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（3）残疾人福利性单位参加</w:t>
      </w: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pPr>
        <w:spacing w:line="640" w:lineRule="exact"/>
        <w:ind w:firstLine="480" w:firstLineChars="200"/>
        <w:rPr>
          <w:rFonts w:hint="eastAsia" w:ascii="仿宋" w:hAnsi="仿宋" w:eastAsia="仿宋" w:cs="仿宋"/>
          <w:highlight w:val="none"/>
        </w:rPr>
      </w:pPr>
      <w:r>
        <w:rPr>
          <w:rFonts w:hint="eastAsia" w:ascii="仿宋" w:hAnsi="仿宋" w:eastAsia="仿宋" w:cs="仿宋"/>
          <w:bCs/>
          <w:sz w:val="24"/>
          <w:highlight w:val="none"/>
        </w:rPr>
        <w:t>此项由</w:t>
      </w:r>
      <w:r>
        <w:rPr>
          <w:rFonts w:hint="eastAsia" w:ascii="仿宋" w:hAnsi="仿宋" w:eastAsia="仿宋" w:cs="仿宋"/>
          <w:bCs/>
          <w:sz w:val="24"/>
          <w:highlight w:val="none"/>
          <w:lang w:eastAsia="zh-CN"/>
        </w:rPr>
        <w:t>评标委员会</w:t>
      </w:r>
      <w:r>
        <w:rPr>
          <w:rFonts w:hint="eastAsia" w:ascii="仿宋" w:hAnsi="仿宋" w:eastAsia="仿宋" w:cs="仿宋"/>
          <w:bCs/>
          <w:sz w:val="24"/>
          <w:highlight w:val="none"/>
        </w:rPr>
        <w:t>集体核实后统一打分。</w:t>
      </w:r>
    </w:p>
    <w:p>
      <w:pPr>
        <w:spacing w:line="55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（二）技术分、商务分、资信及其他部分：</w:t>
      </w:r>
      <w:r>
        <w:rPr>
          <w:rFonts w:hint="eastAsia" w:ascii="仿宋" w:hAnsi="仿宋" w:eastAsia="仿宋" w:cs="仿宋"/>
          <w:bCs/>
          <w:sz w:val="24"/>
          <w:highlight w:val="none"/>
          <w:lang w:val="en-US" w:eastAsia="zh-CN"/>
        </w:rPr>
        <w:t>90</w:t>
      </w:r>
      <w:r>
        <w:rPr>
          <w:rFonts w:hint="eastAsia" w:ascii="仿宋" w:hAnsi="仿宋" w:eastAsia="仿宋" w:cs="仿宋"/>
          <w:bCs/>
          <w:sz w:val="24"/>
          <w:highlight w:val="none"/>
        </w:rPr>
        <w:t xml:space="preserve">分 </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1、本项目设技术分</w:t>
      </w:r>
      <w:r>
        <w:rPr>
          <w:rFonts w:hint="eastAsia" w:ascii="仿宋" w:hAnsi="仿宋" w:eastAsia="仿宋" w:cs="仿宋"/>
          <w:bCs/>
          <w:sz w:val="24"/>
          <w:highlight w:val="none"/>
          <w:lang w:val="en-US" w:eastAsia="zh-CN"/>
        </w:rPr>
        <w:t>76</w:t>
      </w:r>
      <w:r>
        <w:rPr>
          <w:rFonts w:hint="eastAsia" w:ascii="仿宋" w:hAnsi="仿宋" w:eastAsia="仿宋" w:cs="仿宋"/>
          <w:bCs/>
          <w:sz w:val="24"/>
          <w:highlight w:val="none"/>
        </w:rPr>
        <w:t>分、商务、资信及其他分</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分。</w:t>
      </w:r>
    </w:p>
    <w:p>
      <w:pPr>
        <w:spacing w:line="55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 xml:space="preserve">2、技术分、商务分、资信及其他分的计算 </w:t>
      </w:r>
    </w:p>
    <w:p>
      <w:pPr>
        <w:spacing w:line="640" w:lineRule="exact"/>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技术、商务、资信及其他分按照</w:t>
      </w:r>
      <w:r>
        <w:rPr>
          <w:rFonts w:hint="eastAsia" w:ascii="仿宋" w:hAnsi="仿宋" w:eastAsia="仿宋" w:cs="仿宋"/>
          <w:bCs/>
          <w:sz w:val="24"/>
          <w:highlight w:val="none"/>
          <w:lang w:eastAsia="zh-CN"/>
        </w:rPr>
        <w:t>评标委员会</w:t>
      </w:r>
      <w:r>
        <w:rPr>
          <w:rFonts w:hint="eastAsia" w:ascii="仿宋" w:hAnsi="仿宋" w:eastAsia="仿宋" w:cs="仿宋"/>
          <w:bCs/>
          <w:sz w:val="24"/>
          <w:highlight w:val="none"/>
        </w:rPr>
        <w:t xml:space="preserve">成员的独立评分结果汇总数的算术平均分计算，计算公式为： </w:t>
      </w:r>
    </w:p>
    <w:p>
      <w:pPr>
        <w:spacing w:line="640" w:lineRule="exact"/>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技术分、商务分、资信及其他分=（</w:t>
      </w:r>
      <w:r>
        <w:rPr>
          <w:rFonts w:hint="eastAsia" w:ascii="仿宋" w:hAnsi="仿宋" w:eastAsia="仿宋" w:cs="仿宋"/>
          <w:bCs/>
          <w:sz w:val="24"/>
          <w:highlight w:val="none"/>
          <w:lang w:eastAsia="zh-CN"/>
        </w:rPr>
        <w:t>评标委员会</w:t>
      </w:r>
      <w:r>
        <w:rPr>
          <w:rFonts w:hint="eastAsia" w:ascii="仿宋" w:hAnsi="仿宋" w:eastAsia="仿宋" w:cs="仿宋"/>
          <w:bCs/>
          <w:sz w:val="24"/>
          <w:highlight w:val="none"/>
        </w:rPr>
        <w:t>所有成员评分合计数）/（</w:t>
      </w:r>
      <w:r>
        <w:rPr>
          <w:rFonts w:hint="eastAsia" w:ascii="仿宋" w:hAnsi="仿宋" w:eastAsia="仿宋" w:cs="仿宋"/>
          <w:bCs/>
          <w:sz w:val="24"/>
          <w:highlight w:val="none"/>
          <w:lang w:eastAsia="zh-CN"/>
        </w:rPr>
        <w:t>评标委员会</w:t>
      </w:r>
      <w:r>
        <w:rPr>
          <w:rFonts w:hint="eastAsia" w:ascii="仿宋" w:hAnsi="仿宋" w:eastAsia="仿宋" w:cs="仿宋"/>
          <w:bCs/>
          <w:sz w:val="24"/>
          <w:highlight w:val="none"/>
        </w:rPr>
        <w:t xml:space="preserve">人员数） </w:t>
      </w:r>
    </w:p>
    <w:p>
      <w:pPr>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评标委员会</w:t>
      </w:r>
      <w:r>
        <w:rPr>
          <w:rFonts w:hint="eastAsia" w:ascii="仿宋" w:hAnsi="仿宋" w:eastAsia="仿宋" w:cs="仿宋"/>
          <w:bCs/>
          <w:sz w:val="24"/>
          <w:highlight w:val="none"/>
        </w:rPr>
        <w:t>在评审时发现</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得报价明显高于其市场报价或低于成本价的，应当要求</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书面说明并提供相关证明材料。</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不能当场合理说明原因并提供证明材料的，</w:t>
      </w:r>
      <w:r>
        <w:rPr>
          <w:rFonts w:hint="eastAsia" w:ascii="仿宋" w:hAnsi="仿宋" w:eastAsia="仿宋" w:cs="仿宋"/>
          <w:bCs/>
          <w:sz w:val="24"/>
          <w:highlight w:val="none"/>
          <w:lang w:eastAsia="zh-CN"/>
        </w:rPr>
        <w:t>评标委员会</w:t>
      </w:r>
      <w:r>
        <w:rPr>
          <w:rFonts w:hint="eastAsia" w:ascii="仿宋" w:hAnsi="仿宋" w:eastAsia="仿宋" w:cs="仿宋"/>
          <w:bCs/>
          <w:sz w:val="24"/>
          <w:highlight w:val="none"/>
        </w:rPr>
        <w:t>应将该</w:t>
      </w:r>
      <w:r>
        <w:rPr>
          <w:rFonts w:hint="eastAsia" w:ascii="仿宋" w:hAnsi="仿宋" w:eastAsia="仿宋" w:cs="仿宋"/>
          <w:bCs/>
          <w:sz w:val="24"/>
          <w:highlight w:val="none"/>
          <w:lang w:eastAsia="zh-CN"/>
        </w:rPr>
        <w:t>投标人</w:t>
      </w:r>
      <w:r>
        <w:rPr>
          <w:rFonts w:hint="eastAsia" w:ascii="仿宋" w:hAnsi="仿宋" w:eastAsia="仿宋" w:cs="仿宋"/>
          <w:bCs/>
          <w:sz w:val="24"/>
          <w:highlight w:val="none"/>
        </w:rPr>
        <w:t>的</w:t>
      </w:r>
      <w:r>
        <w:rPr>
          <w:rFonts w:hint="eastAsia" w:ascii="仿宋" w:hAnsi="仿宋" w:eastAsia="仿宋" w:cs="仿宋"/>
          <w:bCs/>
          <w:sz w:val="24"/>
          <w:highlight w:val="none"/>
          <w:lang w:eastAsia="zh-CN"/>
        </w:rPr>
        <w:t>采购文件</w:t>
      </w:r>
      <w:r>
        <w:rPr>
          <w:rFonts w:hint="eastAsia" w:ascii="仿宋" w:hAnsi="仿宋" w:eastAsia="仿宋" w:cs="仿宋"/>
          <w:bCs/>
          <w:sz w:val="24"/>
          <w:highlight w:val="none"/>
        </w:rPr>
        <w:t>作无效处理，并在评审报告中说明。</w:t>
      </w:r>
    </w:p>
    <w:p>
      <w:pPr>
        <w:spacing w:line="640" w:lineRule="exact"/>
        <w:rPr>
          <w:rFonts w:hint="eastAsia" w:ascii="仿宋" w:hAnsi="仿宋" w:eastAsia="仿宋" w:cs="仿宋"/>
          <w:highlight w:val="none"/>
        </w:rPr>
      </w:pPr>
      <w:r>
        <w:rPr>
          <w:rFonts w:hint="eastAsia" w:ascii="仿宋" w:hAnsi="仿宋" w:eastAsia="仿宋" w:cs="仿宋"/>
          <w:b/>
          <w:bCs/>
          <w:sz w:val="24"/>
          <w:highlight w:val="none"/>
        </w:rPr>
        <w:t>附件：技术、商务、资信及其他部分：</w:t>
      </w:r>
      <w:r>
        <w:rPr>
          <w:rFonts w:hint="eastAsia" w:ascii="仿宋" w:hAnsi="仿宋" w:eastAsia="仿宋" w:cs="仿宋"/>
          <w:b/>
          <w:bCs/>
          <w:sz w:val="24"/>
          <w:highlight w:val="none"/>
          <w:lang w:val="en-US" w:eastAsia="zh-CN"/>
        </w:rPr>
        <w:t>90</w:t>
      </w:r>
      <w:r>
        <w:rPr>
          <w:rFonts w:hint="eastAsia" w:ascii="仿宋" w:hAnsi="仿宋" w:eastAsia="仿宋" w:cs="仿宋"/>
          <w:b/>
          <w:bCs/>
          <w:sz w:val="24"/>
          <w:highlight w:val="none"/>
        </w:rPr>
        <w:t>分</w:t>
      </w:r>
    </w:p>
    <w:p>
      <w:pPr>
        <w:spacing w:line="400" w:lineRule="exact"/>
        <w:jc w:val="left"/>
        <w:rPr>
          <w:rFonts w:hint="eastAsia" w:ascii="仿宋" w:hAnsi="仿宋" w:eastAsia="仿宋" w:cs="仿宋"/>
          <w:szCs w:val="21"/>
          <w:highlight w:val="none"/>
        </w:rPr>
      </w:pPr>
    </w:p>
    <w:tbl>
      <w:tblPr>
        <w:tblStyle w:val="1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51"/>
        <w:gridCol w:w="960"/>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084"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评分项目</w:t>
            </w: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分值</w:t>
            </w:r>
          </w:p>
        </w:tc>
        <w:tc>
          <w:tcPr>
            <w:tcW w:w="6815"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p>
          <w:p>
            <w:pPr>
              <w:spacing w:line="440" w:lineRule="exact"/>
              <w:jc w:val="center"/>
              <w:rPr>
                <w:rFonts w:hint="eastAsia" w:ascii="仿宋" w:hAnsi="仿宋" w:eastAsia="仿宋" w:cs="仿宋"/>
                <w:b/>
                <w:bCs/>
                <w:sz w:val="24"/>
              </w:rPr>
            </w:pPr>
            <w:r>
              <w:rPr>
                <w:rFonts w:hint="eastAsia" w:ascii="仿宋" w:hAnsi="仿宋" w:eastAsia="仿宋" w:cs="仿宋"/>
                <w:b/>
                <w:bCs/>
                <w:sz w:val="24"/>
              </w:rPr>
              <w:t>技术</w:t>
            </w:r>
          </w:p>
          <w:p>
            <w:pPr>
              <w:spacing w:line="440" w:lineRule="exact"/>
              <w:jc w:val="center"/>
              <w:rPr>
                <w:rFonts w:hint="eastAsia" w:ascii="仿宋" w:hAnsi="仿宋" w:eastAsia="仿宋" w:cs="仿宋"/>
                <w:b/>
                <w:bCs/>
                <w:sz w:val="24"/>
                <w:lang w:eastAsia="zh-CN"/>
              </w:rPr>
            </w:pPr>
            <w:r>
              <w:rPr>
                <w:rFonts w:hint="eastAsia" w:ascii="仿宋" w:hAnsi="仿宋" w:eastAsia="仿宋" w:cs="仿宋"/>
                <w:b/>
                <w:bCs/>
                <w:sz w:val="24"/>
                <w:lang w:eastAsia="zh-CN"/>
              </w:rPr>
              <w:t>部分</w:t>
            </w:r>
          </w:p>
          <w:p>
            <w:pPr>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81</w:t>
            </w:r>
            <w:r>
              <w:rPr>
                <w:rFonts w:hint="eastAsia" w:ascii="仿宋" w:hAnsi="仿宋" w:eastAsia="仿宋" w:cs="仿宋"/>
                <w:b/>
                <w:bCs/>
                <w:sz w:val="24"/>
              </w:rPr>
              <w:t>分</w:t>
            </w:r>
          </w:p>
        </w:tc>
        <w:tc>
          <w:tcPr>
            <w:tcW w:w="11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组织实施方案</w:t>
            </w: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0-</w:t>
            </w:r>
            <w:r>
              <w:rPr>
                <w:rFonts w:hint="eastAsia" w:ascii="仿宋" w:hAnsi="仿宋" w:eastAsia="仿宋" w:cs="仿宋"/>
                <w:bCs/>
                <w:sz w:val="24"/>
                <w:lang w:val="en-US" w:eastAsia="zh-CN"/>
              </w:rPr>
              <w:t>7</w:t>
            </w:r>
            <w:r>
              <w:rPr>
                <w:rFonts w:hint="eastAsia" w:ascii="仿宋" w:hAnsi="仿宋" w:eastAsia="仿宋" w:cs="仿宋"/>
                <w:bCs/>
                <w:sz w:val="24"/>
              </w:rPr>
              <w:t>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0" w:firstLineChars="200"/>
              <w:rPr>
                <w:rFonts w:hint="eastAsia" w:ascii="仿宋" w:hAnsi="仿宋" w:eastAsia="仿宋" w:cs="仿宋"/>
                <w:bCs/>
                <w:sz w:val="24"/>
                <w:lang w:val="zh-CN"/>
              </w:rPr>
            </w:pPr>
            <w:r>
              <w:rPr>
                <w:rFonts w:hint="eastAsia" w:ascii="仿宋" w:hAnsi="仿宋" w:eastAsia="仿宋" w:cs="仿宋"/>
                <w:bCs/>
                <w:sz w:val="24"/>
              </w:rPr>
              <w:t>供应商组织实施方案中，组织机构、实施场所、宣传方案是否合理、规范、到位。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p>
        </w:tc>
        <w:tc>
          <w:tcPr>
            <w:tcW w:w="1151"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p>
        </w:tc>
        <w:tc>
          <w:tcPr>
            <w:tcW w:w="960"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0-</w:t>
            </w:r>
            <w:r>
              <w:rPr>
                <w:rFonts w:hint="eastAsia" w:ascii="仿宋" w:hAnsi="仿宋" w:eastAsia="仿宋" w:cs="仿宋"/>
                <w:bCs/>
                <w:sz w:val="24"/>
                <w:lang w:val="en-US" w:eastAsia="zh-CN"/>
              </w:rPr>
              <w:t>7</w:t>
            </w:r>
            <w:bookmarkStart w:id="15" w:name="_GoBack"/>
            <w:bookmarkEnd w:id="15"/>
            <w:r>
              <w:rPr>
                <w:rFonts w:hint="eastAsia" w:ascii="仿宋" w:hAnsi="仿宋" w:eastAsia="仿宋" w:cs="仿宋"/>
                <w:bCs/>
                <w:sz w:val="24"/>
              </w:rPr>
              <w:t>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工作时间进度表、工作程序和步骤、管理和协调方法、关键步骤等思路是否清晰、合理。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115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售后服务方案（网点、承保、理赔服务）</w:t>
            </w:r>
          </w:p>
          <w:p>
            <w:pPr>
              <w:spacing w:line="440" w:lineRule="exact"/>
              <w:jc w:val="center"/>
              <w:rPr>
                <w:rFonts w:hint="eastAsia" w:ascii="仿宋" w:hAnsi="仿宋" w:eastAsia="仿宋" w:cs="仿宋"/>
                <w:b/>
                <w:bCs/>
                <w:sz w:val="24"/>
              </w:rPr>
            </w:pP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highlight w:val="yellow"/>
              </w:rPr>
            </w:pPr>
            <w:r>
              <w:rPr>
                <w:rFonts w:hint="eastAsia" w:ascii="仿宋" w:hAnsi="仿宋" w:eastAsia="仿宋" w:cs="仿宋"/>
                <w:bCs/>
                <w:sz w:val="24"/>
              </w:rPr>
              <w:t>0-7分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服务网点覆盖到区（县、市）：</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所投标项的区域有承担本项目服务网点的，每个区（县、市）网点得1分，最高得2分。</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服务网点或合作网点覆盖到街道（乡镇）：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供应商所投标项的区域有承担本项目的服务网点或合作网点的，每提供1个街道（乡镇）网点得0.5分，最高得5分。</w:t>
            </w:r>
          </w:p>
          <w:p>
            <w:pPr>
              <w:spacing w:line="440" w:lineRule="exact"/>
              <w:ind w:firstLine="480" w:firstLineChars="200"/>
              <w:rPr>
                <w:rFonts w:hint="eastAsia" w:ascii="仿宋" w:hAnsi="仿宋" w:eastAsia="仿宋" w:cs="仿宋"/>
                <w:bCs/>
                <w:sz w:val="24"/>
                <w:highlight w:val="yellow"/>
              </w:rPr>
            </w:pPr>
            <w:r>
              <w:rPr>
                <w:rFonts w:hint="eastAsia" w:ascii="仿宋" w:hAnsi="仿宋" w:eastAsia="仿宋" w:cs="仿宋"/>
                <w:sz w:val="24"/>
              </w:rPr>
              <w:t>须提供服务网点相关证明材料及合作网点的相关证明材料，否则不得分。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1151" w:type="dxa"/>
            <w:vMerge w:val="continue"/>
            <w:tcBorders>
              <w:left w:val="single" w:color="auto" w:sz="4" w:space="0"/>
              <w:right w:val="single" w:color="auto" w:sz="4" w:space="0"/>
            </w:tcBorders>
            <w:noWrap w:val="0"/>
            <w:vAlign w:val="center"/>
          </w:tcPr>
          <w:p>
            <w:pPr>
              <w:spacing w:line="440" w:lineRule="exact"/>
              <w:rPr>
                <w:rFonts w:hint="eastAsia" w:ascii="仿宋" w:hAnsi="仿宋" w:eastAsia="仿宋" w:cs="仿宋"/>
                <w:bCs/>
                <w:sz w:val="24"/>
              </w:rPr>
            </w:pP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0-</w:t>
            </w:r>
            <w:r>
              <w:rPr>
                <w:rFonts w:hint="eastAsia" w:ascii="仿宋" w:hAnsi="仿宋" w:eastAsia="仿宋" w:cs="仿宋"/>
                <w:bCs/>
                <w:sz w:val="24"/>
                <w:lang w:val="en-US" w:eastAsia="zh-CN"/>
              </w:rPr>
              <w:t>6</w:t>
            </w:r>
            <w:r>
              <w:rPr>
                <w:rFonts w:hint="eastAsia" w:ascii="仿宋" w:hAnsi="仿宋" w:eastAsia="仿宋" w:cs="仿宋"/>
                <w:bCs/>
                <w:sz w:val="24"/>
              </w:rPr>
              <w:t>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2" w:firstLineChars="200"/>
              <w:rPr>
                <w:rFonts w:hint="eastAsia" w:ascii="仿宋" w:hAnsi="仿宋" w:eastAsia="仿宋" w:cs="仿宋"/>
                <w:bCs/>
                <w:sz w:val="24"/>
              </w:rPr>
            </w:pPr>
            <w:r>
              <w:rPr>
                <w:rFonts w:hint="eastAsia" w:ascii="仿宋" w:hAnsi="仿宋" w:eastAsia="仿宋" w:cs="仿宋"/>
                <w:b/>
                <w:bCs/>
                <w:sz w:val="24"/>
              </w:rPr>
              <w:t>承保服务：</w:t>
            </w:r>
            <w:r>
              <w:rPr>
                <w:rFonts w:hint="eastAsia" w:ascii="仿宋" w:hAnsi="仿宋" w:eastAsia="仿宋" w:cs="仿宋"/>
                <w:bCs/>
                <w:sz w:val="24"/>
              </w:rPr>
              <w:t xml:space="preserve">供应商提供上门和其他承保服务的，根据供应商描述上门及其他特色的承保服务方案。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1151"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0-6分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线下理赔服务：</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供应商提供上门和其他便捷理赔服务的，根据供应商描述上门及其他便捷理赔服务方案，最高得3分。</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线上理赔服务：</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供应商提供线上便捷理赔（通用型理赔支付）途径的，根据供应商描述便捷理赔服务方案，最高得3分。</w:t>
            </w:r>
          </w:p>
          <w:p>
            <w:pPr>
              <w:spacing w:line="440" w:lineRule="exact"/>
              <w:rPr>
                <w:rFonts w:hint="eastAsia" w:ascii="仿宋" w:hAnsi="仿宋" w:eastAsia="仿宋" w:cs="仿宋"/>
                <w:b/>
                <w:sz w:val="24"/>
              </w:rPr>
            </w:pPr>
            <w:r>
              <w:rPr>
                <w:rFonts w:hint="eastAsia" w:ascii="仿宋" w:hAnsi="仿宋" w:eastAsia="仿宋" w:cs="仿宋"/>
                <w:bCs/>
                <w:sz w:val="24"/>
              </w:rPr>
              <w:t>（通用型理赔支付主要是指客户经常使用的通用APP等。）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1151"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项目</w:t>
            </w:r>
          </w:p>
          <w:p>
            <w:pPr>
              <w:spacing w:line="440" w:lineRule="exact"/>
              <w:jc w:val="center"/>
              <w:rPr>
                <w:rFonts w:hint="eastAsia" w:ascii="仿宋" w:hAnsi="仿宋" w:eastAsia="仿宋" w:cs="仿宋"/>
                <w:b/>
                <w:bCs/>
                <w:sz w:val="24"/>
              </w:rPr>
            </w:pPr>
            <w:r>
              <w:rPr>
                <w:rFonts w:hint="eastAsia" w:ascii="仿宋" w:hAnsi="仿宋" w:eastAsia="仿宋" w:cs="仿宋"/>
                <w:b/>
                <w:bCs/>
                <w:sz w:val="24"/>
              </w:rPr>
              <w:t>小组</w:t>
            </w: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0-5分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保证项目实施的技术力量和人力资源安排：</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技术力量和人力资源安排是否充足、合理，供应商所投标项的区域有承担本项目技术力量和人力资源安排，承诺每个街道最少配备承保服务专业人员和理赔服务人员10人，得2分，每增加2人加1分，最高得5分。</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【需提供项目小组人员相关证明材料（如劳动合同、代理合同或执业证等），否则不得分】。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1151" w:type="dxa"/>
            <w:tcBorders>
              <w:top w:val="single" w:color="auto" w:sz="4" w:space="0"/>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优惠和承诺</w:t>
            </w:r>
          </w:p>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情况</w:t>
            </w:r>
          </w:p>
        </w:tc>
        <w:tc>
          <w:tcPr>
            <w:tcW w:w="960" w:type="dxa"/>
            <w:tcBorders>
              <w:top w:val="single" w:color="auto" w:sz="4" w:space="0"/>
              <w:left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w:t>
            </w:r>
            <w:r>
              <w:rPr>
                <w:rFonts w:hint="eastAsia" w:ascii="仿宋" w:hAnsi="仿宋" w:eastAsia="仿宋" w:cs="仿宋"/>
                <w:bCs/>
                <w:sz w:val="24"/>
                <w:lang w:val="en-US" w:eastAsia="zh-CN"/>
              </w:rPr>
              <w:t>7</w:t>
            </w:r>
            <w:r>
              <w:rPr>
                <w:rFonts w:hint="eastAsia" w:ascii="仿宋" w:hAnsi="仿宋" w:eastAsia="仿宋" w:cs="仿宋"/>
                <w:bCs/>
                <w:sz w:val="24"/>
              </w:rPr>
              <w:t>分</w:t>
            </w:r>
          </w:p>
        </w:tc>
        <w:tc>
          <w:tcPr>
            <w:tcW w:w="6815" w:type="dxa"/>
            <w:tcBorders>
              <w:top w:val="single" w:color="auto" w:sz="4" w:space="0"/>
              <w:left w:val="single" w:color="auto" w:sz="4" w:space="0"/>
              <w:right w:val="single" w:color="auto" w:sz="4" w:space="0"/>
            </w:tcBorders>
            <w:noWrap w:val="0"/>
            <w:vAlign w:val="center"/>
          </w:tcPr>
          <w:p>
            <w:pPr>
              <w:snapToGrid w:val="0"/>
              <w:spacing w:line="440" w:lineRule="exact"/>
              <w:ind w:firstLine="482" w:firstLineChars="200"/>
              <w:rPr>
                <w:rFonts w:hint="eastAsia" w:ascii="仿宋" w:hAnsi="仿宋" w:eastAsia="仿宋" w:cs="仿宋"/>
                <w:bCs/>
                <w:sz w:val="24"/>
              </w:rPr>
            </w:pPr>
            <w:r>
              <w:rPr>
                <w:rFonts w:hint="eastAsia" w:ascii="仿宋" w:hAnsi="仿宋" w:eastAsia="仿宋" w:cs="仿宋"/>
                <w:b/>
                <w:bCs/>
                <w:sz w:val="24"/>
              </w:rPr>
              <w:t>供应商提出的优惠条件和承诺情况及其可实现程度等</w:t>
            </w:r>
            <w:r>
              <w:rPr>
                <w:rFonts w:hint="eastAsia" w:ascii="仿宋" w:hAnsi="仿宋" w:eastAsia="仿宋" w:cs="仿宋"/>
                <w:bCs/>
                <w:sz w:val="24"/>
              </w:rPr>
              <w:t xml:space="preserve">。根据本项目的实际情况，能够提供的更加有利于本项目投保、理赔等保险服务要求的优惠条件，进行人性化、特色理赔服务及采购文件中未涉及的其他特色服务，根据提供内容的实用性及可行性进行评价。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Cs/>
                <w:sz w:val="24"/>
              </w:rPr>
            </w:pPr>
          </w:p>
        </w:tc>
        <w:tc>
          <w:tcPr>
            <w:tcW w:w="1151" w:type="dxa"/>
            <w:tcBorders>
              <w:top w:val="single" w:color="auto" w:sz="4" w:space="0"/>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培训</w:t>
            </w:r>
          </w:p>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服务</w:t>
            </w:r>
          </w:p>
        </w:tc>
        <w:tc>
          <w:tcPr>
            <w:tcW w:w="960" w:type="dxa"/>
            <w:tcBorders>
              <w:top w:val="single" w:color="auto" w:sz="4" w:space="0"/>
              <w:left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w:t>
            </w:r>
            <w:r>
              <w:rPr>
                <w:rFonts w:hint="eastAsia" w:ascii="仿宋" w:hAnsi="仿宋" w:eastAsia="仿宋" w:cs="仿宋"/>
                <w:bCs/>
                <w:sz w:val="24"/>
                <w:lang w:val="en-US" w:eastAsia="zh-CN"/>
              </w:rPr>
              <w:t>6</w:t>
            </w:r>
            <w:r>
              <w:rPr>
                <w:rFonts w:hint="eastAsia" w:ascii="仿宋" w:hAnsi="仿宋" w:eastAsia="仿宋" w:cs="仿宋"/>
                <w:bCs/>
                <w:sz w:val="24"/>
              </w:rPr>
              <w:t>分</w:t>
            </w:r>
          </w:p>
        </w:tc>
        <w:tc>
          <w:tcPr>
            <w:tcW w:w="6815" w:type="dxa"/>
            <w:tcBorders>
              <w:top w:val="single" w:color="auto" w:sz="4" w:space="0"/>
              <w:left w:val="single" w:color="auto" w:sz="4" w:space="0"/>
              <w:right w:val="single" w:color="auto" w:sz="4" w:space="0"/>
            </w:tcBorders>
            <w:noWrap w:val="0"/>
            <w:vAlign w:val="center"/>
          </w:tcPr>
          <w:p>
            <w:pPr>
              <w:spacing w:line="440" w:lineRule="exact"/>
              <w:ind w:left="4" w:leftChars="2" w:firstLine="480" w:firstLineChars="200"/>
              <w:rPr>
                <w:rFonts w:hint="eastAsia" w:ascii="仿宋" w:hAnsi="仿宋" w:eastAsia="仿宋" w:cs="仿宋"/>
                <w:bCs/>
                <w:sz w:val="24"/>
              </w:rPr>
            </w:pPr>
            <w:r>
              <w:rPr>
                <w:rFonts w:hint="eastAsia" w:ascii="仿宋" w:hAnsi="仿宋" w:eastAsia="仿宋" w:cs="仿宋"/>
                <w:bCs/>
                <w:sz w:val="24"/>
              </w:rPr>
              <w:t>供应商应对采购人、投保人（被保险人）提供合理的、覆盖面广的保险专业培训，确保采购人、投保人（被保险人）充分理解保险、理赔流程等。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spacing w:line="440" w:lineRule="exact"/>
              <w:rPr>
                <w:rFonts w:hint="eastAsia" w:ascii="仿宋" w:hAnsi="仿宋" w:eastAsia="仿宋" w:cs="仿宋"/>
                <w:bCs/>
                <w:sz w:val="24"/>
              </w:rPr>
            </w:pPr>
          </w:p>
        </w:tc>
        <w:tc>
          <w:tcPr>
            <w:tcW w:w="1151"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赔付</w:t>
            </w:r>
          </w:p>
          <w:p>
            <w:pPr>
              <w:spacing w:line="440" w:lineRule="exact"/>
              <w:jc w:val="center"/>
              <w:rPr>
                <w:rFonts w:hint="eastAsia" w:ascii="仿宋" w:hAnsi="仿宋" w:eastAsia="仿宋" w:cs="仿宋"/>
                <w:bCs/>
                <w:sz w:val="24"/>
              </w:rPr>
            </w:pPr>
            <w:r>
              <w:rPr>
                <w:rFonts w:hint="eastAsia" w:ascii="仿宋" w:hAnsi="仿宋" w:eastAsia="仿宋" w:cs="仿宋"/>
                <w:b/>
                <w:bCs/>
                <w:sz w:val="24"/>
              </w:rPr>
              <w:t>时效</w:t>
            </w:r>
          </w:p>
        </w:tc>
        <w:tc>
          <w:tcPr>
            <w:tcW w:w="960" w:type="dxa"/>
            <w:tcBorders>
              <w:top w:val="single" w:color="auto" w:sz="4" w:space="0"/>
              <w:left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0-6分</w:t>
            </w:r>
          </w:p>
        </w:tc>
        <w:tc>
          <w:tcPr>
            <w:tcW w:w="6815" w:type="dxa"/>
            <w:tcBorders>
              <w:top w:val="single" w:color="auto" w:sz="4" w:space="0"/>
              <w:left w:val="single" w:color="auto" w:sz="4" w:space="0"/>
              <w:right w:val="single" w:color="auto" w:sz="4" w:space="0"/>
            </w:tcBorders>
            <w:noWrap w:val="0"/>
            <w:vAlign w:val="center"/>
          </w:tcPr>
          <w:p>
            <w:pPr>
              <w:spacing w:line="440" w:lineRule="exact"/>
              <w:ind w:left="4" w:leftChars="2" w:firstLine="482" w:firstLineChars="200"/>
              <w:rPr>
                <w:rFonts w:hint="eastAsia" w:ascii="仿宋" w:hAnsi="仿宋" w:eastAsia="仿宋" w:cs="仿宋"/>
                <w:b/>
                <w:bCs/>
                <w:sz w:val="24"/>
              </w:rPr>
            </w:pPr>
            <w:r>
              <w:rPr>
                <w:rFonts w:hint="eastAsia" w:ascii="仿宋" w:hAnsi="仿宋" w:eastAsia="仿宋" w:cs="仿宋"/>
                <w:b/>
                <w:bCs/>
                <w:sz w:val="24"/>
              </w:rPr>
              <w:t>在满足招标文件赔付时效要求的基础上：</w:t>
            </w:r>
          </w:p>
          <w:p>
            <w:pPr>
              <w:spacing w:line="440" w:lineRule="exact"/>
              <w:ind w:left="4" w:leftChars="2" w:firstLine="480" w:firstLineChars="200"/>
              <w:rPr>
                <w:rFonts w:hint="eastAsia" w:ascii="仿宋" w:hAnsi="仿宋" w:eastAsia="仿宋" w:cs="仿宋"/>
                <w:bCs/>
                <w:sz w:val="24"/>
              </w:rPr>
            </w:pPr>
            <w:r>
              <w:rPr>
                <w:rFonts w:hint="eastAsia" w:ascii="仿宋" w:hAnsi="仿宋" w:eastAsia="仿宋" w:cs="仿宋"/>
                <w:bCs/>
                <w:sz w:val="24"/>
              </w:rPr>
              <w:t>常规赔付时效，1万元（含）以下赔付时效每减少1个工作日，得2分，最高得2分。</w:t>
            </w:r>
          </w:p>
          <w:p>
            <w:pPr>
              <w:spacing w:line="440" w:lineRule="exact"/>
              <w:ind w:left="4" w:leftChars="2" w:firstLine="480" w:firstLineChars="200"/>
              <w:rPr>
                <w:rFonts w:hint="eastAsia" w:ascii="仿宋" w:hAnsi="仿宋" w:eastAsia="仿宋" w:cs="仿宋"/>
                <w:bCs/>
                <w:sz w:val="24"/>
              </w:rPr>
            </w:pPr>
            <w:r>
              <w:rPr>
                <w:rFonts w:hint="eastAsia" w:ascii="仿宋" w:hAnsi="仿宋" w:eastAsia="仿宋" w:cs="仿宋"/>
                <w:bCs/>
                <w:sz w:val="24"/>
              </w:rPr>
              <w:t xml:space="preserve">常规赔付时效，1万元以上赔付时效每减少1个工作日，得1分，最高得4分。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p>
        </w:tc>
        <w:tc>
          <w:tcPr>
            <w:tcW w:w="1151" w:type="dxa"/>
            <w:vMerge w:val="restart"/>
            <w:tcBorders>
              <w:top w:val="single" w:color="auto" w:sz="4" w:space="0"/>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信息化服务能力</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0-6分</w:t>
            </w:r>
          </w:p>
        </w:tc>
        <w:tc>
          <w:tcPr>
            <w:tcW w:w="6815" w:type="dxa"/>
            <w:tcBorders>
              <w:top w:val="single" w:color="auto" w:sz="4" w:space="0"/>
              <w:left w:val="single" w:color="auto" w:sz="4" w:space="0"/>
              <w:right w:val="single" w:color="auto" w:sz="4" w:space="0"/>
            </w:tcBorders>
            <w:noWrap w:val="0"/>
            <w:vAlign w:val="center"/>
          </w:tcPr>
          <w:p>
            <w:pPr>
              <w:spacing w:line="440" w:lineRule="exact"/>
              <w:ind w:left="4" w:leftChars="2" w:firstLine="480" w:firstLineChars="200"/>
              <w:rPr>
                <w:rFonts w:hint="eastAsia" w:ascii="仿宋" w:hAnsi="仿宋" w:eastAsia="仿宋" w:cs="仿宋"/>
                <w:bCs/>
                <w:sz w:val="24"/>
              </w:rPr>
            </w:pPr>
            <w:r>
              <w:rPr>
                <w:rFonts w:hint="eastAsia" w:ascii="仿宋" w:hAnsi="仿宋" w:eastAsia="仿宋" w:cs="仿宋"/>
                <w:bCs/>
                <w:sz w:val="24"/>
              </w:rPr>
              <w:t xml:space="preserve">保险人核心业务系统须对采购人和保险经纪人开放老年人意外险项目相关业务数据查询权限，满足采购人和保险经纪人对投保、理赔等方面数据的即时查询、核对，可以开放查询权限的得4分，不能开放查询权限的得0分；根据采购人和保险经纪人的要求及时提供相关理赔案件的原始理赔影像资料或现场查询原始理赔影像资料，能够保证及时提供的得2分，不能保证及时提供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p>
        </w:tc>
        <w:tc>
          <w:tcPr>
            <w:tcW w:w="1151" w:type="dxa"/>
            <w:vMerge w:val="continue"/>
            <w:tcBorders>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0-6分</w:t>
            </w:r>
          </w:p>
        </w:tc>
        <w:tc>
          <w:tcPr>
            <w:tcW w:w="6815" w:type="dxa"/>
            <w:tcBorders>
              <w:top w:val="single" w:color="auto" w:sz="4" w:space="0"/>
              <w:left w:val="single" w:color="auto" w:sz="4" w:space="0"/>
              <w:right w:val="single" w:color="auto" w:sz="4" w:space="0"/>
            </w:tcBorders>
            <w:noWrap w:val="0"/>
            <w:vAlign w:val="center"/>
          </w:tcPr>
          <w:p>
            <w:pPr>
              <w:spacing w:line="440" w:lineRule="exact"/>
              <w:ind w:left="4" w:leftChars="2" w:firstLine="482" w:firstLineChars="200"/>
              <w:rPr>
                <w:rFonts w:hint="eastAsia" w:ascii="仿宋" w:hAnsi="仿宋" w:eastAsia="仿宋" w:cs="仿宋"/>
                <w:b/>
                <w:bCs/>
                <w:sz w:val="24"/>
              </w:rPr>
            </w:pPr>
            <w:r>
              <w:rPr>
                <w:rFonts w:hint="eastAsia" w:ascii="仿宋" w:hAnsi="仿宋" w:eastAsia="仿宋" w:cs="仿宋"/>
                <w:b/>
                <w:bCs/>
                <w:sz w:val="24"/>
              </w:rPr>
              <w:t>老年人保险业务系统匹配：</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供应商必须对接《湖州市老年人意外伤害统筹保险》业务查询系统，满足投保人对投保、理赔等方面数据的即时查询、统计需求。供应商需提供湖州市老年人意外伤害保险业务系统对接方案，根据方案进行评价，综合考虑数据准确性、及时性，成熟情况，人力配备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p>
        </w:tc>
        <w:tc>
          <w:tcPr>
            <w:tcW w:w="1151" w:type="dxa"/>
            <w:vMerge w:val="restart"/>
            <w:tcBorders>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推广</w:t>
            </w:r>
          </w:p>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能力</w:t>
            </w:r>
          </w:p>
          <w:p>
            <w:pPr>
              <w:spacing w:line="440" w:lineRule="exact"/>
              <w:ind w:left="5" w:hanging="5" w:hangingChars="2"/>
              <w:jc w:val="center"/>
              <w:rPr>
                <w:rFonts w:hint="eastAsia" w:ascii="仿宋" w:hAnsi="仿宋" w:eastAsia="仿宋" w:cs="仿宋"/>
                <w:b/>
                <w:bCs/>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u w:val="single"/>
              </w:rPr>
            </w:pPr>
            <w:r>
              <w:rPr>
                <w:rFonts w:hint="eastAsia" w:ascii="仿宋" w:hAnsi="仿宋" w:eastAsia="仿宋" w:cs="仿宋"/>
                <w:bCs/>
                <w:sz w:val="24"/>
              </w:rPr>
              <w:t>0-6分</w:t>
            </w:r>
          </w:p>
        </w:tc>
        <w:tc>
          <w:tcPr>
            <w:tcW w:w="6815" w:type="dxa"/>
            <w:tcBorders>
              <w:left w:val="single" w:color="auto" w:sz="4" w:space="0"/>
              <w:bottom w:val="single" w:color="auto" w:sz="4" w:space="0"/>
              <w:right w:val="single" w:color="auto" w:sz="4" w:space="0"/>
            </w:tcBorders>
            <w:noWrap w:val="0"/>
            <w:vAlign w:val="center"/>
          </w:tcPr>
          <w:p>
            <w:pPr>
              <w:spacing w:line="440" w:lineRule="exact"/>
              <w:ind w:left="4" w:leftChars="2" w:firstLine="482" w:firstLineChars="200"/>
              <w:rPr>
                <w:rFonts w:hint="eastAsia" w:ascii="仿宋" w:hAnsi="仿宋" w:eastAsia="仿宋" w:cs="仿宋"/>
                <w:b/>
                <w:sz w:val="24"/>
              </w:rPr>
            </w:pPr>
            <w:r>
              <w:rPr>
                <w:rFonts w:hint="eastAsia" w:ascii="仿宋" w:hAnsi="仿宋" w:eastAsia="仿宋" w:cs="仿宋"/>
                <w:b/>
                <w:sz w:val="24"/>
              </w:rPr>
              <w:t>互联网推广方案</w:t>
            </w:r>
          </w:p>
          <w:p>
            <w:pPr>
              <w:spacing w:line="440" w:lineRule="exact"/>
              <w:ind w:left="4" w:leftChars="2" w:firstLine="480" w:firstLineChars="200"/>
              <w:rPr>
                <w:rFonts w:hint="eastAsia" w:ascii="仿宋" w:hAnsi="仿宋" w:eastAsia="仿宋" w:cs="仿宋"/>
                <w:b/>
                <w:bCs/>
                <w:sz w:val="24"/>
                <w:u w:val="single"/>
              </w:rPr>
            </w:pPr>
            <w:r>
              <w:rPr>
                <w:rFonts w:hint="eastAsia" w:ascii="仿宋" w:hAnsi="仿宋" w:eastAsia="仿宋" w:cs="仿宋"/>
                <w:bCs/>
                <w:sz w:val="24"/>
              </w:rPr>
              <w:t>针对老年人意外伤害保险人群制定具体互联网推广方案，制定工作目标，提供互联网线上承保、理赔流程，根据方案详细程度、预期效果、可行性等进行评价。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3" w:type="dxa"/>
            <w:vMerge w:val="continue"/>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p>
        </w:tc>
        <w:tc>
          <w:tcPr>
            <w:tcW w:w="1151" w:type="dxa"/>
            <w:vMerge w:val="continue"/>
            <w:tcBorders>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p>
        </w:tc>
        <w:tc>
          <w:tcPr>
            <w:tcW w:w="960" w:type="dxa"/>
            <w:tcBorders>
              <w:top w:val="single" w:color="auto" w:sz="4" w:space="0"/>
              <w:left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0-6分</w:t>
            </w:r>
          </w:p>
        </w:tc>
        <w:tc>
          <w:tcPr>
            <w:tcW w:w="6815" w:type="dxa"/>
            <w:tcBorders>
              <w:top w:val="single" w:color="auto" w:sz="4" w:space="0"/>
              <w:left w:val="single" w:color="auto" w:sz="4" w:space="0"/>
              <w:right w:val="single" w:color="auto" w:sz="4" w:space="0"/>
            </w:tcBorders>
            <w:noWrap w:val="0"/>
            <w:vAlign w:val="center"/>
          </w:tcPr>
          <w:p>
            <w:pPr>
              <w:tabs>
                <w:tab w:val="left" w:pos="0"/>
              </w:tabs>
              <w:spacing w:line="440" w:lineRule="exact"/>
              <w:ind w:firstLine="482" w:firstLineChars="200"/>
              <w:rPr>
                <w:rFonts w:hint="eastAsia" w:ascii="仿宋" w:hAnsi="仿宋" w:eastAsia="仿宋" w:cs="仿宋"/>
                <w:b/>
                <w:sz w:val="24"/>
              </w:rPr>
            </w:pPr>
            <w:r>
              <w:rPr>
                <w:rFonts w:hint="eastAsia" w:ascii="仿宋" w:hAnsi="仿宋" w:eastAsia="仿宋" w:cs="仿宋"/>
                <w:b/>
                <w:sz w:val="24"/>
              </w:rPr>
              <w:t>线下推广方案</w:t>
            </w:r>
          </w:p>
          <w:p>
            <w:pPr>
              <w:tabs>
                <w:tab w:val="left" w:pos="0"/>
              </w:tabs>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针对老年人意外伤害保险人群制定具体线下推广方案，制定工作目标，并承诺购买保险人数达到常住老年人口总数的比率等。根据方案详细程度、预期效果、可行性等进行评价。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33" w:type="dxa"/>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p>
        </w:tc>
        <w:tc>
          <w:tcPr>
            <w:tcW w:w="1151" w:type="dxa"/>
            <w:tcBorders>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sz w:val="24"/>
              </w:rPr>
              <w:t>系统错误数据整改时效</w:t>
            </w:r>
          </w:p>
        </w:tc>
        <w:tc>
          <w:tcPr>
            <w:tcW w:w="960" w:type="dxa"/>
            <w:tcBorders>
              <w:top w:val="single" w:color="auto" w:sz="4" w:space="0"/>
              <w:left w:val="single" w:color="auto" w:sz="4" w:space="0"/>
              <w:right w:val="single" w:color="auto" w:sz="4" w:space="0"/>
            </w:tcBorders>
            <w:noWrap w:val="0"/>
            <w:vAlign w:val="center"/>
          </w:tcPr>
          <w:p>
            <w:pPr>
              <w:spacing w:line="440" w:lineRule="exact"/>
              <w:ind w:left="5" w:hanging="4" w:hangingChars="2"/>
              <w:jc w:val="center"/>
              <w:rPr>
                <w:rFonts w:hint="eastAsia" w:ascii="仿宋" w:hAnsi="仿宋" w:eastAsia="仿宋" w:cs="仿宋"/>
                <w:bCs/>
                <w:sz w:val="24"/>
              </w:rPr>
            </w:pPr>
            <w:r>
              <w:rPr>
                <w:rFonts w:hint="eastAsia" w:ascii="仿宋" w:hAnsi="仿宋" w:eastAsia="仿宋" w:cs="仿宋"/>
                <w:bCs/>
                <w:sz w:val="24"/>
              </w:rPr>
              <w:t>0-2分</w:t>
            </w:r>
          </w:p>
        </w:tc>
        <w:tc>
          <w:tcPr>
            <w:tcW w:w="6815" w:type="dxa"/>
            <w:tcBorders>
              <w:top w:val="single" w:color="auto" w:sz="4" w:space="0"/>
              <w:left w:val="single" w:color="auto" w:sz="4" w:space="0"/>
              <w:right w:val="single" w:color="auto" w:sz="4" w:space="0"/>
            </w:tcBorders>
            <w:noWrap w:val="0"/>
            <w:vAlign w:val="center"/>
          </w:tcPr>
          <w:p>
            <w:pPr>
              <w:tabs>
                <w:tab w:val="left" w:pos="0"/>
              </w:tabs>
              <w:spacing w:line="440" w:lineRule="exact"/>
              <w:rPr>
                <w:rFonts w:hint="eastAsia" w:ascii="仿宋" w:hAnsi="仿宋" w:eastAsia="仿宋" w:cs="仿宋"/>
                <w:sz w:val="24"/>
              </w:rPr>
            </w:pPr>
            <w:r>
              <w:rPr>
                <w:rFonts w:hint="eastAsia" w:ascii="仿宋" w:hAnsi="仿宋" w:eastAsia="仿宋" w:cs="仿宋"/>
                <w:sz w:val="24"/>
              </w:rPr>
              <w:t>供应商承诺数据传输错误时，6小时内完成整改的得2分，12小时内完成整改的得1.5分，18小时内完成整改的得1分，24小时内完成整改的得0.5分，24小时及以上完成整改的不得分。</w:t>
            </w:r>
          </w:p>
          <w:p>
            <w:pPr>
              <w:tabs>
                <w:tab w:val="left" w:pos="0"/>
              </w:tabs>
              <w:spacing w:line="440" w:lineRule="exact"/>
              <w:ind w:firstLine="482" w:firstLineChars="200"/>
              <w:rPr>
                <w:rFonts w:hint="eastAsia" w:ascii="仿宋" w:hAnsi="仿宋" w:eastAsia="仿宋" w:cs="仿宋"/>
                <w:b/>
                <w:sz w:val="24"/>
              </w:rPr>
            </w:pPr>
            <w:r>
              <w:rPr>
                <w:rFonts w:hint="eastAsia" w:ascii="仿宋" w:hAnsi="仿宋" w:eastAsia="仿宋" w:cs="仿宋"/>
                <w:b/>
                <w:sz w:val="24"/>
              </w:rPr>
              <w:t>需提供错误数据整改时效性方案，否则不得分。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933" w:type="dxa"/>
            <w:vMerge w:val="restart"/>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
                <w:bCs/>
                <w:sz w:val="24"/>
                <w:lang w:eastAsia="zh-CN"/>
              </w:rPr>
              <w:t>商务资信</w:t>
            </w:r>
            <w:r>
              <w:rPr>
                <w:rFonts w:hint="eastAsia" w:ascii="仿宋" w:hAnsi="仿宋" w:eastAsia="仿宋" w:cs="仿宋"/>
                <w:b/>
                <w:bCs/>
                <w:sz w:val="24"/>
                <w:lang w:val="en-US" w:eastAsia="zh-CN"/>
              </w:rPr>
              <w:t>9</w:t>
            </w:r>
            <w:r>
              <w:rPr>
                <w:rFonts w:hint="eastAsia" w:ascii="仿宋" w:hAnsi="仿宋" w:eastAsia="仿宋" w:cs="仿宋"/>
                <w:b/>
                <w:bCs/>
                <w:sz w:val="24"/>
              </w:rPr>
              <w:t>分</w:t>
            </w:r>
          </w:p>
        </w:tc>
        <w:tc>
          <w:tcPr>
            <w:tcW w:w="1151"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bCs/>
                <w:sz w:val="24"/>
              </w:rPr>
              <w:t>偿付能力充足率</w:t>
            </w: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0-3分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0" w:firstLineChars="200"/>
              <w:rPr>
                <w:rFonts w:hint="eastAsia" w:ascii="仿宋" w:hAnsi="仿宋" w:eastAsia="仿宋" w:cs="仿宋"/>
                <w:bCs/>
                <w:sz w:val="24"/>
              </w:rPr>
            </w:pPr>
            <w:r>
              <w:rPr>
                <w:rFonts w:hint="eastAsia" w:ascii="仿宋" w:hAnsi="仿宋" w:eastAsia="仿宋" w:cs="仿宋"/>
                <w:color w:val="000000"/>
                <w:sz w:val="24"/>
              </w:rPr>
              <w:t>评审根据供应商提供的</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年第</w:t>
            </w:r>
            <w:r>
              <w:rPr>
                <w:rFonts w:hint="eastAsia" w:ascii="仿宋" w:hAnsi="仿宋" w:eastAsia="仿宋" w:cs="仿宋"/>
                <w:sz w:val="24"/>
                <w:lang w:val="en-US" w:eastAsia="zh-CN"/>
              </w:rPr>
              <w:t>四</w:t>
            </w:r>
            <w:r>
              <w:rPr>
                <w:rFonts w:hint="eastAsia" w:ascii="仿宋" w:hAnsi="仿宋" w:eastAsia="仿宋" w:cs="仿宋"/>
                <w:sz w:val="24"/>
              </w:rPr>
              <w:t>季度“综合偿付能力充足率”进行评分：</w:t>
            </w:r>
            <w:r>
              <w:rPr>
                <w:rFonts w:hint="eastAsia" w:ascii="仿宋" w:hAnsi="仿宋" w:eastAsia="仿宋" w:cs="仿宋"/>
                <w:bCs/>
                <w:sz w:val="24"/>
              </w:rPr>
              <w:t>综合偿付能力高于200%的，得3分；综合偿付能力在150%（含）到200%（含）之间的，得1.5分；综合偿付能力充足率低于150%的，得0分。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提供中国保险行业协会官网公布的财产险公司或人身险公司“202</w:t>
            </w:r>
            <w:r>
              <w:rPr>
                <w:rFonts w:hint="eastAsia" w:ascii="仿宋" w:hAnsi="仿宋" w:eastAsia="仿宋" w:cs="仿宋"/>
                <w:sz w:val="24"/>
                <w:lang w:val="en-US" w:eastAsia="zh-CN"/>
              </w:rPr>
              <w:t>2</w:t>
            </w:r>
            <w:r>
              <w:rPr>
                <w:rFonts w:hint="eastAsia" w:ascii="仿宋" w:hAnsi="仿宋" w:eastAsia="仿宋" w:cs="仿宋"/>
                <w:sz w:val="24"/>
              </w:rPr>
              <w:t>年第4季度偿付能力报告摘要.PDF”</w:t>
            </w:r>
            <w:r>
              <w:rPr>
                <w:rFonts w:hint="eastAsia" w:ascii="仿宋" w:hAnsi="仿宋" w:eastAsia="仿宋" w:cs="仿宋"/>
                <w:color w:val="000000"/>
                <w:sz w:val="24"/>
              </w:rPr>
              <w:t>打印件并加盖供应商公章。不提供不得分。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33" w:type="dxa"/>
            <w:vMerge w:val="continue"/>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
                <w:bCs/>
                <w:sz w:val="24"/>
              </w:rPr>
            </w:pPr>
          </w:p>
        </w:tc>
        <w:tc>
          <w:tcPr>
            <w:tcW w:w="1151"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项目实施经验</w:t>
            </w: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1</w:t>
            </w:r>
            <w:r>
              <w:rPr>
                <w:rFonts w:hint="eastAsia" w:ascii="仿宋" w:hAnsi="仿宋" w:eastAsia="仿宋" w:cs="仿宋"/>
                <w:sz w:val="24"/>
              </w:rPr>
              <w:t>分</w:t>
            </w:r>
          </w:p>
        </w:tc>
        <w:tc>
          <w:tcPr>
            <w:tcW w:w="6815" w:type="dxa"/>
            <w:tcBorders>
              <w:left w:val="single" w:color="auto" w:sz="4" w:space="0"/>
              <w:right w:val="single" w:color="auto" w:sz="4" w:space="0"/>
            </w:tcBorders>
            <w:noWrap w:val="0"/>
            <w:vAlign w:val="center"/>
          </w:tcPr>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投标人及其下属分支机构近三年（2020年1月1日至今，以合同签订时间为准）承担的老年人意外伤害保险项目，每一项得0.5分，最高1分。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提供保险合同复印件。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933" w:type="dxa"/>
            <w:vMerge w:val="continue"/>
            <w:tcBorders>
              <w:left w:val="single" w:color="auto" w:sz="4" w:space="0"/>
              <w:right w:val="single" w:color="auto" w:sz="4" w:space="0"/>
            </w:tcBorders>
            <w:noWrap w:val="0"/>
            <w:vAlign w:val="center"/>
          </w:tcPr>
          <w:p>
            <w:pPr>
              <w:widowControl/>
              <w:spacing w:line="440" w:lineRule="exact"/>
              <w:jc w:val="center"/>
              <w:rPr>
                <w:rFonts w:hint="eastAsia" w:ascii="仿宋" w:hAnsi="仿宋" w:eastAsia="仿宋" w:cs="仿宋"/>
                <w:bCs/>
                <w:sz w:val="24"/>
              </w:rPr>
            </w:pPr>
          </w:p>
        </w:tc>
        <w:tc>
          <w:tcPr>
            <w:tcW w:w="1151" w:type="dxa"/>
            <w:tcBorders>
              <w:left w:val="single" w:color="auto" w:sz="4" w:space="0"/>
              <w:right w:val="single" w:color="auto" w:sz="4" w:space="0"/>
            </w:tcBorders>
            <w:noWrap w:val="0"/>
            <w:vAlign w:val="center"/>
          </w:tcPr>
          <w:p>
            <w:pPr>
              <w:spacing w:line="440" w:lineRule="exact"/>
              <w:ind w:left="5" w:hanging="5" w:hangingChars="2"/>
              <w:jc w:val="center"/>
              <w:rPr>
                <w:rFonts w:hint="eastAsia" w:ascii="仿宋" w:hAnsi="仿宋" w:eastAsia="仿宋" w:cs="仿宋"/>
                <w:b/>
                <w:bCs/>
                <w:sz w:val="24"/>
              </w:rPr>
            </w:pPr>
            <w:r>
              <w:rPr>
                <w:rFonts w:hint="eastAsia" w:ascii="仿宋" w:hAnsi="仿宋" w:eastAsia="仿宋" w:cs="仿宋"/>
                <w:b/>
                <w:bCs/>
                <w:sz w:val="24"/>
              </w:rPr>
              <w:t>亿元保费投诉量</w:t>
            </w:r>
          </w:p>
        </w:tc>
        <w:tc>
          <w:tcPr>
            <w:tcW w:w="96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0-3分</w:t>
            </w:r>
          </w:p>
        </w:tc>
        <w:tc>
          <w:tcPr>
            <w:tcW w:w="6815" w:type="dxa"/>
            <w:tcBorders>
              <w:top w:val="single" w:color="auto" w:sz="4" w:space="0"/>
              <w:left w:val="single" w:color="auto" w:sz="4" w:space="0"/>
              <w:right w:val="single" w:color="auto" w:sz="4" w:space="0"/>
            </w:tcBorders>
            <w:noWrap w:val="0"/>
            <w:vAlign w:val="center"/>
          </w:tcPr>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投标人及其下属分支机在湖州市、县区范围内</w:t>
            </w:r>
            <w:r>
              <w:rPr>
                <w:rFonts w:hint="eastAsia" w:ascii="仿宋" w:hAnsi="仿宋" w:eastAsia="仿宋" w:cs="仿宋"/>
                <w:sz w:val="24"/>
                <w:lang w:val="en-US" w:eastAsia="zh-CN"/>
              </w:rPr>
              <w:t>2022年度</w:t>
            </w:r>
            <w:r>
              <w:rPr>
                <w:rFonts w:hint="eastAsia" w:ascii="仿宋" w:hAnsi="仿宋" w:eastAsia="仿宋" w:cs="仿宋"/>
                <w:sz w:val="24"/>
              </w:rPr>
              <w:t>的“亿元保费投诉量”评分，</w:t>
            </w:r>
            <w:r>
              <w:rPr>
                <w:rFonts w:hint="eastAsia" w:ascii="仿宋" w:hAnsi="仿宋" w:eastAsia="仿宋" w:cs="仿宋"/>
                <w:sz w:val="24"/>
                <w:lang w:val="en-US" w:eastAsia="zh-CN"/>
              </w:rPr>
              <w:t>4</w:t>
            </w:r>
            <w:r>
              <w:rPr>
                <w:rFonts w:hint="eastAsia" w:ascii="仿宋" w:hAnsi="仿宋" w:eastAsia="仿宋" w:cs="仿宋"/>
                <w:sz w:val="24"/>
              </w:rPr>
              <w:t>（含）件以下的得3分，</w:t>
            </w:r>
            <w:r>
              <w:rPr>
                <w:rFonts w:hint="eastAsia" w:ascii="仿宋" w:hAnsi="仿宋" w:eastAsia="仿宋" w:cs="仿宋"/>
                <w:sz w:val="24"/>
                <w:lang w:val="en-US" w:eastAsia="zh-CN"/>
              </w:rPr>
              <w:t>4-6</w:t>
            </w:r>
            <w:r>
              <w:rPr>
                <w:rFonts w:hint="eastAsia" w:ascii="仿宋" w:hAnsi="仿宋" w:eastAsia="仿宋" w:cs="仿宋"/>
                <w:sz w:val="24"/>
              </w:rPr>
              <w:t>(含)件的得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val="en-US" w:eastAsia="zh-CN"/>
              </w:rPr>
              <w:t>7-9</w:t>
            </w:r>
            <w:r>
              <w:rPr>
                <w:rFonts w:hint="eastAsia" w:ascii="仿宋" w:hAnsi="仿宋" w:eastAsia="仿宋" w:cs="仿宋"/>
                <w:sz w:val="24"/>
              </w:rPr>
              <w:t>（含）件的得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10</w:t>
            </w:r>
            <w:r>
              <w:rPr>
                <w:rFonts w:hint="eastAsia" w:ascii="仿宋" w:hAnsi="仿宋" w:eastAsia="仿宋" w:cs="仿宋"/>
                <w:sz w:val="24"/>
              </w:rPr>
              <w:t>（含）</w:t>
            </w:r>
            <w:r>
              <w:rPr>
                <w:rFonts w:hint="eastAsia" w:ascii="仿宋" w:hAnsi="仿宋" w:eastAsia="仿宋" w:cs="仿宋"/>
                <w:sz w:val="24"/>
                <w:lang w:val="en-US" w:eastAsia="zh-CN"/>
              </w:rPr>
              <w:t>件</w:t>
            </w:r>
            <w:r>
              <w:rPr>
                <w:rFonts w:hint="eastAsia" w:ascii="仿宋" w:hAnsi="仿宋" w:eastAsia="仿宋" w:cs="仿宋"/>
                <w:sz w:val="24"/>
              </w:rPr>
              <w:t>以上的不得分。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投标单位提供：中国银保监网站查询的在湖州当地机构近三年受到银保监局处罚记录的截图。</w:t>
            </w:r>
          </w:p>
        </w:tc>
      </w:tr>
    </w:tbl>
    <w:p>
      <w:pPr>
        <w:rPr>
          <w:rFonts w:hint="eastAsia" w:ascii="仿宋" w:hAnsi="仿宋" w:eastAsia="仿宋" w:cs="仿宋"/>
        </w:rPr>
      </w:pPr>
      <w:r>
        <w:rPr>
          <w:rFonts w:hint="eastAsia" w:ascii="仿宋" w:hAnsi="仿宋" w:eastAsia="仿宋" w:cs="仿宋"/>
          <w:b/>
          <w:kern w:val="0"/>
          <w:sz w:val="24"/>
        </w:rPr>
        <w:br w:type="page"/>
      </w:r>
    </w:p>
    <w:p>
      <w:pPr>
        <w:snapToGrid w:val="0"/>
        <w:spacing w:line="400" w:lineRule="exact"/>
        <w:ind w:firstLine="602" w:firstLineChars="200"/>
        <w:jc w:val="center"/>
        <w:rPr>
          <w:rFonts w:hint="eastAsia" w:ascii="仿宋" w:hAnsi="仿宋" w:eastAsia="仿宋" w:cs="仿宋"/>
          <w:b/>
          <w:sz w:val="30"/>
          <w:szCs w:val="30"/>
        </w:rPr>
      </w:pPr>
      <w:r>
        <w:rPr>
          <w:rFonts w:hint="eastAsia" w:ascii="仿宋" w:hAnsi="仿宋" w:eastAsia="仿宋" w:cs="仿宋"/>
          <w:b/>
          <w:sz w:val="30"/>
          <w:szCs w:val="30"/>
        </w:rPr>
        <w:t>第五章 合同主要条款</w:t>
      </w:r>
    </w:p>
    <w:p>
      <w:pPr>
        <w:spacing w:line="360" w:lineRule="auto"/>
        <w:jc w:val="center"/>
        <w:rPr>
          <w:rFonts w:hint="eastAsia" w:ascii="仿宋" w:hAnsi="仿宋" w:eastAsia="仿宋" w:cs="仿宋"/>
          <w:b/>
          <w:sz w:val="32"/>
          <w:szCs w:val="32"/>
        </w:rPr>
      </w:pPr>
      <w:r>
        <w:rPr>
          <w:rFonts w:hint="eastAsia" w:ascii="仿宋" w:hAnsi="仿宋" w:eastAsia="仿宋" w:cs="仿宋"/>
          <w:color w:val="000000"/>
          <w:szCs w:val="28"/>
        </w:rPr>
        <w:tab/>
      </w:r>
      <w:r>
        <w:rPr>
          <w:rFonts w:hint="eastAsia" w:ascii="仿宋" w:hAnsi="仿宋" w:eastAsia="仿宋" w:cs="仿宋"/>
          <w:b/>
          <w:sz w:val="32"/>
          <w:szCs w:val="32"/>
        </w:rPr>
        <w:t>采购合同（样本）</w:t>
      </w:r>
    </w:p>
    <w:p>
      <w:pPr>
        <w:spacing w:line="360" w:lineRule="auto"/>
        <w:ind w:right="420"/>
        <w:jc w:val="center"/>
        <w:rPr>
          <w:rFonts w:hint="eastAsia" w:ascii="仿宋" w:hAnsi="仿宋" w:eastAsia="仿宋" w:cs="仿宋"/>
          <w:kern w:val="0"/>
          <w:szCs w:val="21"/>
        </w:rPr>
      </w:pPr>
      <w:r>
        <w:rPr>
          <w:rFonts w:hint="eastAsia" w:ascii="仿宋" w:hAnsi="仿宋" w:eastAsia="仿宋" w:cs="仿宋"/>
          <w:b/>
          <w:szCs w:val="21"/>
        </w:rPr>
        <w:t xml:space="preserve">                                              </w:t>
      </w:r>
      <w:r>
        <w:rPr>
          <w:rFonts w:hint="eastAsia" w:ascii="仿宋" w:hAnsi="仿宋" w:eastAsia="仿宋" w:cs="仿宋"/>
          <w:b/>
          <w:sz w:val="24"/>
        </w:rPr>
        <w:t>合同编号：</w:t>
      </w:r>
      <w:r>
        <w:rPr>
          <w:rFonts w:hint="eastAsia" w:ascii="仿宋" w:hAnsi="仿宋" w:eastAsia="仿宋" w:cs="仿宋"/>
          <w:kern w:val="0"/>
          <w:sz w:val="24"/>
        </w:rPr>
        <w:t xml:space="preserve"> </w:t>
      </w:r>
    </w:p>
    <w:p>
      <w:pPr>
        <w:spacing w:line="500" w:lineRule="exact"/>
        <w:rPr>
          <w:rFonts w:hint="eastAsia" w:ascii="仿宋" w:hAnsi="仿宋" w:eastAsia="仿宋" w:cs="仿宋"/>
          <w:b/>
          <w:bCs/>
          <w:kern w:val="0"/>
          <w:sz w:val="21"/>
          <w:szCs w:val="21"/>
        </w:rPr>
      </w:pPr>
      <w:r>
        <w:rPr>
          <w:rFonts w:hint="eastAsia" w:ascii="仿宋" w:hAnsi="仿宋" w:eastAsia="仿宋" w:cs="仿宋"/>
          <w:b/>
          <w:bCs/>
          <w:kern w:val="0"/>
          <w:sz w:val="21"/>
          <w:szCs w:val="21"/>
        </w:rPr>
        <w:t xml:space="preserve">甲  方：（采  购  人） </w:t>
      </w:r>
    </w:p>
    <w:p>
      <w:pPr>
        <w:spacing w:line="500" w:lineRule="exact"/>
        <w:rPr>
          <w:rFonts w:hint="eastAsia" w:ascii="仿宋" w:hAnsi="仿宋" w:eastAsia="仿宋" w:cs="仿宋"/>
          <w:kern w:val="0"/>
          <w:sz w:val="21"/>
          <w:szCs w:val="21"/>
        </w:rPr>
      </w:pPr>
      <w:r>
        <w:rPr>
          <w:rFonts w:hint="eastAsia" w:ascii="仿宋" w:hAnsi="仿宋" w:eastAsia="仿宋" w:cs="仿宋"/>
          <w:b/>
          <w:bCs/>
          <w:kern w:val="0"/>
          <w:sz w:val="21"/>
          <w:szCs w:val="21"/>
        </w:rPr>
        <w:t>名  称：</w:t>
      </w:r>
      <w:r>
        <w:rPr>
          <w:rFonts w:hint="eastAsia" w:ascii="仿宋" w:hAnsi="仿宋" w:eastAsia="仿宋" w:cs="仿宋"/>
          <w:kern w:val="0"/>
          <w:sz w:val="21"/>
          <w:szCs w:val="21"/>
        </w:rPr>
        <w:t xml:space="preserve">湖州市民政局 </w:t>
      </w:r>
    </w:p>
    <w:p>
      <w:pPr>
        <w:spacing w:line="500" w:lineRule="exact"/>
        <w:rPr>
          <w:rFonts w:hint="eastAsia" w:ascii="仿宋" w:hAnsi="仿宋" w:eastAsia="仿宋" w:cs="仿宋"/>
          <w:sz w:val="21"/>
          <w:szCs w:val="21"/>
        </w:rPr>
      </w:pPr>
      <w:r>
        <w:rPr>
          <w:rFonts w:hint="eastAsia" w:ascii="仿宋" w:hAnsi="仿宋" w:eastAsia="仿宋" w:cs="仿宋"/>
          <w:b/>
          <w:sz w:val="21"/>
          <w:szCs w:val="21"/>
        </w:rPr>
        <w:t>地  址</w:t>
      </w:r>
      <w:r>
        <w:rPr>
          <w:rFonts w:hint="eastAsia" w:ascii="仿宋" w:hAnsi="仿宋" w:eastAsia="仿宋" w:cs="仿宋"/>
          <w:sz w:val="21"/>
          <w:szCs w:val="21"/>
        </w:rPr>
        <w:t>：</w:t>
      </w:r>
      <w:r>
        <w:rPr>
          <w:rFonts w:hint="eastAsia" w:ascii="仿宋" w:hAnsi="仿宋" w:eastAsia="仿宋" w:cs="仿宋"/>
          <w:kern w:val="0"/>
          <w:sz w:val="21"/>
          <w:szCs w:val="21"/>
        </w:rPr>
        <w:t>湖州市金盖山路66号</w:t>
      </w:r>
    </w:p>
    <w:p>
      <w:pPr>
        <w:spacing w:line="500" w:lineRule="exact"/>
        <w:rPr>
          <w:rFonts w:hint="eastAsia" w:ascii="仿宋" w:hAnsi="仿宋" w:eastAsia="仿宋" w:cs="仿宋"/>
          <w:sz w:val="21"/>
          <w:szCs w:val="21"/>
        </w:rPr>
      </w:pPr>
    </w:p>
    <w:p>
      <w:pPr>
        <w:spacing w:line="500" w:lineRule="exact"/>
        <w:rPr>
          <w:rFonts w:hint="eastAsia" w:ascii="仿宋" w:hAnsi="仿宋" w:eastAsia="仿宋" w:cs="仿宋"/>
          <w:b/>
          <w:bCs/>
          <w:kern w:val="0"/>
          <w:sz w:val="21"/>
          <w:szCs w:val="21"/>
        </w:rPr>
      </w:pPr>
      <w:r>
        <w:rPr>
          <w:rFonts w:hint="eastAsia" w:ascii="仿宋" w:hAnsi="仿宋" w:eastAsia="仿宋" w:cs="仿宋"/>
          <w:b/>
          <w:bCs/>
          <w:kern w:val="0"/>
          <w:sz w:val="21"/>
          <w:szCs w:val="21"/>
        </w:rPr>
        <w:t>乙  方：（保  险  人）</w:t>
      </w:r>
    </w:p>
    <w:p>
      <w:pPr>
        <w:spacing w:line="500" w:lineRule="exact"/>
        <w:rPr>
          <w:rFonts w:hint="eastAsia" w:ascii="仿宋" w:hAnsi="仿宋" w:eastAsia="仿宋" w:cs="仿宋"/>
          <w:sz w:val="21"/>
          <w:szCs w:val="21"/>
        </w:rPr>
      </w:pPr>
      <w:r>
        <w:rPr>
          <w:rFonts w:hint="eastAsia" w:ascii="仿宋" w:hAnsi="仿宋" w:eastAsia="仿宋" w:cs="仿宋"/>
          <w:b/>
          <w:bCs/>
          <w:kern w:val="0"/>
          <w:sz w:val="21"/>
          <w:szCs w:val="21"/>
        </w:rPr>
        <w:t>名  称：</w:t>
      </w:r>
    </w:p>
    <w:p>
      <w:pPr>
        <w:spacing w:line="500" w:lineRule="exact"/>
        <w:rPr>
          <w:rFonts w:hint="eastAsia" w:ascii="仿宋" w:hAnsi="仿宋" w:eastAsia="仿宋" w:cs="仿宋"/>
          <w:b/>
          <w:bCs/>
          <w:kern w:val="0"/>
          <w:sz w:val="21"/>
          <w:szCs w:val="21"/>
        </w:rPr>
      </w:pPr>
      <w:r>
        <w:rPr>
          <w:rFonts w:hint="eastAsia" w:ascii="仿宋" w:hAnsi="仿宋" w:eastAsia="仿宋" w:cs="仿宋"/>
          <w:b/>
          <w:bCs/>
          <w:kern w:val="0"/>
          <w:sz w:val="21"/>
          <w:szCs w:val="21"/>
        </w:rPr>
        <w:t xml:space="preserve">地  址： </w:t>
      </w:r>
    </w:p>
    <w:p>
      <w:pPr>
        <w:spacing w:line="500" w:lineRule="exact"/>
        <w:rPr>
          <w:rFonts w:hint="eastAsia" w:ascii="仿宋" w:hAnsi="仿宋" w:eastAsia="仿宋" w:cs="仿宋"/>
          <w:b/>
          <w:bCs/>
          <w:kern w:val="0"/>
          <w:sz w:val="21"/>
          <w:szCs w:val="21"/>
        </w:rPr>
      </w:pPr>
    </w:p>
    <w:p>
      <w:pPr>
        <w:spacing w:line="500" w:lineRule="exact"/>
        <w:rPr>
          <w:rFonts w:hint="eastAsia" w:ascii="仿宋" w:hAnsi="仿宋" w:eastAsia="仿宋" w:cs="仿宋"/>
          <w:b/>
          <w:bCs/>
          <w:kern w:val="0"/>
          <w:sz w:val="21"/>
          <w:szCs w:val="21"/>
        </w:rPr>
      </w:pPr>
      <w:r>
        <w:rPr>
          <w:rFonts w:hint="eastAsia" w:ascii="仿宋" w:hAnsi="仿宋" w:eastAsia="仿宋" w:cs="仿宋"/>
          <w:b/>
          <w:bCs/>
          <w:kern w:val="0"/>
          <w:sz w:val="21"/>
          <w:szCs w:val="21"/>
        </w:rPr>
        <w:t>丙  方：（保险经纪人）</w:t>
      </w:r>
    </w:p>
    <w:p>
      <w:pPr>
        <w:spacing w:line="500" w:lineRule="exact"/>
        <w:rPr>
          <w:rFonts w:hint="eastAsia" w:ascii="仿宋" w:hAnsi="仿宋" w:eastAsia="仿宋" w:cs="仿宋"/>
          <w:kern w:val="0"/>
          <w:sz w:val="21"/>
          <w:szCs w:val="21"/>
        </w:rPr>
      </w:pPr>
      <w:r>
        <w:rPr>
          <w:rFonts w:hint="eastAsia" w:ascii="仿宋" w:hAnsi="仿宋" w:eastAsia="仿宋" w:cs="仿宋"/>
          <w:b/>
          <w:bCs/>
          <w:kern w:val="0"/>
          <w:sz w:val="21"/>
          <w:szCs w:val="21"/>
        </w:rPr>
        <w:t>名  称：</w:t>
      </w:r>
    </w:p>
    <w:p>
      <w:pPr>
        <w:spacing w:line="500" w:lineRule="exact"/>
        <w:rPr>
          <w:rFonts w:hint="eastAsia" w:ascii="仿宋" w:hAnsi="仿宋" w:eastAsia="仿宋" w:cs="仿宋"/>
          <w:sz w:val="21"/>
          <w:szCs w:val="21"/>
        </w:rPr>
      </w:pPr>
      <w:r>
        <w:rPr>
          <w:rFonts w:hint="eastAsia" w:ascii="仿宋" w:hAnsi="仿宋" w:eastAsia="仿宋" w:cs="仿宋"/>
          <w:b/>
          <w:bCs/>
          <w:kern w:val="0"/>
          <w:sz w:val="21"/>
          <w:szCs w:val="21"/>
        </w:rPr>
        <w:t>地  址：</w:t>
      </w:r>
    </w:p>
    <w:p>
      <w:pPr>
        <w:spacing w:line="500" w:lineRule="exact"/>
        <w:rPr>
          <w:rFonts w:hint="eastAsia" w:ascii="仿宋" w:hAnsi="仿宋" w:eastAsia="仿宋" w:cs="仿宋"/>
          <w:b/>
          <w:bCs/>
          <w:kern w:val="0"/>
          <w:sz w:val="21"/>
          <w:szCs w:val="21"/>
        </w:rPr>
      </w:pP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为贯彻落实《老年法》和国家24部委《关于进一步加强老年人优待工作的意见》（全国老龄办发【2013】97号），倡导老年人投保意外伤害保险，提高老年人抵御意外风险的能力，发挥商业保险的重要补充作用，切实保障被保险人利益和维护合作各方权益，现经甲、乙、丙三方本着“自愿、平等、互利、诚实和信用”的原则，</w:t>
      </w:r>
      <w:r>
        <w:rPr>
          <w:rFonts w:hint="eastAsia" w:ascii="仿宋" w:hAnsi="仿宋" w:eastAsia="仿宋" w:cs="仿宋"/>
          <w:kern w:val="0"/>
          <w:sz w:val="21"/>
          <w:szCs w:val="21"/>
        </w:rPr>
        <w:t>就湖州市老年人意外伤害统筹保险事宜达成如下协议，</w:t>
      </w:r>
      <w:r>
        <w:rPr>
          <w:rFonts w:hint="eastAsia" w:ascii="仿宋" w:hAnsi="仿宋" w:eastAsia="仿宋" w:cs="仿宋"/>
          <w:sz w:val="21"/>
          <w:szCs w:val="21"/>
        </w:rPr>
        <w:t>以兹共同遵守：</w:t>
      </w:r>
    </w:p>
    <w:p>
      <w:pPr>
        <w:spacing w:line="500" w:lineRule="exact"/>
        <w:rPr>
          <w:rFonts w:hint="eastAsia" w:ascii="仿宋" w:hAnsi="仿宋" w:eastAsia="仿宋" w:cs="仿宋"/>
          <w:b/>
          <w:kern w:val="0"/>
          <w:sz w:val="21"/>
          <w:szCs w:val="21"/>
        </w:rPr>
      </w:pPr>
      <w:r>
        <w:rPr>
          <w:rFonts w:hint="eastAsia" w:ascii="仿宋" w:hAnsi="仿宋" w:eastAsia="仿宋" w:cs="仿宋"/>
          <w:b/>
          <w:kern w:val="0"/>
          <w:sz w:val="21"/>
          <w:szCs w:val="21"/>
        </w:rPr>
        <w:t xml:space="preserve">    第一条  承保方式</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湖州市老年人意外伤害统筹保险项目采取分标项定标形式，中标保险人不得以任何理由拒绝接受该区、县（市）辖区内的保险对象参保。</w:t>
      </w:r>
    </w:p>
    <w:p>
      <w:pPr>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第二条  保险业务合作范围</w:t>
      </w:r>
    </w:p>
    <w:p>
      <w:pPr>
        <w:spacing w:line="500" w:lineRule="exact"/>
        <w:ind w:firstLine="422" w:firstLineChars="200"/>
        <w:rPr>
          <w:rFonts w:hint="eastAsia" w:ascii="仿宋" w:hAnsi="仿宋" w:eastAsia="仿宋" w:cs="仿宋"/>
          <w:bCs/>
          <w:sz w:val="21"/>
          <w:szCs w:val="21"/>
        </w:rPr>
      </w:pPr>
      <w:r>
        <w:rPr>
          <w:rFonts w:hint="eastAsia" w:ascii="仿宋" w:hAnsi="仿宋" w:eastAsia="仿宋" w:cs="仿宋"/>
          <w:b/>
          <w:sz w:val="21"/>
          <w:szCs w:val="21"/>
        </w:rPr>
        <w:t>（一）</w:t>
      </w:r>
      <w:r>
        <w:rPr>
          <w:rFonts w:hint="eastAsia" w:ascii="仿宋" w:hAnsi="仿宋" w:eastAsia="仿宋" w:cs="仿宋"/>
          <w:b/>
          <w:bCs/>
          <w:sz w:val="21"/>
          <w:szCs w:val="21"/>
        </w:rPr>
        <w:t>保险对象</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政府补贴：湖州市户籍60周岁（含）以上老年人，政府补贴一份；其中最低生活保障家庭中的老年人、最低生活保障边缘家庭中的老年人、特困人员中的老年人、计划生育特殊家庭中的老年人、高龄老人，政府再补贴一份，合计两份。【上述60周岁老年人是指在202</w:t>
      </w:r>
      <w:r>
        <w:rPr>
          <w:rFonts w:hint="eastAsia" w:ascii="仿宋" w:hAnsi="仿宋" w:eastAsia="仿宋" w:cs="仿宋"/>
          <w:sz w:val="21"/>
          <w:szCs w:val="21"/>
          <w:lang w:val="en-US" w:eastAsia="zh-CN"/>
        </w:rPr>
        <w:t>3</w:t>
      </w:r>
      <w:r>
        <w:rPr>
          <w:rFonts w:hint="eastAsia" w:ascii="仿宋" w:hAnsi="仿宋" w:eastAsia="仿宋" w:cs="仿宋"/>
          <w:sz w:val="21"/>
          <w:szCs w:val="21"/>
        </w:rPr>
        <w:t>年5月1日前达到60周岁的老年人、高龄老人指202</w:t>
      </w:r>
      <w:r>
        <w:rPr>
          <w:rFonts w:hint="eastAsia" w:ascii="仿宋" w:hAnsi="仿宋" w:eastAsia="仿宋" w:cs="仿宋"/>
          <w:sz w:val="21"/>
          <w:szCs w:val="21"/>
          <w:lang w:val="en-US" w:eastAsia="zh-CN"/>
        </w:rPr>
        <w:t>3</w:t>
      </w:r>
      <w:r>
        <w:rPr>
          <w:rFonts w:hint="eastAsia" w:ascii="仿宋" w:hAnsi="仿宋" w:eastAsia="仿宋" w:cs="仿宋"/>
          <w:sz w:val="21"/>
          <w:szCs w:val="21"/>
        </w:rPr>
        <w:t>年5月1日前达到80周岁的老年人】</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（2）个人购买：湖州市户籍50周岁及以上人员；不具有湖州市户籍在湖州市居住生活的50周岁及以上人员。【上述50周岁及以上是指在202</w:t>
      </w:r>
      <w:r>
        <w:rPr>
          <w:rFonts w:hint="eastAsia" w:ascii="仿宋" w:hAnsi="仿宋" w:eastAsia="仿宋" w:cs="仿宋"/>
          <w:sz w:val="21"/>
          <w:szCs w:val="21"/>
          <w:lang w:val="en-US" w:eastAsia="zh-CN"/>
        </w:rPr>
        <w:t>3</w:t>
      </w:r>
      <w:r>
        <w:rPr>
          <w:rFonts w:hint="eastAsia" w:ascii="仿宋" w:hAnsi="仿宋" w:eastAsia="仿宋" w:cs="仿宋"/>
          <w:sz w:val="21"/>
          <w:szCs w:val="21"/>
        </w:rPr>
        <w:t>年5月1日前达到50周岁的老年人】</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（3）本保险系湖州市民政局为湖州市老年人专门定制的，本保险最高限购</w:t>
      </w:r>
      <w:r>
        <w:rPr>
          <w:rFonts w:hint="eastAsia" w:ascii="仿宋" w:hAnsi="仿宋" w:eastAsia="仿宋" w:cs="仿宋"/>
          <w:sz w:val="21"/>
          <w:szCs w:val="21"/>
          <w:lang w:val="en-US" w:eastAsia="zh-CN"/>
        </w:rPr>
        <w:t>三</w:t>
      </w:r>
      <w:r>
        <w:rPr>
          <w:rFonts w:hint="eastAsia" w:ascii="仿宋" w:hAnsi="仿宋" w:eastAsia="仿宋" w:cs="仿宋"/>
          <w:sz w:val="21"/>
          <w:szCs w:val="21"/>
        </w:rPr>
        <w:t>份（含政府补贴部分）</w:t>
      </w:r>
    </w:p>
    <w:p>
      <w:pPr>
        <w:autoSpaceDE w:val="0"/>
        <w:autoSpaceDN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（二）保险险种</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湖州市老年人意外伤害统筹保险。</w:t>
      </w:r>
    </w:p>
    <w:p>
      <w:pPr>
        <w:spacing w:line="500" w:lineRule="exact"/>
        <w:ind w:firstLine="422" w:firstLineChars="200"/>
        <w:rPr>
          <w:rFonts w:hint="eastAsia" w:ascii="仿宋" w:hAnsi="仿宋" w:eastAsia="仿宋" w:cs="仿宋"/>
          <w:sz w:val="21"/>
          <w:szCs w:val="21"/>
        </w:rPr>
      </w:pPr>
      <w:r>
        <w:rPr>
          <w:rFonts w:hint="eastAsia" w:ascii="仿宋" w:hAnsi="仿宋" w:eastAsia="仿宋" w:cs="仿宋"/>
          <w:b/>
          <w:kern w:val="0"/>
          <w:sz w:val="21"/>
          <w:szCs w:val="21"/>
        </w:rPr>
        <w:t>（三）投保人</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 各级机关、企事业单位、社会组织或有意向捐赠的个人；</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 被保险人本人或其配偶、子女、有赡养关系的家庭其他成员、近亲属。</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（四）被保险人</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详见《投保清单》或《公安部门人数证明》</w:t>
      </w:r>
    </w:p>
    <w:p>
      <w:pPr>
        <w:autoSpaceDE w:val="0"/>
        <w:autoSpaceDN w:val="0"/>
        <w:spacing w:line="500" w:lineRule="exact"/>
        <w:ind w:firstLine="422" w:firstLineChars="200"/>
        <w:rPr>
          <w:rFonts w:hint="eastAsia" w:ascii="仿宋" w:hAnsi="仿宋" w:eastAsia="仿宋" w:cs="仿宋"/>
          <w:b/>
          <w:sz w:val="21"/>
          <w:szCs w:val="21"/>
        </w:rPr>
      </w:pPr>
      <w:r>
        <w:rPr>
          <w:rFonts w:hint="eastAsia" w:ascii="仿宋" w:hAnsi="仿宋" w:eastAsia="仿宋" w:cs="仿宋"/>
          <w:b/>
          <w:kern w:val="0"/>
          <w:sz w:val="21"/>
          <w:szCs w:val="21"/>
        </w:rPr>
        <w:t>（五）</w:t>
      </w:r>
      <w:r>
        <w:rPr>
          <w:rFonts w:hint="eastAsia" w:ascii="仿宋" w:hAnsi="仿宋" w:eastAsia="仿宋" w:cs="仿宋"/>
          <w:b/>
          <w:sz w:val="21"/>
          <w:szCs w:val="21"/>
        </w:rPr>
        <w:t>保险人</w:t>
      </w:r>
    </w:p>
    <w:p>
      <w:pPr>
        <w:autoSpaceDE w:val="0"/>
        <w:autoSpaceDN w:val="0"/>
        <w:spacing w:line="500" w:lineRule="exact"/>
        <w:ind w:firstLine="420" w:firstLineChars="200"/>
        <w:rPr>
          <w:rFonts w:hint="eastAsia" w:ascii="仿宋" w:hAnsi="仿宋" w:eastAsia="仿宋" w:cs="仿宋"/>
          <w:b/>
          <w:bCs/>
          <w:kern w:val="0"/>
          <w:sz w:val="21"/>
          <w:szCs w:val="21"/>
          <w:u w:val="single"/>
        </w:rPr>
      </w:pPr>
      <w:r>
        <w:rPr>
          <w:rFonts w:hint="eastAsia" w:ascii="仿宋" w:hAnsi="仿宋" w:eastAsia="仿宋" w:cs="仿宋"/>
          <w:bCs/>
          <w:kern w:val="0"/>
          <w:sz w:val="21"/>
          <w:szCs w:val="21"/>
          <w:u w:val="single"/>
          <w:lang w:val="en-US" w:eastAsia="zh-CN"/>
        </w:rPr>
        <w:t xml:space="preserve">                         </w:t>
      </w:r>
      <w:r>
        <w:rPr>
          <w:rFonts w:hint="eastAsia" w:ascii="仿宋" w:hAnsi="仿宋" w:eastAsia="仿宋" w:cs="仿宋"/>
          <w:bCs/>
          <w:kern w:val="0"/>
          <w:sz w:val="21"/>
          <w:szCs w:val="21"/>
        </w:rPr>
        <w:t>保险公司</w:t>
      </w:r>
    </w:p>
    <w:p>
      <w:pPr>
        <w:autoSpaceDE w:val="0"/>
        <w:autoSpaceDN w:val="0"/>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（六）保险经纪人</w:t>
      </w:r>
    </w:p>
    <w:p>
      <w:pPr>
        <w:spacing w:line="500" w:lineRule="exact"/>
        <w:ind w:firstLine="422" w:firstLineChars="200"/>
        <w:rPr>
          <w:rFonts w:hint="eastAsia" w:ascii="仿宋" w:hAnsi="仿宋" w:eastAsia="仿宋" w:cs="仿宋"/>
          <w:b/>
          <w:kern w:val="0"/>
          <w:sz w:val="21"/>
          <w:szCs w:val="21"/>
          <w:u w:val="single"/>
          <w:lang w:val="en-US" w:eastAsia="zh-CN"/>
        </w:rPr>
      </w:pPr>
      <w:r>
        <w:rPr>
          <w:rFonts w:hint="eastAsia" w:ascii="仿宋" w:hAnsi="仿宋" w:eastAsia="仿宋" w:cs="仿宋"/>
          <w:b/>
          <w:kern w:val="0"/>
          <w:sz w:val="21"/>
          <w:szCs w:val="21"/>
          <w:u w:val="single"/>
          <w:lang w:val="en-US" w:eastAsia="zh-CN"/>
        </w:rPr>
        <w:t xml:space="preserve">                         </w:t>
      </w:r>
    </w:p>
    <w:p>
      <w:pPr>
        <w:spacing w:line="500" w:lineRule="exact"/>
        <w:ind w:firstLine="422" w:firstLineChars="200"/>
        <w:rPr>
          <w:rFonts w:hint="eastAsia" w:ascii="仿宋" w:hAnsi="仿宋" w:eastAsia="仿宋" w:cs="仿宋"/>
          <w:sz w:val="21"/>
          <w:szCs w:val="21"/>
        </w:rPr>
      </w:pPr>
      <w:r>
        <w:rPr>
          <w:rFonts w:hint="eastAsia" w:ascii="仿宋" w:hAnsi="仿宋" w:eastAsia="仿宋" w:cs="仿宋"/>
          <w:b/>
          <w:kern w:val="0"/>
          <w:sz w:val="21"/>
          <w:szCs w:val="21"/>
        </w:rPr>
        <w:t>（七）</w:t>
      </w:r>
      <w:r>
        <w:rPr>
          <w:rFonts w:hint="eastAsia" w:ascii="仿宋" w:hAnsi="仿宋" w:eastAsia="仿宋" w:cs="仿宋"/>
          <w:b/>
          <w:sz w:val="21"/>
          <w:szCs w:val="21"/>
        </w:rPr>
        <w:t>保险期限：</w:t>
      </w:r>
      <w:r>
        <w:rPr>
          <w:rFonts w:hint="eastAsia" w:ascii="仿宋" w:hAnsi="仿宋" w:eastAsia="仿宋" w:cs="仿宋"/>
          <w:sz w:val="21"/>
          <w:szCs w:val="21"/>
        </w:rPr>
        <w:t>一年</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政府补贴部分：1年，至所有保险期限结束之日或所有保险理赔结束时止，以最后发生者为准。从2023年5月1日零时起至本项目合同生效前所发生的理赔事项由</w:t>
      </w:r>
      <w:r>
        <w:rPr>
          <w:rFonts w:hint="eastAsia" w:ascii="仿宋" w:hAnsi="仿宋" w:eastAsia="仿宋" w:cs="仿宋"/>
          <w:sz w:val="21"/>
          <w:szCs w:val="21"/>
          <w:lang w:eastAsia="zh-CN"/>
        </w:rPr>
        <w:t>乙方</w:t>
      </w:r>
      <w:r>
        <w:rPr>
          <w:rFonts w:hint="eastAsia" w:ascii="仿宋" w:hAnsi="仿宋" w:eastAsia="仿宋" w:cs="仿宋"/>
          <w:sz w:val="21"/>
          <w:szCs w:val="21"/>
          <w:lang w:val="en-US" w:eastAsia="zh-CN"/>
        </w:rPr>
        <w:t>承担</w:t>
      </w:r>
      <w:r>
        <w:rPr>
          <w:rFonts w:hint="eastAsia" w:ascii="仿宋" w:hAnsi="仿宋" w:eastAsia="仿宋" w:cs="仿宋"/>
          <w:sz w:val="21"/>
          <w:szCs w:val="21"/>
        </w:rPr>
        <w:t>。</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个人购买部分：保险期限详见保险单。</w:t>
      </w:r>
    </w:p>
    <w:p>
      <w:pPr>
        <w:numPr>
          <w:ilvl w:val="0"/>
          <w:numId w:val="4"/>
        </w:num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赔偿限额</w:t>
      </w:r>
    </w:p>
    <w:tbl>
      <w:tblPr>
        <w:tblStyle w:val="1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98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38"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保险范围</w:t>
            </w: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38" w:type="dxa"/>
            <w:vMerge w:val="restart"/>
            <w:noWrap/>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bCs w:val="0"/>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全国范围内</w:t>
            </w:r>
          </w:p>
          <w:p>
            <w:pPr>
              <w:jc w:val="center"/>
              <w:rPr>
                <w:rFonts w:hint="eastAsia" w:ascii="仿宋" w:hAnsi="仿宋" w:eastAsia="仿宋" w:cs="仿宋"/>
                <w:sz w:val="21"/>
                <w:szCs w:val="21"/>
                <w:highlight w:val="none"/>
              </w:rPr>
            </w:pPr>
            <w:r>
              <w:rPr>
                <w:rFonts w:hint="eastAsia" w:ascii="仿宋" w:hAnsi="仿宋" w:eastAsia="仿宋" w:cs="仿宋"/>
                <w:bCs/>
                <w:sz w:val="21"/>
                <w:szCs w:val="21"/>
                <w:highlight w:val="none"/>
              </w:rPr>
              <w:t>（港、澳、台除外）</w:t>
            </w: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意外身故最高赔偿限额5000元/人/份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意外残疾最高赔偿限额15000元/人/份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意外伤害医疗费最高赔偿限额1000元/人/份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意外住院津贴最高赔付5400元/人/份（每次最高赔付30天，累计最高赔付90天，每天赔付60元/人/份））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意外骨折康复津贴每次最高赔付1000元/人/份，累计最高赔付3000元/人/份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298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因意外导致被保险人受到伤害，由二级及二级以上医院或骨伤科医院出具相关证明或建议进行康复治疗的，且由康复机构出具诊疗记录（如门诊记录、器械使用记录、住院记录等）</w:t>
            </w:r>
          </w:p>
        </w:tc>
        <w:tc>
          <w:tcPr>
            <w:tcW w:w="3167" w:type="dxa"/>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门诊康复的，保险人承担门诊康复津贴，每天100元/人/份，最高赔付60天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29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p>
        </w:tc>
        <w:tc>
          <w:tcPr>
            <w:tcW w:w="3167" w:type="dxa"/>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住院康复的，保险人承担住院康复津贴，每天200元/人/份，最高赔付60天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8" w:type="dxa"/>
            <w:vMerge w:val="continue"/>
            <w:noWrap/>
            <w:vAlign w:val="center"/>
          </w:tcPr>
          <w:p>
            <w:pPr>
              <w:rPr>
                <w:rFonts w:hint="eastAsia" w:ascii="仿宋" w:hAnsi="仿宋" w:eastAsia="仿宋" w:cs="仿宋"/>
                <w:sz w:val="21"/>
                <w:szCs w:val="21"/>
                <w:highlight w:val="none"/>
              </w:rPr>
            </w:pPr>
          </w:p>
        </w:tc>
        <w:tc>
          <w:tcPr>
            <w:tcW w:w="61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突发急性病身故（猝死）慰问金2000元/人/份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8"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保险费</w:t>
            </w:r>
          </w:p>
        </w:tc>
        <w:tc>
          <w:tcPr>
            <w:tcW w:w="6152" w:type="dxa"/>
            <w:gridSpan w:val="2"/>
            <w:noWrap/>
            <w:vAlign w:val="center"/>
          </w:tcPr>
          <w:p>
            <w:pPr>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元/份/年/人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90"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1.本保险只承担被保险人在全国范围（港、澳、台除外）区内发生的保险事故；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意外医疗费赔付比例：通过医保先行赔付的意外医疗费，剩余部分在医保赔付的范围内保险人同意在扣除免赔额后按照100%赔付；不通过医保直接向保险人赔付的意外医疗费，在医保赔付的范围内保险人同意在扣除免赔额后按照80%赔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3.猝死：由潜在疾病、身体机能障碍或其他非外来性原因所导致的、在出现急性症状后发生的突然死亡，以医院的诊断或公安、司法机关的鉴定为准。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4.对无外伤且无法提供二级及二级以上医院诊断证明或其他权威机构（公安、交警、司法鉴定所）证明属于意外伤害的身故，保险公司不承担保险责任；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5.被保险人身故，家属未及时报案，在火葬处理后报案且无法提供医院诊断证明或其他权威机构（公安、交警、司法鉴定所）证明属于意外伤害的身故，保险公司不承担保险责任；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6.伤残评定标准参照最高人民法院、最高人民检察院、公安部、国家安全部、司法部联合发布的《人体损伤致残程度分级（2017）》执行。若理赔时，上述标准修订或变更，按照新赔偿标准执行；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7.意外骨折康复津贴：在保险期间内，被保险人遭受意外伤害并因该意外伤害而造成骨折的，保险人按《意外骨折康复津贴给付金额对应表》所列骨折类别及骨折程度所对应意外骨折康复津贴标准给付骨折津贴。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8.如果被保险人同时遭受两项以上（含两项）骨折时，保险人只给付较高一项的骨折津贴。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9.被保险人出险，要第一时间拨打保险公司的报案电话进行报案。</w:t>
            </w:r>
          </w:p>
        </w:tc>
      </w:tr>
    </w:tbl>
    <w:p>
      <w:pPr>
        <w:spacing w:line="48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1、意外身故保险金、意外残疾保险金</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被保险人因遭受意外伤害导致身故、残疾的，乙方按以下约定给付保险金：</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被保险人自意外伤害事故发生之日起180日内以该次意外伤害为直接原因导致身故的，或被保险人因意外伤害、自然灾害被人民法院宣告死亡的，乙方按保险单所载意外伤害保险金额给付意外身故保险金。</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被保险人因遭受意外伤害事故，并自事故发生之日起一百八十日内造成残疾的，按照《人体损伤致残程度分级（2017）》确定伤残等级，乙方按下表所列比例乘以其保险金额给付“意外伤害残疾保险金”。</w:t>
      </w:r>
    </w:p>
    <w:tbl>
      <w:tblPr>
        <w:tblStyle w:val="1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800"/>
        <w:gridCol w:w="675"/>
        <w:gridCol w:w="674"/>
        <w:gridCol w:w="674"/>
        <w:gridCol w:w="674"/>
        <w:gridCol w:w="674"/>
        <w:gridCol w:w="674"/>
        <w:gridCol w:w="674"/>
        <w:gridCol w:w="67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伤残等级</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残疾赔付比例</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90%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70%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50%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10%</w:t>
            </w:r>
          </w:p>
        </w:tc>
      </w:tr>
    </w:tbl>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pPr>
        <w:spacing w:line="480"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乙方对被保险人所负的给付上述各项保险金的责任以意外伤害保险金额为限，一次或累计给付的保险金达到意外伤害保险金额时，乙方对该被保险人的上述各项保险责任终止。</w:t>
      </w:r>
    </w:p>
    <w:p>
      <w:pPr>
        <w:spacing w:line="48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2、意外伤害医疗保险金</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若被保险人遭受意外伤害在卫生行政部门认定的二级及二级以上医院接受治疗，乙方对被保险人因该次意外伤害的治疗而发生的符合本协议保单签发地政府基本医疗保险管理规定范围内合理的医疗费用，保险人按照保险采购合同相关约定进行赔偿。</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被保险人在保险期间内因意外伤害而住院治疗，至保险期间届满治疗仍未结束的，保险人继续承担本条前述所列的保险责任至住院结束，但最长不超过意外伤害发生之日起第180天。</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被保险人在保险期间内因意外伤害而进行门急诊治疗，至保险期间届满治疗仍未结束的，保险人继续承担本条前述所列的保险责任，但最长不超过意外伤害发生之日起第30天。</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在任何情况下，无论被保险人一次或多次发生意外伤害而进行治疗，保险人均按约定给付保险金，但一次或累计给付的保险金达到意外伤害医疗保险金额时，保险人对被保险人的本项保险责任终止。</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如被保险人在保险期间所发生保险责任范围内的医疗费用，已经从社会医疗保险保障计划或其他商业医疗保险保障计划或其他任何途径获得补偿或赔偿，乙方仅承担剩余部分的赔偿责任；如果被保险人虽有上述社会医疗保险或其他商业医疗保险但未获补偿或赔偿的，不论何种原因，乙方不得据此作为免责或拒赔的理由。</w:t>
      </w:r>
    </w:p>
    <w:p>
      <w:pPr>
        <w:spacing w:line="480" w:lineRule="exact"/>
        <w:ind w:firstLine="422" w:firstLineChars="200"/>
        <w:rPr>
          <w:rFonts w:hint="eastAsia" w:ascii="仿宋" w:hAnsi="仿宋" w:eastAsia="仿宋" w:cs="仿宋"/>
          <w:kern w:val="0"/>
          <w:sz w:val="21"/>
          <w:szCs w:val="21"/>
        </w:rPr>
      </w:pPr>
      <w:r>
        <w:rPr>
          <w:rFonts w:hint="eastAsia" w:ascii="仿宋" w:hAnsi="仿宋" w:eastAsia="仿宋" w:cs="仿宋"/>
          <w:b/>
          <w:sz w:val="21"/>
          <w:szCs w:val="21"/>
        </w:rPr>
        <w:t>3、</w:t>
      </w:r>
      <w:r>
        <w:rPr>
          <w:rFonts w:hint="eastAsia" w:ascii="仿宋" w:hAnsi="仿宋" w:eastAsia="仿宋" w:cs="仿宋"/>
          <w:b/>
          <w:kern w:val="0"/>
          <w:sz w:val="21"/>
          <w:szCs w:val="21"/>
        </w:rPr>
        <w:t>意外伤害住院津贴</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若被保险人遭受意外伤害，经卫生行政部门认定的二级及二级以上医院诊断必须接受住院治疗的（急诊不受医院等级限制可在具有医疗资质的医院先行治疗，但是三天内须转到二级及二级以上医院治疗），乙方按本合同约定的每日住院津贴乘以实际住院天数给付保险金。</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被保险人在保险期间内因意外伤害而住院治疗，至保险期间届满治疗仍未结束的，保险人继续承担本条前述所列的保险责任至住院结束，累计最高给付90天。</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无论被保险人住院治疗是否延续至保险期间届满后，因同一次意外伤害而住院的，最高给付天数以90天为限。（具体详见保险条款）</w:t>
      </w:r>
    </w:p>
    <w:p>
      <w:pPr>
        <w:spacing w:line="480" w:lineRule="exact"/>
        <w:ind w:firstLine="422" w:firstLineChars="200"/>
        <w:rPr>
          <w:rFonts w:hint="eastAsia" w:ascii="仿宋" w:hAnsi="仿宋" w:eastAsia="仿宋" w:cs="仿宋"/>
          <w:sz w:val="21"/>
          <w:szCs w:val="21"/>
        </w:rPr>
      </w:pPr>
      <w:r>
        <w:rPr>
          <w:rFonts w:hint="eastAsia" w:ascii="仿宋" w:hAnsi="仿宋" w:eastAsia="仿宋" w:cs="仿宋"/>
          <w:b/>
          <w:sz w:val="21"/>
          <w:szCs w:val="21"/>
          <w:lang w:val="en-US" w:eastAsia="zh-CN"/>
        </w:rPr>
        <w:t>4</w:t>
      </w:r>
      <w:r>
        <w:rPr>
          <w:rFonts w:hint="eastAsia" w:ascii="仿宋" w:hAnsi="仿宋" w:eastAsia="仿宋" w:cs="仿宋"/>
          <w:b/>
          <w:sz w:val="21"/>
          <w:szCs w:val="21"/>
        </w:rPr>
        <w:t>、</w:t>
      </w:r>
      <w:r>
        <w:rPr>
          <w:rFonts w:hint="eastAsia" w:ascii="仿宋" w:hAnsi="仿宋" w:eastAsia="仿宋" w:cs="仿宋"/>
          <w:b/>
          <w:bCs/>
          <w:sz w:val="21"/>
          <w:szCs w:val="21"/>
        </w:rPr>
        <w:t>意外骨折康复津贴</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在保险期间内，被保险人遭受意外伤害并因该意外伤害而造成骨折的，保险人按《意外骨折康复津贴给付金额对应表》所列骨折类别及骨折程度所对应意外骨折康复津贴标准给付骨折津贴；没有明确的骨折部位，按照相邻高者骨折赔付标准赔付。</w:t>
      </w:r>
    </w:p>
    <w:p>
      <w:pPr>
        <w:spacing w:line="480"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（2）如果被保险人同时遭受《意外骨折康复津贴给付金额对应表》所列两项以上（含两项）骨折时，保险人只给付较高一项的骨折津贴。</w:t>
      </w:r>
    </w:p>
    <w:tbl>
      <w:tblPr>
        <w:tblStyle w:val="18"/>
        <w:tblW w:w="9006" w:type="dxa"/>
        <w:tblInd w:w="68" w:type="dxa"/>
        <w:tblLayout w:type="fixed"/>
        <w:tblCellMar>
          <w:top w:w="0" w:type="dxa"/>
          <w:left w:w="0" w:type="dxa"/>
          <w:bottom w:w="0" w:type="dxa"/>
          <w:right w:w="0" w:type="dxa"/>
        </w:tblCellMar>
      </w:tblPr>
      <w:tblGrid>
        <w:gridCol w:w="855"/>
        <w:gridCol w:w="5961"/>
        <w:gridCol w:w="2190"/>
      </w:tblGrid>
      <w:tr>
        <w:tblPrEx>
          <w:tblCellMar>
            <w:top w:w="0" w:type="dxa"/>
            <w:left w:w="0" w:type="dxa"/>
            <w:bottom w:w="0" w:type="dxa"/>
            <w:right w:w="0" w:type="dxa"/>
          </w:tblCellMar>
        </w:tblPrEx>
        <w:trPr>
          <w:trHeight w:val="424"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序号</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骨折类别</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给付金额（元）</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眼眶骨折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2</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鼻骨骨折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3</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掌骨、指骨骨折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4</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跖骨、趾骨骨折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5</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跟骨、距骨骨折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6</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牙槽骨骨折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7</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lef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颧弓、颧骨骨折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300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8</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Style w:val="39"/>
                <w:rFonts w:hint="eastAsia" w:ascii="仿宋" w:hAnsi="仿宋" w:eastAsia="仿宋" w:cs="仿宋"/>
                <w:color w:val="auto"/>
                <w:sz w:val="21"/>
                <w:szCs w:val="21"/>
                <w:lang w:bidi="ar"/>
              </w:rPr>
              <w:t>上、下颌骨骨折</w:t>
            </w:r>
            <w:r>
              <w:rPr>
                <w:rStyle w:val="40"/>
                <w:rFonts w:hint="eastAsia" w:ascii="仿宋" w:hAnsi="仿宋" w:eastAsia="仿宋" w:cs="仿宋"/>
                <w:color w:val="auto"/>
                <w:sz w:val="21"/>
                <w:szCs w:val="21"/>
                <w:lang w:bidi="ar"/>
              </w:rPr>
              <w:t>(</w:t>
            </w:r>
            <w:r>
              <w:rPr>
                <w:rStyle w:val="39"/>
                <w:rFonts w:hint="eastAsia" w:ascii="仿宋" w:hAnsi="仿宋" w:eastAsia="仿宋" w:cs="仿宋"/>
                <w:color w:val="auto"/>
                <w:sz w:val="21"/>
                <w:szCs w:val="21"/>
                <w:lang w:bidi="ar"/>
              </w:rPr>
              <w:t>齿槽医疗除外</w:t>
            </w:r>
            <w:r>
              <w:rPr>
                <w:rStyle w:val="40"/>
                <w:rFonts w:hint="eastAsia" w:ascii="仿宋" w:hAnsi="仿宋" w:eastAsia="仿宋" w:cs="仿宋"/>
                <w:color w:val="auto"/>
                <w:sz w:val="21"/>
                <w:szCs w:val="21"/>
                <w:lang w:bidi="ar"/>
              </w:rPr>
              <w:t>)</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400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9</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肋骨骨折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400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10</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锁骨骨折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11</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尺骨骨折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12</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桡骨骨折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13</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髌骨骨折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14</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尺骨鹰嘴骨折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500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15</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肩胛骨骨折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600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16</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肱骨骨折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700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17</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Style w:val="39"/>
                <w:rFonts w:hint="eastAsia" w:ascii="仿宋" w:hAnsi="仿宋" w:eastAsia="仿宋" w:cs="仿宋"/>
                <w:color w:val="auto"/>
                <w:sz w:val="21"/>
                <w:szCs w:val="21"/>
                <w:lang w:bidi="ar"/>
              </w:rPr>
              <w:t>骨盆骨折</w:t>
            </w:r>
            <w:r>
              <w:rPr>
                <w:rStyle w:val="40"/>
                <w:rFonts w:hint="eastAsia" w:ascii="仿宋" w:hAnsi="仿宋" w:eastAsia="仿宋" w:cs="仿宋"/>
                <w:color w:val="auto"/>
                <w:sz w:val="21"/>
                <w:szCs w:val="21"/>
                <w:lang w:bidi="ar"/>
              </w:rPr>
              <w:t>(</w:t>
            </w:r>
            <w:r>
              <w:rPr>
                <w:rStyle w:val="39"/>
                <w:rFonts w:hint="eastAsia" w:ascii="仿宋" w:hAnsi="仿宋" w:eastAsia="仿宋" w:cs="仿宋"/>
                <w:color w:val="auto"/>
                <w:sz w:val="21"/>
                <w:szCs w:val="21"/>
                <w:lang w:bidi="ar"/>
              </w:rPr>
              <w:t>包括髂骨、耻骨、坐骨</w:t>
            </w:r>
            <w:r>
              <w:rPr>
                <w:rStyle w:val="40"/>
                <w:rFonts w:hint="eastAsia" w:ascii="仿宋" w:hAnsi="仿宋" w:eastAsia="仿宋" w:cs="仿宋"/>
                <w:color w:val="auto"/>
                <w:sz w:val="21"/>
                <w:szCs w:val="21"/>
                <w:lang w:bidi="ar"/>
              </w:rPr>
              <w:t>)</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700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18</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尺桡骨骨折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700</w:t>
            </w:r>
          </w:p>
        </w:tc>
      </w:tr>
      <w:tr>
        <w:tblPrEx>
          <w:tblCellMar>
            <w:top w:w="0" w:type="dxa"/>
            <w:left w:w="0" w:type="dxa"/>
            <w:bottom w:w="0" w:type="dxa"/>
            <w:right w:w="0"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19</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Style w:val="39"/>
                <w:rFonts w:hint="eastAsia" w:ascii="仿宋" w:hAnsi="仿宋" w:eastAsia="仿宋" w:cs="仿宋"/>
                <w:color w:val="auto"/>
                <w:sz w:val="21"/>
                <w:szCs w:val="21"/>
                <w:lang w:bidi="ar"/>
              </w:rPr>
              <w:t>腕骨骨折</w:t>
            </w:r>
            <w:r>
              <w:rPr>
                <w:rStyle w:val="40"/>
                <w:rFonts w:hint="eastAsia" w:ascii="仿宋" w:hAnsi="仿宋" w:eastAsia="仿宋" w:cs="仿宋"/>
                <w:color w:val="auto"/>
                <w:sz w:val="21"/>
                <w:szCs w:val="21"/>
                <w:lang w:bidi="ar"/>
              </w:rPr>
              <w:t>(</w:t>
            </w:r>
            <w:r>
              <w:rPr>
                <w:rStyle w:val="39"/>
                <w:rFonts w:hint="eastAsia" w:ascii="仿宋" w:hAnsi="仿宋" w:eastAsia="仿宋" w:cs="仿宋"/>
                <w:color w:val="auto"/>
                <w:sz w:val="21"/>
                <w:szCs w:val="21"/>
                <w:lang w:bidi="ar"/>
              </w:rPr>
              <w:t>一手或双手</w:t>
            </w:r>
            <w:r>
              <w:rPr>
                <w:rStyle w:val="40"/>
                <w:rFonts w:hint="eastAsia" w:ascii="仿宋" w:hAnsi="仿宋" w:eastAsia="仿宋" w:cs="仿宋"/>
                <w:color w:val="auto"/>
                <w:sz w:val="21"/>
                <w:szCs w:val="21"/>
                <w:lang w:bidi="ar"/>
              </w:rPr>
              <w:t>)</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700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20</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sz w:val="21"/>
                <w:szCs w:val="21"/>
              </w:rPr>
            </w:pPr>
            <w:r>
              <w:rPr>
                <w:rFonts w:hint="eastAsia" w:ascii="仿宋" w:hAnsi="仿宋" w:eastAsia="仿宋" w:cs="仿宋"/>
                <w:kern w:val="0"/>
                <w:sz w:val="21"/>
                <w:szCs w:val="21"/>
                <w:lang w:bidi="ar"/>
              </w:rPr>
              <w:t>胫骨或腓骨骨折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sz w:val="21"/>
                <w:szCs w:val="21"/>
              </w:rPr>
            </w:pPr>
            <w:r>
              <w:rPr>
                <w:rFonts w:hint="eastAsia" w:ascii="仿宋" w:hAnsi="仿宋" w:eastAsia="仿宋" w:cs="仿宋"/>
                <w:kern w:val="0"/>
                <w:sz w:val="21"/>
                <w:szCs w:val="21"/>
                <w:lang w:bidi="ar"/>
              </w:rPr>
              <w:t>700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21</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Style w:val="39"/>
                <w:rFonts w:hint="eastAsia" w:ascii="仿宋" w:hAnsi="仿宋" w:eastAsia="仿宋" w:cs="仿宋"/>
                <w:color w:val="auto"/>
                <w:sz w:val="21"/>
                <w:szCs w:val="21"/>
                <w:lang w:bidi="ar"/>
              </w:rPr>
              <w:t>踝骨骨折</w:t>
            </w:r>
            <w:r>
              <w:rPr>
                <w:rStyle w:val="40"/>
                <w:rFonts w:hint="eastAsia" w:ascii="仿宋" w:hAnsi="仿宋" w:eastAsia="仿宋" w:cs="仿宋"/>
                <w:color w:val="auto"/>
                <w:sz w:val="21"/>
                <w:szCs w:val="21"/>
                <w:lang w:bidi="ar"/>
              </w:rPr>
              <w:t>(</w:t>
            </w:r>
            <w:r>
              <w:rPr>
                <w:rStyle w:val="39"/>
                <w:rFonts w:hint="eastAsia" w:ascii="仿宋" w:hAnsi="仿宋" w:eastAsia="仿宋" w:cs="仿宋"/>
                <w:color w:val="auto"/>
                <w:sz w:val="21"/>
                <w:szCs w:val="21"/>
                <w:lang w:bidi="ar"/>
              </w:rPr>
              <w:t>一足或双足</w:t>
            </w:r>
            <w:r>
              <w:rPr>
                <w:rStyle w:val="40"/>
                <w:rFonts w:hint="eastAsia" w:ascii="仿宋" w:hAnsi="仿宋" w:eastAsia="仿宋" w:cs="仿宋"/>
                <w:color w:val="auto"/>
                <w:sz w:val="21"/>
                <w:szCs w:val="21"/>
                <w:lang w:bidi="ar"/>
              </w:rPr>
              <w:t>)</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700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22</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颅骨（包括颅盖骨、颅底骨折、枕骨骨折）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800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Style w:val="39"/>
                <w:rFonts w:hint="eastAsia" w:ascii="仿宋" w:hAnsi="仿宋" w:eastAsia="仿宋" w:cs="仿宋"/>
                <w:color w:val="auto"/>
                <w:sz w:val="21"/>
                <w:szCs w:val="21"/>
                <w:lang w:bidi="ar"/>
              </w:rPr>
              <w:t>椎体骨折</w:t>
            </w:r>
            <w:r>
              <w:rPr>
                <w:rStyle w:val="40"/>
                <w:rFonts w:hint="eastAsia" w:ascii="仿宋" w:hAnsi="仿宋" w:eastAsia="仿宋" w:cs="仿宋"/>
                <w:color w:val="auto"/>
                <w:sz w:val="21"/>
                <w:szCs w:val="21"/>
                <w:lang w:bidi="ar"/>
              </w:rPr>
              <w:t>(</w:t>
            </w:r>
            <w:r>
              <w:rPr>
                <w:rStyle w:val="39"/>
                <w:rFonts w:hint="eastAsia" w:ascii="仿宋" w:hAnsi="仿宋" w:eastAsia="仿宋" w:cs="仿宋"/>
                <w:color w:val="auto"/>
                <w:sz w:val="21"/>
                <w:szCs w:val="21"/>
                <w:lang w:bidi="ar"/>
              </w:rPr>
              <w:t>包括胸椎、腰椎及尾骨</w:t>
            </w:r>
            <w:r>
              <w:rPr>
                <w:rStyle w:val="40"/>
                <w:rFonts w:hint="eastAsia" w:ascii="仿宋" w:hAnsi="仿宋" w:eastAsia="仿宋" w:cs="仿宋"/>
                <w:color w:val="auto"/>
                <w:sz w:val="21"/>
                <w:szCs w:val="21"/>
                <w:lang w:bidi="ar"/>
              </w:rPr>
              <w:t>)</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800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股骨干骨折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胫骨平台骨折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股骨粗隆间骨折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27</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胫腓骨骨折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900</w:t>
            </w:r>
          </w:p>
        </w:tc>
      </w:tr>
      <w:tr>
        <w:tblPrEx>
          <w:tblCellMar>
            <w:top w:w="0" w:type="dxa"/>
            <w:left w:w="0" w:type="dxa"/>
            <w:bottom w:w="0" w:type="dxa"/>
            <w:right w:w="0"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line="44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28</w:t>
            </w:r>
          </w:p>
        </w:tc>
        <w:tc>
          <w:tcPr>
            <w:tcW w:w="5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股骨颈骨折</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440" w:lineRule="exact"/>
              <w:jc w:val="center"/>
              <w:textAlignment w:val="bottom"/>
              <w:rPr>
                <w:rFonts w:hint="eastAsia" w:ascii="仿宋" w:hAnsi="仿宋" w:eastAsia="仿宋" w:cs="仿宋"/>
                <w:kern w:val="0"/>
                <w:sz w:val="21"/>
                <w:szCs w:val="21"/>
              </w:rPr>
            </w:pPr>
            <w:r>
              <w:rPr>
                <w:rFonts w:hint="eastAsia" w:ascii="仿宋" w:hAnsi="仿宋" w:eastAsia="仿宋" w:cs="仿宋"/>
                <w:kern w:val="0"/>
                <w:sz w:val="21"/>
                <w:szCs w:val="21"/>
                <w:lang w:bidi="ar"/>
              </w:rPr>
              <w:t>1000</w:t>
            </w:r>
          </w:p>
        </w:tc>
      </w:tr>
    </w:tbl>
    <w:p>
      <w:pPr>
        <w:numPr>
          <w:ilvl w:val="0"/>
          <w:numId w:val="1"/>
        </w:numPr>
        <w:spacing w:line="480" w:lineRule="exact"/>
        <w:ind w:firstLine="413" w:firstLineChars="196"/>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意外康复治疗津贴</w:t>
      </w:r>
    </w:p>
    <w:p>
      <w:pPr>
        <w:spacing w:line="48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被保险人在保险期间</w:t>
      </w:r>
      <w:r>
        <w:rPr>
          <w:rFonts w:hint="eastAsia" w:ascii="仿宋" w:hAnsi="仿宋" w:eastAsia="仿宋" w:cs="仿宋"/>
          <w:sz w:val="21"/>
          <w:szCs w:val="21"/>
          <w:highlight w:val="none"/>
          <w:lang w:val="en-US" w:eastAsia="zh-CN"/>
        </w:rPr>
        <w:t>内因意外受到伤害的，由二级及二级以上医院或骨伤科医院出具相关证明或建议进行康复治疗的，且由康复机构出具诊疗记录（如门诊记录、器械使用记录、住院记录等），保险人按照</w:t>
      </w:r>
      <w:r>
        <w:rPr>
          <w:rFonts w:hint="eastAsia" w:ascii="仿宋" w:hAnsi="仿宋" w:eastAsia="仿宋" w:cs="仿宋"/>
          <w:sz w:val="21"/>
          <w:szCs w:val="21"/>
        </w:rPr>
        <w:t>合同约定承担本次保险责任</w:t>
      </w:r>
      <w:r>
        <w:rPr>
          <w:rFonts w:hint="eastAsia" w:ascii="仿宋" w:hAnsi="仿宋" w:eastAsia="仿宋" w:cs="仿宋"/>
          <w:sz w:val="21"/>
          <w:szCs w:val="21"/>
          <w:lang w:eastAsia="zh-CN"/>
        </w:rPr>
        <w:t>。</w:t>
      </w:r>
    </w:p>
    <w:p>
      <w:pPr>
        <w:spacing w:line="480" w:lineRule="exact"/>
        <w:ind w:firstLine="413" w:firstLineChars="196"/>
        <w:rPr>
          <w:rFonts w:hint="eastAsia" w:ascii="仿宋" w:hAnsi="仿宋" w:eastAsia="仿宋" w:cs="仿宋"/>
          <w:b/>
          <w:bCs/>
          <w:sz w:val="21"/>
          <w:szCs w:val="21"/>
        </w:rPr>
      </w:pPr>
      <w:r>
        <w:rPr>
          <w:rFonts w:hint="eastAsia" w:ascii="仿宋" w:hAnsi="仿宋" w:eastAsia="仿宋" w:cs="仿宋"/>
          <w:b/>
          <w:bCs/>
          <w:sz w:val="21"/>
          <w:szCs w:val="21"/>
        </w:rPr>
        <w:t>6、特别约定</w:t>
      </w:r>
    </w:p>
    <w:p>
      <w:pPr>
        <w:spacing w:line="480" w:lineRule="exact"/>
        <w:ind w:firstLine="422" w:firstLineChars="200"/>
        <w:rPr>
          <w:rFonts w:hint="eastAsia" w:ascii="仿宋" w:hAnsi="仿宋" w:eastAsia="仿宋" w:cs="仿宋"/>
          <w:sz w:val="21"/>
          <w:szCs w:val="21"/>
        </w:rPr>
      </w:pPr>
      <w:r>
        <w:rPr>
          <w:rFonts w:hint="eastAsia" w:ascii="仿宋" w:hAnsi="仿宋" w:eastAsia="仿宋" w:cs="仿宋"/>
          <w:b/>
          <w:bCs/>
          <w:sz w:val="21"/>
          <w:szCs w:val="21"/>
        </w:rPr>
        <w:t>（1）骨质疏松特别约定：</w:t>
      </w:r>
      <w:r>
        <w:rPr>
          <w:rFonts w:hint="eastAsia" w:ascii="仿宋" w:hAnsi="仿宋" w:eastAsia="仿宋" w:cs="仿宋"/>
          <w:sz w:val="21"/>
          <w:szCs w:val="21"/>
        </w:rPr>
        <w:t>被保险人在保险期间内因意外伤害治疗，保险人不考虑骨质疏松对该事故产生的影响，按照合同约定承担本次保险责任。</w:t>
      </w:r>
    </w:p>
    <w:p>
      <w:pPr>
        <w:spacing w:line="480" w:lineRule="exact"/>
        <w:ind w:firstLine="422" w:firstLineChars="200"/>
        <w:rPr>
          <w:rFonts w:hint="eastAsia" w:ascii="仿宋" w:hAnsi="仿宋" w:eastAsia="仿宋" w:cs="仿宋"/>
          <w:sz w:val="21"/>
          <w:szCs w:val="21"/>
        </w:rPr>
      </w:pPr>
      <w:r>
        <w:rPr>
          <w:rFonts w:hint="eastAsia" w:ascii="仿宋" w:hAnsi="仿宋" w:eastAsia="仿宋" w:cs="仿宋"/>
          <w:b/>
          <w:bCs/>
          <w:sz w:val="21"/>
          <w:szCs w:val="21"/>
        </w:rPr>
        <w:t>（2）司法鉴定机构特别约定：</w:t>
      </w:r>
      <w:r>
        <w:rPr>
          <w:rFonts w:hint="eastAsia" w:ascii="仿宋" w:hAnsi="仿宋" w:eastAsia="仿宋" w:cs="仿宋"/>
          <w:snapToGrid w:val="0"/>
          <w:kern w:val="0"/>
          <w:sz w:val="21"/>
          <w:szCs w:val="21"/>
        </w:rPr>
        <w:t>被保险人因意外导致伤残，在浙江商检司法鉴定所湖州分所或浙江迪安司法鉴定中心湖州分所两家司法鉴定机构进行咨询评估，咨询评估等级为1-10级并出具咨询评估意见书的，咨询评估意见书费用由保险人承担。</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定义：</w:t>
      </w:r>
    </w:p>
    <w:p>
      <w:pPr>
        <w:spacing w:line="500" w:lineRule="exact"/>
        <w:ind w:firstLine="422" w:firstLineChars="200"/>
        <w:rPr>
          <w:rFonts w:hint="eastAsia" w:ascii="仿宋" w:hAnsi="仿宋" w:eastAsia="仿宋" w:cs="仿宋"/>
          <w:sz w:val="21"/>
          <w:szCs w:val="21"/>
        </w:rPr>
      </w:pPr>
      <w:r>
        <w:rPr>
          <w:rFonts w:hint="eastAsia" w:ascii="仿宋" w:hAnsi="仿宋" w:eastAsia="仿宋" w:cs="仿宋"/>
          <w:b/>
          <w:bCs/>
          <w:sz w:val="21"/>
          <w:szCs w:val="21"/>
        </w:rPr>
        <w:t>意外伤害：</w:t>
      </w:r>
      <w:r>
        <w:rPr>
          <w:rFonts w:hint="eastAsia" w:ascii="仿宋" w:hAnsi="仿宋" w:eastAsia="仿宋" w:cs="仿宋"/>
          <w:sz w:val="21"/>
          <w:szCs w:val="21"/>
        </w:rPr>
        <w:t>指以外来的、突发的、非本意的和</w:t>
      </w:r>
      <w:r>
        <w:rPr>
          <w:rFonts w:hint="eastAsia" w:ascii="仿宋" w:hAnsi="仿宋" w:eastAsia="仿宋" w:cs="仿宋"/>
          <w:b/>
          <w:bCs/>
          <w:sz w:val="21"/>
          <w:szCs w:val="21"/>
          <w:u w:val="single"/>
        </w:rPr>
        <w:t>非疾病</w:t>
      </w:r>
      <w:r>
        <w:rPr>
          <w:rFonts w:hint="eastAsia" w:ascii="仿宋" w:hAnsi="仿宋" w:eastAsia="仿宋" w:cs="仿宋"/>
          <w:sz w:val="21"/>
          <w:szCs w:val="21"/>
        </w:rPr>
        <w:t>的客观事件为直接的原因致使身体受到的伤害。</w:t>
      </w:r>
    </w:p>
    <w:p>
      <w:pPr>
        <w:spacing w:line="50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（1）意外身故鉴定依据：以《医疗诊断证明》（或《死亡医学证明（推断）书》）、《尸检报告》等由医院或司法部门开具的能够证明被保险人死亡医学原因的书面材料为准。</w:t>
      </w:r>
    </w:p>
    <w:p>
      <w:pPr>
        <w:autoSpaceDE w:val="0"/>
        <w:autoSpaceDN w:val="0"/>
        <w:spacing w:line="500" w:lineRule="exact"/>
        <w:ind w:firstLine="413" w:firstLineChars="196"/>
        <w:rPr>
          <w:rFonts w:hint="eastAsia" w:ascii="仿宋" w:hAnsi="仿宋" w:eastAsia="仿宋" w:cs="仿宋"/>
          <w:b/>
          <w:bCs/>
          <w:sz w:val="21"/>
          <w:szCs w:val="21"/>
        </w:rPr>
      </w:pPr>
      <w:r>
        <w:rPr>
          <w:rFonts w:hint="eastAsia" w:ascii="仿宋" w:hAnsi="仿宋" w:eastAsia="仿宋" w:cs="仿宋"/>
          <w:b/>
          <w:bCs/>
          <w:sz w:val="21"/>
          <w:szCs w:val="21"/>
        </w:rPr>
        <w:t>（2）意外受伤鉴定依据：以《病历记录》、《出院小结》或《医疗诊断证明》等医院开具的能够证明被保险人受伤原因的书面材料为准。</w:t>
      </w:r>
    </w:p>
    <w:p>
      <w:pPr>
        <w:autoSpaceDE w:val="0"/>
        <w:autoSpaceDN w:val="0"/>
        <w:spacing w:line="500" w:lineRule="exact"/>
        <w:ind w:firstLine="422" w:firstLineChars="200"/>
        <w:rPr>
          <w:rFonts w:hint="eastAsia" w:ascii="仿宋" w:hAnsi="仿宋" w:eastAsia="仿宋" w:cs="仿宋"/>
          <w:sz w:val="21"/>
          <w:szCs w:val="21"/>
        </w:rPr>
      </w:pPr>
      <w:r>
        <w:rPr>
          <w:rFonts w:hint="eastAsia" w:ascii="仿宋" w:hAnsi="仿宋" w:eastAsia="仿宋" w:cs="仿宋"/>
          <w:b/>
          <w:kern w:val="0"/>
          <w:sz w:val="21"/>
          <w:szCs w:val="21"/>
        </w:rPr>
        <w:t>第三条  适用条款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（一）团体人员意外伤害保险条款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（二）附加团体意外伤害医疗保险条款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（三）附加意外伤害住院补贴医疗保险条款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（四）意外伤害住院看护津贴</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（五）护理保险金</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（六）骨折意外保险金</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（七）人体损伤致残程度分级（2017）</w:t>
      </w:r>
    </w:p>
    <w:p>
      <w:pPr>
        <w:autoSpaceDE w:val="0"/>
        <w:autoSpaceDN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第四条  项目操作</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（一）服务区域</w:t>
      </w:r>
    </w:p>
    <w:p>
      <w:pPr>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保险人在下列各自服务区域内开展《湖州市老年人意外伤害统筹保险》项目的宣传、推动、承保、理赔等服务。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blHeader/>
          <w:jc w:val="center"/>
        </w:trPr>
        <w:tc>
          <w:tcPr>
            <w:tcW w:w="9212" w:type="dxa"/>
            <w:noWrap w:val="0"/>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服务区域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9212" w:type="dxa"/>
            <w:noWrap w:val="0"/>
            <w:vAlign w:val="center"/>
          </w:tcPr>
          <w:p>
            <w:pPr>
              <w:snapToGrid w:val="0"/>
              <w:spacing w:before="72" w:beforeLines="30" w:after="72" w:afterLines="30"/>
              <w:jc w:val="center"/>
              <w:rPr>
                <w:rFonts w:hint="eastAsia" w:ascii="仿宋" w:hAnsi="仿宋" w:eastAsia="仿宋" w:cs="仿宋"/>
                <w:sz w:val="21"/>
                <w:szCs w:val="21"/>
              </w:rPr>
            </w:pPr>
            <w:r>
              <w:rPr>
                <w:rFonts w:hint="eastAsia" w:ascii="仿宋" w:hAnsi="仿宋" w:eastAsia="仿宋" w:cs="仿宋"/>
                <w:sz w:val="21"/>
                <w:szCs w:val="21"/>
              </w:rPr>
              <w:t>南浔区、吴兴区、南太湖新区</w:t>
            </w:r>
          </w:p>
        </w:tc>
      </w:tr>
    </w:tbl>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sz w:val="21"/>
          <w:szCs w:val="21"/>
        </w:rPr>
        <w:t>非政府出资的符合“参保对象”条件的老年人同样享受湖州市老年人意外伤害统筹保险的价格、保障及相关服务；企事业单位、社会组织和个人作为投保人为老年人集体购买的保险也同样享受统筹保险的价格、保障及相关服务。</w:t>
      </w:r>
    </w:p>
    <w:p>
      <w:pPr>
        <w:autoSpaceDE w:val="0"/>
        <w:autoSpaceDN w:val="0"/>
        <w:spacing w:line="500" w:lineRule="exact"/>
        <w:ind w:firstLine="403" w:firstLineChars="192"/>
        <w:rPr>
          <w:rFonts w:hint="eastAsia" w:ascii="仿宋" w:hAnsi="仿宋" w:eastAsia="仿宋" w:cs="仿宋"/>
          <w:sz w:val="21"/>
          <w:szCs w:val="21"/>
        </w:rPr>
      </w:pPr>
      <w:r>
        <w:rPr>
          <w:rFonts w:hint="eastAsia" w:ascii="仿宋" w:hAnsi="仿宋" w:eastAsia="仿宋" w:cs="仿宋"/>
          <w:sz w:val="21"/>
          <w:szCs w:val="21"/>
        </w:rPr>
        <w:t>（二）成立项目领导小组</w:t>
      </w:r>
    </w:p>
    <w:p>
      <w:pPr>
        <w:autoSpaceDE w:val="0"/>
        <w:autoSpaceDN w:val="0"/>
        <w:spacing w:line="500" w:lineRule="exact"/>
        <w:ind w:firstLine="403" w:firstLineChars="192"/>
        <w:rPr>
          <w:rFonts w:hint="eastAsia" w:ascii="仿宋" w:hAnsi="仿宋" w:eastAsia="仿宋" w:cs="仿宋"/>
          <w:sz w:val="21"/>
          <w:szCs w:val="21"/>
        </w:rPr>
      </w:pPr>
      <w:r>
        <w:rPr>
          <w:rFonts w:hint="eastAsia" w:ascii="仿宋" w:hAnsi="仿宋" w:eastAsia="仿宋" w:cs="仿宋"/>
          <w:sz w:val="21"/>
          <w:szCs w:val="21"/>
        </w:rPr>
        <w:t>成立“湖州市老年人意外伤害统筹保险项目领导小组”，领导小组职责为对本项目进行监督、协调、考评等工作，领导小组组长由甲方相关负责人担任，组员由各区、县（市）民政局（分局、社发局）、乙方、丙方相关负责人组成。</w:t>
      </w:r>
    </w:p>
    <w:p>
      <w:pPr>
        <w:autoSpaceDE w:val="0"/>
        <w:autoSpaceDN w:val="0"/>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 xml:space="preserve"> “湖州市老年人意外伤害统筹保险”项目领导小组</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1436"/>
        <w:gridCol w:w="1245"/>
        <w:gridCol w:w="12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单位名称</w:t>
            </w:r>
          </w:p>
        </w:tc>
        <w:tc>
          <w:tcPr>
            <w:tcW w:w="1436" w:type="dxa"/>
            <w:noWrap w:val="0"/>
            <w:vAlign w:val="center"/>
          </w:tcPr>
          <w:p>
            <w:pPr>
              <w:autoSpaceDE w:val="0"/>
              <w:autoSpaceDN w:val="0"/>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245" w:type="dxa"/>
            <w:noWrap w:val="0"/>
            <w:vAlign w:val="center"/>
          </w:tcPr>
          <w:p>
            <w:pPr>
              <w:autoSpaceDE w:val="0"/>
              <w:autoSpaceDN w:val="0"/>
              <w:spacing w:line="300" w:lineRule="exact"/>
              <w:jc w:val="center"/>
              <w:rPr>
                <w:rFonts w:hint="eastAsia" w:ascii="仿宋" w:hAnsi="仿宋" w:eastAsia="仿宋" w:cs="仿宋"/>
                <w:b/>
                <w:sz w:val="21"/>
                <w:szCs w:val="21"/>
              </w:rPr>
            </w:pPr>
            <w:r>
              <w:rPr>
                <w:rFonts w:hint="eastAsia" w:ascii="仿宋" w:hAnsi="仿宋" w:eastAsia="仿宋" w:cs="仿宋"/>
                <w:b/>
                <w:bCs/>
                <w:kern w:val="0"/>
                <w:sz w:val="21"/>
                <w:szCs w:val="21"/>
              </w:rPr>
              <w:t>职务</w:t>
            </w:r>
          </w:p>
        </w:tc>
        <w:tc>
          <w:tcPr>
            <w:tcW w:w="1290" w:type="dxa"/>
            <w:noWrap w:val="0"/>
            <w:vAlign w:val="center"/>
          </w:tcPr>
          <w:p>
            <w:pPr>
              <w:autoSpaceDE w:val="0"/>
              <w:autoSpaceDN w:val="0"/>
              <w:spacing w:line="300" w:lineRule="exact"/>
              <w:jc w:val="center"/>
              <w:rPr>
                <w:rFonts w:hint="eastAsia" w:ascii="仿宋" w:hAnsi="仿宋" w:eastAsia="仿宋" w:cs="仿宋"/>
                <w:b/>
                <w:sz w:val="21"/>
                <w:szCs w:val="21"/>
              </w:rPr>
            </w:pPr>
            <w:r>
              <w:rPr>
                <w:rFonts w:hint="eastAsia" w:ascii="仿宋" w:hAnsi="仿宋" w:eastAsia="仿宋" w:cs="仿宋"/>
                <w:b/>
                <w:bCs/>
                <w:kern w:val="0"/>
                <w:sz w:val="21"/>
                <w:szCs w:val="21"/>
              </w:rPr>
              <w:t>领导小组</w:t>
            </w:r>
          </w:p>
        </w:tc>
        <w:tc>
          <w:tcPr>
            <w:tcW w:w="1590" w:type="dxa"/>
            <w:noWrap w:val="0"/>
            <w:vAlign w:val="center"/>
          </w:tcPr>
          <w:p>
            <w:pPr>
              <w:autoSpaceDE w:val="0"/>
              <w:autoSpaceDN w:val="0"/>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湖州市民政局</w:t>
            </w: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组长</w:t>
            </w:r>
          </w:p>
        </w:tc>
        <w:tc>
          <w:tcPr>
            <w:tcW w:w="1590"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bCs/>
                <w:kern w:val="0"/>
                <w:sz w:val="21"/>
                <w:szCs w:val="21"/>
                <w:u w:val="single"/>
              </w:rPr>
            </w:pPr>
            <w:r>
              <w:rPr>
                <w:rFonts w:hint="eastAsia" w:ascii="仿宋" w:hAnsi="仿宋" w:eastAsia="仿宋" w:cs="仿宋"/>
                <w:sz w:val="21"/>
                <w:szCs w:val="21"/>
              </w:rPr>
              <w:t>（保险人名称）</w:t>
            </w: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组员</w:t>
            </w:r>
          </w:p>
        </w:tc>
        <w:tc>
          <w:tcPr>
            <w:tcW w:w="1590" w:type="dxa"/>
            <w:noWrap w:val="0"/>
            <w:vAlign w:val="center"/>
          </w:tcPr>
          <w:p>
            <w:pPr>
              <w:tabs>
                <w:tab w:val="left" w:pos="432"/>
              </w:tabs>
              <w:autoSpaceDE w:val="0"/>
              <w:autoSpaceDN w:val="0"/>
              <w:ind w:left="432" w:hanging="43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保险经纪公司</w:t>
            </w: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组员</w:t>
            </w:r>
          </w:p>
        </w:tc>
        <w:tc>
          <w:tcPr>
            <w:tcW w:w="1590"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南浔区民政局</w:t>
            </w: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组员</w:t>
            </w:r>
          </w:p>
        </w:tc>
        <w:tc>
          <w:tcPr>
            <w:tcW w:w="1590"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吴兴区民政局</w:t>
            </w: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组员</w:t>
            </w:r>
          </w:p>
        </w:tc>
        <w:tc>
          <w:tcPr>
            <w:tcW w:w="1590"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南太湖新区民政局</w:t>
            </w: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组员</w:t>
            </w:r>
          </w:p>
        </w:tc>
        <w:tc>
          <w:tcPr>
            <w:tcW w:w="1590"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6" w:type="dxa"/>
            <w:noWrap w:val="0"/>
            <w:vAlign w:val="center"/>
          </w:tcPr>
          <w:p>
            <w:pPr>
              <w:autoSpaceDE w:val="0"/>
              <w:autoSpaceDN w:val="0"/>
              <w:jc w:val="center"/>
              <w:rPr>
                <w:rFonts w:hint="eastAsia" w:ascii="仿宋" w:hAnsi="仿宋" w:eastAsia="仿宋" w:cs="仿宋"/>
                <w:sz w:val="21"/>
                <w:szCs w:val="21"/>
              </w:rPr>
            </w:pPr>
          </w:p>
        </w:tc>
        <w:tc>
          <w:tcPr>
            <w:tcW w:w="1436" w:type="dxa"/>
            <w:noWrap w:val="0"/>
            <w:vAlign w:val="center"/>
          </w:tcPr>
          <w:p>
            <w:pPr>
              <w:autoSpaceDE w:val="0"/>
              <w:autoSpaceDN w:val="0"/>
              <w:jc w:val="center"/>
              <w:rPr>
                <w:rFonts w:hint="eastAsia" w:ascii="仿宋" w:hAnsi="仿宋" w:eastAsia="仿宋" w:cs="仿宋"/>
                <w:sz w:val="21"/>
                <w:szCs w:val="21"/>
              </w:rPr>
            </w:pPr>
          </w:p>
        </w:tc>
        <w:tc>
          <w:tcPr>
            <w:tcW w:w="1245" w:type="dxa"/>
            <w:noWrap w:val="0"/>
            <w:vAlign w:val="center"/>
          </w:tcPr>
          <w:p>
            <w:pPr>
              <w:autoSpaceDE w:val="0"/>
              <w:autoSpaceDN w:val="0"/>
              <w:jc w:val="center"/>
              <w:rPr>
                <w:rFonts w:hint="eastAsia" w:ascii="仿宋" w:hAnsi="仿宋" w:eastAsia="仿宋" w:cs="仿宋"/>
                <w:sz w:val="21"/>
                <w:szCs w:val="21"/>
              </w:rPr>
            </w:pPr>
          </w:p>
        </w:tc>
        <w:tc>
          <w:tcPr>
            <w:tcW w:w="1290" w:type="dxa"/>
            <w:noWrap w:val="0"/>
            <w:vAlign w:val="center"/>
          </w:tcPr>
          <w:p>
            <w:pPr>
              <w:autoSpaceDE w:val="0"/>
              <w:autoSpaceDN w:val="0"/>
              <w:jc w:val="center"/>
              <w:rPr>
                <w:rFonts w:hint="eastAsia" w:ascii="仿宋" w:hAnsi="仿宋" w:eastAsia="仿宋" w:cs="仿宋"/>
                <w:sz w:val="21"/>
                <w:szCs w:val="21"/>
              </w:rPr>
            </w:pPr>
          </w:p>
        </w:tc>
        <w:tc>
          <w:tcPr>
            <w:tcW w:w="1590" w:type="dxa"/>
            <w:noWrap w:val="0"/>
            <w:vAlign w:val="center"/>
          </w:tcPr>
          <w:p>
            <w:pPr>
              <w:autoSpaceDE w:val="0"/>
              <w:autoSpaceDN w:val="0"/>
              <w:jc w:val="center"/>
              <w:rPr>
                <w:rFonts w:hint="eastAsia" w:ascii="仿宋" w:hAnsi="仿宋" w:eastAsia="仿宋" w:cs="仿宋"/>
                <w:sz w:val="21"/>
                <w:szCs w:val="21"/>
              </w:rPr>
            </w:pPr>
          </w:p>
        </w:tc>
      </w:tr>
    </w:tbl>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（三）乙方成立项目小组</w:t>
      </w:r>
    </w:p>
    <w:p>
      <w:pPr>
        <w:spacing w:line="500"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乙方成立“湖州市老年人意外伤害统筹保险项目小组”，开展“湖州市老年人意外伤害统筹保险” 项目的宣传、推广，提供承保理赔服务工作。</w:t>
      </w:r>
    </w:p>
    <w:p>
      <w:pPr>
        <w:autoSpaceDE w:val="0"/>
        <w:autoSpaceDN w:val="0"/>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“湖州市老年人意外伤害统筹保险”项目小组</w:t>
      </w:r>
    </w:p>
    <w:p>
      <w:pPr>
        <w:autoSpaceDE w:val="0"/>
        <w:autoSpaceDN w:val="0"/>
        <w:spacing w:line="500" w:lineRule="exact"/>
        <w:jc w:val="center"/>
        <w:rPr>
          <w:rFonts w:hint="eastAsia" w:ascii="仿宋" w:hAnsi="仿宋" w:eastAsia="仿宋" w:cs="仿宋"/>
          <w:sz w:val="21"/>
          <w:szCs w:val="21"/>
          <w:u w:val="single"/>
        </w:rPr>
      </w:pPr>
      <w:r>
        <w:rPr>
          <w:rFonts w:hint="eastAsia" w:ascii="仿宋" w:hAnsi="仿宋" w:eastAsia="仿宋" w:cs="仿宋"/>
          <w:b/>
          <w:sz w:val="21"/>
          <w:szCs w:val="21"/>
        </w:rPr>
        <w:t>24小时报案电话：</w:t>
      </w:r>
      <w:r>
        <w:rPr>
          <w:rFonts w:hint="eastAsia" w:ascii="仿宋" w:hAnsi="仿宋" w:eastAsia="仿宋" w:cs="仿宋"/>
          <w:sz w:val="21"/>
          <w:szCs w:val="21"/>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992"/>
        <w:gridCol w:w="2835"/>
        <w:gridCol w:w="85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3" w:type="dxa"/>
            <w:noWrap w:val="0"/>
            <w:vAlign w:val="center"/>
          </w:tcPr>
          <w:p>
            <w:pPr>
              <w:spacing w:line="360" w:lineRule="exact"/>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992" w:type="dxa"/>
            <w:noWrap w:val="0"/>
            <w:vAlign w:val="center"/>
          </w:tcPr>
          <w:p>
            <w:pPr>
              <w:spacing w:line="360" w:lineRule="exact"/>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2835" w:type="dxa"/>
            <w:noWrap w:val="0"/>
            <w:vAlign w:val="center"/>
          </w:tcPr>
          <w:p>
            <w:pPr>
              <w:spacing w:line="360" w:lineRule="exact"/>
              <w:jc w:val="center"/>
              <w:rPr>
                <w:rFonts w:hint="eastAsia" w:ascii="仿宋" w:hAnsi="仿宋" w:eastAsia="仿宋" w:cs="仿宋"/>
                <w:b/>
                <w:sz w:val="21"/>
                <w:szCs w:val="21"/>
              </w:rPr>
            </w:pPr>
            <w:r>
              <w:rPr>
                <w:rFonts w:hint="eastAsia" w:ascii="仿宋" w:hAnsi="仿宋" w:eastAsia="仿宋" w:cs="仿宋"/>
                <w:b/>
                <w:sz w:val="21"/>
                <w:szCs w:val="21"/>
              </w:rPr>
              <w:t>职务</w:t>
            </w:r>
          </w:p>
        </w:tc>
        <w:tc>
          <w:tcPr>
            <w:tcW w:w="851" w:type="dxa"/>
            <w:noWrap w:val="0"/>
            <w:vAlign w:val="center"/>
          </w:tcPr>
          <w:p>
            <w:pPr>
              <w:spacing w:line="360" w:lineRule="exact"/>
              <w:jc w:val="center"/>
              <w:rPr>
                <w:rFonts w:hint="eastAsia" w:ascii="仿宋" w:hAnsi="仿宋" w:eastAsia="仿宋" w:cs="仿宋"/>
                <w:b/>
                <w:sz w:val="21"/>
                <w:szCs w:val="21"/>
              </w:rPr>
            </w:pPr>
            <w:r>
              <w:rPr>
                <w:rFonts w:hint="eastAsia" w:ascii="仿宋" w:hAnsi="仿宋" w:eastAsia="仿宋" w:cs="仿宋"/>
                <w:b/>
                <w:sz w:val="21"/>
                <w:szCs w:val="21"/>
              </w:rPr>
              <w:t>小组</w:t>
            </w:r>
          </w:p>
        </w:tc>
        <w:tc>
          <w:tcPr>
            <w:tcW w:w="1917" w:type="dxa"/>
            <w:noWrap w:val="0"/>
            <w:vAlign w:val="center"/>
          </w:tcPr>
          <w:p>
            <w:pPr>
              <w:spacing w:line="360" w:lineRule="exact"/>
              <w:jc w:val="center"/>
              <w:rPr>
                <w:rFonts w:hint="eastAsia" w:ascii="仿宋" w:hAnsi="仿宋" w:eastAsia="仿宋" w:cs="仿宋"/>
                <w:b/>
                <w:sz w:val="21"/>
                <w:szCs w:val="21"/>
              </w:rPr>
            </w:pPr>
            <w:r>
              <w:rPr>
                <w:rFonts w:hint="eastAsia" w:ascii="仿宋" w:hAnsi="仿宋" w:eastAsia="仿宋" w:cs="仿宋"/>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3" w:type="dxa"/>
            <w:noWrap w:val="0"/>
            <w:vAlign w:val="center"/>
          </w:tcPr>
          <w:p>
            <w:pPr>
              <w:spacing w:line="360" w:lineRule="exact"/>
              <w:jc w:val="center"/>
              <w:rPr>
                <w:rFonts w:hint="eastAsia" w:ascii="仿宋" w:hAnsi="仿宋" w:eastAsia="仿宋" w:cs="仿宋"/>
                <w:sz w:val="21"/>
                <w:szCs w:val="21"/>
              </w:rPr>
            </w:pPr>
          </w:p>
        </w:tc>
        <w:tc>
          <w:tcPr>
            <w:tcW w:w="992" w:type="dxa"/>
            <w:noWrap w:val="0"/>
            <w:vAlign w:val="center"/>
          </w:tcPr>
          <w:p>
            <w:pPr>
              <w:spacing w:line="360" w:lineRule="exact"/>
              <w:jc w:val="center"/>
              <w:rPr>
                <w:rFonts w:hint="eastAsia" w:ascii="仿宋" w:hAnsi="仿宋" w:eastAsia="仿宋" w:cs="仿宋"/>
                <w:sz w:val="21"/>
                <w:szCs w:val="21"/>
              </w:rPr>
            </w:pPr>
          </w:p>
        </w:tc>
        <w:tc>
          <w:tcPr>
            <w:tcW w:w="2835" w:type="dxa"/>
            <w:noWrap w:val="0"/>
            <w:vAlign w:val="center"/>
          </w:tcPr>
          <w:p>
            <w:pPr>
              <w:spacing w:line="360" w:lineRule="exact"/>
              <w:jc w:val="center"/>
              <w:rPr>
                <w:rFonts w:hint="eastAsia" w:ascii="仿宋" w:hAnsi="仿宋" w:eastAsia="仿宋" w:cs="仿宋"/>
                <w:sz w:val="21"/>
                <w:szCs w:val="21"/>
              </w:rPr>
            </w:pPr>
          </w:p>
        </w:tc>
        <w:tc>
          <w:tcPr>
            <w:tcW w:w="851" w:type="dxa"/>
            <w:noWrap w:val="0"/>
            <w:vAlign w:val="center"/>
          </w:tcPr>
          <w:p>
            <w:pPr>
              <w:spacing w:line="360" w:lineRule="exact"/>
              <w:jc w:val="center"/>
              <w:rPr>
                <w:rFonts w:hint="eastAsia" w:ascii="仿宋" w:hAnsi="仿宋" w:eastAsia="仿宋" w:cs="仿宋"/>
                <w:sz w:val="21"/>
                <w:szCs w:val="21"/>
              </w:rPr>
            </w:pPr>
          </w:p>
        </w:tc>
        <w:tc>
          <w:tcPr>
            <w:tcW w:w="1917"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3" w:type="dxa"/>
            <w:noWrap w:val="0"/>
            <w:vAlign w:val="center"/>
          </w:tcPr>
          <w:p>
            <w:pPr>
              <w:spacing w:line="360" w:lineRule="exact"/>
              <w:jc w:val="center"/>
              <w:rPr>
                <w:rFonts w:hint="eastAsia" w:ascii="仿宋" w:hAnsi="仿宋" w:eastAsia="仿宋" w:cs="仿宋"/>
                <w:sz w:val="21"/>
                <w:szCs w:val="21"/>
              </w:rPr>
            </w:pPr>
          </w:p>
        </w:tc>
        <w:tc>
          <w:tcPr>
            <w:tcW w:w="992" w:type="dxa"/>
            <w:noWrap w:val="0"/>
            <w:vAlign w:val="center"/>
          </w:tcPr>
          <w:p>
            <w:pPr>
              <w:spacing w:line="360" w:lineRule="exact"/>
              <w:jc w:val="center"/>
              <w:rPr>
                <w:rFonts w:hint="eastAsia" w:ascii="仿宋" w:hAnsi="仿宋" w:eastAsia="仿宋" w:cs="仿宋"/>
                <w:sz w:val="21"/>
                <w:szCs w:val="21"/>
              </w:rPr>
            </w:pPr>
          </w:p>
        </w:tc>
        <w:tc>
          <w:tcPr>
            <w:tcW w:w="2835" w:type="dxa"/>
            <w:noWrap w:val="0"/>
            <w:vAlign w:val="center"/>
          </w:tcPr>
          <w:p>
            <w:pPr>
              <w:spacing w:line="360" w:lineRule="exact"/>
              <w:jc w:val="center"/>
              <w:rPr>
                <w:rFonts w:hint="eastAsia" w:ascii="仿宋" w:hAnsi="仿宋" w:eastAsia="仿宋" w:cs="仿宋"/>
                <w:sz w:val="21"/>
                <w:szCs w:val="21"/>
              </w:rPr>
            </w:pPr>
          </w:p>
        </w:tc>
        <w:tc>
          <w:tcPr>
            <w:tcW w:w="851" w:type="dxa"/>
            <w:noWrap w:val="0"/>
            <w:vAlign w:val="center"/>
          </w:tcPr>
          <w:p>
            <w:pPr>
              <w:spacing w:line="360" w:lineRule="exact"/>
              <w:jc w:val="center"/>
              <w:rPr>
                <w:rFonts w:hint="eastAsia" w:ascii="仿宋" w:hAnsi="仿宋" w:eastAsia="仿宋" w:cs="仿宋"/>
                <w:sz w:val="21"/>
                <w:szCs w:val="21"/>
              </w:rPr>
            </w:pPr>
          </w:p>
        </w:tc>
        <w:tc>
          <w:tcPr>
            <w:tcW w:w="1917"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3" w:type="dxa"/>
            <w:noWrap w:val="0"/>
            <w:vAlign w:val="center"/>
          </w:tcPr>
          <w:p>
            <w:pPr>
              <w:spacing w:line="360" w:lineRule="exact"/>
              <w:jc w:val="center"/>
              <w:rPr>
                <w:rFonts w:hint="eastAsia" w:ascii="仿宋" w:hAnsi="仿宋" w:eastAsia="仿宋" w:cs="仿宋"/>
                <w:sz w:val="21"/>
                <w:szCs w:val="21"/>
              </w:rPr>
            </w:pPr>
          </w:p>
        </w:tc>
        <w:tc>
          <w:tcPr>
            <w:tcW w:w="992" w:type="dxa"/>
            <w:noWrap w:val="0"/>
            <w:vAlign w:val="center"/>
          </w:tcPr>
          <w:p>
            <w:pPr>
              <w:spacing w:line="360" w:lineRule="exact"/>
              <w:jc w:val="center"/>
              <w:rPr>
                <w:rFonts w:hint="eastAsia" w:ascii="仿宋" w:hAnsi="仿宋" w:eastAsia="仿宋" w:cs="仿宋"/>
                <w:sz w:val="21"/>
                <w:szCs w:val="21"/>
              </w:rPr>
            </w:pPr>
          </w:p>
        </w:tc>
        <w:tc>
          <w:tcPr>
            <w:tcW w:w="2835" w:type="dxa"/>
            <w:noWrap w:val="0"/>
            <w:vAlign w:val="center"/>
          </w:tcPr>
          <w:p>
            <w:pPr>
              <w:spacing w:line="360" w:lineRule="exact"/>
              <w:jc w:val="center"/>
              <w:rPr>
                <w:rFonts w:hint="eastAsia" w:ascii="仿宋" w:hAnsi="仿宋" w:eastAsia="仿宋" w:cs="仿宋"/>
                <w:sz w:val="21"/>
                <w:szCs w:val="21"/>
              </w:rPr>
            </w:pPr>
          </w:p>
        </w:tc>
        <w:tc>
          <w:tcPr>
            <w:tcW w:w="851" w:type="dxa"/>
            <w:noWrap w:val="0"/>
            <w:vAlign w:val="center"/>
          </w:tcPr>
          <w:p>
            <w:pPr>
              <w:spacing w:line="360" w:lineRule="exact"/>
              <w:jc w:val="center"/>
              <w:rPr>
                <w:rFonts w:hint="eastAsia" w:ascii="仿宋" w:hAnsi="仿宋" w:eastAsia="仿宋" w:cs="仿宋"/>
                <w:sz w:val="21"/>
                <w:szCs w:val="21"/>
              </w:rPr>
            </w:pPr>
          </w:p>
        </w:tc>
        <w:tc>
          <w:tcPr>
            <w:tcW w:w="1917"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3" w:type="dxa"/>
            <w:noWrap w:val="0"/>
            <w:vAlign w:val="center"/>
          </w:tcPr>
          <w:p>
            <w:pPr>
              <w:spacing w:line="360" w:lineRule="exact"/>
              <w:jc w:val="center"/>
              <w:rPr>
                <w:rFonts w:hint="eastAsia" w:ascii="仿宋" w:hAnsi="仿宋" w:eastAsia="仿宋" w:cs="仿宋"/>
                <w:sz w:val="21"/>
                <w:szCs w:val="21"/>
              </w:rPr>
            </w:pPr>
          </w:p>
        </w:tc>
        <w:tc>
          <w:tcPr>
            <w:tcW w:w="992" w:type="dxa"/>
            <w:noWrap w:val="0"/>
            <w:vAlign w:val="center"/>
          </w:tcPr>
          <w:p>
            <w:pPr>
              <w:spacing w:line="360" w:lineRule="exact"/>
              <w:jc w:val="center"/>
              <w:rPr>
                <w:rFonts w:hint="eastAsia" w:ascii="仿宋" w:hAnsi="仿宋" w:eastAsia="仿宋" w:cs="仿宋"/>
                <w:sz w:val="21"/>
                <w:szCs w:val="21"/>
              </w:rPr>
            </w:pPr>
          </w:p>
        </w:tc>
        <w:tc>
          <w:tcPr>
            <w:tcW w:w="2835" w:type="dxa"/>
            <w:noWrap w:val="0"/>
            <w:vAlign w:val="center"/>
          </w:tcPr>
          <w:p>
            <w:pPr>
              <w:spacing w:line="360" w:lineRule="exact"/>
              <w:jc w:val="center"/>
              <w:rPr>
                <w:rFonts w:hint="eastAsia" w:ascii="仿宋" w:hAnsi="仿宋" w:eastAsia="仿宋" w:cs="仿宋"/>
                <w:sz w:val="21"/>
                <w:szCs w:val="21"/>
              </w:rPr>
            </w:pPr>
          </w:p>
        </w:tc>
        <w:tc>
          <w:tcPr>
            <w:tcW w:w="851" w:type="dxa"/>
            <w:noWrap w:val="0"/>
            <w:vAlign w:val="center"/>
          </w:tcPr>
          <w:p>
            <w:pPr>
              <w:spacing w:line="360" w:lineRule="exact"/>
              <w:jc w:val="center"/>
              <w:rPr>
                <w:rFonts w:hint="eastAsia" w:ascii="仿宋" w:hAnsi="仿宋" w:eastAsia="仿宋" w:cs="仿宋"/>
                <w:sz w:val="21"/>
                <w:szCs w:val="21"/>
              </w:rPr>
            </w:pPr>
          </w:p>
        </w:tc>
        <w:tc>
          <w:tcPr>
            <w:tcW w:w="1917"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3" w:type="dxa"/>
            <w:noWrap w:val="0"/>
            <w:vAlign w:val="center"/>
          </w:tcPr>
          <w:p>
            <w:pPr>
              <w:spacing w:line="360" w:lineRule="exact"/>
              <w:jc w:val="center"/>
              <w:rPr>
                <w:rFonts w:hint="eastAsia" w:ascii="仿宋" w:hAnsi="仿宋" w:eastAsia="仿宋" w:cs="仿宋"/>
                <w:sz w:val="21"/>
                <w:szCs w:val="21"/>
              </w:rPr>
            </w:pPr>
          </w:p>
        </w:tc>
        <w:tc>
          <w:tcPr>
            <w:tcW w:w="992" w:type="dxa"/>
            <w:noWrap w:val="0"/>
            <w:vAlign w:val="center"/>
          </w:tcPr>
          <w:p>
            <w:pPr>
              <w:spacing w:line="360" w:lineRule="exact"/>
              <w:jc w:val="center"/>
              <w:rPr>
                <w:rFonts w:hint="eastAsia" w:ascii="仿宋" w:hAnsi="仿宋" w:eastAsia="仿宋" w:cs="仿宋"/>
                <w:sz w:val="21"/>
                <w:szCs w:val="21"/>
              </w:rPr>
            </w:pPr>
          </w:p>
        </w:tc>
        <w:tc>
          <w:tcPr>
            <w:tcW w:w="2835" w:type="dxa"/>
            <w:noWrap w:val="0"/>
            <w:vAlign w:val="center"/>
          </w:tcPr>
          <w:p>
            <w:pPr>
              <w:spacing w:line="360" w:lineRule="exact"/>
              <w:jc w:val="center"/>
              <w:rPr>
                <w:rFonts w:hint="eastAsia" w:ascii="仿宋" w:hAnsi="仿宋" w:eastAsia="仿宋" w:cs="仿宋"/>
                <w:sz w:val="21"/>
                <w:szCs w:val="21"/>
              </w:rPr>
            </w:pPr>
          </w:p>
        </w:tc>
        <w:tc>
          <w:tcPr>
            <w:tcW w:w="851" w:type="dxa"/>
            <w:noWrap w:val="0"/>
            <w:vAlign w:val="center"/>
          </w:tcPr>
          <w:p>
            <w:pPr>
              <w:spacing w:line="360" w:lineRule="exact"/>
              <w:jc w:val="center"/>
              <w:rPr>
                <w:rFonts w:hint="eastAsia" w:ascii="仿宋" w:hAnsi="仿宋" w:eastAsia="仿宋" w:cs="仿宋"/>
                <w:sz w:val="21"/>
                <w:szCs w:val="21"/>
              </w:rPr>
            </w:pPr>
          </w:p>
        </w:tc>
        <w:tc>
          <w:tcPr>
            <w:tcW w:w="1917" w:type="dxa"/>
            <w:noWrap w:val="0"/>
            <w:vAlign w:val="center"/>
          </w:tcPr>
          <w:p>
            <w:pPr>
              <w:spacing w:line="360" w:lineRule="exact"/>
              <w:jc w:val="center"/>
              <w:rPr>
                <w:rFonts w:hint="eastAsia" w:ascii="仿宋" w:hAnsi="仿宋" w:eastAsia="仿宋" w:cs="仿宋"/>
                <w:sz w:val="21"/>
                <w:szCs w:val="21"/>
              </w:rPr>
            </w:pPr>
          </w:p>
        </w:tc>
      </w:tr>
    </w:tbl>
    <w:p>
      <w:pPr>
        <w:spacing w:line="500" w:lineRule="exact"/>
        <w:ind w:firstLine="420" w:firstLineChars="200"/>
        <w:rPr>
          <w:rFonts w:hint="eastAsia" w:ascii="仿宋" w:hAnsi="仿宋" w:eastAsia="仿宋" w:cs="仿宋"/>
          <w:sz w:val="21"/>
          <w:szCs w:val="21"/>
        </w:rPr>
      </w:pP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（四）丙方成立项目小组</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丙方成立“湖州市老年人意外伤害统筹保险项目小组”，负责“湖州市老年人意外伤害统筹保险”项目投保、理赔情况的信息收集，重大案件通报，协调处理理赔纠纷，配合开展宣传工作，对项目实施推进情况进行监督。</w:t>
      </w:r>
    </w:p>
    <w:p>
      <w:pPr>
        <w:autoSpaceDE w:val="0"/>
        <w:autoSpaceDN w:val="0"/>
        <w:spacing w:line="500" w:lineRule="exact"/>
        <w:ind w:firstLine="482"/>
        <w:jc w:val="center"/>
        <w:rPr>
          <w:rFonts w:hint="eastAsia" w:ascii="仿宋" w:hAnsi="仿宋" w:eastAsia="仿宋" w:cs="仿宋"/>
          <w:b/>
          <w:sz w:val="21"/>
          <w:szCs w:val="21"/>
        </w:rPr>
      </w:pPr>
      <w:r>
        <w:rPr>
          <w:rFonts w:hint="eastAsia" w:ascii="仿宋" w:hAnsi="仿宋" w:eastAsia="仿宋" w:cs="仿宋"/>
          <w:b/>
          <w:sz w:val="21"/>
          <w:szCs w:val="21"/>
        </w:rPr>
        <w:t xml:space="preserve"> “湖州市老年人意外伤害统筹保险”项目小组</w:t>
      </w:r>
    </w:p>
    <w:p>
      <w:pPr>
        <w:autoSpaceDE w:val="0"/>
        <w:autoSpaceDN w:val="0"/>
        <w:spacing w:line="500" w:lineRule="exact"/>
        <w:ind w:firstLine="482"/>
        <w:jc w:val="center"/>
        <w:rPr>
          <w:rFonts w:hint="eastAsia" w:ascii="仿宋" w:hAnsi="仿宋" w:eastAsia="仿宋" w:cs="仿宋"/>
          <w:b/>
          <w:sz w:val="21"/>
          <w:szCs w:val="21"/>
        </w:rPr>
      </w:pPr>
      <w:r>
        <w:rPr>
          <w:rFonts w:hint="eastAsia" w:ascii="仿宋" w:hAnsi="仿宋" w:eastAsia="仿宋" w:cs="仿宋"/>
          <w:b/>
          <w:sz w:val="21"/>
          <w:szCs w:val="21"/>
        </w:rPr>
        <w:t>理赔纠纷协调电话：</w:t>
      </w:r>
    </w:p>
    <w:tbl>
      <w:tblPr>
        <w:tblStyle w:val="18"/>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25"/>
        <w:gridCol w:w="2238"/>
        <w:gridCol w:w="1705"/>
        <w:gridCol w:w="13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5" w:type="dxa"/>
            <w:noWrap w:val="0"/>
            <w:vAlign w:val="center"/>
          </w:tcPr>
          <w:p>
            <w:pPr>
              <w:autoSpaceDE w:val="0"/>
              <w:autoSpaceDN w:val="0"/>
              <w:spacing w:line="5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姓名</w:t>
            </w:r>
          </w:p>
        </w:tc>
        <w:tc>
          <w:tcPr>
            <w:tcW w:w="1525" w:type="dxa"/>
            <w:noWrap w:val="0"/>
            <w:vAlign w:val="center"/>
          </w:tcPr>
          <w:p>
            <w:pPr>
              <w:autoSpaceDE w:val="0"/>
              <w:autoSpaceDN w:val="0"/>
              <w:spacing w:line="5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职务</w:t>
            </w:r>
          </w:p>
        </w:tc>
        <w:tc>
          <w:tcPr>
            <w:tcW w:w="2238" w:type="dxa"/>
            <w:noWrap w:val="0"/>
            <w:vAlign w:val="center"/>
          </w:tcPr>
          <w:p>
            <w:pPr>
              <w:autoSpaceDE w:val="0"/>
              <w:autoSpaceDN w:val="0"/>
              <w:spacing w:line="5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职责</w:t>
            </w:r>
          </w:p>
        </w:tc>
        <w:tc>
          <w:tcPr>
            <w:tcW w:w="1705" w:type="dxa"/>
            <w:noWrap w:val="0"/>
            <w:vAlign w:val="center"/>
          </w:tcPr>
          <w:p>
            <w:pPr>
              <w:autoSpaceDE w:val="0"/>
              <w:autoSpaceDN w:val="0"/>
              <w:spacing w:line="5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咨询电话</w:t>
            </w:r>
          </w:p>
        </w:tc>
        <w:tc>
          <w:tcPr>
            <w:tcW w:w="1377" w:type="dxa"/>
            <w:noWrap w:val="0"/>
            <w:vAlign w:val="center"/>
          </w:tcPr>
          <w:p>
            <w:pPr>
              <w:autoSpaceDE w:val="0"/>
              <w:autoSpaceDN w:val="0"/>
              <w:spacing w:line="5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联系方式</w:t>
            </w:r>
          </w:p>
        </w:tc>
        <w:tc>
          <w:tcPr>
            <w:tcW w:w="2123" w:type="dxa"/>
            <w:noWrap w:val="0"/>
            <w:vAlign w:val="center"/>
          </w:tcPr>
          <w:p>
            <w:pPr>
              <w:autoSpaceDE w:val="0"/>
              <w:autoSpaceDN w:val="0"/>
              <w:spacing w:line="5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52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238"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70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377"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123"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52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238"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70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377"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123"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52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238"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70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377"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123"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52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238"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705"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1377"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c>
          <w:tcPr>
            <w:tcW w:w="2123" w:type="dxa"/>
            <w:noWrap w:val="0"/>
            <w:vAlign w:val="center"/>
          </w:tcPr>
          <w:p>
            <w:pPr>
              <w:autoSpaceDE w:val="0"/>
              <w:autoSpaceDN w:val="0"/>
              <w:spacing w:line="500" w:lineRule="exact"/>
              <w:jc w:val="center"/>
              <w:rPr>
                <w:rFonts w:hint="eastAsia" w:ascii="仿宋" w:hAnsi="仿宋" w:eastAsia="仿宋" w:cs="仿宋"/>
                <w:b/>
                <w:kern w:val="0"/>
                <w:sz w:val="21"/>
                <w:szCs w:val="21"/>
              </w:rPr>
            </w:pPr>
          </w:p>
        </w:tc>
      </w:tr>
    </w:tbl>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（五）成立疑难问题协调小组</w:t>
      </w:r>
    </w:p>
    <w:p>
      <w:pPr>
        <w:autoSpaceDE w:val="0"/>
        <w:autoSpaceDN w:val="0"/>
        <w:spacing w:line="500" w:lineRule="exact"/>
        <w:ind w:firstLine="403" w:firstLineChars="192"/>
        <w:rPr>
          <w:rFonts w:hint="eastAsia" w:ascii="仿宋" w:hAnsi="仿宋" w:eastAsia="仿宋" w:cs="仿宋"/>
          <w:sz w:val="21"/>
          <w:szCs w:val="21"/>
        </w:rPr>
      </w:pPr>
      <w:r>
        <w:rPr>
          <w:rFonts w:hint="eastAsia" w:ascii="仿宋" w:hAnsi="仿宋" w:eastAsia="仿宋" w:cs="仿宋"/>
          <w:sz w:val="21"/>
          <w:szCs w:val="21"/>
        </w:rPr>
        <w:t>为了保证本项目顺利推进，成立“湖州市老年人意外伤害统筹保险项目疑难问题协调小组”，疑难问题协调小组职责是对本项目运行过程中出现的新情况、新问题进行协商讨论确定处理方案，召开协调会处理疑难问题等工作，疑难问题协调小组组长由丙方相关负责人担任，副组长由乙方相关负责人担任，组员由丙方相关成员、乙方相关成员组成。</w:t>
      </w:r>
    </w:p>
    <w:p>
      <w:pPr>
        <w:autoSpaceDE w:val="0"/>
        <w:autoSpaceDN w:val="0"/>
        <w:spacing w:line="500" w:lineRule="exact"/>
        <w:ind w:firstLine="403" w:firstLineChars="192"/>
        <w:rPr>
          <w:rFonts w:hint="eastAsia" w:ascii="仿宋" w:hAnsi="仿宋" w:eastAsia="仿宋" w:cs="仿宋"/>
          <w:sz w:val="21"/>
          <w:szCs w:val="21"/>
        </w:rPr>
      </w:pPr>
      <w:r>
        <w:rPr>
          <w:rFonts w:hint="eastAsia" w:ascii="仿宋" w:hAnsi="仿宋" w:eastAsia="仿宋" w:cs="仿宋"/>
          <w:sz w:val="21"/>
          <w:szCs w:val="21"/>
        </w:rPr>
        <w:t>充分发挥疑难小组的积极作用；增加疑难小组的监督和执行的职能，监督责任到多方小组成员，在项目运行中出现违规操作，一经核实，进行处罚，有小组成员发通告，责令更改，同时事故方在7-15个工作日内完成。同时疑难小组成员进行考核结果，纳入所属单元考核内容。</w:t>
      </w:r>
    </w:p>
    <w:p>
      <w:pPr>
        <w:autoSpaceDE w:val="0"/>
        <w:autoSpaceDN w:val="0"/>
        <w:spacing w:line="500" w:lineRule="exact"/>
        <w:ind w:firstLine="482"/>
        <w:jc w:val="center"/>
        <w:rPr>
          <w:rFonts w:hint="eastAsia" w:ascii="仿宋" w:hAnsi="仿宋" w:eastAsia="仿宋" w:cs="仿宋"/>
          <w:b/>
          <w:sz w:val="21"/>
          <w:szCs w:val="21"/>
        </w:rPr>
      </w:pPr>
      <w:r>
        <w:rPr>
          <w:rFonts w:hint="eastAsia" w:ascii="仿宋" w:hAnsi="仿宋" w:eastAsia="仿宋" w:cs="仿宋"/>
          <w:b/>
          <w:sz w:val="21"/>
          <w:szCs w:val="21"/>
        </w:rPr>
        <w:t>“湖州市老年人意外伤害统筹保险”疑难问题协调小组</w:t>
      </w:r>
    </w:p>
    <w:tbl>
      <w:tblPr>
        <w:tblStyle w:val="1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095"/>
        <w:gridCol w:w="1185"/>
        <w:gridCol w:w="1050"/>
        <w:gridCol w:w="1725"/>
        <w:gridCol w:w="120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单位名称</w:t>
            </w:r>
          </w:p>
        </w:tc>
        <w:tc>
          <w:tcPr>
            <w:tcW w:w="1095"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185"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部门</w:t>
            </w:r>
          </w:p>
        </w:tc>
        <w:tc>
          <w:tcPr>
            <w:tcW w:w="1050"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职务</w:t>
            </w:r>
          </w:p>
        </w:tc>
        <w:tc>
          <w:tcPr>
            <w:tcW w:w="1725"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办公室电话</w:t>
            </w:r>
          </w:p>
        </w:tc>
        <w:tc>
          <w:tcPr>
            <w:tcW w:w="1200"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手机</w:t>
            </w:r>
          </w:p>
        </w:tc>
        <w:tc>
          <w:tcPr>
            <w:tcW w:w="1395" w:type="dxa"/>
            <w:noWrap w:val="0"/>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noWrap w:val="0"/>
            <w:vAlign w:val="center"/>
          </w:tcPr>
          <w:p>
            <w:pPr>
              <w:autoSpaceDE w:val="0"/>
              <w:autoSpaceDN w:val="0"/>
              <w:jc w:val="center"/>
              <w:rPr>
                <w:rFonts w:hint="eastAsia" w:ascii="仿宋" w:hAnsi="仿宋" w:eastAsia="仿宋" w:cs="仿宋"/>
                <w:sz w:val="21"/>
                <w:szCs w:val="21"/>
              </w:rPr>
            </w:pPr>
          </w:p>
        </w:tc>
        <w:tc>
          <w:tcPr>
            <w:tcW w:w="1095" w:type="dxa"/>
            <w:noWrap w:val="0"/>
            <w:vAlign w:val="center"/>
          </w:tcPr>
          <w:p>
            <w:pPr>
              <w:autoSpaceDE w:val="0"/>
              <w:autoSpaceDN w:val="0"/>
              <w:jc w:val="center"/>
              <w:rPr>
                <w:rFonts w:hint="eastAsia" w:ascii="仿宋" w:hAnsi="仿宋" w:eastAsia="仿宋" w:cs="仿宋"/>
                <w:sz w:val="21"/>
                <w:szCs w:val="21"/>
              </w:rPr>
            </w:pPr>
          </w:p>
        </w:tc>
        <w:tc>
          <w:tcPr>
            <w:tcW w:w="1185" w:type="dxa"/>
            <w:noWrap w:val="0"/>
            <w:vAlign w:val="center"/>
          </w:tcPr>
          <w:p>
            <w:pPr>
              <w:autoSpaceDE w:val="0"/>
              <w:autoSpaceDN w:val="0"/>
              <w:jc w:val="center"/>
              <w:rPr>
                <w:rFonts w:hint="eastAsia" w:ascii="仿宋" w:hAnsi="仿宋" w:eastAsia="仿宋" w:cs="仿宋"/>
                <w:sz w:val="21"/>
                <w:szCs w:val="21"/>
              </w:rPr>
            </w:pPr>
          </w:p>
        </w:tc>
        <w:tc>
          <w:tcPr>
            <w:tcW w:w="1050" w:type="dxa"/>
            <w:noWrap w:val="0"/>
            <w:vAlign w:val="center"/>
          </w:tcPr>
          <w:p>
            <w:pPr>
              <w:autoSpaceDE w:val="0"/>
              <w:autoSpaceDN w:val="0"/>
              <w:jc w:val="center"/>
              <w:rPr>
                <w:rFonts w:hint="eastAsia" w:ascii="仿宋" w:hAnsi="仿宋" w:eastAsia="仿宋" w:cs="仿宋"/>
                <w:sz w:val="21"/>
                <w:szCs w:val="21"/>
              </w:rPr>
            </w:pPr>
          </w:p>
        </w:tc>
        <w:tc>
          <w:tcPr>
            <w:tcW w:w="1725" w:type="dxa"/>
            <w:noWrap w:val="0"/>
            <w:vAlign w:val="center"/>
          </w:tcPr>
          <w:p>
            <w:pPr>
              <w:autoSpaceDE w:val="0"/>
              <w:autoSpaceDN w:val="0"/>
              <w:jc w:val="center"/>
              <w:rPr>
                <w:rFonts w:hint="eastAsia" w:ascii="仿宋" w:hAnsi="仿宋" w:eastAsia="仿宋" w:cs="仿宋"/>
                <w:sz w:val="21"/>
                <w:szCs w:val="21"/>
              </w:rPr>
            </w:pPr>
          </w:p>
        </w:tc>
        <w:tc>
          <w:tcPr>
            <w:tcW w:w="1200" w:type="dxa"/>
            <w:noWrap w:val="0"/>
            <w:vAlign w:val="center"/>
          </w:tcPr>
          <w:p>
            <w:pPr>
              <w:autoSpaceDE w:val="0"/>
              <w:autoSpaceDN w:val="0"/>
              <w:jc w:val="center"/>
              <w:rPr>
                <w:rFonts w:hint="eastAsia" w:ascii="仿宋" w:hAnsi="仿宋" w:eastAsia="仿宋" w:cs="仿宋"/>
                <w:sz w:val="21"/>
                <w:szCs w:val="21"/>
              </w:rPr>
            </w:pPr>
          </w:p>
        </w:tc>
        <w:tc>
          <w:tcPr>
            <w:tcW w:w="1395"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noWrap w:val="0"/>
            <w:vAlign w:val="center"/>
          </w:tcPr>
          <w:p>
            <w:pPr>
              <w:autoSpaceDE w:val="0"/>
              <w:autoSpaceDN w:val="0"/>
              <w:jc w:val="center"/>
              <w:rPr>
                <w:rFonts w:hint="eastAsia" w:ascii="仿宋" w:hAnsi="仿宋" w:eastAsia="仿宋" w:cs="仿宋"/>
                <w:sz w:val="21"/>
                <w:szCs w:val="21"/>
              </w:rPr>
            </w:pPr>
          </w:p>
        </w:tc>
        <w:tc>
          <w:tcPr>
            <w:tcW w:w="1095" w:type="dxa"/>
            <w:noWrap w:val="0"/>
            <w:vAlign w:val="center"/>
          </w:tcPr>
          <w:p>
            <w:pPr>
              <w:autoSpaceDE w:val="0"/>
              <w:autoSpaceDN w:val="0"/>
              <w:jc w:val="center"/>
              <w:rPr>
                <w:rFonts w:hint="eastAsia" w:ascii="仿宋" w:hAnsi="仿宋" w:eastAsia="仿宋" w:cs="仿宋"/>
                <w:sz w:val="21"/>
                <w:szCs w:val="21"/>
              </w:rPr>
            </w:pPr>
          </w:p>
        </w:tc>
        <w:tc>
          <w:tcPr>
            <w:tcW w:w="1185" w:type="dxa"/>
            <w:noWrap w:val="0"/>
            <w:vAlign w:val="center"/>
          </w:tcPr>
          <w:p>
            <w:pPr>
              <w:autoSpaceDE w:val="0"/>
              <w:autoSpaceDN w:val="0"/>
              <w:jc w:val="center"/>
              <w:rPr>
                <w:rFonts w:hint="eastAsia" w:ascii="仿宋" w:hAnsi="仿宋" w:eastAsia="仿宋" w:cs="仿宋"/>
                <w:sz w:val="21"/>
                <w:szCs w:val="21"/>
              </w:rPr>
            </w:pPr>
          </w:p>
        </w:tc>
        <w:tc>
          <w:tcPr>
            <w:tcW w:w="1050" w:type="dxa"/>
            <w:noWrap w:val="0"/>
            <w:vAlign w:val="center"/>
          </w:tcPr>
          <w:p>
            <w:pPr>
              <w:autoSpaceDE w:val="0"/>
              <w:autoSpaceDN w:val="0"/>
              <w:jc w:val="center"/>
              <w:rPr>
                <w:rFonts w:hint="eastAsia" w:ascii="仿宋" w:hAnsi="仿宋" w:eastAsia="仿宋" w:cs="仿宋"/>
                <w:sz w:val="21"/>
                <w:szCs w:val="21"/>
              </w:rPr>
            </w:pPr>
          </w:p>
        </w:tc>
        <w:tc>
          <w:tcPr>
            <w:tcW w:w="1725" w:type="dxa"/>
            <w:noWrap w:val="0"/>
            <w:vAlign w:val="center"/>
          </w:tcPr>
          <w:p>
            <w:pPr>
              <w:autoSpaceDE w:val="0"/>
              <w:autoSpaceDN w:val="0"/>
              <w:jc w:val="center"/>
              <w:rPr>
                <w:rFonts w:hint="eastAsia" w:ascii="仿宋" w:hAnsi="仿宋" w:eastAsia="仿宋" w:cs="仿宋"/>
                <w:sz w:val="21"/>
                <w:szCs w:val="21"/>
              </w:rPr>
            </w:pPr>
          </w:p>
        </w:tc>
        <w:tc>
          <w:tcPr>
            <w:tcW w:w="1200" w:type="dxa"/>
            <w:noWrap w:val="0"/>
            <w:vAlign w:val="center"/>
          </w:tcPr>
          <w:p>
            <w:pPr>
              <w:autoSpaceDE w:val="0"/>
              <w:autoSpaceDN w:val="0"/>
              <w:jc w:val="center"/>
              <w:rPr>
                <w:rFonts w:hint="eastAsia" w:ascii="仿宋" w:hAnsi="仿宋" w:eastAsia="仿宋" w:cs="仿宋"/>
                <w:sz w:val="21"/>
                <w:szCs w:val="21"/>
              </w:rPr>
            </w:pPr>
          </w:p>
        </w:tc>
        <w:tc>
          <w:tcPr>
            <w:tcW w:w="1395"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noWrap w:val="0"/>
            <w:vAlign w:val="center"/>
          </w:tcPr>
          <w:p>
            <w:pPr>
              <w:autoSpaceDE w:val="0"/>
              <w:autoSpaceDN w:val="0"/>
              <w:jc w:val="center"/>
              <w:rPr>
                <w:rFonts w:hint="eastAsia" w:ascii="仿宋" w:hAnsi="仿宋" w:eastAsia="仿宋" w:cs="仿宋"/>
                <w:sz w:val="21"/>
                <w:szCs w:val="21"/>
              </w:rPr>
            </w:pPr>
          </w:p>
        </w:tc>
        <w:tc>
          <w:tcPr>
            <w:tcW w:w="1095" w:type="dxa"/>
            <w:noWrap w:val="0"/>
            <w:vAlign w:val="center"/>
          </w:tcPr>
          <w:p>
            <w:pPr>
              <w:autoSpaceDE w:val="0"/>
              <w:autoSpaceDN w:val="0"/>
              <w:jc w:val="center"/>
              <w:rPr>
                <w:rFonts w:hint="eastAsia" w:ascii="仿宋" w:hAnsi="仿宋" w:eastAsia="仿宋" w:cs="仿宋"/>
                <w:sz w:val="21"/>
                <w:szCs w:val="21"/>
              </w:rPr>
            </w:pPr>
          </w:p>
        </w:tc>
        <w:tc>
          <w:tcPr>
            <w:tcW w:w="1185" w:type="dxa"/>
            <w:noWrap w:val="0"/>
            <w:vAlign w:val="center"/>
          </w:tcPr>
          <w:p>
            <w:pPr>
              <w:autoSpaceDE w:val="0"/>
              <w:autoSpaceDN w:val="0"/>
              <w:jc w:val="center"/>
              <w:rPr>
                <w:rFonts w:hint="eastAsia" w:ascii="仿宋" w:hAnsi="仿宋" w:eastAsia="仿宋" w:cs="仿宋"/>
                <w:sz w:val="21"/>
                <w:szCs w:val="21"/>
              </w:rPr>
            </w:pPr>
          </w:p>
        </w:tc>
        <w:tc>
          <w:tcPr>
            <w:tcW w:w="1050" w:type="dxa"/>
            <w:noWrap w:val="0"/>
            <w:vAlign w:val="center"/>
          </w:tcPr>
          <w:p>
            <w:pPr>
              <w:autoSpaceDE w:val="0"/>
              <w:autoSpaceDN w:val="0"/>
              <w:jc w:val="center"/>
              <w:rPr>
                <w:rFonts w:hint="eastAsia" w:ascii="仿宋" w:hAnsi="仿宋" w:eastAsia="仿宋" w:cs="仿宋"/>
                <w:sz w:val="21"/>
                <w:szCs w:val="21"/>
              </w:rPr>
            </w:pPr>
          </w:p>
        </w:tc>
        <w:tc>
          <w:tcPr>
            <w:tcW w:w="1725" w:type="dxa"/>
            <w:noWrap w:val="0"/>
            <w:vAlign w:val="center"/>
          </w:tcPr>
          <w:p>
            <w:pPr>
              <w:autoSpaceDE w:val="0"/>
              <w:autoSpaceDN w:val="0"/>
              <w:jc w:val="center"/>
              <w:rPr>
                <w:rFonts w:hint="eastAsia" w:ascii="仿宋" w:hAnsi="仿宋" w:eastAsia="仿宋" w:cs="仿宋"/>
                <w:sz w:val="21"/>
                <w:szCs w:val="21"/>
              </w:rPr>
            </w:pPr>
          </w:p>
        </w:tc>
        <w:tc>
          <w:tcPr>
            <w:tcW w:w="1200" w:type="dxa"/>
            <w:noWrap w:val="0"/>
            <w:vAlign w:val="center"/>
          </w:tcPr>
          <w:p>
            <w:pPr>
              <w:autoSpaceDE w:val="0"/>
              <w:autoSpaceDN w:val="0"/>
              <w:jc w:val="center"/>
              <w:rPr>
                <w:rFonts w:hint="eastAsia" w:ascii="仿宋" w:hAnsi="仿宋" w:eastAsia="仿宋" w:cs="仿宋"/>
                <w:sz w:val="21"/>
                <w:szCs w:val="21"/>
              </w:rPr>
            </w:pPr>
          </w:p>
        </w:tc>
        <w:tc>
          <w:tcPr>
            <w:tcW w:w="1395"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noWrap w:val="0"/>
            <w:vAlign w:val="center"/>
          </w:tcPr>
          <w:p>
            <w:pPr>
              <w:autoSpaceDE w:val="0"/>
              <w:autoSpaceDN w:val="0"/>
              <w:jc w:val="center"/>
              <w:rPr>
                <w:rFonts w:hint="eastAsia" w:ascii="仿宋" w:hAnsi="仿宋" w:eastAsia="仿宋" w:cs="仿宋"/>
                <w:sz w:val="21"/>
                <w:szCs w:val="21"/>
              </w:rPr>
            </w:pPr>
          </w:p>
        </w:tc>
        <w:tc>
          <w:tcPr>
            <w:tcW w:w="1095" w:type="dxa"/>
            <w:noWrap w:val="0"/>
            <w:vAlign w:val="center"/>
          </w:tcPr>
          <w:p>
            <w:pPr>
              <w:autoSpaceDE w:val="0"/>
              <w:autoSpaceDN w:val="0"/>
              <w:jc w:val="center"/>
              <w:rPr>
                <w:rFonts w:hint="eastAsia" w:ascii="仿宋" w:hAnsi="仿宋" w:eastAsia="仿宋" w:cs="仿宋"/>
                <w:sz w:val="21"/>
                <w:szCs w:val="21"/>
              </w:rPr>
            </w:pPr>
          </w:p>
        </w:tc>
        <w:tc>
          <w:tcPr>
            <w:tcW w:w="1185" w:type="dxa"/>
            <w:noWrap w:val="0"/>
            <w:vAlign w:val="center"/>
          </w:tcPr>
          <w:p>
            <w:pPr>
              <w:autoSpaceDE w:val="0"/>
              <w:autoSpaceDN w:val="0"/>
              <w:jc w:val="center"/>
              <w:rPr>
                <w:rFonts w:hint="eastAsia" w:ascii="仿宋" w:hAnsi="仿宋" w:eastAsia="仿宋" w:cs="仿宋"/>
                <w:sz w:val="21"/>
                <w:szCs w:val="21"/>
              </w:rPr>
            </w:pPr>
          </w:p>
        </w:tc>
        <w:tc>
          <w:tcPr>
            <w:tcW w:w="1050" w:type="dxa"/>
            <w:noWrap w:val="0"/>
            <w:vAlign w:val="center"/>
          </w:tcPr>
          <w:p>
            <w:pPr>
              <w:autoSpaceDE w:val="0"/>
              <w:autoSpaceDN w:val="0"/>
              <w:jc w:val="center"/>
              <w:rPr>
                <w:rFonts w:hint="eastAsia" w:ascii="仿宋" w:hAnsi="仿宋" w:eastAsia="仿宋" w:cs="仿宋"/>
                <w:sz w:val="21"/>
                <w:szCs w:val="21"/>
              </w:rPr>
            </w:pPr>
          </w:p>
        </w:tc>
        <w:tc>
          <w:tcPr>
            <w:tcW w:w="1725" w:type="dxa"/>
            <w:noWrap w:val="0"/>
            <w:vAlign w:val="center"/>
          </w:tcPr>
          <w:p>
            <w:pPr>
              <w:autoSpaceDE w:val="0"/>
              <w:autoSpaceDN w:val="0"/>
              <w:jc w:val="center"/>
              <w:rPr>
                <w:rFonts w:hint="eastAsia" w:ascii="仿宋" w:hAnsi="仿宋" w:eastAsia="仿宋" w:cs="仿宋"/>
                <w:sz w:val="21"/>
                <w:szCs w:val="21"/>
              </w:rPr>
            </w:pPr>
          </w:p>
        </w:tc>
        <w:tc>
          <w:tcPr>
            <w:tcW w:w="1200" w:type="dxa"/>
            <w:noWrap w:val="0"/>
            <w:vAlign w:val="center"/>
          </w:tcPr>
          <w:p>
            <w:pPr>
              <w:autoSpaceDE w:val="0"/>
              <w:autoSpaceDN w:val="0"/>
              <w:jc w:val="center"/>
              <w:rPr>
                <w:rFonts w:hint="eastAsia" w:ascii="仿宋" w:hAnsi="仿宋" w:eastAsia="仿宋" w:cs="仿宋"/>
                <w:sz w:val="21"/>
                <w:szCs w:val="21"/>
              </w:rPr>
            </w:pPr>
          </w:p>
        </w:tc>
        <w:tc>
          <w:tcPr>
            <w:tcW w:w="1395" w:type="dxa"/>
            <w:noWrap w:val="0"/>
            <w:vAlign w:val="center"/>
          </w:tcPr>
          <w:p>
            <w:pPr>
              <w:autoSpaceDE w:val="0"/>
              <w:autoSpaceDN w:val="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noWrap w:val="0"/>
            <w:vAlign w:val="center"/>
          </w:tcPr>
          <w:p>
            <w:pPr>
              <w:autoSpaceDE w:val="0"/>
              <w:autoSpaceDN w:val="0"/>
              <w:jc w:val="center"/>
              <w:rPr>
                <w:rFonts w:hint="eastAsia" w:ascii="仿宋" w:hAnsi="仿宋" w:eastAsia="仿宋" w:cs="仿宋"/>
                <w:sz w:val="21"/>
                <w:szCs w:val="21"/>
              </w:rPr>
            </w:pPr>
          </w:p>
        </w:tc>
        <w:tc>
          <w:tcPr>
            <w:tcW w:w="1095" w:type="dxa"/>
            <w:noWrap w:val="0"/>
            <w:vAlign w:val="center"/>
          </w:tcPr>
          <w:p>
            <w:pPr>
              <w:autoSpaceDE w:val="0"/>
              <w:autoSpaceDN w:val="0"/>
              <w:jc w:val="center"/>
              <w:rPr>
                <w:rFonts w:hint="eastAsia" w:ascii="仿宋" w:hAnsi="仿宋" w:eastAsia="仿宋" w:cs="仿宋"/>
                <w:sz w:val="21"/>
                <w:szCs w:val="21"/>
              </w:rPr>
            </w:pPr>
          </w:p>
        </w:tc>
        <w:tc>
          <w:tcPr>
            <w:tcW w:w="1185" w:type="dxa"/>
            <w:noWrap w:val="0"/>
            <w:vAlign w:val="center"/>
          </w:tcPr>
          <w:p>
            <w:pPr>
              <w:autoSpaceDE w:val="0"/>
              <w:autoSpaceDN w:val="0"/>
              <w:jc w:val="center"/>
              <w:rPr>
                <w:rFonts w:hint="eastAsia" w:ascii="仿宋" w:hAnsi="仿宋" w:eastAsia="仿宋" w:cs="仿宋"/>
                <w:sz w:val="21"/>
                <w:szCs w:val="21"/>
              </w:rPr>
            </w:pPr>
          </w:p>
        </w:tc>
        <w:tc>
          <w:tcPr>
            <w:tcW w:w="1050" w:type="dxa"/>
            <w:noWrap w:val="0"/>
            <w:vAlign w:val="center"/>
          </w:tcPr>
          <w:p>
            <w:pPr>
              <w:autoSpaceDE w:val="0"/>
              <w:autoSpaceDN w:val="0"/>
              <w:jc w:val="center"/>
              <w:rPr>
                <w:rFonts w:hint="eastAsia" w:ascii="仿宋" w:hAnsi="仿宋" w:eastAsia="仿宋" w:cs="仿宋"/>
                <w:sz w:val="21"/>
                <w:szCs w:val="21"/>
              </w:rPr>
            </w:pPr>
          </w:p>
        </w:tc>
        <w:tc>
          <w:tcPr>
            <w:tcW w:w="1725" w:type="dxa"/>
            <w:noWrap w:val="0"/>
            <w:vAlign w:val="center"/>
          </w:tcPr>
          <w:p>
            <w:pPr>
              <w:autoSpaceDE w:val="0"/>
              <w:autoSpaceDN w:val="0"/>
              <w:jc w:val="center"/>
              <w:rPr>
                <w:rFonts w:hint="eastAsia" w:ascii="仿宋" w:hAnsi="仿宋" w:eastAsia="仿宋" w:cs="仿宋"/>
                <w:sz w:val="21"/>
                <w:szCs w:val="21"/>
              </w:rPr>
            </w:pPr>
          </w:p>
        </w:tc>
        <w:tc>
          <w:tcPr>
            <w:tcW w:w="1200" w:type="dxa"/>
            <w:noWrap w:val="0"/>
            <w:vAlign w:val="center"/>
          </w:tcPr>
          <w:p>
            <w:pPr>
              <w:autoSpaceDE w:val="0"/>
              <w:autoSpaceDN w:val="0"/>
              <w:jc w:val="center"/>
              <w:rPr>
                <w:rFonts w:hint="eastAsia" w:ascii="仿宋" w:hAnsi="仿宋" w:eastAsia="仿宋" w:cs="仿宋"/>
                <w:sz w:val="21"/>
                <w:szCs w:val="21"/>
              </w:rPr>
            </w:pPr>
          </w:p>
        </w:tc>
        <w:tc>
          <w:tcPr>
            <w:tcW w:w="1395" w:type="dxa"/>
            <w:noWrap w:val="0"/>
            <w:vAlign w:val="center"/>
          </w:tcPr>
          <w:p>
            <w:pPr>
              <w:autoSpaceDE w:val="0"/>
              <w:autoSpaceDN w:val="0"/>
              <w:jc w:val="center"/>
              <w:rPr>
                <w:rFonts w:hint="eastAsia" w:ascii="仿宋" w:hAnsi="仿宋" w:eastAsia="仿宋" w:cs="仿宋"/>
                <w:sz w:val="21"/>
                <w:szCs w:val="21"/>
              </w:rPr>
            </w:pPr>
          </w:p>
        </w:tc>
      </w:tr>
    </w:tbl>
    <w:p>
      <w:pPr>
        <w:tabs>
          <w:tab w:val="left" w:pos="218"/>
        </w:tabs>
        <w:spacing w:line="500" w:lineRule="exact"/>
        <w:ind w:firstLine="422" w:firstLineChars="200"/>
        <w:rPr>
          <w:rFonts w:hint="eastAsia" w:ascii="仿宋" w:hAnsi="仿宋" w:eastAsia="仿宋" w:cs="仿宋"/>
          <w:sz w:val="21"/>
          <w:szCs w:val="21"/>
        </w:rPr>
      </w:pPr>
      <w:r>
        <w:rPr>
          <w:rFonts w:hint="eastAsia" w:ascii="仿宋" w:hAnsi="仿宋" w:eastAsia="仿宋" w:cs="仿宋"/>
          <w:b/>
          <w:kern w:val="0"/>
          <w:sz w:val="21"/>
          <w:szCs w:val="21"/>
        </w:rPr>
        <w:t>第五条</w:t>
      </w:r>
      <w:r>
        <w:rPr>
          <w:rFonts w:hint="eastAsia" w:ascii="仿宋" w:hAnsi="仿宋" w:eastAsia="仿宋" w:cs="仿宋"/>
          <w:sz w:val="21"/>
          <w:szCs w:val="21"/>
        </w:rPr>
        <w:t xml:space="preserve">  </w:t>
      </w:r>
      <w:r>
        <w:rPr>
          <w:rFonts w:hint="eastAsia" w:ascii="仿宋" w:hAnsi="仿宋" w:eastAsia="仿宋" w:cs="仿宋"/>
          <w:b/>
          <w:sz w:val="21"/>
          <w:szCs w:val="21"/>
        </w:rPr>
        <w:t>投保</w:t>
      </w:r>
      <w:r>
        <w:rPr>
          <w:rFonts w:hint="eastAsia" w:ascii="仿宋" w:hAnsi="仿宋" w:eastAsia="仿宋" w:cs="仿宋"/>
          <w:b/>
          <w:kern w:val="0"/>
          <w:sz w:val="21"/>
          <w:szCs w:val="21"/>
        </w:rPr>
        <w:t>操作方式</w:t>
      </w:r>
    </w:p>
    <w:p>
      <w:pPr>
        <w:autoSpaceDE w:val="0"/>
        <w:autoSpaceDN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 xml:space="preserve">（一）投保方式 </w:t>
      </w:r>
    </w:p>
    <w:p>
      <w:pPr>
        <w:autoSpaceDE w:val="0"/>
        <w:autoSpaceDN w:val="0"/>
        <w:adjustRightInd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1.集中投保</w:t>
      </w:r>
    </w:p>
    <w:p>
      <w:pPr>
        <w:autoSpaceDE w:val="0"/>
        <w:autoSpaceDN w:val="0"/>
        <w:adjustRightInd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乙方集中利用1-2个月时间，到各自服务区域范围内的社区、行政村，定时定点接受咨询，老年人可以当场办理投保或由社区/村统一办理投保。</w:t>
      </w:r>
    </w:p>
    <w:p>
      <w:pPr>
        <w:autoSpaceDE w:val="0"/>
        <w:autoSpaceDN w:val="0"/>
        <w:adjustRightInd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2.就近投保</w:t>
      </w:r>
    </w:p>
    <w:p>
      <w:pPr>
        <w:autoSpaceDE w:val="0"/>
        <w:autoSpaceDN w:val="0"/>
        <w:adjustRightInd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集中受理阶段未投保的老年人，如需购买《湖州市老年人意外伤害统筹保险》，可持身份证到附近的乙方营业场所柜面直接办理。</w:t>
      </w:r>
    </w:p>
    <w:p>
      <w:pPr>
        <w:autoSpaceDE w:val="0"/>
        <w:autoSpaceDN w:val="0"/>
        <w:adjustRightInd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3.网上投保</w:t>
      </w:r>
    </w:p>
    <w:p>
      <w:pPr>
        <w:adjustRightInd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老年人可通过保险人和保险经纪人设立和开通的微信、电脑、APP等网上投保系统进行投保。</w:t>
      </w:r>
    </w:p>
    <w:p>
      <w:pPr>
        <w:autoSpaceDE w:val="0"/>
        <w:autoSpaceDN w:val="0"/>
        <w:adjustRightInd w:val="0"/>
        <w:spacing w:line="500" w:lineRule="exact"/>
        <w:ind w:firstLine="422" w:firstLineChars="200"/>
        <w:rPr>
          <w:rFonts w:hint="eastAsia" w:ascii="仿宋" w:hAnsi="仿宋" w:eastAsia="仿宋" w:cs="仿宋"/>
          <w:bCs/>
          <w:kern w:val="0"/>
          <w:sz w:val="21"/>
          <w:szCs w:val="21"/>
        </w:rPr>
      </w:pPr>
      <w:r>
        <w:rPr>
          <w:rFonts w:hint="eastAsia" w:ascii="仿宋" w:hAnsi="仿宋" w:eastAsia="仿宋" w:cs="仿宋"/>
          <w:b/>
          <w:kern w:val="0"/>
          <w:sz w:val="21"/>
          <w:szCs w:val="21"/>
        </w:rPr>
        <w:t>4.统一投保</w:t>
      </w:r>
    </w:p>
    <w:p>
      <w:pPr>
        <w:autoSpaceDE w:val="0"/>
        <w:autoSpaceDN w:val="0"/>
        <w:adjustRightInd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由机关、企事业单位、社会组织等为老年人集体购买《湖州市老年人意外伤害统筹保险》的，</w:t>
      </w:r>
      <w:r>
        <w:rPr>
          <w:rFonts w:hint="eastAsia" w:ascii="仿宋" w:hAnsi="仿宋" w:eastAsia="仿宋" w:cs="仿宋"/>
          <w:kern w:val="0"/>
          <w:sz w:val="21"/>
          <w:szCs w:val="21"/>
        </w:rPr>
        <w:t>乙方</w:t>
      </w:r>
      <w:r>
        <w:rPr>
          <w:rFonts w:hint="eastAsia" w:ascii="仿宋" w:hAnsi="仿宋" w:eastAsia="仿宋" w:cs="仿宋"/>
          <w:sz w:val="21"/>
          <w:szCs w:val="21"/>
        </w:rPr>
        <w:t>在接到投保要求当天提供上门服务或直接在网上投保。</w:t>
      </w:r>
    </w:p>
    <w:p>
      <w:pPr>
        <w:autoSpaceDE w:val="0"/>
        <w:autoSpaceDN w:val="0"/>
        <w:spacing w:line="500" w:lineRule="exact"/>
        <w:ind w:left="420" w:leftChars="200"/>
        <w:rPr>
          <w:rFonts w:hint="eastAsia" w:ascii="仿宋" w:hAnsi="仿宋" w:eastAsia="仿宋" w:cs="仿宋"/>
          <w:sz w:val="21"/>
          <w:szCs w:val="21"/>
        </w:rPr>
      </w:pPr>
      <w:r>
        <w:rPr>
          <w:rFonts w:hint="eastAsia" w:ascii="仿宋" w:hAnsi="仿宋" w:eastAsia="仿宋" w:cs="仿宋"/>
          <w:b/>
          <w:kern w:val="0"/>
          <w:sz w:val="21"/>
          <w:szCs w:val="21"/>
        </w:rPr>
        <w:t xml:space="preserve">（二）投保流程 </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bCs/>
          <w:sz w:val="21"/>
          <w:szCs w:val="21"/>
        </w:rPr>
        <w:t>1.</w:t>
      </w:r>
      <w:r>
        <w:rPr>
          <w:rFonts w:hint="eastAsia" w:ascii="仿宋" w:hAnsi="仿宋" w:eastAsia="仿宋" w:cs="仿宋"/>
          <w:sz w:val="21"/>
          <w:szCs w:val="21"/>
        </w:rPr>
        <w:t>以区、县（市）为单位，统一为本地户籍全体60周岁（或某一起始年龄）以上老年人投保的，投保人只要提供当地公安部门人数证明，</w:t>
      </w:r>
      <w:r>
        <w:rPr>
          <w:rFonts w:hint="eastAsia" w:ascii="仿宋" w:hAnsi="仿宋" w:eastAsia="仿宋" w:cs="仿宋"/>
          <w:kern w:val="0"/>
          <w:sz w:val="21"/>
          <w:szCs w:val="21"/>
        </w:rPr>
        <w:t>乙方</w:t>
      </w:r>
      <w:r>
        <w:rPr>
          <w:rFonts w:hint="eastAsia" w:ascii="仿宋" w:hAnsi="仿宋" w:eastAsia="仿宋" w:cs="仿宋"/>
          <w:sz w:val="21"/>
          <w:szCs w:val="21"/>
        </w:rPr>
        <w:t>核对无误后签订保险合同并提供《投保告知单》；保险人在48小时内向投保人提供《保险费发票》，投保人收到发票后，按保险合同约定的时间向保险人支付保险费；保险人在48小时内将《保险单》递交投保人。</w:t>
      </w:r>
    </w:p>
    <w:p>
      <w:pPr>
        <w:autoSpaceDE w:val="0"/>
        <w:autoSpaceDN w:val="0"/>
        <w:spacing w:line="500" w:lineRule="exact"/>
        <w:ind w:firstLine="420" w:firstLineChars="200"/>
        <w:rPr>
          <w:rFonts w:hint="eastAsia" w:ascii="仿宋" w:hAnsi="仿宋" w:eastAsia="仿宋" w:cs="仿宋"/>
          <w:bCs/>
          <w:kern w:val="0"/>
          <w:sz w:val="21"/>
          <w:szCs w:val="21"/>
        </w:rPr>
      </w:pPr>
      <w:r>
        <w:rPr>
          <w:rFonts w:hint="eastAsia" w:ascii="仿宋" w:hAnsi="仿宋" w:eastAsia="仿宋" w:cs="仿宋"/>
          <w:sz w:val="21"/>
          <w:szCs w:val="21"/>
        </w:rPr>
        <w:t>2.以区、县（市）为单位，为本地有名单的政府补贴对象投保的，投保人需提供《投保清单》</w:t>
      </w:r>
      <w:r>
        <w:rPr>
          <w:rFonts w:hint="eastAsia" w:ascii="仿宋" w:hAnsi="仿宋" w:eastAsia="仿宋" w:cs="仿宋"/>
          <w:kern w:val="0"/>
          <w:sz w:val="21"/>
          <w:szCs w:val="21"/>
        </w:rPr>
        <w:t>（</w:t>
      </w:r>
      <w:r>
        <w:rPr>
          <w:rFonts w:hint="eastAsia" w:ascii="仿宋" w:hAnsi="仿宋" w:eastAsia="仿宋" w:cs="仿宋"/>
          <w:bCs/>
          <w:kern w:val="0"/>
          <w:sz w:val="21"/>
          <w:szCs w:val="21"/>
        </w:rPr>
        <w:t>详见附件5）</w:t>
      </w:r>
      <w:r>
        <w:rPr>
          <w:rFonts w:hint="eastAsia" w:ascii="仿宋" w:hAnsi="仿宋" w:eastAsia="仿宋" w:cs="仿宋"/>
          <w:sz w:val="21"/>
          <w:szCs w:val="21"/>
        </w:rPr>
        <w:t>方可投保，乙方核对无误后签订保险合同并提供《投保告知单》；乙方在48小时内向投保人提供《保险费发票》，投保人收到发票后，按保险合同约定的时间向乙方支付保险费；乙方在48小时内将《保险单》《承保清单》递交投保人。</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3.除上述情况外，由机关、企事业单位、社会组织或个人统一为老年人集体投保的，投保人须提供</w:t>
      </w:r>
      <w:r>
        <w:rPr>
          <w:rFonts w:hint="eastAsia" w:ascii="仿宋" w:hAnsi="仿宋" w:eastAsia="仿宋" w:cs="仿宋"/>
          <w:kern w:val="0"/>
          <w:sz w:val="21"/>
          <w:szCs w:val="21"/>
        </w:rPr>
        <w:t>《投保清单》</w:t>
      </w:r>
      <w:r>
        <w:rPr>
          <w:rFonts w:hint="eastAsia" w:ascii="仿宋" w:hAnsi="仿宋" w:eastAsia="仿宋" w:cs="仿宋"/>
          <w:sz w:val="21"/>
          <w:szCs w:val="21"/>
        </w:rPr>
        <w:t>方可投保</w:t>
      </w:r>
      <w:r>
        <w:rPr>
          <w:rFonts w:hint="eastAsia" w:ascii="仿宋" w:hAnsi="仿宋" w:eastAsia="仿宋" w:cs="仿宋"/>
          <w:bCs/>
          <w:kern w:val="0"/>
          <w:sz w:val="21"/>
          <w:szCs w:val="21"/>
        </w:rPr>
        <w:t>；</w:t>
      </w:r>
      <w:r>
        <w:rPr>
          <w:rFonts w:hint="eastAsia" w:ascii="仿宋" w:hAnsi="仿宋" w:eastAsia="仿宋" w:cs="仿宋"/>
          <w:kern w:val="0"/>
          <w:sz w:val="21"/>
          <w:szCs w:val="21"/>
        </w:rPr>
        <w:t>乙方核对无误后</w:t>
      </w:r>
      <w:r>
        <w:rPr>
          <w:rFonts w:hint="eastAsia" w:ascii="仿宋" w:hAnsi="仿宋" w:eastAsia="仿宋" w:cs="仿宋"/>
          <w:sz w:val="21"/>
          <w:szCs w:val="21"/>
        </w:rPr>
        <w:t>向投保人收取保险费，乙方在48小时内将《保险单》《承保清单》《保险费发票》《保障卡》递交投保人。</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4.个人（指被保险人本人或其亲属）为老年人投保的，投保人须提供被保险人</w:t>
      </w:r>
      <w:r>
        <w:rPr>
          <w:rFonts w:hint="eastAsia" w:ascii="仿宋" w:hAnsi="仿宋" w:eastAsia="仿宋" w:cs="仿宋"/>
          <w:kern w:val="0"/>
          <w:sz w:val="21"/>
          <w:szCs w:val="21"/>
        </w:rPr>
        <w:t>有效身份证明原件，乙方核对无误后在《投保清单》上进行统计，被保险人签名确认并向乙方支付保险费，乙方提供</w:t>
      </w:r>
      <w:r>
        <w:rPr>
          <w:rFonts w:hint="eastAsia" w:ascii="仿宋" w:hAnsi="仿宋" w:eastAsia="仿宋" w:cs="仿宋"/>
          <w:sz w:val="21"/>
          <w:szCs w:val="21"/>
        </w:rPr>
        <w:t>《保险单》及发放《保障卡》。</w:t>
      </w:r>
    </w:p>
    <w:p>
      <w:pPr>
        <w:autoSpaceDE w:val="0"/>
        <w:autoSpaceDN w:val="0"/>
        <w:spacing w:line="500" w:lineRule="exact"/>
        <w:ind w:firstLine="403" w:firstLineChars="192"/>
        <w:rPr>
          <w:rFonts w:hint="eastAsia" w:ascii="仿宋" w:hAnsi="仿宋" w:eastAsia="仿宋" w:cs="仿宋"/>
          <w:kern w:val="0"/>
          <w:sz w:val="21"/>
          <w:szCs w:val="21"/>
        </w:rPr>
      </w:pPr>
      <w:r>
        <w:rPr>
          <w:rFonts w:hint="eastAsia" w:ascii="仿宋" w:hAnsi="仿宋" w:eastAsia="仿宋" w:cs="仿宋"/>
          <w:kern w:val="0"/>
          <w:sz w:val="21"/>
          <w:szCs w:val="21"/>
        </w:rPr>
        <w:t>注：集中统一为辖区内所有60周岁（或某一起始年龄）以上老年人投保时，考虑到一年进行一次投保，为方便操作，对</w:t>
      </w:r>
      <w:r>
        <w:rPr>
          <w:rFonts w:hint="eastAsia" w:ascii="仿宋" w:hAnsi="仿宋" w:eastAsia="仿宋" w:cs="仿宋"/>
          <w:kern w:val="0"/>
          <w:sz w:val="21"/>
          <w:szCs w:val="21"/>
          <w:u w:val="single"/>
        </w:rPr>
        <w:t>202</w:t>
      </w:r>
      <w:r>
        <w:rPr>
          <w:rFonts w:hint="eastAsia" w:ascii="仿宋" w:hAnsi="仿宋" w:eastAsia="仿宋" w:cs="仿宋"/>
          <w:kern w:val="0"/>
          <w:sz w:val="21"/>
          <w:szCs w:val="21"/>
          <w:u w:val="single"/>
          <w:lang w:val="en-US" w:eastAsia="zh-CN"/>
        </w:rPr>
        <w:t>3</w:t>
      </w:r>
      <w:r>
        <w:rPr>
          <w:rFonts w:hint="eastAsia" w:ascii="仿宋" w:hAnsi="仿宋" w:eastAsia="仿宋" w:cs="仿宋"/>
          <w:kern w:val="0"/>
          <w:sz w:val="21"/>
          <w:szCs w:val="21"/>
        </w:rPr>
        <w:t>年</w:t>
      </w:r>
      <w:r>
        <w:rPr>
          <w:rFonts w:hint="eastAsia" w:ascii="仿宋" w:hAnsi="仿宋" w:eastAsia="仿宋" w:cs="仿宋"/>
          <w:kern w:val="0"/>
          <w:sz w:val="21"/>
          <w:szCs w:val="21"/>
          <w:u w:val="single"/>
        </w:rPr>
        <w:t>5</w:t>
      </w:r>
      <w:r>
        <w:rPr>
          <w:rFonts w:hint="eastAsia" w:ascii="仿宋" w:hAnsi="仿宋" w:eastAsia="仿宋" w:cs="仿宋"/>
          <w:kern w:val="0"/>
          <w:sz w:val="21"/>
          <w:szCs w:val="21"/>
        </w:rPr>
        <w:t>月</w:t>
      </w:r>
      <w:r>
        <w:rPr>
          <w:rFonts w:hint="eastAsia" w:ascii="仿宋" w:hAnsi="仿宋" w:eastAsia="仿宋" w:cs="仿宋"/>
          <w:kern w:val="0"/>
          <w:sz w:val="21"/>
          <w:szCs w:val="21"/>
          <w:u w:val="single"/>
        </w:rPr>
        <w:t>1</w:t>
      </w:r>
      <w:r>
        <w:rPr>
          <w:rFonts w:hint="eastAsia" w:ascii="仿宋" w:hAnsi="仿宋" w:eastAsia="仿宋" w:cs="仿宋"/>
          <w:kern w:val="0"/>
          <w:sz w:val="21"/>
          <w:szCs w:val="21"/>
        </w:rPr>
        <w:t>日前达到60周岁（或某一起始年龄）的老年人进行投保。</w:t>
      </w:r>
    </w:p>
    <w:p>
      <w:pPr>
        <w:autoSpaceDE w:val="0"/>
        <w:autoSpaceDN w:val="0"/>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（三）投保理赔查询</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1.保险人每天及时在各自核心系统输入承保和理赔数据，</w:t>
      </w:r>
      <w:r>
        <w:rPr>
          <w:rFonts w:hint="eastAsia" w:ascii="仿宋" w:hAnsi="仿宋" w:eastAsia="仿宋" w:cs="仿宋"/>
          <w:kern w:val="0"/>
          <w:sz w:val="21"/>
          <w:szCs w:val="21"/>
        </w:rPr>
        <w:t>保证被保险人可以进行投保、理赔查询</w:t>
      </w:r>
      <w:r>
        <w:rPr>
          <w:rFonts w:hint="eastAsia" w:ascii="仿宋" w:hAnsi="仿宋" w:eastAsia="仿宋" w:cs="仿宋"/>
          <w:sz w:val="21"/>
          <w:szCs w:val="21"/>
        </w:rPr>
        <w:t>。</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保险人核心业务系统须对采购人和保险经纪人开放老年人意外险项目相关业务数据查询权限，满足采购人和保险经纪人对投保、理赔等方面数据的即时查询、核对；根据采购人和保险经纪人的要求及时提供相关理赔案件的原始理赔影像资料或现场查询原始理赔影像资料。</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除政府投保的无名单的团单，其他团单的被保险人清单要逐个正确录入系统。</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（四）保险费专用账户</w:t>
      </w:r>
    </w:p>
    <w:p>
      <w:pPr>
        <w:autoSpaceDE w:val="0"/>
        <w:autoSpaceDN w:val="0"/>
        <w:spacing w:line="500" w:lineRule="exact"/>
        <w:ind w:firstLine="403" w:firstLineChars="192"/>
        <w:rPr>
          <w:rFonts w:hint="eastAsia" w:ascii="仿宋" w:hAnsi="仿宋" w:eastAsia="仿宋" w:cs="仿宋"/>
          <w:kern w:val="0"/>
          <w:sz w:val="21"/>
          <w:szCs w:val="21"/>
        </w:rPr>
      </w:pPr>
      <w:r>
        <w:rPr>
          <w:rFonts w:hint="eastAsia" w:ascii="仿宋" w:hAnsi="仿宋" w:eastAsia="仿宋" w:cs="仿宋"/>
          <w:sz w:val="21"/>
          <w:szCs w:val="21"/>
        </w:rPr>
        <w:t>1. 集中投保部分：</w:t>
      </w:r>
      <w:r>
        <w:rPr>
          <w:rFonts w:hint="eastAsia" w:ascii="仿宋" w:hAnsi="仿宋" w:eastAsia="仿宋" w:cs="仿宋"/>
          <w:kern w:val="0"/>
          <w:sz w:val="21"/>
          <w:szCs w:val="21"/>
        </w:rPr>
        <w:t>签订保险合同并提供投保清单或者其他相关资料后，投保人在</w:t>
      </w:r>
      <w:r>
        <w:rPr>
          <w:rFonts w:hint="eastAsia" w:ascii="仿宋" w:hAnsi="仿宋" w:eastAsia="仿宋" w:cs="仿宋"/>
          <w:kern w:val="0"/>
          <w:sz w:val="21"/>
          <w:szCs w:val="21"/>
          <w:u w:val="single"/>
        </w:rPr>
        <w:t>20</w:t>
      </w:r>
      <w:r>
        <w:rPr>
          <w:rFonts w:hint="eastAsia" w:ascii="仿宋" w:hAnsi="仿宋" w:eastAsia="仿宋" w:cs="仿宋"/>
          <w:kern w:val="0"/>
          <w:sz w:val="21"/>
          <w:szCs w:val="21"/>
        </w:rPr>
        <w:t>个工作日内将保险费一次性打入保险人保险费专用账户；万一在提交投保清单或者其他相关资料到缴纳保险费的时间段内发生保险责任范围内的保险事故，保险人同意赔偿；若投保人超过保险合同约定的时间仍未支付保险费的，保险人在收到保险费后开始承担保险责任。（另有约定的除外）</w:t>
      </w:r>
    </w:p>
    <w:tbl>
      <w:tblPr>
        <w:tblStyle w:val="18"/>
        <w:tblpPr w:leftFromText="180" w:rightFromText="180" w:vertAnchor="text" w:horzAnchor="margin" w:tblpXSpec="center" w:tblpY="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autoSpaceDE w:val="0"/>
              <w:autoSpaceDN w:val="0"/>
              <w:spacing w:line="460" w:lineRule="exact"/>
              <w:jc w:val="center"/>
              <w:rPr>
                <w:rFonts w:hint="eastAsia" w:ascii="仿宋" w:hAnsi="仿宋" w:eastAsia="仿宋" w:cs="仿宋"/>
                <w:b/>
                <w:sz w:val="21"/>
                <w:szCs w:val="21"/>
              </w:rPr>
            </w:pPr>
            <w:r>
              <w:rPr>
                <w:rFonts w:hint="eastAsia" w:ascii="仿宋" w:hAnsi="仿宋" w:eastAsia="仿宋" w:cs="仿宋"/>
                <w:b/>
                <w:sz w:val="21"/>
                <w:szCs w:val="21"/>
              </w:rPr>
              <w:t>保险费专用账户</w:t>
            </w:r>
          </w:p>
          <w:p>
            <w:pPr>
              <w:autoSpaceDE w:val="0"/>
              <w:autoSpaceDN w:val="0"/>
              <w:spacing w:line="460" w:lineRule="exact"/>
              <w:jc w:val="left"/>
              <w:rPr>
                <w:rFonts w:hint="eastAsia" w:ascii="仿宋" w:hAnsi="仿宋" w:eastAsia="仿宋" w:cs="仿宋"/>
                <w:sz w:val="21"/>
                <w:szCs w:val="21"/>
                <w:u w:val="single"/>
              </w:rPr>
            </w:pPr>
            <w:r>
              <w:rPr>
                <w:rFonts w:hint="eastAsia" w:ascii="仿宋" w:hAnsi="仿宋" w:eastAsia="仿宋" w:cs="仿宋"/>
                <w:sz w:val="21"/>
                <w:szCs w:val="21"/>
              </w:rPr>
              <w:t>单位全称：</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autoSpaceDE w:val="0"/>
              <w:autoSpaceDN w:val="0"/>
              <w:spacing w:line="460" w:lineRule="exact"/>
              <w:jc w:val="left"/>
              <w:rPr>
                <w:rFonts w:hint="eastAsia" w:ascii="仿宋" w:hAnsi="仿宋" w:eastAsia="仿宋" w:cs="仿宋"/>
                <w:sz w:val="21"/>
                <w:szCs w:val="21"/>
                <w:u w:val="single"/>
              </w:rPr>
            </w:pPr>
            <w:r>
              <w:rPr>
                <w:rFonts w:hint="eastAsia" w:ascii="仿宋" w:hAnsi="仿宋" w:eastAsia="仿宋" w:cs="仿宋"/>
                <w:sz w:val="21"/>
                <w:szCs w:val="21"/>
              </w:rPr>
              <w:t>单位账户：</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autoSpaceDE w:val="0"/>
              <w:autoSpaceDN w:val="0"/>
              <w:spacing w:line="460" w:lineRule="exact"/>
              <w:jc w:val="left"/>
              <w:rPr>
                <w:rFonts w:hint="eastAsia" w:ascii="仿宋" w:hAnsi="仿宋" w:eastAsia="仿宋" w:cs="仿宋"/>
                <w:sz w:val="21"/>
                <w:szCs w:val="21"/>
              </w:rPr>
            </w:pPr>
            <w:r>
              <w:rPr>
                <w:rFonts w:hint="eastAsia" w:ascii="仿宋" w:hAnsi="仿宋" w:eastAsia="仿宋" w:cs="仿宋"/>
                <w:sz w:val="21"/>
                <w:szCs w:val="21"/>
              </w:rPr>
              <w:t>开 户 行：</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tc>
      </w:tr>
    </w:tbl>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 个人投保部分：保险人在收取保险费及相关投保资料后，向投保人出具《保险单》和《保障卡》，按照《保险单》约定</w:t>
      </w:r>
      <w:r>
        <w:rPr>
          <w:rFonts w:hint="eastAsia" w:ascii="仿宋" w:hAnsi="仿宋" w:eastAsia="仿宋" w:cs="仿宋"/>
          <w:kern w:val="0"/>
          <w:sz w:val="21"/>
          <w:szCs w:val="21"/>
        </w:rPr>
        <w:t>承担保险责任</w:t>
      </w:r>
      <w:r>
        <w:rPr>
          <w:rFonts w:hint="eastAsia" w:ascii="仿宋" w:hAnsi="仿宋" w:eastAsia="仿宋" w:cs="仿宋"/>
          <w:sz w:val="21"/>
          <w:szCs w:val="21"/>
        </w:rPr>
        <w:t xml:space="preserve">。 </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bCs/>
          <w:kern w:val="0"/>
          <w:sz w:val="21"/>
          <w:szCs w:val="21"/>
        </w:rPr>
        <w:t xml:space="preserve">3.网上投保客户在投保时直接在网上支付保险费到保险公司专用账号。  </w:t>
      </w:r>
      <w:r>
        <w:rPr>
          <w:rFonts w:hint="eastAsia" w:ascii="仿宋" w:hAnsi="仿宋" w:eastAsia="仿宋" w:cs="仿宋"/>
          <w:b/>
          <w:kern w:val="0"/>
          <w:sz w:val="21"/>
          <w:szCs w:val="21"/>
        </w:rPr>
        <w:t xml:space="preserve"> </w:t>
      </w:r>
    </w:p>
    <w:p>
      <w:pPr>
        <w:spacing w:line="500" w:lineRule="exact"/>
        <w:ind w:firstLine="422" w:firstLineChars="200"/>
        <w:rPr>
          <w:rFonts w:hint="eastAsia" w:ascii="仿宋" w:hAnsi="仿宋" w:eastAsia="仿宋" w:cs="仿宋"/>
          <w:b/>
          <w:kern w:val="0"/>
          <w:sz w:val="21"/>
          <w:szCs w:val="21"/>
          <w:lang w:val="en-US" w:eastAsia="zh-CN"/>
        </w:rPr>
      </w:pPr>
      <w:r>
        <w:rPr>
          <w:rFonts w:hint="eastAsia" w:ascii="仿宋" w:hAnsi="仿宋" w:eastAsia="仿宋" w:cs="仿宋"/>
          <w:b/>
          <w:kern w:val="0"/>
          <w:sz w:val="21"/>
          <w:szCs w:val="21"/>
        </w:rPr>
        <w:t>（五）查询系统开发维护</w:t>
      </w:r>
      <w:r>
        <w:rPr>
          <w:rFonts w:hint="eastAsia" w:ascii="仿宋" w:hAnsi="仿宋" w:eastAsia="仿宋" w:cs="仿宋"/>
          <w:b/>
          <w:kern w:val="0"/>
          <w:sz w:val="21"/>
          <w:szCs w:val="21"/>
          <w:lang w:val="en-US" w:eastAsia="zh-CN"/>
        </w:rPr>
        <w:t>费用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1.成立</w:t>
      </w:r>
      <w:r>
        <w:rPr>
          <w:rFonts w:hint="eastAsia" w:ascii="仿宋" w:hAnsi="仿宋" w:eastAsia="仿宋" w:cs="仿宋"/>
          <w:sz w:val="21"/>
          <w:szCs w:val="21"/>
          <w:lang w:val="en-US" w:eastAsia="zh-CN"/>
        </w:rPr>
        <w:t>维护费用</w:t>
      </w:r>
      <w:r>
        <w:rPr>
          <w:rFonts w:hint="eastAsia" w:ascii="仿宋" w:hAnsi="仿宋" w:eastAsia="仿宋" w:cs="仿宋"/>
          <w:sz w:val="21"/>
          <w:szCs w:val="21"/>
        </w:rPr>
        <w:t>：为确保《湖州市老年人意外伤害统筹保险》查询系统有效运行,实现其应有的价值，设立“查询系统开发维护</w:t>
      </w:r>
      <w:r>
        <w:rPr>
          <w:rFonts w:hint="eastAsia" w:ascii="仿宋" w:hAnsi="仿宋" w:eastAsia="仿宋" w:cs="仿宋"/>
          <w:sz w:val="21"/>
          <w:szCs w:val="21"/>
          <w:lang w:val="en-US" w:eastAsia="zh-CN"/>
        </w:rPr>
        <w:t>费用</w:t>
      </w:r>
      <w:r>
        <w:rPr>
          <w:rFonts w:hint="eastAsia" w:ascii="仿宋" w:hAnsi="仿宋" w:eastAsia="仿宋" w:cs="仿宋"/>
          <w:sz w:val="21"/>
          <w:szCs w:val="21"/>
        </w:rPr>
        <w:t>”。</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费用</w:t>
      </w:r>
      <w:r>
        <w:rPr>
          <w:rFonts w:hint="eastAsia" w:ascii="仿宋" w:hAnsi="仿宋" w:eastAsia="仿宋" w:cs="仿宋"/>
          <w:sz w:val="21"/>
          <w:szCs w:val="21"/>
        </w:rPr>
        <w:t>来源：承保保险人每年按照保险费比例</w:t>
      </w:r>
      <w:r>
        <w:rPr>
          <w:rFonts w:hint="eastAsia" w:ascii="仿宋" w:hAnsi="仿宋" w:eastAsia="仿宋" w:cs="仿宋"/>
          <w:sz w:val="21"/>
          <w:szCs w:val="21"/>
          <w:lang w:val="en-US" w:eastAsia="zh-CN"/>
        </w:rPr>
        <w:t>1</w:t>
      </w:r>
      <w:r>
        <w:rPr>
          <w:rFonts w:hint="eastAsia" w:ascii="仿宋" w:hAnsi="仿宋" w:eastAsia="仿宋" w:cs="仿宋"/>
          <w:sz w:val="21"/>
          <w:szCs w:val="21"/>
        </w:rPr>
        <w:t>%预交，等保费全部到账后五个工作日内将系统开发维护</w:t>
      </w:r>
      <w:r>
        <w:rPr>
          <w:rFonts w:hint="eastAsia" w:ascii="仿宋" w:hAnsi="仿宋" w:eastAsia="仿宋" w:cs="仿宋"/>
          <w:sz w:val="21"/>
          <w:szCs w:val="21"/>
          <w:lang w:val="en-US" w:eastAsia="zh-CN"/>
        </w:rPr>
        <w:t>费用</w:t>
      </w:r>
      <w:r>
        <w:rPr>
          <w:rFonts w:hint="eastAsia" w:ascii="仿宋" w:hAnsi="仿宋" w:eastAsia="仿宋" w:cs="仿宋"/>
          <w:sz w:val="21"/>
          <w:szCs w:val="21"/>
        </w:rPr>
        <w:t>打入丙方保险经纪人指定的基金专用账户。</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费用</w:t>
      </w:r>
      <w:r>
        <w:rPr>
          <w:rFonts w:hint="eastAsia" w:ascii="仿宋" w:hAnsi="仿宋" w:eastAsia="仿宋" w:cs="仿宋"/>
          <w:sz w:val="21"/>
          <w:szCs w:val="21"/>
        </w:rPr>
        <w:t>管理：建立</w:t>
      </w:r>
      <w:r>
        <w:rPr>
          <w:rFonts w:hint="eastAsia" w:ascii="仿宋" w:hAnsi="仿宋" w:eastAsia="仿宋" w:cs="仿宋"/>
          <w:sz w:val="21"/>
          <w:szCs w:val="21"/>
          <w:lang w:val="en-US" w:eastAsia="zh-CN"/>
        </w:rPr>
        <w:t>费用</w:t>
      </w:r>
      <w:r>
        <w:rPr>
          <w:rFonts w:hint="eastAsia" w:ascii="仿宋" w:hAnsi="仿宋" w:eastAsia="仿宋" w:cs="仿宋"/>
          <w:sz w:val="21"/>
          <w:szCs w:val="21"/>
        </w:rPr>
        <w:t>专用账户及管理台账，由丙方保险经纪人统一管理。</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费用</w:t>
      </w:r>
      <w:r>
        <w:rPr>
          <w:rFonts w:hint="eastAsia" w:ascii="仿宋" w:hAnsi="仿宋" w:eastAsia="仿宋" w:cs="仿宋"/>
          <w:sz w:val="21"/>
          <w:szCs w:val="21"/>
        </w:rPr>
        <w:t>使用：丙方负责完成老年人系统的开发、维护。若乙方或丙方对系统有新的开发或维护需求，必须提供书面需求，经甲方审核同意；由丙方拟定合同；合同经甲方同意后由乙方按照合同约定付款，丙方负责跟踪系统开发人完成系统开发或维护工作。</w:t>
      </w:r>
    </w:p>
    <w:p>
      <w:pPr>
        <w:tabs>
          <w:tab w:val="left" w:pos="353"/>
        </w:tabs>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（六）宣传资料印刷</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保险单、宣传册、投保告知单、保障卡等印制由各保险人各自负责，必须使用统一的版本。</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（七）</w:t>
      </w:r>
      <w:r>
        <w:rPr>
          <w:rFonts w:hint="eastAsia" w:ascii="仿宋" w:hAnsi="仿宋" w:eastAsia="仿宋" w:cs="仿宋"/>
          <w:b/>
          <w:kern w:val="0"/>
          <w:sz w:val="21"/>
          <w:szCs w:val="21"/>
        </w:rPr>
        <w:t>结算</w:t>
      </w:r>
    </w:p>
    <w:p>
      <w:pPr>
        <w:spacing w:line="500" w:lineRule="exact"/>
        <w:ind w:firstLine="420" w:firstLineChars="200"/>
        <w:outlineLvl w:val="2"/>
        <w:rPr>
          <w:rFonts w:hint="eastAsia" w:ascii="仿宋" w:hAnsi="仿宋" w:eastAsia="仿宋" w:cs="仿宋"/>
          <w:kern w:val="0"/>
          <w:sz w:val="21"/>
          <w:szCs w:val="21"/>
        </w:rPr>
      </w:pPr>
      <w:r>
        <w:rPr>
          <w:rFonts w:hint="eastAsia" w:ascii="仿宋" w:hAnsi="仿宋" w:eastAsia="仿宋" w:cs="仿宋"/>
          <w:kern w:val="0"/>
          <w:sz w:val="21"/>
          <w:szCs w:val="21"/>
        </w:rPr>
        <w:t>（1）乙方于每月10日17：30前指定专人与丙方结算，向丙方提供上个月全部业务的《</w:t>
      </w:r>
      <w:r>
        <w:rPr>
          <w:rFonts w:hint="eastAsia" w:ascii="仿宋" w:hAnsi="仿宋" w:eastAsia="仿宋" w:cs="仿宋"/>
          <w:sz w:val="21"/>
          <w:szCs w:val="21"/>
        </w:rPr>
        <w:t>保费结算汇总表</w:t>
      </w:r>
      <w:r>
        <w:rPr>
          <w:rFonts w:hint="eastAsia" w:ascii="仿宋" w:hAnsi="仿宋" w:eastAsia="仿宋" w:cs="仿宋"/>
          <w:kern w:val="0"/>
          <w:sz w:val="21"/>
          <w:szCs w:val="21"/>
        </w:rPr>
        <w:t>》</w:t>
      </w:r>
      <w:r>
        <w:rPr>
          <w:rFonts w:hint="eastAsia" w:ascii="仿宋" w:hAnsi="仿宋" w:eastAsia="仿宋" w:cs="仿宋"/>
          <w:sz w:val="21"/>
          <w:szCs w:val="21"/>
        </w:rPr>
        <w:t>、《保费结算明细表》、《承保明细表》、《理赔汇总表》、《立案表》、《结案表》、《未结案表》</w:t>
      </w:r>
      <w:r>
        <w:rPr>
          <w:rFonts w:hint="eastAsia" w:ascii="仿宋" w:hAnsi="仿宋" w:eastAsia="仿宋" w:cs="仿宋"/>
          <w:kern w:val="0"/>
          <w:sz w:val="21"/>
          <w:szCs w:val="21"/>
        </w:rPr>
        <w:t>，丙方在3个工作日内核对无误后通知乙方。</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统计口径：上月1日—上月31日（最后一日）；逢12月，截止到12月25日结清当月已产生的保险费；次年1月从上年12月26日－1月31日保险费一起结算。（遇节假日顺延）</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（2）费用支付</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政保部分：乙方按照实收含税保险费</w:t>
      </w:r>
      <w:r>
        <w:rPr>
          <w:rFonts w:hint="eastAsia" w:ascii="仿宋" w:hAnsi="仿宋" w:eastAsia="仿宋" w:cs="仿宋"/>
          <w:sz w:val="21"/>
          <w:szCs w:val="21"/>
          <w:u w:val="single"/>
        </w:rPr>
        <w:t xml:space="preserve">  </w:t>
      </w:r>
      <w:r>
        <w:rPr>
          <w:rFonts w:hint="eastAsia" w:ascii="仿宋" w:hAnsi="仿宋" w:eastAsia="仿宋" w:cs="仿宋"/>
          <w:sz w:val="21"/>
          <w:szCs w:val="21"/>
        </w:rPr>
        <w:t>%支付丙方经纪费；</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自购部分：乙方按照实收含税保险费的</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%支付丙方经纪费；</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乙方在收到丙方出具的经纪费发票后必须在一周内（遇节假日顺延）将经纪费划入丙方指定的账户。</w:t>
      </w:r>
    </w:p>
    <w:tbl>
      <w:tblPr>
        <w:tblStyle w:val="18"/>
        <w:tblpPr w:leftFromText="180" w:rightFromText="180" w:vertAnchor="text" w:horzAnchor="margin" w:tblpXSpec="center" w:tblpY="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9440" w:type="dxa"/>
            <w:noWrap w:val="0"/>
            <w:vAlign w:val="top"/>
          </w:tcPr>
          <w:p>
            <w:pPr>
              <w:autoSpaceDE w:val="0"/>
              <w:autoSpaceDN w:val="0"/>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经纪费专用账户</w:t>
            </w:r>
          </w:p>
          <w:p>
            <w:pPr>
              <w:autoSpaceDE w:val="0"/>
              <w:autoSpaceDN w:val="0"/>
              <w:spacing w:line="500" w:lineRule="exact"/>
              <w:jc w:val="left"/>
              <w:rPr>
                <w:rFonts w:hint="eastAsia" w:ascii="仿宋" w:hAnsi="仿宋" w:eastAsia="仿宋" w:cs="仿宋"/>
                <w:sz w:val="21"/>
                <w:szCs w:val="21"/>
              </w:rPr>
            </w:pPr>
            <w:r>
              <w:rPr>
                <w:rFonts w:hint="eastAsia" w:ascii="仿宋" w:hAnsi="仿宋" w:eastAsia="仿宋" w:cs="仿宋"/>
                <w:sz w:val="21"/>
                <w:szCs w:val="21"/>
              </w:rPr>
              <w:t>单位全称：</w:t>
            </w:r>
          </w:p>
          <w:p>
            <w:pPr>
              <w:autoSpaceDE w:val="0"/>
              <w:autoSpaceDN w:val="0"/>
              <w:spacing w:line="500" w:lineRule="exact"/>
              <w:jc w:val="left"/>
              <w:rPr>
                <w:rFonts w:hint="eastAsia" w:ascii="仿宋" w:hAnsi="仿宋" w:eastAsia="仿宋" w:cs="仿宋"/>
                <w:sz w:val="21"/>
                <w:szCs w:val="21"/>
              </w:rPr>
            </w:pPr>
            <w:r>
              <w:rPr>
                <w:rFonts w:hint="eastAsia" w:ascii="仿宋" w:hAnsi="仿宋" w:eastAsia="仿宋" w:cs="仿宋"/>
                <w:sz w:val="21"/>
                <w:szCs w:val="21"/>
              </w:rPr>
              <w:t>单位账户：</w:t>
            </w:r>
          </w:p>
          <w:p>
            <w:pPr>
              <w:autoSpaceDE w:val="0"/>
              <w:autoSpaceDN w:val="0"/>
              <w:spacing w:line="500" w:lineRule="exact"/>
              <w:jc w:val="left"/>
              <w:rPr>
                <w:rFonts w:hint="eastAsia" w:ascii="仿宋" w:hAnsi="仿宋" w:eastAsia="仿宋" w:cs="仿宋"/>
                <w:sz w:val="21"/>
                <w:szCs w:val="21"/>
              </w:rPr>
            </w:pPr>
            <w:r>
              <w:rPr>
                <w:rFonts w:hint="eastAsia" w:ascii="仿宋" w:hAnsi="仿宋" w:eastAsia="仿宋" w:cs="仿宋"/>
                <w:sz w:val="21"/>
                <w:szCs w:val="21"/>
              </w:rPr>
              <w:t>开 户 行：</w:t>
            </w:r>
          </w:p>
        </w:tc>
      </w:tr>
    </w:tbl>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kern w:val="0"/>
          <w:sz w:val="21"/>
          <w:szCs w:val="21"/>
        </w:rPr>
        <w:t>第六条  理赔操作方式</w:t>
      </w:r>
      <w:r>
        <w:rPr>
          <w:rFonts w:hint="eastAsia" w:ascii="仿宋" w:hAnsi="仿宋" w:eastAsia="仿宋" w:cs="仿宋"/>
          <w:b/>
          <w:sz w:val="21"/>
          <w:szCs w:val="21"/>
        </w:rPr>
        <w:t xml:space="preserve">    </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（一）报案</w:t>
      </w:r>
    </w:p>
    <w:p>
      <w:pPr>
        <w:overflowPunct w:val="0"/>
        <w:autoSpaceDE w:val="0"/>
        <w:autoSpaceDN w:val="0"/>
        <w:spacing w:line="500" w:lineRule="exact"/>
        <w:ind w:firstLine="420" w:firstLineChars="200"/>
        <w:textAlignment w:val="baseline"/>
        <w:rPr>
          <w:rFonts w:hint="eastAsia" w:ascii="仿宋" w:hAnsi="仿宋" w:eastAsia="仿宋" w:cs="仿宋"/>
          <w:sz w:val="21"/>
          <w:szCs w:val="21"/>
        </w:rPr>
      </w:pPr>
      <w:r>
        <w:rPr>
          <w:rFonts w:hint="eastAsia" w:ascii="仿宋" w:hAnsi="仿宋" w:eastAsia="仿宋" w:cs="仿宋"/>
          <w:sz w:val="21"/>
          <w:szCs w:val="21"/>
        </w:rPr>
        <w:t>发生保险事故，被保险人或其亲属应在第一时间以电话或书面形式通知乙方，并采取积极施救，减少伤亡，尽可能地保护老年人的生命安全。</w:t>
      </w:r>
    </w:p>
    <w:p>
      <w:pPr>
        <w:overflowPunct w:val="0"/>
        <w:autoSpaceDE w:val="0"/>
        <w:autoSpaceDN w:val="0"/>
        <w:spacing w:line="500" w:lineRule="exact"/>
        <w:ind w:firstLine="420" w:firstLineChars="200"/>
        <w:textAlignment w:val="baseline"/>
        <w:rPr>
          <w:rFonts w:hint="eastAsia" w:ascii="仿宋" w:hAnsi="仿宋" w:eastAsia="仿宋" w:cs="仿宋"/>
          <w:b/>
          <w:kern w:val="0"/>
          <w:sz w:val="21"/>
          <w:szCs w:val="21"/>
          <w:highlight w:val="yellow"/>
        </w:rPr>
      </w:pPr>
      <w:r>
        <w:rPr>
          <w:rFonts w:hint="eastAsia" w:ascii="仿宋" w:hAnsi="仿宋" w:eastAsia="仿宋" w:cs="仿宋"/>
          <w:sz w:val="21"/>
          <w:szCs w:val="21"/>
        </w:rPr>
        <w:t xml:space="preserve">被保险人因意外身故，其亲属需在24小时内报案，若延期报案，因报案延迟导致保险公司无法界定身故原因的，保险公司将做拒赔处理。 </w:t>
      </w:r>
    </w:p>
    <w:p>
      <w:pPr>
        <w:widowControl/>
        <w:overflowPunct w:val="0"/>
        <w:autoSpaceDE w:val="0"/>
        <w:autoSpaceDN w:val="0"/>
        <w:spacing w:line="500" w:lineRule="exact"/>
        <w:ind w:firstLine="422" w:firstLineChars="200"/>
        <w:jc w:val="left"/>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保险人理赔报案电话：</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pPr>
              <w:widowControl/>
              <w:overflowPunct w:val="0"/>
              <w:autoSpaceDE w:val="0"/>
              <w:autoSpaceDN w:val="0"/>
              <w:spacing w:line="50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 险 人</w:t>
            </w:r>
          </w:p>
        </w:tc>
        <w:tc>
          <w:tcPr>
            <w:tcW w:w="3600" w:type="dxa"/>
            <w:noWrap w:val="0"/>
            <w:vAlign w:val="top"/>
          </w:tcPr>
          <w:p>
            <w:pPr>
              <w:widowControl/>
              <w:overflowPunct w:val="0"/>
              <w:autoSpaceDE w:val="0"/>
              <w:autoSpaceDN w:val="0"/>
              <w:spacing w:line="50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报案电话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pPr>
              <w:widowControl/>
              <w:overflowPunct w:val="0"/>
              <w:autoSpaceDE w:val="0"/>
              <w:autoSpaceDN w:val="0"/>
              <w:spacing w:line="500" w:lineRule="exact"/>
              <w:textAlignment w:val="baseline"/>
              <w:rPr>
                <w:rFonts w:hint="eastAsia" w:ascii="仿宋" w:hAnsi="仿宋" w:eastAsia="仿宋" w:cs="仿宋"/>
                <w:b/>
                <w:kern w:val="0"/>
                <w:sz w:val="21"/>
                <w:szCs w:val="21"/>
              </w:rPr>
            </w:pPr>
          </w:p>
        </w:tc>
        <w:tc>
          <w:tcPr>
            <w:tcW w:w="3600" w:type="dxa"/>
            <w:noWrap w:val="0"/>
            <w:vAlign w:val="top"/>
          </w:tcPr>
          <w:p>
            <w:pPr>
              <w:widowControl/>
              <w:overflowPunct w:val="0"/>
              <w:autoSpaceDE w:val="0"/>
              <w:autoSpaceDN w:val="0"/>
              <w:spacing w:line="500" w:lineRule="exact"/>
              <w:textAlignment w:val="baseline"/>
              <w:rPr>
                <w:rFonts w:hint="eastAsia" w:ascii="仿宋" w:hAnsi="仿宋" w:eastAsia="仿宋" w:cs="仿宋"/>
                <w:b/>
                <w:kern w:val="0"/>
                <w:sz w:val="21"/>
                <w:szCs w:val="21"/>
              </w:rPr>
            </w:pPr>
          </w:p>
        </w:tc>
      </w:tr>
    </w:tbl>
    <w:p>
      <w:pPr>
        <w:widowControl/>
        <w:overflowPunct w:val="0"/>
        <w:autoSpaceDE w:val="0"/>
        <w:autoSpaceDN w:val="0"/>
        <w:spacing w:line="500" w:lineRule="exact"/>
        <w:ind w:firstLine="422" w:firstLineChars="200"/>
        <w:textAlignment w:val="baseline"/>
        <w:rPr>
          <w:rFonts w:hint="eastAsia" w:ascii="仿宋" w:hAnsi="仿宋" w:eastAsia="仿宋" w:cs="仿宋"/>
          <w:kern w:val="0"/>
          <w:sz w:val="21"/>
          <w:szCs w:val="21"/>
        </w:rPr>
      </w:pPr>
      <w:r>
        <w:rPr>
          <w:rFonts w:hint="eastAsia" w:ascii="仿宋" w:hAnsi="仿宋" w:eastAsia="仿宋" w:cs="仿宋"/>
          <w:b/>
          <w:kern w:val="0"/>
          <w:sz w:val="21"/>
          <w:szCs w:val="21"/>
        </w:rPr>
        <w:t>保险经纪人理赔协调电话：</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pPr>
              <w:widowControl/>
              <w:overflowPunct w:val="0"/>
              <w:autoSpaceDE w:val="0"/>
              <w:autoSpaceDN w:val="0"/>
              <w:spacing w:line="50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保险经纪人</w:t>
            </w:r>
          </w:p>
        </w:tc>
        <w:tc>
          <w:tcPr>
            <w:tcW w:w="3600" w:type="dxa"/>
            <w:noWrap w:val="0"/>
            <w:vAlign w:val="top"/>
          </w:tcPr>
          <w:p>
            <w:pPr>
              <w:widowControl/>
              <w:overflowPunct w:val="0"/>
              <w:autoSpaceDE w:val="0"/>
              <w:autoSpaceDN w:val="0"/>
              <w:spacing w:line="50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理赔协调电话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pPr>
              <w:widowControl/>
              <w:overflowPunct w:val="0"/>
              <w:autoSpaceDE w:val="0"/>
              <w:autoSpaceDN w:val="0"/>
              <w:spacing w:line="500" w:lineRule="exact"/>
              <w:jc w:val="center"/>
              <w:textAlignment w:val="baseline"/>
              <w:rPr>
                <w:rFonts w:hint="eastAsia" w:ascii="仿宋" w:hAnsi="仿宋" w:eastAsia="仿宋" w:cs="仿宋"/>
                <w:b/>
                <w:kern w:val="0"/>
                <w:sz w:val="21"/>
                <w:szCs w:val="21"/>
              </w:rPr>
            </w:pPr>
          </w:p>
        </w:tc>
        <w:tc>
          <w:tcPr>
            <w:tcW w:w="3600" w:type="dxa"/>
            <w:noWrap w:val="0"/>
            <w:vAlign w:val="top"/>
          </w:tcPr>
          <w:p>
            <w:pPr>
              <w:widowControl/>
              <w:overflowPunct w:val="0"/>
              <w:autoSpaceDE w:val="0"/>
              <w:autoSpaceDN w:val="0"/>
              <w:spacing w:line="500" w:lineRule="exact"/>
              <w:jc w:val="center"/>
              <w:textAlignment w:val="baseline"/>
              <w:rPr>
                <w:rFonts w:hint="eastAsia" w:ascii="仿宋" w:hAnsi="仿宋" w:eastAsia="仿宋" w:cs="仿宋"/>
                <w:b/>
                <w:kern w:val="0"/>
                <w:sz w:val="21"/>
                <w:szCs w:val="21"/>
              </w:rPr>
            </w:pPr>
          </w:p>
        </w:tc>
      </w:tr>
    </w:tbl>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（二）查勘及理赔指导</w:t>
      </w:r>
    </w:p>
    <w:p>
      <w:pPr>
        <w:spacing w:line="500" w:lineRule="exact"/>
        <w:ind w:firstLine="422" w:firstLineChars="200"/>
        <w:rPr>
          <w:rFonts w:hint="eastAsia" w:ascii="仿宋" w:hAnsi="仿宋" w:eastAsia="仿宋" w:cs="仿宋"/>
          <w:kern w:val="0"/>
          <w:sz w:val="21"/>
          <w:szCs w:val="21"/>
        </w:rPr>
      </w:pPr>
      <w:r>
        <w:rPr>
          <w:rFonts w:hint="eastAsia" w:ascii="仿宋" w:hAnsi="仿宋" w:eastAsia="仿宋" w:cs="仿宋"/>
          <w:b/>
          <w:kern w:val="0"/>
          <w:sz w:val="21"/>
          <w:szCs w:val="21"/>
        </w:rPr>
        <w:t>1.重大案件：</w:t>
      </w:r>
      <w:r>
        <w:rPr>
          <w:rFonts w:hint="eastAsia" w:ascii="仿宋" w:hAnsi="仿宋" w:eastAsia="仿宋" w:cs="仿宋"/>
          <w:kern w:val="0"/>
          <w:sz w:val="21"/>
          <w:szCs w:val="21"/>
        </w:rPr>
        <w:t>乙方在接到被保险人</w:t>
      </w:r>
      <w:r>
        <w:rPr>
          <w:rFonts w:hint="eastAsia" w:ascii="仿宋" w:hAnsi="仿宋" w:eastAsia="仿宋" w:cs="仿宋"/>
          <w:sz w:val="21"/>
          <w:szCs w:val="21"/>
        </w:rPr>
        <w:t>或其亲属</w:t>
      </w:r>
      <w:r>
        <w:rPr>
          <w:rFonts w:hint="eastAsia" w:ascii="仿宋" w:hAnsi="仿宋" w:eastAsia="仿宋" w:cs="仿宋"/>
          <w:kern w:val="0"/>
          <w:sz w:val="21"/>
          <w:szCs w:val="21"/>
        </w:rPr>
        <w:t>报案后，应于24小时内向丙方及当地民政部门通报</w:t>
      </w:r>
      <w:r>
        <w:rPr>
          <w:rFonts w:hint="eastAsia" w:ascii="仿宋" w:hAnsi="仿宋" w:eastAsia="仿宋" w:cs="仿宋"/>
          <w:sz w:val="21"/>
          <w:szCs w:val="21"/>
        </w:rPr>
        <w:t>，并提出下一步处理意见，指导客户理赔；同时以书面形式一次性告知客户应提交的《索赔单证一览表》（特殊情况下不超过二次）</w:t>
      </w:r>
      <w:r>
        <w:rPr>
          <w:rFonts w:hint="eastAsia" w:ascii="仿宋" w:hAnsi="仿宋" w:eastAsia="仿宋" w:cs="仿宋"/>
          <w:kern w:val="0"/>
          <w:sz w:val="21"/>
          <w:szCs w:val="21"/>
        </w:rPr>
        <w:t>。</w:t>
      </w:r>
    </w:p>
    <w:p>
      <w:pPr>
        <w:spacing w:line="500" w:lineRule="exact"/>
        <w:ind w:firstLine="422" w:firstLineChars="200"/>
        <w:rPr>
          <w:rFonts w:hint="eastAsia" w:ascii="仿宋" w:hAnsi="仿宋" w:eastAsia="仿宋" w:cs="仿宋"/>
          <w:kern w:val="0"/>
          <w:sz w:val="21"/>
          <w:szCs w:val="21"/>
        </w:rPr>
      </w:pPr>
      <w:r>
        <w:rPr>
          <w:rFonts w:hint="eastAsia" w:ascii="仿宋" w:hAnsi="仿宋" w:eastAsia="仿宋" w:cs="仿宋"/>
          <w:b/>
          <w:kern w:val="0"/>
          <w:sz w:val="21"/>
          <w:szCs w:val="21"/>
        </w:rPr>
        <w:t>2.一般案件：</w:t>
      </w:r>
      <w:r>
        <w:rPr>
          <w:rFonts w:hint="eastAsia" w:ascii="仿宋" w:hAnsi="仿宋" w:eastAsia="仿宋" w:cs="仿宋"/>
          <w:kern w:val="0"/>
          <w:sz w:val="21"/>
          <w:szCs w:val="21"/>
        </w:rPr>
        <w:t>乙方同意给被保险人开通“理赔绿色通道”，对于小额赔案，由乙方向被保险人提供电话指导服务，</w:t>
      </w:r>
      <w:r>
        <w:rPr>
          <w:rFonts w:hint="eastAsia" w:ascii="仿宋" w:hAnsi="仿宋" w:eastAsia="仿宋" w:cs="仿宋"/>
          <w:sz w:val="21"/>
          <w:szCs w:val="21"/>
        </w:rPr>
        <w:t>并以书面形式一次性告知客户应提交的《索赔单证一览表》</w:t>
      </w:r>
      <w:r>
        <w:rPr>
          <w:rFonts w:hint="eastAsia" w:ascii="仿宋" w:hAnsi="仿宋" w:eastAsia="仿宋" w:cs="仿宋"/>
          <w:kern w:val="0"/>
          <w:sz w:val="21"/>
          <w:szCs w:val="21"/>
        </w:rPr>
        <w:t>。</w:t>
      </w:r>
    </w:p>
    <w:p>
      <w:pPr>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 xml:space="preserve">定义： </w:t>
      </w:r>
    </w:p>
    <w:p>
      <w:pPr>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（1）重大案件：</w:t>
      </w:r>
      <w:r>
        <w:rPr>
          <w:rFonts w:hint="eastAsia" w:ascii="仿宋" w:hAnsi="仿宋" w:eastAsia="仿宋" w:cs="仿宋"/>
          <w:kern w:val="0"/>
          <w:sz w:val="21"/>
          <w:szCs w:val="21"/>
        </w:rPr>
        <w:t>是指意外引起群死群伤（3人以上）等情况的严重事故或是预估理赔金额达到10万元及以上的事故；</w:t>
      </w:r>
    </w:p>
    <w:p>
      <w:pPr>
        <w:spacing w:line="500" w:lineRule="exact"/>
        <w:ind w:firstLine="422" w:firstLineChars="200"/>
        <w:rPr>
          <w:rFonts w:hint="eastAsia" w:ascii="仿宋" w:hAnsi="仿宋" w:eastAsia="仿宋" w:cs="仿宋"/>
          <w:kern w:val="0"/>
          <w:sz w:val="21"/>
          <w:szCs w:val="21"/>
        </w:rPr>
      </w:pPr>
      <w:r>
        <w:rPr>
          <w:rFonts w:hint="eastAsia" w:ascii="仿宋" w:hAnsi="仿宋" w:eastAsia="仿宋" w:cs="仿宋"/>
          <w:b/>
          <w:kern w:val="0"/>
          <w:sz w:val="21"/>
          <w:szCs w:val="21"/>
        </w:rPr>
        <w:t>（2）一般案件：</w:t>
      </w:r>
      <w:r>
        <w:rPr>
          <w:rFonts w:hint="eastAsia" w:ascii="仿宋" w:hAnsi="仿宋" w:eastAsia="仿宋" w:cs="仿宋"/>
          <w:kern w:val="0"/>
          <w:sz w:val="21"/>
          <w:szCs w:val="21"/>
        </w:rPr>
        <w:t>是指意外引起摔倒、碰撞等小事故。（不包括身故、重伤或群体性食物中毒的事故或预估理赔金额小于10万元的事故。）</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（三）被保险人投保信息查询</w:t>
      </w:r>
    </w:p>
    <w:p>
      <w:pPr>
        <w:spacing w:line="500" w:lineRule="exact"/>
        <w:ind w:firstLine="420" w:firstLineChars="200"/>
        <w:rPr>
          <w:rFonts w:hint="eastAsia" w:ascii="仿宋" w:hAnsi="仿宋" w:eastAsia="仿宋" w:cs="仿宋"/>
          <w:b/>
          <w:sz w:val="21"/>
          <w:szCs w:val="21"/>
        </w:rPr>
      </w:pPr>
      <w:r>
        <w:rPr>
          <w:rFonts w:hint="eastAsia" w:ascii="仿宋" w:hAnsi="仿宋" w:eastAsia="仿宋" w:cs="仿宋"/>
          <w:kern w:val="0"/>
          <w:sz w:val="21"/>
          <w:szCs w:val="21"/>
        </w:rPr>
        <w:t>乙方在处理案件前，在《湖州市老年人意外伤害统筹保险系统》上查询被保险人投保信息，若被保险人投保需统一理赔标准。</w:t>
      </w:r>
    </w:p>
    <w:p>
      <w:pPr>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（四）收集单证</w:t>
      </w:r>
    </w:p>
    <w:p>
      <w:pPr>
        <w:autoSpaceDE w:val="0"/>
        <w:autoSpaceDN w:val="0"/>
        <w:spacing w:line="500" w:lineRule="exact"/>
        <w:ind w:firstLine="405" w:firstLineChars="192"/>
        <w:jc w:val="left"/>
        <w:rPr>
          <w:rFonts w:hint="eastAsia" w:ascii="仿宋" w:hAnsi="仿宋" w:eastAsia="仿宋" w:cs="仿宋"/>
          <w:b/>
          <w:kern w:val="0"/>
          <w:sz w:val="21"/>
          <w:szCs w:val="21"/>
        </w:rPr>
      </w:pPr>
      <w:r>
        <w:rPr>
          <w:rFonts w:hint="eastAsia" w:ascii="仿宋" w:hAnsi="仿宋" w:eastAsia="仿宋" w:cs="仿宋"/>
          <w:b/>
          <w:sz w:val="21"/>
          <w:szCs w:val="21"/>
        </w:rPr>
        <w:t xml:space="preserve">1. </w:t>
      </w:r>
      <w:r>
        <w:rPr>
          <w:rFonts w:hint="eastAsia" w:ascii="仿宋" w:hAnsi="仿宋" w:eastAsia="仿宋" w:cs="仿宋"/>
          <w:b/>
          <w:kern w:val="0"/>
          <w:sz w:val="21"/>
          <w:szCs w:val="21"/>
        </w:rPr>
        <w:t>上门服务</w:t>
      </w:r>
    </w:p>
    <w:p>
      <w:pPr>
        <w:autoSpaceDE w:val="0"/>
        <w:autoSpaceDN w:val="0"/>
        <w:spacing w:line="500" w:lineRule="exact"/>
        <w:ind w:firstLine="420" w:firstLineChars="200"/>
        <w:jc w:val="left"/>
        <w:rPr>
          <w:rFonts w:hint="eastAsia" w:ascii="仿宋" w:hAnsi="仿宋" w:eastAsia="仿宋" w:cs="仿宋"/>
          <w:sz w:val="21"/>
          <w:szCs w:val="21"/>
        </w:rPr>
      </w:pPr>
      <w:r>
        <w:rPr>
          <w:rFonts w:hint="eastAsia" w:ascii="仿宋" w:hAnsi="仿宋" w:eastAsia="仿宋" w:cs="仿宋"/>
          <w:kern w:val="0"/>
          <w:sz w:val="21"/>
          <w:szCs w:val="21"/>
        </w:rPr>
        <w:t>乙方在接到被保险人要求上门收集索赔单证服务电话后，原则上</w:t>
      </w:r>
      <w:r>
        <w:rPr>
          <w:rFonts w:hint="eastAsia" w:ascii="仿宋" w:hAnsi="仿宋" w:eastAsia="仿宋" w:cs="仿宋"/>
          <w:sz w:val="21"/>
          <w:szCs w:val="21"/>
        </w:rPr>
        <w:t>在48小时内提供上门服务。</w:t>
      </w:r>
    </w:p>
    <w:p>
      <w:pPr>
        <w:autoSpaceDE w:val="0"/>
        <w:autoSpaceDN w:val="0"/>
        <w:spacing w:line="500" w:lineRule="exact"/>
        <w:ind w:firstLine="405" w:firstLineChars="192"/>
        <w:jc w:val="left"/>
        <w:rPr>
          <w:rFonts w:hint="eastAsia" w:ascii="仿宋" w:hAnsi="仿宋" w:eastAsia="仿宋" w:cs="仿宋"/>
          <w:b/>
          <w:kern w:val="0"/>
          <w:sz w:val="21"/>
          <w:szCs w:val="21"/>
        </w:rPr>
      </w:pPr>
      <w:r>
        <w:rPr>
          <w:rFonts w:hint="eastAsia" w:ascii="仿宋" w:hAnsi="仿宋" w:eastAsia="仿宋" w:cs="仿宋"/>
          <w:b/>
          <w:kern w:val="0"/>
          <w:sz w:val="21"/>
          <w:szCs w:val="21"/>
        </w:rPr>
        <w:t>2. 就近服务</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被保险人或其子女可持身份证及</w:t>
      </w:r>
      <w:r>
        <w:rPr>
          <w:rFonts w:hint="eastAsia" w:ascii="仿宋" w:hAnsi="仿宋" w:eastAsia="仿宋" w:cs="仿宋"/>
          <w:sz w:val="21"/>
          <w:szCs w:val="21"/>
        </w:rPr>
        <w:t>《索赔单证一览表》上列明的索赔单证</w:t>
      </w:r>
      <w:r>
        <w:rPr>
          <w:rFonts w:hint="eastAsia" w:ascii="仿宋" w:hAnsi="仿宋" w:eastAsia="仿宋" w:cs="仿宋"/>
          <w:kern w:val="0"/>
          <w:sz w:val="21"/>
          <w:szCs w:val="21"/>
        </w:rPr>
        <w:t>，到附近的乙方营业场所柜面直接办理索赔。</w:t>
      </w:r>
    </w:p>
    <w:p>
      <w:pPr>
        <w:autoSpaceDE w:val="0"/>
        <w:autoSpaceDN w:val="0"/>
        <w:spacing w:line="500" w:lineRule="exact"/>
        <w:ind w:firstLine="422" w:firstLineChars="200"/>
        <w:jc w:val="left"/>
        <w:rPr>
          <w:rFonts w:hint="eastAsia" w:ascii="仿宋" w:hAnsi="仿宋" w:eastAsia="仿宋" w:cs="仿宋"/>
          <w:b/>
          <w:sz w:val="21"/>
          <w:szCs w:val="21"/>
        </w:rPr>
      </w:pPr>
      <w:r>
        <w:rPr>
          <w:rFonts w:hint="eastAsia" w:ascii="仿宋" w:hAnsi="仿宋" w:eastAsia="仿宋" w:cs="仿宋"/>
          <w:b/>
          <w:kern w:val="0"/>
          <w:sz w:val="21"/>
          <w:szCs w:val="21"/>
        </w:rPr>
        <w:t>3</w:t>
      </w:r>
      <w:r>
        <w:rPr>
          <w:rFonts w:hint="eastAsia" w:ascii="仿宋" w:hAnsi="仿宋" w:eastAsia="仿宋" w:cs="仿宋"/>
          <w:b/>
          <w:sz w:val="21"/>
          <w:szCs w:val="21"/>
        </w:rPr>
        <w:t>. 快递服务</w:t>
      </w:r>
    </w:p>
    <w:p>
      <w:pPr>
        <w:autoSpaceDE w:val="0"/>
        <w:autoSpaceDN w:val="0"/>
        <w:spacing w:line="500" w:lineRule="exact"/>
        <w:ind w:firstLine="420" w:firstLineChars="200"/>
        <w:jc w:val="left"/>
        <w:rPr>
          <w:rFonts w:hint="eastAsia" w:ascii="仿宋" w:hAnsi="仿宋" w:eastAsia="仿宋" w:cs="仿宋"/>
          <w:sz w:val="21"/>
          <w:szCs w:val="21"/>
        </w:rPr>
      </w:pPr>
      <w:r>
        <w:rPr>
          <w:rFonts w:hint="eastAsia" w:ascii="仿宋" w:hAnsi="仿宋" w:eastAsia="仿宋" w:cs="仿宋"/>
          <w:kern w:val="0"/>
          <w:sz w:val="21"/>
          <w:szCs w:val="21"/>
        </w:rPr>
        <w:t>乙方</w:t>
      </w:r>
      <w:r>
        <w:rPr>
          <w:rFonts w:hint="eastAsia" w:ascii="仿宋" w:hAnsi="仿宋" w:eastAsia="仿宋" w:cs="仿宋"/>
          <w:sz w:val="21"/>
          <w:szCs w:val="21"/>
        </w:rPr>
        <w:t>同意被保险人按照《索赔单证一览表》收集索赔单证，通过快递的形式递交乙方。</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（五）索赔单证一览表</w:t>
      </w:r>
    </w:p>
    <w:tbl>
      <w:tblPr>
        <w:tblStyle w:val="18"/>
        <w:tblW w:w="9041" w:type="dxa"/>
        <w:jc w:val="center"/>
        <w:tblLayout w:type="fixed"/>
        <w:tblCellMar>
          <w:top w:w="0" w:type="dxa"/>
          <w:left w:w="108" w:type="dxa"/>
          <w:bottom w:w="0" w:type="dxa"/>
          <w:right w:w="108" w:type="dxa"/>
        </w:tblCellMar>
      </w:tblPr>
      <w:tblGrid>
        <w:gridCol w:w="1362"/>
        <w:gridCol w:w="2582"/>
        <w:gridCol w:w="5097"/>
      </w:tblGrid>
      <w:tr>
        <w:tblPrEx>
          <w:tblCellMar>
            <w:top w:w="0" w:type="dxa"/>
            <w:left w:w="108" w:type="dxa"/>
            <w:bottom w:w="0" w:type="dxa"/>
            <w:right w:w="108" w:type="dxa"/>
          </w:tblCellMar>
        </w:tblPrEx>
        <w:trPr>
          <w:trHeight w:val="679" w:hRule="atLeast"/>
          <w:jc w:val="center"/>
        </w:trPr>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申请项目</w:t>
            </w:r>
          </w:p>
        </w:tc>
        <w:tc>
          <w:tcPr>
            <w:tcW w:w="258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应备单证</w:t>
            </w:r>
          </w:p>
        </w:tc>
        <w:tc>
          <w:tcPr>
            <w:tcW w:w="509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单证代码说明</w:t>
            </w:r>
          </w:p>
        </w:tc>
      </w:tr>
      <w:tr>
        <w:tblPrEx>
          <w:tblCellMar>
            <w:top w:w="0" w:type="dxa"/>
            <w:left w:w="108" w:type="dxa"/>
            <w:bottom w:w="0" w:type="dxa"/>
            <w:right w:w="108" w:type="dxa"/>
          </w:tblCellMar>
        </w:tblPrEx>
        <w:trPr>
          <w:trHeight w:val="1247" w:hRule="atLeast"/>
          <w:jc w:val="center"/>
        </w:trPr>
        <w:tc>
          <w:tcPr>
            <w:tcW w:w="13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意外身故</w:t>
            </w:r>
          </w:p>
        </w:tc>
        <w:tc>
          <w:tcPr>
            <w:tcW w:w="258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 (2) (3) (4) (7)（8）(9) (11) (12)(13)</w:t>
            </w:r>
          </w:p>
        </w:tc>
        <w:tc>
          <w:tcPr>
            <w:tcW w:w="5097" w:type="dxa"/>
            <w:vMerge w:val="restart"/>
            <w:tcBorders>
              <w:top w:val="nil"/>
              <w:left w:val="nil"/>
              <w:bottom w:val="nil"/>
              <w:right w:val="single" w:color="auto" w:sz="4" w:space="0"/>
            </w:tcBorders>
            <w:noWrap w:val="0"/>
            <w:vAlign w:val="center"/>
          </w:tcPr>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(1)理赔申请书（须签字）；</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(2)理赔委托书和受托人身份证明复印件；</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(3)被保险人身份证复印件或户籍证明；</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(4)受益人、法定继承人身份证明原件及被保险人关系证明（户籍管理部门或公证部门出具）；</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(5)医疗费用发票原件；</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(6)住院费用清单（处方）；</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(7)病历原件；</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(8)出院小结；</w:t>
            </w:r>
          </w:p>
          <w:p>
            <w:pPr>
              <w:widowControl/>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(9)《医疗诊断证明》原件</w:t>
            </w:r>
          </w:p>
          <w:p>
            <w:pPr>
              <w:widowControl/>
              <w:tabs>
                <w:tab w:val="center" w:pos="4153"/>
                <w:tab w:val="right" w:pos="8306"/>
              </w:tabs>
              <w:snapToGrid w:val="0"/>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(10)残疾鉴定报告；</w:t>
            </w:r>
          </w:p>
          <w:p>
            <w:pPr>
              <w:tabs>
                <w:tab w:val="center" w:pos="4153"/>
                <w:tab w:val="right" w:pos="8306"/>
              </w:tabs>
              <w:snapToGrid w:val="0"/>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(11)身故证明书（居民死亡医学证明（推断）书）；</w:t>
            </w:r>
          </w:p>
          <w:p>
            <w:pPr>
              <w:tabs>
                <w:tab w:val="center" w:pos="4153"/>
                <w:tab w:val="right" w:pos="8306"/>
              </w:tabs>
              <w:snapToGrid w:val="0"/>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(12)户口注销证明、火化土葬证明、尸检报告（提供其中的一项复印件即可）；</w:t>
            </w:r>
          </w:p>
          <w:p>
            <w:pPr>
              <w:tabs>
                <w:tab w:val="center" w:pos="4153"/>
                <w:tab w:val="right" w:pos="8306"/>
              </w:tabs>
              <w:snapToGrid w:val="0"/>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(13)申请人银行账户。</w:t>
            </w:r>
          </w:p>
          <w:p>
            <w:pPr>
              <w:tabs>
                <w:tab w:val="center" w:pos="4153"/>
                <w:tab w:val="right" w:pos="8306"/>
              </w:tabs>
              <w:snapToGrid w:val="0"/>
              <w:spacing w:line="312"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t>温馨提醒：</w:t>
            </w:r>
          </w:p>
          <w:p>
            <w:pPr>
              <w:tabs>
                <w:tab w:val="center" w:pos="4153"/>
                <w:tab w:val="right" w:pos="8306"/>
              </w:tabs>
              <w:snapToGrid w:val="0"/>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若被保险人遭受意外伤害，需到卫生行政部门认定的二级以上（含二级）医院诊断治疗（急诊不受医院等级限制可在具有医疗资质的医院先行治疗，但是三天内须转到二级以上医院治疗）。</w:t>
            </w:r>
          </w:p>
        </w:tc>
      </w:tr>
      <w:tr>
        <w:tblPrEx>
          <w:tblCellMar>
            <w:top w:w="0" w:type="dxa"/>
            <w:left w:w="108" w:type="dxa"/>
            <w:bottom w:w="0" w:type="dxa"/>
            <w:right w:w="108" w:type="dxa"/>
          </w:tblCellMar>
        </w:tblPrEx>
        <w:trPr>
          <w:trHeight w:val="1247" w:hRule="atLeast"/>
          <w:jc w:val="center"/>
        </w:trPr>
        <w:tc>
          <w:tcPr>
            <w:tcW w:w="13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意外残疾</w:t>
            </w:r>
          </w:p>
        </w:tc>
        <w:tc>
          <w:tcPr>
            <w:tcW w:w="258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(1)(2) (3)(7)（8）（9）(10) (13)</w:t>
            </w:r>
          </w:p>
        </w:tc>
        <w:tc>
          <w:tcPr>
            <w:tcW w:w="5097" w:type="dxa"/>
            <w:vMerge w:val="continue"/>
            <w:tcBorders>
              <w:left w:val="nil"/>
              <w:right w:val="single" w:color="auto" w:sz="4" w:space="0"/>
            </w:tcBorders>
            <w:noWrap w:val="0"/>
            <w:vAlign w:val="center"/>
          </w:tcPr>
          <w:p>
            <w:pPr>
              <w:spacing w:line="360" w:lineRule="auto"/>
              <w:jc w:val="left"/>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247" w:hRule="atLeast"/>
          <w:jc w:val="center"/>
        </w:trPr>
        <w:tc>
          <w:tcPr>
            <w:tcW w:w="13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意外住院</w:t>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补贴</w:t>
            </w:r>
          </w:p>
        </w:tc>
        <w:tc>
          <w:tcPr>
            <w:tcW w:w="258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(1)(2)(3)(5)(6)(7) (8)（9）(13)</w:t>
            </w:r>
          </w:p>
        </w:tc>
        <w:tc>
          <w:tcPr>
            <w:tcW w:w="5097" w:type="dxa"/>
            <w:vMerge w:val="continue"/>
            <w:tcBorders>
              <w:left w:val="nil"/>
              <w:right w:val="single" w:color="auto" w:sz="4" w:space="0"/>
            </w:tcBorders>
            <w:noWrap w:val="0"/>
            <w:vAlign w:val="top"/>
          </w:tcPr>
          <w:p>
            <w:pPr>
              <w:spacing w:line="360" w:lineRule="auto"/>
              <w:jc w:val="left"/>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247" w:hRule="atLeast"/>
          <w:jc w:val="center"/>
        </w:trPr>
        <w:tc>
          <w:tcPr>
            <w:tcW w:w="13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意外医疗（门诊）</w:t>
            </w:r>
          </w:p>
        </w:tc>
        <w:tc>
          <w:tcPr>
            <w:tcW w:w="258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 (2) (3) (5) (7) (13)</w:t>
            </w:r>
          </w:p>
        </w:tc>
        <w:tc>
          <w:tcPr>
            <w:tcW w:w="5097" w:type="dxa"/>
            <w:vMerge w:val="continue"/>
            <w:tcBorders>
              <w:left w:val="nil"/>
              <w:right w:val="single" w:color="auto" w:sz="4" w:space="0"/>
            </w:tcBorders>
            <w:noWrap w:val="0"/>
            <w:vAlign w:val="top"/>
          </w:tcPr>
          <w:p>
            <w:pPr>
              <w:spacing w:line="360" w:lineRule="auto"/>
              <w:jc w:val="left"/>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247" w:hRule="atLeast"/>
          <w:jc w:val="center"/>
        </w:trPr>
        <w:tc>
          <w:tcPr>
            <w:tcW w:w="13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意外医疗（住院）</w:t>
            </w:r>
          </w:p>
        </w:tc>
        <w:tc>
          <w:tcPr>
            <w:tcW w:w="258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(1)(2)(3)(5)(6)(7)(8)(9) (13)</w:t>
            </w:r>
          </w:p>
        </w:tc>
        <w:tc>
          <w:tcPr>
            <w:tcW w:w="5097" w:type="dxa"/>
            <w:vMerge w:val="continue"/>
            <w:tcBorders>
              <w:left w:val="nil"/>
              <w:right w:val="single" w:color="auto" w:sz="4" w:space="0"/>
            </w:tcBorders>
            <w:noWrap w:val="0"/>
            <w:vAlign w:val="center"/>
          </w:tcPr>
          <w:p>
            <w:pPr>
              <w:spacing w:line="360" w:lineRule="auto"/>
              <w:jc w:val="left"/>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247" w:hRule="atLeast"/>
          <w:jc w:val="center"/>
        </w:trPr>
        <w:tc>
          <w:tcPr>
            <w:tcW w:w="13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猝死</w:t>
            </w:r>
          </w:p>
        </w:tc>
        <w:tc>
          <w:tcPr>
            <w:tcW w:w="258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(1)(2) (3) (4)（7）(9)(11)(12) (13)</w:t>
            </w:r>
          </w:p>
        </w:tc>
        <w:tc>
          <w:tcPr>
            <w:tcW w:w="5097" w:type="dxa"/>
            <w:vMerge w:val="continue"/>
            <w:tcBorders>
              <w:left w:val="nil"/>
              <w:bottom w:val="single" w:color="auto" w:sz="4" w:space="0"/>
              <w:right w:val="single" w:color="auto" w:sz="4" w:space="0"/>
            </w:tcBorders>
            <w:noWrap w:val="0"/>
            <w:vAlign w:val="top"/>
          </w:tcPr>
          <w:p>
            <w:pPr>
              <w:widowControl/>
              <w:spacing w:line="360" w:lineRule="auto"/>
              <w:jc w:val="left"/>
              <w:rPr>
                <w:rFonts w:hint="eastAsia" w:ascii="仿宋" w:hAnsi="仿宋" w:eastAsia="仿宋" w:cs="仿宋"/>
                <w:kern w:val="0"/>
                <w:sz w:val="21"/>
                <w:szCs w:val="21"/>
              </w:rPr>
            </w:pPr>
          </w:p>
        </w:tc>
      </w:tr>
    </w:tbl>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（六）单证确认</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kern w:val="0"/>
          <w:sz w:val="21"/>
          <w:szCs w:val="21"/>
        </w:rPr>
        <w:t>乙方</w:t>
      </w:r>
      <w:r>
        <w:rPr>
          <w:rFonts w:hint="eastAsia" w:ascii="仿宋" w:hAnsi="仿宋" w:eastAsia="仿宋" w:cs="仿宋"/>
          <w:sz w:val="21"/>
          <w:szCs w:val="21"/>
        </w:rPr>
        <w:t>在收到索赔单证后，根据《索赔清单一览表》确认索赔单证是否齐全。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 单证齐全：乙方应出具索赔单证签收单给客户，并按照保险采购合同约定的时间将赔款及时划入客户账户。</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 单证不齐全：乙方应马上用书面方式一次性提出应补交的索赔单证，客户将索赔单证补齐后，乙方按照保险采购合同约定的时间将赔款及时划入客户账户。</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 单证签收后：乙方未提出任何意见，在以后的理赔处理中，不得以索赔单证不齐全为由提出拒赔或要求延长理赔期限。</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kern w:val="0"/>
          <w:sz w:val="21"/>
          <w:szCs w:val="21"/>
        </w:rPr>
        <w:t>乙方</w:t>
      </w:r>
      <w:r>
        <w:rPr>
          <w:rFonts w:hint="eastAsia" w:ascii="仿宋" w:hAnsi="仿宋" w:eastAsia="仿宋" w:cs="仿宋"/>
          <w:sz w:val="21"/>
          <w:szCs w:val="21"/>
        </w:rPr>
        <w:t>确认单证齐全后的次日开始计算赔款支付时间。</w:t>
      </w:r>
    </w:p>
    <w:p>
      <w:pPr>
        <w:spacing w:line="50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（七）理赔期限</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kern w:val="0"/>
          <w:sz w:val="21"/>
          <w:szCs w:val="21"/>
        </w:rPr>
        <w:t>乙方</w:t>
      </w:r>
      <w:r>
        <w:rPr>
          <w:rFonts w:hint="eastAsia" w:ascii="仿宋" w:hAnsi="仿宋" w:eastAsia="仿宋" w:cs="仿宋"/>
          <w:sz w:val="21"/>
          <w:szCs w:val="21"/>
        </w:rPr>
        <w:t>在索赔单证齐全后，1万元（含）以下五个工作日、1万元以上十个工作日内将保险赔款支付到被保险人或受益人（指定）的银行账户。</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（八）纠纷处理方式</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发生理赔纠纷时，被保险人可拨打丙方</w:t>
      </w:r>
      <w:r>
        <w:rPr>
          <w:rFonts w:hint="eastAsia" w:ascii="仿宋" w:hAnsi="仿宋" w:eastAsia="仿宋" w:cs="仿宋"/>
          <w:kern w:val="0"/>
          <w:sz w:val="21"/>
          <w:szCs w:val="21"/>
        </w:rPr>
        <w:t>保险经纪人</w:t>
      </w:r>
      <w:r>
        <w:rPr>
          <w:rFonts w:hint="eastAsia" w:ascii="仿宋" w:hAnsi="仿宋" w:eastAsia="仿宋" w:cs="仿宋"/>
          <w:sz w:val="21"/>
          <w:szCs w:val="21"/>
        </w:rPr>
        <w:t>理赔纠纷电话</w:t>
      </w:r>
      <w:r>
        <w:rPr>
          <w:rFonts w:hint="eastAsia" w:ascii="仿宋" w:hAnsi="仿宋" w:eastAsia="仿宋" w:cs="仿宋"/>
          <w:sz w:val="21"/>
          <w:szCs w:val="21"/>
          <w:u w:val="single"/>
          <w:lang w:val="en-US" w:eastAsia="zh-CN"/>
        </w:rPr>
        <w:t xml:space="preserve">             </w:t>
      </w:r>
      <w:r>
        <w:rPr>
          <w:rFonts w:hint="eastAsia" w:ascii="仿宋" w:hAnsi="仿宋" w:eastAsia="仿宋" w:cs="仿宋"/>
          <w:b/>
          <w:sz w:val="21"/>
          <w:szCs w:val="21"/>
        </w:rPr>
        <w:t>。</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 电话协商处理方式</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丙方接到理赔纠纷电话，了解双方纠纷情况，及时帮助被保险人与乙方沟通协调解决理赔纠纷。</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 协调会处理方式</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上述处理未能解决的纠纷，由丙方牵头召开</w:t>
      </w:r>
      <w:r>
        <w:rPr>
          <w:rFonts w:hint="eastAsia" w:ascii="仿宋" w:hAnsi="仿宋" w:eastAsia="仿宋" w:cs="仿宋"/>
          <w:kern w:val="0"/>
          <w:sz w:val="21"/>
          <w:szCs w:val="21"/>
        </w:rPr>
        <w:t>被保险人、乙方和投保人参与的</w:t>
      </w:r>
      <w:r>
        <w:rPr>
          <w:rFonts w:hint="eastAsia" w:ascii="仿宋" w:hAnsi="仿宋" w:eastAsia="仿宋" w:cs="仿宋"/>
          <w:sz w:val="21"/>
          <w:szCs w:val="21"/>
        </w:rPr>
        <w:t>理赔协调会，</w:t>
      </w:r>
      <w:r>
        <w:rPr>
          <w:rFonts w:hint="eastAsia" w:ascii="仿宋" w:hAnsi="仿宋" w:eastAsia="仿宋" w:cs="仿宋"/>
          <w:kern w:val="0"/>
          <w:sz w:val="21"/>
          <w:szCs w:val="21"/>
        </w:rPr>
        <w:t>共同协商解决。若仍协调不成，被保险人</w:t>
      </w:r>
      <w:r>
        <w:rPr>
          <w:rFonts w:hint="eastAsia" w:ascii="仿宋" w:hAnsi="仿宋" w:eastAsia="仿宋" w:cs="仿宋"/>
          <w:sz w:val="21"/>
          <w:szCs w:val="21"/>
        </w:rPr>
        <w:t>可向被保险人所在地法院起诉。</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（九）绿色通道</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急救不受本保险采购合同约定的医院级别限制，但经急救情况稳定后应当转入上述规定的医院；意外导致骨伤，可以到骨伤科医院治疗。</w:t>
      </w:r>
    </w:p>
    <w:p>
      <w:pPr>
        <w:autoSpaceDE w:val="0"/>
        <w:autoSpaceDN w:val="0"/>
        <w:spacing w:line="500" w:lineRule="exact"/>
        <w:ind w:firstLine="422" w:firstLineChars="200"/>
        <w:jc w:val="left"/>
        <w:rPr>
          <w:rFonts w:hint="eastAsia" w:ascii="仿宋" w:hAnsi="仿宋" w:eastAsia="仿宋" w:cs="仿宋"/>
          <w:b/>
          <w:kern w:val="0"/>
          <w:sz w:val="21"/>
          <w:szCs w:val="21"/>
        </w:rPr>
      </w:pPr>
      <w:r>
        <w:rPr>
          <w:rFonts w:hint="eastAsia" w:ascii="仿宋" w:hAnsi="仿宋" w:eastAsia="仿宋" w:cs="仿宋"/>
          <w:b/>
          <w:kern w:val="0"/>
          <w:sz w:val="21"/>
          <w:szCs w:val="21"/>
        </w:rPr>
        <w:t>（十）预付赔款处理</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属于保险责任内的估损金额超过1万元的大额医疗保险赔款，按照投保人的要求，经乙方同意后可在两个工作日内从理赔应急基金中按初步估损金额的50%（不超过赔偿限额50%）先行预付赔款，损失金额一经最终确定，应先行补足理赔应急基金再按本协议的承诺时间内支付其余赔款。</w:t>
      </w:r>
    </w:p>
    <w:p>
      <w:pPr>
        <w:autoSpaceDE w:val="0"/>
        <w:autoSpaceDN w:val="0"/>
        <w:spacing w:line="500" w:lineRule="exact"/>
        <w:ind w:firstLine="422" w:firstLineChars="200"/>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（十</w:t>
      </w:r>
      <w:r>
        <w:rPr>
          <w:rFonts w:hint="eastAsia" w:ascii="仿宋" w:hAnsi="仿宋" w:eastAsia="仿宋" w:cs="仿宋"/>
          <w:b/>
          <w:bCs/>
          <w:kern w:val="0"/>
          <w:sz w:val="21"/>
          <w:szCs w:val="21"/>
          <w:lang w:val="en-US" w:eastAsia="zh-CN"/>
        </w:rPr>
        <w:t>一</w:t>
      </w:r>
      <w:r>
        <w:rPr>
          <w:rFonts w:hint="eastAsia" w:ascii="仿宋" w:hAnsi="仿宋" w:eastAsia="仿宋" w:cs="仿宋"/>
          <w:b/>
          <w:bCs/>
          <w:kern w:val="0"/>
          <w:sz w:val="21"/>
          <w:szCs w:val="21"/>
        </w:rPr>
        <w:t>）增值服务</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当年赔付率低于当地财政部门资金绩效管理相关规定的，民政局有权要求提供增值服务，双方签订补充协议。</w:t>
      </w:r>
    </w:p>
    <w:p>
      <w:pPr>
        <w:spacing w:line="500" w:lineRule="exact"/>
        <w:ind w:firstLine="413" w:firstLineChars="196"/>
        <w:rPr>
          <w:rFonts w:hint="eastAsia" w:ascii="仿宋" w:hAnsi="仿宋" w:eastAsia="仿宋" w:cs="仿宋"/>
          <w:b/>
          <w:kern w:val="0"/>
          <w:sz w:val="21"/>
          <w:szCs w:val="21"/>
        </w:rPr>
      </w:pPr>
      <w:r>
        <w:rPr>
          <w:rFonts w:hint="eastAsia" w:ascii="仿宋" w:hAnsi="仿宋" w:eastAsia="仿宋" w:cs="仿宋"/>
          <w:b/>
          <w:kern w:val="0"/>
          <w:sz w:val="21"/>
          <w:szCs w:val="21"/>
        </w:rPr>
        <w:t>第七条  责任义务</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（一）</w:t>
      </w:r>
      <w:r>
        <w:rPr>
          <w:rFonts w:hint="eastAsia" w:ascii="仿宋" w:hAnsi="仿宋" w:eastAsia="仿宋" w:cs="仿宋"/>
          <w:sz w:val="21"/>
          <w:szCs w:val="21"/>
        </w:rPr>
        <w:t>甲方发文要求各区、县（市）民政局做好《湖州市老年人意外伤害统筹保险》的相关工作，</w:t>
      </w:r>
      <w:r>
        <w:rPr>
          <w:rFonts w:hint="eastAsia" w:ascii="仿宋" w:hAnsi="仿宋" w:eastAsia="仿宋" w:cs="仿宋"/>
          <w:kern w:val="0"/>
          <w:sz w:val="21"/>
          <w:szCs w:val="21"/>
        </w:rPr>
        <w:t>配合乙方做好业务的宣传与推动</w:t>
      </w:r>
      <w:r>
        <w:rPr>
          <w:rFonts w:hint="eastAsia" w:ascii="仿宋" w:hAnsi="仿宋" w:eastAsia="仿宋" w:cs="仿宋"/>
          <w:sz w:val="21"/>
          <w:szCs w:val="21"/>
        </w:rPr>
        <w:t>。</w:t>
      </w:r>
      <w:r>
        <w:rPr>
          <w:rFonts w:hint="eastAsia" w:ascii="仿宋" w:hAnsi="仿宋" w:eastAsia="仿宋" w:cs="仿宋"/>
          <w:kern w:val="0"/>
          <w:sz w:val="21"/>
          <w:szCs w:val="21"/>
        </w:rPr>
        <w:t>乙方在服务区域张贴宣传海报，发放宣传三折页并开展</w:t>
      </w:r>
      <w:r>
        <w:rPr>
          <w:rFonts w:hint="eastAsia" w:ascii="仿宋" w:hAnsi="仿宋" w:eastAsia="仿宋" w:cs="仿宋"/>
          <w:sz w:val="21"/>
          <w:szCs w:val="21"/>
        </w:rPr>
        <w:t>《湖州市老年人意外伤害统筹保险》推广宣传服务</w:t>
      </w:r>
      <w:r>
        <w:rPr>
          <w:rFonts w:hint="eastAsia" w:ascii="仿宋" w:hAnsi="仿宋" w:eastAsia="仿宋" w:cs="仿宋"/>
          <w:kern w:val="0"/>
          <w:sz w:val="21"/>
          <w:szCs w:val="21"/>
        </w:rPr>
        <w:t>，按保险采购合同的规定出具保险单等相关凭证并承担保险责任。丙方按保险采购合同的规定提供保险咨询、理赔纠纷协调等服务。</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（二）甲、乙、丙三</w:t>
      </w:r>
      <w:r>
        <w:rPr>
          <w:rFonts w:hint="eastAsia" w:ascii="仿宋" w:hAnsi="仿宋" w:eastAsia="仿宋" w:cs="仿宋"/>
          <w:sz w:val="21"/>
          <w:szCs w:val="21"/>
        </w:rPr>
        <w:t>方</w:t>
      </w:r>
      <w:r>
        <w:rPr>
          <w:rFonts w:hint="eastAsia" w:ascii="仿宋" w:hAnsi="仿宋" w:eastAsia="仿宋" w:cs="仿宋"/>
          <w:kern w:val="0"/>
          <w:sz w:val="21"/>
          <w:szCs w:val="21"/>
        </w:rPr>
        <w:t>不定期召开研讨会，共同商讨老年人项目新的商业模式、销售模式和互联网渠道合作创新模式，使《湖州市老年人意外伤害统筹保险》项目不断做大做强，提高“知晓度”。</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三）湖州市老年人意外伤害统筹保险项目系由甲、丙方共同设计的专项产品，甲、乙、丙三方有共同保护该产品商业机密的义务，未经三方同意，任何一方不得单独或与其它第三方合作开发、设计、推广同一或类似业务。加强乙方相互监督，定期进行互查，主要工作由疑难小组来完成。</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（四）乙方各保险人在每月10日前向甲方、丙方提供承保理赔数据，甲方、丙方一旦发现乙方有隐瞒不报或虚报的现象，乙方应将瞒报保险费的五倍经纪费支付给丙方违约金。</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（五）丙方每月根据乙方提供的承保理赔数据汇总整理后向甲方提供月度报表，丙方需向甲方提供半年度和年度分析报告，协助甲方对乙方实施年度考核，根据项目运行情况开展调研及其他顾问服务工作。</w:t>
      </w:r>
    </w:p>
    <w:p>
      <w:pPr>
        <w:spacing w:line="500" w:lineRule="exact"/>
        <w:ind w:firstLine="380" w:firstLineChars="181"/>
        <w:rPr>
          <w:rFonts w:hint="eastAsia" w:ascii="仿宋" w:hAnsi="仿宋" w:eastAsia="仿宋" w:cs="仿宋"/>
          <w:kern w:val="0"/>
          <w:sz w:val="21"/>
          <w:szCs w:val="21"/>
        </w:rPr>
      </w:pPr>
      <w:r>
        <w:rPr>
          <w:rFonts w:hint="eastAsia" w:ascii="仿宋" w:hAnsi="仿宋" w:eastAsia="仿宋" w:cs="仿宋"/>
          <w:kern w:val="0"/>
          <w:sz w:val="21"/>
          <w:szCs w:val="21"/>
        </w:rPr>
        <w:t>（六）乙方必须按照投保人的要求建立良好的信息传输网络，保证数据准确及时推送，满足投保人对续保、批改相关保险手续等方面数据的即时查询、统计需求，并按照投保人要求的时间和数据格式，及时提供保险服务的明细信息。最大限度的提供数据给甲方和丙方。以求项目数据分析全面、准确！同时在运行过程中出现不配合的现象，计入考评的同时，疑难小组可以采取措施按违约处理。</w:t>
      </w:r>
    </w:p>
    <w:p>
      <w:pPr>
        <w:spacing w:line="500" w:lineRule="exact"/>
        <w:ind w:firstLine="380" w:firstLineChars="181"/>
        <w:rPr>
          <w:rFonts w:hint="eastAsia" w:ascii="仿宋" w:hAnsi="仿宋" w:eastAsia="仿宋" w:cs="仿宋"/>
          <w:kern w:val="0"/>
          <w:sz w:val="21"/>
          <w:szCs w:val="21"/>
        </w:rPr>
      </w:pPr>
      <w:r>
        <w:rPr>
          <w:rFonts w:hint="eastAsia" w:ascii="仿宋" w:hAnsi="仿宋" w:eastAsia="仿宋" w:cs="仿宋"/>
          <w:kern w:val="0"/>
          <w:sz w:val="21"/>
          <w:szCs w:val="21"/>
        </w:rPr>
        <w:t>（七）乙方必须将保险单中的免责条款或拒赔及限赔条款以书面明示的方式向投保人、被保险人或受益人进行告知，未经明示且投保人、被保险人或受益人确认的免责条款不得作为拒赔或免赔、限赔的理由，丙方对此有监督乙方履行之义务。</w:t>
      </w:r>
    </w:p>
    <w:p>
      <w:pPr>
        <w:spacing w:line="500" w:lineRule="exact"/>
        <w:ind w:firstLine="380" w:firstLineChars="181"/>
        <w:rPr>
          <w:rFonts w:hint="eastAsia" w:ascii="仿宋" w:hAnsi="仿宋" w:eastAsia="仿宋" w:cs="仿宋"/>
          <w:b/>
          <w:kern w:val="0"/>
          <w:sz w:val="21"/>
          <w:szCs w:val="21"/>
        </w:rPr>
      </w:pPr>
      <w:r>
        <w:rPr>
          <w:rFonts w:hint="eastAsia" w:ascii="仿宋" w:hAnsi="仿宋" w:eastAsia="仿宋" w:cs="仿宋"/>
          <w:kern w:val="0"/>
          <w:sz w:val="21"/>
          <w:szCs w:val="21"/>
        </w:rPr>
        <w:t>（八）合同生效后，甲、乙、丙三方应按各自的职责积极推进湖州市老年人意外伤害统筹保险项目。如有一方在实施中有所懈怠，影响到项目的整体开展，甲方视情况，有权要求责任方退出湖州市老年人意外伤害统筹保险项目。本项目</w:t>
      </w:r>
      <w:r>
        <w:rPr>
          <w:rFonts w:hint="eastAsia" w:ascii="仿宋" w:hAnsi="仿宋" w:eastAsia="仿宋" w:cs="仿宋"/>
          <w:b/>
          <w:bCs/>
          <w:kern w:val="0"/>
          <w:sz w:val="21"/>
          <w:szCs w:val="21"/>
        </w:rPr>
        <w:t>设立年度考核机制</w:t>
      </w:r>
      <w:r>
        <w:rPr>
          <w:rFonts w:hint="eastAsia" w:ascii="仿宋" w:hAnsi="仿宋" w:eastAsia="仿宋" w:cs="仿宋"/>
          <w:kern w:val="0"/>
          <w:sz w:val="21"/>
          <w:szCs w:val="21"/>
        </w:rPr>
        <w:t>（具体详见《湖州市老年人意外伤害统筹保险考评制度》）。</w:t>
      </w:r>
    </w:p>
    <w:p>
      <w:pPr>
        <w:autoSpaceDE w:val="0"/>
        <w:autoSpaceDN w:val="0"/>
        <w:spacing w:line="500" w:lineRule="exact"/>
        <w:ind w:firstLine="413" w:firstLineChars="196"/>
        <w:jc w:val="left"/>
        <w:rPr>
          <w:rFonts w:hint="eastAsia" w:ascii="仿宋" w:hAnsi="仿宋" w:eastAsia="仿宋" w:cs="仿宋"/>
          <w:b/>
          <w:kern w:val="0"/>
          <w:sz w:val="21"/>
          <w:szCs w:val="21"/>
        </w:rPr>
      </w:pPr>
      <w:r>
        <w:rPr>
          <w:rFonts w:hint="eastAsia" w:ascii="仿宋" w:hAnsi="仿宋" w:eastAsia="仿宋" w:cs="仿宋"/>
          <w:b/>
          <w:kern w:val="0"/>
          <w:sz w:val="21"/>
          <w:szCs w:val="21"/>
        </w:rPr>
        <w:t>第八条  信息沟通</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 xml:space="preserve">（一）甲、乙、丙三方不定期组成联合调研组，了解各区、县（市）老年人意外伤害统筹保险投保情况和客户理赔满意度情况，并不定期召开研讨会、业务拓展会，共同研究湖州市老年人意外伤害的风险防范和救援措施工作。 </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（二）丙方应在【保险经纪网】视情开通《湖州市老年人意外伤害统筹保险》投保系统，实现网上投保—网上支付—电子保单—网上查询等服务；</w:t>
      </w:r>
      <w:r>
        <w:rPr>
          <w:rFonts w:hint="eastAsia" w:ascii="仿宋" w:hAnsi="仿宋" w:eastAsia="仿宋" w:cs="仿宋"/>
          <w:bCs/>
          <w:kern w:val="0"/>
          <w:sz w:val="24"/>
        </w:rPr>
        <w:t>；</w:t>
      </w:r>
      <w:r>
        <w:rPr>
          <w:rFonts w:hint="eastAsia" w:ascii="仿宋" w:hAnsi="仿宋" w:eastAsia="仿宋" w:cs="仿宋"/>
          <w:kern w:val="0"/>
          <w:sz w:val="21"/>
          <w:szCs w:val="21"/>
        </w:rPr>
        <w:t>《湖州市老年人意外伤害统筹保险》查询系统的开发、维护由丙方负责完成，并与乙方签订补充协议。若乙方或丙方对系统有新的开发或维护需求，必须提供书面需求，经甲方审核同意；由丙方拟定合同；乙方按照合同约定付款，丙方负责完成系统开发或维护工作</w:t>
      </w:r>
      <w:r>
        <w:rPr>
          <w:rFonts w:hint="eastAsia" w:ascii="仿宋" w:hAnsi="仿宋" w:eastAsia="仿宋" w:cs="仿宋"/>
          <w:bCs/>
          <w:kern w:val="0"/>
          <w:sz w:val="24"/>
        </w:rPr>
        <w:t>。</w:t>
      </w:r>
      <w:r>
        <w:rPr>
          <w:rFonts w:hint="eastAsia" w:ascii="仿宋" w:hAnsi="仿宋" w:eastAsia="仿宋" w:cs="仿宋"/>
          <w:kern w:val="0"/>
          <w:sz w:val="21"/>
          <w:szCs w:val="21"/>
        </w:rPr>
        <w:t>该平台包括《承保清单》、《理赔案例》、《疑问解答》、《风险防范》等风险提醒和风险管控模块，帮助老年人及子女提高风险防范意识。同时，乙方应在网上开通《理赔进度查询平台》，被保险人可以据此了解理赔进度。</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（三）发生群死、群伤等恶性事故，保险人理赔主管部门应及时进行查勘、理赔指导，开通快赔绿色通道，保证被保险人得到及时、快速、合理赔付，甲、丙双方有权提出相关的意见和建议。</w:t>
      </w:r>
    </w:p>
    <w:p>
      <w:pPr>
        <w:autoSpaceDE w:val="0"/>
        <w:autoSpaceDN w:val="0"/>
        <w:spacing w:line="50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（四）丙方作为甲方的保险顾问，应积极做好项目实施监督，为甲方提供相关保险及理赔顾问建议。</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（五）甲、乙、丙三方均有义务对在履行本合同中所知悉的相对各方的商业秘密进行保密，未经对方许可，不得对三方以外方提供业务方面的相关信息，但甲方因行使相关公共职能而批露相关信息的除外。</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rPr>
        <w:t>（六）本合同签订后，不再聘请其他保险经纪机构担任保险顾问；若乙方履行保险人职责中有不符保险人职业操守或违反相关法律、法规、规章、规范性文件、本合同约定或其自身制定的相关规范及有其他侵害甲方权益或影响甲方社会声誉的情形时甲方有权另行委托其他保险人开展业务；丙方履行顾问职责中有不符保险经纪职业操守或违反相关法律、法规、规章、</w:t>
      </w:r>
      <w:r>
        <w:rPr>
          <w:rFonts w:hint="eastAsia" w:ascii="仿宋" w:hAnsi="仿宋" w:eastAsia="仿宋" w:cs="仿宋"/>
          <w:kern w:val="0"/>
          <w:sz w:val="21"/>
          <w:szCs w:val="21"/>
          <w:highlight w:val="none"/>
        </w:rPr>
        <w:t>规范性文件、本合同约定或其自身制定的相关规范及有其他侵害甲方权益或影响甲方社会声誉的情形时甲方有权另行聘请其他保险经纪机构担任顾问。</w:t>
      </w:r>
    </w:p>
    <w:p>
      <w:pPr>
        <w:spacing w:line="5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第九条  履约保证金</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（一）乙方在签订保险采购合同后10个工作日内，保险人缴纳</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万元的履约保证金至甲方湖州市民政局。</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（二）若采购合同到期不再续签，丙方将在保险采购合同结束之日后六个月内将扣除违约金等后剩余的履约保证金无息退还乙方。</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（三）如果乙方未能履行合同规定的义务，甲方、丙方有权从履约保证金中扣除相应的违约金给投保人（被保险人）作为补偿。</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（四）如果乙方违反保险法或采购合同相关约定，甲方、丙方有权从履约保证金中扣除相应的违约金。</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（五）履约保证金的扣除不影响乙方履行本合同规定的各项义务。</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（六）履约保证金被扣除后，丙方应同时书面通知乙方，乙方应在10个工作日内予以补足。</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（七）乙方在招标文件中的承诺，若未达到承诺要求，并整改不到位，甲方、丙方有权从履约保证金中扣除相应的违约金。</w:t>
      </w:r>
    </w:p>
    <w:p>
      <w:pPr>
        <w:autoSpaceDE w:val="0"/>
        <w:autoSpaceDN w:val="0"/>
        <w:spacing w:line="50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（八）若履约单位因工作违约，终止合同，则重新招标；虽然终止合同，但该履约单位将继续完成理赔服务。</w:t>
      </w:r>
    </w:p>
    <w:p>
      <w:pPr>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第十条 违约责任</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在合同有效期内，乙方若有保险法第一百一十六条规定行为之一的，由湖州市民政局责令改正，规定时间内未完成整改的，违约方支付甲方伍万元违约金；出现以下情形满三项的或当年度验收分值在80分以下的，视为情节严重的，甲方有权终止其业务合作。具体如下：　</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保险公司及其工作人员在保险业务活动中不得有下列行为：</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1.欺骗投保人、被保险人或者受益人；</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2.对投保人隐瞒与保险合同有关的重要情况；</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3.阻碍投保人履行本法规定的如实告知义务，或者诱导其不履行本法规定的如实告知义务；</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4.给予或者承诺给予投保人、被保险人、受益人保险合同约定以外的保险费回扣或者其他利益；</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5.拒不依法履行保险合同约定的赔偿或者给付保险金义务；</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6.故意编造未曾发生的保险事故、虚构保险合同或者故意夸大已经发生的保险事故的损失程度进行虚假理赔，骗取保险金或者牟取其他不正当利益；</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7.挪用、截留、侵占保险费；</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8.委托未取得合法资格的机构从事保险销售活动；</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9.利用开展保险业务为其他机构或者个人牟取不正当利益；</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10.利用保险代理人、保险经纪人或者保险评估机构，从事以虚构保险中介业务或者编造退保等方式套取费用等违法活动；</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11.以捏造、散布虚假事实等方式损害竞争对手的商业信誉，或者以其他不正当竞争行为扰乱保险市场秩序；</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12.泄露在业务活动中知悉的投保人、被保险人的商业秘密；</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13.违反法律、行政法规和国务院保险监督管理机构规定的其他行为。</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以上违约金从履约保证金中扣除，情节严重的抄送保险公司总公司及浙江银保监局。</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四）在合同有效期内，乙方若违反采购合同相关约定有下列行为之一的，由湖州市民政局责令改正；规定时间内未整改的，违约方支付甲方贰万元违约金；出现以下情形满三项的或当年度验收分值在80分以下的，视为情节严重的，甲方有权终止其业务合作。具体如下：　</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1.业务未在保单生效前录入保险公司核心业务系统；</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2.未按照采购合同约定的时间和内容要求定期向丙方报送投保、理赔等数据的；</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3.未配合当地民政部门在服务区域张贴宣传海报、发放宣传册、开展《湖州市老年人意外伤害统筹保险》宣传推广会议等工作或未使用经审核同意统一版本的宣传资料进行宣传；</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4.未按保险采购合同的约定及时出具相关保险凭证并承担保险责任；</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5.违反采购合同约定对老年人设置投保门槛；</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6.未按采购合同约定提供相应承保理赔服务；</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7.未按照投标文件的承诺提供相关服务的；</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8.违反采购合同其他相关规定。</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乙方情节严重的，可抄送保险公司总公司及浙江银保监局。</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乙方同意本合同项下违约金从履约保证金中扣除，除因延期支付经纪服务费承担的违约金以外，其他的违约金依法按程序上交财政。</w:t>
      </w:r>
    </w:p>
    <w:p>
      <w:pPr>
        <w:autoSpaceDE w:val="0"/>
        <w:autoSpaceDN w:val="0"/>
        <w:spacing w:line="5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因违约终止合作的，对供应商重新招标，在招标完成前，原供应商需继续做好承保及理赔服务，保单继续有效。</w:t>
      </w:r>
    </w:p>
    <w:p>
      <w:pPr>
        <w:autoSpaceDE w:val="0"/>
        <w:autoSpaceDN w:val="0"/>
        <w:spacing w:line="500" w:lineRule="exact"/>
        <w:ind w:firstLine="422" w:firstLineChars="200"/>
        <w:rPr>
          <w:rFonts w:hint="eastAsia" w:ascii="仿宋" w:hAnsi="仿宋" w:eastAsia="仿宋" w:cs="仿宋"/>
          <w:b/>
          <w:sz w:val="21"/>
          <w:szCs w:val="21"/>
        </w:rPr>
      </w:pPr>
      <w:r>
        <w:rPr>
          <w:rFonts w:hint="eastAsia" w:ascii="仿宋" w:hAnsi="仿宋" w:eastAsia="仿宋" w:cs="仿宋"/>
          <w:b/>
          <w:sz w:val="21"/>
          <w:szCs w:val="21"/>
        </w:rPr>
        <w:t>第十一条  相互冲突条款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附件为本合同不可分割的组成部分，具有同等法律效力。如果保险采购合同正文与条款发生冲突时，以保险采购合同正文为准；如条款与附加条款发生冲突时，以附加条款为准；保险单与保险采购合同正文发生冲突时，以保险采购合同正文为准。</w:t>
      </w:r>
    </w:p>
    <w:p>
      <w:pPr>
        <w:autoSpaceDE w:val="0"/>
        <w:autoSpaceDN w:val="0"/>
        <w:spacing w:line="500" w:lineRule="exact"/>
        <w:ind w:firstLine="422" w:firstLineChars="200"/>
        <w:jc w:val="left"/>
        <w:rPr>
          <w:rFonts w:hint="eastAsia" w:ascii="仿宋" w:hAnsi="仿宋" w:eastAsia="仿宋" w:cs="仿宋"/>
          <w:b/>
          <w:sz w:val="21"/>
          <w:szCs w:val="21"/>
        </w:rPr>
      </w:pPr>
      <w:r>
        <w:rPr>
          <w:rFonts w:hint="eastAsia" w:ascii="仿宋" w:hAnsi="仿宋" w:eastAsia="仿宋" w:cs="仿宋"/>
          <w:b/>
          <w:sz w:val="21"/>
          <w:szCs w:val="21"/>
        </w:rPr>
        <w:t>第十二条  争议解决</w:t>
      </w:r>
    </w:p>
    <w:p>
      <w:pPr>
        <w:spacing w:line="500"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因履行本合同或与本合同有关的任何争议，应本着友好、平等、互利的原则协商解决。协商不成的，任何一方可提交甲方所在地法院起诉。</w:t>
      </w:r>
    </w:p>
    <w:p>
      <w:pPr>
        <w:autoSpaceDE w:val="0"/>
        <w:autoSpaceDN w:val="0"/>
        <w:spacing w:line="500" w:lineRule="exact"/>
        <w:ind w:firstLine="422" w:firstLineChars="200"/>
        <w:jc w:val="left"/>
        <w:rPr>
          <w:rFonts w:hint="eastAsia" w:ascii="仿宋" w:hAnsi="仿宋" w:eastAsia="仿宋" w:cs="仿宋"/>
          <w:b/>
          <w:sz w:val="21"/>
          <w:szCs w:val="21"/>
        </w:rPr>
      </w:pPr>
      <w:r>
        <w:rPr>
          <w:rFonts w:hint="eastAsia" w:ascii="仿宋" w:hAnsi="仿宋" w:eastAsia="仿宋" w:cs="仿宋"/>
          <w:b/>
          <w:sz w:val="21"/>
          <w:szCs w:val="21"/>
        </w:rPr>
        <w:t>第十三条  其他</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（一）本合同自三方签署之日起生效，有效期从      年  月  日到    年  月  日；采购合同到期，对尚在保险期限内的老年人意外伤害统筹保险继续有效。</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（二）本合同如有未尽事宜，由三方协商解决。</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（三）本合同一式六份，甲方四份，乙方一份，丙方一份；具有同等法律效力。</w:t>
      </w:r>
    </w:p>
    <w:p>
      <w:pPr>
        <w:autoSpaceDE w:val="0"/>
        <w:autoSpaceDN w:val="0"/>
        <w:spacing w:line="500" w:lineRule="exact"/>
        <w:ind w:firstLine="422" w:firstLineChars="200"/>
        <w:jc w:val="left"/>
        <w:rPr>
          <w:rFonts w:hint="eastAsia" w:ascii="仿宋" w:hAnsi="仿宋" w:eastAsia="仿宋" w:cs="仿宋"/>
          <w:sz w:val="21"/>
          <w:szCs w:val="21"/>
        </w:rPr>
      </w:pPr>
      <w:r>
        <w:rPr>
          <w:rFonts w:hint="eastAsia" w:ascii="仿宋" w:hAnsi="仿宋" w:eastAsia="仿宋" w:cs="仿宋"/>
          <w:b/>
          <w:sz w:val="21"/>
          <w:szCs w:val="21"/>
        </w:rPr>
        <w:t>第十四条</w:t>
      </w:r>
      <w:r>
        <w:rPr>
          <w:rFonts w:hint="eastAsia" w:ascii="仿宋" w:hAnsi="仿宋" w:eastAsia="仿宋" w:cs="仿宋"/>
          <w:sz w:val="21"/>
          <w:szCs w:val="21"/>
        </w:rPr>
        <w:t xml:space="preserve">  </w:t>
      </w:r>
      <w:r>
        <w:rPr>
          <w:rFonts w:hint="eastAsia" w:ascii="仿宋" w:hAnsi="仿宋" w:eastAsia="仿宋" w:cs="仿宋"/>
          <w:b/>
          <w:sz w:val="21"/>
          <w:szCs w:val="21"/>
        </w:rPr>
        <w:t>附件（详见正式采购合同）</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1.团体人员意外伤害保险条款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2.附加团体意外伤害医疗保险条款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3.附加意外伤害住院补贴医疗保险条款</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4.人体损伤致残程度分级（2017）</w:t>
      </w:r>
    </w:p>
    <w:p>
      <w:pPr>
        <w:autoSpaceDE w:val="0"/>
        <w:autoSpaceDN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5.投保清单模板</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6.投保告知单</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7.保险单</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8.保障卡</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9.投保情况汇总表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10.理赔汇总表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11.承保明细表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12.保费结算明细表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13.报案表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14.已结案表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15.未结案表</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16.保险经纪服务费付款通知书</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17.《湖州市老年人意外伤害统筹保险合同（模板）》</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18.湖州市老年人意外伤害统筹保险考评办法</w:t>
      </w:r>
    </w:p>
    <w:p>
      <w:pPr>
        <w:pStyle w:val="8"/>
        <w:tabs>
          <w:tab w:val="left" w:pos="0"/>
          <w:tab w:val="left" w:pos="993"/>
          <w:tab w:val="left" w:pos="1134"/>
        </w:tabs>
        <w:ind w:firstLine="600" w:firstLineChars="200"/>
        <w:rPr>
          <w:rFonts w:hint="eastAsia" w:ascii="仿宋" w:hAnsi="仿宋" w:eastAsia="仿宋" w:cs="仿宋"/>
        </w:rPr>
      </w:pPr>
    </w:p>
    <w:p>
      <w:pPr>
        <w:tabs>
          <w:tab w:val="left" w:pos="1440"/>
        </w:tabs>
        <w:spacing w:line="480" w:lineRule="exact"/>
        <w:rPr>
          <w:rFonts w:hint="eastAsia" w:ascii="仿宋" w:hAnsi="仿宋" w:eastAsia="仿宋" w:cs="仿宋"/>
          <w:color w:val="000000"/>
          <w:sz w:val="24"/>
        </w:rPr>
      </w:pPr>
      <w:r>
        <w:rPr>
          <w:rFonts w:hint="eastAsia" w:ascii="仿宋" w:hAnsi="仿宋" w:eastAsia="仿宋" w:cs="仿宋"/>
          <w:b/>
          <w:sz w:val="21"/>
          <w:szCs w:val="21"/>
        </w:rPr>
        <w:t>（以下无正文）</w:t>
      </w: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b/>
          <w:sz w:val="21"/>
          <w:szCs w:val="21"/>
        </w:rPr>
      </w:pPr>
    </w:p>
    <w:p>
      <w:pPr>
        <w:rPr>
          <w:rFonts w:hint="eastAsia" w:ascii="仿宋" w:hAnsi="仿宋" w:eastAsia="仿宋" w:cs="仿宋"/>
          <w:b/>
          <w:sz w:val="21"/>
          <w:szCs w:val="21"/>
        </w:rPr>
      </w:pPr>
    </w:p>
    <w:p>
      <w:pPr>
        <w:pStyle w:val="2"/>
        <w:rPr>
          <w:rFonts w:hint="eastAsia" w:ascii="仿宋" w:hAnsi="仿宋" w:eastAsia="仿宋" w:cs="仿宋"/>
        </w:rPr>
      </w:pPr>
    </w:p>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4"/>
        </w:rPr>
      </w:pPr>
      <w:r>
        <w:rPr>
          <w:rFonts w:hint="eastAsia" w:ascii="仿宋" w:hAnsi="仿宋" w:eastAsia="仿宋" w:cs="仿宋"/>
          <w:b/>
          <w:sz w:val="24"/>
        </w:rPr>
        <w:t>签署：</w:t>
      </w:r>
    </w:p>
    <w:p>
      <w:pPr>
        <w:ind w:firstLine="472" w:firstLineChars="196"/>
        <w:rPr>
          <w:rFonts w:hint="eastAsia" w:ascii="仿宋" w:hAnsi="仿宋" w:eastAsia="仿宋" w:cs="仿宋"/>
          <w:sz w:val="24"/>
        </w:rPr>
      </w:pPr>
      <w:r>
        <w:rPr>
          <w:rFonts w:hint="eastAsia" w:ascii="仿宋" w:hAnsi="仿宋" w:eastAsia="仿宋" w:cs="仿宋"/>
          <w:b/>
          <w:sz w:val="24"/>
        </w:rPr>
        <w:t>各方已分别授权其下述代表签署本协议，以昭信守</w:t>
      </w:r>
    </w:p>
    <w:p>
      <w:pPr>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pPr>
    </w:p>
    <w:p>
      <w:pPr>
        <w:spacing w:line="500" w:lineRule="exact"/>
        <w:rPr>
          <w:rFonts w:hint="eastAsia" w:ascii="仿宋" w:hAnsi="仿宋" w:eastAsia="仿宋" w:cs="仿宋"/>
          <w:kern w:val="0"/>
          <w:sz w:val="24"/>
        </w:rPr>
      </w:pPr>
      <w:r>
        <w:rPr>
          <w:rFonts w:hint="eastAsia" w:ascii="仿宋" w:hAnsi="仿宋" w:eastAsia="仿宋" w:cs="仿宋"/>
          <w:b/>
          <w:sz w:val="24"/>
        </w:rPr>
        <w:t>甲方（盖章）：</w:t>
      </w:r>
      <w:r>
        <w:rPr>
          <w:rFonts w:hint="eastAsia" w:ascii="仿宋" w:hAnsi="仿宋" w:eastAsia="仿宋" w:cs="仿宋"/>
          <w:kern w:val="0"/>
          <w:sz w:val="24"/>
        </w:rPr>
        <w:t xml:space="preserve"> </w:t>
      </w:r>
    </w:p>
    <w:p>
      <w:pPr>
        <w:spacing w:line="500" w:lineRule="exact"/>
        <w:rPr>
          <w:rFonts w:hint="eastAsia" w:ascii="仿宋" w:hAnsi="仿宋" w:eastAsia="仿宋" w:cs="仿宋"/>
          <w:sz w:val="24"/>
        </w:rPr>
      </w:pPr>
      <w:r>
        <w:rPr>
          <w:rFonts w:hint="eastAsia" w:ascii="仿宋" w:hAnsi="仿宋" w:eastAsia="仿宋" w:cs="仿宋"/>
          <w:b/>
          <w:sz w:val="24"/>
        </w:rPr>
        <w:t>授权代表（</w:t>
      </w:r>
      <w:r>
        <w:rPr>
          <w:rFonts w:hint="eastAsia" w:ascii="仿宋" w:hAnsi="仿宋" w:eastAsia="仿宋" w:cs="仿宋"/>
          <w:b/>
          <w:kern w:val="0"/>
          <w:sz w:val="24"/>
        </w:rPr>
        <w:t>签字）</w:t>
      </w:r>
      <w:r>
        <w:rPr>
          <w:rFonts w:hint="eastAsia" w:ascii="仿宋" w:hAnsi="仿宋" w:eastAsia="仿宋" w:cs="仿宋"/>
          <w:b/>
          <w:sz w:val="24"/>
        </w:rPr>
        <w:t>：</w:t>
      </w:r>
      <w:r>
        <w:rPr>
          <w:rFonts w:hint="eastAsia" w:ascii="仿宋" w:hAnsi="仿宋" w:eastAsia="仿宋" w:cs="仿宋"/>
          <w:sz w:val="24"/>
        </w:rPr>
        <w:t xml:space="preserve"> </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r>
        <w:rPr>
          <w:rFonts w:hint="eastAsia" w:ascii="仿宋" w:hAnsi="仿宋" w:eastAsia="仿宋" w:cs="仿宋"/>
          <w:b/>
          <w:sz w:val="24"/>
        </w:rPr>
        <w:t>乙方（盖章）：</w:t>
      </w:r>
      <w:r>
        <w:rPr>
          <w:rFonts w:hint="eastAsia" w:ascii="仿宋" w:hAnsi="仿宋" w:eastAsia="仿宋" w:cs="仿宋"/>
          <w:sz w:val="24"/>
        </w:rPr>
        <w:t xml:space="preserve"> </w:t>
      </w:r>
    </w:p>
    <w:p>
      <w:pPr>
        <w:spacing w:line="500" w:lineRule="exact"/>
        <w:rPr>
          <w:rFonts w:hint="eastAsia" w:ascii="仿宋" w:hAnsi="仿宋" w:eastAsia="仿宋" w:cs="仿宋"/>
          <w:sz w:val="24"/>
        </w:rPr>
      </w:pPr>
      <w:r>
        <w:rPr>
          <w:rFonts w:hint="eastAsia" w:ascii="仿宋" w:hAnsi="仿宋" w:eastAsia="仿宋" w:cs="仿宋"/>
          <w:b/>
          <w:sz w:val="24"/>
        </w:rPr>
        <w:t>授权代表（</w:t>
      </w:r>
      <w:r>
        <w:rPr>
          <w:rFonts w:hint="eastAsia" w:ascii="仿宋" w:hAnsi="仿宋" w:eastAsia="仿宋" w:cs="仿宋"/>
          <w:b/>
          <w:kern w:val="0"/>
          <w:sz w:val="24"/>
        </w:rPr>
        <w:t>签字）</w:t>
      </w:r>
      <w:r>
        <w:rPr>
          <w:rFonts w:hint="eastAsia" w:ascii="仿宋" w:hAnsi="仿宋" w:eastAsia="仿宋" w:cs="仿宋"/>
          <w:b/>
          <w:sz w:val="24"/>
        </w:rPr>
        <w:t>：</w:t>
      </w:r>
      <w:r>
        <w:rPr>
          <w:rFonts w:hint="eastAsia" w:ascii="仿宋" w:hAnsi="仿宋" w:eastAsia="仿宋" w:cs="仿宋"/>
          <w:sz w:val="24"/>
        </w:rPr>
        <w:t xml:space="preserve"> </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spacing w:line="500" w:lineRule="exact"/>
        <w:rPr>
          <w:rFonts w:hint="eastAsia" w:ascii="仿宋" w:hAnsi="仿宋" w:eastAsia="仿宋" w:cs="仿宋"/>
          <w:b/>
          <w:sz w:val="24"/>
        </w:rPr>
      </w:pPr>
    </w:p>
    <w:p>
      <w:pPr>
        <w:spacing w:line="500" w:lineRule="exact"/>
        <w:rPr>
          <w:rFonts w:hint="eastAsia" w:ascii="仿宋" w:hAnsi="仿宋" w:eastAsia="仿宋" w:cs="仿宋"/>
          <w:sz w:val="24"/>
        </w:rPr>
      </w:pPr>
      <w:r>
        <w:rPr>
          <w:rFonts w:hint="eastAsia" w:ascii="仿宋" w:hAnsi="仿宋" w:eastAsia="仿宋" w:cs="仿宋"/>
          <w:b/>
          <w:sz w:val="24"/>
        </w:rPr>
        <w:t>丙方（盖章）：</w:t>
      </w:r>
      <w:r>
        <w:rPr>
          <w:rFonts w:hint="eastAsia" w:ascii="仿宋" w:hAnsi="仿宋" w:eastAsia="仿宋" w:cs="仿宋"/>
          <w:sz w:val="24"/>
        </w:rPr>
        <w:tab/>
      </w:r>
    </w:p>
    <w:p>
      <w:pPr>
        <w:spacing w:line="560" w:lineRule="exact"/>
        <w:ind w:right="420" w:rightChars="200"/>
        <w:rPr>
          <w:rFonts w:hint="eastAsia" w:ascii="仿宋" w:hAnsi="仿宋" w:eastAsia="仿宋" w:cs="仿宋"/>
          <w:b/>
          <w:color w:val="000000"/>
          <w:sz w:val="24"/>
        </w:rPr>
      </w:pPr>
      <w:r>
        <w:rPr>
          <w:rFonts w:hint="eastAsia" w:ascii="仿宋" w:hAnsi="仿宋" w:eastAsia="仿宋" w:cs="仿宋"/>
          <w:b/>
          <w:sz w:val="24"/>
        </w:rPr>
        <w:t>授权代表（</w:t>
      </w:r>
      <w:r>
        <w:rPr>
          <w:rFonts w:hint="eastAsia" w:ascii="仿宋" w:hAnsi="仿宋" w:eastAsia="仿宋" w:cs="仿宋"/>
          <w:b/>
          <w:kern w:val="0"/>
          <w:sz w:val="24"/>
        </w:rPr>
        <w:t>签字）</w:t>
      </w:r>
      <w:r>
        <w:rPr>
          <w:rFonts w:hint="eastAsia" w:ascii="仿宋" w:hAnsi="仿宋" w:eastAsia="仿宋" w:cs="仿宋"/>
          <w:b/>
          <w:sz w:val="24"/>
        </w:rPr>
        <w:t>：</w:t>
      </w: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jc w:val="center"/>
        <w:rPr>
          <w:rFonts w:hint="eastAsia" w:ascii="仿宋" w:hAnsi="仿宋" w:eastAsia="仿宋" w:cs="仿宋"/>
          <w:b/>
          <w:color w:val="000000"/>
          <w:sz w:val="36"/>
          <w:szCs w:val="36"/>
        </w:rPr>
      </w:pPr>
    </w:p>
    <w:p>
      <w:pPr>
        <w:spacing w:line="560" w:lineRule="exact"/>
        <w:ind w:right="420" w:rightChars="200"/>
        <w:rPr>
          <w:rFonts w:hint="eastAsia" w:ascii="仿宋" w:hAnsi="仿宋" w:eastAsia="仿宋" w:cs="仿宋"/>
          <w:b/>
          <w:color w:val="000000"/>
          <w:sz w:val="36"/>
          <w:szCs w:val="36"/>
        </w:rPr>
      </w:pPr>
    </w:p>
    <w:p>
      <w:pPr>
        <w:spacing w:line="600" w:lineRule="exact"/>
        <w:jc w:val="center"/>
        <w:rPr>
          <w:rFonts w:hint="eastAsia" w:ascii="仿宋" w:hAnsi="仿宋" w:eastAsia="仿宋" w:cs="仿宋"/>
          <w:b/>
          <w:sz w:val="30"/>
          <w:szCs w:val="30"/>
        </w:rPr>
      </w:pPr>
      <w:r>
        <w:rPr>
          <w:rFonts w:hint="eastAsia" w:ascii="仿宋" w:hAnsi="仿宋" w:eastAsia="仿宋" w:cs="仿宋"/>
          <w:b/>
          <w:sz w:val="30"/>
          <w:szCs w:val="30"/>
        </w:rPr>
        <w:t>湖州市老年人意外伤害统筹保险考评办法</w:t>
      </w:r>
    </w:p>
    <w:p>
      <w:pPr>
        <w:spacing w:line="600" w:lineRule="exact"/>
        <w:jc w:val="center"/>
        <w:rPr>
          <w:rFonts w:hint="eastAsia" w:ascii="仿宋" w:hAnsi="仿宋" w:eastAsia="仿宋" w:cs="仿宋"/>
          <w:b/>
          <w:sz w:val="30"/>
          <w:szCs w:val="30"/>
        </w:rPr>
      </w:pPr>
      <w:r>
        <w:rPr>
          <w:rFonts w:hint="eastAsia" w:ascii="仿宋" w:hAnsi="仿宋" w:eastAsia="仿宋" w:cs="仿宋"/>
          <w:b/>
          <w:sz w:val="30"/>
          <w:szCs w:val="30"/>
        </w:rPr>
        <w:t>（承保保险公司适用）（试行）</w:t>
      </w:r>
    </w:p>
    <w:p>
      <w:pPr>
        <w:spacing w:line="560" w:lineRule="exact"/>
        <w:ind w:firstLine="640" w:firstLineChars="200"/>
        <w:rPr>
          <w:rFonts w:hint="eastAsia" w:ascii="仿宋" w:hAnsi="仿宋" w:eastAsia="仿宋" w:cs="仿宋"/>
          <w:bCs/>
          <w:sz w:val="32"/>
          <w:szCs w:val="32"/>
        </w:rPr>
      </w:pP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一、总则</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1.考评目的</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为进一步推进“湖州市老年人意外伤害统筹保险”项目的实施，提高保险公司的服务能力和水平，调动各保险公司的工作积极性和工作效率，特制订考核评比办法（以下简称“考评办法”）。</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2.考评对象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适用于湖州市老年人意外伤害统筹保险项目的承保保险公司。</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3.考评周期</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考核周期为一年。</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4.考评原则</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考评遵循客观性原则，公平原则，沟通改进原则。</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5.考评组织</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（1）考评委员会成员：湖州市民政局、吴兴区民政局、南浔区民政局、南太湖新区社发中心、环晟保险经纪及承保保险公司</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（2）考评主体：湖州市民政局</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考评组织：湖州市老年人意外伤害统筹保险项目成立考评委员会（非常设机构），由湖州市民政局及市本级三区民政局，浙江环晟保险经纪有限公司和保险公司相关负责人组成。湖州市民政局作为考评主体，由湖州市民政局负责组织成立考评委员会、组织并参与考评及考评结果公布；本级三区民政局作为考评委员会成员参与考评，组织下属机构协助环晟保险经纪准备考评资料；环晟保险经纪作为考评委员会成员参与考评以及考评所需要资料的准备工作；保险公司作为被考评单位，接受考评委员会的考评，提供考评单位考评所需要的资料。</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6.考评内容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年度考评主要对保险公司本年度《湖州市老年人意外伤害统筹保险》项目的宣传推广、投保率、承保理赔服务、工作配合度、项目创新、系统完善、日常工作等方面进行全面考评，考评结果反映保险公司采购合同期内的服务胜任力和满意度，作为合同期满是否续签合同的依据。</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二、考评程序</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1.被考评单位自评。</w:t>
      </w:r>
      <w:r>
        <w:rPr>
          <w:rFonts w:hint="eastAsia" w:ascii="仿宋" w:hAnsi="仿宋" w:eastAsia="仿宋" w:cs="仿宋"/>
          <w:sz w:val="24"/>
        </w:rPr>
        <w:t>次年3月10日前，被考评单位进行工作小结和自我评价，填写“湖州市老年人意外伤害统筹保险”项目《工作考评表》，会同年度工作报告加盖公章后（同时发送电子版）递交湖州市民政局，抄送环晟保险经纪。</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2.三区民政局考核评分。</w:t>
      </w:r>
      <w:r>
        <w:rPr>
          <w:rFonts w:hint="eastAsia" w:ascii="仿宋" w:hAnsi="仿宋" w:eastAsia="仿宋" w:cs="仿宋"/>
          <w:sz w:val="24"/>
        </w:rPr>
        <w:t>次年3月15日前，吴兴区民政局、南浔区民政局和南太湖新区社发中心作为主管部门完成对保险公司的考核评分工作。</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3.保险经纪人汇总。</w:t>
      </w:r>
      <w:r>
        <w:rPr>
          <w:rFonts w:hint="eastAsia" w:ascii="仿宋" w:hAnsi="仿宋" w:eastAsia="仿宋" w:cs="仿宋"/>
          <w:sz w:val="24"/>
        </w:rPr>
        <w:t>次年3月20日前，环晟保险经纪对考评进行汇总，报考评委员会会审。</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4.考评结果反馈。</w:t>
      </w:r>
      <w:r>
        <w:rPr>
          <w:rFonts w:hint="eastAsia" w:ascii="仿宋" w:hAnsi="仿宋" w:eastAsia="仿宋" w:cs="仿宋"/>
          <w:sz w:val="24"/>
        </w:rPr>
        <w:t>次年3月25日前，考评委员会将考评结果向被考评单位反馈。被考评单位如需申诉，应在接到考评结果后5个工作日内提出。</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5.考评结果公布。</w:t>
      </w:r>
      <w:r>
        <w:rPr>
          <w:rFonts w:hint="eastAsia" w:ascii="仿宋" w:hAnsi="仿宋" w:eastAsia="仿宋" w:cs="仿宋"/>
          <w:sz w:val="24"/>
        </w:rPr>
        <w:t>次年4月中旬，考评委员会将整理审核完成后的考评结果公布于考评单位的官方渠道。</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三、考核验收其他事项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1.考核验收评价：验收80分以上视为合格，根据各区、县（市）验收。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2.所验收材料：提供项目总结材料（包括项目实施方案、组织过程的记录如照片、视频等）、理赔记录等相关材料。</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3.验收费用：验收费用从保险经纪费中列支。第一次验收不合格，后续验收所产生的验收费用由中标供应商支付。</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4.如发现中标供应商合同履行过程中违反国家法律法规的，采购单位有权终止合同，并追究相关责任。</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四、考评管理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经纪公司</w:t>
      </w:r>
      <w:r>
        <w:rPr>
          <w:rFonts w:hint="eastAsia" w:ascii="仿宋" w:hAnsi="仿宋" w:eastAsia="仿宋" w:cs="仿宋"/>
          <w:sz w:val="24"/>
        </w:rPr>
        <w:t>协助湖州市民政局制订考评制度和实施具体操作，对于考评中发现的问题，协助各考评单位对项目具体实施作进一步完善。</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2.日常工作将计入年度考评中，如果在日常工作中有重大错误导致严重后果的，包括但不限于罚款、年度考评扣分、剔除供应商等。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3.湖州市民政局对考评资料存档。</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4.本制度试行1年，可根据实施情况作出修订。</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附件1：湖州市老年人意外保险险采购供应商考核表（经纪人对保险人考核）</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附件2：湖州市老年人意外险保险采购供应商考核表（民政局对保险人考核）</w:t>
      </w:r>
    </w:p>
    <w:p>
      <w:pPr>
        <w:spacing w:line="560" w:lineRule="exact"/>
        <w:ind w:firstLine="562"/>
        <w:jc w:val="center"/>
        <w:rPr>
          <w:rFonts w:hint="eastAsia" w:ascii="仿宋" w:hAnsi="仿宋" w:eastAsia="仿宋" w:cs="仿宋"/>
          <w:b/>
          <w:sz w:val="24"/>
        </w:rPr>
      </w:pPr>
    </w:p>
    <w:p>
      <w:pPr>
        <w:pStyle w:val="3"/>
        <w:spacing w:line="560" w:lineRule="exact"/>
        <w:rPr>
          <w:rFonts w:hint="eastAsia" w:ascii="仿宋" w:hAnsi="仿宋" w:eastAsia="仿宋" w:cs="仿宋"/>
          <w:sz w:val="24"/>
          <w:szCs w:val="24"/>
        </w:rPr>
      </w:pPr>
    </w:p>
    <w:p>
      <w:pPr>
        <w:wordWrap w:val="0"/>
        <w:spacing w:line="560" w:lineRule="exact"/>
        <w:ind w:firstLine="562"/>
        <w:jc w:val="right"/>
        <w:rPr>
          <w:rFonts w:hint="eastAsia" w:ascii="仿宋" w:hAnsi="仿宋" w:eastAsia="仿宋" w:cs="仿宋"/>
          <w:sz w:val="24"/>
        </w:rPr>
      </w:pPr>
      <w:r>
        <w:rPr>
          <w:rFonts w:hint="eastAsia" w:ascii="仿宋" w:hAnsi="仿宋" w:eastAsia="仿宋" w:cs="仿宋"/>
          <w:sz w:val="24"/>
        </w:rPr>
        <w:t>湖州市民政局</w:t>
      </w:r>
    </w:p>
    <w:p>
      <w:pPr>
        <w:spacing w:line="560" w:lineRule="exact"/>
        <w:ind w:firstLine="560"/>
        <w:jc w:val="right"/>
        <w:rPr>
          <w:rFonts w:hint="eastAsia" w:ascii="仿宋" w:hAnsi="仿宋" w:eastAsia="仿宋" w:cs="仿宋"/>
          <w:sz w:val="32"/>
          <w:szCs w:val="32"/>
        </w:rPr>
      </w:pPr>
      <w:r>
        <w:rPr>
          <w:rFonts w:hint="eastAsia" w:ascii="仿宋" w:hAnsi="仿宋" w:eastAsia="仿宋" w:cs="仿宋"/>
          <w:sz w:val="24"/>
        </w:rPr>
        <w:t>年  月  日</w:t>
      </w:r>
    </w:p>
    <w:p>
      <w:pPr>
        <w:jc w:val="left"/>
        <w:rPr>
          <w:rFonts w:hint="eastAsia" w:ascii="仿宋" w:hAnsi="仿宋" w:eastAsia="仿宋" w:cs="仿宋"/>
          <w:sz w:val="24"/>
        </w:rPr>
      </w:pPr>
      <w:r>
        <w:rPr>
          <w:rFonts w:hint="eastAsia" w:ascii="仿宋" w:hAnsi="仿宋" w:eastAsia="仿宋" w:cs="仿宋"/>
          <w:sz w:val="32"/>
          <w:szCs w:val="32"/>
        </w:rPr>
        <w:br w:type="page"/>
      </w:r>
      <w:r>
        <w:rPr>
          <w:rFonts w:hint="eastAsia" w:ascii="仿宋" w:hAnsi="仿宋" w:eastAsia="仿宋" w:cs="仿宋"/>
          <w:sz w:val="24"/>
        </w:rPr>
        <w:t>附件1</w:t>
      </w:r>
    </w:p>
    <w:p>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Cs/>
          <w:sz w:val="24"/>
        </w:rPr>
        <w:t>湖州市老年人意外伤害统筹保险项目</w:t>
      </w:r>
    </w:p>
    <w:p>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Cs/>
          <w:sz w:val="24"/>
        </w:rPr>
        <w:t>保险采购供应商考核表</w:t>
      </w:r>
    </w:p>
    <w:p>
      <w:pPr>
        <w:jc w:val="center"/>
        <w:rPr>
          <w:rFonts w:hint="eastAsia" w:ascii="仿宋" w:hAnsi="仿宋" w:eastAsia="仿宋" w:cs="仿宋"/>
          <w:bCs/>
          <w:sz w:val="24"/>
        </w:rPr>
      </w:pPr>
      <w:r>
        <w:rPr>
          <w:rFonts w:hint="eastAsia" w:ascii="仿宋" w:hAnsi="仿宋" w:eastAsia="仿宋" w:cs="仿宋"/>
          <w:bCs/>
          <w:sz w:val="24"/>
        </w:rPr>
        <w:t>（保险经纪公司填写）</w:t>
      </w:r>
    </w:p>
    <w:tbl>
      <w:tblPr>
        <w:tblStyle w:val="18"/>
        <w:tblpPr w:leftFromText="180" w:rightFromText="180" w:vertAnchor="text" w:horzAnchor="page" w:tblpXSpec="center" w:tblpY="303"/>
        <w:tblOverlap w:val="never"/>
        <w:tblW w:w="9697" w:type="dxa"/>
        <w:jc w:val="center"/>
        <w:tblLayout w:type="fixed"/>
        <w:tblCellMar>
          <w:top w:w="0" w:type="dxa"/>
          <w:left w:w="0" w:type="dxa"/>
          <w:bottom w:w="0" w:type="dxa"/>
          <w:right w:w="0" w:type="dxa"/>
        </w:tblCellMar>
      </w:tblPr>
      <w:tblGrid>
        <w:gridCol w:w="1175"/>
        <w:gridCol w:w="61"/>
        <w:gridCol w:w="932"/>
        <w:gridCol w:w="2519"/>
        <w:gridCol w:w="1409"/>
        <w:gridCol w:w="250"/>
        <w:gridCol w:w="725"/>
        <w:gridCol w:w="535"/>
        <w:gridCol w:w="715"/>
        <w:gridCol w:w="320"/>
        <w:gridCol w:w="1056"/>
      </w:tblGrid>
      <w:tr>
        <w:tblPrEx>
          <w:tblCellMar>
            <w:top w:w="0" w:type="dxa"/>
            <w:left w:w="0" w:type="dxa"/>
            <w:bottom w:w="0" w:type="dxa"/>
            <w:right w:w="0" w:type="dxa"/>
          </w:tblCellMar>
        </w:tblPrEx>
        <w:trPr>
          <w:trHeight w:val="522" w:hRule="atLeast"/>
          <w:jc w:val="center"/>
        </w:trPr>
        <w:tc>
          <w:tcPr>
            <w:tcW w:w="1175"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单   位</w:t>
            </w:r>
          </w:p>
        </w:tc>
        <w:tc>
          <w:tcPr>
            <w:tcW w:w="3512"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p>
        </w:tc>
        <w:tc>
          <w:tcPr>
            <w:tcW w:w="1409" w:type="dxa"/>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负责人</w:t>
            </w:r>
          </w:p>
        </w:tc>
        <w:tc>
          <w:tcPr>
            <w:tcW w:w="3601" w:type="dxa"/>
            <w:gridSpan w:val="6"/>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465" w:hRule="atLeast"/>
          <w:jc w:val="center"/>
        </w:trPr>
        <w:tc>
          <w:tcPr>
            <w:tcW w:w="1175"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地   址</w:t>
            </w:r>
          </w:p>
        </w:tc>
        <w:tc>
          <w:tcPr>
            <w:tcW w:w="3512"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p>
        </w:tc>
        <w:tc>
          <w:tcPr>
            <w:tcW w:w="1409" w:type="dxa"/>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联系电话</w:t>
            </w:r>
          </w:p>
        </w:tc>
        <w:tc>
          <w:tcPr>
            <w:tcW w:w="3601" w:type="dxa"/>
            <w:gridSpan w:val="6"/>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480" w:hRule="atLeast"/>
          <w:jc w:val="center"/>
        </w:trPr>
        <w:tc>
          <w:tcPr>
            <w:tcW w:w="1175"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填表人</w:t>
            </w:r>
          </w:p>
        </w:tc>
        <w:tc>
          <w:tcPr>
            <w:tcW w:w="3512"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p>
        </w:tc>
        <w:tc>
          <w:tcPr>
            <w:tcW w:w="1409" w:type="dxa"/>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联系电话</w:t>
            </w:r>
          </w:p>
        </w:tc>
        <w:tc>
          <w:tcPr>
            <w:tcW w:w="3601" w:type="dxa"/>
            <w:gridSpan w:val="6"/>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570" w:hRule="atLeast"/>
          <w:jc w:val="center"/>
        </w:trPr>
        <w:tc>
          <w:tcPr>
            <w:tcW w:w="1175"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险  种</w:t>
            </w:r>
          </w:p>
        </w:tc>
        <w:tc>
          <w:tcPr>
            <w:tcW w:w="3512"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r>
              <w:rPr>
                <w:rFonts w:hint="eastAsia" w:ascii="仿宋" w:hAnsi="仿宋" w:eastAsia="仿宋" w:cs="仿宋"/>
                <w:bCs/>
                <w:sz w:val="24"/>
              </w:rPr>
              <w:t>湖州市老年人意外伤害统筹保险</w:t>
            </w:r>
          </w:p>
        </w:tc>
        <w:tc>
          <w:tcPr>
            <w:tcW w:w="1409" w:type="dxa"/>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被考核单位</w:t>
            </w:r>
          </w:p>
        </w:tc>
        <w:tc>
          <w:tcPr>
            <w:tcW w:w="3601" w:type="dxa"/>
            <w:gridSpan w:val="6"/>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495" w:hRule="atLeast"/>
          <w:jc w:val="center"/>
        </w:trPr>
        <w:tc>
          <w:tcPr>
            <w:tcW w:w="9697" w:type="dxa"/>
            <w:gridSpan w:val="11"/>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考核内容</w:t>
            </w:r>
          </w:p>
        </w:tc>
      </w:tr>
      <w:tr>
        <w:tblPrEx>
          <w:tblCellMar>
            <w:top w:w="0" w:type="dxa"/>
            <w:left w:w="0" w:type="dxa"/>
            <w:bottom w:w="0" w:type="dxa"/>
            <w:right w:w="0" w:type="dxa"/>
          </w:tblCellMar>
        </w:tblPrEx>
        <w:trPr>
          <w:trHeight w:val="552" w:hRule="atLeast"/>
          <w:jc w:val="center"/>
        </w:trPr>
        <w:tc>
          <w:tcPr>
            <w:tcW w:w="1175"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分类</w:t>
            </w:r>
          </w:p>
        </w:tc>
        <w:tc>
          <w:tcPr>
            <w:tcW w:w="993"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考核内容</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考核标准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考核得分</w:t>
            </w:r>
          </w:p>
        </w:tc>
        <w:tc>
          <w:tcPr>
            <w:tcW w:w="137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备份材料</w:t>
            </w:r>
          </w:p>
        </w:tc>
      </w:tr>
      <w:tr>
        <w:tblPrEx>
          <w:tblCellMar>
            <w:top w:w="0" w:type="dxa"/>
            <w:left w:w="0" w:type="dxa"/>
            <w:bottom w:w="0" w:type="dxa"/>
            <w:right w:w="0" w:type="dxa"/>
          </w:tblCellMar>
        </w:tblPrEx>
        <w:trPr>
          <w:trHeight w:val="889" w:hRule="atLeast"/>
          <w:jc w:val="center"/>
        </w:trPr>
        <w:tc>
          <w:tcPr>
            <w:tcW w:w="1175"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知晓度</w:t>
            </w:r>
          </w:p>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情况</w:t>
            </w:r>
          </w:p>
          <w:p>
            <w:pPr>
              <w:spacing w:line="440" w:lineRule="exact"/>
              <w:jc w:val="center"/>
              <w:rPr>
                <w:rFonts w:hint="eastAsia" w:ascii="仿宋" w:hAnsi="仿宋" w:eastAsia="仿宋" w:cs="仿宋"/>
                <w:sz w:val="24"/>
              </w:rPr>
            </w:pPr>
            <w:r>
              <w:rPr>
                <w:rFonts w:hint="eastAsia" w:ascii="仿宋" w:hAnsi="仿宋" w:eastAsia="仿宋" w:cs="仿宋"/>
                <w:sz w:val="24"/>
              </w:rPr>
              <w:t>（40分）</w:t>
            </w:r>
          </w:p>
        </w:tc>
        <w:tc>
          <w:tcPr>
            <w:tcW w:w="993"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宣传渠道</w:t>
            </w:r>
          </w:p>
          <w:p>
            <w:pPr>
              <w:spacing w:line="440" w:lineRule="exact"/>
              <w:jc w:val="center"/>
              <w:rPr>
                <w:rFonts w:hint="eastAsia" w:ascii="仿宋" w:hAnsi="仿宋" w:eastAsia="仿宋" w:cs="仿宋"/>
                <w:sz w:val="24"/>
              </w:rPr>
            </w:pPr>
            <w:r>
              <w:rPr>
                <w:rFonts w:hint="eastAsia" w:ascii="仿宋" w:hAnsi="仿宋" w:eastAsia="仿宋" w:cs="仿宋"/>
                <w:sz w:val="24"/>
              </w:rPr>
              <w:t>（20分）</w:t>
            </w:r>
          </w:p>
        </w:tc>
        <w:tc>
          <w:tcPr>
            <w:tcW w:w="4903" w:type="dxa"/>
            <w:gridSpan w:val="4"/>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通</w:t>
            </w:r>
            <w:r>
              <w:rPr>
                <w:rFonts w:hint="eastAsia" w:ascii="仿宋" w:hAnsi="仿宋" w:eastAsia="仿宋" w:cs="仿宋"/>
                <w:bCs/>
                <w:sz w:val="24"/>
              </w:rPr>
              <w:t>过互联网、APP、短信、宣传折页等渠道进行宣传，负责区域内老年人或其子女、亲属知晓度达90%（含）以上得20分，80%-90%的得15分，60%-80%的得10分，60%以下的得5分。</w:t>
            </w:r>
          </w:p>
        </w:tc>
        <w:tc>
          <w:tcPr>
            <w:tcW w:w="1250" w:type="dxa"/>
            <w:gridSpan w:val="2"/>
            <w:tcBorders>
              <w:top w:val="nil"/>
              <w:left w:val="nil"/>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p>
        </w:tc>
        <w:tc>
          <w:tcPr>
            <w:tcW w:w="1376" w:type="dxa"/>
            <w:gridSpan w:val="2"/>
            <w:vMerge w:val="restart"/>
            <w:tcBorders>
              <w:top w:val="nil"/>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经纪公司季度督查评估报告</w:t>
            </w:r>
          </w:p>
        </w:tc>
      </w:tr>
      <w:tr>
        <w:tblPrEx>
          <w:tblCellMar>
            <w:top w:w="0" w:type="dxa"/>
            <w:left w:w="0" w:type="dxa"/>
            <w:bottom w:w="0" w:type="dxa"/>
            <w:right w:w="0" w:type="dxa"/>
          </w:tblCellMar>
        </w:tblPrEx>
        <w:trPr>
          <w:trHeight w:val="2304" w:hRule="atLeast"/>
          <w:jc w:val="center"/>
        </w:trPr>
        <w:tc>
          <w:tcPr>
            <w:tcW w:w="1175" w:type="dxa"/>
            <w:vMerge w:val="continue"/>
            <w:tcBorders>
              <w:left w:val="single" w:color="auto" w:sz="4" w:space="0"/>
              <w:bottom w:val="single" w:color="auto" w:sz="4" w:space="0"/>
              <w:right w:val="single" w:color="auto" w:sz="4" w:space="0"/>
            </w:tcBorders>
            <w:noWrap/>
            <w:vAlign w:val="center"/>
          </w:tcPr>
          <w:p>
            <w:pPr>
              <w:spacing w:line="440" w:lineRule="exact"/>
              <w:rPr>
                <w:rFonts w:hint="eastAsia" w:ascii="仿宋" w:hAnsi="仿宋" w:eastAsia="仿宋" w:cs="仿宋"/>
                <w:b/>
                <w:sz w:val="24"/>
              </w:rPr>
            </w:pPr>
          </w:p>
        </w:tc>
        <w:tc>
          <w:tcPr>
            <w:tcW w:w="993"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p>
            <w:pPr>
              <w:spacing w:line="440" w:lineRule="exact"/>
              <w:jc w:val="center"/>
              <w:rPr>
                <w:rFonts w:hint="eastAsia" w:ascii="仿宋" w:hAnsi="仿宋" w:eastAsia="仿宋" w:cs="仿宋"/>
                <w:sz w:val="24"/>
              </w:rPr>
            </w:pPr>
            <w:r>
              <w:rPr>
                <w:rFonts w:hint="eastAsia" w:ascii="仿宋" w:hAnsi="仿宋" w:eastAsia="仿宋" w:cs="仿宋"/>
                <w:sz w:val="24"/>
              </w:rPr>
              <w:t>宣传物料发放张贴情况</w:t>
            </w:r>
          </w:p>
          <w:p>
            <w:pPr>
              <w:spacing w:line="440" w:lineRule="exact"/>
              <w:jc w:val="center"/>
              <w:rPr>
                <w:rFonts w:hint="eastAsia" w:ascii="仿宋" w:hAnsi="仿宋" w:eastAsia="仿宋" w:cs="仿宋"/>
                <w:sz w:val="24"/>
              </w:rPr>
            </w:pPr>
            <w:r>
              <w:rPr>
                <w:rFonts w:hint="eastAsia" w:ascii="仿宋" w:hAnsi="仿宋" w:eastAsia="仿宋" w:cs="仿宋"/>
                <w:sz w:val="24"/>
              </w:rPr>
              <w:t>（20分）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①宣传资料、保险凭证等相关资料发放到位，考核负责区域内老年人单证持有率，持有率达90%（含）以上得15分，</w:t>
            </w:r>
            <w:r>
              <w:rPr>
                <w:rFonts w:hint="eastAsia" w:ascii="仿宋" w:hAnsi="仿宋" w:eastAsia="仿宋" w:cs="仿宋"/>
                <w:bCs/>
                <w:sz w:val="24"/>
              </w:rPr>
              <w:t>70%（含）-90%的得7-14分，</w:t>
            </w:r>
            <w:r>
              <w:rPr>
                <w:rFonts w:hint="eastAsia" w:ascii="仿宋" w:hAnsi="仿宋" w:eastAsia="仿宋" w:cs="仿宋"/>
                <w:sz w:val="24"/>
              </w:rPr>
              <w:t>50%-70%以下</w:t>
            </w:r>
            <w:r>
              <w:rPr>
                <w:rFonts w:hint="eastAsia" w:ascii="仿宋" w:hAnsi="仿宋" w:eastAsia="仿宋" w:cs="仿宋"/>
                <w:bCs/>
                <w:sz w:val="24"/>
              </w:rPr>
              <w:t>的得1-6分，50%以下的不得分。</w:t>
            </w:r>
          </w:p>
          <w:p>
            <w:pPr>
              <w:spacing w:line="440" w:lineRule="exact"/>
              <w:rPr>
                <w:rFonts w:hint="eastAsia" w:ascii="仿宋" w:hAnsi="仿宋" w:eastAsia="仿宋" w:cs="仿宋"/>
                <w:sz w:val="24"/>
              </w:rPr>
            </w:pPr>
            <w:r>
              <w:rPr>
                <w:rFonts w:hint="eastAsia" w:ascii="仿宋" w:hAnsi="仿宋" w:eastAsia="仿宋" w:cs="仿宋"/>
                <w:sz w:val="24"/>
              </w:rPr>
              <w:t>②社区（村）宣传资料张贴情况。能在公告栏、村委会等地清晰看到老年人意外险宣传海报的得5分，仅公告栏一处能看到老年人意外险宣传海报的得2分，未能看到的不得分。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p>
        </w:tc>
        <w:tc>
          <w:tcPr>
            <w:tcW w:w="1376"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1657" w:hRule="atLeast"/>
          <w:jc w:val="center"/>
        </w:trPr>
        <w:tc>
          <w:tcPr>
            <w:tcW w:w="1175"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rPr>
            </w:pPr>
            <w:r>
              <w:rPr>
                <w:rFonts w:hint="eastAsia" w:ascii="仿宋" w:hAnsi="仿宋" w:eastAsia="仿宋" w:cs="仿宋"/>
                <w:b/>
                <w:sz w:val="24"/>
              </w:rPr>
              <w:t>理赔</w:t>
            </w:r>
          </w:p>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服务</w:t>
            </w:r>
          </w:p>
          <w:p>
            <w:pPr>
              <w:spacing w:line="440" w:lineRule="exact"/>
              <w:jc w:val="center"/>
              <w:rPr>
                <w:rFonts w:hint="eastAsia" w:ascii="仿宋" w:hAnsi="仿宋" w:eastAsia="仿宋" w:cs="仿宋"/>
                <w:b/>
                <w:sz w:val="24"/>
              </w:rPr>
            </w:pPr>
            <w:r>
              <w:rPr>
                <w:rFonts w:hint="eastAsia" w:ascii="仿宋" w:hAnsi="仿宋" w:eastAsia="仿宋" w:cs="仿宋"/>
                <w:sz w:val="24"/>
              </w:rPr>
              <w:t>（30分）</w:t>
            </w:r>
          </w:p>
        </w:tc>
        <w:tc>
          <w:tcPr>
            <w:tcW w:w="993"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结案率</w:t>
            </w:r>
          </w:p>
          <w:p>
            <w:pPr>
              <w:spacing w:line="440" w:lineRule="exact"/>
              <w:jc w:val="center"/>
              <w:rPr>
                <w:rFonts w:hint="eastAsia" w:ascii="仿宋" w:hAnsi="仿宋" w:eastAsia="仿宋" w:cs="仿宋"/>
                <w:sz w:val="24"/>
              </w:rPr>
            </w:pPr>
            <w:r>
              <w:rPr>
                <w:rFonts w:hint="eastAsia" w:ascii="仿宋" w:hAnsi="仿宋" w:eastAsia="仿宋" w:cs="仿宋"/>
                <w:sz w:val="24"/>
              </w:rPr>
              <w:t>（5分）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理赔结案率达到：</w:t>
            </w:r>
          </w:p>
          <w:p>
            <w:pPr>
              <w:spacing w:line="440" w:lineRule="exact"/>
              <w:rPr>
                <w:rFonts w:hint="eastAsia" w:ascii="仿宋" w:hAnsi="仿宋" w:eastAsia="仿宋" w:cs="仿宋"/>
                <w:sz w:val="24"/>
              </w:rPr>
            </w:pPr>
            <w:r>
              <w:rPr>
                <w:rFonts w:hint="eastAsia" w:ascii="仿宋" w:hAnsi="仿宋" w:eastAsia="仿宋" w:cs="仿宋"/>
                <w:sz w:val="24"/>
              </w:rPr>
              <w:t>90%（含）以上，得5分，</w:t>
            </w:r>
          </w:p>
          <w:p>
            <w:pPr>
              <w:spacing w:line="440" w:lineRule="exact"/>
              <w:rPr>
                <w:rFonts w:hint="eastAsia" w:ascii="仿宋" w:hAnsi="仿宋" w:eastAsia="仿宋" w:cs="仿宋"/>
                <w:sz w:val="24"/>
              </w:rPr>
            </w:pPr>
            <w:r>
              <w:rPr>
                <w:rFonts w:hint="eastAsia" w:ascii="仿宋" w:hAnsi="仿宋" w:eastAsia="仿宋" w:cs="仿宋"/>
                <w:sz w:val="24"/>
              </w:rPr>
              <w:t>80%（含）-90%，得3-4分，</w:t>
            </w:r>
          </w:p>
          <w:p>
            <w:pPr>
              <w:spacing w:line="440" w:lineRule="exact"/>
              <w:rPr>
                <w:rFonts w:hint="eastAsia" w:ascii="仿宋" w:hAnsi="仿宋" w:eastAsia="仿宋" w:cs="仿宋"/>
                <w:sz w:val="24"/>
              </w:rPr>
            </w:pPr>
            <w:r>
              <w:rPr>
                <w:rFonts w:hint="eastAsia" w:ascii="仿宋" w:hAnsi="仿宋" w:eastAsia="仿宋" w:cs="仿宋"/>
                <w:sz w:val="24"/>
              </w:rPr>
              <w:t>70%（含）-80%，得1-2分，</w:t>
            </w:r>
          </w:p>
          <w:p>
            <w:pPr>
              <w:spacing w:line="440" w:lineRule="exact"/>
              <w:rPr>
                <w:rFonts w:hint="eastAsia" w:ascii="仿宋" w:hAnsi="仿宋" w:eastAsia="仿宋" w:cs="仿宋"/>
                <w:sz w:val="24"/>
              </w:rPr>
            </w:pPr>
            <w:r>
              <w:rPr>
                <w:rFonts w:hint="eastAsia" w:ascii="仿宋" w:hAnsi="仿宋" w:eastAsia="仿宋" w:cs="仿宋"/>
                <w:sz w:val="24"/>
              </w:rPr>
              <w:t>70%以下，不得分。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37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承保公司核心系统数据报表</w:t>
            </w:r>
          </w:p>
        </w:tc>
      </w:tr>
      <w:tr>
        <w:tblPrEx>
          <w:tblCellMar>
            <w:top w:w="0" w:type="dxa"/>
            <w:left w:w="0" w:type="dxa"/>
            <w:bottom w:w="0" w:type="dxa"/>
            <w:right w:w="0" w:type="dxa"/>
          </w:tblCellMar>
        </w:tblPrEx>
        <w:trPr>
          <w:trHeight w:val="1628" w:hRule="atLeast"/>
          <w:jc w:val="center"/>
        </w:trPr>
        <w:tc>
          <w:tcPr>
            <w:tcW w:w="1175" w:type="dxa"/>
            <w:vMerge w:val="continue"/>
            <w:tcBorders>
              <w:left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p>
        </w:tc>
        <w:tc>
          <w:tcPr>
            <w:tcW w:w="993"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理赔满意度</w:t>
            </w:r>
          </w:p>
          <w:p>
            <w:pPr>
              <w:spacing w:line="440" w:lineRule="exact"/>
              <w:jc w:val="center"/>
              <w:rPr>
                <w:rFonts w:hint="eastAsia" w:ascii="仿宋" w:hAnsi="仿宋" w:eastAsia="仿宋" w:cs="仿宋"/>
                <w:sz w:val="24"/>
              </w:rPr>
            </w:pPr>
            <w:r>
              <w:rPr>
                <w:rFonts w:hint="eastAsia" w:ascii="仿宋" w:hAnsi="仿宋" w:eastAsia="仿宋" w:cs="仿宋"/>
                <w:sz w:val="24"/>
              </w:rPr>
              <w:t>（10分）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理赔满意度达到：</w:t>
            </w:r>
          </w:p>
          <w:p>
            <w:pPr>
              <w:spacing w:line="440" w:lineRule="exact"/>
              <w:ind w:left="105" w:leftChars="50"/>
              <w:rPr>
                <w:rFonts w:hint="eastAsia" w:ascii="仿宋" w:hAnsi="仿宋" w:eastAsia="仿宋" w:cs="仿宋"/>
                <w:sz w:val="24"/>
              </w:rPr>
            </w:pPr>
            <w:r>
              <w:rPr>
                <w:rFonts w:hint="eastAsia" w:ascii="仿宋" w:hAnsi="仿宋" w:eastAsia="仿宋" w:cs="仿宋"/>
                <w:sz w:val="24"/>
              </w:rPr>
              <w:t>100%，得10分，</w:t>
            </w:r>
          </w:p>
          <w:p>
            <w:pPr>
              <w:spacing w:line="440" w:lineRule="exact"/>
              <w:ind w:left="105" w:leftChars="50"/>
              <w:rPr>
                <w:rFonts w:hint="eastAsia" w:ascii="仿宋" w:hAnsi="仿宋" w:eastAsia="仿宋" w:cs="仿宋"/>
                <w:sz w:val="24"/>
              </w:rPr>
            </w:pPr>
            <w:r>
              <w:rPr>
                <w:rFonts w:hint="eastAsia" w:ascii="仿宋" w:hAnsi="仿宋" w:eastAsia="仿宋" w:cs="仿宋"/>
                <w:sz w:val="24"/>
              </w:rPr>
              <w:t>80%（含）-100%，得6-9分，</w:t>
            </w:r>
          </w:p>
          <w:p>
            <w:pPr>
              <w:spacing w:line="440" w:lineRule="exact"/>
              <w:ind w:left="105" w:leftChars="50"/>
              <w:rPr>
                <w:rFonts w:hint="eastAsia" w:ascii="仿宋" w:hAnsi="仿宋" w:eastAsia="仿宋" w:cs="仿宋"/>
                <w:sz w:val="24"/>
              </w:rPr>
            </w:pPr>
            <w:r>
              <w:rPr>
                <w:rFonts w:hint="eastAsia" w:ascii="仿宋" w:hAnsi="仿宋" w:eastAsia="仿宋" w:cs="仿宋"/>
                <w:sz w:val="24"/>
              </w:rPr>
              <w:t>60%（含）-80%，得1-5分，</w:t>
            </w:r>
          </w:p>
          <w:p>
            <w:pPr>
              <w:spacing w:line="440" w:lineRule="exact"/>
              <w:ind w:left="105" w:leftChars="50"/>
              <w:rPr>
                <w:rFonts w:hint="eastAsia" w:ascii="仿宋" w:hAnsi="仿宋" w:eastAsia="仿宋" w:cs="仿宋"/>
                <w:sz w:val="24"/>
              </w:rPr>
            </w:pPr>
            <w:r>
              <w:rPr>
                <w:rFonts w:hint="eastAsia" w:ascii="仿宋" w:hAnsi="仿宋" w:eastAsia="仿宋" w:cs="仿宋"/>
                <w:sz w:val="24"/>
              </w:rPr>
              <w:t>60%以下，不得分。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376"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bCs/>
                <w:sz w:val="24"/>
              </w:rPr>
              <w:t>经纪公司季度理赔案件回访记录</w:t>
            </w:r>
          </w:p>
        </w:tc>
      </w:tr>
      <w:tr>
        <w:tblPrEx>
          <w:tblCellMar>
            <w:top w:w="0" w:type="dxa"/>
            <w:left w:w="0" w:type="dxa"/>
            <w:bottom w:w="0" w:type="dxa"/>
            <w:right w:w="0" w:type="dxa"/>
          </w:tblCellMar>
        </w:tblPrEx>
        <w:trPr>
          <w:trHeight w:val="981" w:hRule="atLeast"/>
          <w:jc w:val="center"/>
        </w:trPr>
        <w:tc>
          <w:tcPr>
            <w:tcW w:w="1175"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p>
        </w:tc>
        <w:tc>
          <w:tcPr>
            <w:tcW w:w="993"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简单</w:t>
            </w:r>
          </w:p>
          <w:p>
            <w:pPr>
              <w:spacing w:line="440" w:lineRule="exact"/>
              <w:jc w:val="center"/>
              <w:rPr>
                <w:rFonts w:hint="eastAsia" w:ascii="仿宋" w:hAnsi="仿宋" w:eastAsia="仿宋" w:cs="仿宋"/>
                <w:sz w:val="24"/>
              </w:rPr>
            </w:pPr>
            <w:r>
              <w:rPr>
                <w:rFonts w:hint="eastAsia" w:ascii="仿宋" w:hAnsi="仿宋" w:eastAsia="仿宋" w:cs="仿宋"/>
                <w:sz w:val="24"/>
              </w:rPr>
              <w:t>赔付率</w:t>
            </w:r>
          </w:p>
          <w:p>
            <w:pPr>
              <w:spacing w:line="440" w:lineRule="exact"/>
              <w:jc w:val="center"/>
              <w:rPr>
                <w:rFonts w:hint="eastAsia" w:ascii="仿宋" w:hAnsi="仿宋" w:eastAsia="仿宋" w:cs="仿宋"/>
              </w:rPr>
            </w:pPr>
            <w:r>
              <w:rPr>
                <w:rFonts w:hint="eastAsia" w:ascii="仿宋" w:hAnsi="仿宋" w:eastAsia="仿宋" w:cs="仿宋"/>
                <w:sz w:val="24"/>
              </w:rPr>
              <w:t>（10分）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简单赔付率达到:</w:t>
            </w:r>
          </w:p>
          <w:p>
            <w:pPr>
              <w:spacing w:line="440" w:lineRule="exact"/>
              <w:ind w:left="105" w:leftChars="50"/>
              <w:rPr>
                <w:rFonts w:hint="eastAsia" w:ascii="仿宋" w:hAnsi="仿宋" w:eastAsia="仿宋" w:cs="仿宋"/>
                <w:sz w:val="24"/>
              </w:rPr>
            </w:pPr>
            <w:r>
              <w:rPr>
                <w:rFonts w:hint="eastAsia" w:ascii="仿宋" w:hAnsi="仿宋" w:eastAsia="仿宋" w:cs="仿宋"/>
                <w:sz w:val="24"/>
              </w:rPr>
              <w:t>80%（含）及以上，得10分，</w:t>
            </w:r>
          </w:p>
          <w:p>
            <w:pPr>
              <w:spacing w:line="440" w:lineRule="exact"/>
              <w:ind w:left="105" w:leftChars="50"/>
              <w:rPr>
                <w:rFonts w:hint="eastAsia" w:ascii="仿宋" w:hAnsi="仿宋" w:eastAsia="仿宋" w:cs="仿宋"/>
                <w:sz w:val="24"/>
              </w:rPr>
            </w:pPr>
            <w:r>
              <w:rPr>
                <w:rFonts w:hint="eastAsia" w:ascii="仿宋" w:hAnsi="仿宋" w:eastAsia="仿宋" w:cs="仿宋"/>
                <w:sz w:val="24"/>
              </w:rPr>
              <w:t>60%（含）-80%，得6-9分，</w:t>
            </w:r>
          </w:p>
          <w:p>
            <w:pPr>
              <w:spacing w:line="440" w:lineRule="exact"/>
              <w:ind w:left="105" w:leftChars="50"/>
              <w:rPr>
                <w:rFonts w:hint="eastAsia" w:ascii="仿宋" w:hAnsi="仿宋" w:eastAsia="仿宋" w:cs="仿宋"/>
                <w:sz w:val="24"/>
              </w:rPr>
            </w:pPr>
            <w:r>
              <w:rPr>
                <w:rFonts w:hint="eastAsia" w:ascii="仿宋" w:hAnsi="仿宋" w:eastAsia="仿宋" w:cs="仿宋"/>
                <w:sz w:val="24"/>
              </w:rPr>
              <w:t>40%（含）-60%，得1-5分，</w:t>
            </w:r>
          </w:p>
          <w:p>
            <w:pPr>
              <w:spacing w:line="440" w:lineRule="exact"/>
              <w:ind w:left="105" w:leftChars="50"/>
              <w:rPr>
                <w:rFonts w:hint="eastAsia" w:ascii="仿宋" w:hAnsi="仿宋" w:eastAsia="仿宋" w:cs="仿宋"/>
              </w:rPr>
            </w:pPr>
            <w:r>
              <w:rPr>
                <w:rFonts w:hint="eastAsia" w:ascii="仿宋" w:hAnsi="仿宋" w:eastAsia="仿宋" w:cs="仿宋"/>
                <w:sz w:val="24"/>
              </w:rPr>
              <w:t>40%以下，不得分。</w:t>
            </w:r>
          </w:p>
        </w:tc>
        <w:tc>
          <w:tcPr>
            <w:tcW w:w="1250"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376"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r>
      <w:tr>
        <w:tblPrEx>
          <w:tblCellMar>
            <w:top w:w="0" w:type="dxa"/>
            <w:left w:w="0" w:type="dxa"/>
            <w:bottom w:w="0" w:type="dxa"/>
            <w:right w:w="0" w:type="dxa"/>
          </w:tblCellMar>
        </w:tblPrEx>
        <w:trPr>
          <w:trHeight w:val="981" w:hRule="atLeast"/>
          <w:jc w:val="center"/>
        </w:trPr>
        <w:tc>
          <w:tcPr>
            <w:tcW w:w="1175"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p>
        </w:tc>
        <w:tc>
          <w:tcPr>
            <w:tcW w:w="993"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理赔时效性（5分）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理赔时效性，严格按照采购合同理赔时效约定完成赔款的得5分，每延迟一天扣1分，扣完为止。</w:t>
            </w:r>
          </w:p>
        </w:tc>
        <w:tc>
          <w:tcPr>
            <w:tcW w:w="1250"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376"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r>
      <w:tr>
        <w:tblPrEx>
          <w:tblCellMar>
            <w:top w:w="0" w:type="dxa"/>
            <w:left w:w="0" w:type="dxa"/>
            <w:bottom w:w="0" w:type="dxa"/>
            <w:right w:w="0" w:type="dxa"/>
          </w:tblCellMar>
        </w:tblPrEx>
        <w:trPr>
          <w:trHeight w:val="1323" w:hRule="atLeast"/>
          <w:jc w:val="center"/>
        </w:trPr>
        <w:tc>
          <w:tcPr>
            <w:tcW w:w="1175" w:type="dxa"/>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投保</w:t>
            </w:r>
          </w:p>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服务</w:t>
            </w:r>
          </w:p>
          <w:p>
            <w:pPr>
              <w:spacing w:line="440" w:lineRule="exact"/>
              <w:jc w:val="center"/>
              <w:rPr>
                <w:rFonts w:hint="eastAsia" w:ascii="仿宋" w:hAnsi="仿宋" w:eastAsia="仿宋" w:cs="仿宋"/>
                <w:sz w:val="24"/>
              </w:rPr>
            </w:pPr>
            <w:r>
              <w:rPr>
                <w:rFonts w:hint="eastAsia" w:ascii="仿宋" w:hAnsi="仿宋" w:eastAsia="仿宋" w:cs="仿宋"/>
                <w:sz w:val="24"/>
              </w:rPr>
              <w:t>（10分）</w:t>
            </w:r>
          </w:p>
        </w:tc>
        <w:tc>
          <w:tcPr>
            <w:tcW w:w="99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分散型保险承诺（10分）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对三家承保公司老年人意外险（分散型）</w:t>
            </w:r>
          </w:p>
          <w:p>
            <w:pPr>
              <w:spacing w:line="440" w:lineRule="exact"/>
              <w:rPr>
                <w:rFonts w:hint="eastAsia" w:ascii="仿宋" w:hAnsi="仿宋" w:eastAsia="仿宋" w:cs="仿宋"/>
                <w:sz w:val="24"/>
              </w:rPr>
            </w:pPr>
            <w:r>
              <w:rPr>
                <w:rFonts w:hint="eastAsia" w:ascii="仿宋" w:hAnsi="仿宋" w:eastAsia="仿宋" w:cs="仿宋"/>
                <w:sz w:val="24"/>
              </w:rPr>
              <w:t>超过承诺20%，得10分，</w:t>
            </w:r>
          </w:p>
          <w:p>
            <w:pPr>
              <w:spacing w:line="440" w:lineRule="exact"/>
              <w:rPr>
                <w:rFonts w:hint="eastAsia" w:ascii="仿宋" w:hAnsi="仿宋" w:eastAsia="仿宋" w:cs="仿宋"/>
                <w:sz w:val="24"/>
              </w:rPr>
            </w:pPr>
            <w:r>
              <w:rPr>
                <w:rFonts w:hint="eastAsia" w:ascii="仿宋" w:hAnsi="仿宋" w:eastAsia="仿宋" w:cs="仿宋"/>
                <w:sz w:val="24"/>
              </w:rPr>
              <w:t>超过承诺10%，得8分，</w:t>
            </w:r>
          </w:p>
          <w:p>
            <w:pPr>
              <w:spacing w:line="440" w:lineRule="exact"/>
              <w:rPr>
                <w:rFonts w:hint="eastAsia" w:ascii="仿宋" w:hAnsi="仿宋" w:eastAsia="仿宋" w:cs="仿宋"/>
                <w:sz w:val="24"/>
              </w:rPr>
            </w:pPr>
            <w:r>
              <w:rPr>
                <w:rFonts w:hint="eastAsia" w:ascii="仿宋" w:hAnsi="仿宋" w:eastAsia="仿宋" w:cs="仿宋"/>
                <w:sz w:val="24"/>
              </w:rPr>
              <w:t>超过承诺5%，得6分，</w:t>
            </w:r>
          </w:p>
          <w:p>
            <w:pPr>
              <w:spacing w:line="440" w:lineRule="exact"/>
              <w:rPr>
                <w:rFonts w:hint="eastAsia" w:ascii="仿宋" w:hAnsi="仿宋" w:eastAsia="仿宋" w:cs="仿宋"/>
                <w:sz w:val="24"/>
              </w:rPr>
            </w:pPr>
            <w:r>
              <w:rPr>
                <w:rFonts w:hint="eastAsia" w:ascii="仿宋" w:hAnsi="仿宋" w:eastAsia="仿宋" w:cs="仿宋"/>
                <w:sz w:val="24"/>
              </w:rPr>
              <w:t>达到承诺，得4分，</w:t>
            </w:r>
          </w:p>
          <w:p>
            <w:pPr>
              <w:spacing w:line="440" w:lineRule="exact"/>
              <w:rPr>
                <w:rFonts w:hint="eastAsia" w:ascii="仿宋" w:hAnsi="仿宋" w:eastAsia="仿宋" w:cs="仿宋"/>
                <w:sz w:val="24"/>
              </w:rPr>
            </w:pPr>
            <w:r>
              <w:rPr>
                <w:rFonts w:hint="eastAsia" w:ascii="仿宋" w:hAnsi="仿宋" w:eastAsia="仿宋" w:cs="仿宋"/>
                <w:sz w:val="24"/>
              </w:rPr>
              <w:t>低于承诺，不得分。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p>
        </w:tc>
        <w:tc>
          <w:tcPr>
            <w:tcW w:w="137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承保公司核心系统数据报表</w:t>
            </w:r>
          </w:p>
        </w:tc>
      </w:tr>
      <w:tr>
        <w:tblPrEx>
          <w:tblCellMar>
            <w:top w:w="0" w:type="dxa"/>
            <w:left w:w="0" w:type="dxa"/>
            <w:bottom w:w="0" w:type="dxa"/>
            <w:right w:w="0" w:type="dxa"/>
          </w:tblCellMar>
        </w:tblPrEx>
        <w:trPr>
          <w:trHeight w:val="2098" w:hRule="atLeast"/>
          <w:jc w:val="center"/>
        </w:trPr>
        <w:tc>
          <w:tcPr>
            <w:tcW w:w="1175" w:type="dxa"/>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p>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工作配合度</w:t>
            </w:r>
          </w:p>
          <w:p>
            <w:pPr>
              <w:spacing w:line="440" w:lineRule="exact"/>
              <w:jc w:val="center"/>
              <w:rPr>
                <w:rFonts w:hint="eastAsia" w:ascii="仿宋" w:hAnsi="仿宋" w:eastAsia="仿宋" w:cs="仿宋"/>
                <w:b/>
                <w:sz w:val="24"/>
              </w:rPr>
            </w:pPr>
            <w:r>
              <w:rPr>
                <w:rFonts w:hint="eastAsia" w:ascii="仿宋" w:hAnsi="仿宋" w:eastAsia="仿宋" w:cs="仿宋"/>
                <w:sz w:val="24"/>
              </w:rPr>
              <w:t>（5分）</w:t>
            </w:r>
          </w:p>
          <w:p>
            <w:pPr>
              <w:spacing w:line="440" w:lineRule="exact"/>
              <w:jc w:val="center"/>
              <w:rPr>
                <w:rFonts w:hint="eastAsia" w:ascii="仿宋" w:hAnsi="仿宋" w:eastAsia="仿宋" w:cs="仿宋"/>
                <w:sz w:val="24"/>
              </w:rPr>
            </w:pPr>
          </w:p>
        </w:tc>
        <w:tc>
          <w:tcPr>
            <w:tcW w:w="99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及时性</w:t>
            </w:r>
          </w:p>
          <w:p>
            <w:pPr>
              <w:spacing w:line="440" w:lineRule="exact"/>
              <w:jc w:val="center"/>
              <w:rPr>
                <w:rFonts w:hint="eastAsia" w:ascii="仿宋" w:hAnsi="仿宋" w:eastAsia="仿宋" w:cs="仿宋"/>
                <w:sz w:val="24"/>
              </w:rPr>
            </w:pPr>
            <w:r>
              <w:rPr>
                <w:rFonts w:hint="eastAsia" w:ascii="仿宋" w:hAnsi="仿宋" w:eastAsia="仿宋" w:cs="仿宋"/>
                <w:sz w:val="24"/>
              </w:rPr>
              <w:t>（5分）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
                <w:sz w:val="24"/>
              </w:rPr>
            </w:pPr>
            <w:r>
              <w:rPr>
                <w:rFonts w:hint="eastAsia" w:ascii="仿宋" w:hAnsi="仿宋" w:eastAsia="仿宋" w:cs="仿宋"/>
                <w:sz w:val="24"/>
              </w:rPr>
              <w:t>①日常工作积极配合，简单问题马上回复（最迟不得超过120分钟），复杂问题1-2天内请示后回复，得3分；每违约1次，扣1分。</w:t>
            </w:r>
          </w:p>
          <w:p>
            <w:pPr>
              <w:spacing w:line="440" w:lineRule="exact"/>
              <w:rPr>
                <w:rFonts w:hint="eastAsia" w:ascii="仿宋" w:hAnsi="仿宋" w:eastAsia="仿宋" w:cs="仿宋"/>
                <w:sz w:val="24"/>
              </w:rPr>
            </w:pPr>
            <w:r>
              <w:rPr>
                <w:rFonts w:hint="eastAsia" w:ascii="仿宋" w:hAnsi="仿宋" w:eastAsia="仿宋" w:cs="仿宋"/>
                <w:sz w:val="24"/>
              </w:rPr>
              <w:t>②超过采购合同约定范围的事宜，向“疑难问题协调小组”报备的，得2分；若未经报备同意，擅自操作一旦查实，每次扣1分。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p>
        </w:tc>
        <w:tc>
          <w:tcPr>
            <w:tcW w:w="137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疑难问题协调小组微信群等</w:t>
            </w:r>
          </w:p>
        </w:tc>
      </w:tr>
      <w:tr>
        <w:tblPrEx>
          <w:tblCellMar>
            <w:top w:w="0" w:type="dxa"/>
            <w:left w:w="0" w:type="dxa"/>
            <w:bottom w:w="0" w:type="dxa"/>
            <w:right w:w="0" w:type="dxa"/>
          </w:tblCellMar>
        </w:tblPrEx>
        <w:trPr>
          <w:trHeight w:val="871" w:hRule="atLeast"/>
          <w:jc w:val="center"/>
        </w:trPr>
        <w:tc>
          <w:tcPr>
            <w:tcW w:w="1175" w:type="dxa"/>
            <w:tcBorders>
              <w:top w:val="single" w:color="auto" w:sz="4" w:space="0"/>
              <w:left w:val="single" w:color="auto" w:sz="4" w:space="0"/>
              <w:right w:val="nil"/>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创 新</w:t>
            </w:r>
          </w:p>
          <w:p>
            <w:pPr>
              <w:spacing w:line="440" w:lineRule="exact"/>
              <w:jc w:val="center"/>
              <w:rPr>
                <w:rFonts w:hint="eastAsia" w:ascii="仿宋" w:hAnsi="仿宋" w:eastAsia="仿宋" w:cs="仿宋"/>
                <w:b/>
                <w:sz w:val="24"/>
              </w:rPr>
            </w:pPr>
            <w:r>
              <w:rPr>
                <w:rFonts w:hint="eastAsia" w:ascii="仿宋" w:hAnsi="仿宋" w:eastAsia="仿宋" w:cs="仿宋"/>
                <w:bCs/>
                <w:sz w:val="24"/>
              </w:rPr>
              <w:t>（5分）</w:t>
            </w:r>
          </w:p>
        </w:tc>
        <w:tc>
          <w:tcPr>
            <w:tcW w:w="99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创新服务</w:t>
            </w:r>
          </w:p>
          <w:p>
            <w:pPr>
              <w:spacing w:line="440" w:lineRule="exact"/>
              <w:jc w:val="center"/>
              <w:rPr>
                <w:rFonts w:hint="eastAsia" w:ascii="仿宋" w:hAnsi="仿宋" w:eastAsia="仿宋" w:cs="仿宋"/>
                <w:sz w:val="24"/>
              </w:rPr>
            </w:pPr>
            <w:r>
              <w:rPr>
                <w:rFonts w:hint="eastAsia" w:ascii="仿宋" w:hAnsi="仿宋" w:eastAsia="仿宋" w:cs="仿宋"/>
                <w:sz w:val="24"/>
              </w:rPr>
              <w:t>（5分）</w:t>
            </w:r>
          </w:p>
        </w:tc>
        <w:tc>
          <w:tcPr>
            <w:tcW w:w="490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为本项目推动模式创新，每提供一项创新服务模式得1分，最多得5分。</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37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承保公司提供材料</w:t>
            </w:r>
          </w:p>
        </w:tc>
      </w:tr>
      <w:tr>
        <w:tblPrEx>
          <w:tblCellMar>
            <w:top w:w="0" w:type="dxa"/>
            <w:left w:w="0" w:type="dxa"/>
            <w:bottom w:w="0" w:type="dxa"/>
            <w:right w:w="0" w:type="dxa"/>
          </w:tblCellMar>
        </w:tblPrEx>
        <w:trPr>
          <w:trHeight w:val="795" w:hRule="atLeast"/>
          <w:jc w:val="center"/>
        </w:trPr>
        <w:tc>
          <w:tcPr>
            <w:tcW w:w="1175" w:type="dxa"/>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增值</w:t>
            </w:r>
          </w:p>
          <w:p>
            <w:pPr>
              <w:spacing w:line="440" w:lineRule="exact"/>
              <w:jc w:val="center"/>
              <w:rPr>
                <w:rFonts w:hint="eastAsia" w:ascii="仿宋" w:hAnsi="仿宋" w:eastAsia="仿宋" w:cs="仿宋"/>
                <w:b/>
                <w:sz w:val="24"/>
              </w:rPr>
            </w:pPr>
            <w:r>
              <w:rPr>
                <w:rFonts w:hint="eastAsia" w:ascii="仿宋" w:hAnsi="仿宋" w:eastAsia="仿宋" w:cs="仿宋"/>
                <w:b/>
                <w:sz w:val="24"/>
              </w:rPr>
              <w:t>服务</w:t>
            </w:r>
          </w:p>
          <w:p>
            <w:pPr>
              <w:spacing w:line="440" w:lineRule="exact"/>
              <w:jc w:val="center"/>
              <w:rPr>
                <w:rFonts w:hint="eastAsia" w:ascii="仿宋" w:hAnsi="仿宋" w:eastAsia="仿宋" w:cs="仿宋"/>
                <w:sz w:val="24"/>
              </w:rPr>
            </w:pPr>
            <w:r>
              <w:rPr>
                <w:rFonts w:hint="eastAsia" w:ascii="仿宋" w:hAnsi="仿宋" w:eastAsia="仿宋" w:cs="仿宋"/>
                <w:bCs/>
                <w:sz w:val="24"/>
              </w:rPr>
              <w:t>（10分）</w:t>
            </w:r>
          </w:p>
        </w:tc>
        <w:tc>
          <w:tcPr>
            <w:tcW w:w="99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保险公司承诺的增值服务</w:t>
            </w:r>
          </w:p>
        </w:tc>
        <w:tc>
          <w:tcPr>
            <w:tcW w:w="4903"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
                <w:sz w:val="24"/>
              </w:rPr>
            </w:pPr>
            <w:r>
              <w:rPr>
                <w:rFonts w:hint="eastAsia" w:ascii="仿宋" w:hAnsi="仿宋" w:eastAsia="仿宋" w:cs="仿宋"/>
                <w:sz w:val="24"/>
              </w:rPr>
              <w:t>评估保险公司承保老年人意外险增值服务能力，主要评价保险公司承保、理赔服务以外的有效的增值服务项目，包括培训宣传服务等。</w:t>
            </w:r>
          </w:p>
        </w:tc>
        <w:tc>
          <w:tcPr>
            <w:tcW w:w="125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37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保险公司投标时增值服务承诺</w:t>
            </w:r>
          </w:p>
        </w:tc>
      </w:tr>
      <w:tr>
        <w:tblPrEx>
          <w:tblCellMar>
            <w:top w:w="0" w:type="dxa"/>
            <w:left w:w="0" w:type="dxa"/>
            <w:bottom w:w="0" w:type="dxa"/>
            <w:right w:w="0" w:type="dxa"/>
          </w:tblCellMar>
        </w:tblPrEx>
        <w:trPr>
          <w:trHeight w:val="580" w:hRule="atLeast"/>
          <w:jc w:val="center"/>
        </w:trPr>
        <w:tc>
          <w:tcPr>
            <w:tcW w:w="7071" w:type="dxa"/>
            <w:gridSpan w:val="7"/>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
                <w:sz w:val="24"/>
              </w:rPr>
            </w:pPr>
            <w:r>
              <w:rPr>
                <w:rFonts w:hint="eastAsia" w:ascii="仿宋" w:hAnsi="仿宋" w:eastAsia="仿宋" w:cs="仿宋"/>
                <w:b/>
                <w:sz w:val="24"/>
              </w:rPr>
              <w:t>保险人合计得分</w:t>
            </w:r>
          </w:p>
        </w:tc>
        <w:tc>
          <w:tcPr>
            <w:tcW w:w="2626"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r>
      <w:tr>
        <w:tblPrEx>
          <w:tblCellMar>
            <w:top w:w="0" w:type="dxa"/>
            <w:left w:w="0" w:type="dxa"/>
            <w:bottom w:w="0" w:type="dxa"/>
            <w:right w:w="0" w:type="dxa"/>
          </w:tblCellMar>
        </w:tblPrEx>
        <w:trPr>
          <w:trHeight w:val="1458" w:hRule="atLeast"/>
          <w:jc w:val="center"/>
        </w:trPr>
        <w:tc>
          <w:tcPr>
            <w:tcW w:w="1236"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保险</w:t>
            </w:r>
          </w:p>
          <w:p>
            <w:pPr>
              <w:spacing w:line="440" w:lineRule="exact"/>
              <w:jc w:val="center"/>
              <w:rPr>
                <w:rFonts w:hint="eastAsia" w:ascii="仿宋" w:hAnsi="仿宋" w:eastAsia="仿宋" w:cs="仿宋"/>
                <w:sz w:val="24"/>
              </w:rPr>
            </w:pPr>
            <w:r>
              <w:rPr>
                <w:rFonts w:hint="eastAsia" w:ascii="仿宋" w:hAnsi="仿宋" w:eastAsia="仿宋" w:cs="仿宋"/>
                <w:sz w:val="24"/>
              </w:rPr>
              <w:t>经纪</w:t>
            </w:r>
          </w:p>
          <w:p>
            <w:pPr>
              <w:spacing w:line="440" w:lineRule="exact"/>
              <w:jc w:val="center"/>
              <w:rPr>
                <w:rFonts w:hint="eastAsia" w:ascii="仿宋" w:hAnsi="仿宋" w:eastAsia="仿宋" w:cs="仿宋"/>
                <w:sz w:val="24"/>
              </w:rPr>
            </w:pPr>
            <w:r>
              <w:rPr>
                <w:rFonts w:hint="eastAsia" w:ascii="仿宋" w:hAnsi="仿宋" w:eastAsia="仿宋" w:cs="仿宋"/>
                <w:sz w:val="24"/>
              </w:rPr>
              <w:t>公司</w:t>
            </w:r>
          </w:p>
          <w:p>
            <w:pPr>
              <w:spacing w:line="440" w:lineRule="exact"/>
              <w:jc w:val="center"/>
              <w:rPr>
                <w:rFonts w:hint="eastAsia" w:ascii="仿宋" w:hAnsi="仿宋" w:eastAsia="仿宋" w:cs="仿宋"/>
                <w:sz w:val="24"/>
              </w:rPr>
            </w:pPr>
            <w:r>
              <w:rPr>
                <w:rFonts w:hint="eastAsia" w:ascii="仿宋" w:hAnsi="仿宋" w:eastAsia="仿宋" w:cs="仿宋"/>
                <w:sz w:val="24"/>
              </w:rPr>
              <w:t>意见</w:t>
            </w:r>
          </w:p>
          <w:p>
            <w:pPr>
              <w:spacing w:line="440" w:lineRule="exact"/>
              <w:ind w:left="105" w:leftChars="50"/>
              <w:jc w:val="center"/>
              <w:rPr>
                <w:rFonts w:hint="eastAsia" w:ascii="仿宋" w:hAnsi="仿宋" w:eastAsia="仿宋" w:cs="仿宋"/>
                <w:sz w:val="24"/>
              </w:rPr>
            </w:pPr>
          </w:p>
        </w:tc>
        <w:tc>
          <w:tcPr>
            <w:tcW w:w="8461" w:type="dxa"/>
            <w:gridSpan w:val="9"/>
            <w:tcBorders>
              <w:top w:val="single" w:color="auto" w:sz="4" w:space="0"/>
              <w:left w:val="single" w:color="auto" w:sz="4" w:space="0"/>
              <w:bottom w:val="single" w:color="auto" w:sz="4" w:space="0"/>
              <w:right w:val="single" w:color="auto" w:sz="4" w:space="0"/>
            </w:tcBorders>
            <w:noWrap/>
            <w:vAlign w:val="top"/>
          </w:tcPr>
          <w:p>
            <w:pPr>
              <w:spacing w:line="440" w:lineRule="exact"/>
              <w:ind w:left="105" w:leftChars="50"/>
              <w:rPr>
                <w:rFonts w:hint="eastAsia" w:ascii="仿宋" w:hAnsi="仿宋" w:eastAsia="仿宋" w:cs="仿宋"/>
                <w:sz w:val="24"/>
              </w:rPr>
            </w:pPr>
            <w:r>
              <w:rPr>
                <w:rFonts w:hint="eastAsia" w:ascii="仿宋" w:hAnsi="仿宋" w:eastAsia="仿宋" w:cs="仿宋"/>
                <w:sz w:val="24"/>
              </w:rPr>
              <w:t>对上述被考核单位都其他建议或意见，请列明:</w:t>
            </w:r>
          </w:p>
          <w:p>
            <w:pPr>
              <w:spacing w:line="440" w:lineRule="exact"/>
              <w:rPr>
                <w:rFonts w:hint="eastAsia" w:ascii="仿宋" w:hAnsi="仿宋" w:eastAsia="仿宋" w:cs="仿宋"/>
                <w:sz w:val="24"/>
              </w:rPr>
            </w:pPr>
          </w:p>
        </w:tc>
      </w:tr>
      <w:tr>
        <w:tblPrEx>
          <w:tblCellMar>
            <w:top w:w="0" w:type="dxa"/>
            <w:left w:w="0" w:type="dxa"/>
            <w:bottom w:w="0" w:type="dxa"/>
            <w:right w:w="0" w:type="dxa"/>
          </w:tblCellMar>
        </w:tblPrEx>
        <w:trPr>
          <w:trHeight w:val="408" w:hRule="atLeast"/>
          <w:jc w:val="center"/>
        </w:trPr>
        <w:tc>
          <w:tcPr>
            <w:tcW w:w="1236"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ind w:left="105" w:leftChars="50"/>
              <w:jc w:val="center"/>
              <w:rPr>
                <w:rFonts w:hint="eastAsia" w:ascii="仿宋" w:hAnsi="仿宋" w:eastAsia="仿宋" w:cs="仿宋"/>
                <w:sz w:val="24"/>
              </w:rPr>
            </w:pPr>
          </w:p>
        </w:tc>
        <w:tc>
          <w:tcPr>
            <w:tcW w:w="8461" w:type="dxa"/>
            <w:gridSpan w:val="9"/>
            <w:tcBorders>
              <w:top w:val="single" w:color="auto" w:sz="4" w:space="0"/>
              <w:left w:val="single" w:color="auto" w:sz="4" w:space="0"/>
              <w:bottom w:val="single" w:color="auto" w:sz="4" w:space="0"/>
              <w:right w:val="single" w:color="auto" w:sz="4" w:space="0"/>
            </w:tcBorders>
            <w:noWrap/>
            <w:vAlign w:val="center"/>
          </w:tcPr>
          <w:p>
            <w:pPr>
              <w:spacing w:line="440" w:lineRule="exact"/>
              <w:ind w:left="105" w:leftChars="50"/>
              <w:rPr>
                <w:rFonts w:hint="eastAsia" w:ascii="仿宋" w:hAnsi="仿宋" w:eastAsia="仿宋" w:cs="仿宋"/>
                <w:sz w:val="24"/>
              </w:rPr>
            </w:pPr>
            <w:r>
              <w:rPr>
                <w:rFonts w:hint="eastAsia" w:ascii="仿宋" w:hAnsi="仿宋" w:eastAsia="仿宋" w:cs="仿宋"/>
                <w:sz w:val="24"/>
              </w:rPr>
              <w:t>考 核 人：考评时间：</w:t>
            </w:r>
          </w:p>
        </w:tc>
      </w:tr>
      <w:tr>
        <w:tblPrEx>
          <w:tblCellMar>
            <w:top w:w="0" w:type="dxa"/>
            <w:left w:w="0" w:type="dxa"/>
            <w:bottom w:w="0" w:type="dxa"/>
            <w:right w:w="0" w:type="dxa"/>
          </w:tblCellMar>
        </w:tblPrEx>
        <w:trPr>
          <w:trHeight w:val="2065" w:hRule="atLeast"/>
          <w:jc w:val="center"/>
        </w:trPr>
        <w:tc>
          <w:tcPr>
            <w:tcW w:w="123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评分标准</w:t>
            </w:r>
          </w:p>
        </w:tc>
        <w:tc>
          <w:tcPr>
            <w:tcW w:w="8461" w:type="dxa"/>
            <w:gridSpan w:val="9"/>
            <w:tcBorders>
              <w:top w:val="single" w:color="auto" w:sz="4" w:space="0"/>
              <w:left w:val="single" w:color="auto" w:sz="4" w:space="0"/>
              <w:bottom w:val="single" w:color="auto" w:sz="4" w:space="0"/>
              <w:right w:val="single" w:color="auto" w:sz="4" w:space="0"/>
            </w:tcBorders>
            <w:noWrap/>
            <w:vAlign w:val="top"/>
          </w:tcPr>
          <w:tbl>
            <w:tblPr>
              <w:tblStyle w:val="18"/>
              <w:tblpPr w:leftFromText="180" w:rightFromText="180" w:vertAnchor="text" w:horzAnchor="page" w:tblpX="-1479" w:tblpY="-1298"/>
              <w:tblOverlap w:val="never"/>
              <w:tblW w:w="0" w:type="auto"/>
              <w:tblInd w:w="0" w:type="dxa"/>
              <w:tblLayout w:type="fixed"/>
              <w:tblCellMar>
                <w:top w:w="0" w:type="dxa"/>
                <w:left w:w="108" w:type="dxa"/>
                <w:bottom w:w="0" w:type="dxa"/>
                <w:right w:w="108" w:type="dxa"/>
              </w:tblCellMar>
            </w:tblPr>
            <w:tblGrid>
              <w:gridCol w:w="3496"/>
              <w:gridCol w:w="2023"/>
            </w:tblGrid>
            <w:tr>
              <w:tblPrEx>
                <w:tblCellMar>
                  <w:top w:w="0" w:type="dxa"/>
                  <w:left w:w="108" w:type="dxa"/>
                  <w:bottom w:w="0" w:type="dxa"/>
                  <w:right w:w="108" w:type="dxa"/>
                </w:tblCellMar>
              </w:tblPrEx>
              <w:trPr>
                <w:trHeight w:val="511"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总分值100分。</w:t>
                  </w:r>
                </w:p>
              </w:tc>
              <w:tc>
                <w:tcPr>
                  <w:tcW w:w="2023" w:type="dxa"/>
                  <w:noWrap w:val="0"/>
                  <w:vAlign w:val="top"/>
                </w:tcPr>
                <w:p>
                  <w:pPr>
                    <w:spacing w:line="440" w:lineRule="exact"/>
                    <w:rPr>
                      <w:rFonts w:hint="eastAsia" w:ascii="仿宋" w:hAnsi="仿宋" w:eastAsia="仿宋" w:cs="仿宋"/>
                      <w:sz w:val="24"/>
                    </w:rPr>
                  </w:pPr>
                </w:p>
              </w:tc>
            </w:tr>
            <w:tr>
              <w:tblPrEx>
                <w:tblCellMar>
                  <w:top w:w="0" w:type="dxa"/>
                  <w:left w:w="108" w:type="dxa"/>
                  <w:bottom w:w="0" w:type="dxa"/>
                  <w:right w:w="108" w:type="dxa"/>
                </w:tblCellMar>
              </w:tblPrEx>
              <w:trPr>
                <w:trHeight w:val="511"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总得分85分（含）以上：</w:t>
                  </w:r>
                </w:p>
              </w:tc>
              <w:tc>
                <w:tcPr>
                  <w:tcW w:w="2023"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A级</w:t>
                  </w:r>
                </w:p>
              </w:tc>
            </w:tr>
            <w:tr>
              <w:tblPrEx>
                <w:tblCellMar>
                  <w:top w:w="0" w:type="dxa"/>
                  <w:left w:w="108" w:type="dxa"/>
                  <w:bottom w:w="0" w:type="dxa"/>
                  <w:right w:w="108" w:type="dxa"/>
                </w:tblCellMar>
              </w:tblPrEx>
              <w:trPr>
                <w:trHeight w:val="511"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总得分60分（含）-85分：</w:t>
                  </w:r>
                </w:p>
              </w:tc>
              <w:tc>
                <w:tcPr>
                  <w:tcW w:w="2023"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B级</w:t>
                  </w:r>
                </w:p>
              </w:tc>
            </w:tr>
            <w:tr>
              <w:tblPrEx>
                <w:tblCellMar>
                  <w:top w:w="0" w:type="dxa"/>
                  <w:left w:w="108" w:type="dxa"/>
                  <w:bottom w:w="0" w:type="dxa"/>
                  <w:right w:w="108" w:type="dxa"/>
                </w:tblCellMar>
              </w:tblPrEx>
              <w:trPr>
                <w:trHeight w:val="522"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总得分60分以下：</w:t>
                  </w:r>
                </w:p>
              </w:tc>
              <w:tc>
                <w:tcPr>
                  <w:tcW w:w="2023"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C级</w:t>
                  </w:r>
                </w:p>
              </w:tc>
            </w:tr>
          </w:tbl>
          <w:p>
            <w:pPr>
              <w:spacing w:line="440" w:lineRule="exact"/>
              <w:ind w:left="105" w:leftChars="50"/>
              <w:rPr>
                <w:rFonts w:hint="eastAsia" w:ascii="仿宋" w:hAnsi="仿宋" w:eastAsia="仿宋" w:cs="仿宋"/>
                <w:sz w:val="24"/>
              </w:rPr>
            </w:pPr>
          </w:p>
        </w:tc>
      </w:tr>
      <w:tr>
        <w:tblPrEx>
          <w:tblCellMar>
            <w:top w:w="0" w:type="dxa"/>
            <w:left w:w="0" w:type="dxa"/>
            <w:bottom w:w="0" w:type="dxa"/>
            <w:right w:w="0" w:type="dxa"/>
          </w:tblCellMar>
        </w:tblPrEx>
        <w:trPr>
          <w:trHeight w:val="491" w:hRule="atLeast"/>
          <w:jc w:val="center"/>
        </w:trPr>
        <w:tc>
          <w:tcPr>
            <w:tcW w:w="1236"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评分</w:t>
            </w:r>
          </w:p>
        </w:tc>
        <w:tc>
          <w:tcPr>
            <w:tcW w:w="5110" w:type="dxa"/>
            <w:gridSpan w:val="4"/>
            <w:vMerge w:val="restart"/>
            <w:tcBorders>
              <w:top w:val="single" w:color="auto" w:sz="4" w:space="0"/>
              <w:left w:val="single" w:color="auto" w:sz="4" w:space="0"/>
              <w:right w:val="single" w:color="auto" w:sz="4" w:space="0"/>
            </w:tcBorders>
            <w:noWrap/>
            <w:vAlign w:val="top"/>
          </w:tcPr>
          <w:p>
            <w:pPr>
              <w:spacing w:line="440" w:lineRule="exact"/>
              <w:ind w:left="105" w:leftChars="50"/>
              <w:rPr>
                <w:rFonts w:hint="eastAsia" w:ascii="仿宋" w:hAnsi="仿宋" w:eastAsia="仿宋" w:cs="仿宋"/>
                <w:sz w:val="24"/>
              </w:rPr>
            </w:pPr>
            <w:r>
              <w:rPr>
                <w:rFonts w:hint="eastAsia" w:ascii="仿宋" w:hAnsi="仿宋" w:eastAsia="仿宋" w:cs="仿宋"/>
                <w:sz w:val="24"/>
              </w:rPr>
              <w:t>A级的为工作绩效优秀的承保保险公司；</w:t>
            </w:r>
          </w:p>
          <w:p>
            <w:pPr>
              <w:spacing w:line="440" w:lineRule="exact"/>
              <w:ind w:left="105" w:leftChars="50"/>
              <w:rPr>
                <w:rFonts w:hint="eastAsia" w:ascii="仿宋" w:hAnsi="仿宋" w:eastAsia="仿宋" w:cs="仿宋"/>
                <w:sz w:val="24"/>
              </w:rPr>
            </w:pPr>
            <w:r>
              <w:rPr>
                <w:rFonts w:hint="eastAsia" w:ascii="仿宋" w:hAnsi="仿宋" w:eastAsia="仿宋" w:cs="仿宋"/>
                <w:sz w:val="24"/>
              </w:rPr>
              <w:t>B级的为工作绩效合格的承保保险公司；</w:t>
            </w:r>
          </w:p>
          <w:p>
            <w:pPr>
              <w:spacing w:line="440" w:lineRule="exact"/>
              <w:ind w:left="105" w:leftChars="50"/>
              <w:rPr>
                <w:rFonts w:hint="eastAsia" w:ascii="仿宋" w:hAnsi="仿宋" w:eastAsia="仿宋" w:cs="仿宋"/>
                <w:sz w:val="24"/>
              </w:rPr>
            </w:pPr>
            <w:r>
              <w:rPr>
                <w:rFonts w:hint="eastAsia" w:ascii="仿宋" w:hAnsi="仿宋" w:eastAsia="仿宋" w:cs="仿宋"/>
                <w:sz w:val="24"/>
              </w:rPr>
              <w:t>C级的为工作绩效不合格的承保保险公司。</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总分值</w:t>
            </w:r>
          </w:p>
        </w:tc>
        <w:tc>
          <w:tcPr>
            <w:tcW w:w="103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100分</w:t>
            </w: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评定</w:t>
            </w:r>
          </w:p>
        </w:tc>
      </w:tr>
      <w:tr>
        <w:tblPrEx>
          <w:tblCellMar>
            <w:top w:w="0" w:type="dxa"/>
            <w:left w:w="0" w:type="dxa"/>
            <w:bottom w:w="0" w:type="dxa"/>
            <w:right w:w="0" w:type="dxa"/>
          </w:tblCellMar>
        </w:tblPrEx>
        <w:trPr>
          <w:trHeight w:val="410" w:hRule="atLeast"/>
          <w:jc w:val="center"/>
        </w:trPr>
        <w:tc>
          <w:tcPr>
            <w:tcW w:w="1236"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5110" w:type="dxa"/>
            <w:gridSpan w:val="4"/>
            <w:vMerge w:val="continue"/>
            <w:tcBorders>
              <w:left w:val="single" w:color="auto" w:sz="4" w:space="0"/>
              <w:bottom w:val="single" w:color="auto" w:sz="4" w:space="0"/>
              <w:right w:val="single" w:color="auto" w:sz="4" w:space="0"/>
            </w:tcBorders>
            <w:noWrap/>
            <w:vAlign w:val="top"/>
          </w:tcPr>
          <w:p>
            <w:pPr>
              <w:spacing w:line="440" w:lineRule="exact"/>
              <w:jc w:val="center"/>
              <w:rPr>
                <w:rFonts w:hint="eastAsia" w:ascii="仿宋" w:hAnsi="仿宋" w:eastAsia="仿宋" w:cs="仿宋"/>
                <w:sz w:val="24"/>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实际得分</w:t>
            </w:r>
          </w:p>
        </w:tc>
        <w:tc>
          <w:tcPr>
            <w:tcW w:w="103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p>
        </w:tc>
      </w:tr>
      <w:tr>
        <w:tblPrEx>
          <w:tblCellMar>
            <w:top w:w="0" w:type="dxa"/>
            <w:left w:w="0" w:type="dxa"/>
            <w:bottom w:w="0" w:type="dxa"/>
            <w:right w:w="0" w:type="dxa"/>
          </w:tblCellMar>
        </w:tblPrEx>
        <w:trPr>
          <w:trHeight w:val="1971" w:hRule="atLeast"/>
          <w:jc w:val="center"/>
        </w:trPr>
        <w:tc>
          <w:tcPr>
            <w:tcW w:w="9697" w:type="dxa"/>
            <w:gridSpan w:val="11"/>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ind w:left="105" w:leftChars="50"/>
              <w:rPr>
                <w:rFonts w:hint="eastAsia" w:ascii="仿宋" w:hAnsi="仿宋" w:eastAsia="仿宋" w:cs="仿宋"/>
                <w:sz w:val="24"/>
              </w:rPr>
            </w:pPr>
            <w:r>
              <w:rPr>
                <w:rFonts w:hint="eastAsia" w:ascii="仿宋" w:hAnsi="仿宋" w:eastAsia="仿宋" w:cs="仿宋"/>
                <w:sz w:val="24"/>
              </w:rPr>
              <w:t>填表说明：</w:t>
            </w:r>
          </w:p>
          <w:p>
            <w:pPr>
              <w:spacing w:line="440" w:lineRule="exact"/>
              <w:ind w:left="105" w:leftChars="50"/>
              <w:rPr>
                <w:rFonts w:hint="eastAsia" w:ascii="仿宋" w:hAnsi="仿宋" w:eastAsia="仿宋" w:cs="仿宋"/>
                <w:sz w:val="24"/>
              </w:rPr>
            </w:pPr>
            <w:r>
              <w:rPr>
                <w:rFonts w:hint="eastAsia" w:ascii="仿宋" w:hAnsi="仿宋" w:eastAsia="仿宋" w:cs="仿宋"/>
                <w:sz w:val="24"/>
              </w:rPr>
              <w:t>1.结案率=考评期内结案数/（考评期内立案数+上年度未结案数）</w:t>
            </w:r>
          </w:p>
          <w:p>
            <w:pPr>
              <w:spacing w:line="440" w:lineRule="exact"/>
              <w:ind w:left="105" w:leftChars="50"/>
              <w:rPr>
                <w:rFonts w:hint="eastAsia" w:ascii="仿宋" w:hAnsi="仿宋" w:eastAsia="仿宋" w:cs="仿宋"/>
                <w:sz w:val="24"/>
              </w:rPr>
            </w:pPr>
            <w:r>
              <w:rPr>
                <w:rFonts w:hint="eastAsia" w:ascii="仿宋" w:hAnsi="仿宋" w:eastAsia="仿宋" w:cs="仿宋"/>
                <w:sz w:val="24"/>
              </w:rPr>
              <w:t>2.理赔满意度=投保人满意度+抽样调查满意度</w:t>
            </w:r>
          </w:p>
          <w:p>
            <w:pPr>
              <w:spacing w:line="440" w:lineRule="exact"/>
              <w:ind w:left="105" w:leftChars="50"/>
              <w:rPr>
                <w:rFonts w:hint="eastAsia" w:ascii="仿宋" w:hAnsi="仿宋" w:eastAsia="仿宋" w:cs="仿宋"/>
                <w:sz w:val="24"/>
              </w:rPr>
            </w:pPr>
            <w:r>
              <w:rPr>
                <w:rFonts w:hint="eastAsia" w:ascii="仿宋" w:hAnsi="仿宋" w:eastAsia="仿宋" w:cs="仿宋"/>
                <w:sz w:val="24"/>
              </w:rPr>
              <w:t>3.表现不合格供应商惩罚机制包括但不限于罚款、剔除供应商范围等</w:t>
            </w:r>
          </w:p>
          <w:p>
            <w:pPr>
              <w:spacing w:line="440" w:lineRule="exact"/>
              <w:ind w:left="105" w:leftChars="50"/>
              <w:rPr>
                <w:rFonts w:hint="eastAsia" w:ascii="仿宋" w:hAnsi="仿宋" w:eastAsia="仿宋" w:cs="仿宋"/>
                <w:sz w:val="24"/>
              </w:rPr>
            </w:pPr>
            <w:r>
              <w:rPr>
                <w:rFonts w:hint="eastAsia" w:ascii="仿宋" w:hAnsi="仿宋" w:eastAsia="仿宋" w:cs="仿宋"/>
                <w:sz w:val="24"/>
              </w:rPr>
              <w:t>4.本次由保险经纪人与区民政局对承保公司进行考核：经纪人考核占比为60%（季度考核占30%，年度考核占30%），区民政局考核占比为40%。</w:t>
            </w:r>
          </w:p>
        </w:tc>
      </w:tr>
    </w:tbl>
    <w:p>
      <w:pPr>
        <w:jc w:val="left"/>
        <w:rPr>
          <w:rFonts w:hint="eastAsia" w:ascii="仿宋" w:hAnsi="仿宋" w:eastAsia="仿宋" w:cs="仿宋"/>
          <w:sz w:val="24"/>
        </w:rPr>
      </w:pPr>
      <w:r>
        <w:rPr>
          <w:rFonts w:hint="eastAsia" w:ascii="仿宋" w:hAnsi="仿宋" w:eastAsia="仿宋" w:cs="仿宋"/>
          <w:sz w:val="24"/>
        </w:rPr>
        <w:t>填表时间：</w:t>
      </w: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附件2</w:t>
      </w:r>
    </w:p>
    <w:p>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Cs/>
          <w:sz w:val="24"/>
        </w:rPr>
        <w:t>湖州市老年人意外伤害统筹保险项目</w:t>
      </w:r>
    </w:p>
    <w:p>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Cs/>
          <w:sz w:val="24"/>
        </w:rPr>
        <w:t>保险采购供应商考核表</w:t>
      </w:r>
    </w:p>
    <w:p>
      <w:pPr>
        <w:pStyle w:val="3"/>
        <w:snapToGrid w:val="0"/>
        <w:spacing w:line="240" w:lineRule="auto"/>
        <w:jc w:val="center"/>
        <w:rPr>
          <w:rFonts w:hint="eastAsia" w:ascii="仿宋" w:hAnsi="仿宋" w:eastAsia="仿宋" w:cs="仿宋"/>
          <w:b w:val="0"/>
          <w:bCs w:val="0"/>
          <w:sz w:val="24"/>
          <w:szCs w:val="24"/>
        </w:rPr>
      </w:pPr>
      <w:r>
        <w:rPr>
          <w:rFonts w:hint="eastAsia" w:ascii="仿宋" w:hAnsi="仿宋" w:eastAsia="仿宋" w:cs="仿宋"/>
          <w:b w:val="0"/>
          <w:sz w:val="24"/>
          <w:szCs w:val="24"/>
        </w:rPr>
        <w:t>（区级民政部门填写）</w:t>
      </w:r>
    </w:p>
    <w:tbl>
      <w:tblPr>
        <w:tblStyle w:val="18"/>
        <w:tblpPr w:leftFromText="180" w:rightFromText="180" w:vertAnchor="text" w:horzAnchor="page" w:tblpXSpec="center" w:tblpY="303"/>
        <w:tblOverlap w:val="never"/>
        <w:tblW w:w="9697" w:type="dxa"/>
        <w:jc w:val="center"/>
        <w:tblLayout w:type="fixed"/>
        <w:tblCellMar>
          <w:top w:w="0" w:type="dxa"/>
          <w:left w:w="0" w:type="dxa"/>
          <w:bottom w:w="0" w:type="dxa"/>
          <w:right w:w="0" w:type="dxa"/>
        </w:tblCellMar>
      </w:tblPr>
      <w:tblGrid>
        <w:gridCol w:w="939"/>
        <w:gridCol w:w="224"/>
        <w:gridCol w:w="73"/>
        <w:gridCol w:w="932"/>
        <w:gridCol w:w="2549"/>
        <w:gridCol w:w="1629"/>
        <w:gridCol w:w="20"/>
        <w:gridCol w:w="705"/>
        <w:gridCol w:w="535"/>
        <w:gridCol w:w="550"/>
        <w:gridCol w:w="485"/>
        <w:gridCol w:w="1056"/>
      </w:tblGrid>
      <w:tr>
        <w:tblPrEx>
          <w:tblCellMar>
            <w:top w:w="0" w:type="dxa"/>
            <w:left w:w="0" w:type="dxa"/>
            <w:bottom w:w="0" w:type="dxa"/>
            <w:right w:w="0" w:type="dxa"/>
          </w:tblCellMar>
        </w:tblPrEx>
        <w:trPr>
          <w:trHeight w:val="417" w:hRule="atLeast"/>
          <w:jc w:val="center"/>
        </w:trPr>
        <w:tc>
          <w:tcPr>
            <w:tcW w:w="1165" w:type="dxa"/>
            <w:gridSpan w:val="2"/>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单   位</w:t>
            </w:r>
          </w:p>
        </w:tc>
        <w:tc>
          <w:tcPr>
            <w:tcW w:w="3555"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p>
        </w:tc>
        <w:tc>
          <w:tcPr>
            <w:tcW w:w="1650"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负责人</w:t>
            </w:r>
          </w:p>
        </w:tc>
        <w:tc>
          <w:tcPr>
            <w:tcW w:w="3327" w:type="dxa"/>
            <w:gridSpan w:val="5"/>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375" w:hRule="atLeast"/>
          <w:jc w:val="center"/>
        </w:trPr>
        <w:tc>
          <w:tcPr>
            <w:tcW w:w="1165" w:type="dxa"/>
            <w:gridSpan w:val="2"/>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地   址</w:t>
            </w:r>
          </w:p>
        </w:tc>
        <w:tc>
          <w:tcPr>
            <w:tcW w:w="3555"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p>
        </w:tc>
        <w:tc>
          <w:tcPr>
            <w:tcW w:w="1650"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联系电话</w:t>
            </w:r>
          </w:p>
        </w:tc>
        <w:tc>
          <w:tcPr>
            <w:tcW w:w="3327" w:type="dxa"/>
            <w:gridSpan w:val="5"/>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420" w:hRule="atLeast"/>
          <w:jc w:val="center"/>
        </w:trPr>
        <w:tc>
          <w:tcPr>
            <w:tcW w:w="1165" w:type="dxa"/>
            <w:gridSpan w:val="2"/>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填表人</w:t>
            </w:r>
          </w:p>
        </w:tc>
        <w:tc>
          <w:tcPr>
            <w:tcW w:w="3555"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p>
        </w:tc>
        <w:tc>
          <w:tcPr>
            <w:tcW w:w="1650"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联系电话</w:t>
            </w:r>
          </w:p>
        </w:tc>
        <w:tc>
          <w:tcPr>
            <w:tcW w:w="3327" w:type="dxa"/>
            <w:gridSpan w:val="5"/>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480" w:hRule="atLeast"/>
          <w:jc w:val="center"/>
        </w:trPr>
        <w:tc>
          <w:tcPr>
            <w:tcW w:w="1165" w:type="dxa"/>
            <w:gridSpan w:val="2"/>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r>
              <w:rPr>
                <w:rFonts w:hint="eastAsia" w:ascii="仿宋" w:hAnsi="仿宋" w:eastAsia="仿宋" w:cs="仿宋"/>
                <w:bCs/>
                <w:sz w:val="24"/>
              </w:rPr>
              <w:t>险种</w:t>
            </w:r>
          </w:p>
        </w:tc>
        <w:tc>
          <w:tcPr>
            <w:tcW w:w="3555"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Cs/>
                <w:sz w:val="24"/>
              </w:rPr>
            </w:pPr>
            <w:r>
              <w:rPr>
                <w:rFonts w:hint="eastAsia" w:ascii="仿宋" w:hAnsi="仿宋" w:eastAsia="仿宋" w:cs="仿宋"/>
                <w:bCs/>
                <w:sz w:val="24"/>
              </w:rPr>
              <w:t>湖州市老年人意外伤害统筹保险</w:t>
            </w:r>
          </w:p>
        </w:tc>
        <w:tc>
          <w:tcPr>
            <w:tcW w:w="1650"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被考核单位</w:t>
            </w:r>
          </w:p>
        </w:tc>
        <w:tc>
          <w:tcPr>
            <w:tcW w:w="3327" w:type="dxa"/>
            <w:gridSpan w:val="5"/>
            <w:tcBorders>
              <w:top w:val="single" w:color="auto" w:sz="4" w:space="0"/>
              <w:left w:val="nil"/>
              <w:bottom w:val="single" w:color="auto" w:sz="4" w:space="0"/>
              <w:right w:val="single" w:color="auto" w:sz="4" w:space="0"/>
            </w:tcBorders>
            <w:noWrap/>
            <w:vAlign w:val="center"/>
          </w:tcPr>
          <w:p>
            <w:pPr>
              <w:spacing w:line="440" w:lineRule="exact"/>
              <w:jc w:val="center"/>
              <w:rPr>
                <w:rFonts w:hint="eastAsia" w:ascii="仿宋" w:hAnsi="仿宋" w:eastAsia="仿宋" w:cs="仿宋"/>
                <w:bCs/>
                <w:sz w:val="24"/>
              </w:rPr>
            </w:pPr>
          </w:p>
        </w:tc>
      </w:tr>
      <w:tr>
        <w:tblPrEx>
          <w:tblCellMar>
            <w:top w:w="0" w:type="dxa"/>
            <w:left w:w="0" w:type="dxa"/>
            <w:bottom w:w="0" w:type="dxa"/>
            <w:right w:w="0" w:type="dxa"/>
          </w:tblCellMar>
        </w:tblPrEx>
        <w:trPr>
          <w:trHeight w:val="600" w:hRule="atLeast"/>
          <w:jc w:val="center"/>
        </w:trPr>
        <w:tc>
          <w:tcPr>
            <w:tcW w:w="9697" w:type="dxa"/>
            <w:gridSpan w:val="12"/>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考核内容</w:t>
            </w:r>
            <w:r>
              <w:rPr>
                <w:rFonts w:hint="eastAsia" w:ascii="仿宋" w:hAnsi="仿宋" w:eastAsia="仿宋" w:cs="仿宋"/>
                <w:bCs/>
                <w:sz w:val="24"/>
              </w:rPr>
              <w:t>（年度考评）</w:t>
            </w:r>
          </w:p>
        </w:tc>
      </w:tr>
      <w:tr>
        <w:tblPrEx>
          <w:tblCellMar>
            <w:top w:w="0" w:type="dxa"/>
            <w:left w:w="0" w:type="dxa"/>
            <w:bottom w:w="0" w:type="dxa"/>
            <w:right w:w="0" w:type="dxa"/>
          </w:tblCellMar>
        </w:tblPrEx>
        <w:trPr>
          <w:trHeight w:val="600" w:hRule="atLeast"/>
          <w:jc w:val="center"/>
        </w:trPr>
        <w:tc>
          <w:tcPr>
            <w:tcW w:w="940"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分类</w:t>
            </w:r>
          </w:p>
        </w:tc>
        <w:tc>
          <w:tcPr>
            <w:tcW w:w="123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考核内容</w:t>
            </w:r>
          </w:p>
        </w:tc>
        <w:tc>
          <w:tcPr>
            <w:tcW w:w="490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考核标准</w:t>
            </w:r>
          </w:p>
        </w:tc>
        <w:tc>
          <w:tcPr>
            <w:tcW w:w="108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考核得分</w:t>
            </w:r>
          </w:p>
        </w:tc>
        <w:tc>
          <w:tcPr>
            <w:tcW w:w="1542"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备份材料</w:t>
            </w:r>
          </w:p>
        </w:tc>
      </w:tr>
      <w:tr>
        <w:tblPrEx>
          <w:tblCellMar>
            <w:top w:w="0" w:type="dxa"/>
            <w:left w:w="0" w:type="dxa"/>
            <w:bottom w:w="0" w:type="dxa"/>
            <w:right w:w="0" w:type="dxa"/>
          </w:tblCellMar>
        </w:tblPrEx>
        <w:trPr>
          <w:trHeight w:val="1870" w:hRule="atLeast"/>
          <w:jc w:val="center"/>
        </w:trPr>
        <w:tc>
          <w:tcPr>
            <w:tcW w:w="940" w:type="dxa"/>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知晓度</w:t>
            </w:r>
          </w:p>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情况</w:t>
            </w:r>
          </w:p>
          <w:p>
            <w:pPr>
              <w:spacing w:line="440" w:lineRule="exact"/>
              <w:jc w:val="center"/>
              <w:rPr>
                <w:rFonts w:hint="eastAsia" w:ascii="仿宋" w:hAnsi="仿宋" w:eastAsia="仿宋" w:cs="仿宋"/>
                <w:sz w:val="24"/>
              </w:rPr>
            </w:pPr>
            <w:r>
              <w:rPr>
                <w:rFonts w:hint="eastAsia" w:ascii="仿宋" w:hAnsi="仿宋" w:eastAsia="仿宋" w:cs="仿宋"/>
                <w:sz w:val="24"/>
              </w:rPr>
              <w:t>（40分）</w:t>
            </w:r>
          </w:p>
        </w:tc>
        <w:tc>
          <w:tcPr>
            <w:tcW w:w="1230"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知晓度</w:t>
            </w:r>
          </w:p>
          <w:p>
            <w:pPr>
              <w:spacing w:line="440" w:lineRule="exact"/>
              <w:jc w:val="center"/>
              <w:rPr>
                <w:rFonts w:hint="eastAsia" w:ascii="仿宋" w:hAnsi="仿宋" w:eastAsia="仿宋" w:cs="仿宋"/>
                <w:sz w:val="24"/>
              </w:rPr>
            </w:pPr>
            <w:r>
              <w:rPr>
                <w:rFonts w:hint="eastAsia" w:ascii="仿宋" w:hAnsi="仿宋" w:eastAsia="仿宋" w:cs="仿宋"/>
                <w:sz w:val="24"/>
              </w:rPr>
              <w:t>（40分）</w:t>
            </w:r>
          </w:p>
        </w:tc>
        <w:tc>
          <w:tcPr>
            <w:tcW w:w="4905" w:type="dxa"/>
            <w:gridSpan w:val="4"/>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区域内老年人是否全部知晓老年人意外伤害保险，按照比例电话沟通回访，知晓度在90%（含）及以上的，得40分；知晓度在70%（含）-90%的，得20-39分；知晓度在50%（含）-70%的，得1-19分，知晓度在50%以下的，不得分。</w:t>
            </w:r>
          </w:p>
        </w:tc>
        <w:tc>
          <w:tcPr>
            <w:tcW w:w="1080" w:type="dxa"/>
            <w:gridSpan w:val="2"/>
            <w:tcBorders>
              <w:top w:val="nil"/>
              <w:left w:val="nil"/>
              <w:bottom w:val="nil"/>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p>
        </w:tc>
        <w:tc>
          <w:tcPr>
            <w:tcW w:w="1542" w:type="dxa"/>
            <w:gridSpan w:val="2"/>
            <w:tcBorders>
              <w:top w:val="nil"/>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随机电话回访汇报表</w:t>
            </w:r>
          </w:p>
        </w:tc>
      </w:tr>
      <w:tr>
        <w:tblPrEx>
          <w:tblCellMar>
            <w:top w:w="0" w:type="dxa"/>
            <w:left w:w="0" w:type="dxa"/>
            <w:bottom w:w="0" w:type="dxa"/>
            <w:right w:w="0" w:type="dxa"/>
          </w:tblCellMar>
        </w:tblPrEx>
        <w:trPr>
          <w:trHeight w:val="1897" w:hRule="atLeast"/>
          <w:jc w:val="center"/>
        </w:trPr>
        <w:tc>
          <w:tcPr>
            <w:tcW w:w="940" w:type="dxa"/>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理赔</w:t>
            </w:r>
          </w:p>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服务</w:t>
            </w:r>
          </w:p>
          <w:p>
            <w:pPr>
              <w:spacing w:line="440" w:lineRule="exact"/>
              <w:jc w:val="center"/>
              <w:rPr>
                <w:rFonts w:hint="eastAsia" w:ascii="仿宋" w:hAnsi="仿宋" w:eastAsia="仿宋" w:cs="仿宋"/>
                <w:b/>
                <w:sz w:val="24"/>
              </w:rPr>
            </w:pPr>
            <w:r>
              <w:rPr>
                <w:rFonts w:hint="eastAsia" w:ascii="仿宋" w:hAnsi="仿宋" w:eastAsia="仿宋" w:cs="仿宋"/>
                <w:sz w:val="24"/>
              </w:rPr>
              <w:t>（30分）</w:t>
            </w:r>
          </w:p>
        </w:tc>
        <w:tc>
          <w:tcPr>
            <w:tcW w:w="123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投诉情况（30分）</w:t>
            </w:r>
          </w:p>
        </w:tc>
        <w:tc>
          <w:tcPr>
            <w:tcW w:w="490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理赔投诉件数达到：</w:t>
            </w:r>
          </w:p>
          <w:p>
            <w:pPr>
              <w:spacing w:line="440" w:lineRule="exact"/>
              <w:rPr>
                <w:rFonts w:hint="eastAsia" w:ascii="仿宋" w:hAnsi="仿宋" w:eastAsia="仿宋" w:cs="仿宋"/>
                <w:sz w:val="24"/>
              </w:rPr>
            </w:pPr>
            <w:r>
              <w:rPr>
                <w:rFonts w:hint="eastAsia" w:ascii="仿宋" w:hAnsi="仿宋" w:eastAsia="仿宋" w:cs="仿宋"/>
                <w:sz w:val="24"/>
              </w:rPr>
              <w:t>0件，得30分，</w:t>
            </w:r>
          </w:p>
          <w:p>
            <w:pPr>
              <w:spacing w:line="440" w:lineRule="exact"/>
              <w:rPr>
                <w:rFonts w:hint="eastAsia" w:ascii="仿宋" w:hAnsi="仿宋" w:eastAsia="仿宋" w:cs="仿宋"/>
                <w:sz w:val="24"/>
              </w:rPr>
            </w:pPr>
            <w:r>
              <w:rPr>
                <w:rFonts w:hint="eastAsia" w:ascii="仿宋" w:hAnsi="仿宋" w:eastAsia="仿宋" w:cs="仿宋"/>
                <w:sz w:val="24"/>
              </w:rPr>
              <w:t>1-5（含）件，得20分，</w:t>
            </w:r>
          </w:p>
          <w:p>
            <w:pPr>
              <w:spacing w:line="440" w:lineRule="exact"/>
              <w:rPr>
                <w:rFonts w:hint="eastAsia" w:ascii="仿宋" w:hAnsi="仿宋" w:eastAsia="仿宋" w:cs="仿宋"/>
                <w:sz w:val="24"/>
              </w:rPr>
            </w:pPr>
            <w:r>
              <w:rPr>
                <w:rFonts w:hint="eastAsia" w:ascii="仿宋" w:hAnsi="仿宋" w:eastAsia="仿宋" w:cs="仿宋"/>
                <w:sz w:val="24"/>
              </w:rPr>
              <w:t>5-10（含）件，得10分，</w:t>
            </w:r>
          </w:p>
          <w:p>
            <w:pPr>
              <w:spacing w:line="440" w:lineRule="exact"/>
              <w:rPr>
                <w:rFonts w:hint="eastAsia" w:ascii="仿宋" w:hAnsi="仿宋" w:eastAsia="仿宋" w:cs="仿宋"/>
                <w:sz w:val="24"/>
              </w:rPr>
            </w:pPr>
            <w:r>
              <w:rPr>
                <w:rFonts w:hint="eastAsia" w:ascii="仿宋" w:hAnsi="仿宋" w:eastAsia="仿宋" w:cs="仿宋"/>
                <w:sz w:val="24"/>
              </w:rPr>
              <w:t>10件以上，不得分。</w:t>
            </w:r>
          </w:p>
        </w:tc>
        <w:tc>
          <w:tcPr>
            <w:tcW w:w="108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542"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区、街道（乡镇）、社区（村）理赔投诉汇总表</w:t>
            </w:r>
          </w:p>
        </w:tc>
      </w:tr>
      <w:tr>
        <w:tblPrEx>
          <w:tblCellMar>
            <w:top w:w="0" w:type="dxa"/>
            <w:left w:w="0" w:type="dxa"/>
            <w:bottom w:w="0" w:type="dxa"/>
            <w:right w:w="0" w:type="dxa"/>
          </w:tblCellMar>
        </w:tblPrEx>
        <w:trPr>
          <w:trHeight w:val="1323" w:hRule="atLeast"/>
          <w:jc w:val="center"/>
        </w:trPr>
        <w:tc>
          <w:tcPr>
            <w:tcW w:w="940" w:type="dxa"/>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lang w:eastAsia="zh-CN"/>
              </w:rPr>
            </w:pPr>
            <w:r>
              <w:rPr>
                <w:rFonts w:hint="eastAsia" w:ascii="仿宋" w:hAnsi="仿宋" w:eastAsia="仿宋" w:cs="仿宋"/>
                <w:b/>
                <w:sz w:val="24"/>
              </w:rPr>
              <w:t>工作配合度</w:t>
            </w:r>
          </w:p>
          <w:p>
            <w:pPr>
              <w:spacing w:line="440" w:lineRule="exact"/>
              <w:jc w:val="center"/>
              <w:rPr>
                <w:rFonts w:hint="eastAsia" w:ascii="仿宋" w:hAnsi="仿宋" w:eastAsia="仿宋" w:cs="仿宋"/>
                <w:sz w:val="24"/>
              </w:rPr>
            </w:pPr>
            <w:r>
              <w:rPr>
                <w:rFonts w:hint="eastAsia" w:ascii="仿宋" w:hAnsi="仿宋" w:eastAsia="仿宋" w:cs="仿宋"/>
                <w:sz w:val="24"/>
              </w:rPr>
              <w:t>（20分）</w:t>
            </w:r>
          </w:p>
        </w:tc>
        <w:tc>
          <w:tcPr>
            <w:tcW w:w="123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及时性</w:t>
            </w:r>
          </w:p>
          <w:p>
            <w:pPr>
              <w:spacing w:line="440" w:lineRule="exact"/>
              <w:jc w:val="center"/>
              <w:rPr>
                <w:rFonts w:hint="eastAsia" w:ascii="仿宋" w:hAnsi="仿宋" w:eastAsia="仿宋" w:cs="仿宋"/>
                <w:sz w:val="24"/>
              </w:rPr>
            </w:pPr>
            <w:r>
              <w:rPr>
                <w:rFonts w:hint="eastAsia" w:ascii="仿宋" w:hAnsi="仿宋" w:eastAsia="仿宋" w:cs="仿宋"/>
                <w:sz w:val="24"/>
              </w:rPr>
              <w:t>（20分）</w:t>
            </w:r>
          </w:p>
        </w:tc>
        <w:tc>
          <w:tcPr>
            <w:tcW w:w="490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日常工作积极配合，简单问题马上回复（最迟不得超过2小时），复杂问题1-2天内请示后回复，得20分；每违约1次，扣2分。</w:t>
            </w:r>
          </w:p>
        </w:tc>
        <w:tc>
          <w:tcPr>
            <w:tcW w:w="1085"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p>
        </w:tc>
        <w:tc>
          <w:tcPr>
            <w:tcW w:w="153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区民政自行</w:t>
            </w:r>
          </w:p>
          <w:p>
            <w:pPr>
              <w:spacing w:line="440" w:lineRule="exact"/>
              <w:jc w:val="center"/>
              <w:rPr>
                <w:rFonts w:hint="eastAsia" w:ascii="仿宋" w:hAnsi="仿宋" w:eastAsia="仿宋" w:cs="仿宋"/>
                <w:sz w:val="24"/>
              </w:rPr>
            </w:pPr>
            <w:r>
              <w:rPr>
                <w:rFonts w:hint="eastAsia" w:ascii="仿宋" w:hAnsi="仿宋" w:eastAsia="仿宋" w:cs="仿宋"/>
                <w:sz w:val="24"/>
              </w:rPr>
              <w:t>评分</w:t>
            </w:r>
          </w:p>
        </w:tc>
      </w:tr>
      <w:tr>
        <w:tblPrEx>
          <w:tblCellMar>
            <w:top w:w="0" w:type="dxa"/>
            <w:left w:w="0" w:type="dxa"/>
            <w:bottom w:w="0" w:type="dxa"/>
            <w:right w:w="0" w:type="dxa"/>
          </w:tblCellMar>
        </w:tblPrEx>
        <w:trPr>
          <w:trHeight w:val="1446" w:hRule="atLeast"/>
          <w:jc w:val="center"/>
        </w:trPr>
        <w:tc>
          <w:tcPr>
            <w:tcW w:w="940" w:type="dxa"/>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增值</w:t>
            </w:r>
          </w:p>
          <w:p>
            <w:pPr>
              <w:spacing w:line="440" w:lineRule="exact"/>
              <w:jc w:val="center"/>
              <w:rPr>
                <w:rFonts w:hint="eastAsia" w:ascii="仿宋" w:hAnsi="仿宋" w:eastAsia="仿宋" w:cs="仿宋"/>
                <w:b/>
                <w:sz w:val="24"/>
              </w:rPr>
            </w:pPr>
            <w:r>
              <w:rPr>
                <w:rFonts w:hint="eastAsia" w:ascii="仿宋" w:hAnsi="仿宋" w:eastAsia="仿宋" w:cs="仿宋"/>
                <w:b/>
                <w:sz w:val="24"/>
              </w:rPr>
              <w:t>服务</w:t>
            </w:r>
          </w:p>
          <w:p>
            <w:pPr>
              <w:spacing w:line="440" w:lineRule="exact"/>
              <w:jc w:val="center"/>
              <w:rPr>
                <w:rFonts w:hint="eastAsia" w:ascii="仿宋" w:hAnsi="仿宋" w:eastAsia="仿宋" w:cs="仿宋"/>
                <w:sz w:val="24"/>
              </w:rPr>
            </w:pPr>
            <w:r>
              <w:rPr>
                <w:rFonts w:hint="eastAsia" w:ascii="仿宋" w:hAnsi="仿宋" w:eastAsia="仿宋" w:cs="仿宋"/>
                <w:bCs/>
                <w:sz w:val="24"/>
              </w:rPr>
              <w:t>（10分）</w:t>
            </w:r>
          </w:p>
        </w:tc>
        <w:tc>
          <w:tcPr>
            <w:tcW w:w="1230"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保险公司承诺的增值服务</w:t>
            </w:r>
          </w:p>
        </w:tc>
        <w:tc>
          <w:tcPr>
            <w:tcW w:w="4905"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
                <w:sz w:val="24"/>
              </w:rPr>
            </w:pPr>
            <w:r>
              <w:rPr>
                <w:rFonts w:hint="eastAsia" w:ascii="仿宋" w:hAnsi="仿宋" w:eastAsia="仿宋" w:cs="仿宋"/>
                <w:sz w:val="24"/>
              </w:rPr>
              <w:t>评估保险公司承保老年人意外险增值服务能力，主要评价保险公司承保、理赔服务以外的有效的增值服务项目，包括培训宣传服务等。</w:t>
            </w:r>
          </w:p>
        </w:tc>
        <w:tc>
          <w:tcPr>
            <w:tcW w:w="1085"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153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保险公司投标时增值服务承诺</w:t>
            </w:r>
          </w:p>
        </w:tc>
      </w:tr>
      <w:tr>
        <w:tblPrEx>
          <w:tblCellMar>
            <w:top w:w="0" w:type="dxa"/>
            <w:left w:w="0" w:type="dxa"/>
            <w:bottom w:w="0" w:type="dxa"/>
            <w:right w:w="0" w:type="dxa"/>
          </w:tblCellMar>
        </w:tblPrEx>
        <w:trPr>
          <w:trHeight w:val="1280" w:hRule="atLeast"/>
          <w:jc w:val="center"/>
        </w:trPr>
        <w:tc>
          <w:tcPr>
            <w:tcW w:w="7075"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b/>
                <w:sz w:val="24"/>
              </w:rPr>
            </w:pPr>
            <w:r>
              <w:rPr>
                <w:rFonts w:hint="eastAsia" w:ascii="仿宋" w:hAnsi="仿宋" w:eastAsia="仿宋" w:cs="仿宋"/>
                <w:b/>
                <w:sz w:val="24"/>
              </w:rPr>
              <w:t>保险人合计得分</w:t>
            </w:r>
          </w:p>
        </w:tc>
        <w:tc>
          <w:tcPr>
            <w:tcW w:w="2622"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r>
      <w:tr>
        <w:tblPrEx>
          <w:tblCellMar>
            <w:top w:w="0" w:type="dxa"/>
            <w:left w:w="0" w:type="dxa"/>
            <w:bottom w:w="0" w:type="dxa"/>
            <w:right w:w="0" w:type="dxa"/>
          </w:tblCellMar>
        </w:tblPrEx>
        <w:trPr>
          <w:trHeight w:val="918" w:hRule="atLeast"/>
          <w:jc w:val="center"/>
        </w:trPr>
        <w:tc>
          <w:tcPr>
            <w:tcW w:w="1238" w:type="dxa"/>
            <w:gridSpan w:val="3"/>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区级</w:t>
            </w:r>
          </w:p>
          <w:p>
            <w:pPr>
              <w:spacing w:line="440" w:lineRule="exact"/>
              <w:jc w:val="center"/>
              <w:rPr>
                <w:rFonts w:hint="eastAsia" w:ascii="仿宋" w:hAnsi="仿宋" w:eastAsia="仿宋" w:cs="仿宋"/>
                <w:sz w:val="24"/>
              </w:rPr>
            </w:pPr>
            <w:r>
              <w:rPr>
                <w:rFonts w:hint="eastAsia" w:ascii="仿宋" w:hAnsi="仿宋" w:eastAsia="仿宋" w:cs="仿宋"/>
                <w:sz w:val="24"/>
              </w:rPr>
              <w:t>民政</w:t>
            </w:r>
          </w:p>
          <w:p>
            <w:pPr>
              <w:spacing w:line="440" w:lineRule="exact"/>
              <w:jc w:val="center"/>
              <w:rPr>
                <w:rFonts w:hint="eastAsia" w:ascii="仿宋" w:hAnsi="仿宋" w:eastAsia="仿宋" w:cs="仿宋"/>
                <w:sz w:val="24"/>
              </w:rPr>
            </w:pPr>
            <w:r>
              <w:rPr>
                <w:rFonts w:hint="eastAsia" w:ascii="仿宋" w:hAnsi="仿宋" w:eastAsia="仿宋" w:cs="仿宋"/>
                <w:sz w:val="24"/>
              </w:rPr>
              <w:t>部门</w:t>
            </w:r>
          </w:p>
          <w:p>
            <w:pPr>
              <w:spacing w:line="440" w:lineRule="exact"/>
              <w:jc w:val="center"/>
              <w:rPr>
                <w:rFonts w:hint="eastAsia" w:ascii="仿宋" w:hAnsi="仿宋" w:eastAsia="仿宋" w:cs="仿宋"/>
                <w:sz w:val="24"/>
              </w:rPr>
            </w:pPr>
            <w:r>
              <w:rPr>
                <w:rFonts w:hint="eastAsia" w:ascii="仿宋" w:hAnsi="仿宋" w:eastAsia="仿宋" w:cs="仿宋"/>
                <w:sz w:val="24"/>
              </w:rPr>
              <w:t>意见</w:t>
            </w:r>
          </w:p>
        </w:tc>
        <w:tc>
          <w:tcPr>
            <w:tcW w:w="8459" w:type="dxa"/>
            <w:gridSpan w:val="9"/>
            <w:tcBorders>
              <w:top w:val="single" w:color="auto" w:sz="4" w:space="0"/>
              <w:left w:val="single" w:color="auto" w:sz="4" w:space="0"/>
              <w:bottom w:val="single" w:color="auto" w:sz="4" w:space="0"/>
              <w:right w:val="single" w:color="auto" w:sz="4" w:space="0"/>
            </w:tcBorders>
            <w:noWrap/>
            <w:vAlign w:val="top"/>
          </w:tcPr>
          <w:p>
            <w:pPr>
              <w:spacing w:line="440" w:lineRule="exact"/>
              <w:ind w:left="105" w:leftChars="50"/>
              <w:rPr>
                <w:rFonts w:hint="eastAsia" w:ascii="仿宋" w:hAnsi="仿宋" w:eastAsia="仿宋" w:cs="仿宋"/>
                <w:sz w:val="24"/>
              </w:rPr>
            </w:pPr>
            <w:r>
              <w:rPr>
                <w:rFonts w:hint="eastAsia" w:ascii="仿宋" w:hAnsi="仿宋" w:eastAsia="仿宋" w:cs="仿宋"/>
                <w:sz w:val="24"/>
              </w:rPr>
              <w:t>对上述被考核单位的其他建议或意见，请列明:</w:t>
            </w:r>
          </w:p>
          <w:p>
            <w:pPr>
              <w:spacing w:line="440" w:lineRule="exact"/>
              <w:rPr>
                <w:rFonts w:hint="eastAsia" w:ascii="仿宋" w:hAnsi="仿宋" w:eastAsia="仿宋" w:cs="仿宋"/>
                <w:sz w:val="24"/>
              </w:rPr>
            </w:pPr>
          </w:p>
        </w:tc>
      </w:tr>
      <w:tr>
        <w:tblPrEx>
          <w:tblCellMar>
            <w:top w:w="0" w:type="dxa"/>
            <w:left w:w="0" w:type="dxa"/>
            <w:bottom w:w="0" w:type="dxa"/>
            <w:right w:w="0" w:type="dxa"/>
          </w:tblCellMar>
        </w:tblPrEx>
        <w:trPr>
          <w:trHeight w:val="408" w:hRule="atLeast"/>
          <w:jc w:val="center"/>
        </w:trPr>
        <w:tc>
          <w:tcPr>
            <w:tcW w:w="1238" w:type="dxa"/>
            <w:gridSpan w:val="3"/>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ind w:left="105" w:leftChars="50"/>
              <w:jc w:val="center"/>
              <w:rPr>
                <w:rFonts w:hint="eastAsia" w:ascii="仿宋" w:hAnsi="仿宋" w:eastAsia="仿宋" w:cs="仿宋"/>
                <w:sz w:val="24"/>
              </w:rPr>
            </w:pPr>
          </w:p>
        </w:tc>
        <w:tc>
          <w:tcPr>
            <w:tcW w:w="8459" w:type="dxa"/>
            <w:gridSpan w:val="9"/>
            <w:tcBorders>
              <w:top w:val="single" w:color="auto" w:sz="4" w:space="0"/>
              <w:left w:val="single" w:color="auto" w:sz="4" w:space="0"/>
              <w:bottom w:val="single" w:color="auto" w:sz="4" w:space="0"/>
              <w:right w:val="single" w:color="auto" w:sz="4" w:space="0"/>
            </w:tcBorders>
            <w:noWrap/>
            <w:vAlign w:val="center"/>
          </w:tcPr>
          <w:p>
            <w:pPr>
              <w:spacing w:line="440" w:lineRule="exact"/>
              <w:ind w:left="105" w:leftChars="50"/>
              <w:rPr>
                <w:rFonts w:hint="eastAsia" w:ascii="仿宋" w:hAnsi="仿宋" w:eastAsia="仿宋" w:cs="仿宋"/>
                <w:sz w:val="24"/>
              </w:rPr>
            </w:pPr>
            <w:r>
              <w:rPr>
                <w:rFonts w:hint="eastAsia" w:ascii="仿宋" w:hAnsi="仿宋" w:eastAsia="仿宋" w:cs="仿宋"/>
                <w:sz w:val="24"/>
              </w:rPr>
              <w:t>考 核 人：考评时间：</w:t>
            </w:r>
          </w:p>
        </w:tc>
      </w:tr>
      <w:tr>
        <w:tblPrEx>
          <w:tblCellMar>
            <w:top w:w="0" w:type="dxa"/>
            <w:left w:w="0" w:type="dxa"/>
            <w:bottom w:w="0" w:type="dxa"/>
            <w:right w:w="0" w:type="dxa"/>
          </w:tblCellMar>
        </w:tblPrEx>
        <w:trPr>
          <w:trHeight w:val="1546" w:hRule="atLeast"/>
          <w:jc w:val="center"/>
        </w:trPr>
        <w:tc>
          <w:tcPr>
            <w:tcW w:w="1238"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评分标准</w:t>
            </w:r>
          </w:p>
        </w:tc>
        <w:tc>
          <w:tcPr>
            <w:tcW w:w="8459" w:type="dxa"/>
            <w:gridSpan w:val="9"/>
            <w:tcBorders>
              <w:top w:val="single" w:color="auto" w:sz="4" w:space="0"/>
              <w:left w:val="single" w:color="auto" w:sz="4" w:space="0"/>
              <w:bottom w:val="single" w:color="auto" w:sz="4" w:space="0"/>
              <w:right w:val="single" w:color="auto" w:sz="4" w:space="0"/>
            </w:tcBorders>
            <w:noWrap/>
            <w:vAlign w:val="top"/>
          </w:tcPr>
          <w:tbl>
            <w:tblPr>
              <w:tblStyle w:val="18"/>
              <w:tblpPr w:leftFromText="180" w:rightFromText="180" w:vertAnchor="text" w:horzAnchor="page" w:tblpX="-1479" w:tblpY="-1298"/>
              <w:tblOverlap w:val="never"/>
              <w:tblW w:w="0" w:type="auto"/>
              <w:tblInd w:w="0" w:type="dxa"/>
              <w:tblLayout w:type="fixed"/>
              <w:tblCellMar>
                <w:top w:w="0" w:type="dxa"/>
                <w:left w:w="108" w:type="dxa"/>
                <w:bottom w:w="0" w:type="dxa"/>
                <w:right w:w="108" w:type="dxa"/>
              </w:tblCellMar>
            </w:tblPr>
            <w:tblGrid>
              <w:gridCol w:w="3496"/>
              <w:gridCol w:w="2023"/>
            </w:tblGrid>
            <w:tr>
              <w:tblPrEx>
                <w:tblCellMar>
                  <w:top w:w="0" w:type="dxa"/>
                  <w:left w:w="108" w:type="dxa"/>
                  <w:bottom w:w="0" w:type="dxa"/>
                  <w:right w:w="108" w:type="dxa"/>
                </w:tblCellMar>
              </w:tblPrEx>
              <w:trPr>
                <w:trHeight w:val="511"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总分值100分。</w:t>
                  </w:r>
                </w:p>
              </w:tc>
              <w:tc>
                <w:tcPr>
                  <w:tcW w:w="2023" w:type="dxa"/>
                  <w:noWrap w:val="0"/>
                  <w:vAlign w:val="top"/>
                </w:tcPr>
                <w:p>
                  <w:pPr>
                    <w:spacing w:line="440" w:lineRule="exact"/>
                    <w:rPr>
                      <w:rFonts w:hint="eastAsia" w:ascii="仿宋" w:hAnsi="仿宋" w:eastAsia="仿宋" w:cs="仿宋"/>
                      <w:sz w:val="24"/>
                    </w:rPr>
                  </w:pPr>
                </w:p>
              </w:tc>
            </w:tr>
            <w:tr>
              <w:tblPrEx>
                <w:tblCellMar>
                  <w:top w:w="0" w:type="dxa"/>
                  <w:left w:w="108" w:type="dxa"/>
                  <w:bottom w:w="0" w:type="dxa"/>
                  <w:right w:w="108" w:type="dxa"/>
                </w:tblCellMar>
              </w:tblPrEx>
              <w:trPr>
                <w:trHeight w:val="511"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总得分85分（含）以上：</w:t>
                  </w:r>
                </w:p>
              </w:tc>
              <w:tc>
                <w:tcPr>
                  <w:tcW w:w="2023"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A级</w:t>
                  </w:r>
                </w:p>
              </w:tc>
            </w:tr>
            <w:tr>
              <w:tblPrEx>
                <w:tblCellMar>
                  <w:top w:w="0" w:type="dxa"/>
                  <w:left w:w="108" w:type="dxa"/>
                  <w:bottom w:w="0" w:type="dxa"/>
                  <w:right w:w="108" w:type="dxa"/>
                </w:tblCellMar>
              </w:tblPrEx>
              <w:trPr>
                <w:trHeight w:val="511"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总得分60分（含）-85分：</w:t>
                  </w:r>
                </w:p>
              </w:tc>
              <w:tc>
                <w:tcPr>
                  <w:tcW w:w="2023"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B级</w:t>
                  </w:r>
                </w:p>
              </w:tc>
            </w:tr>
            <w:tr>
              <w:tblPrEx>
                <w:tblCellMar>
                  <w:top w:w="0" w:type="dxa"/>
                  <w:left w:w="108" w:type="dxa"/>
                  <w:bottom w:w="0" w:type="dxa"/>
                  <w:right w:w="108" w:type="dxa"/>
                </w:tblCellMar>
              </w:tblPrEx>
              <w:trPr>
                <w:trHeight w:val="522" w:hRule="atLeast"/>
              </w:trPr>
              <w:tc>
                <w:tcPr>
                  <w:tcW w:w="3496"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总得分60分以下：</w:t>
                  </w:r>
                </w:p>
              </w:tc>
              <w:tc>
                <w:tcPr>
                  <w:tcW w:w="2023" w:type="dxa"/>
                  <w:noWrap w:val="0"/>
                  <w:vAlign w:val="top"/>
                </w:tcPr>
                <w:p>
                  <w:pPr>
                    <w:spacing w:line="440" w:lineRule="exact"/>
                    <w:rPr>
                      <w:rFonts w:hint="eastAsia" w:ascii="仿宋" w:hAnsi="仿宋" w:eastAsia="仿宋" w:cs="仿宋"/>
                      <w:sz w:val="24"/>
                    </w:rPr>
                  </w:pPr>
                  <w:r>
                    <w:rPr>
                      <w:rFonts w:hint="eastAsia" w:ascii="仿宋" w:hAnsi="仿宋" w:eastAsia="仿宋" w:cs="仿宋"/>
                      <w:sz w:val="24"/>
                    </w:rPr>
                    <w:t>C级</w:t>
                  </w:r>
                </w:p>
              </w:tc>
            </w:tr>
          </w:tbl>
          <w:p>
            <w:pPr>
              <w:spacing w:line="440" w:lineRule="exact"/>
              <w:ind w:left="105" w:leftChars="50"/>
              <w:rPr>
                <w:rFonts w:hint="eastAsia" w:ascii="仿宋" w:hAnsi="仿宋" w:eastAsia="仿宋" w:cs="仿宋"/>
                <w:sz w:val="24"/>
              </w:rPr>
            </w:pPr>
          </w:p>
        </w:tc>
      </w:tr>
      <w:tr>
        <w:tblPrEx>
          <w:tblCellMar>
            <w:top w:w="0" w:type="dxa"/>
            <w:left w:w="0" w:type="dxa"/>
            <w:bottom w:w="0" w:type="dxa"/>
            <w:right w:w="0" w:type="dxa"/>
          </w:tblCellMar>
        </w:tblPrEx>
        <w:trPr>
          <w:trHeight w:val="491" w:hRule="atLeast"/>
          <w:jc w:val="center"/>
        </w:trPr>
        <w:tc>
          <w:tcPr>
            <w:tcW w:w="1238" w:type="dxa"/>
            <w:gridSpan w:val="3"/>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评分</w:t>
            </w:r>
          </w:p>
        </w:tc>
        <w:tc>
          <w:tcPr>
            <w:tcW w:w="5112" w:type="dxa"/>
            <w:gridSpan w:val="3"/>
            <w:vMerge w:val="restart"/>
            <w:tcBorders>
              <w:top w:val="single" w:color="auto" w:sz="4" w:space="0"/>
              <w:left w:val="single" w:color="auto" w:sz="4" w:space="0"/>
              <w:right w:val="single" w:color="auto" w:sz="4" w:space="0"/>
            </w:tcBorders>
            <w:noWrap/>
            <w:vAlign w:val="top"/>
          </w:tcPr>
          <w:p>
            <w:pPr>
              <w:spacing w:line="440" w:lineRule="exact"/>
              <w:ind w:left="105" w:leftChars="50"/>
              <w:rPr>
                <w:rFonts w:hint="eastAsia" w:ascii="仿宋" w:hAnsi="仿宋" w:eastAsia="仿宋" w:cs="仿宋"/>
                <w:sz w:val="24"/>
              </w:rPr>
            </w:pPr>
            <w:r>
              <w:rPr>
                <w:rFonts w:hint="eastAsia" w:ascii="仿宋" w:hAnsi="仿宋" w:eastAsia="仿宋" w:cs="仿宋"/>
                <w:sz w:val="24"/>
              </w:rPr>
              <w:t>A级的为工作绩效优秀的承保保险公司；</w:t>
            </w:r>
          </w:p>
          <w:p>
            <w:pPr>
              <w:spacing w:line="440" w:lineRule="exact"/>
              <w:ind w:left="105" w:leftChars="50"/>
              <w:rPr>
                <w:rFonts w:hint="eastAsia" w:ascii="仿宋" w:hAnsi="仿宋" w:eastAsia="仿宋" w:cs="仿宋"/>
                <w:sz w:val="24"/>
              </w:rPr>
            </w:pPr>
            <w:r>
              <w:rPr>
                <w:rFonts w:hint="eastAsia" w:ascii="仿宋" w:hAnsi="仿宋" w:eastAsia="仿宋" w:cs="仿宋"/>
                <w:sz w:val="24"/>
              </w:rPr>
              <w:t>B级的为工作绩效合格的承保保险公司；</w:t>
            </w:r>
          </w:p>
          <w:p>
            <w:pPr>
              <w:spacing w:line="440" w:lineRule="exact"/>
              <w:ind w:left="105" w:leftChars="50"/>
              <w:rPr>
                <w:rFonts w:hint="eastAsia" w:ascii="仿宋" w:hAnsi="仿宋" w:eastAsia="仿宋" w:cs="仿宋"/>
                <w:sz w:val="24"/>
              </w:rPr>
            </w:pPr>
            <w:r>
              <w:rPr>
                <w:rFonts w:hint="eastAsia" w:ascii="仿宋" w:hAnsi="仿宋" w:eastAsia="仿宋" w:cs="仿宋"/>
                <w:sz w:val="24"/>
              </w:rPr>
              <w:t>C级的为工作绩效不合格的承保保险公司。</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总分值</w:t>
            </w:r>
          </w:p>
        </w:tc>
        <w:tc>
          <w:tcPr>
            <w:tcW w:w="103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100分</w:t>
            </w:r>
          </w:p>
        </w:tc>
        <w:tc>
          <w:tcPr>
            <w:tcW w:w="105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评定</w:t>
            </w:r>
          </w:p>
        </w:tc>
      </w:tr>
      <w:tr>
        <w:tblPrEx>
          <w:tblCellMar>
            <w:top w:w="0" w:type="dxa"/>
            <w:left w:w="0" w:type="dxa"/>
            <w:bottom w:w="0" w:type="dxa"/>
            <w:right w:w="0" w:type="dxa"/>
          </w:tblCellMar>
        </w:tblPrEx>
        <w:trPr>
          <w:trHeight w:val="410" w:hRule="atLeast"/>
          <w:jc w:val="center"/>
        </w:trPr>
        <w:tc>
          <w:tcPr>
            <w:tcW w:w="1238" w:type="dxa"/>
            <w:gridSpan w:val="3"/>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jc w:val="center"/>
              <w:rPr>
                <w:rFonts w:hint="eastAsia" w:ascii="仿宋" w:hAnsi="仿宋" w:eastAsia="仿宋" w:cs="仿宋"/>
                <w:sz w:val="24"/>
              </w:rPr>
            </w:pPr>
          </w:p>
        </w:tc>
        <w:tc>
          <w:tcPr>
            <w:tcW w:w="5112" w:type="dxa"/>
            <w:gridSpan w:val="3"/>
            <w:vMerge w:val="continue"/>
            <w:tcBorders>
              <w:left w:val="single" w:color="auto" w:sz="4" w:space="0"/>
              <w:bottom w:val="single" w:color="auto" w:sz="4" w:space="0"/>
              <w:right w:val="single" w:color="auto" w:sz="4" w:space="0"/>
            </w:tcBorders>
            <w:noWrap/>
            <w:vAlign w:val="top"/>
          </w:tcPr>
          <w:p>
            <w:pPr>
              <w:spacing w:line="440" w:lineRule="exact"/>
              <w:jc w:val="center"/>
              <w:rPr>
                <w:rFonts w:hint="eastAsia" w:ascii="仿宋" w:hAnsi="仿宋" w:eastAsia="仿宋" w:cs="仿宋"/>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实际得分</w:t>
            </w:r>
          </w:p>
        </w:tc>
        <w:tc>
          <w:tcPr>
            <w:tcW w:w="103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p>
        </w:tc>
        <w:tc>
          <w:tcPr>
            <w:tcW w:w="105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p>
        </w:tc>
      </w:tr>
      <w:tr>
        <w:tblPrEx>
          <w:tblCellMar>
            <w:top w:w="0" w:type="dxa"/>
            <w:left w:w="0" w:type="dxa"/>
            <w:bottom w:w="0" w:type="dxa"/>
            <w:right w:w="0" w:type="dxa"/>
          </w:tblCellMar>
        </w:tblPrEx>
        <w:trPr>
          <w:trHeight w:val="1806" w:hRule="atLeast"/>
          <w:jc w:val="center"/>
        </w:trPr>
        <w:tc>
          <w:tcPr>
            <w:tcW w:w="9697" w:type="dxa"/>
            <w:gridSpan w:val="1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40" w:lineRule="exact"/>
              <w:rPr>
                <w:rFonts w:hint="eastAsia" w:ascii="仿宋" w:hAnsi="仿宋" w:eastAsia="仿宋" w:cs="仿宋"/>
                <w:sz w:val="24"/>
              </w:rPr>
            </w:pPr>
            <w:r>
              <w:rPr>
                <w:rFonts w:hint="eastAsia" w:ascii="仿宋" w:hAnsi="仿宋" w:eastAsia="仿宋" w:cs="仿宋"/>
                <w:sz w:val="24"/>
              </w:rPr>
              <w:t>填表说明：</w:t>
            </w:r>
          </w:p>
          <w:p>
            <w:pPr>
              <w:spacing w:line="440" w:lineRule="exact"/>
              <w:ind w:left="105" w:leftChars="50"/>
              <w:rPr>
                <w:rFonts w:hint="eastAsia" w:ascii="仿宋" w:hAnsi="仿宋" w:eastAsia="仿宋" w:cs="仿宋"/>
                <w:sz w:val="24"/>
              </w:rPr>
            </w:pPr>
            <w:r>
              <w:rPr>
                <w:rFonts w:hint="eastAsia" w:ascii="仿宋" w:hAnsi="仿宋" w:eastAsia="仿宋" w:cs="仿宋"/>
                <w:sz w:val="24"/>
              </w:rPr>
              <w:t>1.结案率=考评期内结案数/（考评期内立案数+上年度未结案数）</w:t>
            </w:r>
          </w:p>
          <w:p>
            <w:pPr>
              <w:spacing w:line="440" w:lineRule="exact"/>
              <w:ind w:left="105" w:leftChars="50"/>
              <w:rPr>
                <w:rFonts w:hint="eastAsia" w:ascii="仿宋" w:hAnsi="仿宋" w:eastAsia="仿宋" w:cs="仿宋"/>
                <w:sz w:val="24"/>
              </w:rPr>
            </w:pPr>
            <w:r>
              <w:rPr>
                <w:rFonts w:hint="eastAsia" w:ascii="仿宋" w:hAnsi="仿宋" w:eastAsia="仿宋" w:cs="仿宋"/>
                <w:sz w:val="24"/>
              </w:rPr>
              <w:t>2.理赔满意度=投保人满意度+抽样调查满意度</w:t>
            </w:r>
          </w:p>
          <w:p>
            <w:pPr>
              <w:spacing w:line="440" w:lineRule="exact"/>
              <w:ind w:left="105" w:leftChars="50"/>
              <w:rPr>
                <w:rFonts w:hint="eastAsia" w:ascii="仿宋" w:hAnsi="仿宋" w:eastAsia="仿宋" w:cs="仿宋"/>
                <w:sz w:val="24"/>
              </w:rPr>
            </w:pPr>
            <w:r>
              <w:rPr>
                <w:rFonts w:hint="eastAsia" w:ascii="仿宋" w:hAnsi="仿宋" w:eastAsia="仿宋" w:cs="仿宋"/>
                <w:sz w:val="24"/>
              </w:rPr>
              <w:t>3.表现不合格供应商惩罚机制包括但不限于罚款、剔除供应商范围等</w:t>
            </w:r>
          </w:p>
          <w:p>
            <w:pPr>
              <w:spacing w:line="440" w:lineRule="exact"/>
              <w:ind w:left="105" w:leftChars="50"/>
              <w:rPr>
                <w:rFonts w:hint="eastAsia" w:ascii="仿宋" w:hAnsi="仿宋" w:eastAsia="仿宋" w:cs="仿宋"/>
                <w:sz w:val="24"/>
              </w:rPr>
            </w:pPr>
            <w:r>
              <w:rPr>
                <w:rFonts w:hint="eastAsia" w:ascii="仿宋" w:hAnsi="仿宋" w:eastAsia="仿宋" w:cs="仿宋"/>
                <w:sz w:val="24"/>
              </w:rPr>
              <w:t>4.本次由保险经纪人与区民政局对承保公司进行考核：经纪人考核占比为60%（季度考核占30%，年度考核占30%），区民政局考核占比为40%。</w:t>
            </w:r>
          </w:p>
        </w:tc>
      </w:tr>
    </w:tbl>
    <w:p>
      <w:pPr>
        <w:spacing w:line="560" w:lineRule="exact"/>
        <w:ind w:right="420" w:rightChars="200"/>
        <w:rPr>
          <w:rFonts w:hint="eastAsia" w:ascii="仿宋" w:hAnsi="仿宋" w:eastAsia="仿宋" w:cs="仿宋"/>
          <w:b/>
          <w:color w:val="000000"/>
          <w:sz w:val="36"/>
          <w:szCs w:val="36"/>
        </w:rPr>
      </w:pPr>
      <w:r>
        <w:rPr>
          <w:rFonts w:hint="eastAsia" w:ascii="仿宋" w:hAnsi="仿宋" w:eastAsia="仿宋" w:cs="仿宋"/>
          <w:sz w:val="24"/>
        </w:rPr>
        <w:t>填表时间：</w:t>
      </w:r>
    </w:p>
    <w:p>
      <w:pPr>
        <w:spacing w:line="440" w:lineRule="exact"/>
        <w:ind w:firstLine="480" w:firstLineChars="200"/>
        <w:rPr>
          <w:rFonts w:hint="eastAsia" w:ascii="仿宋" w:hAnsi="仿宋" w:eastAsia="仿宋" w:cs="仿宋"/>
          <w:bCs/>
          <w:color w:val="auto"/>
          <w:sz w:val="24"/>
          <w:highlight w:val="none"/>
        </w:rPr>
      </w:pPr>
    </w:p>
    <w:p>
      <w:pPr>
        <w:pStyle w:val="24"/>
        <w:pageBreakBefore/>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第六章 投标格式</w:t>
      </w:r>
    </w:p>
    <w:p>
      <w:pPr>
        <w:pStyle w:val="24"/>
        <w:rPr>
          <w:rFonts w:hint="eastAsia" w:ascii="仿宋" w:hAnsi="仿宋" w:eastAsia="仿宋" w:cs="仿宋"/>
          <w:color w:val="auto"/>
          <w:sz w:val="28"/>
          <w:szCs w:val="28"/>
        </w:rPr>
      </w:pPr>
    </w:p>
    <w:p>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1、资格文件目录（具体参考第三章投标人须知“投标文件的组成”）</w:t>
      </w:r>
    </w:p>
    <w:p>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w:t>
      </w:r>
    </w:p>
    <w:p>
      <w:pPr>
        <w:snapToGrid w:val="0"/>
        <w:spacing w:before="50" w:after="50" w:line="360" w:lineRule="auto"/>
        <w:rPr>
          <w:rFonts w:hint="eastAsia" w:ascii="仿宋" w:hAnsi="仿宋" w:eastAsia="仿宋" w:cs="仿宋"/>
          <w:sz w:val="24"/>
          <w:szCs w:val="28"/>
        </w:rPr>
      </w:pPr>
    </w:p>
    <w:p>
      <w:pPr>
        <w:snapToGrid w:val="0"/>
        <w:spacing w:before="50" w:after="50" w:line="360" w:lineRule="auto"/>
        <w:rPr>
          <w:rFonts w:hint="eastAsia" w:ascii="仿宋" w:hAnsi="仿宋" w:eastAsia="仿宋" w:cs="仿宋"/>
          <w:szCs w:val="28"/>
        </w:rPr>
      </w:pPr>
    </w:p>
    <w:p>
      <w:pPr>
        <w:snapToGrid w:val="0"/>
        <w:spacing w:before="50" w:after="50" w:line="360" w:lineRule="auto"/>
        <w:rPr>
          <w:rFonts w:hint="eastAsia" w:ascii="仿宋" w:hAnsi="仿宋" w:eastAsia="仿宋" w:cs="仿宋"/>
          <w:sz w:val="24"/>
          <w:szCs w:val="28"/>
        </w:rPr>
      </w:pPr>
      <w:r>
        <w:rPr>
          <w:rFonts w:hint="eastAsia" w:ascii="仿宋" w:hAnsi="仿宋" w:eastAsia="仿宋" w:cs="仿宋"/>
          <w:szCs w:val="28"/>
        </w:rPr>
        <w:t>2、</w:t>
      </w:r>
      <w:r>
        <w:rPr>
          <w:rFonts w:hint="eastAsia" w:ascii="仿宋" w:hAnsi="仿宋" w:eastAsia="仿宋" w:cs="仿宋"/>
          <w:sz w:val="24"/>
          <w:szCs w:val="28"/>
        </w:rPr>
        <w:t>技术、商务、资信及其他文件目录（具体参考第三章投标人须知“投标文件的组成”）</w:t>
      </w:r>
    </w:p>
    <w:p>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w:t>
      </w:r>
    </w:p>
    <w:p>
      <w:pPr>
        <w:snapToGrid w:val="0"/>
        <w:spacing w:before="50" w:after="50" w:line="360" w:lineRule="auto"/>
        <w:rPr>
          <w:rFonts w:hint="eastAsia" w:ascii="仿宋" w:hAnsi="仿宋" w:eastAsia="仿宋" w:cs="仿宋"/>
          <w:szCs w:val="28"/>
        </w:rPr>
      </w:pPr>
    </w:p>
    <w:p>
      <w:pPr>
        <w:snapToGrid w:val="0"/>
        <w:spacing w:before="50" w:after="50" w:line="360" w:lineRule="auto"/>
        <w:rPr>
          <w:rFonts w:hint="eastAsia" w:ascii="仿宋" w:hAnsi="仿宋" w:eastAsia="仿宋" w:cs="仿宋"/>
          <w:szCs w:val="28"/>
        </w:rPr>
      </w:pPr>
    </w:p>
    <w:p>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3、报价文件目录（具体参考第三章投标人须知“投标文件的组成”）</w:t>
      </w:r>
    </w:p>
    <w:p>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w:t>
      </w:r>
    </w:p>
    <w:p>
      <w:pPr>
        <w:snapToGrid w:val="0"/>
        <w:spacing w:before="50" w:afterLines="50" w:line="360" w:lineRule="auto"/>
        <w:jc w:val="left"/>
        <w:rPr>
          <w:rFonts w:hint="eastAsia" w:ascii="仿宋" w:hAnsi="仿宋" w:eastAsia="仿宋" w:cs="仿宋"/>
          <w:szCs w:val="28"/>
        </w:rPr>
      </w:pPr>
    </w:p>
    <w:p>
      <w:pPr>
        <w:snapToGrid w:val="0"/>
        <w:spacing w:before="50" w:afterLines="50" w:line="360" w:lineRule="auto"/>
        <w:jc w:val="left"/>
        <w:rPr>
          <w:rFonts w:hint="eastAsia" w:ascii="仿宋" w:hAnsi="仿宋" w:eastAsia="仿宋" w:cs="仿宋"/>
          <w:szCs w:val="28"/>
        </w:rPr>
      </w:pPr>
    </w:p>
    <w:p>
      <w:pPr>
        <w:snapToGrid w:val="0"/>
        <w:spacing w:before="50" w:afterLines="50" w:line="360" w:lineRule="auto"/>
        <w:jc w:val="left"/>
        <w:rPr>
          <w:rFonts w:hint="eastAsia" w:ascii="仿宋" w:hAnsi="仿宋" w:eastAsia="仿宋" w:cs="仿宋"/>
          <w:sz w:val="24"/>
        </w:rPr>
      </w:pPr>
      <w:r>
        <w:rPr>
          <w:rFonts w:hint="eastAsia" w:ascii="仿宋" w:hAnsi="仿宋" w:eastAsia="仿宋" w:cs="仿宋"/>
          <w:sz w:val="24"/>
        </w:rPr>
        <w:t>（本章仅提供部分标准通用表格，具体格式内容请参照本投标文件中对投标文件编制要求）</w:t>
      </w: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pStyle w:val="10"/>
        <w:ind w:left="0"/>
        <w:rPr>
          <w:rFonts w:hint="eastAsia" w:ascii="仿宋" w:hAnsi="仿宋" w:eastAsia="仿宋" w:cs="仿宋"/>
        </w:rPr>
      </w:pPr>
    </w:p>
    <w:p>
      <w:pPr>
        <w:snapToGrid w:val="0"/>
        <w:spacing w:beforeLines="50" w:after="50" w:line="400" w:lineRule="exact"/>
        <w:jc w:val="center"/>
        <w:rPr>
          <w:rFonts w:hint="eastAsia" w:ascii="仿宋" w:hAnsi="仿宋" w:eastAsia="仿宋" w:cs="仿宋"/>
          <w:b/>
          <w:sz w:val="28"/>
          <w:szCs w:val="28"/>
        </w:rPr>
      </w:pPr>
      <w:r>
        <w:rPr>
          <w:rFonts w:hint="eastAsia" w:ascii="仿宋" w:hAnsi="仿宋" w:eastAsia="仿宋" w:cs="仿宋"/>
          <w:b/>
          <w:sz w:val="28"/>
          <w:szCs w:val="28"/>
        </w:rPr>
        <w:t>法定代表人有效身份证明书</w:t>
      </w:r>
    </w:p>
    <w:p>
      <w:pPr>
        <w:pStyle w:val="10"/>
        <w:rPr>
          <w:rFonts w:hint="eastAsia" w:ascii="仿宋" w:hAnsi="仿宋" w:eastAsia="仿宋" w:cs="仿宋"/>
        </w:rPr>
      </w:pPr>
    </w:p>
    <w:p>
      <w:pPr>
        <w:spacing w:line="500" w:lineRule="exact"/>
        <w:ind w:firstLine="360" w:firstLineChars="150"/>
        <w:jc w:val="left"/>
        <w:rPr>
          <w:rFonts w:hint="eastAsia" w:ascii="仿宋" w:hAnsi="仿宋" w:eastAsia="仿宋" w:cs="仿宋"/>
          <w:kern w:val="0"/>
          <w:sz w:val="24"/>
        </w:rPr>
      </w:pPr>
      <w:r>
        <w:rPr>
          <w:rFonts w:hint="eastAsia" w:ascii="仿宋" w:hAnsi="仿宋" w:eastAsia="仿宋" w:cs="仿宋"/>
          <w:kern w:val="0"/>
          <w:sz w:val="24"/>
          <w:u w:val="single"/>
        </w:rPr>
        <w:t>（姓名）</w:t>
      </w:r>
      <w:r>
        <w:rPr>
          <w:rFonts w:hint="eastAsia" w:ascii="仿宋" w:hAnsi="仿宋" w:eastAsia="仿宋" w:cs="仿宋"/>
          <w:kern w:val="0"/>
          <w:sz w:val="24"/>
        </w:rPr>
        <w:t>是</w:t>
      </w:r>
      <w:r>
        <w:rPr>
          <w:rFonts w:hint="eastAsia" w:ascii="仿宋" w:hAnsi="仿宋" w:eastAsia="仿宋" w:cs="仿宋"/>
          <w:kern w:val="0"/>
          <w:sz w:val="24"/>
          <w:u w:val="single"/>
        </w:rPr>
        <w:t>（</w:t>
      </w:r>
      <w:r>
        <w:rPr>
          <w:rFonts w:hint="eastAsia" w:ascii="仿宋" w:hAnsi="仿宋" w:eastAsia="仿宋" w:cs="仿宋"/>
          <w:kern w:val="0"/>
          <w:sz w:val="24"/>
          <w:u w:val="single"/>
          <w:lang w:eastAsia="zh-CN"/>
        </w:rPr>
        <w:t>单位</w:t>
      </w:r>
      <w:r>
        <w:rPr>
          <w:rFonts w:hint="eastAsia" w:ascii="仿宋" w:hAnsi="仿宋" w:eastAsia="仿宋" w:cs="仿宋"/>
          <w:kern w:val="0"/>
          <w:sz w:val="24"/>
          <w:u w:val="single"/>
        </w:rPr>
        <w:t>全称）</w:t>
      </w:r>
      <w:r>
        <w:rPr>
          <w:rFonts w:hint="eastAsia" w:ascii="仿宋" w:hAnsi="仿宋" w:eastAsia="仿宋" w:cs="仿宋"/>
          <w:kern w:val="0"/>
          <w:sz w:val="24"/>
        </w:rPr>
        <w:t>的法定代表人，身份证号码为 ______________。</w:t>
      </w:r>
    </w:p>
    <w:p>
      <w:pPr>
        <w:spacing w:line="500" w:lineRule="exact"/>
        <w:jc w:val="left"/>
        <w:rPr>
          <w:rFonts w:hint="eastAsia" w:ascii="仿宋" w:hAnsi="仿宋" w:eastAsia="仿宋" w:cs="仿宋"/>
          <w:kern w:val="0"/>
          <w:sz w:val="24"/>
        </w:rPr>
      </w:pPr>
      <w:r>
        <w:rPr>
          <w:rFonts w:hint="eastAsia" w:ascii="仿宋" w:hAnsi="仿宋" w:eastAsia="仿宋" w:cs="仿宋"/>
          <w:kern w:val="0"/>
          <w:sz w:val="24"/>
        </w:rPr>
        <w:t>特此证明。</w:t>
      </w:r>
    </w:p>
    <w:p>
      <w:pPr>
        <w:spacing w:line="500" w:lineRule="exact"/>
        <w:jc w:val="left"/>
        <w:rPr>
          <w:rFonts w:hint="eastAsia" w:ascii="仿宋" w:hAnsi="仿宋" w:eastAsia="仿宋" w:cs="仿宋"/>
          <w:kern w:val="0"/>
          <w:sz w:val="24"/>
        </w:rPr>
      </w:pPr>
    </w:p>
    <w:p>
      <w:pPr>
        <w:spacing w:line="500" w:lineRule="exact"/>
        <w:jc w:val="left"/>
        <w:rPr>
          <w:rFonts w:hint="eastAsia" w:ascii="仿宋" w:hAnsi="仿宋" w:eastAsia="仿宋" w:cs="仿宋"/>
          <w:kern w:val="0"/>
          <w:sz w:val="24"/>
        </w:rPr>
      </w:pPr>
    </w:p>
    <w:p>
      <w:pPr>
        <w:spacing w:line="500" w:lineRule="exact"/>
        <w:jc w:val="left"/>
        <w:rPr>
          <w:rFonts w:hint="eastAsia" w:ascii="仿宋" w:hAnsi="仿宋" w:eastAsia="仿宋" w:cs="仿宋"/>
          <w:kern w:val="0"/>
          <w:sz w:val="24"/>
        </w:rPr>
      </w:pPr>
      <w:r>
        <w:rPr>
          <w:rFonts w:hint="eastAsia" w:ascii="仿宋" w:hAnsi="仿宋" w:eastAsia="仿宋" w:cs="仿宋"/>
          <w:kern w:val="0"/>
          <w:sz w:val="24"/>
          <w:lang w:eastAsia="zh-CN"/>
        </w:rPr>
        <w:t>单位</w:t>
      </w:r>
      <w:r>
        <w:rPr>
          <w:rFonts w:hint="eastAsia" w:ascii="仿宋" w:hAnsi="仿宋" w:eastAsia="仿宋" w:cs="仿宋"/>
          <w:kern w:val="0"/>
          <w:sz w:val="24"/>
        </w:rPr>
        <w:t>：（盖章）</w:t>
      </w:r>
    </w:p>
    <w:p>
      <w:pPr>
        <w:spacing w:line="500" w:lineRule="exact"/>
        <w:jc w:val="left"/>
        <w:rPr>
          <w:rFonts w:hint="eastAsia" w:ascii="仿宋" w:hAnsi="仿宋" w:eastAsia="仿宋" w:cs="仿宋"/>
          <w:kern w:val="0"/>
          <w:sz w:val="24"/>
        </w:rPr>
      </w:pPr>
    </w:p>
    <w:p>
      <w:pPr>
        <w:spacing w:line="500" w:lineRule="exact"/>
        <w:jc w:val="left"/>
        <w:rPr>
          <w:rFonts w:hint="eastAsia"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kern w:val="0"/>
          <w:sz w:val="24"/>
          <w:lang w:eastAsia="zh-CN"/>
        </w:rPr>
        <w:t>或其授权代理人</w:t>
      </w:r>
      <w:r>
        <w:rPr>
          <w:rFonts w:hint="eastAsia" w:ascii="仿宋" w:hAnsi="仿宋" w:eastAsia="仿宋" w:cs="仿宋"/>
          <w:kern w:val="0"/>
          <w:sz w:val="24"/>
        </w:rPr>
        <w:t>（签名或盖章）：</w:t>
      </w:r>
    </w:p>
    <w:p>
      <w:pPr>
        <w:spacing w:line="500" w:lineRule="exact"/>
        <w:jc w:val="left"/>
        <w:rPr>
          <w:rFonts w:hint="eastAsia" w:ascii="仿宋" w:hAnsi="仿宋" w:eastAsia="仿宋" w:cs="仿宋"/>
          <w:kern w:val="0"/>
          <w:sz w:val="24"/>
        </w:rPr>
      </w:pPr>
    </w:p>
    <w:p>
      <w:pPr>
        <w:spacing w:line="500" w:lineRule="exact"/>
        <w:jc w:val="left"/>
        <w:rPr>
          <w:rFonts w:hint="eastAsia" w:ascii="仿宋" w:hAnsi="仿宋" w:eastAsia="仿宋" w:cs="仿宋"/>
          <w:kern w:val="0"/>
          <w:sz w:val="24"/>
        </w:rPr>
      </w:pPr>
      <w:r>
        <w:rPr>
          <w:rFonts w:hint="eastAsia" w:ascii="仿宋" w:hAnsi="仿宋" w:eastAsia="仿宋" w:cs="仿宋"/>
          <w:kern w:val="0"/>
          <w:sz w:val="24"/>
        </w:rPr>
        <w:t>日期：      年   月   日</w:t>
      </w:r>
    </w:p>
    <w:p>
      <w:pPr>
        <w:spacing w:line="500" w:lineRule="exact"/>
        <w:jc w:val="left"/>
        <w:rPr>
          <w:rFonts w:hint="eastAsia" w:ascii="仿宋" w:hAnsi="仿宋" w:eastAsia="仿宋" w:cs="仿宋"/>
          <w:kern w:val="0"/>
          <w:sz w:val="24"/>
        </w:rPr>
      </w:pPr>
      <w:r>
        <w:rPr>
          <w:rFonts w:hint="eastAsia" w:ascii="仿宋" w:hAnsi="仿宋" w:eastAsia="仿宋" w:cs="仿宋"/>
          <w:kern w:val="0"/>
          <w:sz w:val="24"/>
        </w:rPr>
        <w:t>——————————————————————————————</w:t>
      </w:r>
    </w:p>
    <w:p>
      <w:pPr>
        <w:spacing w:line="500" w:lineRule="exact"/>
        <w:jc w:val="center"/>
        <w:rPr>
          <w:rFonts w:hint="eastAsia" w:ascii="仿宋" w:hAnsi="仿宋" w:eastAsia="仿宋" w:cs="仿宋"/>
          <w:kern w:val="0"/>
          <w:sz w:val="24"/>
        </w:rPr>
      </w:pPr>
    </w:p>
    <w:p>
      <w:pPr>
        <w:spacing w:line="500" w:lineRule="exact"/>
        <w:jc w:val="center"/>
        <w:rPr>
          <w:rFonts w:hint="eastAsia" w:ascii="仿宋" w:hAnsi="仿宋" w:eastAsia="仿宋" w:cs="仿宋"/>
          <w:kern w:val="0"/>
          <w:sz w:val="24"/>
        </w:rPr>
      </w:pPr>
    </w:p>
    <w:p>
      <w:pPr>
        <w:spacing w:line="500" w:lineRule="exact"/>
        <w:jc w:val="center"/>
        <w:rPr>
          <w:rFonts w:hint="eastAsia" w:ascii="仿宋" w:hAnsi="仿宋" w:eastAsia="仿宋" w:cs="仿宋"/>
          <w:kern w:val="0"/>
          <w:sz w:val="24"/>
        </w:rPr>
      </w:pPr>
    </w:p>
    <w:p>
      <w:pPr>
        <w:spacing w:line="500" w:lineRule="exact"/>
        <w:jc w:val="center"/>
        <w:rPr>
          <w:rFonts w:hint="eastAsia" w:ascii="仿宋" w:hAnsi="仿宋" w:eastAsia="仿宋" w:cs="仿宋"/>
          <w:kern w:val="0"/>
          <w:sz w:val="24"/>
        </w:rPr>
      </w:pPr>
      <w:r>
        <w:rPr>
          <w:rFonts w:hint="eastAsia" w:ascii="仿宋" w:hAnsi="仿宋" w:eastAsia="仿宋" w:cs="仿宋"/>
          <w:kern w:val="0"/>
          <w:sz w:val="24"/>
        </w:rPr>
        <w:t>有效身份证明复印件粘贴处</w:t>
      </w:r>
    </w:p>
    <w:p>
      <w:pPr>
        <w:spacing w:line="500" w:lineRule="exact"/>
        <w:jc w:val="center"/>
        <w:rPr>
          <w:rFonts w:hint="eastAsia" w:ascii="仿宋" w:hAnsi="仿宋" w:eastAsia="仿宋" w:cs="仿宋"/>
          <w:kern w:val="0"/>
          <w:sz w:val="24"/>
        </w:rPr>
      </w:pPr>
    </w:p>
    <w:p>
      <w:pPr>
        <w:jc w:val="center"/>
        <w:rPr>
          <w:rFonts w:hint="eastAsia" w:ascii="仿宋" w:hAnsi="仿宋" w:eastAsia="仿宋" w:cs="仿宋"/>
          <w:kern w:val="0"/>
          <w:sz w:val="24"/>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snapToGrid w:val="0"/>
        <w:spacing w:beforeLines="50" w:after="50" w:line="400" w:lineRule="exact"/>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beforeLines="50" w:after="50" w:line="400" w:lineRule="exact"/>
        <w:rPr>
          <w:rFonts w:hint="eastAsia" w:ascii="仿宋" w:hAnsi="仿宋" w:eastAsia="仿宋" w:cs="仿宋"/>
          <w:b/>
          <w:bCs/>
          <w:sz w:val="24"/>
        </w:rPr>
      </w:pPr>
      <w:r>
        <w:rPr>
          <w:rFonts w:hint="eastAsia" w:ascii="仿宋" w:hAnsi="仿宋" w:eastAsia="仿宋" w:cs="仿宋"/>
          <w:sz w:val="24"/>
        </w:rPr>
        <w:t>致</w:t>
      </w:r>
      <w:r>
        <w:rPr>
          <w:rFonts w:hint="eastAsia" w:ascii="仿宋" w:hAnsi="仿宋" w:eastAsia="仿宋" w:cs="仿宋"/>
          <w:sz w:val="24"/>
          <w:u w:val="single"/>
        </w:rPr>
        <w:t xml:space="preserve"> （采购人名称）</w:t>
      </w:r>
      <w:r>
        <w:rPr>
          <w:rFonts w:hint="eastAsia" w:ascii="仿宋" w:hAnsi="仿宋" w:eastAsia="仿宋" w:cs="仿宋"/>
          <w:sz w:val="24"/>
        </w:rPr>
        <w:t>：</w:t>
      </w:r>
    </w:p>
    <w:p>
      <w:pPr>
        <w:snapToGrid w:val="0"/>
        <w:spacing w:beforeLines="50" w:after="50" w:line="460" w:lineRule="exact"/>
        <w:ind w:firstLine="600" w:firstLineChars="250"/>
        <w:rPr>
          <w:rFonts w:hint="eastAsia" w:ascii="仿宋" w:hAnsi="仿宋" w:eastAsia="仿宋" w:cs="仿宋"/>
          <w:sz w:val="24"/>
        </w:rPr>
      </w:pPr>
      <w:r>
        <w:rPr>
          <w:rFonts w:hint="eastAsia" w:ascii="仿宋" w:hAnsi="仿宋" w:eastAsia="仿宋" w:cs="仿宋"/>
          <w:sz w:val="24"/>
        </w:rPr>
        <w:t xml:space="preserve">我 </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eastAsia="zh-CN"/>
        </w:rPr>
        <w:t>单位全称</w:t>
      </w:r>
      <w:r>
        <w:rPr>
          <w:rFonts w:hint="eastAsia" w:ascii="仿宋" w:hAnsi="仿宋" w:eastAsia="仿宋" w:cs="仿宋"/>
          <w:sz w:val="24"/>
          <w:u w:val="single"/>
        </w:rPr>
        <w:t>）</w:t>
      </w:r>
      <w:r>
        <w:rPr>
          <w:rFonts w:hint="eastAsia" w:ascii="仿宋" w:hAnsi="仿宋" w:eastAsia="仿宋" w:cs="仿宋"/>
          <w:sz w:val="24"/>
        </w:rPr>
        <w:t>的法定代表人，现授权委托本单位</w:t>
      </w:r>
      <w:r>
        <w:rPr>
          <w:rFonts w:hint="eastAsia" w:ascii="仿宋" w:hAnsi="仿宋" w:eastAsia="仿宋" w:cs="仿宋"/>
          <w:sz w:val="24"/>
          <w:u w:val="single"/>
        </w:rPr>
        <w:t xml:space="preserve"> （姓名）</w:t>
      </w:r>
      <w:r>
        <w:rPr>
          <w:rFonts w:hint="eastAsia" w:ascii="仿宋" w:hAnsi="仿宋" w:eastAsia="仿宋" w:cs="仿宋"/>
          <w:sz w:val="24"/>
        </w:rPr>
        <w:t>以我方的名义参加___________________项目的</w:t>
      </w:r>
      <w:r>
        <w:rPr>
          <w:rStyle w:val="23"/>
          <w:rFonts w:hint="eastAsia" w:ascii="仿宋" w:hAnsi="仿宋" w:eastAsia="仿宋" w:cs="仿宋"/>
        </w:rPr>
        <w:t>招标</w:t>
      </w:r>
      <w:r>
        <w:rPr>
          <w:rFonts w:hint="eastAsia" w:ascii="仿宋" w:hAnsi="仿宋" w:eastAsia="仿宋" w:cs="仿宋"/>
          <w:sz w:val="24"/>
        </w:rPr>
        <w:t>活动，并代表我方全权办理针对上述项目的投标、签约等具体事务和签署相关文件。</w:t>
      </w:r>
    </w:p>
    <w:p>
      <w:pPr>
        <w:snapToGrid w:val="0"/>
        <w:spacing w:beforeLines="50" w:after="50" w:line="400" w:lineRule="exact"/>
        <w:rPr>
          <w:rFonts w:hint="eastAsia" w:ascii="仿宋" w:hAnsi="仿宋" w:eastAsia="仿宋" w:cs="仿宋"/>
          <w:sz w:val="24"/>
        </w:rPr>
      </w:pPr>
      <w:r>
        <w:rPr>
          <w:rFonts w:hint="eastAsia" w:ascii="仿宋" w:hAnsi="仿宋" w:eastAsia="仿宋" w:cs="仿宋"/>
          <w:sz w:val="24"/>
        </w:rPr>
        <w:t xml:space="preserve">    我方对被授权人的签名事项负全部责任。</w:t>
      </w:r>
    </w:p>
    <w:p>
      <w:pPr>
        <w:snapToGrid w:val="0"/>
        <w:spacing w:beforeLines="50" w:after="50" w:line="460" w:lineRule="exact"/>
        <w:ind w:firstLine="482"/>
        <w:rPr>
          <w:rFonts w:hint="eastAsia"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snapToGrid w:val="0"/>
        <w:spacing w:beforeLines="50" w:after="50" w:line="400" w:lineRule="exact"/>
        <w:ind w:firstLine="480"/>
        <w:rPr>
          <w:rFonts w:hint="eastAsia" w:ascii="仿宋" w:hAnsi="仿宋" w:eastAsia="仿宋" w:cs="仿宋"/>
          <w:sz w:val="24"/>
        </w:rPr>
      </w:pPr>
      <w:r>
        <w:rPr>
          <w:rFonts w:hint="eastAsia" w:ascii="仿宋" w:hAnsi="仿宋" w:eastAsia="仿宋" w:cs="仿宋"/>
          <w:sz w:val="24"/>
        </w:rPr>
        <w:t>被授权人无转委托权，特此委托。</w:t>
      </w:r>
    </w:p>
    <w:p>
      <w:pPr>
        <w:snapToGrid w:val="0"/>
        <w:spacing w:beforeLines="50" w:after="50" w:line="400" w:lineRule="exact"/>
        <w:rPr>
          <w:rFonts w:hint="eastAsia" w:ascii="仿宋" w:hAnsi="仿宋" w:eastAsia="仿宋" w:cs="仿宋"/>
          <w:sz w:val="24"/>
        </w:rPr>
      </w:pPr>
    </w:p>
    <w:p>
      <w:pPr>
        <w:snapToGrid w:val="0"/>
        <w:spacing w:beforeLines="50" w:after="50" w:line="400" w:lineRule="exact"/>
        <w:rPr>
          <w:rFonts w:hint="eastAsia" w:ascii="仿宋" w:hAnsi="仿宋" w:eastAsia="仿宋" w:cs="仿宋"/>
          <w:sz w:val="24"/>
          <w:u w:val="single"/>
        </w:rPr>
      </w:pPr>
      <w:r>
        <w:rPr>
          <w:rFonts w:hint="eastAsia" w:ascii="仿宋" w:hAnsi="仿宋" w:eastAsia="仿宋" w:cs="仿宋"/>
          <w:sz w:val="24"/>
        </w:rPr>
        <w:t>被授权人签名：         法定代表人签名：</w:t>
      </w:r>
    </w:p>
    <w:p>
      <w:pPr>
        <w:snapToGrid w:val="0"/>
        <w:spacing w:beforeLines="50" w:after="50" w:line="400" w:lineRule="exact"/>
        <w:rPr>
          <w:rFonts w:hint="eastAsia" w:ascii="仿宋" w:hAnsi="仿宋" w:eastAsia="仿宋" w:cs="仿宋"/>
          <w:sz w:val="24"/>
          <w:u w:val="single"/>
        </w:rPr>
      </w:pPr>
    </w:p>
    <w:p>
      <w:pPr>
        <w:snapToGrid w:val="0"/>
        <w:spacing w:beforeLines="50" w:after="50" w:line="400" w:lineRule="exact"/>
        <w:rPr>
          <w:rFonts w:hint="eastAsia" w:ascii="仿宋" w:hAnsi="仿宋" w:eastAsia="仿宋" w:cs="仿宋"/>
          <w:sz w:val="24"/>
          <w:u w:val="single"/>
        </w:rPr>
      </w:pPr>
      <w:r>
        <w:rPr>
          <w:rFonts w:hint="eastAsia" w:ascii="仿宋" w:hAnsi="仿宋" w:eastAsia="仿宋" w:cs="仿宋"/>
          <w:sz w:val="24"/>
        </w:rPr>
        <w:t>职务：                  职务：</w:t>
      </w:r>
    </w:p>
    <w:p>
      <w:pPr>
        <w:snapToGrid w:val="0"/>
        <w:spacing w:beforeLines="50" w:after="50" w:line="400" w:lineRule="exact"/>
        <w:ind w:firstLine="960" w:firstLineChars="400"/>
        <w:rPr>
          <w:rFonts w:hint="eastAsia" w:ascii="仿宋" w:hAnsi="仿宋" w:eastAsia="仿宋" w:cs="仿宋"/>
          <w:sz w:val="24"/>
        </w:rPr>
      </w:pPr>
    </w:p>
    <w:p>
      <w:pPr>
        <w:snapToGrid w:val="0"/>
        <w:spacing w:beforeLines="50" w:after="50" w:line="400" w:lineRule="exact"/>
        <w:rPr>
          <w:rFonts w:hint="eastAsia" w:ascii="仿宋" w:hAnsi="仿宋" w:eastAsia="仿宋" w:cs="仿宋"/>
          <w:sz w:val="24"/>
        </w:rPr>
      </w:pPr>
      <w:r>
        <w:rPr>
          <w:rFonts w:hint="eastAsia" w:ascii="仿宋" w:hAnsi="仿宋" w:eastAsia="仿宋" w:cs="仿宋"/>
          <w:sz w:val="24"/>
        </w:rPr>
        <w:t>被授权人身份证号码：</w:t>
      </w:r>
    </w:p>
    <w:p>
      <w:pPr>
        <w:snapToGrid w:val="0"/>
        <w:spacing w:beforeLines="50" w:after="50" w:line="400" w:lineRule="exact"/>
        <w:rPr>
          <w:rFonts w:hint="eastAsia" w:ascii="仿宋" w:hAnsi="仿宋" w:eastAsia="仿宋" w:cs="仿宋"/>
          <w:sz w:val="24"/>
        </w:rPr>
      </w:pPr>
    </w:p>
    <w:p>
      <w:pPr>
        <w:snapToGrid w:val="0"/>
        <w:spacing w:beforeLines="50" w:after="50" w:line="40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单位</w:t>
      </w:r>
      <w:r>
        <w:rPr>
          <w:rFonts w:hint="eastAsia" w:ascii="仿宋" w:hAnsi="仿宋" w:eastAsia="仿宋" w:cs="仿宋"/>
          <w:sz w:val="24"/>
        </w:rPr>
        <w:t>公章：</w:t>
      </w:r>
    </w:p>
    <w:p>
      <w:pPr>
        <w:snapToGrid w:val="0"/>
        <w:spacing w:beforeLines="50" w:after="50" w:line="400" w:lineRule="exact"/>
        <w:jc w:val="center"/>
        <w:rPr>
          <w:rFonts w:hint="eastAsia" w:ascii="仿宋" w:hAnsi="仿宋" w:eastAsia="仿宋" w:cs="仿宋"/>
          <w:sz w:val="24"/>
        </w:rPr>
      </w:pPr>
      <w:r>
        <w:rPr>
          <w:rFonts w:hint="eastAsia" w:ascii="仿宋" w:hAnsi="仿宋" w:eastAsia="仿宋" w:cs="仿宋"/>
          <w:sz w:val="24"/>
        </w:rPr>
        <w:t xml:space="preserve">                                        年    月    日</w:t>
      </w:r>
    </w:p>
    <w:p>
      <w:pPr>
        <w:jc w:val="center"/>
        <w:rPr>
          <w:rFonts w:hint="eastAsia" w:ascii="仿宋" w:hAnsi="仿宋" w:eastAsia="仿宋" w:cs="仿宋"/>
          <w:kern w:val="0"/>
          <w:sz w:val="24"/>
        </w:rPr>
      </w:pPr>
      <w:r>
        <w:rPr>
          <w:rFonts w:hint="eastAsia" w:ascii="仿宋" w:hAnsi="仿宋" w:eastAsia="仿宋" w:cs="仿宋"/>
          <w:kern w:val="0"/>
          <w:sz w:val="24"/>
        </w:rPr>
        <w:t>——————————————————————————————</w:t>
      </w:r>
    </w:p>
    <w:p>
      <w:pPr>
        <w:jc w:val="center"/>
        <w:rPr>
          <w:rFonts w:hint="eastAsia" w:ascii="仿宋" w:hAnsi="仿宋" w:eastAsia="仿宋" w:cs="仿宋"/>
          <w:kern w:val="0"/>
          <w:sz w:val="24"/>
        </w:rPr>
      </w:pPr>
      <w:r>
        <w:rPr>
          <w:rFonts w:hint="eastAsia" w:ascii="仿宋" w:hAnsi="仿宋" w:eastAsia="仿宋" w:cs="仿宋"/>
          <w:kern w:val="0"/>
          <w:sz w:val="24"/>
        </w:rPr>
        <w:t>授权代理人有效身份证明复印件粘贴处</w:t>
      </w:r>
    </w:p>
    <w:p>
      <w:pPr>
        <w:jc w:val="center"/>
        <w:rPr>
          <w:rFonts w:hint="eastAsia" w:ascii="仿宋" w:hAnsi="仿宋" w:eastAsia="仿宋" w:cs="仿宋"/>
          <w:kern w:val="0"/>
          <w:sz w:val="28"/>
          <w:szCs w:val="28"/>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snapToGrid w:val="0"/>
        <w:spacing w:line="560" w:lineRule="exact"/>
        <w:jc w:val="center"/>
        <w:rPr>
          <w:rFonts w:hint="eastAsia" w:ascii="仿宋" w:hAnsi="仿宋" w:eastAsia="仿宋" w:cs="仿宋"/>
        </w:rPr>
      </w:pPr>
      <w:r>
        <w:rPr>
          <w:rFonts w:hint="eastAsia" w:ascii="仿宋" w:hAnsi="仿宋" w:eastAsia="仿宋" w:cs="仿宋"/>
        </w:rPr>
        <w:br w:type="page"/>
      </w:r>
    </w:p>
    <w:p>
      <w:pPr>
        <w:snapToGrid w:val="0"/>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“信用中国”（www.creditchina.gov.cn）、“中国政府采购网”（www.ccgp.gov.cn）网页截图模板</w:t>
      </w:r>
    </w:p>
    <w:p>
      <w:pPr>
        <w:snapToGrid w:val="0"/>
        <w:spacing w:line="560" w:lineRule="exact"/>
        <w:jc w:val="center"/>
        <w:rPr>
          <w:rFonts w:hint="eastAsia" w:ascii="仿宋" w:hAnsi="仿宋" w:eastAsia="仿宋" w:cs="仿宋"/>
          <w:b/>
          <w:bCs/>
          <w:sz w:val="24"/>
        </w:rPr>
      </w:pPr>
      <w:r>
        <w:rPr>
          <w:rFonts w:hint="eastAsia" w:ascii="仿宋" w:hAnsi="仿宋" w:eastAsia="仿宋" w:cs="仿宋"/>
          <w:b/>
          <w:bCs/>
          <w:szCs w:val="28"/>
        </w:rPr>
        <w:drawing>
          <wp:anchor distT="0" distB="0" distL="114300" distR="114300" simplePos="0" relativeHeight="251659264" behindDoc="0" locked="0" layoutInCell="1" allowOverlap="1">
            <wp:simplePos x="0" y="0"/>
            <wp:positionH relativeFrom="column">
              <wp:posOffset>213995</wp:posOffset>
            </wp:positionH>
            <wp:positionV relativeFrom="paragraph">
              <wp:posOffset>136525</wp:posOffset>
            </wp:positionV>
            <wp:extent cx="4371975" cy="3340735"/>
            <wp:effectExtent l="0" t="0" r="9525" b="1206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371975" cy="3340735"/>
                    </a:xfrm>
                    <a:prstGeom prst="rect">
                      <a:avLst/>
                    </a:prstGeom>
                    <a:noFill/>
                    <a:ln>
                      <a:noFill/>
                    </a:ln>
                  </pic:spPr>
                </pic:pic>
              </a:graphicData>
            </a:graphic>
          </wp:anchor>
        </w:drawing>
      </w:r>
      <w:r>
        <w:rPr>
          <w:rFonts w:hint="eastAsia" w:ascii="仿宋" w:hAnsi="仿宋" w:eastAsia="仿宋" w:cs="仿宋"/>
          <w:b/>
          <w:bCs/>
          <w:szCs w:val="28"/>
        </w:rPr>
        <mc:AlternateContent>
          <mc:Choice Requires="wps">
            <w:drawing>
              <wp:anchor distT="0" distB="0" distL="114300" distR="114300" simplePos="0" relativeHeight="251661312" behindDoc="0" locked="0" layoutInCell="1" allowOverlap="1">
                <wp:simplePos x="0" y="0"/>
                <wp:positionH relativeFrom="column">
                  <wp:posOffset>3910330</wp:posOffset>
                </wp:positionH>
                <wp:positionV relativeFrom="paragraph">
                  <wp:posOffset>177165</wp:posOffset>
                </wp:positionV>
                <wp:extent cx="90805" cy="1285875"/>
                <wp:effectExtent l="0" t="0" r="4445" b="9525"/>
                <wp:wrapNone/>
                <wp:docPr id="9" name="矩形 9"/>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_x0000_s1026" o:spid="_x0000_s1026" o:spt="1" style="position:absolute;left:0pt;margin-left:307.9pt;margin-top:13.95pt;height:101.25pt;width:7.15pt;z-index:251661312;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pPSTYAAAACgEAAA8AAAAAAAAAAQAgAAAAIgAAAGRycy9kb3ducmV2&#10;LnhtbFBLAQIUABQAAAAIAIdO4kDVEbcrwwEAAIUDAAAOAAAAAAAAAAEAIAAAACcBAABkcnMvZTJv&#10;RG9jLnhtbFBLBQYAAAAABgAGAFkBAABcBQ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7456"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8" name="矩形 8"/>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_x0000_s1026" o:spid="_x0000_s1026" o:spt="1" style="position:absolute;left:0pt;margin-left:194pt;margin-top:24.15pt;height:70.75pt;width:7.15pt;z-index:251667456;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wmxM1wAAAAoBAAAPAAAAAAAAAAEAIAAAACIAAABkcnMvZG93bnJldi54&#10;bWxQSwECFAAUAAAACACHTuJAOB/l6cIBAACEAwAADgAAAAAAAAABACAAAAAmAQAAZHJzL2Uyb0Rv&#10;Yy54bWxQSwUGAAAAAAYABgBZAQAAWgU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4384"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7" name="矩形 7"/>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a:noFill/>
                        </a:ln>
                        <a:effectLst/>
                      </wps:spPr>
                      <wps:txbx>
                        <w:txbxContent>
                          <w:p/>
                          <w:p>
                            <w:r>
                              <w:rPr>
                                <w:rFonts w:hint="eastAsia"/>
                              </w:rPr>
                              <w:t>某某</w:t>
                            </w:r>
                          </w:p>
                        </w:txbxContent>
                      </wps:txbx>
                      <wps:bodyPr vert="vert270" wrap="square" upright="1"/>
                    </wps:wsp>
                  </a:graphicData>
                </a:graphic>
              </wp:anchor>
            </w:drawing>
          </mc:Choice>
          <mc:Fallback>
            <w:pict>
              <v:rect id="_x0000_s1026" o:spid="_x0000_s1026" o:spt="1" style="position:absolute;left:0pt;margin-left:167.7pt;margin-top:11.65pt;height:152.1pt;width:14.4pt;z-index:251664384;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E5ioQ2gAAAAoBAAAPAAAAAAAAAAEAIAAAACIA&#10;AABkcnMvZG93bnJldi54bWxQSwECFAAUAAAACACHTuJA2TH6gM4BAACVAwAADgAAAAAAAAABACAA&#10;AAApAQAAZHJzL2Uyb0RvYy54bWxQSwUGAAAAAAYABgBZAQAAaQUAAAAA&#10;">
                <v:fill on="t" focussize="0,0"/>
                <v:stroke on="f"/>
                <v:imagedata o:title=""/>
                <o:lock v:ext="edit" aspectratio="f"/>
                <v:textbox style="layout-flow:vertical;mso-layout-flow-alt:bottom-to-top;">
                  <w:txbxContent>
                    <w:p/>
                    <w:p>
                      <w:r>
                        <w:rPr>
                          <w:rFonts w:hint="eastAsia"/>
                        </w:rPr>
                        <w:t>某某</w:t>
                      </w: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2336" behindDoc="0" locked="0" layoutInCell="1" allowOverlap="1">
                <wp:simplePos x="0" y="0"/>
                <wp:positionH relativeFrom="column">
                  <wp:posOffset>3700780</wp:posOffset>
                </wp:positionH>
                <wp:positionV relativeFrom="paragraph">
                  <wp:posOffset>221615</wp:posOffset>
                </wp:positionV>
                <wp:extent cx="90805" cy="530225"/>
                <wp:effectExtent l="0" t="0" r="4445" b="3175"/>
                <wp:wrapNone/>
                <wp:docPr id="5" name="矩形 5"/>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_x0000_s1026" o:spid="_x0000_s1026" o:spt="1" style="position:absolute;left:0pt;margin-left:291.4pt;margin-top:17.45pt;height:41.75pt;width:7.15pt;z-index:251662336;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XU6w2QAAAAoBAAAPAAAAAAAAAAEAIAAAACIAAABkcnMvZG93bnJl&#10;di54bWxQSwECFAAUAAAACACHTuJAQ74yPcMBAACEAwAADgAAAAAAAAABACAAAAAoAQAAZHJzL2Uy&#10;b0RvYy54bWxQSwUGAAAAAAYABgBZAQAAXQU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3360" behindDoc="0" locked="0" layoutInCell="1" allowOverlap="1">
                <wp:simplePos x="0" y="0"/>
                <wp:positionH relativeFrom="column">
                  <wp:posOffset>2312670</wp:posOffset>
                </wp:positionH>
                <wp:positionV relativeFrom="paragraph">
                  <wp:posOffset>132715</wp:posOffset>
                </wp:positionV>
                <wp:extent cx="151130" cy="1047750"/>
                <wp:effectExtent l="0" t="0" r="1270" b="0"/>
                <wp:wrapNone/>
                <wp:docPr id="4" name="矩形 4"/>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_x0000_s1026" o:spid="_x0000_s1026" o:spt="1" style="position:absolute;left:0pt;margin-left:182.1pt;margin-top:10.45pt;height:82.5pt;width:11.9pt;z-index:251663360;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E+MXtcAAAAKAQAADwAAAAAAAAABACAAAAAiAAAAZHJzL2Rvd25y&#10;ZXYueG1sUEsBAhQAFAAAAAgAh07iQMQ7NTTGAQAAhgMAAA4AAAAAAAAAAQAgAAAAJgEAAGRycy9l&#10;Mm9Eb2MueG1sUEsFBgAAAAAGAAYAWQEAAF4FA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8480"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10" name="矩形 2"/>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矩形 2" o:spid="_x0000_s1026" o:spt="1" style="position:absolute;left:0pt;margin-left:210.25pt;margin-top:17.45pt;height:90.75pt;width:7.15pt;z-index:251668480;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L3NxtgAAAAKAQAADwAAAAAAAAABACAAAAAiAAAAZHJzL2Rvd25yZXYu&#10;eG1sUEsBAhQAFAAAAAgAh07iQN31dJ7CAQAAhgMAAA4AAAAAAAAAAQAgAAAAJwEAAGRycy9lMm9E&#10;b2MueG1sUEsFBgAAAAAGAAYAWQEAAFsFA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139065</wp:posOffset>
                </wp:positionV>
                <wp:extent cx="90805" cy="257175"/>
                <wp:effectExtent l="0" t="0" r="4445" b="9525"/>
                <wp:wrapNone/>
                <wp:docPr id="3" name="矩形 3"/>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_x0000_s1026" o:spid="_x0000_s1026" o:spt="1" style="position:absolute;left:0pt;margin-left:268.9pt;margin-top:10.95pt;height:20.25pt;width:7.15pt;z-index:251665408;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Y+DU7YAAAACQEAAA8AAAAAAAAAAQAgAAAAIgAAAGRycy9kb3ducmV2&#10;LnhtbFBLAQIUABQAAAAIAIdO4kASsMctwwEAAIQDAAAOAAAAAAAAAAEAIAAAACcBAABkcnMvZTJv&#10;RG9jLnhtbFBLBQYAAAAABgAGAFkBAABcBQ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b/>
          <w:bCs/>
          <w:szCs w:val="28"/>
        </w:rPr>
        <mc:AlternateContent>
          <mc:Choice Requires="wps">
            <w:drawing>
              <wp:anchor distT="0" distB="0" distL="114300" distR="114300" simplePos="0" relativeHeight="251666432" behindDoc="0" locked="0" layoutInCell="1" allowOverlap="1">
                <wp:simplePos x="0" y="0"/>
                <wp:positionH relativeFrom="column">
                  <wp:posOffset>2081530</wp:posOffset>
                </wp:positionH>
                <wp:positionV relativeFrom="paragraph">
                  <wp:posOffset>53340</wp:posOffset>
                </wp:positionV>
                <wp:extent cx="139065" cy="1590675"/>
                <wp:effectExtent l="0" t="0" r="13335" b="9525"/>
                <wp:wrapNone/>
                <wp:docPr id="6" name="矩形 6"/>
                <wp:cNvGraphicFramePr/>
                <a:graphic xmlns:a="http://schemas.openxmlformats.org/drawingml/2006/main">
                  <a:graphicData uri="http://schemas.microsoft.com/office/word/2010/wordprocessingShape">
                    <wps:wsp>
                      <wps:cNvSpPr/>
                      <wps:spPr>
                        <a:xfrm>
                          <a:off x="0" y="0"/>
                          <a:ext cx="139065" cy="1590675"/>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_x0000_s1026" o:spid="_x0000_s1026" o:spt="1" style="position:absolute;left:0pt;margin-left:163.9pt;margin-top:4.2pt;height:125.25pt;width:10.95pt;z-index:251666432;mso-width-relative:page;mso-height-relative:page;" fillcolor="#FFFFFF" filled="t" stroked="f" coordsize="21600,21600" o:gfxdata="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3IxrrYAAAACQEAAA8AAAAAAAAAAQAgAAAAIgAAAGRycy9kb3ducmV2&#10;LnhtbFBLAQIUABQAAAAIAIdO4kBJYSl/wwEAAIYDAAAOAAAAAAAAAAEAIAAAACcBAABkcnMvZTJv&#10;RG9jLnhtbFBLBQYAAAAABgAGAFkBAABcBQAAAAA=&#10;">
                <v:fill on="t" focussize="0,0"/>
                <v:stroke on="f"/>
                <v:imagedata o:title=""/>
                <o:lock v:ext="edit" aspectratio="f"/>
                <v:textbox>
                  <w:txbxContent>
                    <w:p>
                      <w:pPr>
                        <w:jc w:val="center"/>
                      </w:pPr>
                    </w:p>
                  </w:txbxContent>
                </v:textbox>
              </v:rect>
            </w:pict>
          </mc:Fallback>
        </mc:AlternateContent>
      </w: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p>
    <w:p>
      <w:pPr>
        <w:pStyle w:val="24"/>
        <w:ind w:firstLine="600" w:firstLineChars="250"/>
        <w:rPr>
          <w:rFonts w:hint="eastAsia" w:ascii="仿宋" w:hAnsi="仿宋" w:eastAsia="仿宋" w:cs="仿宋"/>
          <w:color w:val="auto"/>
        </w:rPr>
      </w:pPr>
    </w:p>
    <w:p>
      <w:pPr>
        <w:pStyle w:val="24"/>
        <w:rPr>
          <w:rFonts w:hint="eastAsia" w:ascii="仿宋" w:hAnsi="仿宋" w:eastAsia="仿宋" w:cs="仿宋"/>
          <w:color w:val="auto"/>
        </w:rPr>
      </w:pPr>
    </w:p>
    <w:p>
      <w:pPr>
        <w:pStyle w:val="24"/>
        <w:rPr>
          <w:rFonts w:hint="eastAsia" w:ascii="仿宋" w:hAnsi="仿宋" w:eastAsia="仿宋" w:cs="仿宋"/>
          <w:color w:val="auto"/>
        </w:rPr>
      </w:pPr>
      <w:r>
        <w:rPr>
          <w:rFonts w:hint="eastAsia" w:ascii="仿宋" w:hAnsi="仿宋" w:eastAsia="仿宋" w:cs="仿宋"/>
          <w:color w:val="auto"/>
        </w:rPr>
        <w:drawing>
          <wp:anchor distT="0" distB="0" distL="0" distR="0" simplePos="0" relativeHeight="251660288" behindDoc="0" locked="0" layoutInCell="1" allowOverlap="1">
            <wp:simplePos x="0" y="0"/>
            <wp:positionH relativeFrom="column">
              <wp:posOffset>993775</wp:posOffset>
            </wp:positionH>
            <wp:positionV relativeFrom="paragraph">
              <wp:posOffset>-427355</wp:posOffset>
            </wp:positionV>
            <wp:extent cx="3133725" cy="4352925"/>
            <wp:effectExtent l="0" t="0" r="9525" b="9525"/>
            <wp:wrapNone/>
            <wp:docPr id="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0"/>
                    <pic:cNvPicPr>
                      <a:picLocks noChangeAspect="1"/>
                    </pic:cNvPicPr>
                  </pic:nvPicPr>
                  <pic:blipFill>
                    <a:blip r:embed="rId9"/>
                    <a:stretch>
                      <a:fillRect/>
                    </a:stretch>
                  </pic:blipFill>
                  <pic:spPr>
                    <a:xfrm rot="5400000">
                      <a:off x="0" y="0"/>
                      <a:ext cx="3133725" cy="4352925"/>
                    </a:xfrm>
                    <a:prstGeom prst="rect">
                      <a:avLst/>
                    </a:prstGeom>
                    <a:noFill/>
                    <a:ln>
                      <a:noFill/>
                    </a:ln>
                  </pic:spPr>
                </pic:pic>
              </a:graphicData>
            </a:graphic>
          </wp:anchor>
        </w:drawing>
      </w:r>
    </w:p>
    <w:p>
      <w:pPr>
        <w:pStyle w:val="9"/>
        <w:ind w:firstLine="562"/>
        <w:rPr>
          <w:rFonts w:hint="eastAsia" w:ascii="仿宋" w:hAnsi="仿宋" w:eastAsia="仿宋" w:cs="仿宋"/>
          <w:b/>
          <w:sz w:val="28"/>
          <w:szCs w:val="28"/>
        </w:rPr>
      </w:pPr>
      <w:r>
        <w:rPr>
          <w:rFonts w:hint="eastAsia" w:ascii="仿宋" w:hAnsi="仿宋" w:eastAsia="仿宋" w:cs="仿宋"/>
          <w:b/>
          <w:sz w:val="28"/>
          <w:szCs w:val="28"/>
        </w:rPr>
        <w:br w:type="page"/>
      </w:r>
    </w:p>
    <w:p>
      <w:pPr>
        <w:pStyle w:val="9"/>
        <w:ind w:firstLine="2797" w:firstLineChars="995"/>
        <w:rPr>
          <w:rFonts w:hint="eastAsia" w:ascii="仿宋" w:hAnsi="仿宋" w:eastAsia="仿宋" w:cs="仿宋"/>
          <w:b/>
          <w:sz w:val="28"/>
          <w:szCs w:val="28"/>
        </w:rPr>
      </w:pPr>
      <w:r>
        <w:rPr>
          <w:rFonts w:hint="eastAsia" w:ascii="仿宋" w:hAnsi="仿宋" w:eastAsia="仿宋" w:cs="仿宋"/>
          <w:b/>
          <w:sz w:val="28"/>
          <w:szCs w:val="28"/>
        </w:rPr>
        <w:t>信用承诺书</w:t>
      </w:r>
    </w:p>
    <w:p>
      <w:pPr>
        <w:pStyle w:val="9"/>
        <w:ind w:firstLine="562"/>
        <w:jc w:val="center"/>
        <w:rPr>
          <w:rFonts w:hint="eastAsia" w:ascii="仿宋" w:hAnsi="仿宋" w:eastAsia="仿宋" w:cs="仿宋"/>
          <w:b/>
          <w:bCs/>
          <w:sz w:val="28"/>
          <w:szCs w:val="28"/>
        </w:rPr>
      </w:pPr>
    </w:p>
    <w:p>
      <w:pPr>
        <w:tabs>
          <w:tab w:val="left" w:pos="1650"/>
        </w:tabs>
        <w:jc w:val="left"/>
        <w:rPr>
          <w:rFonts w:hint="eastAsia"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hint="eastAsia" w:ascii="仿宋" w:hAnsi="仿宋" w:eastAsia="仿宋" w:cs="仿宋"/>
          <w:sz w:val="24"/>
          <w:u w:val="single"/>
        </w:rPr>
      </w:pPr>
    </w:p>
    <w:p>
      <w:pPr>
        <w:tabs>
          <w:tab w:val="left" w:pos="1650"/>
        </w:tabs>
        <w:spacing w:line="560" w:lineRule="exact"/>
        <w:rPr>
          <w:rFonts w:hint="eastAsia" w:ascii="仿宋" w:hAnsi="仿宋" w:eastAsia="仿宋" w:cs="仿宋"/>
          <w:sz w:val="24"/>
          <w:u w:val="single"/>
        </w:rPr>
      </w:pPr>
    </w:p>
    <w:p>
      <w:pPr>
        <w:pStyle w:val="31"/>
        <w:spacing w:before="0" w:beforeAutospacing="0" w:after="0" w:afterAutospacing="0" w:line="560" w:lineRule="exact"/>
        <w:ind w:firstLine="600" w:firstLineChars="250"/>
        <w:rPr>
          <w:rFonts w:hint="eastAsia" w:ascii="仿宋" w:hAnsi="仿宋" w:eastAsia="仿宋" w:cs="仿宋"/>
          <w:spacing w:val="-7"/>
        </w:rPr>
      </w:pPr>
      <w:r>
        <w:rPr>
          <w:rFonts w:hint="eastAsia" w:ascii="仿宋" w:hAnsi="仿宋" w:eastAsia="仿宋" w:cs="仿宋"/>
          <w:kern w:val="2"/>
        </w:rPr>
        <w:t>统一社会信用代码：</w:t>
      </w:r>
    </w:p>
    <w:p>
      <w:pPr>
        <w:pStyle w:val="31"/>
        <w:spacing w:before="0" w:beforeAutospacing="0" w:after="0" w:afterAutospacing="0" w:line="560" w:lineRule="exact"/>
        <w:rPr>
          <w:rFonts w:hint="eastAsia" w:ascii="仿宋" w:hAnsi="仿宋" w:eastAsia="仿宋" w:cs="仿宋"/>
        </w:rPr>
      </w:pPr>
    </w:p>
    <w:p>
      <w:pPr>
        <w:pStyle w:val="31"/>
        <w:spacing w:before="0" w:beforeAutospacing="0" w:after="0" w:afterAutospacing="0" w:line="560" w:lineRule="exact"/>
        <w:ind w:firstLine="3240" w:firstLineChars="1350"/>
        <w:rPr>
          <w:rFonts w:hint="eastAsia" w:ascii="仿宋" w:hAnsi="仿宋" w:eastAsia="仿宋" w:cs="仿宋"/>
          <w:kern w:val="2"/>
        </w:rPr>
      </w:pPr>
      <w:r>
        <w:rPr>
          <w:rFonts w:hint="eastAsia" w:ascii="仿宋" w:hAnsi="仿宋" w:eastAsia="仿宋" w:cs="仿宋"/>
          <w:kern w:val="2"/>
        </w:rPr>
        <w:t>承诺单位/个人（盖章/签名）</w:t>
      </w:r>
    </w:p>
    <w:p>
      <w:pPr>
        <w:spacing w:line="560" w:lineRule="exact"/>
        <w:rPr>
          <w:rFonts w:hint="eastAsia" w:ascii="仿宋" w:hAnsi="仿宋" w:eastAsia="仿宋" w:cs="仿宋"/>
          <w:sz w:val="24"/>
        </w:rPr>
      </w:pPr>
      <w:r>
        <w:rPr>
          <w:rFonts w:hint="eastAsia" w:ascii="仿宋" w:hAnsi="仿宋" w:eastAsia="仿宋" w:cs="仿宋"/>
          <w:sz w:val="24"/>
        </w:rPr>
        <w:t xml:space="preserve">                               时间：20**年*月*日</w:t>
      </w: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r>
        <w:rPr>
          <w:rFonts w:hint="eastAsia" w:ascii="仿宋" w:hAnsi="仿宋" w:eastAsia="仿宋" w:cs="仿宋"/>
        </w:rPr>
        <w:br w:type="page"/>
      </w:r>
    </w:p>
    <w:p>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中小企业声明函（工程、 服务）</w:t>
      </w:r>
    </w:p>
    <w:p>
      <w:pPr>
        <w:spacing w:line="56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w:t>
      </w:r>
    </w:p>
    <w:p>
      <w:pPr>
        <w:spacing w:line="5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库﹝2020﹞46 号）的规定，本公司 （联合体）参加</w:t>
      </w:r>
      <w:r>
        <w:rPr>
          <w:rFonts w:hint="eastAsia" w:ascii="仿宋" w:hAnsi="仿宋" w:eastAsia="仿宋" w:cs="仿宋"/>
          <w:color w:val="auto"/>
          <w:sz w:val="24"/>
          <w:highlight w:val="none"/>
          <w:u w:val="single"/>
        </w:rPr>
        <w:t xml:space="preserve"> （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s="仿宋"/>
          <w:sz w:val="24"/>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s="仿宋"/>
          <w:sz w:val="24"/>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单位</w:t>
      </w:r>
      <w:r>
        <w:rPr>
          <w:rFonts w:hint="eastAsia" w:ascii="仿宋" w:hAnsi="仿宋" w:eastAsia="仿宋" w:cs="仿宋"/>
          <w:color w:val="auto"/>
          <w:sz w:val="24"/>
          <w:highlight w:val="none"/>
        </w:rPr>
        <w:t>名称（盖章）：</w:t>
      </w: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注：1、从业人员、营业收入、资产总额填报上一年度数据，无上一年度数据的新成立企业可不填报。</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 xml:space="preserve"> </w:t>
      </w:r>
    </w:p>
    <w:p>
      <w:pPr>
        <w:pStyle w:val="24"/>
        <w:spacing w:line="460" w:lineRule="exact"/>
        <w:rPr>
          <w:rFonts w:hint="eastAsia" w:ascii="仿宋" w:hAnsi="仿宋" w:eastAsia="仿宋" w:cs="仿宋"/>
          <w:color w:val="auto"/>
        </w:rPr>
      </w:pPr>
    </w:p>
    <w:p>
      <w:pPr>
        <w:rPr>
          <w:rFonts w:hint="eastAsia" w:ascii="仿宋" w:hAnsi="仿宋" w:eastAsia="仿宋" w:cs="仿宋"/>
        </w:rPr>
      </w:pPr>
      <w:r>
        <w:rPr>
          <w:rFonts w:hint="eastAsia" w:ascii="仿宋" w:hAnsi="仿宋" w:eastAsia="仿宋" w:cs="仿宋"/>
        </w:rPr>
        <w:br w:type="page"/>
      </w:r>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监狱企业声明函（如有）</w:t>
      </w:r>
    </w:p>
    <w:p>
      <w:pPr>
        <w:pStyle w:val="24"/>
        <w:spacing w:line="460" w:lineRule="exact"/>
        <w:jc w:val="center"/>
        <w:rPr>
          <w:rFonts w:hint="eastAsia" w:ascii="仿宋" w:hAnsi="仿宋" w:eastAsia="仿宋" w:cs="仿宋"/>
          <w:color w:val="auto"/>
        </w:rPr>
      </w:pPr>
      <w:r>
        <w:rPr>
          <w:rFonts w:hint="eastAsia" w:ascii="仿宋" w:hAnsi="仿宋" w:eastAsia="仿宋" w:cs="仿宋"/>
          <w:color w:val="auto"/>
        </w:rPr>
        <w:t>【非监狱企业的不用提供】</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本企业郑重声明，根据《关于政府采购支持监狱企业发展有关问题的通知》(财库[2014]68号）的规定，本企业为监狱企业。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根据上述标准，我企业属于监狱企业的理由为: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本企业为参加</w:t>
      </w:r>
      <w:r>
        <w:rPr>
          <w:rFonts w:hint="eastAsia" w:ascii="仿宋" w:hAnsi="仿宋" w:eastAsia="仿宋" w:cs="仿宋"/>
          <w:color w:val="auto"/>
          <w:u w:val="single"/>
        </w:rPr>
        <w:t>(项目名称: ) (项目编号: )</w:t>
      </w:r>
      <w:r>
        <w:rPr>
          <w:rFonts w:hint="eastAsia" w:ascii="仿宋" w:hAnsi="仿宋" w:eastAsia="仿宋" w:cs="仿宋"/>
          <w:color w:val="auto"/>
        </w:rPr>
        <w:t xml:space="preserve">采购活动提供本企业的产品。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本企业对上述声明的真实性负责。如有虚假，将依法承担相应责任。 </w:t>
      </w:r>
    </w:p>
    <w:p>
      <w:pPr>
        <w:pStyle w:val="24"/>
        <w:spacing w:line="460" w:lineRule="exact"/>
        <w:ind w:firstLine="480" w:firstLineChars="200"/>
        <w:rPr>
          <w:rFonts w:hint="eastAsia" w:ascii="仿宋" w:hAnsi="仿宋" w:eastAsia="仿宋" w:cs="仿宋"/>
          <w:color w:val="auto"/>
        </w:rPr>
      </w:pPr>
    </w:p>
    <w:p>
      <w:pPr>
        <w:pStyle w:val="24"/>
        <w:spacing w:line="460" w:lineRule="exact"/>
        <w:ind w:firstLine="480" w:firstLineChars="200"/>
        <w:rPr>
          <w:rFonts w:hint="eastAsia" w:ascii="仿宋" w:hAnsi="仿宋" w:eastAsia="仿宋" w:cs="仿宋"/>
          <w:color w:val="auto"/>
        </w:rPr>
      </w:pPr>
    </w:p>
    <w:p>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投标人名称(盖章) : </w:t>
      </w:r>
    </w:p>
    <w:p>
      <w:pPr>
        <w:pStyle w:val="24"/>
        <w:spacing w:line="460" w:lineRule="exact"/>
        <w:rPr>
          <w:rFonts w:hint="eastAsia" w:ascii="仿宋" w:hAnsi="仿宋" w:eastAsia="仿宋" w:cs="仿宋"/>
          <w:color w:val="auto"/>
        </w:rPr>
      </w:pPr>
    </w:p>
    <w:p>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日期: 年 月 日 </w:t>
      </w:r>
    </w:p>
    <w:p>
      <w:pPr>
        <w:pStyle w:val="24"/>
        <w:spacing w:line="460" w:lineRule="exact"/>
        <w:rPr>
          <w:rFonts w:hint="eastAsia" w:ascii="仿宋" w:hAnsi="仿宋" w:eastAsia="仿宋" w:cs="仿宋"/>
          <w:color w:val="auto"/>
        </w:rPr>
      </w:pPr>
    </w:p>
    <w:p>
      <w:pPr>
        <w:snapToGrid w:val="0"/>
        <w:spacing w:beforeLines="50" w:after="50" w:line="460" w:lineRule="exact"/>
        <w:ind w:firstLine="480" w:firstLineChars="200"/>
        <w:jc w:val="left"/>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napToGrid w:val="0"/>
        <w:spacing w:beforeLines="50" w:after="50" w:line="460" w:lineRule="exact"/>
        <w:ind w:firstLine="480" w:firstLineChars="200"/>
        <w:jc w:val="left"/>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Lines="50" w:after="50" w:line="460" w:lineRule="exact"/>
        <w:ind w:firstLine="480" w:firstLineChars="200"/>
        <w:jc w:val="left"/>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pStyle w:val="24"/>
        <w:spacing w:line="460" w:lineRule="exact"/>
        <w:rPr>
          <w:rFonts w:hint="eastAsia" w:ascii="仿宋" w:hAnsi="仿宋" w:eastAsia="仿宋" w:cs="仿宋"/>
          <w:color w:val="auto"/>
        </w:rPr>
      </w:pPr>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残疾人福利性单位声明函（如有）</w:t>
      </w:r>
    </w:p>
    <w:p>
      <w:pPr>
        <w:pStyle w:val="24"/>
        <w:spacing w:line="460" w:lineRule="exact"/>
        <w:jc w:val="center"/>
        <w:rPr>
          <w:rFonts w:hint="eastAsia" w:ascii="仿宋" w:hAnsi="仿宋" w:eastAsia="仿宋" w:cs="仿宋"/>
          <w:color w:val="auto"/>
        </w:rPr>
      </w:pPr>
      <w:r>
        <w:rPr>
          <w:rFonts w:hint="eastAsia" w:ascii="仿宋" w:hAnsi="仿宋" w:eastAsia="仿宋" w:cs="仿宋"/>
          <w:color w:val="auto"/>
        </w:rPr>
        <w:t>【非残疾人福利性单位不用提供】</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u w:val="single"/>
        </w:rPr>
        <w:t xml:space="preserve"> (采购人名称)</w:t>
      </w:r>
      <w:r>
        <w:rPr>
          <w:rFonts w:hint="eastAsia" w:ascii="仿宋" w:hAnsi="仿宋" w:eastAsia="仿宋" w:cs="仿宋"/>
          <w:color w:val="auto"/>
        </w:rPr>
        <w:t>单位的</w:t>
      </w:r>
      <w:r>
        <w:rPr>
          <w:rFonts w:hint="eastAsia" w:ascii="仿宋" w:hAnsi="仿宋" w:eastAsia="仿宋" w:cs="仿宋"/>
          <w:color w:val="auto"/>
          <w:u w:val="single"/>
        </w:rPr>
        <w:t xml:space="preserve"> (项目名称)</w:t>
      </w:r>
      <w:r>
        <w:rPr>
          <w:rFonts w:hint="eastAsia" w:ascii="仿宋" w:hAnsi="仿宋" w:eastAsia="仿宋" w:cs="仿宋"/>
          <w:color w:val="auto"/>
        </w:rPr>
        <w:t xml:space="preserve">项目采购活动提供本单位制造的货物(由本单位承担工程/提供服务)，成者提供其他残疾人福利性单位制造的货物(不包括使用非残疾人福利性单位往册商标的货物)。 </w:t>
      </w:r>
    </w:p>
    <w:p>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本单位对上述声明的真实性负责，如有虚假，将依法承但相应责任。 </w:t>
      </w:r>
    </w:p>
    <w:p>
      <w:pPr>
        <w:pStyle w:val="24"/>
        <w:spacing w:line="460" w:lineRule="exact"/>
        <w:ind w:firstLine="480" w:firstLineChars="200"/>
        <w:rPr>
          <w:rFonts w:hint="eastAsia" w:ascii="仿宋" w:hAnsi="仿宋" w:eastAsia="仿宋" w:cs="仿宋"/>
          <w:color w:val="auto"/>
        </w:rPr>
      </w:pPr>
    </w:p>
    <w:p>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投标人名称(盖章)： </w:t>
      </w:r>
    </w:p>
    <w:p>
      <w:pPr>
        <w:pStyle w:val="24"/>
        <w:spacing w:line="460" w:lineRule="exact"/>
        <w:rPr>
          <w:rFonts w:hint="eastAsia" w:ascii="仿宋" w:hAnsi="仿宋" w:eastAsia="仿宋" w:cs="仿宋"/>
          <w:color w:val="auto"/>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rPr>
        <w:t>日期： 年 月 日</w:t>
      </w: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pStyle w:val="10"/>
        <w:rPr>
          <w:rFonts w:hint="eastAsia" w:ascii="仿宋" w:hAnsi="仿宋" w:eastAsia="仿宋" w:cs="仿宋"/>
          <w:sz w:val="24"/>
        </w:rPr>
      </w:pPr>
    </w:p>
    <w:p>
      <w:pPr>
        <w:pStyle w:val="10"/>
        <w:rPr>
          <w:rFonts w:hint="eastAsia" w:ascii="仿宋" w:hAnsi="仿宋" w:eastAsia="仿宋" w:cs="仿宋"/>
          <w:sz w:val="24"/>
        </w:rPr>
      </w:pPr>
    </w:p>
    <w:p>
      <w:pPr>
        <w:snapToGrid w:val="0"/>
        <w:spacing w:line="360" w:lineRule="auto"/>
        <w:ind w:right="560" w:firstLine="5040" w:firstLineChars="2100"/>
        <w:rPr>
          <w:rFonts w:hint="eastAsia" w:ascii="仿宋" w:hAnsi="仿宋" w:eastAsia="仿宋" w:cs="仿宋"/>
          <w:sz w:val="24"/>
        </w:rPr>
      </w:pPr>
    </w:p>
    <w:p>
      <w:pPr>
        <w:widowControl/>
        <w:jc w:val="left"/>
        <w:rPr>
          <w:rFonts w:hint="eastAsia" w:ascii="仿宋" w:hAnsi="仿宋" w:eastAsia="仿宋" w:cs="仿宋"/>
          <w:sz w:val="24"/>
        </w:rPr>
      </w:pPr>
    </w:p>
    <w:p>
      <w:pPr>
        <w:pStyle w:val="24"/>
        <w:spacing w:line="460" w:lineRule="exact"/>
        <w:jc w:val="center"/>
        <w:rPr>
          <w:rFonts w:hint="eastAsia" w:ascii="仿宋" w:hAnsi="仿宋" w:eastAsia="仿宋" w:cs="仿宋"/>
          <w:b/>
          <w:bCs/>
          <w:color w:val="auto"/>
        </w:rPr>
      </w:pPr>
    </w:p>
    <w:p>
      <w:pPr>
        <w:pStyle w:val="24"/>
        <w:spacing w:line="460" w:lineRule="exact"/>
        <w:jc w:val="center"/>
        <w:rPr>
          <w:rFonts w:hint="eastAsia" w:ascii="仿宋" w:hAnsi="仿宋" w:eastAsia="仿宋" w:cs="仿宋"/>
          <w:color w:val="auto"/>
        </w:rPr>
      </w:pPr>
      <w:r>
        <w:rPr>
          <w:rFonts w:hint="eastAsia" w:ascii="仿宋" w:hAnsi="仿宋" w:eastAsia="仿宋" w:cs="仿宋"/>
          <w:b/>
          <w:bCs/>
          <w:color w:val="auto"/>
        </w:rPr>
        <w:t>投标人自评分索引表</w:t>
      </w: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lang w:eastAsia="zh-CN"/>
        </w:rPr>
        <w:t>单位</w:t>
      </w:r>
      <w:r>
        <w:rPr>
          <w:rFonts w:hint="eastAsia" w:ascii="仿宋" w:hAnsi="仿宋" w:eastAsia="仿宋" w:cs="仿宋"/>
          <w:sz w:val="24"/>
        </w:rPr>
        <w:t>全称（公章）：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r>
              <w:rPr>
                <w:rFonts w:hint="eastAsia" w:ascii="仿宋" w:hAnsi="仿宋" w:eastAsia="仿宋" w:cs="仿宋"/>
                <w:sz w:val="24"/>
              </w:rPr>
              <w:t>评分项目</w:t>
            </w:r>
          </w:p>
        </w:tc>
        <w:tc>
          <w:tcPr>
            <w:tcW w:w="2835" w:type="dxa"/>
            <w:noWrap w:val="0"/>
            <w:vAlign w:val="center"/>
          </w:tcPr>
          <w:p>
            <w:pPr>
              <w:snapToGrid w:val="0"/>
              <w:spacing w:beforeLines="50" w:after="50" w:line="460" w:lineRule="exact"/>
              <w:jc w:val="center"/>
              <w:rPr>
                <w:rFonts w:hint="eastAsia" w:ascii="仿宋" w:hAnsi="仿宋" w:eastAsia="仿宋" w:cs="仿宋"/>
                <w:sz w:val="24"/>
              </w:rPr>
            </w:pPr>
            <w:r>
              <w:rPr>
                <w:rFonts w:hint="eastAsia" w:ascii="仿宋" w:hAnsi="仿宋" w:eastAsia="仿宋" w:cs="仿宋"/>
                <w:sz w:val="24"/>
              </w:rPr>
              <w:t>投标文件对应资料</w:t>
            </w:r>
          </w:p>
        </w:tc>
        <w:tc>
          <w:tcPr>
            <w:tcW w:w="1329" w:type="dxa"/>
            <w:noWrap w:val="0"/>
            <w:vAlign w:val="center"/>
          </w:tcPr>
          <w:p>
            <w:pPr>
              <w:snapToGrid w:val="0"/>
              <w:spacing w:beforeLines="50" w:after="50" w:line="460" w:lineRule="exact"/>
              <w:jc w:val="center"/>
              <w:rPr>
                <w:rFonts w:hint="eastAsia" w:ascii="仿宋" w:hAnsi="仿宋" w:eastAsia="仿宋" w:cs="仿宋"/>
                <w:sz w:val="24"/>
              </w:rPr>
            </w:pPr>
            <w:r>
              <w:rPr>
                <w:rFonts w:hint="eastAsia" w:ascii="仿宋" w:hAnsi="仿宋" w:eastAsia="仿宋" w:cs="仿宋"/>
                <w:sz w:val="24"/>
              </w:rPr>
              <w:t>自评分</w:t>
            </w:r>
          </w:p>
        </w:tc>
        <w:tc>
          <w:tcPr>
            <w:tcW w:w="2181" w:type="dxa"/>
            <w:noWrap w:val="0"/>
            <w:vAlign w:val="center"/>
          </w:tcPr>
          <w:p>
            <w:pPr>
              <w:snapToGrid w:val="0"/>
              <w:spacing w:beforeLines="50" w:after="50" w:line="460" w:lineRule="exact"/>
              <w:jc w:val="center"/>
              <w:rPr>
                <w:rFonts w:hint="eastAsia" w:ascii="仿宋" w:hAnsi="仿宋" w:eastAsia="仿宋" w:cs="仿宋"/>
                <w:sz w:val="24"/>
              </w:rPr>
            </w:pPr>
            <w:r>
              <w:rPr>
                <w:rFonts w:hint="eastAsia" w:ascii="仿宋" w:hAnsi="仿宋" w:eastAsia="仿宋" w:cs="仿宋"/>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r>
              <w:rPr>
                <w:rFonts w:hint="eastAsia" w:ascii="仿宋" w:hAnsi="仿宋" w:eastAsia="仿宋" w:cs="仿宋"/>
                <w:sz w:val="24"/>
              </w:rPr>
              <w:t>对应第四章评分办法及评分标准（报价除外）</w:t>
            </w:r>
          </w:p>
        </w:tc>
        <w:tc>
          <w:tcPr>
            <w:tcW w:w="2835" w:type="dxa"/>
            <w:noWrap w:val="0"/>
            <w:vAlign w:val="center"/>
          </w:tcPr>
          <w:p>
            <w:pPr>
              <w:snapToGrid w:val="0"/>
              <w:spacing w:beforeLines="50" w:after="50" w:line="460" w:lineRule="exact"/>
              <w:jc w:val="center"/>
              <w:rPr>
                <w:rFonts w:hint="eastAsia" w:ascii="仿宋" w:hAnsi="仿宋" w:eastAsia="仿宋" w:cs="仿宋"/>
                <w:sz w:val="24"/>
              </w:rPr>
            </w:pPr>
          </w:p>
        </w:tc>
        <w:tc>
          <w:tcPr>
            <w:tcW w:w="1329" w:type="dxa"/>
            <w:noWrap w:val="0"/>
            <w:vAlign w:val="center"/>
          </w:tcPr>
          <w:p>
            <w:pPr>
              <w:snapToGrid w:val="0"/>
              <w:spacing w:beforeLines="50" w:after="50" w:line="460" w:lineRule="exact"/>
              <w:jc w:val="center"/>
              <w:rPr>
                <w:rFonts w:hint="eastAsia" w:ascii="仿宋" w:hAnsi="仿宋" w:eastAsia="仿宋" w:cs="仿宋"/>
                <w:sz w:val="24"/>
              </w:rPr>
            </w:pPr>
          </w:p>
        </w:tc>
        <w:tc>
          <w:tcPr>
            <w:tcW w:w="2181" w:type="dxa"/>
            <w:noWrap w:val="0"/>
            <w:vAlign w:val="center"/>
          </w:tcPr>
          <w:p>
            <w:pPr>
              <w:snapToGrid w:val="0"/>
              <w:spacing w:beforeLines="50" w:after="50" w:line="4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r>
              <w:rPr>
                <w:rFonts w:hint="eastAsia" w:ascii="仿宋" w:hAnsi="仿宋" w:eastAsia="仿宋" w:cs="仿宋"/>
                <w:sz w:val="24"/>
              </w:rPr>
              <w:t>……</w:t>
            </w:r>
          </w:p>
        </w:tc>
        <w:tc>
          <w:tcPr>
            <w:tcW w:w="2835" w:type="dxa"/>
            <w:noWrap w:val="0"/>
            <w:vAlign w:val="center"/>
          </w:tcPr>
          <w:p>
            <w:pPr>
              <w:snapToGrid w:val="0"/>
              <w:spacing w:beforeLines="50" w:after="50" w:line="460" w:lineRule="exact"/>
              <w:jc w:val="center"/>
              <w:rPr>
                <w:rFonts w:hint="eastAsia" w:ascii="仿宋" w:hAnsi="仿宋" w:eastAsia="仿宋" w:cs="仿宋"/>
                <w:sz w:val="24"/>
              </w:rPr>
            </w:pPr>
          </w:p>
        </w:tc>
        <w:tc>
          <w:tcPr>
            <w:tcW w:w="1329" w:type="dxa"/>
            <w:noWrap w:val="0"/>
            <w:vAlign w:val="center"/>
          </w:tcPr>
          <w:p>
            <w:pPr>
              <w:snapToGrid w:val="0"/>
              <w:spacing w:beforeLines="50" w:after="50" w:line="460" w:lineRule="exact"/>
              <w:jc w:val="center"/>
              <w:rPr>
                <w:rFonts w:hint="eastAsia" w:ascii="仿宋" w:hAnsi="仿宋" w:eastAsia="仿宋" w:cs="仿宋"/>
                <w:sz w:val="24"/>
              </w:rPr>
            </w:pPr>
          </w:p>
        </w:tc>
        <w:tc>
          <w:tcPr>
            <w:tcW w:w="2181" w:type="dxa"/>
            <w:noWrap w:val="0"/>
            <w:vAlign w:val="center"/>
          </w:tcPr>
          <w:p>
            <w:pPr>
              <w:snapToGrid w:val="0"/>
              <w:spacing w:beforeLines="50" w:after="50" w:line="4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p>
        </w:tc>
        <w:tc>
          <w:tcPr>
            <w:tcW w:w="2835" w:type="dxa"/>
            <w:noWrap w:val="0"/>
            <w:vAlign w:val="center"/>
          </w:tcPr>
          <w:p>
            <w:pPr>
              <w:snapToGrid w:val="0"/>
              <w:spacing w:beforeLines="50" w:after="50" w:line="460" w:lineRule="exact"/>
              <w:jc w:val="center"/>
              <w:rPr>
                <w:rFonts w:hint="eastAsia" w:ascii="仿宋" w:hAnsi="仿宋" w:eastAsia="仿宋" w:cs="仿宋"/>
                <w:sz w:val="24"/>
              </w:rPr>
            </w:pPr>
          </w:p>
        </w:tc>
        <w:tc>
          <w:tcPr>
            <w:tcW w:w="1329" w:type="dxa"/>
            <w:noWrap w:val="0"/>
            <w:vAlign w:val="center"/>
          </w:tcPr>
          <w:p>
            <w:pPr>
              <w:snapToGrid w:val="0"/>
              <w:spacing w:beforeLines="50" w:after="50" w:line="460" w:lineRule="exact"/>
              <w:jc w:val="center"/>
              <w:rPr>
                <w:rFonts w:hint="eastAsia" w:ascii="仿宋" w:hAnsi="仿宋" w:eastAsia="仿宋" w:cs="仿宋"/>
                <w:sz w:val="24"/>
              </w:rPr>
            </w:pPr>
          </w:p>
        </w:tc>
        <w:tc>
          <w:tcPr>
            <w:tcW w:w="2181" w:type="dxa"/>
            <w:noWrap w:val="0"/>
            <w:vAlign w:val="center"/>
          </w:tcPr>
          <w:p>
            <w:pPr>
              <w:snapToGrid w:val="0"/>
              <w:spacing w:beforeLines="50" w:after="50" w:line="4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p>
        </w:tc>
        <w:tc>
          <w:tcPr>
            <w:tcW w:w="2835" w:type="dxa"/>
            <w:noWrap w:val="0"/>
            <w:vAlign w:val="center"/>
          </w:tcPr>
          <w:p>
            <w:pPr>
              <w:snapToGrid w:val="0"/>
              <w:spacing w:beforeLines="50" w:after="50" w:line="460" w:lineRule="exact"/>
              <w:jc w:val="center"/>
              <w:rPr>
                <w:rFonts w:hint="eastAsia" w:ascii="仿宋" w:hAnsi="仿宋" w:eastAsia="仿宋" w:cs="仿宋"/>
                <w:sz w:val="24"/>
              </w:rPr>
            </w:pPr>
          </w:p>
        </w:tc>
        <w:tc>
          <w:tcPr>
            <w:tcW w:w="1329" w:type="dxa"/>
            <w:noWrap w:val="0"/>
            <w:vAlign w:val="center"/>
          </w:tcPr>
          <w:p>
            <w:pPr>
              <w:snapToGrid w:val="0"/>
              <w:spacing w:beforeLines="50" w:after="50" w:line="460" w:lineRule="exact"/>
              <w:jc w:val="center"/>
              <w:rPr>
                <w:rFonts w:hint="eastAsia" w:ascii="仿宋" w:hAnsi="仿宋" w:eastAsia="仿宋" w:cs="仿宋"/>
                <w:sz w:val="24"/>
              </w:rPr>
            </w:pPr>
          </w:p>
        </w:tc>
        <w:tc>
          <w:tcPr>
            <w:tcW w:w="2181" w:type="dxa"/>
            <w:noWrap w:val="0"/>
            <w:vAlign w:val="center"/>
          </w:tcPr>
          <w:p>
            <w:pPr>
              <w:snapToGrid w:val="0"/>
              <w:spacing w:beforeLines="50" w:after="50" w:line="4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p>
        </w:tc>
        <w:tc>
          <w:tcPr>
            <w:tcW w:w="2835" w:type="dxa"/>
            <w:noWrap w:val="0"/>
            <w:vAlign w:val="center"/>
          </w:tcPr>
          <w:p>
            <w:pPr>
              <w:snapToGrid w:val="0"/>
              <w:spacing w:beforeLines="50" w:after="50" w:line="460" w:lineRule="exact"/>
              <w:jc w:val="center"/>
              <w:rPr>
                <w:rFonts w:hint="eastAsia" w:ascii="仿宋" w:hAnsi="仿宋" w:eastAsia="仿宋" w:cs="仿宋"/>
                <w:sz w:val="24"/>
              </w:rPr>
            </w:pPr>
          </w:p>
        </w:tc>
        <w:tc>
          <w:tcPr>
            <w:tcW w:w="1329" w:type="dxa"/>
            <w:noWrap w:val="0"/>
            <w:vAlign w:val="center"/>
          </w:tcPr>
          <w:p>
            <w:pPr>
              <w:snapToGrid w:val="0"/>
              <w:spacing w:beforeLines="50" w:after="50" w:line="460" w:lineRule="exact"/>
              <w:jc w:val="center"/>
              <w:rPr>
                <w:rFonts w:hint="eastAsia" w:ascii="仿宋" w:hAnsi="仿宋" w:eastAsia="仿宋" w:cs="仿宋"/>
                <w:sz w:val="24"/>
              </w:rPr>
            </w:pPr>
          </w:p>
        </w:tc>
        <w:tc>
          <w:tcPr>
            <w:tcW w:w="2181" w:type="dxa"/>
            <w:noWrap w:val="0"/>
            <w:vAlign w:val="center"/>
          </w:tcPr>
          <w:p>
            <w:pPr>
              <w:snapToGrid w:val="0"/>
              <w:spacing w:beforeLines="50" w:after="50" w:line="4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snapToGrid w:val="0"/>
              <w:spacing w:beforeLines="50" w:after="50" w:line="460" w:lineRule="exact"/>
              <w:jc w:val="center"/>
              <w:rPr>
                <w:rFonts w:hint="eastAsia" w:ascii="仿宋" w:hAnsi="仿宋" w:eastAsia="仿宋" w:cs="仿宋"/>
                <w:sz w:val="24"/>
              </w:rPr>
            </w:pPr>
          </w:p>
        </w:tc>
        <w:tc>
          <w:tcPr>
            <w:tcW w:w="2835" w:type="dxa"/>
            <w:noWrap w:val="0"/>
            <w:vAlign w:val="center"/>
          </w:tcPr>
          <w:p>
            <w:pPr>
              <w:snapToGrid w:val="0"/>
              <w:spacing w:beforeLines="50" w:after="50" w:line="460" w:lineRule="exact"/>
              <w:jc w:val="center"/>
              <w:rPr>
                <w:rFonts w:hint="eastAsia" w:ascii="仿宋" w:hAnsi="仿宋" w:eastAsia="仿宋" w:cs="仿宋"/>
                <w:sz w:val="24"/>
              </w:rPr>
            </w:pPr>
          </w:p>
        </w:tc>
        <w:tc>
          <w:tcPr>
            <w:tcW w:w="1329" w:type="dxa"/>
            <w:noWrap w:val="0"/>
            <w:vAlign w:val="center"/>
          </w:tcPr>
          <w:p>
            <w:pPr>
              <w:snapToGrid w:val="0"/>
              <w:spacing w:beforeLines="50" w:after="50" w:line="460" w:lineRule="exact"/>
              <w:jc w:val="center"/>
              <w:rPr>
                <w:rFonts w:hint="eastAsia" w:ascii="仿宋" w:hAnsi="仿宋" w:eastAsia="仿宋" w:cs="仿宋"/>
                <w:sz w:val="24"/>
              </w:rPr>
            </w:pPr>
          </w:p>
        </w:tc>
        <w:tc>
          <w:tcPr>
            <w:tcW w:w="2181" w:type="dxa"/>
            <w:noWrap w:val="0"/>
            <w:vAlign w:val="center"/>
          </w:tcPr>
          <w:p>
            <w:pPr>
              <w:snapToGrid w:val="0"/>
              <w:spacing w:beforeLines="50" w:after="50" w:line="460" w:lineRule="exact"/>
              <w:jc w:val="center"/>
              <w:rPr>
                <w:rFonts w:hint="eastAsia" w:ascii="仿宋" w:hAnsi="仿宋" w:eastAsia="仿宋" w:cs="仿宋"/>
                <w:sz w:val="24"/>
              </w:rPr>
            </w:pPr>
          </w:p>
        </w:tc>
      </w:tr>
    </w:tbl>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rPr>
        <w:t>法定代表人或其授权代理人签字或盖章：</w:t>
      </w:r>
    </w:p>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rPr>
        <w:t>日期： 年 月 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rPr>
        <w:br w:type="page"/>
      </w:r>
      <w:r>
        <w:rPr>
          <w:rFonts w:hint="eastAsia" w:ascii="仿宋" w:hAnsi="仿宋" w:eastAsia="仿宋" w:cs="仿宋"/>
          <w:b/>
          <w:color w:val="auto"/>
          <w:sz w:val="24"/>
          <w:highlight w:val="none"/>
          <w:lang w:eastAsia="zh-CN"/>
        </w:rPr>
        <w:t>招标</w:t>
      </w:r>
      <w:r>
        <w:rPr>
          <w:rFonts w:hint="eastAsia" w:ascii="仿宋" w:hAnsi="仿宋" w:eastAsia="仿宋" w:cs="仿宋"/>
          <w:b/>
          <w:color w:val="auto"/>
          <w:sz w:val="24"/>
          <w:highlight w:val="none"/>
        </w:rPr>
        <w:t>项目实施人员配备表</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（项目负责人</w:t>
      </w:r>
      <w:r>
        <w:rPr>
          <w:rFonts w:hint="eastAsia" w:ascii="仿宋" w:hAnsi="仿宋" w:eastAsia="仿宋" w:cs="仿宋"/>
          <w:b/>
          <w:color w:val="auto"/>
          <w:sz w:val="24"/>
          <w:highlight w:val="none"/>
          <w:lang w:eastAsia="zh-CN"/>
        </w:rPr>
        <w:t>简历表</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594"/>
        <w:gridCol w:w="891"/>
        <w:gridCol w:w="891"/>
        <w:gridCol w:w="1134"/>
        <w:gridCol w:w="945"/>
        <w:gridCol w:w="1385"/>
        <w:gridCol w:w="88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1002" w:type="dxa"/>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1485" w:type="dxa"/>
            <w:gridSpan w:val="2"/>
            <w:noWrap w:val="0"/>
            <w:vAlign w:val="center"/>
          </w:tcPr>
          <w:p>
            <w:pPr>
              <w:spacing w:beforeLines="10" w:line="360" w:lineRule="exact"/>
              <w:jc w:val="center"/>
              <w:rPr>
                <w:rFonts w:hint="eastAsia" w:ascii="仿宋" w:hAnsi="仿宋" w:eastAsia="仿宋" w:cs="仿宋"/>
                <w:color w:val="auto"/>
                <w:sz w:val="21"/>
                <w:szCs w:val="21"/>
                <w:lang w:eastAsia="zh-CN"/>
              </w:rPr>
            </w:pPr>
          </w:p>
        </w:tc>
        <w:tc>
          <w:tcPr>
            <w:tcW w:w="891" w:type="dxa"/>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性别</w:t>
            </w:r>
          </w:p>
        </w:tc>
        <w:tc>
          <w:tcPr>
            <w:tcW w:w="1134" w:type="dxa"/>
            <w:noWrap w:val="0"/>
            <w:vAlign w:val="center"/>
          </w:tcPr>
          <w:p>
            <w:pPr>
              <w:spacing w:beforeLines="10" w:line="360" w:lineRule="exact"/>
              <w:jc w:val="center"/>
              <w:rPr>
                <w:rFonts w:hint="eastAsia" w:ascii="仿宋" w:hAnsi="仿宋" w:eastAsia="仿宋" w:cs="仿宋"/>
                <w:color w:val="auto"/>
                <w:sz w:val="21"/>
                <w:szCs w:val="21"/>
                <w:lang w:eastAsia="zh-CN"/>
              </w:rPr>
            </w:pPr>
          </w:p>
        </w:tc>
        <w:tc>
          <w:tcPr>
            <w:tcW w:w="945" w:type="dxa"/>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年龄</w:t>
            </w:r>
          </w:p>
        </w:tc>
        <w:tc>
          <w:tcPr>
            <w:tcW w:w="1385" w:type="dxa"/>
            <w:noWrap w:val="0"/>
            <w:vAlign w:val="center"/>
          </w:tcPr>
          <w:p>
            <w:pPr>
              <w:spacing w:beforeLines="10" w:line="360" w:lineRule="exact"/>
              <w:jc w:val="center"/>
              <w:rPr>
                <w:rFonts w:hint="eastAsia" w:ascii="仿宋" w:hAnsi="仿宋" w:eastAsia="仿宋" w:cs="仿宋"/>
                <w:color w:val="auto"/>
                <w:sz w:val="21"/>
                <w:szCs w:val="21"/>
                <w:lang w:val="en-US" w:eastAsia="zh-CN"/>
              </w:rPr>
            </w:pPr>
          </w:p>
        </w:tc>
        <w:tc>
          <w:tcPr>
            <w:tcW w:w="884" w:type="dxa"/>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w:t>
            </w:r>
          </w:p>
        </w:tc>
        <w:tc>
          <w:tcPr>
            <w:tcW w:w="1539" w:type="dxa"/>
            <w:noWrap w:val="0"/>
            <w:vAlign w:val="center"/>
          </w:tcPr>
          <w:p>
            <w:pPr>
              <w:spacing w:beforeLines="10" w:line="360" w:lineRule="exact"/>
              <w:jc w:val="center"/>
              <w:rPr>
                <w:rFonts w:hint="eastAsia" w:ascii="仿宋" w:hAnsi="仿宋" w:eastAsia="仿宋" w:cs="仿宋"/>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1596" w:type="dxa"/>
            <w:gridSpan w:val="2"/>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资质等级</w:t>
            </w:r>
          </w:p>
        </w:tc>
        <w:tc>
          <w:tcPr>
            <w:tcW w:w="1782" w:type="dxa"/>
            <w:gridSpan w:val="2"/>
            <w:noWrap w:val="0"/>
            <w:vAlign w:val="center"/>
          </w:tcPr>
          <w:p>
            <w:pPr>
              <w:spacing w:beforeLines="10" w:line="360" w:lineRule="exact"/>
              <w:jc w:val="center"/>
              <w:rPr>
                <w:rFonts w:hint="eastAsia" w:ascii="仿宋" w:hAnsi="仿宋" w:eastAsia="仿宋" w:cs="仿宋"/>
                <w:color w:val="auto"/>
                <w:sz w:val="21"/>
                <w:szCs w:val="21"/>
                <w:lang w:eastAsia="zh-CN"/>
              </w:rPr>
            </w:pPr>
          </w:p>
        </w:tc>
        <w:tc>
          <w:tcPr>
            <w:tcW w:w="1134" w:type="dxa"/>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职称</w:t>
            </w:r>
          </w:p>
        </w:tc>
        <w:tc>
          <w:tcPr>
            <w:tcW w:w="2330" w:type="dxa"/>
            <w:gridSpan w:val="2"/>
            <w:noWrap w:val="0"/>
            <w:vAlign w:val="center"/>
          </w:tcPr>
          <w:p>
            <w:pPr>
              <w:spacing w:beforeLines="10" w:line="360" w:lineRule="exact"/>
              <w:jc w:val="center"/>
              <w:rPr>
                <w:rFonts w:hint="eastAsia" w:ascii="仿宋" w:hAnsi="仿宋" w:eastAsia="仿宋" w:cs="仿宋"/>
                <w:color w:val="auto"/>
                <w:sz w:val="21"/>
                <w:szCs w:val="21"/>
              </w:rPr>
            </w:pPr>
          </w:p>
        </w:tc>
        <w:tc>
          <w:tcPr>
            <w:tcW w:w="884" w:type="dxa"/>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学历</w:t>
            </w:r>
          </w:p>
        </w:tc>
        <w:tc>
          <w:tcPr>
            <w:tcW w:w="1539" w:type="dxa"/>
            <w:noWrap w:val="0"/>
            <w:vAlign w:val="center"/>
          </w:tcPr>
          <w:p>
            <w:pPr>
              <w:spacing w:beforeLines="10" w:line="360" w:lineRule="exact"/>
              <w:jc w:val="center"/>
              <w:rPr>
                <w:rFonts w:hint="eastAsia" w:ascii="仿宋" w:hAnsi="仿宋" w:eastAsia="仿宋" w:cs="仿宋"/>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2487" w:type="dxa"/>
            <w:gridSpan w:val="3"/>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参加工作时间</w:t>
            </w:r>
          </w:p>
        </w:tc>
        <w:tc>
          <w:tcPr>
            <w:tcW w:w="6778" w:type="dxa"/>
            <w:gridSpan w:val="6"/>
            <w:noWrap w:val="0"/>
            <w:vAlign w:val="center"/>
          </w:tcPr>
          <w:p>
            <w:pPr>
              <w:spacing w:beforeLines="10" w:line="360" w:lineRule="exact"/>
              <w:jc w:val="center"/>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2487" w:type="dxa"/>
            <w:gridSpan w:val="3"/>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毕业院校</w:t>
            </w:r>
          </w:p>
        </w:tc>
        <w:tc>
          <w:tcPr>
            <w:tcW w:w="2025" w:type="dxa"/>
            <w:gridSpan w:val="2"/>
            <w:noWrap w:val="0"/>
            <w:vAlign w:val="center"/>
          </w:tcPr>
          <w:p>
            <w:pPr>
              <w:spacing w:beforeLines="10" w:line="360" w:lineRule="exact"/>
              <w:jc w:val="center"/>
              <w:rPr>
                <w:rFonts w:hint="eastAsia" w:ascii="仿宋" w:hAnsi="仿宋" w:eastAsia="仿宋" w:cs="仿宋"/>
                <w:color w:val="auto"/>
                <w:sz w:val="21"/>
                <w:szCs w:val="21"/>
                <w:lang w:eastAsia="zh-CN"/>
              </w:rPr>
            </w:pPr>
          </w:p>
        </w:tc>
        <w:tc>
          <w:tcPr>
            <w:tcW w:w="3214" w:type="dxa"/>
            <w:gridSpan w:val="3"/>
            <w:noWrap w:val="0"/>
            <w:vAlign w:val="center"/>
          </w:tcPr>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联系电话</w:t>
            </w:r>
          </w:p>
        </w:tc>
        <w:tc>
          <w:tcPr>
            <w:tcW w:w="1539" w:type="dxa"/>
            <w:noWrap w:val="0"/>
            <w:vAlign w:val="center"/>
          </w:tcPr>
          <w:p>
            <w:pPr>
              <w:spacing w:beforeLines="10" w:line="36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2" w:hRule="atLeast"/>
        </w:trPr>
        <w:tc>
          <w:tcPr>
            <w:tcW w:w="1002" w:type="dxa"/>
            <w:noWrap w:val="0"/>
            <w:vAlign w:val="center"/>
          </w:tcPr>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简</w:t>
            </w: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历</w:t>
            </w: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p>
            <w:pPr>
              <w:spacing w:beforeLines="10" w:line="360" w:lineRule="exact"/>
              <w:jc w:val="center"/>
              <w:rPr>
                <w:rFonts w:hint="eastAsia" w:ascii="仿宋" w:hAnsi="仿宋" w:eastAsia="仿宋" w:cs="仿宋"/>
                <w:color w:val="auto"/>
                <w:sz w:val="21"/>
                <w:szCs w:val="21"/>
              </w:rPr>
            </w:pPr>
          </w:p>
        </w:tc>
        <w:tc>
          <w:tcPr>
            <w:tcW w:w="8263" w:type="dxa"/>
            <w:gridSpan w:val="8"/>
            <w:noWrap w:val="0"/>
            <w:vAlign w:val="top"/>
          </w:tcPr>
          <w:p>
            <w:pPr>
              <w:spacing w:beforeLines="10" w:line="360" w:lineRule="exact"/>
              <w:rPr>
                <w:rFonts w:hint="eastAsia" w:ascii="仿宋" w:hAnsi="仿宋" w:eastAsia="仿宋" w:cs="仿宋"/>
                <w:color w:val="auto"/>
              </w:rPr>
            </w:pPr>
          </w:p>
          <w:p>
            <w:pPr>
              <w:spacing w:beforeLines="10" w:line="360" w:lineRule="exact"/>
              <w:rPr>
                <w:rFonts w:hint="eastAsia" w:ascii="仿宋" w:hAnsi="仿宋" w:eastAsia="仿宋" w:cs="仿宋"/>
                <w:color w:val="auto"/>
              </w:rPr>
            </w:pPr>
          </w:p>
          <w:p>
            <w:pPr>
              <w:pStyle w:val="7"/>
              <w:ind w:left="0" w:leftChars="0" w:firstLine="0" w:firstLineChars="0"/>
              <w:rPr>
                <w:rFonts w:hint="eastAsia" w:ascii="仿宋" w:hAnsi="仿宋" w:eastAsia="仿宋" w:cs="仿宋"/>
                <w:color w:val="auto"/>
                <w:kern w:val="2"/>
                <w:sz w:val="24"/>
                <w:szCs w:val="24"/>
                <w:lang w:val="en-US" w:eastAsia="zh-CN" w:bidi="ar-SA"/>
              </w:rPr>
            </w:pPr>
          </w:p>
          <w:p>
            <w:pPr>
              <w:pStyle w:val="7"/>
              <w:ind w:left="0" w:leftChars="0" w:firstLine="0" w:firstLineChars="0"/>
              <w:rPr>
                <w:rFonts w:hint="eastAsia" w:ascii="仿宋" w:hAnsi="仿宋" w:eastAsia="仿宋" w:cs="仿宋"/>
                <w:color w:val="auto"/>
                <w:lang w:eastAsia="zh-CN"/>
              </w:rPr>
            </w:pPr>
          </w:p>
        </w:tc>
      </w:tr>
    </w:tbl>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应根据需要准备足够数量的表格来填写；</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2、请附</w:t>
      </w:r>
      <w:r>
        <w:rPr>
          <w:rFonts w:hint="eastAsia" w:ascii="仿宋" w:hAnsi="仿宋" w:eastAsia="仿宋" w:cs="仿宋"/>
          <w:color w:val="auto"/>
          <w:sz w:val="24"/>
          <w:highlight w:val="none"/>
          <w:lang w:val="zh-CN"/>
        </w:rPr>
        <w:t>随表</w:t>
      </w:r>
      <w:r>
        <w:rPr>
          <w:rFonts w:hint="eastAsia" w:ascii="仿宋" w:hAnsi="仿宋" w:eastAsia="仿宋" w:cs="仿宋"/>
          <w:bCs/>
          <w:color w:val="auto"/>
          <w:sz w:val="24"/>
          <w:highlight w:val="none"/>
        </w:rPr>
        <w:t>相应证书、身份证复印件等（加盖公章）。</w:t>
      </w:r>
    </w:p>
    <w:p>
      <w:pPr>
        <w:spacing w:line="360" w:lineRule="auto"/>
        <w:ind w:left="765" w:leftChars="2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3、项目负责人</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社会保险的证明。</w:t>
      </w: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（项目团队，除项目负责人以外的配备人员）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项目编号：</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45"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338"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48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76"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03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bl>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tabs>
          <w:tab w:val="left" w:pos="3654"/>
        </w:tabs>
        <w:rPr>
          <w:rFonts w:hint="eastAsia" w:ascii="仿宋" w:hAnsi="仿宋" w:eastAsia="仿宋" w:cs="仿宋"/>
          <w:color w:val="auto"/>
          <w:sz w:val="24"/>
          <w:highlight w:val="none"/>
        </w:rPr>
      </w:pPr>
    </w:p>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应根据需要准备足够数量的表格来填写；</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2、请附证书、身份证复印件（加盖公章）。</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3、项目团队人员参加</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社会保险的证明。</w:t>
      </w:r>
    </w:p>
    <w:p>
      <w:pPr>
        <w:pStyle w:val="10"/>
        <w:ind w:left="0"/>
        <w:jc w:val="left"/>
        <w:rPr>
          <w:rFonts w:hint="eastAsia" w:ascii="仿宋" w:hAnsi="仿宋" w:eastAsia="仿宋" w:cs="仿宋"/>
          <w:sz w:val="24"/>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5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商务响应表</w:t>
      </w:r>
    </w:p>
    <w:p>
      <w:pPr>
        <w:pStyle w:val="24"/>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highlight w:val="none"/>
          <w:lang w:eastAsia="zh-CN"/>
        </w:rPr>
        <w:t>单位</w:t>
      </w:r>
      <w:r>
        <w:rPr>
          <w:rFonts w:hint="eastAsia" w:ascii="仿宋" w:hAnsi="仿宋" w:eastAsia="仿宋" w:cs="仿宋"/>
          <w:color w:val="auto"/>
          <w:highlight w:val="none"/>
        </w:rPr>
        <w:t>全称（加盖公章）：</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lang w:eastAsia="zh-CN"/>
        </w:rPr>
        <w:t xml:space="preserve"> </w:t>
      </w:r>
    </w:p>
    <w:tbl>
      <w:tblPr>
        <w:tblStyle w:val="1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2409" w:type="dxa"/>
            <w:noWrap w:val="0"/>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要求</w:t>
            </w:r>
          </w:p>
        </w:tc>
        <w:tc>
          <w:tcPr>
            <w:tcW w:w="1843" w:type="dxa"/>
            <w:noWrap w:val="0"/>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是否响应</w:t>
            </w:r>
          </w:p>
        </w:tc>
        <w:tc>
          <w:tcPr>
            <w:tcW w:w="2801" w:type="dxa"/>
            <w:noWrap w:val="0"/>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服务期限</w:t>
            </w:r>
          </w:p>
        </w:tc>
        <w:tc>
          <w:tcPr>
            <w:tcW w:w="2409" w:type="dxa"/>
            <w:noWrap w:val="0"/>
            <w:vAlign w:val="center"/>
          </w:tcPr>
          <w:p>
            <w:pPr>
              <w:spacing w:line="460" w:lineRule="exact"/>
              <w:jc w:val="center"/>
              <w:rPr>
                <w:rFonts w:hint="eastAsia" w:ascii="仿宋" w:hAnsi="仿宋" w:eastAsia="仿宋" w:cs="仿宋"/>
                <w:color w:val="auto"/>
                <w:kern w:val="0"/>
                <w:sz w:val="24"/>
                <w:highlight w:val="none"/>
              </w:rPr>
            </w:pPr>
          </w:p>
        </w:tc>
        <w:tc>
          <w:tcPr>
            <w:tcW w:w="1843" w:type="dxa"/>
            <w:noWrap w:val="0"/>
            <w:vAlign w:val="center"/>
          </w:tcPr>
          <w:p>
            <w:pPr>
              <w:spacing w:line="460" w:lineRule="exact"/>
              <w:jc w:val="center"/>
              <w:rPr>
                <w:rFonts w:hint="eastAsia" w:ascii="仿宋" w:hAnsi="仿宋" w:eastAsia="仿宋" w:cs="仿宋"/>
                <w:color w:val="auto"/>
                <w:kern w:val="0"/>
                <w:sz w:val="24"/>
                <w:highlight w:val="none"/>
              </w:rPr>
            </w:pPr>
          </w:p>
        </w:tc>
        <w:tc>
          <w:tcPr>
            <w:tcW w:w="2801" w:type="dxa"/>
            <w:noWrap w:val="0"/>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响应时间</w:t>
            </w:r>
          </w:p>
        </w:tc>
        <w:tc>
          <w:tcPr>
            <w:tcW w:w="2409" w:type="dxa"/>
            <w:noWrap w:val="0"/>
            <w:vAlign w:val="center"/>
          </w:tcPr>
          <w:p>
            <w:pPr>
              <w:spacing w:line="460" w:lineRule="exact"/>
              <w:jc w:val="center"/>
              <w:rPr>
                <w:rFonts w:hint="eastAsia" w:ascii="仿宋" w:hAnsi="仿宋" w:eastAsia="仿宋" w:cs="仿宋"/>
                <w:color w:val="auto"/>
                <w:kern w:val="0"/>
                <w:sz w:val="24"/>
                <w:highlight w:val="none"/>
              </w:rPr>
            </w:pPr>
          </w:p>
        </w:tc>
        <w:tc>
          <w:tcPr>
            <w:tcW w:w="1843" w:type="dxa"/>
            <w:noWrap w:val="0"/>
            <w:vAlign w:val="center"/>
          </w:tcPr>
          <w:p>
            <w:pPr>
              <w:spacing w:line="460" w:lineRule="exact"/>
              <w:jc w:val="center"/>
              <w:rPr>
                <w:rFonts w:hint="eastAsia" w:ascii="仿宋" w:hAnsi="仿宋" w:eastAsia="仿宋" w:cs="仿宋"/>
                <w:color w:val="auto"/>
                <w:kern w:val="0"/>
                <w:sz w:val="24"/>
                <w:highlight w:val="none"/>
              </w:rPr>
            </w:pPr>
          </w:p>
        </w:tc>
        <w:tc>
          <w:tcPr>
            <w:tcW w:w="2801" w:type="dxa"/>
            <w:noWrap w:val="0"/>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付款方式</w:t>
            </w:r>
          </w:p>
        </w:tc>
        <w:tc>
          <w:tcPr>
            <w:tcW w:w="2409" w:type="dxa"/>
            <w:noWrap w:val="0"/>
            <w:vAlign w:val="center"/>
          </w:tcPr>
          <w:p>
            <w:pPr>
              <w:spacing w:line="460" w:lineRule="exact"/>
              <w:jc w:val="center"/>
              <w:rPr>
                <w:rFonts w:hint="eastAsia" w:ascii="仿宋" w:hAnsi="仿宋" w:eastAsia="仿宋" w:cs="仿宋"/>
                <w:color w:val="auto"/>
                <w:kern w:val="0"/>
                <w:sz w:val="24"/>
                <w:highlight w:val="none"/>
              </w:rPr>
            </w:pPr>
          </w:p>
        </w:tc>
        <w:tc>
          <w:tcPr>
            <w:tcW w:w="1843" w:type="dxa"/>
            <w:noWrap w:val="0"/>
            <w:vAlign w:val="center"/>
          </w:tcPr>
          <w:p>
            <w:pPr>
              <w:spacing w:line="460" w:lineRule="exact"/>
              <w:jc w:val="center"/>
              <w:rPr>
                <w:rFonts w:hint="eastAsia" w:ascii="仿宋" w:hAnsi="仿宋" w:eastAsia="仿宋" w:cs="仿宋"/>
                <w:color w:val="auto"/>
                <w:kern w:val="0"/>
                <w:sz w:val="24"/>
                <w:highlight w:val="none"/>
              </w:rPr>
            </w:pPr>
          </w:p>
        </w:tc>
        <w:tc>
          <w:tcPr>
            <w:tcW w:w="2801" w:type="dxa"/>
            <w:noWrap w:val="0"/>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其他要求</w:t>
            </w:r>
          </w:p>
        </w:tc>
        <w:tc>
          <w:tcPr>
            <w:tcW w:w="2409" w:type="dxa"/>
            <w:noWrap w:val="0"/>
            <w:vAlign w:val="center"/>
          </w:tcPr>
          <w:p>
            <w:pPr>
              <w:spacing w:line="460" w:lineRule="exact"/>
              <w:jc w:val="center"/>
              <w:rPr>
                <w:rFonts w:hint="eastAsia" w:ascii="仿宋" w:hAnsi="仿宋" w:eastAsia="仿宋" w:cs="仿宋"/>
                <w:color w:val="auto"/>
                <w:kern w:val="0"/>
                <w:sz w:val="24"/>
                <w:highlight w:val="none"/>
              </w:rPr>
            </w:pPr>
          </w:p>
        </w:tc>
        <w:tc>
          <w:tcPr>
            <w:tcW w:w="1843" w:type="dxa"/>
            <w:noWrap w:val="0"/>
            <w:vAlign w:val="center"/>
          </w:tcPr>
          <w:p>
            <w:pPr>
              <w:spacing w:line="460" w:lineRule="exact"/>
              <w:jc w:val="center"/>
              <w:rPr>
                <w:rFonts w:hint="eastAsia" w:ascii="仿宋" w:hAnsi="仿宋" w:eastAsia="仿宋" w:cs="仿宋"/>
                <w:color w:val="auto"/>
                <w:kern w:val="0"/>
                <w:sz w:val="24"/>
                <w:highlight w:val="none"/>
              </w:rPr>
            </w:pPr>
          </w:p>
        </w:tc>
        <w:tc>
          <w:tcPr>
            <w:tcW w:w="2801" w:type="dxa"/>
            <w:noWrap w:val="0"/>
            <w:vAlign w:val="center"/>
          </w:tcPr>
          <w:p>
            <w:pPr>
              <w:spacing w:line="460" w:lineRule="exact"/>
              <w:jc w:val="center"/>
              <w:rPr>
                <w:rFonts w:hint="eastAsia" w:ascii="仿宋" w:hAnsi="仿宋" w:eastAsia="仿宋" w:cs="仿宋"/>
                <w:color w:val="auto"/>
                <w:kern w:val="0"/>
                <w:sz w:val="24"/>
                <w:highlight w:val="none"/>
              </w:rPr>
            </w:pPr>
          </w:p>
        </w:tc>
      </w:tr>
    </w:tbl>
    <w:p>
      <w:pPr>
        <w:spacing w:line="460" w:lineRule="exact"/>
        <w:jc w:val="left"/>
        <w:rPr>
          <w:rFonts w:hint="eastAsia" w:ascii="仿宋" w:hAnsi="仿宋" w:eastAsia="仿宋" w:cs="仿宋"/>
          <w:color w:val="auto"/>
          <w:kern w:val="0"/>
          <w:sz w:val="24"/>
          <w:highlight w:val="none"/>
        </w:rPr>
      </w:pPr>
    </w:p>
    <w:p>
      <w:pPr>
        <w:spacing w:line="4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法定代表人或其授权代理人签字：</w:t>
      </w:r>
    </w:p>
    <w:p>
      <w:pPr>
        <w:spacing w:line="460" w:lineRule="exact"/>
        <w:jc w:val="left"/>
        <w:rPr>
          <w:rFonts w:hint="eastAsia" w:ascii="仿宋" w:hAnsi="仿宋" w:eastAsia="仿宋" w:cs="仿宋"/>
          <w:kern w:val="0"/>
          <w:sz w:val="24"/>
        </w:rPr>
      </w:pPr>
      <w:r>
        <w:rPr>
          <w:rFonts w:hint="eastAsia" w:ascii="仿宋" w:hAnsi="仿宋" w:eastAsia="仿宋" w:cs="仿宋"/>
          <w:color w:val="auto"/>
          <w:kern w:val="0"/>
          <w:sz w:val="24"/>
          <w:highlight w:val="none"/>
        </w:rPr>
        <w:t>日期： 年 月 日</w:t>
      </w:r>
    </w:p>
    <w:p>
      <w:pPr>
        <w:rPr>
          <w:rFonts w:hint="eastAsia" w:ascii="仿宋" w:hAnsi="仿宋" w:eastAsia="仿宋" w:cs="仿宋"/>
          <w:kern w:val="0"/>
          <w:sz w:val="24"/>
        </w:rPr>
      </w:pPr>
      <w:r>
        <w:rPr>
          <w:rFonts w:hint="eastAsia" w:ascii="仿宋" w:hAnsi="仿宋" w:eastAsia="仿宋" w:cs="仿宋"/>
          <w:kern w:val="0"/>
          <w:sz w:val="24"/>
        </w:rPr>
        <w:br w:type="page"/>
      </w:r>
    </w:p>
    <w:p>
      <w:pPr>
        <w:spacing w:line="600" w:lineRule="exact"/>
        <w:jc w:val="center"/>
        <w:rPr>
          <w:rFonts w:hint="eastAsia" w:ascii="仿宋" w:hAnsi="仿宋" w:eastAsia="仿宋" w:cs="仿宋"/>
          <w:b/>
          <w:color w:val="auto"/>
          <w:szCs w:val="28"/>
          <w:highlight w:val="none"/>
        </w:rPr>
      </w:pPr>
      <w:r>
        <w:rPr>
          <w:rFonts w:hint="eastAsia" w:ascii="仿宋" w:hAnsi="仿宋" w:eastAsia="仿宋" w:cs="仿宋"/>
          <w:b/>
          <w:bCs/>
          <w:color w:val="auto"/>
          <w:spacing w:val="24"/>
          <w:sz w:val="28"/>
          <w:szCs w:val="28"/>
          <w:highlight w:val="none"/>
        </w:rPr>
        <w:t>企业业绩</w:t>
      </w:r>
    </w:p>
    <w:p>
      <w:pPr>
        <w:spacing w:line="6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tbl>
      <w:tblPr>
        <w:tblStyle w:val="18"/>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330"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2235"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使用方联系人</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bl>
    <w:p>
      <w:pP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numPr>
          <w:ilvl w:val="0"/>
          <w:numId w:val="0"/>
        </w:numPr>
        <w:spacing w:line="50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以上业绩须同时提供合同和</w:t>
      </w:r>
      <w:r>
        <w:rPr>
          <w:rFonts w:hint="eastAsia" w:ascii="仿宋" w:hAnsi="仿宋" w:eastAsia="仿宋" w:cs="仿宋"/>
          <w:bCs/>
          <w:color w:val="auto"/>
          <w:sz w:val="24"/>
          <w:highlight w:val="none"/>
          <w:lang w:eastAsia="zh-CN"/>
        </w:rPr>
        <w:t>评分办法中要求的证明材料；</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color w:val="auto"/>
          <w:sz w:val="24"/>
          <w:highlight w:val="none"/>
        </w:rPr>
        <w:t>此表仅提供了表格形式，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应根据需要准备足够数量的表格来填写；</w:t>
      </w:r>
    </w:p>
    <w:p>
      <w:pPr>
        <w:spacing w:line="50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3.复印件不清楚或有争议的，以原件为准。</w:t>
      </w:r>
    </w:p>
    <w:p>
      <w:pPr>
        <w:rPr>
          <w:rFonts w:hint="eastAsia" w:ascii="仿宋" w:hAnsi="仿宋" w:eastAsia="仿宋" w:cs="仿宋"/>
        </w:rPr>
      </w:pPr>
      <w:r>
        <w:rPr>
          <w:rFonts w:hint="eastAsia" w:ascii="仿宋" w:hAnsi="仿宋" w:eastAsia="仿宋" w:cs="仿宋"/>
          <w:kern w:val="0"/>
          <w:sz w:val="24"/>
        </w:rPr>
        <w:br w:type="page"/>
      </w:r>
    </w:p>
    <w:p>
      <w:pPr>
        <w:spacing w:line="600" w:lineRule="exact"/>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企业认证、荣誉</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1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1596" w:type="dxa"/>
            <w:noWrap/>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颁发机构</w:t>
            </w:r>
          </w:p>
        </w:tc>
        <w:tc>
          <w:tcPr>
            <w:tcW w:w="1980" w:type="dxa"/>
            <w:noWrap/>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颁发时间</w:t>
            </w:r>
          </w:p>
        </w:tc>
        <w:tc>
          <w:tcPr>
            <w:tcW w:w="2904" w:type="dxa"/>
            <w:noWrap/>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1596" w:type="dxa"/>
            <w:noWrap/>
            <w:vAlign w:val="center"/>
          </w:tcPr>
          <w:p>
            <w:pPr>
              <w:spacing w:line="440" w:lineRule="exact"/>
              <w:jc w:val="center"/>
              <w:rPr>
                <w:rFonts w:hint="eastAsia" w:ascii="仿宋" w:hAnsi="仿宋" w:eastAsia="仿宋" w:cs="仿宋"/>
                <w:color w:val="auto"/>
                <w:sz w:val="24"/>
                <w:highlight w:val="none"/>
              </w:rPr>
            </w:pPr>
          </w:p>
        </w:tc>
        <w:tc>
          <w:tcPr>
            <w:tcW w:w="1980" w:type="dxa"/>
            <w:noWrap/>
            <w:vAlign w:val="center"/>
          </w:tcPr>
          <w:p>
            <w:pPr>
              <w:spacing w:line="440" w:lineRule="exact"/>
              <w:jc w:val="center"/>
              <w:rPr>
                <w:rFonts w:hint="eastAsia" w:ascii="仿宋" w:hAnsi="仿宋" w:eastAsia="仿宋" w:cs="仿宋"/>
                <w:color w:val="auto"/>
                <w:sz w:val="24"/>
                <w:highlight w:val="none"/>
              </w:rPr>
            </w:pPr>
          </w:p>
        </w:tc>
        <w:tc>
          <w:tcPr>
            <w:tcW w:w="2904" w:type="dxa"/>
            <w:noWrap/>
            <w:vAlign w:val="center"/>
          </w:tcPr>
          <w:p>
            <w:pPr>
              <w:spacing w:line="440" w:lineRule="exact"/>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left="843" w:hanging="843" w:hangingChars="3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spacing w:line="360" w:lineRule="auto"/>
        <w:ind w:left="795" w:leftChars="15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获得的证书(附证书复印件并加盖公章)；</w:t>
      </w:r>
    </w:p>
    <w:p>
      <w:pPr>
        <w:spacing w:line="360" w:lineRule="auto"/>
        <w:ind w:left="795" w:leftChars="15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2.此表仅提供了表格形式，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应根据需要准备足够数量的表格来填写。</w:t>
      </w:r>
    </w:p>
    <w:p>
      <w:pPr>
        <w:jc w:val="center"/>
        <w:rPr>
          <w:rFonts w:hint="eastAsia" w:ascii="仿宋" w:hAnsi="仿宋" w:eastAsia="仿宋" w:cs="仿宋"/>
          <w:b/>
          <w:szCs w:val="28"/>
          <w:lang w:val="zh-CN"/>
        </w:rPr>
      </w:pPr>
      <w:r>
        <w:rPr>
          <w:rFonts w:hint="eastAsia" w:ascii="仿宋" w:hAnsi="仿宋" w:eastAsia="仿宋" w:cs="仿宋"/>
          <w:b/>
          <w:bCs/>
          <w:sz w:val="32"/>
          <w:szCs w:val="32"/>
        </w:rPr>
        <w:br w:type="page"/>
      </w:r>
      <w:r>
        <w:rPr>
          <w:rFonts w:hint="eastAsia" w:ascii="仿宋" w:hAnsi="仿宋" w:eastAsia="仿宋" w:cs="仿宋"/>
          <w:b/>
          <w:szCs w:val="28"/>
          <w:lang w:val="zh-CN"/>
        </w:rPr>
        <w:t>开标一览表</w:t>
      </w:r>
    </w:p>
    <w:p>
      <w:pPr>
        <w:snapToGrid w:val="0"/>
        <w:spacing w:before="120" w:beforeLines="50" w:after="50"/>
        <w:jc w:val="center"/>
        <w:rPr>
          <w:rFonts w:hint="eastAsia" w:ascii="仿宋" w:hAnsi="仿宋" w:eastAsia="仿宋" w:cs="仿宋"/>
          <w:b/>
          <w:szCs w:val="28"/>
          <w:lang w:val="zh-CN"/>
        </w:rPr>
      </w:pPr>
      <w:r>
        <w:rPr>
          <w:rFonts w:hint="eastAsia" w:ascii="仿宋" w:hAnsi="仿宋" w:eastAsia="仿宋" w:cs="仿宋"/>
          <w:b/>
          <w:szCs w:val="28"/>
          <w:lang w:val="zh-CN"/>
        </w:rPr>
        <w:t>（标项1）</w:t>
      </w:r>
    </w:p>
    <w:p>
      <w:pPr>
        <w:autoSpaceDE w:val="0"/>
        <w:autoSpaceDN w:val="0"/>
        <w:adjustRightInd w:val="0"/>
        <w:spacing w:line="440" w:lineRule="exac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p>
    <w:p>
      <w:pPr>
        <w:autoSpaceDE w:val="0"/>
        <w:autoSpaceDN w:val="0"/>
        <w:adjustRightInd w:val="0"/>
        <w:spacing w:line="440" w:lineRule="exact"/>
        <w:rPr>
          <w:rFonts w:hint="eastAsia" w:ascii="仿宋" w:hAnsi="仿宋" w:eastAsia="仿宋" w:cs="仿宋"/>
          <w:sz w:val="24"/>
          <w:lang w:val="zh-CN"/>
        </w:rPr>
      </w:pPr>
      <w:r>
        <w:rPr>
          <w:rFonts w:hint="eastAsia" w:ascii="仿宋" w:hAnsi="仿宋" w:eastAsia="仿宋" w:cs="仿宋"/>
          <w:sz w:val="24"/>
          <w:lang w:val="zh-CN"/>
        </w:rPr>
        <w:t>项目编号：</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autoSpaceDE w:val="0"/>
        <w:autoSpaceDN w:val="0"/>
        <w:adjustRightInd w:val="0"/>
        <w:spacing w:line="440" w:lineRule="exact"/>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 xml:space="preserve">人民币元         </w:t>
      </w:r>
    </w:p>
    <w:p>
      <w:pPr>
        <w:spacing w:line="380" w:lineRule="exact"/>
        <w:ind w:right="349" w:rightChars="166" w:firstLine="360" w:firstLineChars="150"/>
        <w:rPr>
          <w:rFonts w:hint="eastAsia" w:ascii="仿宋" w:hAnsi="仿宋" w:eastAsia="仿宋" w:cs="仿宋"/>
          <w:sz w:val="24"/>
        </w:rPr>
      </w:pPr>
      <w:r>
        <w:rPr>
          <w:rFonts w:hint="eastAsia" w:ascii="仿宋" w:hAnsi="仿宋" w:eastAsia="仿宋" w:cs="仿宋"/>
          <w:sz w:val="24"/>
        </w:rPr>
        <w:t xml:space="preserve">                                        </w:t>
      </w:r>
    </w:p>
    <w:tbl>
      <w:tblPr>
        <w:tblStyle w:val="18"/>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615"/>
        <w:gridCol w:w="1201"/>
        <w:gridCol w:w="1735"/>
        <w:gridCol w:w="159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37"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标项</w:t>
            </w:r>
          </w:p>
        </w:tc>
        <w:tc>
          <w:tcPr>
            <w:tcW w:w="2615"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201"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服务区域</w:t>
            </w:r>
          </w:p>
        </w:tc>
        <w:tc>
          <w:tcPr>
            <w:tcW w:w="1735"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单价报价</w:t>
            </w:r>
          </w:p>
        </w:tc>
        <w:tc>
          <w:tcPr>
            <w:tcW w:w="1591"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保险数量</w:t>
            </w:r>
          </w:p>
        </w:tc>
        <w:tc>
          <w:tcPr>
            <w:tcW w:w="1402"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737"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2615"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3</w:t>
            </w:r>
            <w:r>
              <w:rPr>
                <w:rFonts w:hint="eastAsia" w:ascii="仿宋" w:hAnsi="仿宋" w:eastAsia="仿宋" w:cs="仿宋"/>
                <w:kern w:val="0"/>
                <w:sz w:val="24"/>
              </w:rPr>
              <w:t>年度湖州市老年人意外伤害统筹保险采购项目</w:t>
            </w:r>
          </w:p>
        </w:tc>
        <w:tc>
          <w:tcPr>
            <w:tcW w:w="1201"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南浔区</w:t>
            </w:r>
          </w:p>
        </w:tc>
        <w:tc>
          <w:tcPr>
            <w:tcW w:w="1735"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元/人/份</w:t>
            </w:r>
          </w:p>
        </w:tc>
        <w:tc>
          <w:tcPr>
            <w:tcW w:w="1591" w:type="dxa"/>
            <w:noWrap w:val="0"/>
            <w:vAlign w:val="center"/>
          </w:tcPr>
          <w:p>
            <w:pPr>
              <w:widowControl/>
              <w:adjustRightInd w:val="0"/>
              <w:snapToGrid w:val="0"/>
              <w:spacing w:line="500" w:lineRule="exact"/>
              <w:jc w:val="center"/>
              <w:rPr>
                <w:rFonts w:hint="eastAsia" w:ascii="仿宋" w:hAnsi="仿宋" w:eastAsia="仿宋" w:cs="仿宋"/>
                <w:kern w:val="0"/>
                <w:sz w:val="24"/>
              </w:rPr>
            </w:pPr>
          </w:p>
        </w:tc>
        <w:tc>
          <w:tcPr>
            <w:tcW w:w="1402" w:type="dxa"/>
            <w:noWrap w:val="0"/>
            <w:vAlign w:val="center"/>
          </w:tcPr>
          <w:p>
            <w:pPr>
              <w:widowControl/>
              <w:adjustRightInd w:val="0"/>
              <w:snapToGrid w:val="0"/>
              <w:spacing w:line="500" w:lineRule="exact"/>
              <w:jc w:val="center"/>
              <w:rPr>
                <w:rFonts w:hint="eastAsia" w:ascii="仿宋" w:hAnsi="仿宋" w:eastAsia="仿宋" w:cs="仿宋"/>
                <w:kern w:val="0"/>
                <w:sz w:val="24"/>
              </w:rPr>
            </w:pPr>
          </w:p>
        </w:tc>
      </w:tr>
    </w:tbl>
    <w:p>
      <w:pPr>
        <w:pStyle w:val="11"/>
        <w:spacing w:line="500" w:lineRule="exact"/>
        <w:rPr>
          <w:rFonts w:hint="eastAsia" w:ascii="仿宋" w:hAnsi="仿宋" w:eastAsia="仿宋" w:cs="仿宋"/>
          <w:b/>
          <w:sz w:val="24"/>
          <w:szCs w:val="24"/>
        </w:rPr>
      </w:pPr>
      <w:r>
        <w:rPr>
          <w:rFonts w:hint="eastAsia" w:ascii="仿宋" w:hAnsi="仿宋" w:eastAsia="仿宋" w:cs="仿宋"/>
          <w:b/>
          <w:sz w:val="24"/>
          <w:szCs w:val="24"/>
        </w:rPr>
        <w:t>注： 1、报价一经涂改，应在涂改处加盖单位公章或者由法定代表人/保险公司分支机构负责人或授权委托人签字或盖章，否则其投标作无效标处理。</w:t>
      </w:r>
    </w:p>
    <w:p>
      <w:pPr>
        <w:pStyle w:val="11"/>
        <w:spacing w:line="5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2、投标报价包括项目实施所需的成本、管理费、人工工资、招标代理费、税费及其他一切费用。</w:t>
      </w:r>
    </w:p>
    <w:p>
      <w:pPr>
        <w:snapToGrid w:val="0"/>
        <w:spacing w:line="500" w:lineRule="exact"/>
        <w:ind w:firstLine="472" w:firstLineChars="196"/>
        <w:jc w:val="left"/>
        <w:rPr>
          <w:rFonts w:hint="eastAsia" w:ascii="仿宋" w:hAnsi="仿宋" w:eastAsia="仿宋" w:cs="仿宋"/>
          <w:sz w:val="24"/>
        </w:rPr>
      </w:pPr>
      <w:r>
        <w:rPr>
          <w:rFonts w:hint="eastAsia" w:ascii="仿宋" w:hAnsi="仿宋" w:eastAsia="仿宋" w:cs="仿宋"/>
          <w:b/>
          <w:sz w:val="24"/>
        </w:rPr>
        <w:t>3、以上报价应与“投标报价明细表”中的“投标总价”相一致</w:t>
      </w:r>
    </w:p>
    <w:p>
      <w:pPr>
        <w:snapToGrid w:val="0"/>
        <w:spacing w:line="500" w:lineRule="exact"/>
        <w:ind w:firstLine="480"/>
        <w:jc w:val="left"/>
        <w:rPr>
          <w:rFonts w:hint="eastAsia" w:ascii="仿宋" w:hAnsi="仿宋" w:eastAsia="仿宋" w:cs="仿宋"/>
          <w:sz w:val="24"/>
        </w:rPr>
      </w:pPr>
      <w:r>
        <w:rPr>
          <w:rFonts w:hint="eastAsia" w:ascii="仿宋" w:hAnsi="仿宋" w:eastAsia="仿宋" w:cs="仿宋"/>
          <w:b/>
          <w:sz w:val="24"/>
        </w:rPr>
        <w:t>4、不提供此表格的将视为没有实质性响应招标文件。</w:t>
      </w:r>
    </w:p>
    <w:p>
      <w:pPr>
        <w:snapToGrid w:val="0"/>
        <w:spacing w:line="500" w:lineRule="exact"/>
        <w:ind w:firstLine="480"/>
        <w:jc w:val="left"/>
        <w:rPr>
          <w:rFonts w:hint="eastAsia" w:ascii="仿宋" w:hAnsi="仿宋" w:eastAsia="仿宋" w:cs="仿宋"/>
          <w:b/>
          <w:sz w:val="24"/>
        </w:rPr>
      </w:pPr>
    </w:p>
    <w:p>
      <w:pPr>
        <w:snapToGrid w:val="0"/>
        <w:spacing w:line="500" w:lineRule="exac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kern w:val="0"/>
          <w:sz w:val="24"/>
        </w:rPr>
        <w:t>/</w:t>
      </w:r>
      <w:r>
        <w:rPr>
          <w:rFonts w:hint="eastAsia" w:ascii="仿宋" w:hAnsi="仿宋" w:eastAsia="仿宋" w:cs="仿宋"/>
          <w:sz w:val="24"/>
        </w:rPr>
        <w:t>保险公司分支机构负责人或授权代表签字：</w:t>
      </w:r>
      <w:r>
        <w:rPr>
          <w:rFonts w:hint="eastAsia" w:ascii="仿宋" w:hAnsi="仿宋" w:eastAsia="仿宋" w:cs="仿宋"/>
          <w:sz w:val="24"/>
          <w:u w:val="single"/>
        </w:rPr>
        <w:t xml:space="preserve">             </w:t>
      </w:r>
    </w:p>
    <w:p>
      <w:pPr>
        <w:snapToGrid w:val="0"/>
        <w:spacing w:line="500" w:lineRule="exact"/>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500" w:lineRule="exact"/>
        <w:ind w:firstLine="480" w:firstLineChars="200"/>
        <w:jc w:val="center"/>
        <w:rPr>
          <w:rFonts w:hint="eastAsia" w:ascii="仿宋" w:hAnsi="仿宋" w:eastAsia="仿宋" w:cs="仿宋"/>
          <w:sz w:val="24"/>
        </w:rPr>
      </w:pPr>
    </w:p>
    <w:p>
      <w:pPr>
        <w:pStyle w:val="2"/>
        <w:spacing w:line="500" w:lineRule="exact"/>
        <w:ind w:firstLine="0"/>
        <w:jc w:val="right"/>
        <w:rPr>
          <w:rFonts w:hint="eastAsia" w:ascii="仿宋" w:hAnsi="仿宋" w:eastAsia="仿宋" w:cs="仿宋"/>
          <w:sz w:val="24"/>
        </w:rPr>
      </w:pPr>
      <w:r>
        <w:rPr>
          <w:rFonts w:hint="eastAsia" w:ascii="仿宋" w:hAnsi="仿宋" w:eastAsia="仿宋" w:cs="仿宋"/>
          <w:sz w:val="24"/>
        </w:rPr>
        <w:t xml:space="preserve"> 年    月    日</w:t>
      </w:r>
    </w:p>
    <w:p>
      <w:pPr>
        <w:pStyle w:val="2"/>
        <w:spacing w:line="500" w:lineRule="exact"/>
        <w:ind w:firstLine="0"/>
        <w:jc w:val="center"/>
        <w:rPr>
          <w:rFonts w:hint="eastAsia" w:ascii="仿宋" w:hAnsi="仿宋" w:eastAsia="仿宋" w:cs="仿宋"/>
          <w:sz w:val="24"/>
        </w:rPr>
      </w:pPr>
    </w:p>
    <w:p>
      <w:pPr>
        <w:snapToGrid w:val="0"/>
        <w:spacing w:before="120" w:beforeLines="50" w:after="50"/>
        <w:jc w:val="center"/>
        <w:rPr>
          <w:rFonts w:hint="eastAsia" w:ascii="仿宋" w:hAnsi="仿宋" w:eastAsia="仿宋" w:cs="仿宋"/>
          <w:b/>
          <w:szCs w:val="28"/>
          <w:lang w:val="zh-CN"/>
        </w:rPr>
      </w:pPr>
    </w:p>
    <w:p>
      <w:pPr>
        <w:snapToGrid w:val="0"/>
        <w:spacing w:before="120" w:beforeLines="50" w:after="50"/>
        <w:jc w:val="center"/>
        <w:rPr>
          <w:rFonts w:hint="eastAsia" w:ascii="仿宋" w:hAnsi="仿宋" w:eastAsia="仿宋" w:cs="仿宋"/>
          <w:b/>
          <w:szCs w:val="28"/>
          <w:lang w:val="zh-CN"/>
        </w:rPr>
      </w:pPr>
    </w:p>
    <w:p>
      <w:pPr>
        <w:rPr>
          <w:rFonts w:hint="eastAsia" w:ascii="仿宋" w:hAnsi="仿宋" w:eastAsia="仿宋" w:cs="仿宋"/>
          <w:b/>
          <w:szCs w:val="28"/>
          <w:lang w:val="zh-CN"/>
        </w:rPr>
      </w:pPr>
      <w:r>
        <w:rPr>
          <w:rFonts w:hint="eastAsia" w:ascii="仿宋" w:hAnsi="仿宋" w:eastAsia="仿宋" w:cs="仿宋"/>
          <w:b/>
          <w:szCs w:val="28"/>
          <w:lang w:val="zh-CN"/>
        </w:rPr>
        <w:br w:type="page"/>
      </w:r>
    </w:p>
    <w:p>
      <w:pPr>
        <w:snapToGrid w:val="0"/>
        <w:spacing w:before="120" w:beforeLines="50" w:after="50"/>
        <w:jc w:val="center"/>
        <w:rPr>
          <w:rFonts w:hint="eastAsia" w:ascii="仿宋" w:hAnsi="仿宋" w:eastAsia="仿宋" w:cs="仿宋"/>
          <w:b/>
          <w:szCs w:val="28"/>
          <w:lang w:val="zh-CN"/>
        </w:rPr>
      </w:pPr>
      <w:r>
        <w:rPr>
          <w:rFonts w:hint="eastAsia" w:ascii="仿宋" w:hAnsi="仿宋" w:eastAsia="仿宋" w:cs="仿宋"/>
          <w:b/>
          <w:szCs w:val="28"/>
          <w:lang w:val="zh-CN"/>
        </w:rPr>
        <w:t>开标一览表</w:t>
      </w:r>
    </w:p>
    <w:p>
      <w:pPr>
        <w:snapToGrid w:val="0"/>
        <w:spacing w:before="120" w:beforeLines="50" w:after="50"/>
        <w:jc w:val="center"/>
        <w:rPr>
          <w:rFonts w:hint="eastAsia" w:ascii="仿宋" w:hAnsi="仿宋" w:eastAsia="仿宋" w:cs="仿宋"/>
          <w:b/>
          <w:szCs w:val="28"/>
          <w:lang w:val="zh-CN"/>
        </w:rPr>
      </w:pPr>
      <w:r>
        <w:rPr>
          <w:rFonts w:hint="eastAsia" w:ascii="仿宋" w:hAnsi="仿宋" w:eastAsia="仿宋" w:cs="仿宋"/>
          <w:b/>
          <w:szCs w:val="28"/>
          <w:lang w:val="zh-CN"/>
        </w:rPr>
        <w:t>（标项2）</w:t>
      </w:r>
    </w:p>
    <w:p>
      <w:pPr>
        <w:autoSpaceDE w:val="0"/>
        <w:autoSpaceDN w:val="0"/>
        <w:adjustRightInd w:val="0"/>
        <w:spacing w:line="440" w:lineRule="exac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p>
    <w:p>
      <w:pPr>
        <w:autoSpaceDE w:val="0"/>
        <w:autoSpaceDN w:val="0"/>
        <w:adjustRightInd w:val="0"/>
        <w:spacing w:line="440" w:lineRule="exact"/>
        <w:rPr>
          <w:rFonts w:hint="eastAsia" w:ascii="仿宋" w:hAnsi="仿宋" w:eastAsia="仿宋" w:cs="仿宋"/>
          <w:sz w:val="24"/>
          <w:lang w:val="zh-CN"/>
        </w:rPr>
      </w:pPr>
      <w:r>
        <w:rPr>
          <w:rFonts w:hint="eastAsia" w:ascii="仿宋" w:hAnsi="仿宋" w:eastAsia="仿宋" w:cs="仿宋"/>
          <w:sz w:val="24"/>
          <w:lang w:val="zh-CN"/>
        </w:rPr>
        <w:t>项目编号：</w:t>
      </w:r>
      <w:r>
        <w:rPr>
          <w:rFonts w:hint="eastAsia" w:ascii="仿宋" w:hAnsi="仿宋" w:eastAsia="仿宋" w:cs="仿宋"/>
          <w:bCs/>
          <w:snapToGrid w:val="0"/>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autoSpaceDE w:val="0"/>
        <w:autoSpaceDN w:val="0"/>
        <w:adjustRightInd w:val="0"/>
        <w:spacing w:line="440" w:lineRule="exact"/>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 xml:space="preserve">人民币元         </w:t>
      </w:r>
    </w:p>
    <w:p>
      <w:pPr>
        <w:spacing w:line="380" w:lineRule="exact"/>
        <w:ind w:right="349" w:rightChars="166" w:firstLine="360" w:firstLineChars="150"/>
        <w:rPr>
          <w:rFonts w:hint="eastAsia" w:ascii="仿宋" w:hAnsi="仿宋" w:eastAsia="仿宋" w:cs="仿宋"/>
          <w:sz w:val="24"/>
        </w:rPr>
      </w:pPr>
      <w:r>
        <w:rPr>
          <w:rFonts w:hint="eastAsia" w:ascii="仿宋" w:hAnsi="仿宋" w:eastAsia="仿宋" w:cs="仿宋"/>
          <w:sz w:val="24"/>
        </w:rPr>
        <w:t xml:space="preserve">                                        </w:t>
      </w:r>
    </w:p>
    <w:tbl>
      <w:tblPr>
        <w:tblStyle w:val="1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649"/>
        <w:gridCol w:w="1217"/>
        <w:gridCol w:w="1758"/>
        <w:gridCol w:w="161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6"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标项</w:t>
            </w:r>
          </w:p>
        </w:tc>
        <w:tc>
          <w:tcPr>
            <w:tcW w:w="2649"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217"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服务区域</w:t>
            </w:r>
          </w:p>
        </w:tc>
        <w:tc>
          <w:tcPr>
            <w:tcW w:w="1758"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单价报价</w:t>
            </w:r>
          </w:p>
        </w:tc>
        <w:tc>
          <w:tcPr>
            <w:tcW w:w="1612"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保险数量</w:t>
            </w:r>
          </w:p>
        </w:tc>
        <w:tc>
          <w:tcPr>
            <w:tcW w:w="1420"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746"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2649"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3</w:t>
            </w:r>
            <w:r>
              <w:rPr>
                <w:rFonts w:hint="eastAsia" w:ascii="仿宋" w:hAnsi="仿宋" w:eastAsia="仿宋" w:cs="仿宋"/>
                <w:kern w:val="0"/>
                <w:sz w:val="24"/>
              </w:rPr>
              <w:t>年度湖州市老年人意外伤害统筹保险采购项目</w:t>
            </w:r>
          </w:p>
        </w:tc>
        <w:tc>
          <w:tcPr>
            <w:tcW w:w="1217"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吴兴区</w:t>
            </w:r>
          </w:p>
        </w:tc>
        <w:tc>
          <w:tcPr>
            <w:tcW w:w="1758"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元/人/份</w:t>
            </w:r>
          </w:p>
        </w:tc>
        <w:tc>
          <w:tcPr>
            <w:tcW w:w="1612" w:type="dxa"/>
            <w:noWrap w:val="0"/>
            <w:vAlign w:val="center"/>
          </w:tcPr>
          <w:p>
            <w:pPr>
              <w:widowControl/>
              <w:adjustRightInd w:val="0"/>
              <w:snapToGrid w:val="0"/>
              <w:spacing w:line="500" w:lineRule="exact"/>
              <w:jc w:val="center"/>
              <w:rPr>
                <w:rFonts w:hint="eastAsia" w:ascii="仿宋" w:hAnsi="仿宋" w:eastAsia="仿宋" w:cs="仿宋"/>
                <w:kern w:val="0"/>
                <w:sz w:val="24"/>
              </w:rPr>
            </w:pPr>
          </w:p>
        </w:tc>
        <w:tc>
          <w:tcPr>
            <w:tcW w:w="1420" w:type="dxa"/>
            <w:noWrap w:val="0"/>
            <w:vAlign w:val="center"/>
          </w:tcPr>
          <w:p>
            <w:pPr>
              <w:widowControl/>
              <w:adjustRightInd w:val="0"/>
              <w:snapToGrid w:val="0"/>
              <w:spacing w:line="500" w:lineRule="exact"/>
              <w:jc w:val="center"/>
              <w:rPr>
                <w:rFonts w:hint="eastAsia" w:ascii="仿宋" w:hAnsi="仿宋" w:eastAsia="仿宋" w:cs="仿宋"/>
                <w:kern w:val="0"/>
                <w:sz w:val="24"/>
              </w:rPr>
            </w:pPr>
          </w:p>
        </w:tc>
      </w:tr>
    </w:tbl>
    <w:p>
      <w:pPr>
        <w:pStyle w:val="11"/>
        <w:spacing w:line="500" w:lineRule="exact"/>
        <w:rPr>
          <w:rFonts w:hint="eastAsia" w:ascii="仿宋" w:hAnsi="仿宋" w:eastAsia="仿宋" w:cs="仿宋"/>
          <w:b/>
          <w:sz w:val="24"/>
          <w:szCs w:val="24"/>
        </w:rPr>
      </w:pPr>
      <w:r>
        <w:rPr>
          <w:rFonts w:hint="eastAsia" w:ascii="仿宋" w:hAnsi="仿宋" w:eastAsia="仿宋" w:cs="仿宋"/>
          <w:b/>
          <w:sz w:val="24"/>
          <w:szCs w:val="24"/>
        </w:rPr>
        <w:t>注： 1、报价一经涂改，应在涂改处加盖单位公章或者由法定代表人/保险公司分支机构负责人或授权委托人签字或盖章，否则其投标作无效标处理。</w:t>
      </w:r>
    </w:p>
    <w:p>
      <w:pPr>
        <w:pStyle w:val="11"/>
        <w:spacing w:line="5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2、投标报价包括项目实施所需的成本、管理费、人工工资、招标代理费、税费及其他一切费用。</w:t>
      </w:r>
    </w:p>
    <w:p>
      <w:pPr>
        <w:snapToGrid w:val="0"/>
        <w:spacing w:line="500" w:lineRule="exact"/>
        <w:ind w:firstLine="472" w:firstLineChars="196"/>
        <w:jc w:val="left"/>
        <w:rPr>
          <w:rFonts w:hint="eastAsia" w:ascii="仿宋" w:hAnsi="仿宋" w:eastAsia="仿宋" w:cs="仿宋"/>
          <w:sz w:val="24"/>
        </w:rPr>
      </w:pPr>
      <w:r>
        <w:rPr>
          <w:rFonts w:hint="eastAsia" w:ascii="仿宋" w:hAnsi="仿宋" w:eastAsia="仿宋" w:cs="仿宋"/>
          <w:b/>
          <w:sz w:val="24"/>
        </w:rPr>
        <w:t>3、以上报价应与“投标报价明细表”中的“投标总价”相一致</w:t>
      </w:r>
    </w:p>
    <w:p>
      <w:pPr>
        <w:snapToGrid w:val="0"/>
        <w:spacing w:line="500" w:lineRule="exact"/>
        <w:ind w:firstLine="480"/>
        <w:jc w:val="left"/>
        <w:rPr>
          <w:rFonts w:hint="eastAsia" w:ascii="仿宋" w:hAnsi="仿宋" w:eastAsia="仿宋" w:cs="仿宋"/>
          <w:sz w:val="24"/>
        </w:rPr>
      </w:pPr>
      <w:r>
        <w:rPr>
          <w:rFonts w:hint="eastAsia" w:ascii="仿宋" w:hAnsi="仿宋" w:eastAsia="仿宋" w:cs="仿宋"/>
          <w:b/>
          <w:sz w:val="24"/>
        </w:rPr>
        <w:t>4、不提供此表格的将视为没有实质性响应招标文件。</w:t>
      </w:r>
    </w:p>
    <w:p>
      <w:pPr>
        <w:snapToGrid w:val="0"/>
        <w:spacing w:line="500" w:lineRule="exact"/>
        <w:ind w:firstLine="480"/>
        <w:jc w:val="left"/>
        <w:rPr>
          <w:rFonts w:hint="eastAsia" w:ascii="仿宋" w:hAnsi="仿宋" w:eastAsia="仿宋" w:cs="仿宋"/>
          <w:b/>
          <w:sz w:val="24"/>
        </w:rPr>
      </w:pPr>
    </w:p>
    <w:p>
      <w:pPr>
        <w:snapToGrid w:val="0"/>
        <w:spacing w:line="500" w:lineRule="exac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kern w:val="0"/>
          <w:sz w:val="24"/>
        </w:rPr>
        <w:t>/</w:t>
      </w:r>
      <w:r>
        <w:rPr>
          <w:rFonts w:hint="eastAsia" w:ascii="仿宋" w:hAnsi="仿宋" w:eastAsia="仿宋" w:cs="仿宋"/>
          <w:sz w:val="24"/>
        </w:rPr>
        <w:t>保险公司分支机构负责人或授权代表签字：</w:t>
      </w:r>
      <w:r>
        <w:rPr>
          <w:rFonts w:hint="eastAsia" w:ascii="仿宋" w:hAnsi="仿宋" w:eastAsia="仿宋" w:cs="仿宋"/>
          <w:sz w:val="24"/>
          <w:u w:val="single"/>
        </w:rPr>
        <w:t xml:space="preserve">             </w:t>
      </w:r>
    </w:p>
    <w:p>
      <w:pPr>
        <w:snapToGrid w:val="0"/>
        <w:spacing w:line="500" w:lineRule="exact"/>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500" w:lineRule="exact"/>
        <w:ind w:firstLine="480" w:firstLineChars="200"/>
        <w:jc w:val="center"/>
        <w:rPr>
          <w:rFonts w:hint="eastAsia" w:ascii="仿宋" w:hAnsi="仿宋" w:eastAsia="仿宋" w:cs="仿宋"/>
          <w:sz w:val="24"/>
        </w:rPr>
      </w:pPr>
    </w:p>
    <w:p>
      <w:pPr>
        <w:pStyle w:val="2"/>
        <w:tabs>
          <w:tab w:val="left" w:pos="5370"/>
        </w:tabs>
        <w:spacing w:line="600" w:lineRule="exact"/>
        <w:ind w:firstLine="0"/>
        <w:jc w:val="center"/>
        <w:rPr>
          <w:rFonts w:hint="eastAsia" w:ascii="仿宋" w:hAnsi="仿宋" w:eastAsia="仿宋" w:cs="仿宋"/>
          <w:b/>
          <w:sz w:val="32"/>
          <w:szCs w:val="32"/>
        </w:rPr>
      </w:pPr>
      <w:r>
        <w:rPr>
          <w:rFonts w:hint="eastAsia" w:ascii="仿宋" w:hAnsi="仿宋" w:eastAsia="仿宋" w:cs="仿宋"/>
          <w:sz w:val="24"/>
        </w:rPr>
        <w:t xml:space="preserve">                                                         年    月    日</w:t>
      </w:r>
    </w:p>
    <w:p>
      <w:pPr>
        <w:pStyle w:val="2"/>
        <w:tabs>
          <w:tab w:val="left" w:pos="5370"/>
        </w:tabs>
        <w:spacing w:line="600" w:lineRule="exact"/>
        <w:ind w:firstLine="0"/>
        <w:jc w:val="center"/>
        <w:rPr>
          <w:rFonts w:hint="eastAsia" w:ascii="仿宋" w:hAnsi="仿宋" w:eastAsia="仿宋" w:cs="仿宋"/>
          <w:b/>
          <w:sz w:val="32"/>
          <w:szCs w:val="32"/>
        </w:rPr>
      </w:pPr>
    </w:p>
    <w:p>
      <w:pPr>
        <w:snapToGrid w:val="0"/>
        <w:spacing w:before="120" w:beforeLines="50" w:after="50"/>
        <w:jc w:val="center"/>
        <w:rPr>
          <w:rFonts w:hint="eastAsia" w:ascii="仿宋" w:hAnsi="仿宋" w:eastAsia="仿宋" w:cs="仿宋"/>
          <w:b/>
          <w:szCs w:val="28"/>
          <w:lang w:val="zh-CN"/>
        </w:rPr>
      </w:pPr>
    </w:p>
    <w:p>
      <w:pPr>
        <w:snapToGrid w:val="0"/>
        <w:spacing w:before="120" w:beforeLines="50" w:after="50"/>
        <w:jc w:val="center"/>
        <w:rPr>
          <w:rFonts w:hint="eastAsia" w:ascii="仿宋" w:hAnsi="仿宋" w:eastAsia="仿宋" w:cs="仿宋"/>
          <w:b/>
          <w:szCs w:val="28"/>
          <w:lang w:val="zh-CN"/>
        </w:rPr>
      </w:pPr>
    </w:p>
    <w:p>
      <w:pPr>
        <w:rPr>
          <w:rFonts w:hint="eastAsia" w:ascii="仿宋" w:hAnsi="仿宋" w:eastAsia="仿宋" w:cs="仿宋"/>
          <w:b/>
          <w:szCs w:val="28"/>
          <w:lang w:val="zh-CN"/>
        </w:rPr>
      </w:pPr>
      <w:r>
        <w:rPr>
          <w:rFonts w:hint="eastAsia" w:ascii="仿宋" w:hAnsi="仿宋" w:eastAsia="仿宋" w:cs="仿宋"/>
          <w:b/>
          <w:szCs w:val="28"/>
          <w:lang w:val="zh-CN"/>
        </w:rPr>
        <w:br w:type="page"/>
      </w:r>
    </w:p>
    <w:p>
      <w:pPr>
        <w:snapToGrid w:val="0"/>
        <w:spacing w:before="120" w:beforeLines="50" w:after="50"/>
        <w:jc w:val="center"/>
        <w:rPr>
          <w:rFonts w:hint="eastAsia" w:ascii="仿宋" w:hAnsi="仿宋" w:eastAsia="仿宋" w:cs="仿宋"/>
          <w:b/>
          <w:szCs w:val="28"/>
          <w:lang w:val="zh-CN"/>
        </w:rPr>
      </w:pPr>
      <w:r>
        <w:rPr>
          <w:rFonts w:hint="eastAsia" w:ascii="仿宋" w:hAnsi="仿宋" w:eastAsia="仿宋" w:cs="仿宋"/>
          <w:b/>
          <w:szCs w:val="28"/>
          <w:lang w:val="zh-CN"/>
        </w:rPr>
        <w:t>开标一览表</w:t>
      </w:r>
    </w:p>
    <w:p>
      <w:pPr>
        <w:snapToGrid w:val="0"/>
        <w:spacing w:before="120" w:beforeLines="50" w:after="50"/>
        <w:jc w:val="center"/>
        <w:rPr>
          <w:rFonts w:hint="eastAsia" w:ascii="仿宋" w:hAnsi="仿宋" w:eastAsia="仿宋" w:cs="仿宋"/>
          <w:b/>
          <w:szCs w:val="28"/>
          <w:lang w:val="zh-CN"/>
        </w:rPr>
      </w:pPr>
      <w:r>
        <w:rPr>
          <w:rFonts w:hint="eastAsia" w:ascii="仿宋" w:hAnsi="仿宋" w:eastAsia="仿宋" w:cs="仿宋"/>
          <w:b/>
          <w:szCs w:val="28"/>
          <w:lang w:val="zh-CN"/>
        </w:rPr>
        <w:t>（标项3）</w:t>
      </w:r>
    </w:p>
    <w:p>
      <w:pPr>
        <w:autoSpaceDE w:val="0"/>
        <w:autoSpaceDN w:val="0"/>
        <w:adjustRightInd w:val="0"/>
        <w:spacing w:line="440" w:lineRule="exac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p>
    <w:p>
      <w:pPr>
        <w:autoSpaceDE w:val="0"/>
        <w:autoSpaceDN w:val="0"/>
        <w:adjustRightInd w:val="0"/>
        <w:spacing w:line="440" w:lineRule="exact"/>
        <w:rPr>
          <w:rFonts w:hint="eastAsia" w:ascii="仿宋" w:hAnsi="仿宋" w:eastAsia="仿宋" w:cs="仿宋"/>
          <w:sz w:val="24"/>
          <w:lang w:val="zh-CN"/>
        </w:rPr>
      </w:pPr>
      <w:r>
        <w:rPr>
          <w:rFonts w:hint="eastAsia" w:ascii="仿宋" w:hAnsi="仿宋" w:eastAsia="仿宋" w:cs="仿宋"/>
          <w:sz w:val="24"/>
          <w:lang w:val="zh-CN"/>
        </w:rPr>
        <w:t>项目编号：</w:t>
      </w:r>
      <w:r>
        <w:rPr>
          <w:rFonts w:hint="eastAsia" w:ascii="仿宋" w:hAnsi="仿宋" w:eastAsia="仿宋" w:cs="仿宋"/>
          <w:bCs/>
          <w:snapToGrid w:val="0"/>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autoSpaceDE w:val="0"/>
        <w:autoSpaceDN w:val="0"/>
        <w:adjustRightInd w:val="0"/>
        <w:spacing w:line="440" w:lineRule="exact"/>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 xml:space="preserve">人民币元         </w:t>
      </w:r>
    </w:p>
    <w:p>
      <w:pPr>
        <w:spacing w:line="380" w:lineRule="exact"/>
        <w:ind w:right="349" w:rightChars="166" w:firstLine="360" w:firstLineChars="150"/>
        <w:rPr>
          <w:rFonts w:hint="eastAsia" w:ascii="仿宋" w:hAnsi="仿宋" w:eastAsia="仿宋" w:cs="仿宋"/>
          <w:sz w:val="24"/>
        </w:rPr>
      </w:pPr>
      <w:r>
        <w:rPr>
          <w:rFonts w:hint="eastAsia" w:ascii="仿宋" w:hAnsi="仿宋" w:eastAsia="仿宋" w:cs="仿宋"/>
          <w:sz w:val="24"/>
        </w:rPr>
        <w:t xml:space="preserve">                                        </w:t>
      </w:r>
    </w:p>
    <w:tbl>
      <w:tblPr>
        <w:tblStyle w:val="1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649"/>
        <w:gridCol w:w="1217"/>
        <w:gridCol w:w="1758"/>
        <w:gridCol w:w="161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46"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标项</w:t>
            </w:r>
          </w:p>
        </w:tc>
        <w:tc>
          <w:tcPr>
            <w:tcW w:w="2649"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217"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服务区域</w:t>
            </w:r>
          </w:p>
        </w:tc>
        <w:tc>
          <w:tcPr>
            <w:tcW w:w="1758"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单价报价</w:t>
            </w:r>
          </w:p>
        </w:tc>
        <w:tc>
          <w:tcPr>
            <w:tcW w:w="1612"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保险数量</w:t>
            </w:r>
          </w:p>
        </w:tc>
        <w:tc>
          <w:tcPr>
            <w:tcW w:w="1420"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746"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2649"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3</w:t>
            </w:r>
            <w:r>
              <w:rPr>
                <w:rFonts w:hint="eastAsia" w:ascii="仿宋" w:hAnsi="仿宋" w:eastAsia="仿宋" w:cs="仿宋"/>
                <w:kern w:val="0"/>
                <w:sz w:val="24"/>
              </w:rPr>
              <w:t>年度湖州市老年人意外伤害统筹保险采购项目</w:t>
            </w:r>
          </w:p>
        </w:tc>
        <w:tc>
          <w:tcPr>
            <w:tcW w:w="1217"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南太湖</w:t>
            </w:r>
          </w:p>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rPr>
              <w:t>新区</w:t>
            </w:r>
          </w:p>
        </w:tc>
        <w:tc>
          <w:tcPr>
            <w:tcW w:w="1758" w:type="dxa"/>
            <w:noWrap w:val="0"/>
            <w:vAlign w:val="center"/>
          </w:tcPr>
          <w:p>
            <w:pPr>
              <w:widowControl/>
              <w:adjustRightInd w:val="0"/>
              <w:snapToGrid w:val="0"/>
              <w:spacing w:line="500" w:lineRule="exact"/>
              <w:jc w:val="center"/>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元/人/份</w:t>
            </w:r>
          </w:p>
        </w:tc>
        <w:tc>
          <w:tcPr>
            <w:tcW w:w="1612" w:type="dxa"/>
            <w:noWrap w:val="0"/>
            <w:vAlign w:val="center"/>
          </w:tcPr>
          <w:p>
            <w:pPr>
              <w:widowControl/>
              <w:adjustRightInd w:val="0"/>
              <w:snapToGrid w:val="0"/>
              <w:spacing w:line="500" w:lineRule="exact"/>
              <w:jc w:val="center"/>
              <w:rPr>
                <w:rFonts w:hint="eastAsia" w:ascii="仿宋" w:hAnsi="仿宋" w:eastAsia="仿宋" w:cs="仿宋"/>
                <w:kern w:val="0"/>
                <w:sz w:val="24"/>
              </w:rPr>
            </w:pPr>
          </w:p>
        </w:tc>
        <w:tc>
          <w:tcPr>
            <w:tcW w:w="1420" w:type="dxa"/>
            <w:noWrap w:val="0"/>
            <w:vAlign w:val="center"/>
          </w:tcPr>
          <w:p>
            <w:pPr>
              <w:widowControl/>
              <w:adjustRightInd w:val="0"/>
              <w:snapToGrid w:val="0"/>
              <w:spacing w:line="500" w:lineRule="exact"/>
              <w:jc w:val="center"/>
              <w:rPr>
                <w:rFonts w:hint="eastAsia" w:ascii="仿宋" w:hAnsi="仿宋" w:eastAsia="仿宋" w:cs="仿宋"/>
                <w:kern w:val="0"/>
                <w:sz w:val="24"/>
              </w:rPr>
            </w:pPr>
          </w:p>
        </w:tc>
      </w:tr>
    </w:tbl>
    <w:p>
      <w:pPr>
        <w:pStyle w:val="11"/>
        <w:spacing w:line="500" w:lineRule="exact"/>
        <w:rPr>
          <w:rFonts w:hint="eastAsia" w:ascii="仿宋" w:hAnsi="仿宋" w:eastAsia="仿宋" w:cs="仿宋"/>
          <w:b/>
          <w:sz w:val="24"/>
          <w:szCs w:val="24"/>
        </w:rPr>
      </w:pPr>
      <w:r>
        <w:rPr>
          <w:rFonts w:hint="eastAsia" w:ascii="仿宋" w:hAnsi="仿宋" w:eastAsia="仿宋" w:cs="仿宋"/>
          <w:b/>
          <w:sz w:val="24"/>
          <w:szCs w:val="24"/>
        </w:rPr>
        <w:t>注： 1、报价一经涂改，应在涂改处加盖单位公章或者由法定代表人/保险公司分支机构负责人或授权委托人签字或盖章，否则其投标作无效标处理。</w:t>
      </w:r>
    </w:p>
    <w:p>
      <w:pPr>
        <w:pStyle w:val="11"/>
        <w:spacing w:line="5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2、投标报价包括项目实施所需的成本、管理费、人工工资、招标代理费、税费及其他一切费用。</w:t>
      </w:r>
    </w:p>
    <w:p>
      <w:pPr>
        <w:snapToGrid w:val="0"/>
        <w:spacing w:line="500" w:lineRule="exact"/>
        <w:ind w:firstLine="472" w:firstLineChars="196"/>
        <w:jc w:val="left"/>
        <w:rPr>
          <w:rFonts w:hint="eastAsia" w:ascii="仿宋" w:hAnsi="仿宋" w:eastAsia="仿宋" w:cs="仿宋"/>
          <w:sz w:val="24"/>
        </w:rPr>
      </w:pPr>
      <w:r>
        <w:rPr>
          <w:rFonts w:hint="eastAsia" w:ascii="仿宋" w:hAnsi="仿宋" w:eastAsia="仿宋" w:cs="仿宋"/>
          <w:b/>
          <w:sz w:val="24"/>
        </w:rPr>
        <w:t>3、以上报价应与“投标报价明细表”中的“投标总价”相一致</w:t>
      </w:r>
    </w:p>
    <w:p>
      <w:pPr>
        <w:snapToGrid w:val="0"/>
        <w:spacing w:line="500" w:lineRule="exact"/>
        <w:ind w:firstLine="480"/>
        <w:jc w:val="left"/>
        <w:rPr>
          <w:rFonts w:hint="eastAsia" w:ascii="仿宋" w:hAnsi="仿宋" w:eastAsia="仿宋" w:cs="仿宋"/>
          <w:sz w:val="24"/>
        </w:rPr>
      </w:pPr>
      <w:r>
        <w:rPr>
          <w:rFonts w:hint="eastAsia" w:ascii="仿宋" w:hAnsi="仿宋" w:eastAsia="仿宋" w:cs="仿宋"/>
          <w:b/>
          <w:sz w:val="24"/>
        </w:rPr>
        <w:t>4、不提供此表格的将视为没有实质性响应招标文件。</w:t>
      </w:r>
    </w:p>
    <w:p>
      <w:pPr>
        <w:snapToGrid w:val="0"/>
        <w:spacing w:line="500" w:lineRule="exact"/>
        <w:ind w:firstLine="480"/>
        <w:jc w:val="left"/>
        <w:rPr>
          <w:rFonts w:hint="eastAsia" w:ascii="仿宋" w:hAnsi="仿宋" w:eastAsia="仿宋" w:cs="仿宋"/>
          <w:b/>
          <w:sz w:val="24"/>
        </w:rPr>
      </w:pPr>
    </w:p>
    <w:p>
      <w:pPr>
        <w:snapToGrid w:val="0"/>
        <w:spacing w:line="500" w:lineRule="exac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kern w:val="0"/>
          <w:sz w:val="24"/>
        </w:rPr>
        <w:t>/</w:t>
      </w:r>
      <w:r>
        <w:rPr>
          <w:rFonts w:hint="eastAsia" w:ascii="仿宋" w:hAnsi="仿宋" w:eastAsia="仿宋" w:cs="仿宋"/>
          <w:sz w:val="24"/>
        </w:rPr>
        <w:t>保险公司分支机构负责人或授权代表签字：</w:t>
      </w:r>
      <w:r>
        <w:rPr>
          <w:rFonts w:hint="eastAsia" w:ascii="仿宋" w:hAnsi="仿宋" w:eastAsia="仿宋" w:cs="仿宋"/>
          <w:sz w:val="24"/>
          <w:u w:val="single"/>
        </w:rPr>
        <w:t xml:space="preserve">             </w:t>
      </w:r>
    </w:p>
    <w:p>
      <w:pPr>
        <w:snapToGrid w:val="0"/>
        <w:spacing w:line="500" w:lineRule="exact"/>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500" w:lineRule="exact"/>
        <w:ind w:firstLine="480" w:firstLineChars="200"/>
        <w:jc w:val="center"/>
        <w:rPr>
          <w:rFonts w:hint="eastAsia" w:ascii="仿宋" w:hAnsi="仿宋" w:eastAsia="仿宋" w:cs="仿宋"/>
          <w:sz w:val="24"/>
        </w:rPr>
      </w:pPr>
    </w:p>
    <w:p>
      <w:pPr>
        <w:pStyle w:val="2"/>
        <w:tabs>
          <w:tab w:val="left" w:pos="5370"/>
        </w:tabs>
        <w:spacing w:line="600" w:lineRule="exact"/>
        <w:ind w:firstLine="0"/>
        <w:jc w:val="center"/>
        <w:rPr>
          <w:rFonts w:hint="eastAsia" w:ascii="仿宋" w:hAnsi="仿宋" w:eastAsia="仿宋" w:cs="仿宋"/>
          <w:b/>
          <w:sz w:val="32"/>
          <w:szCs w:val="32"/>
        </w:rPr>
      </w:pPr>
      <w:r>
        <w:rPr>
          <w:rFonts w:hint="eastAsia" w:ascii="仿宋" w:hAnsi="仿宋" w:eastAsia="仿宋" w:cs="仿宋"/>
          <w:sz w:val="24"/>
        </w:rPr>
        <w:t xml:space="preserve">                                                年    月    日</w:t>
      </w:r>
    </w:p>
    <w:p>
      <w:pPr>
        <w:pStyle w:val="2"/>
        <w:tabs>
          <w:tab w:val="left" w:pos="5370"/>
        </w:tabs>
        <w:spacing w:line="600" w:lineRule="exact"/>
        <w:ind w:firstLine="0"/>
        <w:jc w:val="center"/>
        <w:rPr>
          <w:rFonts w:hint="eastAsia" w:ascii="仿宋" w:hAnsi="仿宋" w:eastAsia="仿宋" w:cs="仿宋"/>
          <w:b/>
          <w:sz w:val="32"/>
          <w:szCs w:val="32"/>
        </w:rPr>
      </w:pPr>
    </w:p>
    <w:p>
      <w:pPr>
        <w:pStyle w:val="2"/>
        <w:tabs>
          <w:tab w:val="left" w:pos="5370"/>
        </w:tabs>
        <w:spacing w:line="600" w:lineRule="exact"/>
        <w:ind w:firstLine="0"/>
        <w:jc w:val="cente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br w:type="page"/>
      </w:r>
    </w:p>
    <w:p>
      <w:pPr>
        <w:pStyle w:val="2"/>
        <w:tabs>
          <w:tab w:val="left" w:pos="5370"/>
        </w:tabs>
        <w:spacing w:line="600" w:lineRule="exact"/>
        <w:ind w:firstLine="0"/>
        <w:jc w:val="center"/>
        <w:rPr>
          <w:rFonts w:hint="eastAsia" w:ascii="仿宋" w:hAnsi="仿宋" w:eastAsia="仿宋" w:cs="仿宋"/>
          <w:b/>
          <w:sz w:val="32"/>
          <w:szCs w:val="32"/>
        </w:rPr>
      </w:pPr>
      <w:r>
        <w:rPr>
          <w:rFonts w:hint="eastAsia" w:ascii="仿宋" w:hAnsi="仿宋" w:eastAsia="仿宋" w:cs="仿宋"/>
          <w:b/>
          <w:sz w:val="32"/>
          <w:szCs w:val="32"/>
        </w:rPr>
        <w:t>投标报价明细表</w:t>
      </w:r>
    </w:p>
    <w:p>
      <w:pPr>
        <w:pStyle w:val="2"/>
        <w:tabs>
          <w:tab w:val="left" w:pos="5370"/>
        </w:tabs>
        <w:spacing w:line="600" w:lineRule="exact"/>
        <w:ind w:firstLine="0"/>
        <w:jc w:val="center"/>
        <w:rPr>
          <w:rFonts w:hint="eastAsia" w:ascii="仿宋" w:hAnsi="仿宋" w:eastAsia="仿宋" w:cs="仿宋"/>
          <w:b/>
          <w:sz w:val="28"/>
          <w:szCs w:val="28"/>
        </w:rPr>
      </w:pPr>
      <w:r>
        <w:rPr>
          <w:rFonts w:hint="eastAsia" w:ascii="仿宋" w:hAnsi="仿宋" w:eastAsia="仿宋" w:cs="仿宋"/>
          <w:b/>
          <w:sz w:val="28"/>
          <w:szCs w:val="28"/>
        </w:rPr>
        <w:t>（标项1）</w:t>
      </w:r>
    </w:p>
    <w:tbl>
      <w:tblPr>
        <w:tblStyle w:val="1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50"/>
        <w:gridCol w:w="1395"/>
        <w:gridCol w:w="1072"/>
        <w:gridCol w:w="132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序号</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kern w:val="0"/>
                <w:sz w:val="24"/>
              </w:rPr>
              <w:t>服务区域</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单价</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kern w:val="0"/>
                <w:sz w:val="24"/>
              </w:rPr>
              <w:t>保险</w:t>
            </w:r>
            <w:r>
              <w:rPr>
                <w:rFonts w:hint="eastAsia" w:ascii="仿宋" w:hAnsi="仿宋" w:eastAsia="仿宋" w:cs="仿宋"/>
                <w:sz w:val="24"/>
              </w:rPr>
              <w:t>数量</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9330"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 w:hAnsi="仿宋" w:eastAsia="仿宋" w:cs="仿宋"/>
                <w:sz w:val="24"/>
              </w:rPr>
            </w:pPr>
            <w:r>
              <w:rPr>
                <w:rFonts w:hint="eastAsia" w:ascii="仿宋" w:hAnsi="仿宋" w:eastAsia="仿宋" w:cs="仿宋"/>
                <w:b/>
                <w:sz w:val="24"/>
              </w:rPr>
              <w:t>投标总价</w:t>
            </w:r>
            <w:r>
              <w:rPr>
                <w:rFonts w:hint="eastAsia" w:ascii="仿宋" w:hAnsi="仿宋" w:eastAsia="仿宋" w:cs="仿宋"/>
                <w:sz w:val="24"/>
              </w:rPr>
              <w:t>：人民币</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w:t>
            </w:r>
          </w:p>
        </w:tc>
      </w:tr>
    </w:tbl>
    <w:p>
      <w:pPr>
        <w:autoSpaceDE w:val="0"/>
        <w:autoSpaceDN w:val="0"/>
        <w:adjustRightInd w:val="0"/>
        <w:spacing w:line="600" w:lineRule="exact"/>
        <w:ind w:right="480"/>
        <w:rPr>
          <w:rFonts w:hint="eastAsia" w:ascii="仿宋" w:hAnsi="仿宋" w:eastAsia="仿宋" w:cs="仿宋"/>
          <w:kern w:val="0"/>
          <w:sz w:val="24"/>
          <w:lang w:val="zh-CN"/>
        </w:rPr>
      </w:pPr>
    </w:p>
    <w:p>
      <w:pPr>
        <w:autoSpaceDE w:val="0"/>
        <w:autoSpaceDN w:val="0"/>
        <w:adjustRightInd w:val="0"/>
        <w:spacing w:line="600" w:lineRule="exact"/>
        <w:ind w:right="480"/>
        <w:rPr>
          <w:rFonts w:hint="eastAsia" w:ascii="仿宋" w:hAnsi="仿宋" w:eastAsia="仿宋" w:cs="仿宋"/>
          <w:kern w:val="0"/>
          <w:sz w:val="24"/>
        </w:rPr>
      </w:pPr>
      <w:r>
        <w:rPr>
          <w:rFonts w:hint="eastAsia" w:ascii="仿宋" w:hAnsi="仿宋" w:eastAsia="仿宋" w:cs="仿宋"/>
          <w:kern w:val="0"/>
          <w:sz w:val="24"/>
          <w:lang w:val="zh-CN"/>
        </w:rPr>
        <w:t>供应商名称（公章）：</w:t>
      </w:r>
    </w:p>
    <w:p>
      <w:pPr>
        <w:autoSpaceDE w:val="0"/>
        <w:autoSpaceDN w:val="0"/>
        <w:adjustRightInd w:val="0"/>
        <w:spacing w:line="600" w:lineRule="exact"/>
        <w:rPr>
          <w:rFonts w:hint="eastAsia" w:ascii="仿宋" w:hAnsi="仿宋" w:eastAsia="仿宋" w:cs="仿宋"/>
          <w:kern w:val="0"/>
          <w:sz w:val="24"/>
        </w:rPr>
      </w:pPr>
      <w:r>
        <w:rPr>
          <w:rFonts w:hint="eastAsia" w:ascii="仿宋" w:hAnsi="仿宋" w:eastAsia="仿宋" w:cs="仿宋"/>
          <w:sz w:val="24"/>
        </w:rPr>
        <w:t>法定代表人</w:t>
      </w:r>
      <w:r>
        <w:rPr>
          <w:rFonts w:hint="eastAsia" w:ascii="仿宋" w:hAnsi="仿宋" w:eastAsia="仿宋" w:cs="仿宋"/>
          <w:kern w:val="0"/>
          <w:sz w:val="24"/>
        </w:rPr>
        <w:t>/</w:t>
      </w:r>
      <w:r>
        <w:rPr>
          <w:rFonts w:hint="eastAsia" w:ascii="仿宋" w:hAnsi="仿宋" w:eastAsia="仿宋" w:cs="仿宋"/>
          <w:sz w:val="24"/>
        </w:rPr>
        <w:t>保险公司分支机构负责人或授权委托人</w:t>
      </w:r>
      <w:r>
        <w:rPr>
          <w:rFonts w:hint="eastAsia" w:ascii="仿宋" w:hAnsi="仿宋" w:eastAsia="仿宋" w:cs="仿宋"/>
          <w:kern w:val="0"/>
          <w:sz w:val="24"/>
          <w:lang w:val="zh-CN"/>
        </w:rPr>
        <w:t>（签字）：</w:t>
      </w:r>
    </w:p>
    <w:p>
      <w:pPr>
        <w:pStyle w:val="2"/>
        <w:spacing w:line="600" w:lineRule="exact"/>
        <w:ind w:firstLine="0"/>
        <w:rPr>
          <w:rFonts w:hint="eastAsia" w:ascii="仿宋" w:hAnsi="仿宋" w:eastAsia="仿宋" w:cs="仿宋"/>
          <w:sz w:val="24"/>
        </w:rPr>
      </w:pPr>
      <w:r>
        <w:rPr>
          <w:rFonts w:hint="eastAsia" w:ascii="仿宋" w:hAnsi="仿宋" w:eastAsia="仿宋" w:cs="仿宋"/>
          <w:kern w:val="0"/>
          <w:sz w:val="24"/>
          <w:lang w:val="zh-CN"/>
        </w:rPr>
        <w:t>日期：    年  月   日</w:t>
      </w: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rPr>
          <w:rFonts w:hint="eastAsia" w:ascii="仿宋" w:hAnsi="仿宋" w:eastAsia="仿宋" w:cs="仿宋"/>
          <w:b/>
          <w:sz w:val="32"/>
          <w:szCs w:val="32"/>
        </w:rPr>
      </w:pPr>
      <w:r>
        <w:rPr>
          <w:rFonts w:hint="eastAsia" w:ascii="仿宋" w:hAnsi="仿宋" w:eastAsia="仿宋" w:cs="仿宋"/>
          <w:b/>
          <w:sz w:val="32"/>
          <w:szCs w:val="32"/>
        </w:rPr>
        <w:br w:type="page"/>
      </w:r>
    </w:p>
    <w:p>
      <w:pPr>
        <w:pStyle w:val="2"/>
        <w:tabs>
          <w:tab w:val="left" w:pos="5370"/>
        </w:tabs>
        <w:spacing w:line="600" w:lineRule="exact"/>
        <w:ind w:firstLine="0"/>
        <w:jc w:val="center"/>
        <w:rPr>
          <w:rFonts w:hint="eastAsia" w:ascii="仿宋" w:hAnsi="仿宋" w:eastAsia="仿宋" w:cs="仿宋"/>
          <w:b/>
          <w:sz w:val="32"/>
          <w:szCs w:val="32"/>
        </w:rPr>
      </w:pPr>
      <w:r>
        <w:rPr>
          <w:rFonts w:hint="eastAsia" w:ascii="仿宋" w:hAnsi="仿宋" w:eastAsia="仿宋" w:cs="仿宋"/>
          <w:b/>
          <w:sz w:val="32"/>
          <w:szCs w:val="32"/>
        </w:rPr>
        <w:t>投标报价明细表</w:t>
      </w:r>
    </w:p>
    <w:p>
      <w:pPr>
        <w:pStyle w:val="2"/>
        <w:tabs>
          <w:tab w:val="left" w:pos="5370"/>
        </w:tabs>
        <w:spacing w:line="600" w:lineRule="exact"/>
        <w:ind w:firstLine="0"/>
        <w:jc w:val="center"/>
        <w:rPr>
          <w:rFonts w:hint="eastAsia" w:ascii="仿宋" w:hAnsi="仿宋" w:eastAsia="仿宋" w:cs="仿宋"/>
          <w:b/>
          <w:sz w:val="28"/>
          <w:szCs w:val="28"/>
        </w:rPr>
      </w:pPr>
      <w:r>
        <w:rPr>
          <w:rFonts w:hint="eastAsia" w:ascii="仿宋" w:hAnsi="仿宋" w:eastAsia="仿宋" w:cs="仿宋"/>
          <w:b/>
          <w:sz w:val="28"/>
          <w:szCs w:val="28"/>
        </w:rPr>
        <w:t>（标项2）</w:t>
      </w:r>
    </w:p>
    <w:tbl>
      <w:tblPr>
        <w:tblStyle w:val="1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50"/>
        <w:gridCol w:w="1395"/>
        <w:gridCol w:w="1072"/>
        <w:gridCol w:w="132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序号</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kern w:val="0"/>
                <w:sz w:val="24"/>
              </w:rPr>
              <w:t>服务区域</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单价</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kern w:val="0"/>
                <w:sz w:val="24"/>
              </w:rPr>
              <w:t>保险</w:t>
            </w:r>
            <w:r>
              <w:rPr>
                <w:rFonts w:hint="eastAsia" w:ascii="仿宋" w:hAnsi="仿宋" w:eastAsia="仿宋" w:cs="仿宋"/>
                <w:sz w:val="24"/>
              </w:rPr>
              <w:t>数量</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9330"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 w:hAnsi="仿宋" w:eastAsia="仿宋" w:cs="仿宋"/>
                <w:sz w:val="24"/>
              </w:rPr>
            </w:pPr>
            <w:r>
              <w:rPr>
                <w:rFonts w:hint="eastAsia" w:ascii="仿宋" w:hAnsi="仿宋" w:eastAsia="仿宋" w:cs="仿宋"/>
                <w:b/>
                <w:sz w:val="24"/>
              </w:rPr>
              <w:t>投标总价</w:t>
            </w:r>
            <w:r>
              <w:rPr>
                <w:rFonts w:hint="eastAsia" w:ascii="仿宋" w:hAnsi="仿宋" w:eastAsia="仿宋" w:cs="仿宋"/>
                <w:sz w:val="24"/>
              </w:rPr>
              <w:t>：人民币</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w:t>
            </w:r>
          </w:p>
        </w:tc>
      </w:tr>
    </w:tbl>
    <w:p>
      <w:pPr>
        <w:autoSpaceDE w:val="0"/>
        <w:autoSpaceDN w:val="0"/>
        <w:adjustRightInd w:val="0"/>
        <w:spacing w:line="600" w:lineRule="exact"/>
        <w:ind w:right="480"/>
        <w:rPr>
          <w:rFonts w:hint="eastAsia" w:ascii="仿宋" w:hAnsi="仿宋" w:eastAsia="仿宋" w:cs="仿宋"/>
          <w:kern w:val="0"/>
          <w:sz w:val="24"/>
          <w:lang w:val="zh-CN"/>
        </w:rPr>
      </w:pPr>
    </w:p>
    <w:p>
      <w:pPr>
        <w:autoSpaceDE w:val="0"/>
        <w:autoSpaceDN w:val="0"/>
        <w:adjustRightInd w:val="0"/>
        <w:spacing w:line="600" w:lineRule="exact"/>
        <w:ind w:right="480"/>
        <w:rPr>
          <w:rFonts w:hint="eastAsia" w:ascii="仿宋" w:hAnsi="仿宋" w:eastAsia="仿宋" w:cs="仿宋"/>
          <w:kern w:val="0"/>
          <w:sz w:val="24"/>
        </w:rPr>
      </w:pPr>
      <w:r>
        <w:rPr>
          <w:rFonts w:hint="eastAsia" w:ascii="仿宋" w:hAnsi="仿宋" w:eastAsia="仿宋" w:cs="仿宋"/>
          <w:kern w:val="0"/>
          <w:sz w:val="24"/>
          <w:lang w:val="zh-CN"/>
        </w:rPr>
        <w:t>供应商名称（公章）：</w:t>
      </w:r>
    </w:p>
    <w:p>
      <w:pPr>
        <w:autoSpaceDE w:val="0"/>
        <w:autoSpaceDN w:val="0"/>
        <w:adjustRightInd w:val="0"/>
        <w:spacing w:line="600" w:lineRule="exact"/>
        <w:rPr>
          <w:rFonts w:hint="eastAsia" w:ascii="仿宋" w:hAnsi="仿宋" w:eastAsia="仿宋" w:cs="仿宋"/>
          <w:kern w:val="0"/>
          <w:sz w:val="24"/>
        </w:rPr>
      </w:pPr>
      <w:r>
        <w:rPr>
          <w:rFonts w:hint="eastAsia" w:ascii="仿宋" w:hAnsi="仿宋" w:eastAsia="仿宋" w:cs="仿宋"/>
          <w:sz w:val="24"/>
        </w:rPr>
        <w:t>法定代表人</w:t>
      </w:r>
      <w:r>
        <w:rPr>
          <w:rFonts w:hint="eastAsia" w:ascii="仿宋" w:hAnsi="仿宋" w:eastAsia="仿宋" w:cs="仿宋"/>
          <w:kern w:val="0"/>
          <w:sz w:val="24"/>
        </w:rPr>
        <w:t>/</w:t>
      </w:r>
      <w:r>
        <w:rPr>
          <w:rFonts w:hint="eastAsia" w:ascii="仿宋" w:hAnsi="仿宋" w:eastAsia="仿宋" w:cs="仿宋"/>
          <w:sz w:val="24"/>
        </w:rPr>
        <w:t>保险公司分支机构负责人或授权委托人</w:t>
      </w:r>
      <w:r>
        <w:rPr>
          <w:rFonts w:hint="eastAsia" w:ascii="仿宋" w:hAnsi="仿宋" w:eastAsia="仿宋" w:cs="仿宋"/>
          <w:kern w:val="0"/>
          <w:sz w:val="24"/>
          <w:lang w:val="zh-CN"/>
        </w:rPr>
        <w:t>（签字）：</w:t>
      </w:r>
    </w:p>
    <w:p>
      <w:pPr>
        <w:pStyle w:val="2"/>
        <w:spacing w:line="600" w:lineRule="exact"/>
        <w:ind w:firstLine="0"/>
        <w:rPr>
          <w:rFonts w:hint="eastAsia" w:ascii="仿宋" w:hAnsi="仿宋" w:eastAsia="仿宋" w:cs="仿宋"/>
          <w:sz w:val="24"/>
        </w:rPr>
      </w:pPr>
      <w:r>
        <w:rPr>
          <w:rFonts w:hint="eastAsia" w:ascii="仿宋" w:hAnsi="仿宋" w:eastAsia="仿宋" w:cs="仿宋"/>
          <w:kern w:val="0"/>
          <w:sz w:val="24"/>
          <w:lang w:val="zh-CN"/>
        </w:rPr>
        <w:t>日期：    年  月   日</w:t>
      </w: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rPr>
          <w:rFonts w:hint="eastAsia" w:ascii="仿宋" w:hAnsi="仿宋" w:eastAsia="仿宋" w:cs="仿宋"/>
          <w:b/>
          <w:sz w:val="32"/>
          <w:szCs w:val="32"/>
        </w:rPr>
      </w:pPr>
      <w:r>
        <w:rPr>
          <w:rFonts w:hint="eastAsia" w:ascii="仿宋" w:hAnsi="仿宋" w:eastAsia="仿宋" w:cs="仿宋"/>
          <w:b/>
          <w:sz w:val="32"/>
          <w:szCs w:val="32"/>
        </w:rPr>
        <w:br w:type="page"/>
      </w:r>
    </w:p>
    <w:p>
      <w:pPr>
        <w:pStyle w:val="2"/>
        <w:tabs>
          <w:tab w:val="left" w:pos="5370"/>
        </w:tabs>
        <w:spacing w:line="600" w:lineRule="exact"/>
        <w:ind w:firstLine="0"/>
        <w:jc w:val="center"/>
        <w:rPr>
          <w:rFonts w:hint="eastAsia" w:ascii="仿宋" w:hAnsi="仿宋" w:eastAsia="仿宋" w:cs="仿宋"/>
          <w:b/>
          <w:sz w:val="32"/>
          <w:szCs w:val="32"/>
        </w:rPr>
      </w:pPr>
      <w:r>
        <w:rPr>
          <w:rFonts w:hint="eastAsia" w:ascii="仿宋" w:hAnsi="仿宋" w:eastAsia="仿宋" w:cs="仿宋"/>
          <w:b/>
          <w:sz w:val="32"/>
          <w:szCs w:val="32"/>
        </w:rPr>
        <w:t>投标报价明细表</w:t>
      </w:r>
    </w:p>
    <w:p>
      <w:pPr>
        <w:pStyle w:val="2"/>
        <w:tabs>
          <w:tab w:val="left" w:pos="5370"/>
        </w:tabs>
        <w:spacing w:line="600" w:lineRule="exact"/>
        <w:ind w:firstLine="0"/>
        <w:jc w:val="center"/>
        <w:rPr>
          <w:rFonts w:hint="eastAsia" w:ascii="仿宋" w:hAnsi="仿宋" w:eastAsia="仿宋" w:cs="仿宋"/>
          <w:b/>
          <w:sz w:val="28"/>
          <w:szCs w:val="28"/>
        </w:rPr>
      </w:pPr>
      <w:r>
        <w:rPr>
          <w:rFonts w:hint="eastAsia" w:ascii="仿宋" w:hAnsi="仿宋" w:eastAsia="仿宋" w:cs="仿宋"/>
          <w:b/>
          <w:sz w:val="28"/>
          <w:szCs w:val="28"/>
        </w:rPr>
        <w:t>（标项3）</w:t>
      </w:r>
    </w:p>
    <w:tbl>
      <w:tblPr>
        <w:tblStyle w:val="1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50"/>
        <w:gridCol w:w="1395"/>
        <w:gridCol w:w="1072"/>
        <w:gridCol w:w="132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序号</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kern w:val="0"/>
                <w:sz w:val="24"/>
              </w:rPr>
              <w:t>服务区域</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单价</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kern w:val="0"/>
                <w:sz w:val="24"/>
              </w:rPr>
              <w:t>保险</w:t>
            </w:r>
            <w:r>
              <w:rPr>
                <w:rFonts w:hint="eastAsia" w:ascii="仿宋" w:hAnsi="仿宋" w:eastAsia="仿宋" w:cs="仿宋"/>
                <w:sz w:val="24"/>
              </w:rPr>
              <w:t>数量</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r>
              <w:rPr>
                <w:rFonts w:hint="eastAsia" w:ascii="仿宋" w:hAnsi="仿宋" w:eastAsia="仿宋" w:cs="仿宋"/>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9330"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 w:hAnsi="仿宋" w:eastAsia="仿宋" w:cs="仿宋"/>
                <w:sz w:val="24"/>
              </w:rPr>
            </w:pPr>
            <w:r>
              <w:rPr>
                <w:rFonts w:hint="eastAsia" w:ascii="仿宋" w:hAnsi="仿宋" w:eastAsia="仿宋" w:cs="仿宋"/>
                <w:b/>
                <w:sz w:val="24"/>
              </w:rPr>
              <w:t>投标总价</w:t>
            </w:r>
            <w:r>
              <w:rPr>
                <w:rFonts w:hint="eastAsia" w:ascii="仿宋" w:hAnsi="仿宋" w:eastAsia="仿宋" w:cs="仿宋"/>
                <w:sz w:val="24"/>
              </w:rPr>
              <w:t>：人民币</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w:t>
            </w:r>
          </w:p>
        </w:tc>
      </w:tr>
    </w:tbl>
    <w:p>
      <w:pPr>
        <w:autoSpaceDE w:val="0"/>
        <w:autoSpaceDN w:val="0"/>
        <w:adjustRightInd w:val="0"/>
        <w:spacing w:line="600" w:lineRule="exact"/>
        <w:ind w:right="480"/>
        <w:rPr>
          <w:rFonts w:hint="eastAsia" w:ascii="仿宋" w:hAnsi="仿宋" w:eastAsia="仿宋" w:cs="仿宋"/>
          <w:kern w:val="0"/>
          <w:sz w:val="24"/>
          <w:lang w:val="zh-CN"/>
        </w:rPr>
      </w:pPr>
    </w:p>
    <w:p>
      <w:pPr>
        <w:autoSpaceDE w:val="0"/>
        <w:autoSpaceDN w:val="0"/>
        <w:adjustRightInd w:val="0"/>
        <w:spacing w:line="600" w:lineRule="exact"/>
        <w:ind w:right="480"/>
        <w:rPr>
          <w:rFonts w:hint="eastAsia" w:ascii="仿宋" w:hAnsi="仿宋" w:eastAsia="仿宋" w:cs="仿宋"/>
          <w:kern w:val="0"/>
          <w:sz w:val="24"/>
        </w:rPr>
      </w:pPr>
      <w:r>
        <w:rPr>
          <w:rFonts w:hint="eastAsia" w:ascii="仿宋" w:hAnsi="仿宋" w:eastAsia="仿宋" w:cs="仿宋"/>
          <w:kern w:val="0"/>
          <w:sz w:val="24"/>
          <w:lang w:val="zh-CN"/>
        </w:rPr>
        <w:t>供应商名称（公章）：</w:t>
      </w:r>
    </w:p>
    <w:p>
      <w:pPr>
        <w:autoSpaceDE w:val="0"/>
        <w:autoSpaceDN w:val="0"/>
        <w:adjustRightInd w:val="0"/>
        <w:spacing w:line="600" w:lineRule="exact"/>
        <w:rPr>
          <w:rFonts w:hint="eastAsia" w:ascii="仿宋" w:hAnsi="仿宋" w:eastAsia="仿宋" w:cs="仿宋"/>
          <w:kern w:val="0"/>
          <w:sz w:val="24"/>
        </w:rPr>
      </w:pPr>
      <w:r>
        <w:rPr>
          <w:rFonts w:hint="eastAsia" w:ascii="仿宋" w:hAnsi="仿宋" w:eastAsia="仿宋" w:cs="仿宋"/>
          <w:sz w:val="24"/>
        </w:rPr>
        <w:t>法定代表人</w:t>
      </w:r>
      <w:r>
        <w:rPr>
          <w:rFonts w:hint="eastAsia" w:ascii="仿宋" w:hAnsi="仿宋" w:eastAsia="仿宋" w:cs="仿宋"/>
          <w:kern w:val="0"/>
          <w:sz w:val="24"/>
        </w:rPr>
        <w:t>/</w:t>
      </w:r>
      <w:r>
        <w:rPr>
          <w:rFonts w:hint="eastAsia" w:ascii="仿宋" w:hAnsi="仿宋" w:eastAsia="仿宋" w:cs="仿宋"/>
          <w:sz w:val="24"/>
        </w:rPr>
        <w:t>保险公司分支机构负责人或授权委托人</w:t>
      </w:r>
      <w:r>
        <w:rPr>
          <w:rFonts w:hint="eastAsia" w:ascii="仿宋" w:hAnsi="仿宋" w:eastAsia="仿宋" w:cs="仿宋"/>
          <w:kern w:val="0"/>
          <w:sz w:val="24"/>
          <w:lang w:val="zh-CN"/>
        </w:rPr>
        <w:t>（签字）：</w:t>
      </w:r>
    </w:p>
    <w:p>
      <w:pPr>
        <w:pStyle w:val="2"/>
        <w:spacing w:line="600" w:lineRule="exact"/>
        <w:ind w:firstLine="0"/>
        <w:rPr>
          <w:rFonts w:hint="eastAsia" w:ascii="仿宋" w:hAnsi="仿宋" w:eastAsia="仿宋" w:cs="仿宋"/>
          <w:sz w:val="24"/>
        </w:rPr>
      </w:pPr>
      <w:r>
        <w:rPr>
          <w:rFonts w:hint="eastAsia" w:ascii="仿宋" w:hAnsi="仿宋" w:eastAsia="仿宋" w:cs="仿宋"/>
          <w:kern w:val="0"/>
          <w:sz w:val="24"/>
          <w:lang w:val="zh-CN"/>
        </w:rPr>
        <w:t>日期：    年  月   日</w:t>
      </w:r>
    </w:p>
    <w:p>
      <w:pPr>
        <w:rPr>
          <w:rFonts w:hint="eastAsia" w:ascii="仿宋" w:hAnsi="仿宋" w:eastAsia="仿宋" w:cs="仿宋"/>
          <w:b/>
          <w:sz w:val="24"/>
        </w:rPr>
      </w:pPr>
      <w:r>
        <w:rPr>
          <w:rFonts w:hint="eastAsia" w:ascii="仿宋" w:hAnsi="仿宋" w:eastAsia="仿宋" w:cs="仿宋"/>
          <w:b/>
          <w:sz w:val="24"/>
        </w:rPr>
        <w:br w:type="page"/>
      </w:r>
    </w:p>
    <w:p>
      <w:pPr>
        <w:pageBreakBefore/>
        <w:snapToGrid w:val="0"/>
        <w:spacing w:beforeLines="50" w:after="50" w:line="460" w:lineRule="exact"/>
        <w:jc w:val="center"/>
        <w:rPr>
          <w:rFonts w:hint="eastAsia" w:ascii="仿宋" w:hAnsi="仿宋" w:eastAsia="仿宋" w:cs="仿宋"/>
          <w:b/>
          <w:sz w:val="24"/>
        </w:rPr>
      </w:pPr>
      <w:r>
        <w:rPr>
          <w:rFonts w:hint="eastAsia" w:ascii="仿宋" w:hAnsi="仿宋" w:eastAsia="仿宋" w:cs="仿宋"/>
          <w:b/>
          <w:sz w:val="24"/>
        </w:rPr>
        <w:t>代理服务费承诺函</w:t>
      </w:r>
    </w:p>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lang w:eastAsia="zh-CN"/>
        </w:rPr>
        <w:t>湖州帆华工程管理有限公司</w:t>
      </w:r>
      <w:r>
        <w:rPr>
          <w:rFonts w:hint="eastAsia" w:ascii="仿宋" w:hAnsi="仿宋" w:eastAsia="仿宋" w:cs="仿宋"/>
          <w:sz w:val="24"/>
        </w:rPr>
        <w:t>：</w:t>
      </w:r>
    </w:p>
    <w:p>
      <w:pPr>
        <w:snapToGrid w:val="0"/>
        <w:spacing w:beforeLines="50" w:after="50" w:line="460" w:lineRule="exact"/>
        <w:ind w:firstLine="480" w:firstLineChars="200"/>
        <w:jc w:val="left"/>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eastAsia="zh-CN"/>
        </w:rPr>
        <w:t>采购文件</w:t>
      </w:r>
      <w:r>
        <w:rPr>
          <w:rFonts w:hint="eastAsia" w:ascii="仿宋" w:hAnsi="仿宋" w:eastAsia="仿宋" w:cs="仿宋"/>
          <w:sz w:val="24"/>
        </w:rPr>
        <w:t>的规定，一旦我公司中标，我公司同意按</w:t>
      </w:r>
      <w:r>
        <w:rPr>
          <w:rFonts w:hint="eastAsia" w:ascii="仿宋" w:hAnsi="仿宋" w:eastAsia="仿宋" w:cs="仿宋"/>
          <w:sz w:val="24"/>
          <w:lang w:eastAsia="zh-CN"/>
        </w:rPr>
        <w:t>采购文件</w:t>
      </w:r>
      <w:r>
        <w:rPr>
          <w:rFonts w:hint="eastAsia" w:ascii="仿宋" w:hAnsi="仿宋" w:eastAsia="仿宋" w:cs="仿宋"/>
          <w:sz w:val="24"/>
        </w:rPr>
        <w:t>规定金额向贵公司交纳代理服务费，在收到中标通知书后的当天一次性结清。</w:t>
      </w:r>
    </w:p>
    <w:p>
      <w:pPr>
        <w:snapToGrid w:val="0"/>
        <w:spacing w:beforeLines="50" w:after="50" w:line="460" w:lineRule="exact"/>
        <w:ind w:firstLine="480" w:firstLineChars="200"/>
        <w:jc w:val="left"/>
        <w:rPr>
          <w:rFonts w:hint="eastAsia" w:ascii="仿宋" w:hAnsi="仿宋" w:eastAsia="仿宋" w:cs="仿宋"/>
          <w:sz w:val="24"/>
        </w:rPr>
      </w:pPr>
      <w:r>
        <w:rPr>
          <w:rFonts w:hint="eastAsia" w:ascii="仿宋" w:hAnsi="仿宋" w:eastAsia="仿宋" w:cs="仿宋"/>
          <w:sz w:val="24"/>
        </w:rPr>
        <w:t>本承诺函自开标之日起至本次采购期满有效。</w:t>
      </w:r>
    </w:p>
    <w:p>
      <w:pPr>
        <w:snapToGrid w:val="0"/>
        <w:spacing w:beforeLines="50" w:after="50" w:line="460" w:lineRule="exact"/>
        <w:ind w:firstLine="480" w:firstLineChars="200"/>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rPr>
        <w:t>法定代表人或授权代表签字：</w:t>
      </w:r>
    </w:p>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lang w:eastAsia="zh-CN"/>
        </w:rPr>
        <w:t>单位</w:t>
      </w:r>
      <w:r>
        <w:rPr>
          <w:rFonts w:hint="eastAsia" w:ascii="仿宋" w:hAnsi="仿宋" w:eastAsia="仿宋" w:cs="仿宋"/>
          <w:sz w:val="24"/>
        </w:rPr>
        <w:t>公章：</w:t>
      </w:r>
    </w:p>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rPr>
        <w:t>日期：   年   月   日</w:t>
      </w:r>
    </w:p>
    <w:p>
      <w:pPr>
        <w:snapToGrid w:val="0"/>
        <w:spacing w:beforeLines="50" w:after="50" w:line="460" w:lineRule="exact"/>
        <w:jc w:val="left"/>
        <w:rPr>
          <w:rFonts w:hint="eastAsia" w:ascii="仿宋" w:hAnsi="仿宋" w:eastAsia="仿宋" w:cs="仿宋"/>
          <w:sz w:val="24"/>
        </w:rPr>
      </w:pPr>
    </w:p>
    <w:p>
      <w:pPr>
        <w:snapToGrid w:val="0"/>
        <w:spacing w:beforeLines="50" w:after="50" w:line="460" w:lineRule="exact"/>
        <w:jc w:val="left"/>
        <w:rPr>
          <w:rFonts w:hint="eastAsia" w:ascii="仿宋" w:hAnsi="仿宋" w:eastAsia="仿宋" w:cs="仿宋"/>
          <w:sz w:val="24"/>
        </w:rPr>
      </w:pPr>
    </w:p>
    <w:p>
      <w:pPr>
        <w:snapToGrid w:val="0"/>
        <w:spacing w:line="600" w:lineRule="exact"/>
        <w:ind w:firstLine="480" w:firstLineChars="200"/>
        <w:rPr>
          <w:rFonts w:hint="eastAsia" w:ascii="仿宋" w:hAnsi="仿宋" w:eastAsia="仿宋" w:cs="仿宋"/>
          <w:sz w:val="24"/>
          <w:lang w:eastAsia="zh-CN"/>
        </w:rPr>
      </w:pPr>
      <w:r>
        <w:rPr>
          <w:rFonts w:hint="eastAsia" w:ascii="仿宋" w:hAnsi="仿宋" w:eastAsia="仿宋" w:cs="仿宋"/>
          <w:sz w:val="24"/>
        </w:rPr>
        <w:t>账户名称：</w:t>
      </w:r>
      <w:r>
        <w:rPr>
          <w:rFonts w:hint="eastAsia" w:ascii="仿宋" w:hAnsi="仿宋" w:eastAsia="仿宋" w:cs="仿宋"/>
          <w:sz w:val="24"/>
          <w:lang w:eastAsia="zh-CN"/>
        </w:rPr>
        <w:t>湖州帆华工程管理有限公司</w:t>
      </w:r>
    </w:p>
    <w:p>
      <w:pPr>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开户银行：中国建设银行股份有限公司湖州人民路支行</w:t>
      </w:r>
    </w:p>
    <w:p>
      <w:pPr>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银行帐号：33050164914200000402</w:t>
      </w:r>
    </w:p>
    <w:p>
      <w:pPr>
        <w:pStyle w:val="24"/>
        <w:spacing w:line="460" w:lineRule="exact"/>
        <w:rPr>
          <w:rFonts w:hint="eastAsia" w:ascii="仿宋" w:hAnsi="仿宋" w:eastAsia="仿宋" w:cs="仿宋"/>
          <w:color w:val="auto"/>
        </w:rPr>
      </w:pPr>
    </w:p>
    <w:p>
      <w:pPr>
        <w:snapToGrid w:val="0"/>
        <w:spacing w:before="50" w:after="50"/>
        <w:rPr>
          <w:rFonts w:hint="eastAsia" w:ascii="仿宋" w:hAnsi="仿宋" w:eastAsia="仿宋" w:cs="仿宋"/>
        </w:rPr>
      </w:pPr>
    </w:p>
    <w:p>
      <w:pPr>
        <w:rPr>
          <w:rFonts w:hint="eastAsia" w:ascii="仿宋" w:hAnsi="仿宋" w:eastAsia="仿宋" w:cs="仿宋"/>
        </w:rPr>
      </w:pPr>
    </w:p>
    <w:sectPr>
      <w:footerReference r:id="rId6" w:type="default"/>
      <w:pgSz w:w="11907" w:h="16840"/>
      <w:pgMar w:top="1418" w:right="1701" w:bottom="1134" w:left="1701" w:header="851" w:footer="618"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p>
  <w:p>
    <w:pPr>
      <w:pStyle w:val="13"/>
      <w:ind w:right="360"/>
      <w:jc w:val="center"/>
    </w:pPr>
    <w:r>
      <w:fldChar w:fldCharType="begin"/>
    </w:r>
    <w:r>
      <w:rPr>
        <w:rStyle w:val="21"/>
      </w:rPr>
      <w:instrText xml:space="preserve"> PAGE </w:instrText>
    </w:r>
    <w:r>
      <w:fldChar w:fldCharType="separate"/>
    </w:r>
    <w:r>
      <w:rPr>
        <w:rStyle w:val="21"/>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湖州市民政局2023年度湖州市老年人意外伤害统筹保险采购项目</w:t>
    </w:r>
    <w:r>
      <w:rPr>
        <w:rFonts w:hint="eastAsia" w:ascii="仿宋" w:hAnsi="仿宋" w:eastAsia="仿宋" w:cs="仿宋"/>
        <w:sz w:val="24"/>
        <w:szCs w:val="24"/>
      </w:rPr>
      <w:t xml:space="preserve">   </w:t>
    </w:r>
    <w:r>
      <w:rPr>
        <w:rFonts w:hint="eastAsia" w:ascii="仿宋" w:hAnsi="仿宋" w:eastAsia="仿宋" w:cs="仿宋"/>
        <w:sz w:val="24"/>
        <w:szCs w:val="24"/>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16463"/>
    <w:multiLevelType w:val="singleLevel"/>
    <w:tmpl w:val="AD916463"/>
    <w:lvl w:ilvl="0" w:tentative="0">
      <w:start w:val="5"/>
      <w:numFmt w:val="decimal"/>
      <w:suff w:val="nothing"/>
      <w:lvlText w:val="%1、"/>
      <w:lvlJc w:val="left"/>
    </w:lvl>
  </w:abstractNum>
  <w:abstractNum w:abstractNumId="1">
    <w:nsid w:val="E5E53DAF"/>
    <w:multiLevelType w:val="singleLevel"/>
    <w:tmpl w:val="E5E53DAF"/>
    <w:lvl w:ilvl="0" w:tentative="0">
      <w:start w:val="8"/>
      <w:numFmt w:val="chineseCounting"/>
      <w:suff w:val="nothing"/>
      <w:lvlText w:val="（%1）"/>
      <w:lvlJc w:val="left"/>
      <w:rPr>
        <w:rFonts w:hint="eastAsia"/>
      </w:rPr>
    </w:lvl>
  </w:abstractNum>
  <w:abstractNum w:abstractNumId="2">
    <w:nsid w:val="F5F96D09"/>
    <w:multiLevelType w:val="singleLevel"/>
    <w:tmpl w:val="F5F96D09"/>
    <w:lvl w:ilvl="0" w:tentative="0">
      <w:start w:val="2"/>
      <w:numFmt w:val="decimal"/>
      <w:suff w:val="nothing"/>
      <w:lvlText w:val="%1、"/>
      <w:lvlJc w:val="left"/>
    </w:lvl>
  </w:abstractNum>
  <w:abstractNum w:abstractNumId="3">
    <w:nsid w:val="0432147A"/>
    <w:multiLevelType w:val="singleLevel"/>
    <w:tmpl w:val="0432147A"/>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2MwNDM2MzZiNjA3YmVmM2NlYWJkOTk3YzA5NTYifQ=="/>
  </w:docVars>
  <w:rsids>
    <w:rsidRoot w:val="00FA0D24"/>
    <w:rsid w:val="00070291"/>
    <w:rsid w:val="000B2B0F"/>
    <w:rsid w:val="000B6060"/>
    <w:rsid w:val="000D3C27"/>
    <w:rsid w:val="00122CC1"/>
    <w:rsid w:val="001C1F76"/>
    <w:rsid w:val="001C408C"/>
    <w:rsid w:val="001E611B"/>
    <w:rsid w:val="0022335F"/>
    <w:rsid w:val="002B0E19"/>
    <w:rsid w:val="002B2E75"/>
    <w:rsid w:val="002E219A"/>
    <w:rsid w:val="002F3C9E"/>
    <w:rsid w:val="003073F2"/>
    <w:rsid w:val="00323C6D"/>
    <w:rsid w:val="00343B7E"/>
    <w:rsid w:val="00351CE8"/>
    <w:rsid w:val="003713E6"/>
    <w:rsid w:val="00390BBB"/>
    <w:rsid w:val="0039497F"/>
    <w:rsid w:val="00417E85"/>
    <w:rsid w:val="00523041"/>
    <w:rsid w:val="00524A65"/>
    <w:rsid w:val="00580DC3"/>
    <w:rsid w:val="005E2ADE"/>
    <w:rsid w:val="005E3BD9"/>
    <w:rsid w:val="006D5FB8"/>
    <w:rsid w:val="006D70F2"/>
    <w:rsid w:val="006E2A93"/>
    <w:rsid w:val="007A2531"/>
    <w:rsid w:val="007E2076"/>
    <w:rsid w:val="00830E71"/>
    <w:rsid w:val="00840A69"/>
    <w:rsid w:val="008767EE"/>
    <w:rsid w:val="00881981"/>
    <w:rsid w:val="008D4AC8"/>
    <w:rsid w:val="00973F13"/>
    <w:rsid w:val="0098499D"/>
    <w:rsid w:val="009C7F94"/>
    <w:rsid w:val="00A04F47"/>
    <w:rsid w:val="00A26932"/>
    <w:rsid w:val="00A70A85"/>
    <w:rsid w:val="00A917A4"/>
    <w:rsid w:val="00AA79AE"/>
    <w:rsid w:val="00AC4CFB"/>
    <w:rsid w:val="00B31A34"/>
    <w:rsid w:val="00BD2406"/>
    <w:rsid w:val="00C5234F"/>
    <w:rsid w:val="00C57367"/>
    <w:rsid w:val="00C852E1"/>
    <w:rsid w:val="00C939A0"/>
    <w:rsid w:val="00E862CE"/>
    <w:rsid w:val="00F22503"/>
    <w:rsid w:val="00F25341"/>
    <w:rsid w:val="00F905E3"/>
    <w:rsid w:val="00FA0D24"/>
    <w:rsid w:val="00FD14C0"/>
    <w:rsid w:val="00FD18AC"/>
    <w:rsid w:val="01027F31"/>
    <w:rsid w:val="01F6093B"/>
    <w:rsid w:val="0304366A"/>
    <w:rsid w:val="032B5ED6"/>
    <w:rsid w:val="043A099C"/>
    <w:rsid w:val="05DE15A3"/>
    <w:rsid w:val="06C76B84"/>
    <w:rsid w:val="078C04BA"/>
    <w:rsid w:val="07A84747"/>
    <w:rsid w:val="09720064"/>
    <w:rsid w:val="09DD4E2A"/>
    <w:rsid w:val="09DF112F"/>
    <w:rsid w:val="0A92375D"/>
    <w:rsid w:val="0ACC6790"/>
    <w:rsid w:val="0BA3594B"/>
    <w:rsid w:val="0C1B382B"/>
    <w:rsid w:val="0CB6794A"/>
    <w:rsid w:val="0CC854B4"/>
    <w:rsid w:val="0F751B6D"/>
    <w:rsid w:val="1067184B"/>
    <w:rsid w:val="108F08F2"/>
    <w:rsid w:val="121F2542"/>
    <w:rsid w:val="122A5A17"/>
    <w:rsid w:val="127F4B98"/>
    <w:rsid w:val="14AF0EEB"/>
    <w:rsid w:val="14BF6BAA"/>
    <w:rsid w:val="14FB0C37"/>
    <w:rsid w:val="153C4969"/>
    <w:rsid w:val="157601E9"/>
    <w:rsid w:val="15762DFA"/>
    <w:rsid w:val="1629088C"/>
    <w:rsid w:val="17297941"/>
    <w:rsid w:val="17CF36D9"/>
    <w:rsid w:val="19753BE5"/>
    <w:rsid w:val="19AB1E8E"/>
    <w:rsid w:val="1A3D4A94"/>
    <w:rsid w:val="1A9650DA"/>
    <w:rsid w:val="1ACF6C99"/>
    <w:rsid w:val="1AFB36A0"/>
    <w:rsid w:val="1C092D75"/>
    <w:rsid w:val="1D382F8F"/>
    <w:rsid w:val="1EB9506A"/>
    <w:rsid w:val="1F632B20"/>
    <w:rsid w:val="1FC946FC"/>
    <w:rsid w:val="206B7D6A"/>
    <w:rsid w:val="20F85F84"/>
    <w:rsid w:val="217167E0"/>
    <w:rsid w:val="22FF78AA"/>
    <w:rsid w:val="2329235A"/>
    <w:rsid w:val="238009E9"/>
    <w:rsid w:val="23A001AC"/>
    <w:rsid w:val="25711B6D"/>
    <w:rsid w:val="263E6A4D"/>
    <w:rsid w:val="268B7952"/>
    <w:rsid w:val="268F1C9B"/>
    <w:rsid w:val="26AC6696"/>
    <w:rsid w:val="271E3FBB"/>
    <w:rsid w:val="27A965CD"/>
    <w:rsid w:val="280F7573"/>
    <w:rsid w:val="2892112E"/>
    <w:rsid w:val="2918359E"/>
    <w:rsid w:val="2A013FFF"/>
    <w:rsid w:val="2A6F49FA"/>
    <w:rsid w:val="2A8B3997"/>
    <w:rsid w:val="2AD15997"/>
    <w:rsid w:val="2AFC059E"/>
    <w:rsid w:val="2BC4463B"/>
    <w:rsid w:val="2C0559CB"/>
    <w:rsid w:val="2E9C79A0"/>
    <w:rsid w:val="30357F2D"/>
    <w:rsid w:val="319B3870"/>
    <w:rsid w:val="32493162"/>
    <w:rsid w:val="3337652D"/>
    <w:rsid w:val="33CA2DC2"/>
    <w:rsid w:val="35653F93"/>
    <w:rsid w:val="356A50D1"/>
    <w:rsid w:val="356D01BA"/>
    <w:rsid w:val="359A6D45"/>
    <w:rsid w:val="361B7A99"/>
    <w:rsid w:val="38D34F72"/>
    <w:rsid w:val="39A87BA2"/>
    <w:rsid w:val="3A9024BC"/>
    <w:rsid w:val="3BA53310"/>
    <w:rsid w:val="3CEB621A"/>
    <w:rsid w:val="3CF205A1"/>
    <w:rsid w:val="3CFD21D2"/>
    <w:rsid w:val="3D2337C0"/>
    <w:rsid w:val="3D7C71AD"/>
    <w:rsid w:val="3EA20262"/>
    <w:rsid w:val="3EC818FA"/>
    <w:rsid w:val="3F2F4776"/>
    <w:rsid w:val="3F59030B"/>
    <w:rsid w:val="40567A73"/>
    <w:rsid w:val="40747666"/>
    <w:rsid w:val="40CD2A95"/>
    <w:rsid w:val="415F24EF"/>
    <w:rsid w:val="455A1F89"/>
    <w:rsid w:val="45FF4863"/>
    <w:rsid w:val="46346AB3"/>
    <w:rsid w:val="46E24FD6"/>
    <w:rsid w:val="46E75FA1"/>
    <w:rsid w:val="47503833"/>
    <w:rsid w:val="47D638F6"/>
    <w:rsid w:val="47DE1152"/>
    <w:rsid w:val="48000981"/>
    <w:rsid w:val="480D7FD5"/>
    <w:rsid w:val="497E54F0"/>
    <w:rsid w:val="4BB947EE"/>
    <w:rsid w:val="4C036AD1"/>
    <w:rsid w:val="4C665D06"/>
    <w:rsid w:val="4D37501C"/>
    <w:rsid w:val="4E5E55BE"/>
    <w:rsid w:val="4EE10784"/>
    <w:rsid w:val="4F7361DD"/>
    <w:rsid w:val="4FFA456B"/>
    <w:rsid w:val="502330F5"/>
    <w:rsid w:val="51FE1604"/>
    <w:rsid w:val="526529AE"/>
    <w:rsid w:val="52F30C28"/>
    <w:rsid w:val="53971522"/>
    <w:rsid w:val="53E65E18"/>
    <w:rsid w:val="54015914"/>
    <w:rsid w:val="543C34B9"/>
    <w:rsid w:val="54D86154"/>
    <w:rsid w:val="557100CF"/>
    <w:rsid w:val="558C0CE7"/>
    <w:rsid w:val="55E47664"/>
    <w:rsid w:val="57C27FE7"/>
    <w:rsid w:val="585128A3"/>
    <w:rsid w:val="58E7569E"/>
    <w:rsid w:val="5C89392A"/>
    <w:rsid w:val="5E16137A"/>
    <w:rsid w:val="5E3F284A"/>
    <w:rsid w:val="5E9B6D3C"/>
    <w:rsid w:val="5FBE0207"/>
    <w:rsid w:val="61500367"/>
    <w:rsid w:val="61F906ED"/>
    <w:rsid w:val="63313FDA"/>
    <w:rsid w:val="647C036B"/>
    <w:rsid w:val="65387C9C"/>
    <w:rsid w:val="65C5397C"/>
    <w:rsid w:val="65C85E4F"/>
    <w:rsid w:val="662A4875"/>
    <w:rsid w:val="68617AF1"/>
    <w:rsid w:val="687F3170"/>
    <w:rsid w:val="690E7CF0"/>
    <w:rsid w:val="69B817A7"/>
    <w:rsid w:val="69CA10DE"/>
    <w:rsid w:val="6A5769E5"/>
    <w:rsid w:val="6C2A06ED"/>
    <w:rsid w:val="6C8A4F0F"/>
    <w:rsid w:val="6D3E4579"/>
    <w:rsid w:val="6DC2146D"/>
    <w:rsid w:val="6E0107F0"/>
    <w:rsid w:val="6EE77FFC"/>
    <w:rsid w:val="6F276997"/>
    <w:rsid w:val="6F38780D"/>
    <w:rsid w:val="707521B4"/>
    <w:rsid w:val="71397FE6"/>
    <w:rsid w:val="71E60CB4"/>
    <w:rsid w:val="72565ABB"/>
    <w:rsid w:val="72BA62F1"/>
    <w:rsid w:val="740E6FA4"/>
    <w:rsid w:val="74A87C09"/>
    <w:rsid w:val="74EE6AD0"/>
    <w:rsid w:val="75627A73"/>
    <w:rsid w:val="758A115F"/>
    <w:rsid w:val="75F83C09"/>
    <w:rsid w:val="76CB30F6"/>
    <w:rsid w:val="7723183A"/>
    <w:rsid w:val="7771455E"/>
    <w:rsid w:val="778A1E86"/>
    <w:rsid w:val="78AC7C52"/>
    <w:rsid w:val="7C233C18"/>
    <w:rsid w:val="7D1F59AC"/>
    <w:rsid w:val="7D31477A"/>
    <w:rsid w:val="7DB3309C"/>
    <w:rsid w:val="7DB34C01"/>
    <w:rsid w:val="7E0D2A58"/>
    <w:rsid w:val="7E374D5A"/>
    <w:rsid w:val="7EEC0DB0"/>
    <w:rsid w:val="7F684158"/>
    <w:rsid w:val="7FED2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spacing w:line="216" w:lineRule="auto"/>
      <w:jc w:val="center"/>
      <w:outlineLvl w:val="0"/>
    </w:pPr>
    <w:rPr>
      <w:rFonts w:ascii="宋体" w:hAnsi="宋体"/>
      <w:b/>
      <w:sz w:val="30"/>
      <w:szCs w:val="20"/>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annotation text"/>
    <w:basedOn w:val="1"/>
    <w:link w:val="26"/>
    <w:qFormat/>
    <w:uiPriority w:val="0"/>
    <w:pPr>
      <w:jc w:val="left"/>
    </w:pPr>
    <w:rPr>
      <w:szCs w:val="20"/>
    </w:rPr>
  </w:style>
  <w:style w:type="paragraph" w:styleId="6">
    <w:name w:val="Body Text"/>
    <w:basedOn w:val="1"/>
    <w:next w:val="7"/>
    <w:qFormat/>
    <w:uiPriority w:val="0"/>
    <w:rPr>
      <w:rFonts w:ascii="宋体" w:hAnsi="宋体"/>
      <w:sz w:val="28"/>
    </w:rPr>
  </w:style>
  <w:style w:type="paragraph" w:styleId="7">
    <w:name w:val="Body Text First Indent"/>
    <w:basedOn w:val="6"/>
    <w:next w:val="1"/>
    <w:qFormat/>
    <w:uiPriority w:val="0"/>
    <w:pPr>
      <w:spacing w:line="312" w:lineRule="auto"/>
      <w:ind w:firstLine="420"/>
    </w:pPr>
  </w:style>
  <w:style w:type="paragraph" w:styleId="8">
    <w:name w:val="Body Text Indent"/>
    <w:basedOn w:val="1"/>
    <w:next w:val="9"/>
    <w:qFormat/>
    <w:uiPriority w:val="0"/>
    <w:pPr>
      <w:spacing w:line="360" w:lineRule="auto"/>
      <w:ind w:firstLine="600" w:firstLineChars="200"/>
    </w:pPr>
    <w:rPr>
      <w:rFonts w:ascii="仿宋_GB2312" w:hAnsi="宋体" w:eastAsia="仿宋_GB2312"/>
      <w:sz w:val="30"/>
    </w:rPr>
  </w:style>
  <w:style w:type="paragraph" w:styleId="9">
    <w:name w:val="Body Text First Indent 2"/>
    <w:basedOn w:val="8"/>
    <w:next w:val="7"/>
    <w:qFormat/>
    <w:uiPriority w:val="0"/>
    <w:pPr>
      <w:spacing w:after="120" w:line="240" w:lineRule="auto"/>
      <w:ind w:left="420" w:leftChars="200" w:firstLine="420"/>
    </w:pPr>
    <w:rPr>
      <w:rFonts w:ascii="Times New Roman" w:hAnsi="Times New Roman" w:eastAsia="楷体_GB2312"/>
      <w:sz w:val="21"/>
    </w:rPr>
  </w:style>
  <w:style w:type="paragraph" w:styleId="10">
    <w:name w:val="Block Text"/>
    <w:basedOn w:val="1"/>
    <w:qFormat/>
    <w:uiPriority w:val="0"/>
    <w:pPr>
      <w:spacing w:line="390" w:lineRule="exact"/>
      <w:ind w:left="735" w:right="-296" w:rightChars="-141"/>
    </w:pPr>
    <w:rPr>
      <w:rFonts w:ascii="宋体"/>
    </w:rPr>
  </w:style>
  <w:style w:type="paragraph" w:styleId="11">
    <w:name w:val="Plain Text"/>
    <w:basedOn w:val="1"/>
    <w:next w:val="1"/>
    <w:qFormat/>
    <w:uiPriority w:val="0"/>
    <w:rPr>
      <w:rFonts w:ascii="宋体" w:hAnsi="Courier New" w:cs="Courier New"/>
      <w:szCs w:val="21"/>
    </w:r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5">
    <w:name w:val="Body Text Indent 3"/>
    <w:basedOn w:val="1"/>
    <w:qFormat/>
    <w:uiPriority w:val="99"/>
    <w:pPr>
      <w:spacing w:after="120"/>
      <w:ind w:left="420" w:leftChars="200"/>
    </w:pPr>
    <w:rPr>
      <w:sz w:val="16"/>
      <w:szCs w:val="16"/>
    </w:rPr>
  </w:style>
  <w:style w:type="paragraph" w:styleId="16">
    <w:name w:val="Normal (Web)"/>
    <w:basedOn w:val="1"/>
    <w:next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5"/>
    <w:next w:val="5"/>
    <w:link w:val="28"/>
    <w:unhideWhenUsed/>
    <w:qFormat/>
    <w:uiPriority w:val="0"/>
    <w:rPr>
      <w:b/>
      <w:bCs/>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semiHidden/>
    <w:qFormat/>
    <w:uiPriority w:val="0"/>
    <w:rPr>
      <w:sz w:val="21"/>
      <w:szCs w:val="21"/>
    </w:rPr>
  </w:style>
  <w:style w:type="paragraph" w:customStyle="1" w:styleId="2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标题 1 Char"/>
    <w:basedOn w:val="20"/>
    <w:link w:val="3"/>
    <w:qFormat/>
    <w:uiPriority w:val="0"/>
    <w:rPr>
      <w:rFonts w:ascii="宋体" w:hAnsi="宋体"/>
      <w:b/>
      <w:kern w:val="2"/>
      <w:sz w:val="30"/>
    </w:rPr>
  </w:style>
  <w:style w:type="character" w:customStyle="1" w:styleId="26">
    <w:name w:val="批注文字 Char"/>
    <w:basedOn w:val="20"/>
    <w:link w:val="5"/>
    <w:qFormat/>
    <w:uiPriority w:val="0"/>
    <w:rPr>
      <w:rFonts w:ascii="Calibri" w:hAnsi="Calibri"/>
      <w:kern w:val="2"/>
      <w:sz w:val="21"/>
    </w:rPr>
  </w:style>
  <w:style w:type="character" w:customStyle="1" w:styleId="27">
    <w:name w:val="批注框文本 Char"/>
    <w:basedOn w:val="20"/>
    <w:link w:val="12"/>
    <w:qFormat/>
    <w:uiPriority w:val="0"/>
    <w:rPr>
      <w:rFonts w:ascii="Calibri" w:hAnsi="Calibri"/>
      <w:kern w:val="2"/>
      <w:sz w:val="18"/>
      <w:szCs w:val="18"/>
    </w:rPr>
  </w:style>
  <w:style w:type="character" w:customStyle="1" w:styleId="28">
    <w:name w:val="批注主题 Char"/>
    <w:basedOn w:val="26"/>
    <w:link w:val="17"/>
    <w:semiHidden/>
    <w:qFormat/>
    <w:uiPriority w:val="0"/>
    <w:rPr>
      <w:rFonts w:ascii="Calibri" w:hAnsi="Calibri"/>
      <w:b/>
      <w:bCs/>
      <w:kern w:val="2"/>
      <w:sz w:val="21"/>
      <w:szCs w:val="24"/>
    </w:rPr>
  </w:style>
  <w:style w:type="paragraph" w:customStyle="1" w:styleId="29">
    <w:name w:val="首行缩进"/>
    <w:basedOn w:val="1"/>
    <w:qFormat/>
    <w:uiPriority w:val="0"/>
    <w:pPr>
      <w:ind w:firstLine="480" w:firstLineChars="200"/>
    </w:pPr>
    <w:rPr>
      <w:rFonts w:ascii="Times New Roman" w:hAnsi="Times New Roman"/>
      <w:szCs w:val="20"/>
      <w:lang w:val="zh-CN"/>
    </w:rPr>
  </w:style>
  <w:style w:type="paragraph" w:customStyle="1" w:styleId="30">
    <w:name w:val="纯文本1"/>
    <w:basedOn w:val="1"/>
    <w:qFormat/>
    <w:uiPriority w:val="0"/>
    <w:rPr>
      <w:rFonts w:hint="eastAsia" w:ascii="宋体" w:hAnsi="Courier New"/>
      <w:szCs w:val="20"/>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纯文本2"/>
    <w:basedOn w:val="1"/>
    <w:qFormat/>
    <w:uiPriority w:val="0"/>
    <w:pPr>
      <w:adjustRightInd w:val="0"/>
      <w:textAlignment w:val="baseline"/>
    </w:pPr>
    <w:rPr>
      <w:rFonts w:ascii="宋体" w:hAnsi="Courier New" w:eastAsia="楷体_GB2312"/>
      <w:sz w:val="26"/>
      <w:szCs w:val="20"/>
    </w:rPr>
  </w:style>
  <w:style w:type="character" w:customStyle="1" w:styleId="33">
    <w:name w:val="页码1"/>
    <w:basedOn w:val="20"/>
    <w:qFormat/>
    <w:uiPriority w:val="0"/>
  </w:style>
  <w:style w:type="paragraph" w:styleId="34">
    <w:name w:val="List Paragraph"/>
    <w:basedOn w:val="1"/>
    <w:unhideWhenUsed/>
    <w:qFormat/>
    <w:uiPriority w:val="99"/>
    <w:pPr>
      <w:ind w:firstLine="420" w:firstLineChars="200"/>
    </w:pPr>
  </w:style>
  <w:style w:type="paragraph" w:customStyle="1" w:styleId="35">
    <w:name w:val="_Style 1"/>
    <w:qFormat/>
    <w:uiPriority w:val="0"/>
    <w:rPr>
      <w:rFonts w:ascii="Calibri" w:hAnsi="Calibri" w:eastAsia="宋体" w:cs="Times New Roman"/>
      <w:kern w:val="2"/>
      <w:sz w:val="28"/>
      <w:szCs w:val="22"/>
      <w:lang w:val="en-US" w:eastAsia="zh-CN" w:bidi="ar-SA"/>
    </w:rPr>
  </w:style>
  <w:style w:type="paragraph" w:customStyle="1" w:styleId="36">
    <w:name w:val="无间隔1"/>
    <w:basedOn w:val="1"/>
    <w:qFormat/>
    <w:uiPriority w:val="0"/>
    <w:pPr>
      <w:spacing w:line="400" w:lineRule="exact"/>
    </w:pPr>
    <w:rPr>
      <w:sz w:val="24"/>
    </w:rPr>
  </w:style>
  <w:style w:type="paragraph" w:customStyle="1" w:styleId="37">
    <w:name w:val="Body Text First Indent 2"/>
    <w:basedOn w:val="38"/>
    <w:qFormat/>
    <w:uiPriority w:val="0"/>
    <w:pPr>
      <w:spacing w:after="120" w:afterLines="0" w:afterAutospacing="0"/>
      <w:ind w:left="420" w:leftChars="200" w:hanging="200"/>
    </w:pPr>
    <w:rPr>
      <w:sz w:val="21"/>
    </w:rPr>
  </w:style>
  <w:style w:type="paragraph" w:customStyle="1" w:styleId="38">
    <w:name w:val="Body Text Indent"/>
    <w:basedOn w:val="1"/>
    <w:next w:val="1"/>
    <w:qFormat/>
    <w:uiPriority w:val="0"/>
    <w:pPr>
      <w:ind w:left="480" w:hanging="480" w:hangingChars="200"/>
    </w:pPr>
    <w:rPr>
      <w:rFonts w:ascii="Calibri" w:hAnsi="Calibri" w:eastAsia="宋体"/>
      <w:sz w:val="24"/>
    </w:rPr>
  </w:style>
  <w:style w:type="character" w:customStyle="1" w:styleId="39">
    <w:name w:val="font21"/>
    <w:basedOn w:val="20"/>
    <w:qFormat/>
    <w:uiPriority w:val="0"/>
    <w:rPr>
      <w:rFonts w:hint="eastAsia" w:ascii="宋体" w:hAnsi="宋体" w:eastAsia="宋体" w:cs="宋体"/>
      <w:color w:val="000000"/>
      <w:sz w:val="24"/>
      <w:szCs w:val="24"/>
      <w:u w:val="none"/>
    </w:rPr>
  </w:style>
  <w:style w:type="character" w:customStyle="1" w:styleId="40">
    <w:name w:val="font31"/>
    <w:basedOn w:val="20"/>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91</Pages>
  <Words>46515</Words>
  <Characters>48590</Characters>
  <Lines>238</Lines>
  <Paragraphs>67</Paragraphs>
  <TotalTime>9</TotalTime>
  <ScaleCrop>false</ScaleCrop>
  <LinksUpToDate>false</LinksUpToDate>
  <CharactersWithSpaces>53613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2021-05-06T04:51:00Z</dcterms:created>
  <dc:creator>Administrator.PC-20160716QTOZ</dc:creator>
  <cp:lastModifiedBy>。</cp:lastModifiedBy>
  <cp:lastPrinted>2021-12-23T04:47:00Z</cp:lastPrinted>
  <dcterms:modified xsi:type="dcterms:W3CDTF">2023-04-14T04:58:59Z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CE0109B3F4B14F47B0BAAB670613205F</vt:lpwstr>
  </property>
</Properties>
</file>