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仿宋" w:hAnsi="仿宋" w:eastAsia="仿宋"/>
          <w:color w:val="auto"/>
        </w:rPr>
      </w:pPr>
    </w:p>
    <w:p>
      <w:pPr>
        <w:pStyle w:val="41"/>
        <w:rPr>
          <w:rFonts w:ascii="仿宋" w:hAnsi="仿宋" w:eastAsia="仿宋" w:cs="Times New Roman"/>
          <w:color w:val="auto"/>
        </w:rPr>
      </w:pPr>
    </w:p>
    <w:p>
      <w:pPr>
        <w:pStyle w:val="41"/>
        <w:spacing w:beforeLines="50" w:afterLines="50" w:line="700" w:lineRule="exact"/>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湖州市直属水利工程运行管理所</w:t>
      </w:r>
    </w:p>
    <w:p>
      <w:pPr>
        <w:pStyle w:val="41"/>
        <w:spacing w:beforeLines="50" w:afterLines="50" w:line="700" w:lineRule="exact"/>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2021-2023年度</w:t>
      </w:r>
      <w:r>
        <w:rPr>
          <w:rFonts w:hint="eastAsia" w:ascii="仿宋" w:hAnsi="仿宋" w:eastAsia="仿宋" w:cs="仿宋"/>
          <w:b/>
          <w:color w:val="auto"/>
          <w:sz w:val="44"/>
          <w:szCs w:val="44"/>
          <w:lang w:eastAsia="zh-CN"/>
        </w:rPr>
        <w:t>水闸泵站</w:t>
      </w:r>
      <w:r>
        <w:rPr>
          <w:rFonts w:hint="eastAsia" w:ascii="仿宋" w:hAnsi="仿宋" w:eastAsia="仿宋" w:cs="仿宋"/>
          <w:b/>
          <w:color w:val="auto"/>
          <w:sz w:val="44"/>
          <w:szCs w:val="44"/>
        </w:rPr>
        <w:t>运行维修养护服务项目</w:t>
      </w:r>
    </w:p>
    <w:p>
      <w:pPr>
        <w:pStyle w:val="41"/>
        <w:jc w:val="center"/>
        <w:rPr>
          <w:rFonts w:ascii="仿宋" w:hAnsi="仿宋" w:eastAsia="仿宋" w:cs="Times New Roman"/>
          <w:color w:val="auto"/>
          <w:sz w:val="30"/>
          <w:szCs w:val="30"/>
        </w:rPr>
      </w:pPr>
    </w:p>
    <w:p>
      <w:pPr>
        <w:pStyle w:val="41"/>
        <w:jc w:val="center"/>
        <w:rPr>
          <w:rFonts w:ascii="仿宋" w:hAnsi="仿宋" w:eastAsia="仿宋" w:cs="Times New Roman"/>
          <w:color w:val="auto"/>
          <w:sz w:val="30"/>
          <w:szCs w:val="30"/>
        </w:rPr>
      </w:pPr>
      <w:r>
        <w:rPr>
          <w:rFonts w:hint="eastAsia" w:ascii="仿宋" w:hAnsi="仿宋" w:eastAsia="仿宋" w:cs="Times New Roman"/>
          <w:color w:val="auto"/>
          <w:sz w:val="30"/>
          <w:szCs w:val="30"/>
        </w:rPr>
        <w:t>（财政审批编号:湖财采确临[2021]</w:t>
      </w:r>
      <w:r>
        <w:rPr>
          <w:rFonts w:hint="eastAsia" w:ascii="仿宋" w:hAnsi="仿宋" w:eastAsia="仿宋" w:cs="Times New Roman"/>
          <w:color w:val="auto"/>
          <w:sz w:val="30"/>
          <w:szCs w:val="30"/>
          <w:lang w:val="en-US" w:eastAsia="zh-CN"/>
        </w:rPr>
        <w:t>21338</w:t>
      </w:r>
      <w:r>
        <w:rPr>
          <w:rFonts w:hint="eastAsia" w:ascii="仿宋" w:hAnsi="仿宋" w:eastAsia="仿宋" w:cs="Times New Roman"/>
          <w:color w:val="auto"/>
          <w:sz w:val="30"/>
          <w:szCs w:val="30"/>
        </w:rPr>
        <w:t>号</w:t>
      </w:r>
      <w:r>
        <w:rPr>
          <w:rFonts w:ascii="仿宋" w:hAnsi="仿宋" w:eastAsia="仿宋" w:cs="Times New Roman"/>
          <w:color w:val="auto"/>
          <w:sz w:val="30"/>
          <w:szCs w:val="30"/>
        </w:rPr>
        <w:t>）</w:t>
      </w:r>
    </w:p>
    <w:p>
      <w:pPr>
        <w:pStyle w:val="41"/>
        <w:jc w:val="center"/>
        <w:rPr>
          <w:rFonts w:ascii="仿宋" w:hAnsi="仿宋" w:eastAsia="仿宋" w:cs="Times New Roman"/>
          <w:color w:val="auto"/>
          <w:sz w:val="30"/>
          <w:szCs w:val="30"/>
        </w:rPr>
      </w:pPr>
    </w:p>
    <w:p>
      <w:pPr>
        <w:pStyle w:val="41"/>
        <w:jc w:val="center"/>
        <w:rPr>
          <w:rFonts w:ascii="仿宋" w:hAnsi="仿宋" w:eastAsia="仿宋" w:cs="Times New Roman"/>
          <w:color w:val="auto"/>
          <w:sz w:val="72"/>
          <w:szCs w:val="72"/>
        </w:rPr>
      </w:pPr>
    </w:p>
    <w:p>
      <w:pPr>
        <w:pStyle w:val="41"/>
        <w:jc w:val="center"/>
        <w:rPr>
          <w:rFonts w:ascii="仿宋" w:hAnsi="仿宋" w:eastAsia="仿宋" w:cs="Times New Roman"/>
          <w:color w:val="auto"/>
          <w:sz w:val="72"/>
          <w:szCs w:val="72"/>
        </w:rPr>
      </w:pPr>
      <w:r>
        <w:rPr>
          <w:rFonts w:ascii="仿宋" w:hAnsi="仿宋" w:eastAsia="仿宋" w:cs="Times New Roman"/>
          <w:color w:val="auto"/>
          <w:sz w:val="72"/>
          <w:szCs w:val="72"/>
        </w:rPr>
        <w:t>公开招标文件</w:t>
      </w:r>
    </w:p>
    <w:p>
      <w:pPr>
        <w:pStyle w:val="41"/>
        <w:jc w:val="center"/>
        <w:rPr>
          <w:rFonts w:ascii="仿宋" w:hAnsi="仿宋" w:eastAsia="仿宋" w:cs="Times New Roman"/>
          <w:color w:val="auto"/>
          <w:sz w:val="21"/>
          <w:szCs w:val="21"/>
        </w:rPr>
      </w:pPr>
      <w:r>
        <w:rPr>
          <w:rFonts w:ascii="仿宋" w:hAnsi="仿宋" w:eastAsia="仿宋" w:cs="Times New Roman"/>
          <w:color w:val="auto"/>
          <w:sz w:val="21"/>
          <w:szCs w:val="21"/>
        </w:rPr>
        <w:t>（全流程电子）</w:t>
      </w:r>
    </w:p>
    <w:p>
      <w:pPr>
        <w:pStyle w:val="41"/>
        <w:jc w:val="both"/>
        <w:rPr>
          <w:rFonts w:ascii="仿宋" w:hAnsi="仿宋" w:eastAsia="仿宋" w:cs="Times New Roman"/>
          <w:color w:val="auto"/>
          <w:sz w:val="72"/>
          <w:szCs w:val="72"/>
        </w:rPr>
      </w:pPr>
    </w:p>
    <w:p>
      <w:pPr>
        <w:pStyle w:val="41"/>
        <w:jc w:val="both"/>
        <w:rPr>
          <w:rFonts w:ascii="仿宋" w:hAnsi="仿宋" w:eastAsia="仿宋" w:cs="Times New Roman"/>
          <w:color w:val="auto"/>
          <w:sz w:val="72"/>
          <w:szCs w:val="72"/>
        </w:rPr>
      </w:pPr>
    </w:p>
    <w:p>
      <w:pPr>
        <w:pStyle w:val="41"/>
        <w:spacing w:line="600" w:lineRule="exact"/>
        <w:rPr>
          <w:rFonts w:ascii="仿宋" w:hAnsi="仿宋" w:eastAsia="仿宋" w:cs="Times New Roman"/>
          <w:color w:val="auto"/>
          <w:sz w:val="30"/>
          <w:szCs w:val="30"/>
        </w:rPr>
      </w:pPr>
      <w:r>
        <w:rPr>
          <w:rFonts w:ascii="仿宋" w:hAnsi="仿宋" w:eastAsia="仿宋" w:cs="Times New Roman"/>
          <w:color w:val="auto"/>
          <w:sz w:val="30"/>
          <w:szCs w:val="30"/>
        </w:rPr>
        <w:t>项目编号：</w:t>
      </w:r>
      <w:r>
        <w:rPr>
          <w:rFonts w:hint="eastAsia" w:ascii="仿宋" w:hAnsi="仿宋" w:eastAsia="仿宋" w:cs="Times New Roman"/>
          <w:color w:val="auto"/>
          <w:sz w:val="30"/>
          <w:szCs w:val="30"/>
          <w:u w:val="single"/>
        </w:rPr>
        <w:t xml:space="preserve">仁皇招字2021092号                            </w:t>
      </w:r>
    </w:p>
    <w:p>
      <w:pPr>
        <w:pStyle w:val="41"/>
        <w:spacing w:beforeLines="50" w:afterLines="50" w:line="600" w:lineRule="exact"/>
        <w:jc w:val="both"/>
        <w:rPr>
          <w:rFonts w:ascii="仿宋" w:hAnsi="仿宋" w:eastAsia="仿宋" w:cs="Times New Roman"/>
          <w:color w:val="auto"/>
          <w:sz w:val="30"/>
          <w:szCs w:val="30"/>
        </w:rPr>
      </w:pPr>
      <w:r>
        <w:rPr>
          <w:rFonts w:ascii="仿宋" w:hAnsi="仿宋" w:eastAsia="仿宋" w:cs="Times New Roman"/>
          <w:color w:val="auto"/>
          <w:sz w:val="30"/>
          <w:szCs w:val="30"/>
        </w:rPr>
        <w:t>项目名称：</w:t>
      </w:r>
      <w:r>
        <w:rPr>
          <w:rFonts w:hint="eastAsia" w:ascii="仿宋" w:hAnsi="仿宋" w:eastAsia="仿宋" w:cs="Times New Roman"/>
          <w:color w:val="auto"/>
          <w:sz w:val="30"/>
          <w:szCs w:val="30"/>
          <w:u w:val="single"/>
        </w:rPr>
        <w:t>2021-2023年度</w:t>
      </w:r>
      <w:r>
        <w:rPr>
          <w:rFonts w:hint="eastAsia" w:ascii="仿宋" w:hAnsi="仿宋" w:eastAsia="仿宋" w:cs="Times New Roman"/>
          <w:color w:val="auto"/>
          <w:sz w:val="30"/>
          <w:szCs w:val="30"/>
          <w:u w:val="single"/>
          <w:lang w:eastAsia="zh-CN"/>
        </w:rPr>
        <w:t>水闸泵站</w:t>
      </w:r>
      <w:r>
        <w:rPr>
          <w:rFonts w:hint="eastAsia" w:ascii="仿宋" w:hAnsi="仿宋" w:eastAsia="仿宋" w:cs="Times New Roman"/>
          <w:color w:val="auto"/>
          <w:sz w:val="30"/>
          <w:szCs w:val="30"/>
          <w:u w:val="single"/>
        </w:rPr>
        <w:t xml:space="preserve">运行维修养护服务项目      </w:t>
      </w:r>
    </w:p>
    <w:p>
      <w:pPr>
        <w:pStyle w:val="41"/>
        <w:spacing w:line="600" w:lineRule="exact"/>
        <w:rPr>
          <w:rFonts w:ascii="仿宋" w:hAnsi="仿宋" w:eastAsia="仿宋" w:cs="Times New Roman"/>
          <w:color w:val="auto"/>
          <w:sz w:val="30"/>
          <w:szCs w:val="30"/>
          <w:u w:val="single"/>
        </w:rPr>
      </w:pPr>
      <w:r>
        <w:rPr>
          <w:rFonts w:hint="eastAsia" w:ascii="仿宋" w:hAnsi="仿宋" w:eastAsia="仿宋" w:cs="Times New Roman"/>
          <w:color w:val="auto"/>
          <w:sz w:val="30"/>
          <w:szCs w:val="30"/>
        </w:rPr>
        <w:t xml:space="preserve">采 购 </w:t>
      </w:r>
      <w:r>
        <w:rPr>
          <w:rFonts w:ascii="仿宋" w:hAnsi="仿宋" w:eastAsia="仿宋" w:cs="Times New Roman"/>
          <w:color w:val="auto"/>
          <w:sz w:val="30"/>
          <w:szCs w:val="30"/>
        </w:rPr>
        <w:t>人：</w:t>
      </w:r>
      <w:r>
        <w:rPr>
          <w:rFonts w:hint="eastAsia" w:ascii="仿宋" w:hAnsi="仿宋" w:eastAsia="仿宋" w:cs="Times New Roman"/>
          <w:color w:val="auto"/>
          <w:sz w:val="30"/>
          <w:szCs w:val="30"/>
          <w:u w:val="single"/>
        </w:rPr>
        <w:t xml:space="preserve">湖州市直属水利工程运行管理所       </w:t>
      </w:r>
      <w:r>
        <w:rPr>
          <w:rFonts w:ascii="仿宋" w:hAnsi="仿宋" w:eastAsia="仿宋" w:cs="Times New Roman"/>
          <w:color w:val="auto"/>
          <w:sz w:val="30"/>
          <w:szCs w:val="30"/>
          <w:u w:val="single"/>
        </w:rPr>
        <w:t xml:space="preserve">（盖章） </w:t>
      </w:r>
    </w:p>
    <w:p>
      <w:pPr>
        <w:pStyle w:val="41"/>
        <w:spacing w:line="600" w:lineRule="exact"/>
        <w:rPr>
          <w:rFonts w:ascii="仿宋" w:hAnsi="仿宋" w:eastAsia="仿宋" w:cs="Times New Roman"/>
          <w:color w:val="auto"/>
          <w:sz w:val="30"/>
          <w:szCs w:val="30"/>
          <w:u w:val="single"/>
        </w:rPr>
      </w:pPr>
      <w:r>
        <w:rPr>
          <w:rFonts w:ascii="仿宋" w:hAnsi="仿宋" w:eastAsia="仿宋" w:cs="Times New Roman"/>
          <w:color w:val="auto"/>
          <w:sz w:val="30"/>
          <w:szCs w:val="30"/>
        </w:rPr>
        <w:t>代理机构：</w:t>
      </w:r>
      <w:r>
        <w:rPr>
          <w:rFonts w:hint="eastAsia" w:ascii="仿宋" w:hAnsi="仿宋" w:eastAsia="仿宋" w:cs="Times New Roman"/>
          <w:color w:val="auto"/>
          <w:sz w:val="30"/>
          <w:szCs w:val="30"/>
          <w:u w:val="single"/>
        </w:rPr>
        <w:t xml:space="preserve">湖州市仁皇工程咨询有限公司         </w:t>
      </w:r>
      <w:r>
        <w:rPr>
          <w:rFonts w:ascii="仿宋" w:hAnsi="仿宋" w:eastAsia="仿宋" w:cs="Times New Roman"/>
          <w:color w:val="auto"/>
          <w:sz w:val="30"/>
          <w:szCs w:val="30"/>
          <w:u w:val="single"/>
        </w:rPr>
        <w:t xml:space="preserve">（盖章） </w:t>
      </w:r>
    </w:p>
    <w:p>
      <w:pPr>
        <w:pStyle w:val="41"/>
        <w:spacing w:line="360" w:lineRule="auto"/>
        <w:rPr>
          <w:rFonts w:ascii="仿宋" w:hAnsi="仿宋" w:eastAsia="仿宋" w:cs="Times New Roman"/>
          <w:color w:val="auto"/>
          <w:sz w:val="30"/>
          <w:szCs w:val="30"/>
          <w:u w:val="single"/>
        </w:rPr>
      </w:pPr>
    </w:p>
    <w:p>
      <w:pPr>
        <w:pStyle w:val="41"/>
        <w:spacing w:line="360" w:lineRule="auto"/>
        <w:jc w:val="center"/>
        <w:rPr>
          <w:rFonts w:ascii="仿宋" w:hAnsi="仿宋" w:eastAsia="仿宋" w:cs="Times New Roman"/>
          <w:color w:val="auto"/>
          <w:sz w:val="30"/>
          <w:szCs w:val="30"/>
          <w:u w:val="single"/>
        </w:rPr>
      </w:pPr>
      <w:r>
        <w:rPr>
          <w:rFonts w:hint="eastAsia" w:ascii="仿宋" w:hAnsi="仿宋" w:eastAsia="仿宋"/>
          <w:color w:val="auto"/>
          <w:sz w:val="28"/>
          <w:szCs w:val="28"/>
        </w:rPr>
        <w:t>二○二一年九月</w:t>
      </w:r>
    </w:p>
    <w:p>
      <w:pPr>
        <w:pageBreakBefore/>
        <w:tabs>
          <w:tab w:val="left" w:pos="3153"/>
          <w:tab w:val="center" w:pos="4260"/>
        </w:tabs>
        <w:spacing w:beforeLines="100" w:line="288" w:lineRule="auto"/>
        <w:jc w:val="center"/>
        <w:rPr>
          <w:rFonts w:hint="eastAsia" w:ascii="仿宋" w:hAnsi="仿宋" w:eastAsia="仿宋"/>
          <w:b/>
          <w:color w:val="auto"/>
          <w:sz w:val="36"/>
          <w:szCs w:val="36"/>
        </w:rPr>
        <w:sectPr>
          <w:headerReference r:id="rId3" w:type="default"/>
          <w:footerReference r:id="rId4" w:type="default"/>
          <w:pgSz w:w="11906" w:h="16838"/>
          <w:pgMar w:top="1134" w:right="1247" w:bottom="1134" w:left="1247" w:header="851" w:footer="851" w:gutter="0"/>
          <w:pgNumType w:fmt="numberInDash"/>
          <w:cols w:space="720" w:num="1"/>
          <w:titlePg/>
          <w:docGrid w:linePitch="312" w:charSpace="0"/>
        </w:sectPr>
      </w:pPr>
    </w:p>
    <w:p>
      <w:pPr>
        <w:pageBreakBefore/>
        <w:tabs>
          <w:tab w:val="left" w:pos="3153"/>
          <w:tab w:val="center" w:pos="4260"/>
        </w:tabs>
        <w:spacing w:beforeLines="100" w:line="288" w:lineRule="auto"/>
        <w:jc w:val="center"/>
        <w:rPr>
          <w:rFonts w:ascii="仿宋" w:hAnsi="仿宋" w:eastAsia="仿宋"/>
          <w:b/>
          <w:color w:val="auto"/>
          <w:sz w:val="36"/>
          <w:szCs w:val="36"/>
        </w:rPr>
      </w:pPr>
      <w:r>
        <w:rPr>
          <w:rFonts w:hint="eastAsia" w:ascii="仿宋" w:hAnsi="仿宋" w:eastAsia="仿宋"/>
          <w:b/>
          <w:color w:val="auto"/>
          <w:sz w:val="36"/>
          <w:szCs w:val="36"/>
        </w:rPr>
        <w:t>目    录</w:t>
      </w:r>
    </w:p>
    <w:p>
      <w:pPr>
        <w:pStyle w:val="4"/>
        <w:rPr>
          <w:rFonts w:ascii="仿宋" w:hAnsi="仿宋" w:eastAsia="仿宋"/>
          <w:color w:val="auto"/>
        </w:rPr>
      </w:pPr>
    </w:p>
    <w:p>
      <w:pPr>
        <w:pStyle w:val="41"/>
        <w:rPr>
          <w:rFonts w:ascii="仿宋" w:hAnsi="仿宋" w:eastAsia="仿宋"/>
          <w:color w:val="auto"/>
        </w:rPr>
      </w:pPr>
      <w:bookmarkStart w:id="0" w:name="_Toc130094904"/>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eastAsia" w:ascii="仿宋" w:hAnsi="仿宋" w:eastAsia="仿宋" w:cs="Times New Roman"/>
          <w:color w:val="auto"/>
          <w:sz w:val="30"/>
          <w:szCs w:val="30"/>
          <w:lang w:eastAsia="zh-CN"/>
        </w:rPr>
      </w:pPr>
      <w:r>
        <w:rPr>
          <w:rFonts w:ascii="仿宋" w:hAnsi="仿宋" w:eastAsia="仿宋" w:cs="Times New Roman"/>
          <w:color w:val="auto"/>
          <w:sz w:val="30"/>
          <w:szCs w:val="30"/>
        </w:rPr>
        <w:t>第一章 公开招标采购公告………………………………………0</w:t>
      </w:r>
      <w:r>
        <w:rPr>
          <w:rFonts w:hint="eastAsia" w:ascii="仿宋" w:hAnsi="仿宋" w:eastAsia="仿宋" w:cs="Times New Roman"/>
          <w:color w:val="auto"/>
          <w:sz w:val="30"/>
          <w:szCs w:val="30"/>
          <w:lang w:val="en-US" w:eastAsia="zh-CN"/>
        </w:rPr>
        <w:t>1</w:t>
      </w:r>
    </w:p>
    <w:p>
      <w:pPr>
        <w:pStyle w:val="41"/>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ascii="仿宋" w:hAnsi="仿宋" w:eastAsia="仿宋" w:cs="Times New Roman"/>
          <w:color w:val="auto"/>
          <w:sz w:val="30"/>
          <w:szCs w:val="30"/>
        </w:rPr>
        <w:t>第二章 招标需求…………………………………………………</w:t>
      </w:r>
      <w:r>
        <w:rPr>
          <w:rFonts w:hint="eastAsia" w:ascii="仿宋" w:hAnsi="仿宋" w:eastAsia="仿宋" w:cs="Times New Roman"/>
          <w:color w:val="auto"/>
          <w:sz w:val="30"/>
          <w:szCs w:val="30"/>
          <w:lang w:val="en-US" w:eastAsia="zh-CN"/>
        </w:rPr>
        <w:t>07</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ascii="仿宋" w:hAnsi="仿宋" w:eastAsia="仿宋" w:cs="Times New Roman"/>
          <w:color w:val="auto"/>
          <w:sz w:val="30"/>
          <w:szCs w:val="30"/>
        </w:rPr>
        <w:t>第三章 投标人须知……………………………………………</w:t>
      </w:r>
      <w:r>
        <w:rPr>
          <w:rFonts w:hint="eastAsia" w:ascii="仿宋" w:hAnsi="仿宋" w:eastAsia="仿宋" w:cs="Times New Roman"/>
          <w:color w:val="auto"/>
          <w:sz w:val="30"/>
          <w:szCs w:val="30"/>
          <w:lang w:val="en-US" w:eastAsia="zh-CN"/>
        </w:rPr>
        <w:t>10</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一、总则………………………………………………………</w:t>
      </w:r>
      <w:r>
        <w:rPr>
          <w:rFonts w:hint="eastAsia" w:ascii="仿宋" w:hAnsi="仿宋" w:eastAsia="仿宋" w:cs="Times New Roman"/>
          <w:color w:val="auto"/>
          <w:sz w:val="30"/>
          <w:szCs w:val="30"/>
          <w:lang w:val="en-US" w:eastAsia="zh-CN"/>
        </w:rPr>
        <w:t>12</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二、招标文件…………………………………………………</w:t>
      </w:r>
      <w:r>
        <w:rPr>
          <w:rFonts w:hint="eastAsia" w:ascii="仿宋" w:hAnsi="仿宋" w:eastAsia="仿宋" w:cs="Times New Roman"/>
          <w:color w:val="auto"/>
          <w:sz w:val="30"/>
          <w:szCs w:val="30"/>
          <w:lang w:val="en-US" w:eastAsia="zh-CN"/>
        </w:rPr>
        <w:t>15</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eastAsia" w:ascii="仿宋" w:hAnsi="仿宋" w:eastAsia="仿宋" w:cs="Times New Roman"/>
          <w:color w:val="auto"/>
          <w:sz w:val="30"/>
          <w:szCs w:val="30"/>
          <w:lang w:eastAsia="zh-CN"/>
        </w:rPr>
      </w:pPr>
      <w:r>
        <w:rPr>
          <w:rFonts w:hint="eastAsia" w:ascii="仿宋" w:hAnsi="仿宋" w:eastAsia="仿宋" w:cs="Times New Roman"/>
          <w:color w:val="auto"/>
          <w:sz w:val="30"/>
          <w:szCs w:val="30"/>
        </w:rPr>
        <w:t>三、投标文件的编制…………………………………………</w:t>
      </w:r>
      <w:r>
        <w:rPr>
          <w:rFonts w:hint="eastAsia" w:ascii="仿宋" w:hAnsi="仿宋" w:eastAsia="仿宋" w:cs="Times New Roman"/>
          <w:color w:val="auto"/>
          <w:sz w:val="30"/>
          <w:szCs w:val="30"/>
          <w:lang w:val="en-US" w:eastAsia="zh-CN"/>
        </w:rPr>
        <w:t>16</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四、开标………………………………………………………</w:t>
      </w:r>
      <w:r>
        <w:rPr>
          <w:rFonts w:hint="eastAsia" w:ascii="仿宋" w:hAnsi="仿宋" w:eastAsia="仿宋" w:cs="Times New Roman"/>
          <w:color w:val="auto"/>
          <w:sz w:val="30"/>
          <w:szCs w:val="30"/>
          <w:lang w:val="en-US" w:eastAsia="zh-CN"/>
        </w:rPr>
        <w:t>23</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五、评标………………………………………………………</w:t>
      </w:r>
      <w:r>
        <w:rPr>
          <w:rFonts w:hint="eastAsia" w:ascii="仿宋" w:hAnsi="仿宋" w:eastAsia="仿宋" w:cs="Times New Roman"/>
          <w:color w:val="auto"/>
          <w:sz w:val="30"/>
          <w:szCs w:val="30"/>
          <w:lang w:val="en-US" w:eastAsia="zh-CN"/>
        </w:rPr>
        <w:t>24</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六、定标………………………………………………………</w:t>
      </w:r>
      <w:r>
        <w:rPr>
          <w:rFonts w:hint="eastAsia" w:ascii="仿宋" w:hAnsi="仿宋" w:eastAsia="仿宋" w:cs="Times New Roman"/>
          <w:color w:val="auto"/>
          <w:sz w:val="30"/>
          <w:szCs w:val="30"/>
          <w:lang w:val="en-US" w:eastAsia="zh-CN"/>
        </w:rPr>
        <w:t>26</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七、合同授予…………………………………………………</w:t>
      </w:r>
      <w:r>
        <w:rPr>
          <w:rFonts w:hint="eastAsia" w:ascii="仿宋" w:hAnsi="仿宋" w:eastAsia="仿宋" w:cs="Times New Roman"/>
          <w:color w:val="auto"/>
          <w:sz w:val="30"/>
          <w:szCs w:val="30"/>
          <w:lang w:val="en-US" w:eastAsia="zh-CN"/>
        </w:rPr>
        <w:t>26</w:t>
      </w:r>
    </w:p>
    <w:p>
      <w:pPr>
        <w:pStyle w:val="41"/>
        <w:keepLines w:val="0"/>
        <w:pageBreakBefore w:val="0"/>
        <w:widowControl w:val="0"/>
        <w:tabs>
          <w:tab w:val="left" w:pos="7938"/>
        </w:tabs>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hint="eastAsia" w:ascii="仿宋" w:hAnsi="仿宋" w:eastAsia="仿宋" w:cs="Times New Roman"/>
          <w:color w:val="auto"/>
          <w:sz w:val="30"/>
          <w:szCs w:val="30"/>
        </w:rPr>
        <w:t>八、其他内容…………………………………………………</w:t>
      </w:r>
      <w:r>
        <w:rPr>
          <w:rFonts w:hint="eastAsia" w:ascii="仿宋" w:hAnsi="仿宋" w:eastAsia="仿宋" w:cs="Times New Roman"/>
          <w:color w:val="auto"/>
          <w:sz w:val="30"/>
          <w:szCs w:val="30"/>
          <w:lang w:val="en-US" w:eastAsia="zh-CN"/>
        </w:rPr>
        <w:t>27</w:t>
      </w:r>
    </w:p>
    <w:p>
      <w:pPr>
        <w:pStyle w:val="41"/>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ascii="仿宋" w:hAnsi="仿宋" w:eastAsia="仿宋" w:cs="Times New Roman"/>
          <w:color w:val="auto"/>
          <w:sz w:val="30"/>
          <w:szCs w:val="30"/>
        </w:rPr>
        <w:t>第四章 评标办法及评分标准…………………………………</w:t>
      </w:r>
      <w:r>
        <w:rPr>
          <w:rFonts w:hint="eastAsia" w:ascii="仿宋" w:hAnsi="仿宋" w:eastAsia="仿宋" w:cs="Times New Roman"/>
          <w:color w:val="auto"/>
          <w:sz w:val="30"/>
          <w:szCs w:val="30"/>
          <w:lang w:val="en-US" w:eastAsia="zh-CN"/>
        </w:rPr>
        <w:t>28</w:t>
      </w:r>
    </w:p>
    <w:p>
      <w:pPr>
        <w:pStyle w:val="41"/>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s="Times New Roman"/>
          <w:color w:val="auto"/>
          <w:sz w:val="30"/>
          <w:szCs w:val="30"/>
          <w:lang w:val="en-US" w:eastAsia="zh-CN"/>
        </w:rPr>
      </w:pPr>
      <w:r>
        <w:rPr>
          <w:rFonts w:ascii="仿宋" w:hAnsi="仿宋" w:eastAsia="仿宋" w:cs="Times New Roman"/>
          <w:color w:val="auto"/>
          <w:sz w:val="30"/>
          <w:szCs w:val="30"/>
        </w:rPr>
        <w:t>第五章 合同主要条款……………………………………………</w:t>
      </w:r>
      <w:r>
        <w:rPr>
          <w:rFonts w:hint="eastAsia" w:ascii="仿宋" w:hAnsi="仿宋" w:eastAsia="仿宋" w:cs="Times New Roman"/>
          <w:color w:val="auto"/>
          <w:sz w:val="30"/>
          <w:szCs w:val="30"/>
          <w:lang w:val="en-US" w:eastAsia="zh-CN"/>
        </w:rPr>
        <w:t>33</w:t>
      </w:r>
    </w:p>
    <w:p>
      <w:pPr>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olor w:val="auto"/>
          <w:kern w:val="0"/>
          <w:sz w:val="30"/>
          <w:szCs w:val="30"/>
          <w:lang w:val="en-US" w:eastAsia="zh-CN"/>
        </w:rPr>
      </w:pPr>
      <w:r>
        <w:rPr>
          <w:rFonts w:ascii="仿宋" w:hAnsi="仿宋" w:eastAsia="仿宋"/>
          <w:color w:val="auto"/>
          <w:sz w:val="30"/>
          <w:szCs w:val="30"/>
        </w:rPr>
        <w:t>第六章 投标格式…………………………………………</w:t>
      </w:r>
      <w:r>
        <w:rPr>
          <w:rFonts w:hint="eastAsia" w:ascii="仿宋" w:hAnsi="仿宋" w:eastAsia="仿宋"/>
          <w:color w:val="auto"/>
          <w:kern w:val="0"/>
          <w:sz w:val="30"/>
          <w:szCs w:val="30"/>
          <w:lang w:val="en-US" w:eastAsia="zh-CN"/>
        </w:rPr>
        <w:t>38</w:t>
      </w:r>
    </w:p>
    <w:p>
      <w:pPr>
        <w:keepLines w:val="0"/>
        <w:pageBreakBefore w:val="0"/>
        <w:widowControl w:val="0"/>
        <w:kinsoku/>
        <w:wordWrap/>
        <w:overflowPunct/>
        <w:topLinePunct w:val="0"/>
        <w:bidi w:val="0"/>
        <w:snapToGrid/>
        <w:spacing w:line="600" w:lineRule="exact"/>
        <w:jc w:val="distribute"/>
        <w:textAlignment w:val="auto"/>
        <w:rPr>
          <w:rFonts w:hint="eastAsia" w:ascii="仿宋" w:hAnsi="仿宋" w:eastAsia="仿宋"/>
          <w:color w:val="auto"/>
          <w:kern w:val="0"/>
          <w:sz w:val="30"/>
          <w:szCs w:val="30"/>
          <w:lang w:eastAsia="zh-CN"/>
        </w:rPr>
      </w:pPr>
      <w:r>
        <w:rPr>
          <w:rFonts w:ascii="仿宋" w:hAnsi="仿宋" w:eastAsia="仿宋"/>
          <w:color w:val="auto"/>
          <w:sz w:val="30"/>
          <w:szCs w:val="30"/>
        </w:rPr>
        <w:t>第</w:t>
      </w:r>
      <w:r>
        <w:rPr>
          <w:rFonts w:hint="eastAsia" w:ascii="仿宋" w:hAnsi="仿宋" w:eastAsia="仿宋"/>
          <w:color w:val="auto"/>
          <w:sz w:val="30"/>
          <w:szCs w:val="30"/>
          <w:lang w:eastAsia="zh-CN"/>
        </w:rPr>
        <w:t>七</w:t>
      </w:r>
      <w:r>
        <w:rPr>
          <w:rFonts w:ascii="仿宋" w:hAnsi="仿宋" w:eastAsia="仿宋"/>
          <w:color w:val="auto"/>
          <w:sz w:val="30"/>
          <w:szCs w:val="30"/>
        </w:rPr>
        <w:t xml:space="preserve">章 </w:t>
      </w:r>
      <w:r>
        <w:rPr>
          <w:rFonts w:hint="eastAsia" w:ascii="仿宋" w:hAnsi="仿宋" w:eastAsia="仿宋"/>
          <w:color w:val="auto"/>
          <w:sz w:val="30"/>
          <w:szCs w:val="30"/>
          <w:lang w:eastAsia="zh-CN"/>
        </w:rPr>
        <w:t>技术标准和要求</w:t>
      </w:r>
      <w:r>
        <w:rPr>
          <w:rFonts w:ascii="仿宋" w:hAnsi="仿宋" w:eastAsia="仿宋"/>
          <w:color w:val="auto"/>
          <w:sz w:val="30"/>
          <w:szCs w:val="30"/>
        </w:rPr>
        <w:t>…………………………………………</w:t>
      </w:r>
      <w:r>
        <w:rPr>
          <w:rFonts w:hint="eastAsia" w:ascii="仿宋" w:hAnsi="仿宋" w:eastAsia="仿宋"/>
          <w:color w:val="auto"/>
          <w:kern w:val="0"/>
          <w:sz w:val="30"/>
          <w:szCs w:val="30"/>
          <w:lang w:val="en-US" w:eastAsia="zh-CN"/>
        </w:rPr>
        <w:t>57</w:t>
      </w:r>
    </w:p>
    <w:p>
      <w:pPr>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olor w:val="auto"/>
          <w:kern w:val="0"/>
          <w:sz w:val="30"/>
          <w:szCs w:val="30"/>
          <w:lang w:val="en-US" w:eastAsia="zh-CN"/>
        </w:rPr>
      </w:pPr>
      <w:r>
        <w:rPr>
          <w:rFonts w:ascii="仿宋" w:hAnsi="仿宋" w:eastAsia="仿宋"/>
          <w:color w:val="auto"/>
          <w:sz w:val="30"/>
          <w:szCs w:val="30"/>
        </w:rPr>
        <w:t>第</w:t>
      </w:r>
      <w:r>
        <w:rPr>
          <w:rFonts w:hint="eastAsia" w:ascii="仿宋" w:hAnsi="仿宋" w:eastAsia="仿宋"/>
          <w:color w:val="auto"/>
          <w:sz w:val="30"/>
          <w:szCs w:val="30"/>
          <w:lang w:eastAsia="zh-CN"/>
        </w:rPr>
        <w:t>八</w:t>
      </w:r>
      <w:r>
        <w:rPr>
          <w:rFonts w:ascii="仿宋" w:hAnsi="仿宋" w:eastAsia="仿宋"/>
          <w:color w:val="auto"/>
          <w:sz w:val="30"/>
          <w:szCs w:val="30"/>
        </w:rPr>
        <w:t xml:space="preserve">章 </w:t>
      </w:r>
      <w:r>
        <w:rPr>
          <w:rFonts w:hint="eastAsia" w:ascii="仿宋" w:hAnsi="仿宋" w:eastAsia="仿宋"/>
          <w:color w:val="auto"/>
          <w:sz w:val="30"/>
          <w:szCs w:val="30"/>
          <w:lang w:eastAsia="zh-CN"/>
        </w:rPr>
        <w:t>工程量清单</w:t>
      </w:r>
      <w:r>
        <w:rPr>
          <w:rFonts w:ascii="仿宋" w:hAnsi="仿宋" w:eastAsia="仿宋"/>
          <w:color w:val="auto"/>
          <w:sz w:val="30"/>
          <w:szCs w:val="30"/>
        </w:rPr>
        <w:t>…………………………………………</w:t>
      </w:r>
      <w:r>
        <w:rPr>
          <w:rFonts w:hint="eastAsia" w:ascii="仿宋" w:hAnsi="仿宋" w:eastAsia="仿宋"/>
          <w:color w:val="auto"/>
          <w:kern w:val="0"/>
          <w:sz w:val="30"/>
          <w:szCs w:val="30"/>
          <w:lang w:val="en-US" w:eastAsia="zh-CN"/>
        </w:rPr>
        <w:t>71</w:t>
      </w:r>
    </w:p>
    <w:bookmarkEnd w:id="0"/>
    <w:p>
      <w:pPr>
        <w:keepLines w:val="0"/>
        <w:pageBreakBefore w:val="0"/>
        <w:widowControl w:val="0"/>
        <w:kinsoku/>
        <w:wordWrap/>
        <w:overflowPunct/>
        <w:topLinePunct w:val="0"/>
        <w:bidi w:val="0"/>
        <w:snapToGrid/>
        <w:spacing w:line="600" w:lineRule="exact"/>
        <w:jc w:val="distribute"/>
        <w:textAlignment w:val="auto"/>
        <w:rPr>
          <w:rFonts w:hint="default" w:ascii="仿宋" w:hAnsi="仿宋" w:eastAsia="仿宋"/>
          <w:color w:val="auto"/>
          <w:kern w:val="0"/>
          <w:sz w:val="30"/>
          <w:szCs w:val="30"/>
          <w:lang w:val="en-US" w:eastAsia="zh-CN"/>
        </w:rPr>
      </w:pPr>
      <w:bookmarkStart w:id="1" w:name="_Toc510462676"/>
      <w:bookmarkStart w:id="2" w:name="_Toc11724"/>
      <w:r>
        <w:rPr>
          <w:rFonts w:ascii="仿宋" w:hAnsi="仿宋" w:eastAsia="仿宋"/>
          <w:color w:val="auto"/>
          <w:sz w:val="30"/>
          <w:szCs w:val="30"/>
        </w:rPr>
        <w:t>第</w:t>
      </w:r>
      <w:r>
        <w:rPr>
          <w:rFonts w:hint="eastAsia" w:ascii="仿宋" w:hAnsi="仿宋" w:eastAsia="仿宋"/>
          <w:color w:val="auto"/>
          <w:sz w:val="30"/>
          <w:szCs w:val="30"/>
          <w:lang w:eastAsia="zh-CN"/>
        </w:rPr>
        <w:t>九</w:t>
      </w:r>
      <w:r>
        <w:rPr>
          <w:rFonts w:ascii="仿宋" w:hAnsi="仿宋" w:eastAsia="仿宋"/>
          <w:color w:val="auto"/>
          <w:sz w:val="30"/>
          <w:szCs w:val="30"/>
        </w:rPr>
        <w:t xml:space="preserve">章 </w:t>
      </w:r>
      <w:r>
        <w:rPr>
          <w:rFonts w:hint="eastAsia" w:ascii="仿宋" w:hAnsi="仿宋" w:eastAsia="仿宋"/>
          <w:color w:val="auto"/>
          <w:sz w:val="30"/>
          <w:szCs w:val="30"/>
          <w:lang w:eastAsia="zh-CN"/>
        </w:rPr>
        <w:t>图纸</w:t>
      </w:r>
      <w:r>
        <w:rPr>
          <w:rFonts w:ascii="仿宋" w:hAnsi="仿宋" w:eastAsia="仿宋"/>
          <w:color w:val="auto"/>
          <w:sz w:val="30"/>
          <w:szCs w:val="30"/>
        </w:rPr>
        <w:t>…………………………………………</w:t>
      </w:r>
      <w:r>
        <w:rPr>
          <w:rFonts w:hint="eastAsia" w:ascii="仿宋" w:hAnsi="仿宋" w:eastAsia="仿宋"/>
          <w:color w:val="auto"/>
          <w:kern w:val="0"/>
          <w:sz w:val="30"/>
          <w:szCs w:val="30"/>
          <w:lang w:val="en-US" w:eastAsia="zh-CN"/>
        </w:rPr>
        <w:t>72</w:t>
      </w:r>
    </w:p>
    <w:p>
      <w:pPr>
        <w:pStyle w:val="4"/>
        <w:keepLines w:val="0"/>
        <w:pageBreakBefore w:val="0"/>
        <w:widowControl w:val="0"/>
        <w:kinsoku/>
        <w:wordWrap/>
        <w:overflowPunct/>
        <w:topLinePunct w:val="0"/>
        <w:bidi w:val="0"/>
        <w:snapToGrid/>
        <w:spacing w:line="600" w:lineRule="exact"/>
        <w:jc w:val="center"/>
        <w:textAlignment w:val="auto"/>
        <w:rPr>
          <w:rFonts w:hint="eastAsia" w:ascii="仿宋" w:hAnsi="仿宋" w:eastAsia="仿宋"/>
          <w:color w:val="auto"/>
          <w:sz w:val="32"/>
        </w:rPr>
      </w:pPr>
    </w:p>
    <w:p>
      <w:pPr>
        <w:rPr>
          <w:rFonts w:hint="eastAsia"/>
        </w:rPr>
        <w:sectPr>
          <w:footerReference r:id="rId6" w:type="first"/>
          <w:footerReference r:id="rId5" w:type="default"/>
          <w:pgSz w:w="11906" w:h="16838"/>
          <w:pgMar w:top="1134" w:right="1247" w:bottom="1134" w:left="1247" w:header="851" w:footer="851" w:gutter="0"/>
          <w:pgNumType w:fmt="numberInDash" w:start="1"/>
          <w:cols w:space="720" w:num="1"/>
          <w:docGrid w:linePitch="312" w:charSpace="0"/>
        </w:sectPr>
      </w:pPr>
    </w:p>
    <w:p>
      <w:pPr>
        <w:pStyle w:val="4"/>
        <w:spacing w:line="560" w:lineRule="exact"/>
        <w:jc w:val="center"/>
        <w:rPr>
          <w:rFonts w:ascii="仿宋" w:hAnsi="仿宋" w:eastAsia="仿宋"/>
          <w:color w:val="auto"/>
          <w:sz w:val="32"/>
        </w:rPr>
      </w:pPr>
      <w:r>
        <w:rPr>
          <w:rFonts w:hint="eastAsia" w:ascii="仿宋" w:hAnsi="仿宋" w:eastAsia="仿宋"/>
          <w:color w:val="auto"/>
          <w:sz w:val="32"/>
        </w:rPr>
        <w:t>第一章   公开</w:t>
      </w:r>
      <w:r>
        <w:rPr>
          <w:rFonts w:ascii="仿宋" w:hAnsi="仿宋" w:eastAsia="仿宋"/>
          <w:color w:val="auto"/>
          <w:sz w:val="32"/>
        </w:rPr>
        <w:t>招标</w:t>
      </w:r>
      <w:r>
        <w:rPr>
          <w:rFonts w:hint="eastAsia" w:ascii="仿宋" w:hAnsi="仿宋" w:eastAsia="仿宋"/>
          <w:color w:val="auto"/>
          <w:sz w:val="32"/>
        </w:rPr>
        <w:t>采购</w:t>
      </w:r>
      <w:r>
        <w:rPr>
          <w:rFonts w:ascii="仿宋" w:hAnsi="仿宋" w:eastAsia="仿宋"/>
          <w:color w:val="auto"/>
          <w:sz w:val="32"/>
        </w:rPr>
        <w:t>公告</w:t>
      </w:r>
      <w:bookmarkEnd w:id="1"/>
      <w:bookmarkEnd w:id="2"/>
    </w:p>
    <w:p>
      <w:pPr>
        <w:rPr>
          <w:color w:val="auto"/>
        </w:rPr>
      </w:pP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根据《中华人民共和国政府采购法》《政府采购货物和服务招标投标管理办法》及相关法律、法规等规定，经湖州市财政局政府采购监管</w:t>
      </w:r>
      <w:r>
        <w:rPr>
          <w:rFonts w:hint="eastAsia" w:ascii="仿宋" w:hAnsi="仿宋" w:eastAsia="仿宋"/>
          <w:color w:val="auto"/>
          <w:sz w:val="24"/>
          <w:lang w:eastAsia="zh-CN"/>
        </w:rPr>
        <w:t>处</w:t>
      </w:r>
      <w:r>
        <w:rPr>
          <w:rFonts w:hint="eastAsia" w:ascii="仿宋" w:hAnsi="仿宋" w:eastAsia="仿宋"/>
          <w:color w:val="auto"/>
          <w:sz w:val="24"/>
        </w:rPr>
        <w:t>(财政审批编号：</w:t>
      </w:r>
      <w:r>
        <w:rPr>
          <w:rFonts w:hint="eastAsia" w:ascii="仿宋" w:hAnsi="仿宋" w:eastAsia="仿宋"/>
          <w:color w:val="auto"/>
          <w:sz w:val="24"/>
          <w:u w:val="single"/>
        </w:rPr>
        <w:t>湖财采确临[2021]</w:t>
      </w:r>
      <w:r>
        <w:rPr>
          <w:rFonts w:hint="eastAsia" w:ascii="仿宋" w:hAnsi="仿宋" w:eastAsia="仿宋"/>
          <w:color w:val="auto"/>
          <w:sz w:val="24"/>
          <w:u w:val="single"/>
          <w:lang w:val="en-US" w:eastAsia="zh-CN"/>
        </w:rPr>
        <w:t>21338</w:t>
      </w:r>
      <w:r>
        <w:rPr>
          <w:rFonts w:hint="eastAsia" w:ascii="仿宋" w:hAnsi="仿宋" w:eastAsia="仿宋"/>
          <w:color w:val="auto"/>
          <w:sz w:val="24"/>
          <w:u w:val="single"/>
        </w:rPr>
        <w:t>号)</w:t>
      </w:r>
      <w:r>
        <w:rPr>
          <w:rFonts w:hint="eastAsia" w:ascii="仿宋" w:hAnsi="仿宋" w:eastAsia="仿宋"/>
          <w:color w:val="auto"/>
          <w:sz w:val="24"/>
        </w:rPr>
        <w:t>批准，</w:t>
      </w:r>
      <w:r>
        <w:rPr>
          <w:rFonts w:hint="eastAsia" w:ascii="仿宋" w:hAnsi="仿宋" w:eastAsia="仿宋"/>
          <w:color w:val="auto"/>
          <w:sz w:val="24"/>
          <w:u w:val="single"/>
        </w:rPr>
        <w:t>湖州市仁皇工程咨询有限公司</w:t>
      </w:r>
      <w:r>
        <w:rPr>
          <w:rFonts w:hint="eastAsia" w:ascii="仿宋" w:hAnsi="仿宋" w:eastAsia="仿宋"/>
          <w:color w:val="auto"/>
          <w:sz w:val="24"/>
        </w:rPr>
        <w:t>受</w:t>
      </w:r>
      <w:r>
        <w:rPr>
          <w:rFonts w:hint="eastAsia" w:ascii="仿宋" w:hAnsi="仿宋" w:eastAsia="仿宋"/>
          <w:color w:val="auto"/>
          <w:sz w:val="24"/>
          <w:u w:val="single"/>
        </w:rPr>
        <w:t>湖州市直属水利工程运行管理所</w:t>
      </w:r>
      <w:r>
        <w:rPr>
          <w:rFonts w:hint="eastAsia" w:ascii="仿宋" w:hAnsi="仿宋" w:eastAsia="仿宋"/>
          <w:color w:val="auto"/>
          <w:sz w:val="24"/>
        </w:rPr>
        <w:t>委托，现就</w:t>
      </w:r>
      <w:r>
        <w:rPr>
          <w:rFonts w:hint="eastAsia" w:ascii="仿宋" w:hAnsi="仿宋" w:eastAsia="仿宋" w:cs="仿宋"/>
          <w:b/>
          <w:color w:val="auto"/>
          <w:sz w:val="24"/>
          <w:u w:val="single"/>
        </w:rPr>
        <w:t>2021-2023年度</w:t>
      </w:r>
      <w:r>
        <w:rPr>
          <w:rFonts w:hint="eastAsia" w:ascii="仿宋" w:hAnsi="仿宋" w:eastAsia="仿宋" w:cs="仿宋"/>
          <w:b/>
          <w:color w:val="auto"/>
          <w:sz w:val="24"/>
          <w:u w:val="single"/>
          <w:lang w:eastAsia="zh-CN"/>
        </w:rPr>
        <w:t>水闸泵站</w:t>
      </w:r>
      <w:r>
        <w:rPr>
          <w:rFonts w:hint="eastAsia" w:ascii="仿宋" w:hAnsi="仿宋" w:eastAsia="仿宋" w:cs="仿宋"/>
          <w:b/>
          <w:color w:val="auto"/>
          <w:sz w:val="24"/>
          <w:u w:val="single"/>
        </w:rPr>
        <w:t>运行维修养护服务项目</w:t>
      </w:r>
      <w:r>
        <w:rPr>
          <w:rFonts w:hint="eastAsia" w:ascii="仿宋" w:hAnsi="仿宋" w:eastAsia="仿宋"/>
          <w:color w:val="auto"/>
          <w:sz w:val="24"/>
        </w:rPr>
        <w:t>进行公开招标采购，欢迎中华人民共和国境内的合格投标人前来参加投标。</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一、项目编号：</w:t>
      </w:r>
      <w:r>
        <w:rPr>
          <w:rFonts w:hint="eastAsia" w:ascii="仿宋" w:hAnsi="仿宋" w:eastAsia="仿宋"/>
          <w:color w:val="auto"/>
          <w:sz w:val="24"/>
        </w:rPr>
        <w:t>仁皇招字2021092号</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二、采购组织类型：</w:t>
      </w:r>
      <w:r>
        <w:rPr>
          <w:rFonts w:hint="eastAsia" w:ascii="仿宋" w:hAnsi="仿宋" w:eastAsia="仿宋"/>
          <w:color w:val="auto"/>
          <w:sz w:val="24"/>
        </w:rPr>
        <w:t>分散采购委托代理</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三、采购方式：</w:t>
      </w:r>
      <w:r>
        <w:rPr>
          <w:rFonts w:hint="eastAsia" w:ascii="仿宋" w:hAnsi="仿宋" w:eastAsia="仿宋"/>
          <w:color w:val="auto"/>
          <w:sz w:val="24"/>
        </w:rPr>
        <w:t>公开招标</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四、招标项目概况</w:t>
      </w:r>
      <w:r>
        <w:rPr>
          <w:rFonts w:hint="eastAsia" w:ascii="仿宋" w:hAnsi="仿宋" w:eastAsia="仿宋"/>
          <w:color w:val="auto"/>
          <w:sz w:val="24"/>
        </w:rPr>
        <w:t>（内容、数量、简要技术要求等）:</w:t>
      </w:r>
    </w:p>
    <w:tbl>
      <w:tblPr>
        <w:tblStyle w:val="21"/>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3784"/>
        <w:gridCol w:w="987"/>
        <w:gridCol w:w="993"/>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3"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标项号</w:t>
            </w:r>
          </w:p>
        </w:tc>
        <w:tc>
          <w:tcPr>
            <w:tcW w:w="3784"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标项名称</w:t>
            </w:r>
          </w:p>
        </w:tc>
        <w:tc>
          <w:tcPr>
            <w:tcW w:w="987"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单位</w:t>
            </w:r>
          </w:p>
        </w:tc>
        <w:tc>
          <w:tcPr>
            <w:tcW w:w="993"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数量</w:t>
            </w:r>
          </w:p>
        </w:tc>
        <w:tc>
          <w:tcPr>
            <w:tcW w:w="170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3"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3784" w:type="dxa"/>
            <w:vAlign w:val="center"/>
          </w:tcPr>
          <w:p>
            <w:pPr>
              <w:spacing w:line="500" w:lineRule="exact"/>
              <w:jc w:val="center"/>
              <w:rPr>
                <w:rFonts w:ascii="仿宋" w:hAnsi="仿宋" w:eastAsia="仿宋" w:cs="仿宋"/>
                <w:color w:val="auto"/>
                <w:sz w:val="24"/>
              </w:rPr>
            </w:pPr>
            <w:r>
              <w:rPr>
                <w:rFonts w:hint="eastAsia" w:ascii="仿宋" w:hAnsi="仿宋" w:eastAsia="仿宋" w:cs="仿宋"/>
                <w:b w:val="0"/>
                <w:bCs/>
                <w:color w:val="auto"/>
                <w:sz w:val="24"/>
              </w:rPr>
              <w:t>2021-2023年度</w:t>
            </w:r>
            <w:r>
              <w:rPr>
                <w:rFonts w:hint="eastAsia" w:ascii="仿宋" w:hAnsi="仿宋" w:eastAsia="仿宋" w:cs="仿宋"/>
                <w:b w:val="0"/>
                <w:bCs/>
                <w:color w:val="auto"/>
                <w:sz w:val="24"/>
                <w:lang w:eastAsia="zh-CN"/>
              </w:rPr>
              <w:t>水闸泵站</w:t>
            </w:r>
            <w:r>
              <w:rPr>
                <w:rFonts w:hint="eastAsia" w:ascii="仿宋" w:hAnsi="仿宋" w:eastAsia="仿宋" w:cs="仿宋"/>
                <w:b w:val="0"/>
                <w:bCs/>
                <w:color w:val="auto"/>
                <w:sz w:val="24"/>
              </w:rPr>
              <w:t>运行维修养护服务项目</w:t>
            </w:r>
          </w:p>
        </w:tc>
        <w:tc>
          <w:tcPr>
            <w:tcW w:w="987" w:type="dxa"/>
            <w:vAlign w:val="center"/>
          </w:tcPr>
          <w:p>
            <w:pPr>
              <w:pStyle w:val="42"/>
              <w:spacing w:line="500" w:lineRule="exact"/>
              <w:jc w:val="center"/>
              <w:rPr>
                <w:rFonts w:ascii="仿宋" w:hAnsi="仿宋" w:eastAsia="仿宋" w:cs="仿宋"/>
                <w:color w:val="auto"/>
                <w:sz w:val="24"/>
                <w:szCs w:val="24"/>
              </w:rPr>
            </w:pPr>
            <w:r>
              <w:rPr>
                <w:rFonts w:hint="eastAsia" w:ascii="仿宋" w:hAnsi="仿宋" w:eastAsia="仿宋" w:cs="仿宋"/>
                <w:color w:val="auto"/>
                <w:sz w:val="24"/>
                <w:szCs w:val="24"/>
              </w:rPr>
              <w:t>批</w:t>
            </w:r>
          </w:p>
        </w:tc>
        <w:tc>
          <w:tcPr>
            <w:tcW w:w="993"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170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52</w:t>
            </w:r>
            <w:r>
              <w:rPr>
                <w:rFonts w:hint="eastAsia" w:ascii="仿宋" w:hAnsi="仿宋" w:eastAsia="仿宋" w:cs="仿宋"/>
                <w:color w:val="auto"/>
                <w:sz w:val="24"/>
                <w:lang w:val="en-US" w:eastAsia="zh-CN"/>
              </w:rPr>
              <w:t>3.</w:t>
            </w:r>
            <w:r>
              <w:rPr>
                <w:rFonts w:hint="eastAsia" w:ascii="仿宋" w:hAnsi="仿宋" w:eastAsia="仿宋" w:cs="仿宋"/>
                <w:color w:val="auto"/>
                <w:sz w:val="24"/>
              </w:rPr>
              <w:t>6万元</w:t>
            </w:r>
          </w:p>
        </w:tc>
      </w:tr>
    </w:tbl>
    <w:p>
      <w:pPr>
        <w:spacing w:line="50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五、投标人资格要求:</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1、符合《中华人民共和国政府采购法》第二十二条规定和浙财采监【2013】24号《关于规范政府采购投标人资格设定及资格审查的通知》第六条规定,且未被“信用中国”（www.creditchina.gov.cn）、“中国政府采购网”（www.ccgp.gov.cn）列入失信被执行人、重大税收违法案件当事人名单、政府采购严重违法失信行为记录名单。</w:t>
      </w:r>
    </w:p>
    <w:p>
      <w:pPr>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2、本项目专门面向中小企业采购, 投标人需符合国家《中小企业划型标准规定》要求。(监狱企业、残疾人福利性单位参加投标，视为小型、微型企业)。</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3、本项目不接受联合体投标。</w:t>
      </w:r>
    </w:p>
    <w:p>
      <w:pPr>
        <w:spacing w:line="500" w:lineRule="exact"/>
        <w:ind w:firstLine="482" w:firstLineChars="200"/>
        <w:rPr>
          <w:rFonts w:ascii="仿宋" w:hAnsi="仿宋" w:eastAsia="仿宋"/>
          <w:b/>
          <w:color w:val="auto"/>
          <w:sz w:val="24"/>
        </w:rPr>
      </w:pPr>
      <w:r>
        <w:rPr>
          <w:rFonts w:hint="eastAsia" w:ascii="仿宋" w:hAnsi="仿宋" w:eastAsia="仿宋"/>
          <w:b/>
          <w:color w:val="auto"/>
          <w:sz w:val="24"/>
        </w:rPr>
        <w:t>六、招标文件的获取:</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1、获取招标文件时间：</w:t>
      </w:r>
      <w:r>
        <w:rPr>
          <w:rFonts w:hint="eastAsia" w:ascii="仿宋" w:hAnsi="仿宋" w:eastAsia="仿宋"/>
          <w:color w:val="auto"/>
          <w:sz w:val="24"/>
          <w:shd w:val="pct10" w:color="auto" w:fill="FFFFFF"/>
        </w:rPr>
        <w:t>2021年</w:t>
      </w:r>
      <w:r>
        <w:rPr>
          <w:rFonts w:hint="eastAsia" w:ascii="仿宋" w:hAnsi="仿宋" w:eastAsia="仿宋"/>
          <w:color w:val="auto"/>
          <w:sz w:val="24"/>
          <w:shd w:val="pct10" w:color="auto" w:fill="FFFFFF"/>
          <w:lang w:val="en-US" w:eastAsia="zh-CN"/>
        </w:rPr>
        <w:t>9</w:t>
      </w:r>
      <w:r>
        <w:rPr>
          <w:rFonts w:hint="eastAsia" w:ascii="仿宋" w:hAnsi="仿宋" w:eastAsia="仿宋"/>
          <w:color w:val="auto"/>
          <w:sz w:val="24"/>
          <w:shd w:val="pct10" w:color="auto" w:fill="FFFFFF"/>
        </w:rPr>
        <w:t>月</w:t>
      </w:r>
      <w:r>
        <w:rPr>
          <w:rFonts w:hint="eastAsia" w:ascii="仿宋" w:hAnsi="仿宋" w:eastAsia="仿宋"/>
          <w:color w:val="auto"/>
          <w:sz w:val="24"/>
          <w:shd w:val="pct10" w:color="auto" w:fill="FFFFFF"/>
          <w:lang w:val="en-US" w:eastAsia="zh-CN"/>
        </w:rPr>
        <w:t>29</w:t>
      </w:r>
      <w:r>
        <w:rPr>
          <w:rFonts w:hint="eastAsia" w:ascii="仿宋" w:hAnsi="仿宋" w:eastAsia="仿宋"/>
          <w:color w:val="auto"/>
          <w:sz w:val="24"/>
          <w:shd w:val="pct10" w:color="auto" w:fill="FFFFFF"/>
        </w:rPr>
        <w:t>日至投标截止时间</w:t>
      </w:r>
      <w:r>
        <w:rPr>
          <w:rFonts w:hint="eastAsia" w:ascii="仿宋" w:hAnsi="仿宋" w:eastAsia="仿宋"/>
          <w:color w:val="auto"/>
          <w:sz w:val="24"/>
        </w:rPr>
        <w:t>(潜在投标人获取采购文件前应当在电子交易平台上注册账号并登录，截止时间后不再接受潜在投标人获取采购文件)。</w:t>
      </w:r>
    </w:p>
    <w:p>
      <w:pPr>
        <w:spacing w:line="500" w:lineRule="exact"/>
        <w:ind w:firstLine="480" w:firstLineChars="200"/>
        <w:rPr>
          <w:rFonts w:ascii="仿宋" w:hAnsi="仿宋" w:eastAsia="仿宋" w:cs="Arial"/>
          <w:color w:val="auto"/>
          <w:sz w:val="24"/>
        </w:rPr>
      </w:pPr>
      <w:bookmarkStart w:id="3" w:name="_Toc98731748"/>
      <w:bookmarkStart w:id="4" w:name="_Toc130094905"/>
      <w:bookmarkStart w:id="5" w:name="_Toc8034"/>
      <w:r>
        <w:rPr>
          <w:rFonts w:hint="eastAsia" w:ascii="仿宋" w:hAnsi="仿宋" w:eastAsia="仿宋" w:cs="Arial"/>
          <w:color w:val="auto"/>
          <w:sz w:val="24"/>
        </w:rPr>
        <w:t>2、本项目招标文件实行网上获取，不在接受投标人现场报名。投标人登录浙江政府采购网（</w:t>
      </w:r>
      <w:r>
        <w:rPr>
          <w:rFonts w:ascii="仿宋" w:hAnsi="仿宋" w:eastAsia="仿宋" w:cs="Arial"/>
          <w:color w:val="auto"/>
          <w:sz w:val="24"/>
        </w:rPr>
        <w:t>http://zfcg.czt.zj.gov.cn/</w:t>
      </w:r>
      <w:r>
        <w:rPr>
          <w:rFonts w:hint="eastAsia" w:ascii="仿宋" w:hAnsi="仿宋" w:eastAsia="仿宋" w:cs="Arial"/>
          <w:color w:val="auto"/>
          <w:sz w:val="24"/>
        </w:rPr>
        <w:t>)进入政采云系统“项目采购”模块“获取采购文件”菜单，进行网上获取招标文件。（“政采云”注册账号、密码登录系统后获取采购文件）。</w:t>
      </w:r>
    </w:p>
    <w:p>
      <w:pPr>
        <w:spacing w:line="500" w:lineRule="exact"/>
        <w:ind w:firstLine="480" w:firstLineChars="200"/>
        <w:rPr>
          <w:rFonts w:ascii="仿宋" w:hAnsi="仿宋" w:eastAsia="仿宋" w:cs="Arial"/>
          <w:color w:val="auto"/>
          <w:sz w:val="24"/>
        </w:rPr>
      </w:pPr>
      <w:r>
        <w:rPr>
          <w:rFonts w:hint="eastAsia" w:ascii="仿宋" w:hAnsi="仿宋" w:eastAsia="仿宋" w:cs="Arial"/>
          <w:color w:val="auto"/>
          <w:sz w:val="24"/>
        </w:rPr>
        <w:t>3、免费注册网址：浙江政府采购网（投标人注册页面）:https://middle.zcygov.cn/settle-front/#/registry“政采云”，咨询电话：400-881-7190。已经注册成功的投标人无需重复注册</w:t>
      </w:r>
    </w:p>
    <w:p>
      <w:pPr>
        <w:spacing w:line="500" w:lineRule="exact"/>
        <w:ind w:firstLine="482" w:firstLineChars="200"/>
        <w:rPr>
          <w:rFonts w:ascii="仿宋" w:hAnsi="仿宋" w:eastAsia="仿宋"/>
          <w:b/>
          <w:color w:val="auto"/>
          <w:sz w:val="24"/>
        </w:rPr>
      </w:pPr>
      <w:r>
        <w:rPr>
          <w:rFonts w:hint="eastAsia" w:ascii="仿宋" w:hAnsi="仿宋" w:eastAsia="仿宋"/>
          <w:b/>
          <w:color w:val="auto"/>
          <w:sz w:val="24"/>
        </w:rPr>
        <w:t>七、投标文件的递交及相关事宜</w:t>
      </w:r>
    </w:p>
    <w:p>
      <w:pPr>
        <w:spacing w:line="500" w:lineRule="exact"/>
        <w:ind w:firstLine="480" w:firstLineChars="200"/>
        <w:rPr>
          <w:rFonts w:ascii="仿宋" w:hAnsi="仿宋" w:eastAsia="仿宋"/>
          <w:b/>
          <w:color w:val="auto"/>
          <w:sz w:val="24"/>
        </w:rPr>
      </w:pPr>
      <w:r>
        <w:rPr>
          <w:rFonts w:hint="eastAsia" w:ascii="仿宋" w:hAnsi="仿宋" w:eastAsia="仿宋"/>
          <w:color w:val="auto"/>
          <w:sz w:val="24"/>
        </w:rPr>
        <w:t>1、投标文件递交的截止时间（投标截止时间，下同）为</w:t>
      </w:r>
      <w:r>
        <w:rPr>
          <w:rFonts w:hint="eastAsia" w:ascii="仿宋" w:hAnsi="仿宋" w:eastAsia="仿宋"/>
          <w:color w:val="auto"/>
          <w:sz w:val="24"/>
          <w:shd w:val="pct10" w:color="auto" w:fill="FFFFFF"/>
        </w:rPr>
        <w:t>2021年</w:t>
      </w:r>
      <w:r>
        <w:rPr>
          <w:rFonts w:hint="eastAsia" w:ascii="仿宋" w:hAnsi="仿宋" w:eastAsia="仿宋"/>
          <w:color w:val="auto"/>
          <w:sz w:val="24"/>
          <w:shd w:val="pct10" w:color="auto" w:fill="FFFFFF"/>
          <w:lang w:val="en-US" w:eastAsia="zh-CN"/>
        </w:rPr>
        <w:t>10</w:t>
      </w:r>
      <w:r>
        <w:rPr>
          <w:rFonts w:hint="eastAsia" w:ascii="仿宋" w:hAnsi="仿宋" w:eastAsia="仿宋"/>
          <w:color w:val="auto"/>
          <w:sz w:val="24"/>
          <w:shd w:val="pct10" w:color="auto" w:fill="FFFFFF"/>
        </w:rPr>
        <w:t>月</w:t>
      </w:r>
      <w:r>
        <w:rPr>
          <w:rFonts w:hint="eastAsia" w:ascii="仿宋" w:hAnsi="仿宋" w:eastAsia="仿宋"/>
          <w:color w:val="auto"/>
          <w:sz w:val="24"/>
          <w:shd w:val="pct10" w:color="auto" w:fill="FFFFFF"/>
          <w:lang w:val="en-US" w:eastAsia="zh-CN"/>
        </w:rPr>
        <w:t>20</w:t>
      </w:r>
      <w:r>
        <w:rPr>
          <w:rFonts w:hint="eastAsia" w:ascii="仿宋" w:hAnsi="仿宋" w:eastAsia="仿宋"/>
          <w:color w:val="auto"/>
          <w:sz w:val="24"/>
          <w:shd w:val="pct10" w:color="auto" w:fill="FFFFFF"/>
        </w:rPr>
        <w:t>日</w:t>
      </w:r>
      <w:r>
        <w:rPr>
          <w:rFonts w:hint="eastAsia" w:ascii="仿宋" w:hAnsi="仿宋" w:eastAsia="仿宋"/>
          <w:color w:val="auto"/>
          <w:sz w:val="24"/>
          <w:shd w:val="pct10" w:color="auto" w:fill="FFFFFF"/>
          <w:lang w:val="en-US" w:eastAsia="zh-CN"/>
        </w:rPr>
        <w:t>9</w:t>
      </w:r>
      <w:r>
        <w:rPr>
          <w:rFonts w:hint="eastAsia" w:ascii="仿宋" w:hAnsi="仿宋" w:eastAsia="仿宋"/>
          <w:color w:val="auto"/>
          <w:sz w:val="24"/>
          <w:shd w:val="pct10" w:color="auto" w:fill="FFFFFF"/>
        </w:rPr>
        <w:t>:00时（北京时间）</w:t>
      </w:r>
      <w:r>
        <w:rPr>
          <w:rFonts w:hint="eastAsia" w:ascii="仿宋" w:hAnsi="仿宋" w:eastAsia="仿宋"/>
          <w:color w:val="auto"/>
          <w:sz w:val="24"/>
        </w:rPr>
        <w:t>。</w:t>
      </w:r>
    </w:p>
    <w:p>
      <w:pPr>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2、投标文件递交方式：</w:t>
      </w:r>
    </w:p>
    <w:p>
      <w:pPr>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(1)电子投标文件：按政采云平台项目采购-电子交易操作指南及本招标文件要求递交。投标人应于</w:t>
      </w:r>
      <w:r>
        <w:rPr>
          <w:rFonts w:hint="eastAsia" w:ascii="仿宋" w:hAnsi="仿宋" w:eastAsia="仿宋"/>
          <w:color w:val="auto"/>
          <w:sz w:val="24"/>
          <w:shd w:val="pct10" w:color="auto" w:fill="FFFFFF"/>
        </w:rPr>
        <w:t>2021年</w:t>
      </w:r>
      <w:r>
        <w:rPr>
          <w:rFonts w:hint="eastAsia" w:ascii="仿宋" w:hAnsi="仿宋" w:eastAsia="仿宋"/>
          <w:color w:val="auto"/>
          <w:sz w:val="24"/>
          <w:shd w:val="pct10" w:color="auto" w:fill="FFFFFF"/>
          <w:lang w:val="en-US" w:eastAsia="zh-CN"/>
        </w:rPr>
        <w:t>10</w:t>
      </w:r>
      <w:r>
        <w:rPr>
          <w:rFonts w:hint="eastAsia" w:ascii="仿宋" w:hAnsi="仿宋" w:eastAsia="仿宋"/>
          <w:color w:val="auto"/>
          <w:sz w:val="24"/>
          <w:shd w:val="pct10" w:color="auto" w:fill="FFFFFF"/>
        </w:rPr>
        <w:t>月</w:t>
      </w:r>
      <w:r>
        <w:rPr>
          <w:rFonts w:hint="eastAsia" w:ascii="仿宋" w:hAnsi="仿宋" w:eastAsia="仿宋"/>
          <w:color w:val="auto"/>
          <w:sz w:val="24"/>
          <w:shd w:val="pct10" w:color="auto" w:fill="FFFFFF"/>
          <w:lang w:val="en-US" w:eastAsia="zh-CN"/>
        </w:rPr>
        <w:t>20</w:t>
      </w:r>
      <w:r>
        <w:rPr>
          <w:rFonts w:hint="eastAsia" w:ascii="仿宋" w:hAnsi="仿宋" w:eastAsia="仿宋"/>
          <w:color w:val="auto"/>
          <w:sz w:val="24"/>
          <w:shd w:val="pct10" w:color="auto" w:fill="FFFFFF"/>
        </w:rPr>
        <w:t>日</w:t>
      </w:r>
      <w:r>
        <w:rPr>
          <w:rFonts w:hint="eastAsia" w:ascii="仿宋" w:hAnsi="仿宋" w:eastAsia="仿宋"/>
          <w:color w:val="auto"/>
          <w:sz w:val="24"/>
          <w:shd w:val="pct10" w:color="auto" w:fill="FFFFFF"/>
          <w:lang w:val="en-US" w:eastAsia="zh-CN"/>
        </w:rPr>
        <w:t>9</w:t>
      </w:r>
      <w:r>
        <w:rPr>
          <w:rFonts w:hint="eastAsia" w:ascii="仿宋" w:hAnsi="仿宋" w:eastAsia="仿宋"/>
          <w:color w:val="auto"/>
          <w:sz w:val="24"/>
          <w:shd w:val="pct10" w:color="auto" w:fill="FFFFFF"/>
        </w:rPr>
        <w:t>:00时</w:t>
      </w:r>
      <w:r>
        <w:rPr>
          <w:rFonts w:hint="eastAsia" w:ascii="仿宋" w:hAnsi="仿宋" w:eastAsia="仿宋"/>
          <w:color w:val="auto"/>
          <w:sz w:val="24"/>
        </w:rPr>
        <w:t>(北京时间）前将加密的电子版投标文件上传到政采云系统中（不准时上传视为不参加）。</w:t>
      </w:r>
    </w:p>
    <w:p>
      <w:pPr>
        <w:spacing w:line="500" w:lineRule="exact"/>
        <w:ind w:firstLine="480" w:firstLineChars="200"/>
        <w:jc w:val="left"/>
        <w:rPr>
          <w:rFonts w:ascii="仿宋" w:hAnsi="仿宋" w:eastAsia="仿宋" w:cs="宋体"/>
          <w:color w:val="auto"/>
          <w:kern w:val="0"/>
          <w:sz w:val="24"/>
        </w:rPr>
      </w:pPr>
      <w:r>
        <w:rPr>
          <w:rFonts w:hint="eastAsia" w:ascii="仿宋" w:hAnsi="仿宋" w:eastAsia="仿宋"/>
          <w:color w:val="auto"/>
          <w:sz w:val="24"/>
        </w:rPr>
        <w:t>（2)</w:t>
      </w:r>
      <w:r>
        <w:rPr>
          <w:rFonts w:hint="eastAsia" w:ascii="仿宋" w:hAnsi="仿宋" w:eastAsia="仿宋" w:cs="宋体"/>
          <w:color w:val="auto"/>
          <w:kern w:val="0"/>
          <w:sz w:val="24"/>
        </w:rPr>
        <w:t xml:space="preserve"> 数据电子备份投标文件（U盘）：以U盘形式提供的数据电子备份投标文件格式及内容须与政采云平台项目采购-电子交易操作指南中制作、加密并递交的电子投标文件格式及内容一致。</w:t>
      </w:r>
      <w:r>
        <w:rPr>
          <w:rFonts w:hint="eastAsia" w:ascii="仿宋" w:hAnsi="仿宋" w:eastAsia="仿宋" w:cs="宋体"/>
          <w:b/>
          <w:bCs/>
          <w:color w:val="auto"/>
          <w:kern w:val="0"/>
          <w:sz w:val="24"/>
        </w:rPr>
        <w:t>递交方式：</w:t>
      </w:r>
      <w:r>
        <w:rPr>
          <w:rFonts w:hint="eastAsia" w:ascii="仿宋" w:hAnsi="仿宋" w:eastAsia="仿宋" w:cs="宋体"/>
          <w:color w:val="auto"/>
          <w:kern w:val="0"/>
          <w:sz w:val="24"/>
        </w:rPr>
        <w:t>因疫情原因，数据电子备份投标文件（U盘）应通过邮寄快递方式送达（原则上邮寄公司统一采用EMS），邮寄地址为：湖州市仁皇工程咨询有限公司[</w:t>
      </w:r>
      <w:r>
        <w:rPr>
          <w:rFonts w:hint="eastAsia" w:ascii="仿宋" w:hAnsi="仿宋" w:eastAsia="仿宋" w:cs="宋体"/>
          <w:color w:val="auto"/>
          <w:sz w:val="24"/>
        </w:rPr>
        <w:t>湖州市太湖路1155号7层703室</w:t>
      </w:r>
      <w:r>
        <w:rPr>
          <w:rFonts w:hint="eastAsia" w:ascii="仿宋" w:hAnsi="仿宋" w:eastAsia="仿宋" w:cs="宋体"/>
          <w:color w:val="auto"/>
          <w:kern w:val="0"/>
          <w:sz w:val="24"/>
        </w:rPr>
        <w:t>]，联系电话：0572-2615598。邮寄截止时间：投标人应于2021年</w:t>
      </w:r>
      <w:r>
        <w:rPr>
          <w:rFonts w:hint="eastAsia" w:ascii="仿宋" w:hAnsi="仿宋" w:eastAsia="仿宋" w:cs="宋体"/>
          <w:color w:val="auto"/>
          <w:kern w:val="0"/>
          <w:sz w:val="24"/>
          <w:lang w:val="en-US" w:eastAsia="zh-CN"/>
        </w:rPr>
        <w:t>10</w:t>
      </w:r>
      <w:r>
        <w:rPr>
          <w:rFonts w:hint="eastAsia" w:ascii="仿宋" w:hAnsi="仿宋" w:eastAsia="仿宋" w:cs="宋体"/>
          <w:color w:val="auto"/>
          <w:kern w:val="0"/>
          <w:sz w:val="24"/>
        </w:rPr>
        <w:t>月</w:t>
      </w:r>
      <w:r>
        <w:rPr>
          <w:rFonts w:hint="eastAsia" w:ascii="仿宋" w:hAnsi="仿宋" w:eastAsia="仿宋" w:cs="宋体"/>
          <w:color w:val="auto"/>
          <w:kern w:val="0"/>
          <w:sz w:val="24"/>
          <w:lang w:val="en-US" w:eastAsia="zh-CN"/>
        </w:rPr>
        <w:t>19</w:t>
      </w:r>
      <w:r>
        <w:rPr>
          <w:rFonts w:hint="eastAsia" w:ascii="仿宋" w:hAnsi="仿宋" w:eastAsia="仿宋" w:cs="宋体"/>
          <w:color w:val="auto"/>
          <w:kern w:val="0"/>
          <w:sz w:val="24"/>
        </w:rPr>
        <w:t>日下午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w:t>
      </w:r>
    </w:p>
    <w:p>
      <w:pPr>
        <w:widowControl/>
        <w:spacing w:line="500" w:lineRule="exact"/>
        <w:ind w:left="44" w:leftChars="21" w:right="60" w:firstLine="480" w:firstLineChars="200"/>
        <w:jc w:val="left"/>
        <w:rPr>
          <w:rFonts w:ascii="仿宋" w:hAnsi="仿宋" w:eastAsia="仿宋" w:cs="仿宋"/>
          <w:b w:val="0"/>
          <w:bCs/>
          <w:color w:val="auto"/>
          <w:kern w:val="0"/>
          <w:sz w:val="24"/>
        </w:rPr>
      </w:pPr>
      <w:r>
        <w:rPr>
          <w:rFonts w:hint="eastAsia" w:ascii="仿宋" w:hAnsi="仿宋" w:eastAsia="仿宋" w:cs="仿宋"/>
          <w:b w:val="0"/>
          <w:bCs/>
          <w:color w:val="auto"/>
          <w:kern w:val="0"/>
          <w:sz w:val="24"/>
        </w:rPr>
        <w:t>注：（1）投标人应权衡利弊考虑是否提供数据电子备份投标文件（U盘），采购人及采购代理机构不做强制性要求，若因下一条款（第3条）原因须启用数据电子备份投标文件（U盘）时，而投标人未提供的，视为放弃投标资格，作未递交投标文件处理；（2）投标人应对提供的数据电子备份投标文件（U盘）进行加密处理，若需要启用数据电子备份投标文件（U盘）时，由采购人或采购代理机构启封并进行解密；（3）若投标人未提供数据电子备份投标文件（U盘），招标公告及招标文件中关于数据电子备份投标文件（U盘）的要求及内容不再适用。</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3、CA锁解密时间为开标当日投标截止时间后</w:t>
      </w:r>
      <w:r>
        <w:rPr>
          <w:rFonts w:hint="eastAsia" w:ascii="仿宋" w:hAnsi="仿宋" w:eastAsia="仿宋"/>
          <w:color w:val="auto"/>
          <w:sz w:val="24"/>
          <w:shd w:val="pct10" w:color="auto" w:fill="FFFFFF"/>
        </w:rPr>
        <w:t>30分钟内</w:t>
      </w:r>
      <w:r>
        <w:rPr>
          <w:rFonts w:hint="eastAsia" w:ascii="仿宋" w:hAnsi="仿宋" w:eastAsia="仿宋"/>
          <w:color w:val="auto"/>
          <w:sz w:val="24"/>
        </w:rPr>
        <w:t>。投标截止时间止未完成上传的电子投标文件作未递交投标文件处理；未按招标文件要求密封、包装的数据电子备份投标文件（U 盘）将拒绝接收。整个开标过程中若因投标人问题造成电子投标文件无法正常解密的，均认定为未提交电子投标文件，作未递交投标文件处理。若因网络或者其他非投标人问题造成电子投标文件无法正常解密的，启用数据电子备份投标文件（U 盘），因投标人自身原因造成数据电子备份投标文件（U 盘）无法打开的，作未递交投标文件处理。若正常解密成功，则数据电子备份投标文件（U 盘）不予开启。</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4、投标人须在线获取CA数字证书（完成CA数字证书办理预计一周左右，建议各投标人自行把握时间）,办理流程详见</w:t>
      </w:r>
    </w:p>
    <w:p>
      <w:pPr>
        <w:spacing w:line="500" w:lineRule="exact"/>
        <w:rPr>
          <w:rFonts w:ascii="仿宋" w:hAnsi="仿宋" w:eastAsia="仿宋"/>
          <w:color w:val="auto"/>
          <w:sz w:val="24"/>
        </w:rPr>
      </w:pPr>
      <w:r>
        <w:rPr>
          <w:rFonts w:hint="eastAsia" w:ascii="仿宋" w:hAnsi="仿宋" w:eastAsia="仿宋"/>
          <w:color w:val="auto"/>
          <w:sz w:val="24"/>
        </w:rPr>
        <w:t>https://service.zcygov.cn/#/knowledges/Pmw7VHIByNnJ3A2CbAN_/PXKYt3MByNnJ3A</w:t>
      </w:r>
    </w:p>
    <w:p>
      <w:pPr>
        <w:spacing w:line="500" w:lineRule="exact"/>
        <w:rPr>
          <w:rFonts w:ascii="仿宋" w:hAnsi="仿宋" w:eastAsia="仿宋"/>
          <w:color w:val="auto"/>
          <w:sz w:val="24"/>
        </w:rPr>
      </w:pPr>
      <w:r>
        <w:rPr>
          <w:rFonts w:hint="eastAsia" w:ascii="仿宋" w:hAnsi="仿宋" w:eastAsia="仿宋"/>
          <w:color w:val="auto"/>
          <w:sz w:val="24"/>
        </w:rPr>
        <w:t>2CyAMX?keyword=CA），并登陆“浙江政府采购网”（</w:t>
      </w:r>
      <w:r>
        <w:rPr>
          <w:rFonts w:ascii="仿宋" w:hAnsi="仿宋" w:eastAsia="仿宋"/>
          <w:color w:val="auto"/>
          <w:sz w:val="24"/>
        </w:rPr>
        <w:t>http://zfcg.czt.zj.gov.cn/</w:t>
      </w:r>
      <w:r>
        <w:rPr>
          <w:rFonts w:hint="eastAsia" w:ascii="仿宋" w:hAnsi="仿宋" w:eastAsia="仿宋"/>
          <w:color w:val="auto"/>
          <w:sz w:val="24"/>
        </w:rPr>
        <w:t>),进入“下载专区”下载“电子交易客户端”，制作投标文件。</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5、投标人将加密的电子版投标文件于投标截止时间前上传到政采云系统中。</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6、具体的投标文件加密上传等操作详见政采云平台操作指南。 </w:t>
      </w:r>
      <w:r>
        <w:rPr>
          <w:rFonts w:hint="eastAsia" w:ascii="仿宋" w:hAnsi="仿宋" w:eastAsia="仿宋"/>
          <w:color w:val="auto"/>
          <w:sz w:val="24"/>
          <w:lang w:val="en-US" w:eastAsia="zh-CN"/>
        </w:rPr>
        <w:t>(</w:t>
      </w:r>
      <w:r>
        <w:rPr>
          <w:rFonts w:hint="eastAsia" w:ascii="仿宋" w:hAnsi="仿宋" w:eastAsia="仿宋"/>
          <w:color w:val="auto"/>
          <w:sz w:val="24"/>
        </w:rPr>
        <w:t>https://service.zcygov.cn）。</w:t>
      </w:r>
    </w:p>
    <w:p>
      <w:pPr>
        <w:spacing w:line="500" w:lineRule="exact"/>
        <w:ind w:firstLine="482" w:firstLineChars="200"/>
        <w:rPr>
          <w:rFonts w:ascii="仿宋" w:hAnsi="仿宋" w:eastAsia="仿宋"/>
          <w:b/>
          <w:color w:val="auto"/>
          <w:sz w:val="24"/>
        </w:rPr>
      </w:pPr>
      <w:r>
        <w:rPr>
          <w:rFonts w:hint="eastAsia" w:ascii="仿宋" w:hAnsi="仿宋" w:eastAsia="仿宋"/>
          <w:b/>
          <w:color w:val="auto"/>
          <w:sz w:val="24"/>
        </w:rPr>
        <w:t xml:space="preserve">八、投标地址：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1、本项目通过“政府采购云平台（www.zcygov.cn）”实行在线投标响应（电子投 </w:t>
      </w:r>
    </w:p>
    <w:p>
      <w:pPr>
        <w:spacing w:line="500" w:lineRule="exact"/>
        <w:rPr>
          <w:rFonts w:ascii="仿宋" w:hAnsi="仿宋" w:eastAsia="仿宋"/>
          <w:color w:val="auto"/>
          <w:sz w:val="24"/>
        </w:rPr>
      </w:pPr>
      <w:r>
        <w:rPr>
          <w:rFonts w:hint="eastAsia" w:ascii="仿宋" w:hAnsi="仿宋" w:eastAsia="仿宋"/>
          <w:color w:val="auto"/>
          <w:sz w:val="24"/>
        </w:rPr>
        <w:t xml:space="preserve">标）。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2、投标人应当在投标截止时间前，将生成的文件格式“.jmbs”的“电子加密投标 </w:t>
      </w:r>
    </w:p>
    <w:p>
      <w:pPr>
        <w:spacing w:line="500" w:lineRule="exact"/>
        <w:rPr>
          <w:rFonts w:ascii="仿宋" w:hAnsi="仿宋" w:eastAsia="仿宋"/>
          <w:color w:val="auto"/>
          <w:sz w:val="24"/>
        </w:rPr>
      </w:pPr>
      <w:r>
        <w:rPr>
          <w:rFonts w:hint="eastAsia" w:ascii="仿宋" w:hAnsi="仿宋" w:eastAsia="仿宋"/>
          <w:color w:val="auto"/>
          <w:sz w:val="24"/>
        </w:rPr>
        <w:t xml:space="preserve">文件”上传递交至“政府采购云平台”实行在线投标响应。投标截止时间以后上传递交 </w:t>
      </w:r>
    </w:p>
    <w:p>
      <w:pPr>
        <w:spacing w:line="500" w:lineRule="exact"/>
        <w:rPr>
          <w:rFonts w:ascii="仿宋" w:hAnsi="仿宋" w:eastAsia="仿宋"/>
          <w:color w:val="auto"/>
          <w:sz w:val="24"/>
        </w:rPr>
      </w:pPr>
      <w:r>
        <w:rPr>
          <w:rFonts w:hint="eastAsia" w:ascii="仿宋" w:hAnsi="仿宋" w:eastAsia="仿宋"/>
          <w:color w:val="auto"/>
          <w:sz w:val="24"/>
        </w:rPr>
        <w:t xml:space="preserve">的投标文件将被“政府采购云平台”拒收，作未递交投标文件处理。 </w:t>
      </w:r>
    </w:p>
    <w:p>
      <w:pPr>
        <w:spacing w:line="500" w:lineRule="exact"/>
        <w:ind w:firstLine="482" w:firstLineChars="200"/>
        <w:rPr>
          <w:rFonts w:ascii="仿宋" w:hAnsi="仿宋" w:eastAsia="仿宋"/>
          <w:b/>
          <w:color w:val="auto"/>
          <w:sz w:val="24"/>
        </w:rPr>
      </w:pPr>
      <w:r>
        <w:rPr>
          <w:rFonts w:hint="eastAsia" w:ascii="仿宋" w:hAnsi="仿宋" w:eastAsia="仿宋"/>
          <w:b/>
          <w:color w:val="auto"/>
          <w:sz w:val="24"/>
        </w:rPr>
        <w:t>九、开标时间：2021年</w:t>
      </w:r>
      <w:r>
        <w:rPr>
          <w:rFonts w:hint="eastAsia" w:ascii="仿宋" w:hAnsi="仿宋" w:eastAsia="仿宋"/>
          <w:b/>
          <w:color w:val="auto"/>
          <w:sz w:val="24"/>
          <w:lang w:val="en-US" w:eastAsia="zh-CN"/>
        </w:rPr>
        <w:t>10</w:t>
      </w:r>
      <w:r>
        <w:rPr>
          <w:rFonts w:hint="eastAsia" w:ascii="仿宋" w:hAnsi="仿宋" w:eastAsia="仿宋"/>
          <w:b/>
          <w:color w:val="auto"/>
          <w:sz w:val="24"/>
        </w:rPr>
        <w:t>月</w:t>
      </w:r>
      <w:r>
        <w:rPr>
          <w:rFonts w:hint="eastAsia" w:ascii="仿宋" w:hAnsi="仿宋" w:eastAsia="仿宋"/>
          <w:b/>
          <w:color w:val="auto"/>
          <w:sz w:val="24"/>
          <w:lang w:val="en-US" w:eastAsia="zh-CN"/>
        </w:rPr>
        <w:t>20</w:t>
      </w:r>
      <w:r>
        <w:rPr>
          <w:rFonts w:hint="eastAsia" w:ascii="仿宋" w:hAnsi="仿宋" w:eastAsia="仿宋"/>
          <w:b/>
          <w:color w:val="auto"/>
          <w:sz w:val="24"/>
        </w:rPr>
        <w:t>日</w:t>
      </w:r>
      <w:r>
        <w:rPr>
          <w:rFonts w:hint="eastAsia" w:ascii="仿宋" w:hAnsi="仿宋" w:eastAsia="仿宋"/>
          <w:b/>
          <w:color w:val="auto"/>
          <w:sz w:val="24"/>
          <w:lang w:val="en-US" w:eastAsia="zh-CN"/>
        </w:rPr>
        <w:t>9:00</w:t>
      </w:r>
      <w:r>
        <w:rPr>
          <w:rFonts w:hint="eastAsia" w:ascii="仿宋" w:hAnsi="仿宋" w:eastAsia="仿宋"/>
          <w:b/>
          <w:color w:val="auto"/>
          <w:sz w:val="24"/>
        </w:rPr>
        <w:t xml:space="preserve">时整 </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十、开标地址：</w:t>
      </w:r>
      <w:r>
        <w:rPr>
          <w:rFonts w:hint="eastAsia" w:ascii="仿宋" w:hAnsi="仿宋" w:eastAsia="仿宋"/>
          <w:color w:val="auto"/>
          <w:sz w:val="24"/>
        </w:rPr>
        <w:t xml:space="preserve">湖州市公共资源交易中心2号楼二楼开标室（湖州市仁皇山片区金盖山路66号，届时详见二楼休息区电子显示屏），投标人应在投标截止时间前登入“政府采购云平台（www.zcygov.cn）”在线参与开标，并完成 CA 锁在线解密投标文件等相关工作。 </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十一、其他事项：</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1、本项目为电子招投标项目，实行网上招投标，应按照本招标文件及政采云平台的要求编制、加密并要求投标人通过政采云系统在线投标响应，投标截止时间前须完成电子投标文件的上传，同时投标人须使用在线投标响应文件时所用的 CA 锁，投标人在使用系统进行投标的过程中遇到涉及平台使用的任何问题，可致电政采云平台技术支持热线咨询，联系方式：400-881-7190。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2、本项目公告期限为自本公告发布之日起5个工作日。投标人如认为采购文件使自己的权益受到损害的，可以自获取采购文件之日或者采购文件公告期限届满之日（公告期限届满后获取采购文件的，以公告期限届满之日为准）起7个工作日内，以书面形式向采购人、采购代理机构提出质疑，根据《中华人民共和国财政部令第 94 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3、潜在投标人已依法获取</w:t>
      </w:r>
      <w:r>
        <w:rPr>
          <w:rFonts w:hint="eastAsia" w:ascii="仿宋" w:hAnsi="仿宋" w:eastAsia="仿宋"/>
          <w:b/>
          <w:bCs/>
          <w:color w:val="auto"/>
          <w:sz w:val="24"/>
        </w:rPr>
        <w:t>（依法获取指：投标人按本项目招标公告要求在政采云系统上获取并报名成功）</w:t>
      </w:r>
      <w:r>
        <w:rPr>
          <w:rFonts w:hint="eastAsia" w:ascii="仿宋" w:hAnsi="仿宋" w:eastAsia="仿宋"/>
          <w:color w:val="auto"/>
          <w:sz w:val="24"/>
        </w:rPr>
        <w:t xml:space="preserve">其可质疑的招标文件，可以对该文件提出质疑。未按照规定方式依法获取招标文件的，不得对招标文件提起质疑投诉。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4、答疑内容是招标文件的组成部分，并将在网上发布补充（答疑、澄清）文件，潜在投标人应自行关注网站公告，采购人不再一一通知，投标人因自身贻误行为导致投标失效的，责任自负。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5、参与政府采购项目的注册投标人，需登录浙江政府采购云平台 （http://www.zcygov.cn）进行网上报名，尚未注册的投标人应当先在浙江政府采购云平台上申请注册，注册终审通过后再进行网上报名。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 </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7、本项目是否专门面向中小企业采购：是。 </w:t>
      </w:r>
    </w:p>
    <w:p>
      <w:pPr>
        <w:spacing w:line="500" w:lineRule="exact"/>
        <w:ind w:firstLine="480" w:firstLineChars="200"/>
        <w:jc w:val="left"/>
        <w:rPr>
          <w:rFonts w:ascii="仿宋" w:hAnsi="仿宋" w:eastAsia="仿宋"/>
          <w:color w:val="auto"/>
          <w:sz w:val="24"/>
        </w:rPr>
      </w:pPr>
      <w:r>
        <w:rPr>
          <w:rFonts w:hint="eastAsia" w:ascii="仿宋" w:hAnsi="仿宋" w:eastAsia="仿宋"/>
          <w:color w:val="auto"/>
          <w:sz w:val="24"/>
        </w:rPr>
        <w:t xml:space="preserve">8、本项目公告发布网站：浙江政府采购网：http://zfcg.czt.zj.gov.cn/ 、湖州市公共资源交易信息网：http://ggzy.huzhou.gov.cn/hzfront/ </w:t>
      </w:r>
    </w:p>
    <w:p>
      <w:pPr>
        <w:spacing w:line="500" w:lineRule="exact"/>
        <w:ind w:firstLine="482" w:firstLineChars="200"/>
        <w:rPr>
          <w:rFonts w:ascii="仿宋" w:hAnsi="仿宋" w:eastAsia="仿宋"/>
          <w:b/>
          <w:bCs/>
          <w:color w:val="auto"/>
          <w:sz w:val="24"/>
        </w:rPr>
      </w:pPr>
      <w:r>
        <w:rPr>
          <w:rFonts w:hint="eastAsia" w:ascii="仿宋" w:hAnsi="仿宋" w:eastAsia="仿宋"/>
          <w:b/>
          <w:bCs/>
          <w:color w:val="auto"/>
          <w:sz w:val="24"/>
        </w:rPr>
        <w:t xml:space="preserve">十二 、告知事项：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1、为贯彻落实新型冠状病毒感染的肺炎疫情防控工作要求，按照《财政部办公厅 </w:t>
      </w:r>
    </w:p>
    <w:p>
      <w:pPr>
        <w:spacing w:line="500" w:lineRule="exact"/>
        <w:rPr>
          <w:rFonts w:ascii="仿宋" w:hAnsi="仿宋" w:eastAsia="仿宋"/>
          <w:color w:val="auto"/>
          <w:sz w:val="24"/>
        </w:rPr>
      </w:pPr>
      <w:r>
        <w:rPr>
          <w:rFonts w:hint="eastAsia" w:ascii="仿宋" w:hAnsi="仿宋" w:eastAsia="仿宋"/>
          <w:color w:val="auto"/>
          <w:sz w:val="24"/>
        </w:rPr>
        <w:t xml:space="preserve">关于疫情防控采购便利化的通知》（财办库〔2020〕23 号）、《浙江省财政厅关于做好新型冠状病毒感染的肺炎疫情防控期间政府采购管理工作的通知》（浙财采监[2020]1号）、《浙江省政府采购中心关于新型冠状病毒感染的肺炎疫情防控期间开评标管理暂行办法》，按照“不见面、少接触”的原则，评审中需要投标人对投标文件作出澄清、说明或者补正的，评审小组可要求投标人在合理期限内（不少于半小时）通过电子邮件、传真等书面形式作出。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2、现场防疫方案：做好现场防疫措施，加强采购活动场所防护：一是建立登记问询制度。采购人会同交易中心按照疫情防控一级响应的有关要求，做好开评标活动现场人员信息登记、体温检测、口罩佩戴手部卫生消毒等各项工作，并询问近 14 天内的旅行史特别是较重疫区的旅行史，了解近一周的个人身体情况和发热病人接触史。 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3、参加人员，请自觉做好个人防护工作，必须全程佩戴口罩（自备），听从交易中心工作人员引导，必须提供“一证一码”，即：身份证、“湖州健康码”（个人支付宝或浙里办 APP 中申领），主动配合做好体温测量等各项疫情防控措施。</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 xml:space="preserve">4、“湖州健康码”显示为绿色可进入交易中心，“湖州健康码”显示为黄色、红色或者现场测量体温高于 37.2℃且不符合防控管理要求的人员，一律谢绝进入交易中心参加开标活动。 </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5、所有进入湖州市公共资源交易中心的相关人员应自觉遵守国家以及省、市、区 有关疫情防控的其他规定。</w:t>
      </w:r>
    </w:p>
    <w:p>
      <w:pPr>
        <w:spacing w:line="500" w:lineRule="exact"/>
        <w:ind w:firstLine="482" w:firstLineChars="200"/>
        <w:rPr>
          <w:rFonts w:ascii="仿宋" w:hAnsi="仿宋" w:eastAsia="仿宋"/>
          <w:b/>
          <w:color w:val="auto"/>
          <w:sz w:val="24"/>
        </w:rPr>
      </w:pPr>
      <w:r>
        <w:rPr>
          <w:rFonts w:hint="eastAsia" w:ascii="仿宋" w:hAnsi="仿宋" w:eastAsia="仿宋"/>
          <w:b/>
          <w:color w:val="auto"/>
          <w:sz w:val="24"/>
        </w:rPr>
        <w:t>十三、联系方式：</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1、采购代理机构名称：湖州市仁皇工程咨询有限公司</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联系人：郭婷           联系电话：0572-2615598</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质疑函接收人：</w:t>
      </w:r>
      <w:r>
        <w:rPr>
          <w:rFonts w:hint="eastAsia" w:ascii="仿宋" w:hAnsi="仿宋" w:eastAsia="仿宋"/>
          <w:color w:val="auto"/>
          <w:sz w:val="24"/>
          <w:lang w:eastAsia="zh-CN"/>
        </w:rPr>
        <w:t>翁淑芸</w:t>
      </w:r>
      <w:r>
        <w:rPr>
          <w:rFonts w:hint="eastAsia" w:ascii="仿宋" w:hAnsi="仿宋" w:eastAsia="仿宋"/>
          <w:color w:val="auto"/>
          <w:sz w:val="24"/>
        </w:rPr>
        <w:t xml:space="preserve">       联系电话：0572-2619002</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地址：湖州市太湖路1155号中新商务大厦7层703</w:t>
      </w:r>
    </w:p>
    <w:p>
      <w:pPr>
        <w:snapToGrid w:val="0"/>
        <w:spacing w:line="500" w:lineRule="exact"/>
        <w:ind w:firstLine="480" w:firstLineChars="200"/>
        <w:rPr>
          <w:rFonts w:ascii="仿宋" w:hAnsi="仿宋" w:eastAsia="仿宋" w:cs="Arial"/>
          <w:color w:val="auto"/>
          <w:sz w:val="24"/>
        </w:rPr>
      </w:pPr>
      <w:r>
        <w:rPr>
          <w:rFonts w:hint="eastAsia" w:ascii="仿宋" w:hAnsi="仿宋" w:eastAsia="仿宋" w:cs="Arial"/>
          <w:color w:val="auto"/>
          <w:sz w:val="24"/>
        </w:rPr>
        <w:t xml:space="preserve">2、采购人名称：湖州市直属水利工程运行管理所  </w:t>
      </w:r>
    </w:p>
    <w:p>
      <w:pPr>
        <w:snapToGrid w:val="0"/>
        <w:spacing w:line="500" w:lineRule="exact"/>
        <w:ind w:firstLine="480" w:firstLineChars="200"/>
        <w:rPr>
          <w:rFonts w:ascii="仿宋" w:hAnsi="仿宋" w:eastAsia="仿宋" w:cs="Arial"/>
          <w:color w:val="auto"/>
          <w:sz w:val="24"/>
          <w:highlight w:val="none"/>
        </w:rPr>
      </w:pPr>
      <w:r>
        <w:rPr>
          <w:rFonts w:hint="eastAsia" w:ascii="仿宋" w:hAnsi="仿宋" w:eastAsia="仿宋" w:cs="Arial"/>
          <w:color w:val="auto"/>
          <w:sz w:val="24"/>
          <w:highlight w:val="none"/>
        </w:rPr>
        <w:t>联系人：钱工      联系电话：0572-2703975</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3、政府采购行政监管及投诉受理部门：湖州市财政局政府采购监管处</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联系人：何先生         联系电话：0572-2150037</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地址：湖州市龙王山路518号</w:t>
      </w:r>
    </w:p>
    <w:p>
      <w:pPr>
        <w:snapToGrid w:val="0"/>
        <w:spacing w:line="500" w:lineRule="exact"/>
        <w:ind w:left="359" w:leftChars="171" w:firstLine="480" w:firstLineChars="200"/>
        <w:rPr>
          <w:rFonts w:ascii="仿宋" w:hAnsi="仿宋" w:eastAsia="仿宋" w:cs="Arial"/>
          <w:color w:val="auto"/>
          <w:sz w:val="24"/>
        </w:rPr>
      </w:pPr>
    </w:p>
    <w:p>
      <w:pPr>
        <w:snapToGrid w:val="0"/>
        <w:spacing w:line="500" w:lineRule="exact"/>
        <w:ind w:firstLine="780" w:firstLineChars="325"/>
        <w:rPr>
          <w:rFonts w:ascii="仿宋" w:hAnsi="仿宋" w:eastAsia="仿宋" w:cs="Arial"/>
          <w:color w:val="auto"/>
          <w:sz w:val="24"/>
        </w:rPr>
      </w:pPr>
    </w:p>
    <w:p>
      <w:pPr>
        <w:snapToGrid w:val="0"/>
        <w:spacing w:line="500" w:lineRule="exact"/>
        <w:ind w:firstLine="780" w:firstLineChars="325"/>
        <w:jc w:val="right"/>
        <w:rPr>
          <w:rFonts w:ascii="仿宋" w:hAnsi="仿宋" w:eastAsia="仿宋" w:cs="Arial"/>
          <w:color w:val="auto"/>
          <w:sz w:val="24"/>
        </w:rPr>
      </w:pPr>
    </w:p>
    <w:p>
      <w:pPr>
        <w:snapToGrid w:val="0"/>
        <w:spacing w:line="500" w:lineRule="exact"/>
        <w:ind w:left="238" w:right="480"/>
        <w:jc w:val="right"/>
        <w:rPr>
          <w:rFonts w:ascii="仿宋" w:hAnsi="仿宋" w:eastAsia="仿宋"/>
          <w:bCs/>
          <w:color w:val="auto"/>
          <w:sz w:val="24"/>
        </w:rPr>
      </w:pPr>
      <w:r>
        <w:rPr>
          <w:rFonts w:hint="eastAsia" w:ascii="仿宋" w:hAnsi="仿宋" w:eastAsia="仿宋"/>
          <w:bCs/>
          <w:color w:val="auto"/>
          <w:sz w:val="24"/>
        </w:rPr>
        <w:t>湖州市直属水利工程运行管理所</w:t>
      </w:r>
    </w:p>
    <w:p>
      <w:pPr>
        <w:snapToGrid w:val="0"/>
        <w:spacing w:line="500" w:lineRule="exact"/>
        <w:ind w:left="238" w:right="480"/>
        <w:jc w:val="right"/>
        <w:rPr>
          <w:rFonts w:ascii="仿宋" w:hAnsi="仿宋" w:eastAsia="仿宋"/>
          <w:bCs/>
          <w:color w:val="auto"/>
          <w:sz w:val="24"/>
        </w:rPr>
      </w:pPr>
      <w:r>
        <w:rPr>
          <w:rFonts w:hint="eastAsia" w:ascii="仿宋" w:hAnsi="仿宋" w:eastAsia="仿宋"/>
          <w:bCs/>
          <w:color w:val="auto"/>
          <w:sz w:val="24"/>
        </w:rPr>
        <w:t>湖州市仁皇工程咨询有限公司</w:t>
      </w:r>
    </w:p>
    <w:p>
      <w:pPr>
        <w:wordWrap w:val="0"/>
        <w:snapToGrid w:val="0"/>
        <w:spacing w:line="500" w:lineRule="exact"/>
        <w:ind w:left="238" w:right="480"/>
        <w:jc w:val="right"/>
        <w:rPr>
          <w:rFonts w:ascii="仿宋" w:hAnsi="仿宋" w:eastAsia="仿宋"/>
          <w:bCs/>
          <w:color w:val="auto"/>
          <w:sz w:val="30"/>
          <w:szCs w:val="30"/>
        </w:rPr>
        <w:sectPr>
          <w:footerReference r:id="rId7" w:type="default"/>
          <w:pgSz w:w="11906" w:h="16838"/>
          <w:pgMar w:top="1134" w:right="1247" w:bottom="1134" w:left="1247" w:header="851" w:footer="851" w:gutter="0"/>
          <w:pgNumType w:fmt="numberInDash" w:start="1"/>
          <w:cols w:space="720" w:num="1"/>
          <w:docGrid w:linePitch="312" w:charSpace="0"/>
        </w:sectPr>
      </w:pPr>
      <w:r>
        <w:rPr>
          <w:rFonts w:hint="eastAsia" w:ascii="仿宋" w:hAnsi="仿宋" w:eastAsia="仿宋"/>
          <w:bCs/>
          <w:color w:val="auto"/>
          <w:sz w:val="24"/>
        </w:rPr>
        <w:t>2021年</w:t>
      </w:r>
      <w:r>
        <w:rPr>
          <w:rFonts w:hint="eastAsia" w:ascii="仿宋" w:hAnsi="仿宋" w:eastAsia="仿宋"/>
          <w:bCs/>
          <w:color w:val="auto"/>
          <w:sz w:val="24"/>
          <w:lang w:val="en-US" w:eastAsia="zh-CN"/>
        </w:rPr>
        <w:t>9</w:t>
      </w:r>
      <w:r>
        <w:rPr>
          <w:rFonts w:hint="eastAsia" w:ascii="仿宋" w:hAnsi="仿宋" w:eastAsia="仿宋"/>
          <w:bCs/>
          <w:color w:val="auto"/>
          <w:sz w:val="24"/>
        </w:rPr>
        <w:t>月</w:t>
      </w:r>
      <w:r>
        <w:rPr>
          <w:rFonts w:hint="eastAsia" w:ascii="仿宋" w:hAnsi="仿宋" w:eastAsia="仿宋"/>
          <w:bCs/>
          <w:color w:val="auto"/>
          <w:sz w:val="24"/>
          <w:lang w:val="en-US" w:eastAsia="zh-CN"/>
        </w:rPr>
        <w:t>29</w:t>
      </w:r>
      <w:r>
        <w:rPr>
          <w:rFonts w:hint="eastAsia" w:ascii="仿宋" w:hAnsi="仿宋" w:eastAsia="仿宋"/>
          <w:bCs/>
          <w:color w:val="auto"/>
          <w:sz w:val="24"/>
        </w:rPr>
        <w:t>日</w:t>
      </w:r>
    </w:p>
    <w:p>
      <w:pPr>
        <w:pStyle w:val="4"/>
        <w:spacing w:line="560" w:lineRule="exact"/>
        <w:jc w:val="center"/>
        <w:rPr>
          <w:rFonts w:hint="eastAsia" w:ascii="仿宋" w:hAnsi="仿宋" w:eastAsia="仿宋" w:cs="Times New Roman"/>
          <w:color w:val="auto"/>
          <w:sz w:val="32"/>
        </w:rPr>
      </w:pPr>
      <w:r>
        <w:rPr>
          <w:rFonts w:hint="eastAsia" w:ascii="仿宋" w:hAnsi="仿宋" w:eastAsia="仿宋" w:cs="Times New Roman"/>
          <w:color w:val="auto"/>
          <w:sz w:val="32"/>
        </w:rPr>
        <w:t>第二章    招标</w:t>
      </w:r>
      <w:bookmarkEnd w:id="3"/>
      <w:bookmarkEnd w:id="4"/>
      <w:bookmarkEnd w:id="5"/>
      <w:r>
        <w:rPr>
          <w:rFonts w:hint="eastAsia" w:ascii="仿宋" w:hAnsi="仿宋" w:eastAsia="仿宋" w:cs="Times New Roman"/>
          <w:color w:val="auto"/>
          <w:sz w:val="32"/>
        </w:rPr>
        <w:t>需求</w:t>
      </w:r>
    </w:p>
    <w:p>
      <w:pPr>
        <w:spacing w:line="500" w:lineRule="exact"/>
        <w:ind w:firstLine="480" w:firstLineChars="200"/>
        <w:rPr>
          <w:rFonts w:ascii="仿宋" w:hAnsi="仿宋" w:eastAsia="仿宋"/>
          <w:color w:val="auto"/>
          <w:sz w:val="24"/>
        </w:rPr>
      </w:pPr>
      <w:bookmarkStart w:id="6" w:name="_Toc9632"/>
      <w:r>
        <w:rPr>
          <w:rFonts w:hint="eastAsia" w:ascii="仿宋" w:hAnsi="仿宋" w:eastAsia="仿宋"/>
          <w:color w:val="auto"/>
          <w:sz w:val="24"/>
        </w:rPr>
        <w:t>一、项目名称：2021-2023年度</w:t>
      </w:r>
      <w:r>
        <w:rPr>
          <w:rFonts w:hint="eastAsia" w:ascii="仿宋" w:hAnsi="仿宋" w:eastAsia="仿宋"/>
          <w:color w:val="auto"/>
          <w:sz w:val="24"/>
          <w:lang w:eastAsia="zh-CN"/>
        </w:rPr>
        <w:t>水闸泵站</w:t>
      </w:r>
      <w:r>
        <w:rPr>
          <w:rFonts w:hint="eastAsia" w:ascii="仿宋" w:hAnsi="仿宋" w:eastAsia="仿宋" w:cs="仿宋"/>
          <w:bCs/>
          <w:color w:val="auto"/>
          <w:sz w:val="24"/>
        </w:rPr>
        <w:t>运行</w:t>
      </w:r>
      <w:r>
        <w:rPr>
          <w:rFonts w:hint="eastAsia" w:ascii="仿宋" w:hAnsi="仿宋" w:eastAsia="仿宋"/>
          <w:color w:val="auto"/>
          <w:sz w:val="24"/>
        </w:rPr>
        <w:t>维修养护项目</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二、招标范围：</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环湖大堤18座水闸：</w:t>
      </w:r>
      <w:r>
        <w:rPr>
          <w:rFonts w:hint="eastAsia" w:ascii="仿宋" w:hAnsi="仿宋" w:eastAsia="仿宋"/>
          <w:color w:val="auto"/>
          <w:sz w:val="24"/>
        </w:rPr>
        <w:t>胡溇、乔溇、宋溇、新浦、钱溇、蒋溇、义皋、谢溇、杨溇、许溇、大溇、渚溇、泥桥港、杨渎桥、罗溇、幻溇、濮溇、汤溇</w:t>
      </w:r>
    </w:p>
    <w:p>
      <w:pPr>
        <w:spacing w:line="500" w:lineRule="exact"/>
        <w:ind w:firstLine="482" w:firstLineChars="200"/>
        <w:rPr>
          <w:rFonts w:hint="eastAsia" w:ascii="仿宋" w:hAnsi="仿宋" w:eastAsia="仿宋"/>
          <w:color w:val="auto"/>
          <w:sz w:val="24"/>
        </w:rPr>
      </w:pPr>
      <w:r>
        <w:rPr>
          <w:rFonts w:hint="eastAsia" w:ascii="仿宋" w:hAnsi="仿宋" w:eastAsia="仿宋"/>
          <w:b/>
          <w:color w:val="auto"/>
          <w:sz w:val="24"/>
        </w:rPr>
        <w:t>大钱港4座水闸：</w:t>
      </w:r>
      <w:r>
        <w:rPr>
          <w:rFonts w:hint="eastAsia" w:ascii="仿宋" w:hAnsi="仿宋" w:eastAsia="仿宋"/>
          <w:color w:val="auto"/>
          <w:sz w:val="24"/>
        </w:rPr>
        <w:t>杨林兜、藤桥、圣堂港、万安</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东西苕溪2座水闸</w:t>
      </w:r>
      <w:r>
        <w:rPr>
          <w:rFonts w:hint="eastAsia" w:ascii="仿宋" w:hAnsi="仿宋" w:eastAsia="仿宋"/>
          <w:color w:val="auto"/>
          <w:sz w:val="24"/>
        </w:rPr>
        <w:t>：菁山、鲇鱼口</w:t>
      </w:r>
    </w:p>
    <w:p>
      <w:pPr>
        <w:spacing w:line="500" w:lineRule="exact"/>
        <w:ind w:firstLine="482" w:firstLineChars="200"/>
        <w:rPr>
          <w:rFonts w:ascii="仿宋" w:hAnsi="仿宋" w:eastAsia="仿宋"/>
          <w:color w:val="auto"/>
          <w:sz w:val="24"/>
        </w:rPr>
      </w:pPr>
      <w:r>
        <w:rPr>
          <w:rFonts w:hint="eastAsia" w:ascii="仿宋" w:hAnsi="仿宋" w:eastAsia="仿宋"/>
          <w:b/>
          <w:color w:val="auto"/>
          <w:sz w:val="24"/>
        </w:rPr>
        <w:t>中心城防10座水闸泵站</w:t>
      </w:r>
      <w:r>
        <w:rPr>
          <w:rFonts w:hint="eastAsia" w:ascii="仿宋" w:hAnsi="仿宋" w:eastAsia="仿宋"/>
          <w:b/>
          <w:color w:val="auto"/>
          <w:sz w:val="24"/>
          <w:lang w:eastAsia="zh-CN"/>
        </w:rPr>
        <w:t>及管理仓库等</w:t>
      </w:r>
      <w:r>
        <w:rPr>
          <w:rFonts w:hint="eastAsia" w:ascii="仿宋" w:hAnsi="仿宋" w:eastAsia="仿宋"/>
          <w:b/>
          <w:color w:val="auto"/>
          <w:sz w:val="24"/>
        </w:rPr>
        <w:t>：</w:t>
      </w:r>
      <w:r>
        <w:rPr>
          <w:rFonts w:hint="eastAsia" w:ascii="仿宋" w:hAnsi="仿宋" w:eastAsia="仿宋"/>
          <w:color w:val="auto"/>
          <w:sz w:val="24"/>
        </w:rPr>
        <w:t>后庄、金锁、长田港、城西、大兴、城南、三里桥、毗山、城北、姜家庄</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共计34座水闸（泵站）的巡查</w:t>
      </w:r>
      <w:r>
        <w:rPr>
          <w:rFonts w:hint="eastAsia" w:ascii="仿宋" w:hAnsi="仿宋" w:eastAsia="仿宋"/>
          <w:color w:val="auto"/>
          <w:sz w:val="24"/>
          <w:lang w:eastAsia="zh-CN"/>
        </w:rPr>
        <w:t>运行</w:t>
      </w:r>
      <w:r>
        <w:rPr>
          <w:rFonts w:hint="eastAsia" w:ascii="仿宋" w:hAnsi="仿宋" w:eastAsia="仿宋"/>
          <w:color w:val="auto"/>
          <w:sz w:val="24"/>
        </w:rPr>
        <w:t>、保洁值班、绿化养护、工程日常维修等。</w:t>
      </w:r>
    </w:p>
    <w:p>
      <w:pPr>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巡查</w:t>
      </w:r>
      <w:r>
        <w:rPr>
          <w:rFonts w:hint="eastAsia" w:ascii="仿宋" w:hAnsi="仿宋" w:eastAsia="仿宋"/>
          <w:color w:val="auto"/>
          <w:sz w:val="24"/>
          <w:lang w:eastAsia="zh-CN"/>
        </w:rPr>
        <w:t>运行</w:t>
      </w:r>
      <w:r>
        <w:rPr>
          <w:rFonts w:hint="eastAsia" w:ascii="仿宋" w:hAnsi="仿宋" w:eastAsia="仿宋"/>
          <w:color w:val="auto"/>
          <w:sz w:val="24"/>
        </w:rPr>
        <w:t>、保洁值班、绿化养护实行总价承包（如绿化养护</w:t>
      </w:r>
      <w:r>
        <w:rPr>
          <w:rFonts w:hint="eastAsia" w:ascii="仿宋" w:hAnsi="仿宋" w:eastAsia="仿宋"/>
          <w:color w:val="auto"/>
          <w:sz w:val="24"/>
          <w:lang w:eastAsia="zh-CN"/>
        </w:rPr>
        <w:t>等工作</w:t>
      </w:r>
      <w:r>
        <w:rPr>
          <w:rFonts w:hint="eastAsia" w:ascii="仿宋" w:hAnsi="仿宋" w:eastAsia="仿宋"/>
          <w:color w:val="auto"/>
          <w:sz w:val="24"/>
        </w:rPr>
        <w:t>范围因政策原因减少或增加，按实际数量进行结算，中标单位不得拒绝）。工程日常维修根据发包人指令实施，包括实施时间，实施数量，实施地点，工程量按实结算, 中标单位不得拒绝）。</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服务期限：2021年11月20日至2023年11月19日，其中苕溪及城防工程上12座水闸开工时间为2022年1月1日(具体以合同签定时间为准)。</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三、服务要求:</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1、巡查</w:t>
      </w:r>
      <w:r>
        <w:rPr>
          <w:rFonts w:hint="eastAsia" w:ascii="仿宋" w:hAnsi="仿宋" w:eastAsia="仿宋"/>
          <w:color w:val="auto"/>
          <w:sz w:val="24"/>
          <w:lang w:eastAsia="zh-CN"/>
        </w:rPr>
        <w:t>运行</w:t>
      </w:r>
      <w:r>
        <w:rPr>
          <w:rFonts w:hint="eastAsia" w:ascii="仿宋" w:hAnsi="仿宋" w:eastAsia="仿宋"/>
          <w:color w:val="auto"/>
          <w:sz w:val="24"/>
        </w:rPr>
        <w:t>、保洁、绿化养护、工程日常维修作业时，必须穿着反光条安全背心或具有反光条的工作服。</w:t>
      </w:r>
    </w:p>
    <w:p>
      <w:pPr>
        <w:spacing w:line="500" w:lineRule="exact"/>
        <w:ind w:firstLine="480" w:firstLineChars="200"/>
        <w:rPr>
          <w:rFonts w:hint="eastAsia" w:ascii="仿宋" w:hAnsi="仿宋" w:eastAsia="仿宋"/>
          <w:color w:val="auto"/>
          <w:sz w:val="24"/>
          <w:lang w:eastAsia="zh-CN"/>
        </w:rPr>
      </w:pPr>
      <w:bookmarkStart w:id="24" w:name="_GoBack"/>
      <w:r>
        <w:rPr>
          <w:rFonts w:hint="eastAsia" w:ascii="仿宋" w:hAnsi="仿宋" w:eastAsia="仿宋"/>
          <w:color w:val="auto"/>
          <w:sz w:val="24"/>
        </w:rPr>
        <w:t>2、</w:t>
      </w:r>
      <w:r>
        <w:rPr>
          <w:rFonts w:ascii="仿宋" w:hAnsi="仿宋" w:eastAsia="仿宋"/>
          <w:color w:val="auto"/>
        </w:rPr>
        <w:t>▲</w:t>
      </w:r>
      <w:r>
        <w:rPr>
          <w:rFonts w:hint="eastAsia" w:ascii="仿宋" w:hAnsi="仿宋" w:eastAsia="仿宋"/>
          <w:color w:val="auto"/>
          <w:sz w:val="24"/>
        </w:rPr>
        <w:t>拟派项目负责人要求具有水利工程相关专业工程师及以上职称；至少配备安全员1名（持安全员上岗证或安全生产考核合格证书C证）。</w:t>
      </w:r>
      <w:r>
        <w:rPr>
          <w:rFonts w:hint="eastAsia" w:ascii="仿宋" w:hAnsi="仿宋" w:eastAsia="仿宋"/>
          <w:color w:val="auto"/>
          <w:sz w:val="24"/>
          <w:szCs w:val="20"/>
          <w:highlight w:val="none"/>
        </w:rPr>
        <w:t>以上人员须提供</w:t>
      </w:r>
      <w:r>
        <w:rPr>
          <w:rFonts w:hint="eastAsia" w:ascii="仿宋" w:hAnsi="仿宋" w:eastAsia="仿宋"/>
          <w:color w:val="auto"/>
          <w:sz w:val="24"/>
          <w:szCs w:val="20"/>
          <w:highlight w:val="none"/>
          <w:lang w:eastAsia="zh-CN"/>
        </w:rPr>
        <w:t>相关证书及</w:t>
      </w:r>
      <w:r>
        <w:rPr>
          <w:rFonts w:hint="eastAsia" w:ascii="仿宋" w:hAnsi="仿宋" w:eastAsia="仿宋"/>
          <w:color w:val="auto"/>
          <w:sz w:val="24"/>
          <w:szCs w:val="20"/>
          <w:highlight w:val="none"/>
        </w:rPr>
        <w:t>近一个月</w:t>
      </w:r>
      <w:r>
        <w:rPr>
          <w:rFonts w:hint="eastAsia" w:ascii="仿宋" w:hAnsi="仿宋" w:eastAsia="仿宋"/>
          <w:color w:val="auto"/>
          <w:sz w:val="24"/>
          <w:szCs w:val="20"/>
          <w:highlight w:val="none"/>
          <w:lang w:eastAsia="zh-CN"/>
        </w:rPr>
        <w:t>（至少为</w:t>
      </w:r>
      <w:r>
        <w:rPr>
          <w:rFonts w:hint="eastAsia" w:ascii="仿宋" w:hAnsi="仿宋" w:eastAsia="仿宋"/>
          <w:color w:val="auto"/>
          <w:sz w:val="24"/>
          <w:szCs w:val="20"/>
          <w:highlight w:val="none"/>
          <w:lang w:val="en-US" w:eastAsia="zh-CN"/>
        </w:rPr>
        <w:t>2021年8月起）</w:t>
      </w:r>
      <w:r>
        <w:rPr>
          <w:rFonts w:hint="eastAsia" w:ascii="仿宋" w:hAnsi="仿宋" w:eastAsia="仿宋"/>
          <w:color w:val="auto"/>
          <w:sz w:val="24"/>
          <w:szCs w:val="20"/>
          <w:highlight w:val="none"/>
        </w:rPr>
        <w:t>的由本公司缴纳的社保证明。</w:t>
      </w:r>
      <w:r>
        <w:rPr>
          <w:rFonts w:hint="eastAsia" w:ascii="仿宋" w:hAnsi="仿宋" w:eastAsia="仿宋"/>
          <w:color w:val="auto"/>
          <w:sz w:val="24"/>
          <w:szCs w:val="20"/>
          <w:highlight w:val="none"/>
          <w:lang w:eastAsia="zh-CN"/>
        </w:rPr>
        <w:t>提供原件的扫描件，加盖供应商公章。</w:t>
      </w:r>
    </w:p>
    <w:bookmarkEnd w:id="24"/>
    <w:p>
      <w:pPr>
        <w:spacing w:line="500" w:lineRule="exact"/>
        <w:ind w:firstLine="480" w:firstLineChars="200"/>
        <w:rPr>
          <w:rFonts w:ascii="仿宋" w:hAnsi="仿宋" w:eastAsia="仿宋"/>
          <w:b w:val="0"/>
          <w:bCs/>
          <w:color w:val="auto"/>
          <w:sz w:val="24"/>
        </w:rPr>
      </w:pPr>
      <w:r>
        <w:rPr>
          <w:rFonts w:hint="eastAsia" w:ascii="仿宋" w:hAnsi="仿宋" w:eastAsia="仿宋"/>
          <w:b w:val="0"/>
          <w:bCs/>
          <w:color w:val="auto"/>
          <w:sz w:val="24"/>
        </w:rPr>
        <w:t>3、因本工程的特殊性，在防洪抢险期间，中标单位及养护人员应全力配合招标人的安排，服从招标人统一调度指挥，中标单位不得拒绝，认真完成各项任务。</w:t>
      </w:r>
    </w:p>
    <w:p>
      <w:pPr>
        <w:spacing w:line="500" w:lineRule="exact"/>
        <w:ind w:firstLine="480" w:firstLineChars="200"/>
        <w:rPr>
          <w:rFonts w:ascii="仿宋" w:hAnsi="仿宋" w:eastAsia="仿宋"/>
          <w:b w:val="0"/>
          <w:bCs/>
          <w:color w:val="auto"/>
          <w:sz w:val="24"/>
        </w:rPr>
      </w:pPr>
      <w:r>
        <w:rPr>
          <w:rFonts w:hint="eastAsia" w:ascii="仿宋" w:hAnsi="仿宋" w:eastAsia="仿宋"/>
          <w:color w:val="auto"/>
          <w:sz w:val="24"/>
        </w:rPr>
        <w:t>4、本项目服务期内所发生的任何安全事故一律由中标单位负责，招标人不承担任何责任，</w:t>
      </w:r>
      <w:r>
        <w:rPr>
          <w:rFonts w:hint="eastAsia" w:ascii="仿宋" w:hAnsi="仿宋" w:eastAsia="仿宋"/>
          <w:b w:val="0"/>
          <w:bCs/>
          <w:color w:val="auto"/>
          <w:sz w:val="24"/>
        </w:rPr>
        <w:t>请投标人慎重考虑。</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rPr>
        <w:t>▲</w:t>
      </w:r>
      <w:r>
        <w:rPr>
          <w:rFonts w:hint="eastAsia" w:ascii="仿宋" w:hAnsi="仿宋" w:eastAsia="仿宋"/>
          <w:color w:val="auto"/>
          <w:sz w:val="24"/>
        </w:rPr>
        <w:t>本项目须配备工程巡查检查</w:t>
      </w:r>
      <w:r>
        <w:rPr>
          <w:rFonts w:hint="eastAsia" w:ascii="仿宋" w:hAnsi="仿宋" w:eastAsia="仿宋"/>
          <w:color w:val="auto"/>
          <w:sz w:val="24"/>
          <w:lang w:eastAsia="zh-CN"/>
        </w:rPr>
        <w:t>运行</w:t>
      </w:r>
      <w:r>
        <w:rPr>
          <w:rFonts w:hint="eastAsia" w:ascii="仿宋" w:hAnsi="仿宋" w:eastAsia="仿宋"/>
          <w:color w:val="auto"/>
          <w:sz w:val="24"/>
        </w:rPr>
        <w:t>汽车</w:t>
      </w:r>
      <w:r>
        <w:rPr>
          <w:rFonts w:hint="eastAsia" w:ascii="仿宋" w:hAnsi="仿宋" w:eastAsia="仿宋"/>
          <w:color w:val="auto"/>
          <w:sz w:val="24"/>
          <w:lang w:eastAsia="zh-CN"/>
        </w:rPr>
        <w:t>至少</w:t>
      </w:r>
      <w:r>
        <w:rPr>
          <w:rFonts w:hint="eastAsia" w:ascii="仿宋" w:hAnsi="仿宋" w:eastAsia="仿宋"/>
          <w:color w:val="auto"/>
          <w:sz w:val="24"/>
        </w:rPr>
        <w:t>4辆（要求性能正常、保险齐全、年审合格的越野车），以上</w:t>
      </w:r>
      <w:r>
        <w:rPr>
          <w:rFonts w:hint="eastAsia" w:ascii="仿宋" w:hAnsi="仿宋" w:eastAsia="仿宋"/>
          <w:color w:val="auto"/>
          <w:sz w:val="24"/>
          <w:lang w:eastAsia="zh-CN"/>
        </w:rPr>
        <w:t>车辆</w:t>
      </w:r>
      <w:r>
        <w:rPr>
          <w:rFonts w:hint="eastAsia" w:ascii="仿宋" w:hAnsi="仿宋" w:eastAsia="仿宋"/>
          <w:color w:val="auto"/>
          <w:sz w:val="24"/>
        </w:rPr>
        <w:t>如为供应商自有，提供有效机动车登记证书、车辆行驶证；如为租赁，须提供有效租赁合同和车辆登记证书、车辆行驶证。要求</w:t>
      </w:r>
      <w:r>
        <w:rPr>
          <w:rFonts w:hint="eastAsia" w:ascii="仿宋" w:hAnsi="仿宋" w:eastAsia="仿宋"/>
          <w:color w:val="auto"/>
          <w:sz w:val="24"/>
          <w:lang w:eastAsia="zh-CN"/>
        </w:rPr>
        <w:t>中标</w:t>
      </w:r>
      <w:r>
        <w:rPr>
          <w:rFonts w:hint="eastAsia" w:ascii="仿宋" w:hAnsi="仿宋" w:eastAsia="仿宋"/>
          <w:color w:val="auto"/>
          <w:sz w:val="24"/>
        </w:rPr>
        <w:t>供应商在开工前5天内配备到位，以</w:t>
      </w:r>
      <w:r>
        <w:rPr>
          <w:rFonts w:hint="eastAsia" w:ascii="仿宋" w:hAnsi="仿宋" w:eastAsia="仿宋"/>
          <w:color w:val="auto"/>
          <w:sz w:val="24"/>
          <w:lang w:eastAsia="zh-CN"/>
        </w:rPr>
        <w:t>采购人</w:t>
      </w:r>
      <w:r>
        <w:rPr>
          <w:rFonts w:hint="eastAsia" w:ascii="仿宋" w:hAnsi="仿宋" w:eastAsia="仿宋"/>
          <w:color w:val="auto"/>
          <w:sz w:val="24"/>
        </w:rPr>
        <w:t>现场确认为准。</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6、巡查</w:t>
      </w:r>
      <w:r>
        <w:rPr>
          <w:rFonts w:hint="eastAsia" w:ascii="仿宋" w:hAnsi="仿宋" w:eastAsia="仿宋"/>
          <w:color w:val="auto"/>
          <w:sz w:val="24"/>
          <w:lang w:eastAsia="zh-CN"/>
        </w:rPr>
        <w:t>运行</w:t>
      </w:r>
      <w:r>
        <w:rPr>
          <w:rFonts w:hint="eastAsia" w:ascii="仿宋" w:hAnsi="仿宋" w:eastAsia="仿宋"/>
          <w:color w:val="auto"/>
          <w:sz w:val="24"/>
        </w:rPr>
        <w:t>、保洁、绿化养护、工程日常维修作业时需依据《湖州市市容和环境卫生管理条例》，做好市容和环境卫生管理，创造整洁、优美的城市环境，规范生活垃圾分类投放、收集、运输、处置。</w:t>
      </w:r>
    </w:p>
    <w:p>
      <w:pPr>
        <w:spacing w:line="500" w:lineRule="exact"/>
        <w:ind w:firstLine="480" w:firstLineChars="200"/>
        <w:rPr>
          <w:rFonts w:hint="eastAsia" w:ascii="仿宋" w:hAnsi="仿宋" w:eastAsia="仿宋"/>
          <w:color w:val="auto"/>
          <w:sz w:val="24"/>
        </w:rPr>
      </w:pPr>
      <w:r>
        <w:rPr>
          <w:rFonts w:hint="eastAsia" w:ascii="仿宋" w:hAnsi="仿宋" w:eastAsia="仿宋"/>
          <w:color w:val="auto"/>
          <w:sz w:val="24"/>
        </w:rPr>
        <w:t>7、供应商保证农民工工资每月按时结清。</w:t>
      </w:r>
    </w:p>
    <w:p>
      <w:pPr>
        <w:spacing w:line="500" w:lineRule="exact"/>
        <w:ind w:firstLine="480" w:firstLineChars="200"/>
        <w:rPr>
          <w:rFonts w:hint="eastAsia" w:ascii="仿宋" w:hAnsi="仿宋" w:eastAsia="仿宋"/>
          <w:color w:val="auto"/>
          <w:lang w:val="en-US" w:eastAsia="zh-CN"/>
        </w:rPr>
      </w:pPr>
      <w:r>
        <w:rPr>
          <w:rFonts w:hint="eastAsia" w:ascii="仿宋" w:hAnsi="仿宋" w:eastAsia="仿宋"/>
          <w:color w:val="auto"/>
          <w:sz w:val="24"/>
          <w:lang w:val="en-US" w:eastAsia="zh-CN"/>
        </w:rPr>
        <w:t>8、供应商进场后，每年应对所有水闸、泵站进行一次全面检查，并形成书面正式检查报告，所需费用包含在报价中，不单独计列</w:t>
      </w:r>
      <w:r>
        <w:rPr>
          <w:rFonts w:hint="eastAsia" w:ascii="仿宋" w:hAnsi="仿宋" w:eastAsia="仿宋"/>
          <w:color w:val="auto"/>
          <w:lang w:val="en-US" w:eastAsia="zh-CN"/>
        </w:rPr>
        <w:t>。</w:t>
      </w:r>
    </w:p>
    <w:p>
      <w:pPr>
        <w:spacing w:line="500" w:lineRule="exact"/>
        <w:ind w:firstLine="420" w:firstLineChars="200"/>
        <w:rPr>
          <w:rFonts w:ascii="仿宋" w:hAnsi="仿宋" w:eastAsia="仿宋"/>
          <w:color w:val="auto"/>
          <w:sz w:val="24"/>
        </w:rPr>
      </w:pPr>
      <w:r>
        <w:rPr>
          <w:rFonts w:ascii="仿宋" w:hAnsi="仿宋" w:eastAsia="仿宋"/>
          <w:color w:val="auto"/>
        </w:rPr>
        <w:t>▲</w:t>
      </w:r>
      <w:r>
        <w:rPr>
          <w:rFonts w:hint="eastAsia" w:ascii="仿宋" w:hAnsi="仿宋" w:eastAsia="仿宋"/>
          <w:color w:val="auto"/>
          <w:sz w:val="24"/>
        </w:rPr>
        <w:t>四、商务需求：</w:t>
      </w:r>
    </w:p>
    <w:p>
      <w:pPr>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付款方式：</w:t>
      </w:r>
      <w:bookmarkStart w:id="7" w:name="_Toc22629160"/>
      <w:bookmarkStart w:id="8" w:name="_Toc409045480"/>
      <w:r>
        <w:rPr>
          <w:rFonts w:hint="eastAsia" w:ascii="仿宋" w:hAnsi="仿宋" w:eastAsia="仿宋"/>
          <w:color w:val="auto"/>
          <w:sz w:val="24"/>
          <w:highlight w:val="none"/>
        </w:rPr>
        <w:t>经采购人确认，双方签定合同后，采购人自采购合同生效15日内支付供应商第一年度报价总额（总报价的50%）的30%，作为预付款，并按季度平均扣回。第二年预付款支付时间为次年相对应月份，支付第二年度报价总额（总报价的50%）的30%作为预付款，并按季度平均扣回。 </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   采购人应自收到供应商开具的发票后将上述相关款项支付到合同约定的供应商账户。</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在签订合同时，供应商明确表示无需预付款或者主动要求降低预付款的，采购合同可不适用前述约定。</w:t>
      </w:r>
    </w:p>
    <w:bookmarkEnd w:id="7"/>
    <w:bookmarkEnd w:id="8"/>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 巡查</w:t>
      </w:r>
      <w:r>
        <w:rPr>
          <w:rFonts w:hint="eastAsia" w:ascii="仿宋" w:hAnsi="仿宋" w:eastAsia="仿宋"/>
          <w:color w:val="auto"/>
          <w:sz w:val="24"/>
          <w:highlight w:val="none"/>
          <w:lang w:eastAsia="zh-CN"/>
        </w:rPr>
        <w:t>运行</w:t>
      </w:r>
      <w:r>
        <w:rPr>
          <w:rFonts w:hint="eastAsia" w:ascii="仿宋" w:hAnsi="仿宋" w:eastAsia="仿宋"/>
          <w:color w:val="auto"/>
          <w:sz w:val="24"/>
          <w:highlight w:val="none"/>
        </w:rPr>
        <w:t>、保洁值班、绿化养护项目付款及结算方法：实行总价承包，按季度结合考核后价款的100%进行支付。</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（2）工程日常维修项目付款及结算方法：实行单价承包，工程量按实结算，并以跟踪审价机构审定为准。新增项目以跟踪审价机构审定为准。工程验收合格后按实际完成工程量的100%支付进度款。</w:t>
      </w:r>
    </w:p>
    <w:p>
      <w:pPr>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本项目服务费按季度考核得分值按季结付：①季度最终考核得分在90分及其以上（小数位精确到0.1）的，季度费用付款额=（该季度巡查运行+值班保洁+绿化养护）*100%+（工程日常维修）×100%；②季度最终考核得分值在90分以下的，按每低0.1分（90分为基数）扣200元的标准实行，即季度扣款额=（90-季度考核得分值）×10×200，则季度养护项目费用付款额=（该季度巡查运行+值班保洁+绿化养护）*100%+（工程日常维修）×100%-季度扣款额；③如提前中止合同的，中止月视为合同期满月。</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保险费在保险合同生效当季一次性支付完毕，当年安全费在当年最后一个季度支付进度款时一次性支付完毕（按当年实际发生且不超过投标报价金额）。</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当年预付款扣回：在当年进度款支付中按季平均扣回。</w:t>
      </w:r>
    </w:p>
    <w:p>
      <w:pPr>
        <w:spacing w:line="500" w:lineRule="exact"/>
        <w:ind w:firstLine="480" w:firstLineChars="200"/>
        <w:rPr>
          <w:rFonts w:hint="eastAsia" w:ascii="仿宋" w:hAnsi="仿宋" w:eastAsia="仿宋" w:cs="Times New Roman"/>
          <w:color w:val="auto"/>
          <w:sz w:val="24"/>
        </w:rPr>
      </w:pPr>
      <w:r>
        <w:rPr>
          <w:rFonts w:hint="eastAsia" w:ascii="仿宋" w:hAnsi="仿宋" w:eastAsia="仿宋"/>
          <w:color w:val="auto"/>
          <w:sz w:val="24"/>
          <w:highlight w:val="none"/>
        </w:rPr>
        <w:t>如出现季度扣款额＞该季度养护项目费用，则该季度养护项目费</w:t>
      </w:r>
      <w:r>
        <w:rPr>
          <w:rFonts w:hint="eastAsia" w:ascii="仿宋" w:hAnsi="仿宋" w:eastAsia="仿宋"/>
          <w:color w:val="auto"/>
          <w:sz w:val="24"/>
        </w:rPr>
        <w:t>用为零，两者差值（即：季度扣款额-该季度养护项目费用）进入下一季度在养护费用中扣除；</w:t>
      </w:r>
      <w:r>
        <w:rPr>
          <w:rFonts w:hint="eastAsia" w:ascii="仿宋" w:hAnsi="仿宋" w:eastAsia="仿宋" w:cs="Times New Roman"/>
          <w:color w:val="auto"/>
          <w:sz w:val="24"/>
        </w:rPr>
        <w:t>如出现季度内出现单月考核70分以下，则该季度养护费用为零；如累计季度扣款额大于养护项目费用总额则维修养护项目费用总额为零。</w:t>
      </w:r>
    </w:p>
    <w:p>
      <w:pPr>
        <w:spacing w:line="500" w:lineRule="exact"/>
        <w:ind w:firstLine="480" w:firstLineChars="200"/>
        <w:rPr>
          <w:rFonts w:hint="eastAsia" w:ascii="仿宋" w:hAnsi="仿宋" w:eastAsia="仿宋" w:cs="Times New Roman"/>
          <w:color w:val="auto"/>
          <w:sz w:val="24"/>
        </w:rPr>
      </w:pPr>
    </w:p>
    <w:p>
      <w:pPr>
        <w:spacing w:line="500" w:lineRule="exact"/>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注：</w:t>
      </w:r>
      <w:r>
        <w:rPr>
          <w:rFonts w:hint="eastAsia" w:ascii="仿宋" w:hAnsi="仿宋" w:eastAsia="仿宋" w:cs="Times New Roman"/>
          <w:color w:val="auto"/>
          <w:sz w:val="24"/>
        </w:rPr>
        <w:t>“▲”系指实质性要求条款。</w:t>
      </w:r>
      <w:r>
        <w:rPr>
          <w:rFonts w:hint="eastAsia" w:ascii="仿宋" w:hAnsi="仿宋" w:eastAsia="仿宋" w:cs="Times New Roman"/>
          <w:color w:val="auto"/>
          <w:sz w:val="24"/>
          <w:lang w:eastAsia="zh-CN"/>
        </w:rPr>
        <w:t>不满足为无效投标。</w:t>
      </w: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center"/>
        <w:rPr>
          <w:rFonts w:ascii="仿宋" w:hAnsi="仿宋" w:eastAsia="仿宋"/>
          <w:color w:val="auto"/>
          <w:sz w:val="32"/>
        </w:rPr>
      </w:pPr>
    </w:p>
    <w:p>
      <w:pPr>
        <w:spacing w:line="380" w:lineRule="exact"/>
        <w:jc w:val="both"/>
        <w:rPr>
          <w:rFonts w:ascii="仿宋" w:hAnsi="仿宋" w:eastAsia="仿宋"/>
          <w:color w:val="auto"/>
          <w:sz w:val="32"/>
        </w:rPr>
      </w:pPr>
    </w:p>
    <w:p>
      <w:pPr>
        <w:spacing w:line="380" w:lineRule="exact"/>
        <w:jc w:val="both"/>
        <w:rPr>
          <w:rFonts w:ascii="仿宋" w:hAnsi="仿宋" w:eastAsia="仿宋"/>
          <w:color w:val="auto"/>
          <w:sz w:val="32"/>
        </w:rPr>
      </w:pPr>
    </w:p>
    <w:p>
      <w:pPr>
        <w:spacing w:line="380" w:lineRule="exact"/>
        <w:jc w:val="center"/>
        <w:rPr>
          <w:rFonts w:ascii="仿宋" w:hAnsi="仿宋" w:eastAsia="仿宋"/>
          <w:b/>
          <w:bCs/>
          <w:color w:val="auto"/>
        </w:rPr>
      </w:pPr>
      <w:r>
        <w:rPr>
          <w:rFonts w:hint="eastAsia" w:ascii="仿宋" w:hAnsi="仿宋" w:eastAsia="仿宋"/>
          <w:b/>
          <w:bCs/>
          <w:color w:val="auto"/>
          <w:sz w:val="32"/>
        </w:rPr>
        <w:t>第三章</w:t>
      </w:r>
      <w:bookmarkEnd w:id="6"/>
      <w:r>
        <w:rPr>
          <w:rFonts w:hint="eastAsia" w:ascii="仿宋" w:hAnsi="仿宋" w:eastAsia="仿宋"/>
          <w:b/>
          <w:bCs/>
          <w:color w:val="auto"/>
          <w:sz w:val="32"/>
        </w:rPr>
        <w:t xml:space="preserve"> 投标人须知</w:t>
      </w:r>
    </w:p>
    <w:p>
      <w:pPr>
        <w:snapToGrid w:val="0"/>
        <w:spacing w:beforeLines="50" w:afterLines="50"/>
        <w:ind w:left="238"/>
        <w:jc w:val="center"/>
        <w:outlineLvl w:val="1"/>
        <w:rPr>
          <w:rFonts w:ascii="仿宋" w:hAnsi="仿宋" w:eastAsia="仿宋"/>
          <w:b w:val="0"/>
          <w:bCs w:val="0"/>
          <w:color w:val="auto"/>
          <w:sz w:val="24"/>
          <w:szCs w:val="24"/>
        </w:rPr>
      </w:pPr>
      <w:bookmarkStart w:id="9" w:name="_Toc98731777"/>
      <w:bookmarkStart w:id="10" w:name="_Toc130094928"/>
      <w:bookmarkStart w:id="11" w:name="_Toc130094913"/>
      <w:bookmarkStart w:id="12" w:name="_Toc98731756"/>
      <w:r>
        <w:rPr>
          <w:rFonts w:hint="eastAsia" w:ascii="仿宋" w:hAnsi="仿宋" w:eastAsia="仿宋"/>
          <w:b w:val="0"/>
          <w:bCs w:val="0"/>
          <w:color w:val="auto"/>
          <w:sz w:val="24"/>
          <w:szCs w:val="24"/>
        </w:rPr>
        <w:t>前附表</w:t>
      </w:r>
    </w:p>
    <w:tbl>
      <w:tblPr>
        <w:tblStyle w:val="21"/>
        <w:tblW w:w="926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8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序号</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w:t>
            </w:r>
          </w:p>
        </w:tc>
        <w:tc>
          <w:tcPr>
            <w:tcW w:w="8523" w:type="dxa"/>
            <w:tcBorders>
              <w:top w:val="single" w:color="auto" w:sz="4" w:space="0"/>
              <w:left w:val="nil"/>
              <w:bottom w:val="single" w:color="auto" w:sz="4" w:space="0"/>
              <w:right w:val="single" w:color="auto" w:sz="4" w:space="0"/>
            </w:tcBorders>
            <w:vAlign w:val="center"/>
          </w:tcPr>
          <w:p>
            <w:pPr>
              <w:spacing w:line="273" w:lineRule="auto"/>
              <w:rPr>
                <w:rFonts w:ascii="仿宋" w:hAnsi="仿宋" w:eastAsia="仿宋"/>
                <w:color w:val="auto"/>
                <w:spacing w:val="-14"/>
                <w:sz w:val="24"/>
              </w:rPr>
            </w:pPr>
            <w:r>
              <w:rPr>
                <w:rFonts w:hint="eastAsia" w:ascii="仿宋" w:hAnsi="仿宋" w:eastAsia="仿宋"/>
                <w:color w:val="auto"/>
                <w:spacing w:val="-14"/>
                <w:sz w:val="24"/>
              </w:rPr>
              <w:t>项目名称：</w:t>
            </w:r>
            <w:r>
              <w:rPr>
                <w:rFonts w:hint="eastAsia" w:ascii="仿宋" w:hAnsi="仿宋" w:eastAsia="仿宋"/>
                <w:color w:val="auto"/>
                <w:sz w:val="24"/>
              </w:rPr>
              <w:t>2021-2023年度</w:t>
            </w:r>
            <w:r>
              <w:rPr>
                <w:rFonts w:hint="eastAsia" w:ascii="仿宋" w:hAnsi="仿宋" w:eastAsia="仿宋"/>
                <w:color w:val="auto"/>
                <w:sz w:val="24"/>
                <w:lang w:eastAsia="zh-CN"/>
              </w:rPr>
              <w:t>水闸泵站</w:t>
            </w:r>
            <w:r>
              <w:rPr>
                <w:rFonts w:hint="eastAsia" w:ascii="仿宋" w:hAnsi="仿宋" w:eastAsia="仿宋"/>
                <w:color w:val="auto"/>
                <w:sz w:val="24"/>
              </w:rPr>
              <w:t xml:space="preserve">运行维修养护服务项目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2</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3</w:t>
            </w:r>
          </w:p>
        </w:tc>
        <w:tc>
          <w:tcPr>
            <w:tcW w:w="8523" w:type="dxa"/>
            <w:tcBorders>
              <w:top w:val="single" w:color="auto" w:sz="4" w:space="0"/>
              <w:left w:val="nil"/>
              <w:bottom w:val="single" w:color="auto" w:sz="4" w:space="0"/>
              <w:right w:val="single" w:color="auto" w:sz="4" w:space="0"/>
            </w:tcBorders>
            <w:vAlign w:val="center"/>
          </w:tcPr>
          <w:p>
            <w:pPr>
              <w:spacing w:line="273" w:lineRule="auto"/>
              <w:rPr>
                <w:rFonts w:ascii="仿宋" w:hAnsi="仿宋" w:eastAsia="仿宋"/>
                <w:color w:val="auto"/>
                <w:sz w:val="24"/>
              </w:rPr>
            </w:pPr>
            <w:r>
              <w:rPr>
                <w:rFonts w:hint="eastAsia" w:ascii="仿宋" w:hAnsi="仿宋" w:eastAsia="仿宋"/>
                <w:color w:val="auto"/>
                <w:sz w:val="24"/>
              </w:rPr>
              <w:t>投标报价及费用：本项目投标应以人民币报价；2、不论投标结果如何，投标人均应自行承担所有与投标有关的全部费用；3、本项目代理服务费</w:t>
            </w:r>
            <w:r>
              <w:rPr>
                <w:rFonts w:hint="eastAsia" w:ascii="仿宋" w:hAnsi="仿宋" w:eastAsia="仿宋"/>
                <w:color w:val="auto"/>
                <w:sz w:val="24"/>
                <w:u w:val="single"/>
                <w:lang w:eastAsia="zh-CN"/>
              </w:rPr>
              <w:t>肆万陆仟</w:t>
            </w:r>
            <w:r>
              <w:rPr>
                <w:rFonts w:hint="eastAsia" w:ascii="仿宋" w:hAnsi="仿宋" w:eastAsia="仿宋"/>
                <w:color w:val="auto"/>
                <w:sz w:val="24"/>
                <w:u w:val="single"/>
              </w:rPr>
              <w:t>元</w:t>
            </w:r>
            <w:r>
              <w:rPr>
                <w:rFonts w:hint="eastAsia" w:ascii="仿宋" w:hAnsi="仿宋" w:eastAsia="仿宋"/>
                <w:color w:val="auto"/>
                <w:sz w:val="24"/>
              </w:rPr>
              <w:t>由相应中标人支付。在确定中标人后，领取中标通知书前，由中标人全额支付，请各投标人自行考虑计入投标报价中。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4</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答疑与澄清：投标人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5</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hint="eastAsia" w:ascii="仿宋" w:hAnsi="仿宋" w:eastAsia="仿宋"/>
                <w:color w:val="auto"/>
                <w:sz w:val="24"/>
                <w:lang w:eastAsia="zh-CN"/>
              </w:rPr>
            </w:pPr>
            <w:r>
              <w:rPr>
                <w:rFonts w:hint="eastAsia" w:ascii="仿宋" w:hAnsi="仿宋" w:eastAsia="仿宋"/>
                <w:color w:val="auto"/>
                <w:sz w:val="24"/>
              </w:rPr>
              <w:t>采购</w:t>
            </w:r>
            <w:r>
              <w:rPr>
                <w:rFonts w:hint="eastAsia" w:ascii="仿宋" w:hAnsi="仿宋" w:eastAsia="仿宋"/>
                <w:color w:val="auto"/>
                <w:sz w:val="24"/>
                <w:lang w:eastAsia="zh-CN"/>
              </w:rPr>
              <w:t>最高限价</w:t>
            </w:r>
            <w:r>
              <w:rPr>
                <w:rFonts w:hint="eastAsia" w:ascii="仿宋" w:hAnsi="仿宋" w:eastAsia="仿宋"/>
                <w:color w:val="auto"/>
                <w:sz w:val="24"/>
              </w:rPr>
              <w:t>：</w:t>
            </w:r>
            <w:r>
              <w:rPr>
                <w:rFonts w:hint="eastAsia" w:ascii="仿宋" w:hAnsi="仿宋" w:eastAsia="仿宋"/>
                <w:color w:val="auto"/>
                <w:sz w:val="24"/>
                <w:lang w:val="en-US" w:eastAsia="zh-CN"/>
              </w:rPr>
              <w:t>523.6</w:t>
            </w:r>
            <w:r>
              <w:rPr>
                <w:rFonts w:hint="eastAsia" w:ascii="仿宋" w:hAnsi="仿宋" w:eastAsia="仿宋"/>
                <w:color w:val="auto"/>
                <w:sz w:val="24"/>
              </w:rPr>
              <w:t>万元</w:t>
            </w:r>
            <w:r>
              <w:rPr>
                <w:rFonts w:hint="eastAsia" w:ascii="仿宋" w:hAnsi="仿宋" w:eastAsia="仿宋"/>
                <w:color w:val="auto"/>
                <w:sz w:val="24"/>
                <w:lang w:eastAsia="zh-CN"/>
              </w:rPr>
              <w:t>。其中单项最高限价分别为：</w:t>
            </w:r>
          </w:p>
          <w:p>
            <w:pPr>
              <w:snapToGrid w:val="0"/>
              <w:spacing w:line="273" w:lineRule="auto"/>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巡查</w:t>
            </w:r>
            <w:r>
              <w:rPr>
                <w:rFonts w:hint="eastAsia" w:ascii="仿宋" w:hAnsi="仿宋" w:eastAsia="仿宋"/>
                <w:color w:val="auto"/>
                <w:sz w:val="24"/>
                <w:lang w:eastAsia="zh-CN"/>
              </w:rPr>
              <w:t>运行</w:t>
            </w:r>
            <w:r>
              <w:rPr>
                <w:rFonts w:hint="eastAsia" w:ascii="仿宋" w:hAnsi="仿宋" w:eastAsia="仿宋"/>
                <w:color w:val="auto"/>
                <w:sz w:val="24"/>
              </w:rPr>
              <w:t>：不得超过</w:t>
            </w:r>
            <w:r>
              <w:rPr>
                <w:rFonts w:hint="eastAsia" w:ascii="仿宋" w:hAnsi="仿宋" w:eastAsia="仿宋"/>
                <w:color w:val="auto"/>
                <w:sz w:val="24"/>
                <w:lang w:val="en-US" w:eastAsia="zh-CN"/>
              </w:rPr>
              <w:t>184</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rPr>
            </w:pPr>
            <w:r>
              <w:rPr>
                <w:rFonts w:hint="eastAsia" w:ascii="仿宋" w:hAnsi="仿宋" w:eastAsia="仿宋"/>
                <w:color w:val="auto"/>
                <w:sz w:val="24"/>
                <w:lang w:val="en-US" w:eastAsia="zh-CN"/>
              </w:rPr>
              <w:t>2、</w:t>
            </w:r>
            <w:r>
              <w:rPr>
                <w:rFonts w:hint="eastAsia" w:ascii="仿宋" w:hAnsi="仿宋" w:eastAsia="仿宋"/>
                <w:color w:val="auto"/>
                <w:sz w:val="24"/>
              </w:rPr>
              <w:t>保洁</w:t>
            </w:r>
            <w:r>
              <w:rPr>
                <w:rFonts w:hint="eastAsia" w:ascii="仿宋" w:hAnsi="仿宋" w:eastAsia="仿宋"/>
                <w:color w:val="auto"/>
                <w:sz w:val="24"/>
                <w:lang w:eastAsia="zh-CN"/>
              </w:rPr>
              <w:t>值班</w:t>
            </w:r>
            <w:r>
              <w:rPr>
                <w:rFonts w:hint="eastAsia" w:ascii="仿宋" w:hAnsi="仿宋" w:eastAsia="仿宋"/>
                <w:color w:val="auto"/>
                <w:sz w:val="24"/>
              </w:rPr>
              <w:t>：不得超过</w:t>
            </w:r>
            <w:r>
              <w:rPr>
                <w:rFonts w:hint="eastAsia" w:ascii="仿宋" w:hAnsi="仿宋" w:eastAsia="仿宋"/>
                <w:color w:val="auto"/>
                <w:sz w:val="24"/>
                <w:lang w:val="en-US" w:eastAsia="zh-CN"/>
              </w:rPr>
              <w:t>127.83</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rPr>
            </w:pPr>
            <w:r>
              <w:rPr>
                <w:rFonts w:hint="eastAsia" w:ascii="仿宋" w:hAnsi="仿宋" w:eastAsia="仿宋"/>
                <w:color w:val="auto"/>
                <w:sz w:val="24"/>
                <w:lang w:val="en-US" w:eastAsia="zh-CN"/>
              </w:rPr>
              <w:t>3、</w:t>
            </w:r>
            <w:r>
              <w:rPr>
                <w:rFonts w:hint="eastAsia" w:ascii="仿宋" w:hAnsi="仿宋" w:eastAsia="仿宋"/>
                <w:color w:val="auto"/>
                <w:sz w:val="24"/>
              </w:rPr>
              <w:t>绿化养护：不得超过</w:t>
            </w:r>
            <w:r>
              <w:rPr>
                <w:rFonts w:hint="eastAsia" w:ascii="仿宋" w:hAnsi="仿宋" w:eastAsia="仿宋"/>
                <w:color w:val="auto"/>
                <w:sz w:val="24"/>
                <w:lang w:val="en-US" w:eastAsia="zh-CN"/>
              </w:rPr>
              <w:t>29.37</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rPr>
            </w:pPr>
            <w:r>
              <w:rPr>
                <w:rFonts w:hint="eastAsia" w:ascii="仿宋" w:hAnsi="仿宋" w:eastAsia="仿宋"/>
                <w:color w:val="auto"/>
                <w:sz w:val="24"/>
              </w:rPr>
              <w:t>4、工程日常维修：不得超过</w:t>
            </w:r>
            <w:r>
              <w:rPr>
                <w:rFonts w:hint="eastAsia" w:ascii="仿宋" w:hAnsi="仿宋" w:eastAsia="仿宋"/>
                <w:color w:val="auto"/>
                <w:sz w:val="24"/>
                <w:lang w:val="en-US" w:eastAsia="zh-CN"/>
              </w:rPr>
              <w:t>172.40</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rPr>
            </w:pPr>
            <w:r>
              <w:rPr>
                <w:rFonts w:hint="eastAsia" w:ascii="仿宋" w:hAnsi="仿宋" w:eastAsia="仿宋"/>
                <w:color w:val="auto"/>
                <w:sz w:val="24"/>
              </w:rPr>
              <w:t>5、安全施工费：不得超过</w:t>
            </w:r>
            <w:r>
              <w:rPr>
                <w:rFonts w:hint="eastAsia" w:ascii="仿宋" w:hAnsi="仿宋" w:eastAsia="仿宋"/>
                <w:color w:val="auto"/>
                <w:sz w:val="24"/>
                <w:lang w:val="en-US" w:eastAsia="zh-CN"/>
              </w:rPr>
              <w:t>7.7</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、保险费：不得超过</w:t>
            </w:r>
            <w:r>
              <w:rPr>
                <w:rFonts w:hint="eastAsia" w:ascii="仿宋" w:hAnsi="仿宋" w:eastAsia="仿宋"/>
                <w:color w:val="auto"/>
                <w:sz w:val="24"/>
                <w:lang w:val="en-US" w:eastAsia="zh-CN"/>
              </w:rPr>
              <w:t>2.3</w:t>
            </w:r>
            <w:r>
              <w:rPr>
                <w:rFonts w:hint="eastAsia" w:ascii="仿宋" w:hAnsi="仿宋" w:eastAsia="仿宋"/>
                <w:color w:val="auto"/>
                <w:sz w:val="24"/>
              </w:rPr>
              <w:t>万元。</w:t>
            </w:r>
          </w:p>
          <w:p>
            <w:pPr>
              <w:snapToGrid w:val="0"/>
              <w:spacing w:line="273" w:lineRule="auto"/>
              <w:rPr>
                <w:rFonts w:hint="eastAsia" w:ascii="仿宋" w:hAnsi="仿宋" w:eastAsia="仿宋"/>
                <w:color w:val="auto"/>
                <w:sz w:val="24"/>
                <w:lang w:eastAsia="zh-CN"/>
              </w:rPr>
            </w:pPr>
            <w:r>
              <w:rPr>
                <w:rFonts w:hint="eastAsia" w:ascii="仿宋" w:hAnsi="仿宋" w:eastAsia="仿宋"/>
                <w:color w:val="auto"/>
                <w:sz w:val="24"/>
              </w:rPr>
              <w:t>超过最高总限价或单项最高限价的报价将被认定为无效报价。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6</w:t>
            </w:r>
          </w:p>
        </w:tc>
        <w:tc>
          <w:tcPr>
            <w:tcW w:w="8523"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olor w:val="auto"/>
                <w:sz w:val="24"/>
              </w:rPr>
            </w:pPr>
            <w:r>
              <w:rPr>
                <w:rFonts w:hint="eastAsia" w:ascii="仿宋" w:hAnsi="仿宋" w:eastAsia="仿宋"/>
                <w:color w:val="auto"/>
                <w:sz w:val="24"/>
              </w:rPr>
              <w:t>1、投标文件的制作：本项目实行电子招投标。</w:t>
            </w:r>
          </w:p>
          <w:p>
            <w:pPr>
              <w:snapToGrid w:val="0"/>
              <w:spacing w:line="273" w:lineRule="auto"/>
              <w:rPr>
                <w:rFonts w:ascii="仿宋" w:hAnsi="仿宋" w:eastAsia="仿宋"/>
                <w:color w:val="auto"/>
                <w:sz w:val="24"/>
              </w:rPr>
            </w:pPr>
            <w:r>
              <w:rPr>
                <w:rFonts w:hint="eastAsia" w:ascii="仿宋" w:hAnsi="仿宋" w:eastAsia="仿宋"/>
                <w:color w:val="auto"/>
                <w:sz w:val="24"/>
              </w:rPr>
              <w:t>2、投标人应按要求提供电子投标文件及数据电子备份投标文件（U盘），具体内容如下：</w:t>
            </w:r>
          </w:p>
          <w:p>
            <w:pPr>
              <w:snapToGrid w:val="0"/>
              <w:spacing w:line="273" w:lineRule="auto"/>
              <w:rPr>
                <w:rFonts w:ascii="仿宋" w:hAnsi="仿宋" w:eastAsia="仿宋"/>
                <w:color w:val="auto"/>
                <w:sz w:val="24"/>
              </w:rPr>
            </w:pPr>
            <w:r>
              <w:rPr>
                <w:rFonts w:hint="eastAsia" w:ascii="仿宋" w:hAnsi="仿宋" w:eastAsia="仿宋"/>
                <w:color w:val="auto"/>
                <w:sz w:val="24"/>
              </w:rPr>
              <w:t>（1）电子投标文件：按政采云平台项目采购-电子交易操作指南及本招标文件要求制作、加密并递交，超过上传时间的视为放弃投标资格，作未递交投标文件处理；</w:t>
            </w:r>
          </w:p>
          <w:p>
            <w:pPr>
              <w:snapToGrid w:val="0"/>
              <w:spacing w:line="273" w:lineRule="auto"/>
              <w:rPr>
                <w:rFonts w:ascii="仿宋" w:hAnsi="仿宋" w:eastAsia="仿宋"/>
                <w:color w:val="auto"/>
                <w:sz w:val="24"/>
              </w:rPr>
            </w:pPr>
            <w:r>
              <w:rPr>
                <w:rFonts w:hint="eastAsia" w:ascii="仿宋" w:hAnsi="仿宋" w:eastAsia="仿宋"/>
                <w:color w:val="auto"/>
                <w:sz w:val="24"/>
              </w:rPr>
              <w:t>（2）数据电子备份投标文件（U盘）：以U盘形式提供的数据电子备份投标文件格式及内容须与政采云平台项目采购-电子交易操作指南中制作、加密并递交的电子投标文件格式及内容一致。数据电子备份投标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7</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shd w:val="pct10" w:color="auto" w:fill="FFFFFF"/>
              </w:rPr>
            </w:pPr>
            <w:r>
              <w:rPr>
                <w:rFonts w:hint="eastAsia" w:ascii="仿宋" w:hAnsi="仿宋" w:eastAsia="仿宋"/>
                <w:color w:val="auto"/>
                <w:sz w:val="24"/>
              </w:rPr>
              <w:t>投标截止时间：</w:t>
            </w:r>
            <w:r>
              <w:rPr>
                <w:rFonts w:hint="eastAsia" w:ascii="仿宋" w:hAnsi="仿宋" w:eastAsia="仿宋"/>
                <w:color w:val="auto"/>
                <w:sz w:val="24"/>
                <w:shd w:val="pct10" w:color="auto" w:fill="FFFFFF"/>
              </w:rPr>
              <w:t>2021年</w:t>
            </w:r>
            <w:r>
              <w:rPr>
                <w:rFonts w:hint="eastAsia" w:ascii="仿宋" w:hAnsi="仿宋" w:eastAsia="仿宋"/>
                <w:color w:val="auto"/>
                <w:sz w:val="24"/>
                <w:shd w:val="pct10" w:color="auto" w:fill="FFFFFF"/>
                <w:lang w:val="en-US" w:eastAsia="zh-CN"/>
              </w:rPr>
              <w:t>10</w:t>
            </w:r>
            <w:r>
              <w:rPr>
                <w:rFonts w:hint="eastAsia" w:ascii="仿宋" w:hAnsi="仿宋" w:eastAsia="仿宋"/>
                <w:color w:val="auto"/>
                <w:sz w:val="24"/>
                <w:shd w:val="pct10" w:color="auto" w:fill="FFFFFF"/>
              </w:rPr>
              <w:t>月</w:t>
            </w:r>
            <w:r>
              <w:rPr>
                <w:rFonts w:hint="eastAsia" w:ascii="仿宋" w:hAnsi="仿宋" w:eastAsia="仿宋"/>
                <w:color w:val="auto"/>
                <w:sz w:val="24"/>
                <w:shd w:val="pct10" w:color="auto" w:fill="FFFFFF"/>
                <w:lang w:val="en-US" w:eastAsia="zh-CN"/>
              </w:rPr>
              <w:t>20</w:t>
            </w:r>
            <w:r>
              <w:rPr>
                <w:rFonts w:hint="eastAsia" w:ascii="仿宋" w:hAnsi="仿宋" w:eastAsia="仿宋"/>
                <w:color w:val="auto"/>
                <w:sz w:val="24"/>
                <w:shd w:val="pct10" w:color="auto" w:fill="FFFFFF"/>
              </w:rPr>
              <w:t>日</w:t>
            </w:r>
            <w:r>
              <w:rPr>
                <w:rFonts w:hint="eastAsia" w:ascii="仿宋" w:hAnsi="仿宋" w:eastAsia="仿宋"/>
                <w:color w:val="auto"/>
                <w:sz w:val="24"/>
                <w:shd w:val="pct10" w:color="auto" w:fill="FFFFFF"/>
                <w:lang w:val="en-US" w:eastAsia="zh-CN"/>
              </w:rPr>
              <w:t>9</w:t>
            </w:r>
            <w:r>
              <w:rPr>
                <w:rFonts w:hint="eastAsia" w:ascii="仿宋" w:hAnsi="仿宋" w:eastAsia="仿宋"/>
                <w:color w:val="auto"/>
                <w:sz w:val="24"/>
                <w:shd w:val="pct10" w:color="auto" w:fill="FFFFFF"/>
              </w:rPr>
              <w:t>:00时；</w:t>
            </w:r>
          </w:p>
          <w:p>
            <w:pPr>
              <w:snapToGrid w:val="0"/>
              <w:spacing w:line="273" w:lineRule="auto"/>
              <w:rPr>
                <w:rFonts w:ascii="仿宋" w:hAnsi="仿宋" w:eastAsia="仿宋"/>
                <w:color w:val="auto"/>
                <w:sz w:val="24"/>
              </w:rPr>
            </w:pPr>
            <w:r>
              <w:rPr>
                <w:rFonts w:hint="eastAsia" w:ascii="仿宋" w:hAnsi="仿宋" w:eastAsia="仿宋"/>
                <w:color w:val="auto"/>
                <w:sz w:val="24"/>
              </w:rPr>
              <w:t>投标地点：（1）本项目通过“政府采购云平台（www.zcygov.cn）”实行在线投标响应（电子投标）；</w:t>
            </w:r>
          </w:p>
          <w:p>
            <w:pPr>
              <w:snapToGrid w:val="0"/>
              <w:spacing w:line="273" w:lineRule="auto"/>
              <w:rPr>
                <w:rFonts w:ascii="仿宋" w:hAnsi="仿宋" w:eastAsia="仿宋"/>
                <w:color w:val="auto"/>
                <w:sz w:val="24"/>
              </w:rPr>
            </w:pPr>
            <w:r>
              <w:rPr>
                <w:rFonts w:hint="eastAsia" w:ascii="仿宋" w:hAnsi="仿宋" w:eastAsia="仿宋"/>
                <w:color w:val="auto"/>
                <w:sz w:val="24"/>
              </w:rPr>
              <w:t>（2）投标人应当在投标截止时间前，将生成的文件格式“.jmbs”的“电子加密投标文件”上传递交至“政府采购云平台”实行在线投标响应。投标截止时间以后上传递交的投标文件将被“政府采购云平台”拒收，作未递交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8</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开标时间：</w:t>
            </w:r>
            <w:r>
              <w:rPr>
                <w:rFonts w:hint="eastAsia" w:ascii="仿宋" w:hAnsi="仿宋" w:eastAsia="仿宋"/>
                <w:color w:val="auto"/>
                <w:sz w:val="24"/>
                <w:shd w:val="pct10" w:color="auto" w:fill="FFFFFF"/>
              </w:rPr>
              <w:t>2021年</w:t>
            </w:r>
            <w:r>
              <w:rPr>
                <w:rFonts w:hint="eastAsia" w:ascii="仿宋" w:hAnsi="仿宋" w:eastAsia="仿宋"/>
                <w:color w:val="auto"/>
                <w:sz w:val="24"/>
                <w:shd w:val="pct10" w:color="auto" w:fill="FFFFFF"/>
                <w:lang w:val="en-US" w:eastAsia="zh-CN"/>
              </w:rPr>
              <w:t>10</w:t>
            </w:r>
            <w:r>
              <w:rPr>
                <w:rFonts w:hint="eastAsia" w:ascii="仿宋" w:hAnsi="仿宋" w:eastAsia="仿宋"/>
                <w:color w:val="auto"/>
                <w:sz w:val="24"/>
                <w:shd w:val="pct10" w:color="auto" w:fill="FFFFFF"/>
              </w:rPr>
              <w:t>月</w:t>
            </w:r>
            <w:r>
              <w:rPr>
                <w:rFonts w:hint="eastAsia" w:ascii="仿宋" w:hAnsi="仿宋" w:eastAsia="仿宋"/>
                <w:color w:val="auto"/>
                <w:sz w:val="24"/>
                <w:shd w:val="pct10" w:color="auto" w:fill="FFFFFF"/>
                <w:lang w:val="en-US" w:eastAsia="zh-CN"/>
              </w:rPr>
              <w:t>20</w:t>
            </w:r>
            <w:r>
              <w:rPr>
                <w:rFonts w:hint="eastAsia" w:ascii="仿宋" w:hAnsi="仿宋" w:eastAsia="仿宋"/>
                <w:color w:val="auto"/>
                <w:sz w:val="24"/>
                <w:shd w:val="pct10" w:color="auto" w:fill="FFFFFF"/>
              </w:rPr>
              <w:t>日</w:t>
            </w:r>
            <w:r>
              <w:rPr>
                <w:rFonts w:hint="eastAsia" w:ascii="仿宋" w:hAnsi="仿宋" w:eastAsia="仿宋"/>
                <w:color w:val="auto"/>
                <w:sz w:val="24"/>
                <w:shd w:val="pct10" w:color="auto" w:fill="FFFFFF"/>
                <w:lang w:val="en-US" w:eastAsia="zh-CN"/>
              </w:rPr>
              <w:t>9</w:t>
            </w:r>
            <w:r>
              <w:rPr>
                <w:rFonts w:hint="eastAsia" w:ascii="仿宋" w:hAnsi="仿宋" w:eastAsia="仿宋"/>
                <w:color w:val="auto"/>
                <w:sz w:val="24"/>
                <w:shd w:val="pct10" w:color="auto" w:fill="FFFFFF"/>
              </w:rPr>
              <w:t>:00时；</w:t>
            </w:r>
          </w:p>
          <w:p>
            <w:pPr>
              <w:snapToGrid w:val="0"/>
              <w:spacing w:line="273" w:lineRule="auto"/>
              <w:rPr>
                <w:rFonts w:ascii="仿宋" w:hAnsi="仿宋" w:eastAsia="仿宋"/>
                <w:color w:val="auto"/>
                <w:sz w:val="24"/>
              </w:rPr>
            </w:pPr>
            <w:r>
              <w:rPr>
                <w:rFonts w:hint="eastAsia" w:ascii="仿宋" w:hAnsi="仿宋" w:eastAsia="仿宋"/>
                <w:color w:val="auto"/>
                <w:sz w:val="24"/>
              </w:rPr>
              <w:t>地点：</w:t>
            </w:r>
            <w:r>
              <w:rPr>
                <w:rFonts w:hint="eastAsia" w:ascii="仿宋" w:hAnsi="仿宋" w:eastAsia="仿宋" w:cs="宋体"/>
                <w:color w:val="auto"/>
                <w:sz w:val="24"/>
              </w:rPr>
              <w:t>湖州市公共资源交易中心2号楼二楼开标室（湖州市仁皇山片区金盖山路66号2号楼，届时</w:t>
            </w:r>
            <w:r>
              <w:rPr>
                <w:rFonts w:hint="eastAsia" w:ascii="仿宋" w:hAnsi="仿宋" w:eastAsia="仿宋" w:cs="宋体"/>
                <w:color w:val="auto"/>
                <w:kern w:val="0"/>
                <w:sz w:val="24"/>
              </w:rPr>
              <w:t>详见二楼休息区电子显示屏</w:t>
            </w:r>
            <w:r>
              <w:rPr>
                <w:rFonts w:hint="eastAsia" w:ascii="仿宋" w:hAnsi="仿宋" w:eastAsia="仿宋" w:cs="宋体"/>
                <w:color w:val="auto"/>
                <w:sz w:val="24"/>
              </w:rPr>
              <w:t>）</w:t>
            </w:r>
          </w:p>
          <w:p>
            <w:pPr>
              <w:snapToGrid w:val="0"/>
              <w:spacing w:line="273" w:lineRule="auto"/>
              <w:ind w:firstLine="480" w:firstLineChars="200"/>
              <w:rPr>
                <w:rFonts w:ascii="仿宋" w:hAnsi="仿宋" w:eastAsia="仿宋"/>
                <w:color w:val="auto"/>
                <w:sz w:val="24"/>
              </w:rPr>
            </w:pPr>
            <w:r>
              <w:rPr>
                <w:rFonts w:hint="eastAsia" w:ascii="仿宋" w:hAnsi="仿宋" w:eastAsia="仿宋"/>
                <w:color w:val="auto"/>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未递交投标文件处理。</w:t>
            </w:r>
          </w:p>
          <w:p>
            <w:pPr>
              <w:snapToGrid w:val="0"/>
              <w:spacing w:line="273" w:lineRule="auto"/>
              <w:ind w:firstLine="480" w:firstLineChars="200"/>
              <w:rPr>
                <w:rFonts w:ascii="仿宋" w:hAnsi="仿宋" w:eastAsia="仿宋"/>
                <w:color w:val="auto"/>
                <w:sz w:val="24"/>
              </w:rPr>
            </w:pPr>
            <w:r>
              <w:rPr>
                <w:rFonts w:hint="eastAsia" w:ascii="仿宋" w:hAnsi="仿宋" w:eastAsia="仿宋"/>
                <w:color w:val="auto"/>
                <w:sz w:val="24"/>
              </w:rPr>
              <w:t>2、数据电子备份投标文件（U 盘）：以 U 盘形式提供的数据电子备份投标文件格式及内容须与政采云平台项目采购-电子交易操作指南中制作、加密并递交的电子投标文件格式及内容一致。递交方式：</w:t>
            </w:r>
          </w:p>
          <w:p>
            <w:pPr>
              <w:snapToGrid w:val="0"/>
              <w:spacing w:line="273" w:lineRule="auto"/>
              <w:ind w:firstLine="480" w:firstLineChars="200"/>
              <w:rPr>
                <w:rFonts w:ascii="仿宋" w:hAnsi="仿宋" w:eastAsia="仿宋"/>
                <w:color w:val="auto"/>
                <w:sz w:val="24"/>
              </w:rPr>
            </w:pPr>
            <w:r>
              <w:rPr>
                <w:rFonts w:hint="eastAsia" w:ascii="仿宋" w:hAnsi="仿宋" w:eastAsia="仿宋"/>
                <w:color w:val="auto"/>
                <w:sz w:val="24"/>
              </w:rPr>
              <w:t>因疫情原因，数据电子备份投标文件（U盘）应通过邮寄快递方式送达（原则上邮寄公司统一采用EMS），邮寄地址为：湖州市仁皇工程咨询有限公司[湖州市太湖路1155号7层703室]，联系电话：0572-2615598。邮寄截止时间：投标人应于2021年</w:t>
            </w:r>
            <w:r>
              <w:rPr>
                <w:rFonts w:hint="eastAsia" w:ascii="仿宋" w:hAnsi="仿宋" w:eastAsia="仿宋"/>
                <w:color w:val="auto"/>
                <w:sz w:val="24"/>
                <w:lang w:val="en-US" w:eastAsia="zh-CN"/>
              </w:rPr>
              <w:t>10</w:t>
            </w:r>
            <w:r>
              <w:rPr>
                <w:rFonts w:hint="eastAsia" w:ascii="仿宋" w:hAnsi="仿宋" w:eastAsia="仿宋"/>
                <w:color w:val="auto"/>
                <w:sz w:val="24"/>
              </w:rPr>
              <w:t>月</w:t>
            </w:r>
            <w:r>
              <w:rPr>
                <w:rFonts w:hint="eastAsia" w:ascii="仿宋" w:hAnsi="仿宋" w:eastAsia="仿宋"/>
                <w:color w:val="auto"/>
                <w:sz w:val="24"/>
                <w:lang w:val="en-US" w:eastAsia="zh-CN"/>
              </w:rPr>
              <w:t>19</w:t>
            </w:r>
            <w:r>
              <w:rPr>
                <w:rFonts w:hint="eastAsia" w:ascii="仿宋" w:hAnsi="仿宋" w:eastAsia="仿宋"/>
                <w:color w:val="auto"/>
                <w:sz w:val="24"/>
              </w:rPr>
              <w:t xml:space="preserve">日下午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    </w:t>
            </w:r>
          </w:p>
          <w:p>
            <w:pPr>
              <w:snapToGrid w:val="0"/>
              <w:spacing w:line="273" w:lineRule="auto"/>
              <w:ind w:firstLine="480" w:firstLineChars="200"/>
              <w:rPr>
                <w:rFonts w:ascii="仿宋" w:hAnsi="仿宋" w:eastAsia="仿宋"/>
                <w:color w:val="auto"/>
                <w:sz w:val="24"/>
              </w:rPr>
            </w:pPr>
            <w:r>
              <w:rPr>
                <w:rFonts w:hint="eastAsia" w:ascii="仿宋" w:hAnsi="仿宋" w:eastAsia="仿宋"/>
                <w:color w:val="auto"/>
                <w:sz w:val="24"/>
              </w:rPr>
              <w:t>注：（1）投标人应权衡利弊考虑是否提供数据电子备份投标文件（U盘），采购人及采购代理机构不做强制性要求，若因下一条款（第3条）原因须启用数据电子备份投标文件（U盘）时，而投标人未提供的，视为放弃投标资格，作作未递交投标文件处理；（2）投标人应对提供的数据电子备份投标文件（U盘）进行加密处理，若需要启用数据电子备份投标文件（U盘）时，由采购人或采购代理机构启封并进行解密；（3）若投标人未提供数据电子备份投标文件（U盘），招标公告及招标文件中关于数据电子备份投标文件（U盘）的要求及内容不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9</w:t>
            </w:r>
          </w:p>
        </w:tc>
        <w:tc>
          <w:tcPr>
            <w:tcW w:w="8523"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olor w:val="auto"/>
                <w:sz w:val="24"/>
              </w:rPr>
            </w:pPr>
            <w:r>
              <w:rPr>
                <w:rFonts w:hint="eastAsia" w:ascii="仿宋" w:hAnsi="仿宋" w:eastAsia="仿宋"/>
                <w:color w:val="auto"/>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10</w:t>
            </w:r>
          </w:p>
        </w:tc>
        <w:tc>
          <w:tcPr>
            <w:tcW w:w="852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中标结果公告：采购人依法确定中标后 2 个工作日内，公告发布网址如下：</w:t>
            </w:r>
          </w:p>
          <w:p>
            <w:pPr>
              <w:spacing w:line="360" w:lineRule="auto"/>
              <w:rPr>
                <w:rFonts w:ascii="仿宋" w:hAnsi="仿宋" w:eastAsia="仿宋"/>
                <w:color w:val="auto"/>
                <w:sz w:val="24"/>
              </w:rPr>
            </w:pPr>
            <w:r>
              <w:rPr>
                <w:rFonts w:hint="eastAsia" w:ascii="仿宋" w:hAnsi="仿宋" w:eastAsia="仿宋"/>
                <w:color w:val="auto"/>
                <w:sz w:val="24"/>
              </w:rPr>
              <w:t>浙江政府采购网：http://zfcg.czt.zj.gov.cn/；</w:t>
            </w:r>
          </w:p>
          <w:p>
            <w:pPr>
              <w:spacing w:line="360" w:lineRule="auto"/>
              <w:jc w:val="left"/>
              <w:rPr>
                <w:rFonts w:ascii="仿宋" w:hAnsi="仿宋" w:eastAsia="仿宋"/>
                <w:color w:val="auto"/>
                <w:sz w:val="24"/>
              </w:rPr>
            </w:pPr>
            <w:r>
              <w:rPr>
                <w:rFonts w:hint="eastAsia" w:ascii="仿宋" w:hAnsi="仿宋" w:eastAsia="仿宋"/>
                <w:color w:val="auto"/>
                <w:sz w:val="24"/>
              </w:rPr>
              <w:t>湖州市公共资源交易信息网：http://ggzy.huzhou.gov.cn/hzfront/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11</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中标通知书：在发布中标结果公告的同时，向中标人发中标通知书。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12</w:t>
            </w:r>
          </w:p>
        </w:tc>
        <w:tc>
          <w:tcPr>
            <w:tcW w:w="8523"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olor w:val="auto"/>
                <w:sz w:val="24"/>
              </w:rPr>
            </w:pPr>
            <w:r>
              <w:rPr>
                <w:rFonts w:hint="eastAsia" w:ascii="仿宋" w:hAnsi="仿宋" w:eastAsia="仿宋"/>
                <w:color w:val="auto"/>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13</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履约保证金的收取及退还：</w:t>
            </w:r>
            <w:r>
              <w:rPr>
                <w:rFonts w:hint="eastAsia" w:ascii="仿宋" w:hAnsi="仿宋" w:eastAsia="仿宋"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14</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15</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解释：本招标文件的解释权属于采购人和招标代理机构。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16</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在确定中标人后，签订合同前，中标人须提供二份完整的纸质投标文件给采购人，纸质投标文件须与电子投标文件格式及内容一致。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olor w:val="auto"/>
                <w:sz w:val="24"/>
              </w:rPr>
            </w:pPr>
            <w:r>
              <w:rPr>
                <w:rFonts w:hint="eastAsia" w:ascii="仿宋" w:hAnsi="仿宋" w:eastAsia="仿宋"/>
                <w:color w:val="auto"/>
                <w:sz w:val="24"/>
              </w:rPr>
              <w:t>17</w:t>
            </w:r>
          </w:p>
        </w:tc>
        <w:tc>
          <w:tcPr>
            <w:tcW w:w="8523"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olor w:val="auto"/>
                <w:sz w:val="24"/>
              </w:rPr>
            </w:pPr>
            <w:r>
              <w:rPr>
                <w:rFonts w:hint="eastAsia" w:ascii="仿宋" w:hAnsi="仿宋" w:eastAsia="仿宋"/>
                <w:color w:val="auto"/>
                <w:sz w:val="24"/>
              </w:rPr>
              <w:t>特别说明：政采云公司如对电子化开标及评审程序有调整的，应按调整的程序操作。</w:t>
            </w:r>
          </w:p>
        </w:tc>
      </w:tr>
      <w:bookmarkEnd w:id="9"/>
      <w:bookmarkEnd w:id="10"/>
    </w:tbl>
    <w:p>
      <w:pPr>
        <w:pStyle w:val="41"/>
        <w:spacing w:line="500" w:lineRule="exact"/>
        <w:rPr>
          <w:rFonts w:ascii="仿宋" w:hAnsi="仿宋" w:eastAsia="仿宋"/>
          <w:color w:val="auto"/>
        </w:rPr>
      </w:pPr>
    </w:p>
    <w:p>
      <w:pPr>
        <w:spacing w:line="500" w:lineRule="exact"/>
        <w:ind w:firstLine="482" w:firstLineChars="200"/>
        <w:rPr>
          <w:rFonts w:hint="eastAsia" w:ascii="仿宋" w:hAnsi="仿宋" w:eastAsia="仿宋" w:cs="Times New Roman"/>
          <w:b/>
          <w:color w:val="auto"/>
          <w:kern w:val="0"/>
          <w:sz w:val="24"/>
        </w:rPr>
      </w:pPr>
      <w:r>
        <w:rPr>
          <w:rFonts w:hint="eastAsia" w:ascii="仿宋" w:hAnsi="仿宋" w:eastAsia="仿宋" w:cs="Times New Roman"/>
          <w:b/>
          <w:color w:val="auto"/>
          <w:kern w:val="0"/>
          <w:sz w:val="24"/>
        </w:rPr>
        <w:t xml:space="preserve">一、总 则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（一）适用范围 </w:t>
      </w:r>
    </w:p>
    <w:p>
      <w:pPr>
        <w:spacing w:line="500" w:lineRule="exact"/>
        <w:ind w:firstLine="480" w:firstLineChars="200"/>
        <w:rPr>
          <w:rFonts w:ascii="仿宋" w:hAnsi="仿宋" w:eastAsia="仿宋"/>
          <w:color w:val="auto"/>
          <w:sz w:val="24"/>
        </w:rPr>
      </w:pPr>
      <w:r>
        <w:rPr>
          <w:rFonts w:ascii="仿宋" w:hAnsi="仿宋" w:eastAsia="仿宋"/>
          <w:color w:val="auto"/>
          <w:sz w:val="24"/>
        </w:rPr>
        <w:t>本招标文件适用于</w:t>
      </w:r>
      <w:r>
        <w:rPr>
          <w:rFonts w:hint="eastAsia" w:ascii="仿宋" w:hAnsi="仿宋" w:eastAsia="仿宋"/>
          <w:color w:val="auto"/>
          <w:sz w:val="24"/>
          <w:u w:val="single"/>
        </w:rPr>
        <w:t>2021-2023年度</w:t>
      </w:r>
      <w:r>
        <w:rPr>
          <w:rFonts w:hint="eastAsia" w:ascii="仿宋" w:hAnsi="仿宋" w:eastAsia="仿宋"/>
          <w:color w:val="auto"/>
          <w:sz w:val="24"/>
          <w:u w:val="single"/>
          <w:lang w:eastAsia="zh-CN"/>
        </w:rPr>
        <w:t>水闸泵站</w:t>
      </w:r>
      <w:r>
        <w:rPr>
          <w:rFonts w:hint="eastAsia" w:ascii="仿宋" w:hAnsi="仿宋" w:eastAsia="仿宋"/>
          <w:color w:val="auto"/>
          <w:sz w:val="24"/>
          <w:u w:val="single"/>
        </w:rPr>
        <w:t xml:space="preserve">运行维修养护服务项目 </w:t>
      </w:r>
      <w:r>
        <w:rPr>
          <w:rFonts w:ascii="仿宋" w:hAnsi="仿宋" w:eastAsia="仿宋"/>
          <w:color w:val="auto"/>
          <w:sz w:val="24"/>
        </w:rPr>
        <w:t xml:space="preserve">的招标、投标、评标、定标、验收、合同履约、付款等行为（法律、法规另有规定的，从其规定）。 </w:t>
      </w:r>
    </w:p>
    <w:p>
      <w:pPr>
        <w:pStyle w:val="41"/>
        <w:spacing w:line="500" w:lineRule="exact"/>
        <w:ind w:firstLine="480" w:firstLineChars="200"/>
        <w:rPr>
          <w:rFonts w:ascii="仿宋" w:hAnsi="仿宋" w:eastAsia="仿宋"/>
          <w:color w:val="auto"/>
          <w:shd w:val="pct10" w:color="auto" w:fill="FFFFFF"/>
        </w:rPr>
      </w:pPr>
      <w:r>
        <w:rPr>
          <w:rFonts w:ascii="仿宋" w:hAnsi="仿宋" w:eastAsia="仿宋" w:cs="Times New Roman"/>
          <w:color w:val="auto"/>
        </w:rPr>
        <w:t>（二）采购预算：</w:t>
      </w:r>
      <w:r>
        <w:rPr>
          <w:rFonts w:hint="eastAsia" w:ascii="仿宋" w:hAnsi="仿宋" w:eastAsia="仿宋" w:cs="Times New Roman"/>
          <w:color w:val="auto"/>
          <w:lang w:val="en-US" w:eastAsia="zh-CN"/>
        </w:rPr>
        <w:t>523.6</w:t>
      </w:r>
      <w:r>
        <w:rPr>
          <w:rFonts w:hint="eastAsia" w:ascii="仿宋" w:hAnsi="仿宋" w:eastAsia="仿宋"/>
          <w:color w:val="auto"/>
        </w:rPr>
        <w:t>万元。</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（三）定义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1. </w:t>
      </w:r>
      <w:r>
        <w:rPr>
          <w:rFonts w:hint="eastAsia" w:ascii="仿宋" w:hAnsi="仿宋" w:eastAsia="仿宋" w:cs="Times New Roman"/>
          <w:color w:val="auto"/>
        </w:rPr>
        <w:t>采购人</w:t>
      </w:r>
      <w:r>
        <w:rPr>
          <w:rFonts w:ascii="仿宋" w:hAnsi="仿宋" w:eastAsia="仿宋" w:cs="Times New Roman"/>
          <w:color w:val="auto"/>
        </w:rPr>
        <w:t>系指组织本次项目采购的</w:t>
      </w:r>
      <w:r>
        <w:rPr>
          <w:rFonts w:hint="eastAsia" w:ascii="仿宋" w:hAnsi="仿宋" w:eastAsia="仿宋" w:cs="Times New Roman"/>
          <w:b/>
          <w:color w:val="auto"/>
          <w:u w:val="single"/>
        </w:rPr>
        <w:t>湖州市直属水利工程运行管理所</w:t>
      </w:r>
      <w:r>
        <w:rPr>
          <w:rFonts w:ascii="仿宋" w:hAnsi="仿宋" w:eastAsia="仿宋" w:cs="Times New Roman"/>
          <w:color w:val="auto"/>
        </w:rPr>
        <w:t>；采购代理机构系指</w:t>
      </w:r>
      <w:r>
        <w:rPr>
          <w:rFonts w:hint="eastAsia" w:ascii="仿宋" w:hAnsi="仿宋" w:eastAsia="仿宋" w:cs="Times New Roman"/>
          <w:color w:val="auto"/>
        </w:rPr>
        <w:t>采购人</w:t>
      </w:r>
      <w:r>
        <w:rPr>
          <w:rFonts w:ascii="仿宋" w:hAnsi="仿宋" w:eastAsia="仿宋" w:cs="Times New Roman"/>
          <w:color w:val="auto"/>
        </w:rPr>
        <w:t>授权委托代理本项目招标程序的</w:t>
      </w:r>
      <w:r>
        <w:rPr>
          <w:rFonts w:hint="eastAsia" w:ascii="仿宋" w:hAnsi="仿宋" w:eastAsia="仿宋" w:cs="Times New Roman"/>
          <w:b/>
          <w:color w:val="auto"/>
          <w:u w:val="single"/>
        </w:rPr>
        <w:t>湖州市仁皇工程咨询有限公司</w:t>
      </w:r>
      <w:r>
        <w:rPr>
          <w:rFonts w:ascii="仿宋" w:hAnsi="仿宋" w:eastAsia="仿宋" w:cs="Times New Roman"/>
          <w:color w:val="auto"/>
        </w:rPr>
        <w:t xml:space="preserve">。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2.“投标人”指向</w:t>
      </w:r>
      <w:r>
        <w:rPr>
          <w:rFonts w:hint="eastAsia" w:ascii="仿宋" w:hAnsi="仿宋" w:eastAsia="仿宋" w:cs="Times New Roman"/>
          <w:color w:val="auto"/>
        </w:rPr>
        <w:t>采购人</w:t>
      </w:r>
      <w:r>
        <w:rPr>
          <w:rFonts w:ascii="仿宋" w:hAnsi="仿宋" w:eastAsia="仿宋" w:cs="Times New Roman"/>
          <w:color w:val="auto"/>
        </w:rPr>
        <w:t xml:space="preserve">提交投标文件的单位。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3. “产品”系指供方按招标文件规定，须向</w:t>
      </w:r>
      <w:r>
        <w:rPr>
          <w:rFonts w:hint="eastAsia" w:ascii="仿宋" w:hAnsi="仿宋" w:eastAsia="仿宋" w:cs="Times New Roman"/>
          <w:color w:val="auto"/>
        </w:rPr>
        <w:t>采购人</w:t>
      </w:r>
      <w:r>
        <w:rPr>
          <w:rFonts w:ascii="仿宋" w:hAnsi="仿宋" w:eastAsia="仿宋" w:cs="Times New Roman"/>
          <w:color w:val="auto"/>
        </w:rPr>
        <w:t>提供的一切</w:t>
      </w:r>
      <w:r>
        <w:rPr>
          <w:rFonts w:hint="eastAsia" w:ascii="仿宋" w:hAnsi="仿宋" w:eastAsia="仿宋" w:cs="Times New Roman"/>
          <w:color w:val="auto"/>
        </w:rPr>
        <w:t>产品</w:t>
      </w:r>
      <w:r>
        <w:rPr>
          <w:rFonts w:ascii="仿宋" w:hAnsi="仿宋" w:eastAsia="仿宋" w:cs="Times New Roman"/>
          <w:color w:val="auto"/>
        </w:rPr>
        <w:t>、保险、税金、备品备件、工具、手册及其它有关技术资料和材料。</w:t>
      </w:r>
    </w:p>
    <w:p>
      <w:pPr>
        <w:pStyle w:val="41"/>
        <w:spacing w:line="500" w:lineRule="exact"/>
        <w:ind w:firstLine="480" w:firstLineChars="200"/>
        <w:rPr>
          <w:rFonts w:ascii="仿宋" w:hAnsi="仿宋" w:eastAsia="仿宋"/>
          <w:color w:val="auto"/>
          <w:szCs w:val="20"/>
        </w:rPr>
      </w:pPr>
      <w:r>
        <w:rPr>
          <w:rFonts w:ascii="仿宋" w:hAnsi="仿宋" w:eastAsia="仿宋" w:cs="Times New Roman"/>
          <w:color w:val="auto"/>
        </w:rPr>
        <w:t>4</w:t>
      </w:r>
      <w:r>
        <w:rPr>
          <w:rFonts w:hint="eastAsia" w:ascii="仿宋" w:hAnsi="仿宋" w:eastAsia="仿宋" w:cs="Times New Roman"/>
          <w:color w:val="auto"/>
        </w:rPr>
        <w:t>.</w:t>
      </w:r>
      <w:r>
        <w:rPr>
          <w:rFonts w:ascii="仿宋" w:hAnsi="仿宋" w:eastAsia="仿宋" w:cs="Times New Roman"/>
          <w:color w:val="auto"/>
        </w:rPr>
        <w:t>“服务”系指招标文件规定</w:t>
      </w:r>
      <w:r>
        <w:rPr>
          <w:rFonts w:hint="eastAsia" w:ascii="仿宋" w:hAnsi="仿宋" w:eastAsia="仿宋" w:cs="Times New Roman"/>
          <w:color w:val="auto"/>
        </w:rPr>
        <w:t>投标人</w:t>
      </w:r>
      <w:r>
        <w:rPr>
          <w:rFonts w:ascii="仿宋" w:hAnsi="仿宋" w:eastAsia="仿宋" w:cs="Times New Roman"/>
          <w:color w:val="auto"/>
        </w:rPr>
        <w:t>须承担的安装、调试、技术协助、校准、</w:t>
      </w:r>
      <w:r>
        <w:rPr>
          <w:rFonts w:ascii="仿宋" w:hAnsi="仿宋" w:eastAsia="仿宋"/>
          <w:color w:val="auto"/>
        </w:rPr>
        <w:t>培训、技术指导以及其他类似的义务。</w:t>
      </w:r>
    </w:p>
    <w:p>
      <w:pPr>
        <w:pStyle w:val="41"/>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5</w:t>
      </w:r>
      <w:r>
        <w:rPr>
          <w:rFonts w:ascii="仿宋" w:hAnsi="仿宋" w:eastAsia="仿宋" w:cs="Times New Roman"/>
          <w:color w:val="auto"/>
        </w:rPr>
        <w:t>.“项目”系指投标人按招标文件规定向</w:t>
      </w:r>
      <w:r>
        <w:rPr>
          <w:rFonts w:hint="eastAsia" w:ascii="仿宋" w:hAnsi="仿宋" w:eastAsia="仿宋" w:cs="Times New Roman"/>
          <w:color w:val="auto"/>
        </w:rPr>
        <w:t>采购人</w:t>
      </w:r>
      <w:r>
        <w:rPr>
          <w:rFonts w:ascii="仿宋" w:hAnsi="仿宋" w:eastAsia="仿宋" w:cs="Times New Roman"/>
          <w:color w:val="auto"/>
        </w:rPr>
        <w:t xml:space="preserve">提供的服务。 </w:t>
      </w:r>
    </w:p>
    <w:p>
      <w:pPr>
        <w:pStyle w:val="41"/>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6</w:t>
      </w:r>
      <w:r>
        <w:rPr>
          <w:rFonts w:ascii="仿宋" w:hAnsi="仿宋" w:eastAsia="仿宋" w:cs="Times New Roman"/>
          <w:color w:val="auto"/>
        </w:rPr>
        <w:t xml:space="preserve">.“书面形式”包括信函、传真、电报等。 </w:t>
      </w:r>
    </w:p>
    <w:p>
      <w:pPr>
        <w:pStyle w:val="41"/>
        <w:spacing w:line="500" w:lineRule="exact"/>
        <w:ind w:firstLine="480" w:firstLineChars="200"/>
        <w:rPr>
          <w:rFonts w:ascii="仿宋" w:hAnsi="仿宋" w:eastAsia="仿宋" w:cs="Times New Roman"/>
          <w:color w:val="auto"/>
        </w:rPr>
      </w:pPr>
      <w:r>
        <w:rPr>
          <w:rFonts w:hint="eastAsia" w:ascii="仿宋" w:hAnsi="仿宋" w:eastAsia="仿宋" w:cs="Times New Roman"/>
          <w:color w:val="auto"/>
        </w:rPr>
        <w:t>7</w:t>
      </w:r>
      <w:r>
        <w:rPr>
          <w:rFonts w:ascii="仿宋" w:hAnsi="仿宋" w:eastAsia="仿宋" w:cs="Times New Roman"/>
          <w:color w:val="auto"/>
        </w:rPr>
        <w:t xml:space="preserve">.“▲”系指实质性要求条款。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（四）采购方式 </w:t>
      </w:r>
    </w:p>
    <w:p>
      <w:pPr>
        <w:pStyle w:val="41"/>
        <w:spacing w:line="500" w:lineRule="exact"/>
        <w:ind w:firstLine="480" w:firstLineChars="200"/>
        <w:rPr>
          <w:rFonts w:ascii="仿宋" w:hAnsi="仿宋" w:eastAsia="仿宋" w:cs="Times New Roman"/>
          <w:color w:val="auto"/>
        </w:rPr>
      </w:pPr>
      <w:r>
        <w:rPr>
          <w:rFonts w:ascii="仿宋" w:hAnsi="仿宋" w:eastAsia="仿宋" w:cs="Times New Roman"/>
          <w:color w:val="auto"/>
        </w:rPr>
        <w:t xml:space="preserve">本次招标采用公开招标方式进行。 </w:t>
      </w:r>
    </w:p>
    <w:p>
      <w:pPr>
        <w:pStyle w:val="41"/>
        <w:spacing w:line="500" w:lineRule="exact"/>
        <w:ind w:firstLine="480" w:firstLineChars="200"/>
        <w:rPr>
          <w:rFonts w:ascii="仿宋" w:hAnsi="仿宋" w:eastAsia="仿宋"/>
          <w:color w:val="auto"/>
        </w:rPr>
      </w:pPr>
      <w:r>
        <w:rPr>
          <w:rFonts w:ascii="仿宋" w:hAnsi="仿宋" w:eastAsia="仿宋" w:cs="Times New Roman"/>
          <w:color w:val="auto"/>
        </w:rPr>
        <w:t>（五）</w:t>
      </w:r>
      <w:bookmarkEnd w:id="11"/>
      <w:bookmarkEnd w:id="12"/>
      <w:r>
        <w:rPr>
          <w:rFonts w:hint="eastAsia" w:ascii="仿宋" w:hAnsi="仿宋" w:eastAsia="仿宋"/>
          <w:color w:val="auto"/>
        </w:rPr>
        <w:t>投标费用</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1. 投标人应自行承担投标过程中的所有相关费用，不论中标与否，采购人在任何情况下不承担有关费用。</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2. 本项目代理服务费由中标人在中标后、领取中标通知书时按标项支付给采购代理机构，该费用请投标人自行考虑计入投标报价中。</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（六）联合体投标</w:t>
      </w:r>
    </w:p>
    <w:p>
      <w:pPr>
        <w:spacing w:line="500" w:lineRule="exact"/>
        <w:ind w:firstLine="482" w:firstLineChars="200"/>
        <w:jc w:val="left"/>
        <w:rPr>
          <w:rFonts w:ascii="仿宋" w:hAnsi="仿宋" w:eastAsia="仿宋"/>
          <w:b/>
          <w:color w:val="auto"/>
          <w:kern w:val="0"/>
          <w:sz w:val="24"/>
        </w:rPr>
      </w:pPr>
      <w:r>
        <w:rPr>
          <w:rFonts w:hint="eastAsia" w:ascii="仿宋" w:hAnsi="仿宋" w:eastAsia="仿宋"/>
          <w:b/>
          <w:color w:val="auto"/>
          <w:sz w:val="24"/>
        </w:rPr>
        <w:t>本项目不接受联合体投标</w:t>
      </w:r>
      <w:r>
        <w:rPr>
          <w:rFonts w:hint="eastAsia" w:ascii="仿宋" w:hAnsi="仿宋" w:eastAsia="仿宋"/>
          <w:b/>
          <w:color w:val="auto"/>
          <w:kern w:val="0"/>
          <w:sz w:val="24"/>
        </w:rPr>
        <w:t>。</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（七）转包与分包</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本项目不允许转包与分包。</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特别说明：</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▲1.投标人投标所使用的资格、信誉、荣誉、业绩与企业认证必须为本法人所拥有。投标人投标所使用的采购项目实施人员必须为本法人员工。</w:t>
      </w:r>
    </w:p>
    <w:p>
      <w:pPr>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▲2.投标人应仔细阅读招标文件的所有内容，按照招标文件的要求提交投标文件，并对所提供的全部资料的真实性承担法律责任。</w:t>
      </w:r>
    </w:p>
    <w:p>
      <w:pPr>
        <w:widowControl/>
        <w:spacing w:line="500" w:lineRule="exact"/>
        <w:ind w:firstLine="480" w:firstLineChars="200"/>
        <w:jc w:val="left"/>
        <w:rPr>
          <w:rFonts w:ascii="仿宋" w:hAnsi="仿宋" w:eastAsia="仿宋"/>
          <w:color w:val="auto"/>
          <w:kern w:val="0"/>
          <w:sz w:val="24"/>
        </w:rPr>
      </w:pPr>
      <w:r>
        <w:rPr>
          <w:rFonts w:hint="eastAsia" w:ascii="仿宋" w:hAnsi="仿宋" w:eastAsia="仿宋"/>
          <w:color w:val="auto"/>
          <w:kern w:val="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（八）质疑和投诉</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根据《中华人民共和国财政部令第 94 号-政府采购质疑和投诉办法》第二章规定。</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1.投标人认为招标文件、采购过程、中标或者中标结果使自己的权益受到损害的，可以在知道或者应知其权益受到损害之日起 7 个工作日内，以书面形式向采购人、采购代理机构提出质疑。招标文件可以要求投标人在法定质疑期内一次性提出针对同一采购程序环节的质疑。</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提出质疑的投标人（以下简称质疑投标人）应当是参与所质疑项目采购活动的投标人。潜在投标人已依法获取（依法获取指：依法获取指：投标人按本项目招标公告要求在政采云系统上获取并报名成功）其可质疑的招标文件的，可以对该文件提出质疑。未按照规定方式依法获取招标文件的，不得对招标文件提起质疑投诉。对招标文件提出质疑的，应当在获取招标文件或者招标文件公告期限届满之日起 7 个工作日内提出。</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 xml:space="preserve">3. 投标人提出质疑应当提交质疑函和必要的证明材料。质疑函应当包括下列内容: </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（1）投标人的姓名或者名称、地址、邮编、联系人及联系电话；</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（2）质疑项目的名称、编号；</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（3）具体、明确的质疑事项和与质疑事项相关的请求；</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（4）事实依据；</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（5）必要的法律依据；</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（6）提出质疑的日期。</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投标人为自然人的，应当由本人签字；投标人为法人或者其他组织的，应当由法定代表人、主要负责人，或者其授权代理人签字或者盖章，并加盖公章。</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4.采购人、采购代理机构不得拒收质疑投标人在法定质疑期内发出的质疑函，应当在收到质疑函后 7 个工作日内作出答复，并以书面形式通知质疑投标人和其他有关投标人。</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5. 投标人对评审过程、中标或者中标结果提出质疑的，采购人、采购代理机构可以组织原评标委员会、竞争性谈判小组、询价小组或者竞争性磋商小组协助答复质疑。</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6.质疑答复应当包括下列内容：</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（1）质疑投标人的姓名或者名称；</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（2）收到质疑函的日期、质疑项目名称及编号；</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（3）质疑事项、质疑答复的具体内容、事实依据和法律依据；</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（4）告知质疑投标人依法投诉的权利；</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（5）质疑答复人名称；</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（6）答复质疑的日期。</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质疑答复的内容不得涉及商业秘密。</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7.采购人、采购代理机构认为投标人质疑不成立，或者成立但未对中标、中标结果构成影响的，继续开展采购活动；认为投标人质疑成立且影响或者可能影响中标、中标结果的，按照下列情况处理：</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对采购过程、中标或者中标结果提出的质疑，合格投标人符合法定数量时，可以从合格的中标或者中标候选人中另行确定中标、中标人的，应当依法另行确定中标、中标人；否则应当重新开展采购活动。质疑答复导致中标、中标结果改变的，采购人或者采购代理机构应当将有关情况书面报告本级财政部门。</w:t>
      </w:r>
    </w:p>
    <w:p>
      <w:pPr>
        <w:spacing w:line="500" w:lineRule="exact"/>
        <w:ind w:firstLine="482" w:firstLineChars="200"/>
        <w:rPr>
          <w:rFonts w:ascii="仿宋" w:hAnsi="仿宋" w:eastAsia="仿宋"/>
          <w:color w:val="auto"/>
          <w:kern w:val="0"/>
          <w:sz w:val="24"/>
        </w:rPr>
      </w:pPr>
      <w:r>
        <w:rPr>
          <w:rFonts w:hint="eastAsia" w:ascii="仿宋" w:hAnsi="仿宋" w:eastAsia="仿宋"/>
          <w:b/>
          <w:color w:val="auto"/>
          <w:kern w:val="0"/>
          <w:sz w:val="24"/>
        </w:rPr>
        <w:t>二、招标文件</w:t>
      </w:r>
    </w:p>
    <w:p>
      <w:pPr>
        <w:spacing w:line="500" w:lineRule="exact"/>
        <w:ind w:firstLine="482" w:firstLineChars="200"/>
        <w:rPr>
          <w:rFonts w:ascii="仿宋" w:hAnsi="仿宋" w:eastAsia="仿宋"/>
          <w:color w:val="auto"/>
          <w:kern w:val="0"/>
          <w:sz w:val="24"/>
        </w:rPr>
      </w:pPr>
      <w:r>
        <w:rPr>
          <w:rFonts w:hint="eastAsia" w:ascii="仿宋" w:hAnsi="仿宋" w:eastAsia="仿宋"/>
          <w:b/>
          <w:color w:val="auto"/>
          <w:kern w:val="0"/>
          <w:sz w:val="24"/>
        </w:rPr>
        <w:t>（一） 招标文件的构成。本招标文件由以下</w:t>
      </w:r>
      <w:r>
        <w:rPr>
          <w:rFonts w:hint="eastAsia" w:ascii="仿宋" w:hAnsi="仿宋" w:eastAsia="仿宋"/>
          <w:b/>
          <w:color w:val="auto"/>
          <w:kern w:val="0"/>
          <w:sz w:val="24"/>
          <w:lang w:eastAsia="zh-CN"/>
        </w:rPr>
        <w:t>部分</w:t>
      </w:r>
      <w:r>
        <w:rPr>
          <w:rFonts w:hint="eastAsia" w:ascii="仿宋" w:hAnsi="仿宋" w:eastAsia="仿宋"/>
          <w:b/>
          <w:color w:val="auto"/>
          <w:kern w:val="0"/>
          <w:sz w:val="24"/>
        </w:rPr>
        <w:t>组成：</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1.公开招标采购公告</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2.招标需求</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3.投标人须知</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4.评标办法及标准</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5.合同主要条款</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6.投标格式与附件</w:t>
      </w:r>
    </w:p>
    <w:p>
      <w:pPr>
        <w:spacing w:line="500" w:lineRule="exact"/>
        <w:ind w:firstLine="480" w:firstLineChars="200"/>
        <w:rPr>
          <w:rFonts w:hint="eastAsia" w:ascii="仿宋" w:hAnsi="仿宋" w:eastAsia="仿宋"/>
          <w:color w:val="auto"/>
          <w:kern w:val="0"/>
          <w:sz w:val="24"/>
          <w:lang w:eastAsia="zh-CN"/>
        </w:rPr>
      </w:pPr>
      <w:r>
        <w:rPr>
          <w:rFonts w:hint="eastAsia" w:ascii="仿宋" w:hAnsi="仿宋" w:eastAsia="仿宋"/>
          <w:color w:val="auto"/>
          <w:kern w:val="0"/>
          <w:sz w:val="24"/>
        </w:rPr>
        <w:t>7.</w:t>
      </w:r>
      <w:r>
        <w:rPr>
          <w:rFonts w:hint="eastAsia" w:ascii="仿宋" w:hAnsi="仿宋" w:eastAsia="仿宋"/>
          <w:color w:val="auto"/>
          <w:kern w:val="0"/>
          <w:sz w:val="24"/>
          <w:lang w:eastAsia="zh-CN"/>
        </w:rPr>
        <w:t>技术标准和要求</w:t>
      </w:r>
    </w:p>
    <w:p>
      <w:pPr>
        <w:spacing w:line="500" w:lineRule="exact"/>
        <w:ind w:firstLine="480" w:firstLineChars="200"/>
        <w:rPr>
          <w:rFonts w:hint="eastAsia" w:ascii="仿宋" w:hAnsi="仿宋" w:eastAsia="仿宋"/>
          <w:color w:val="auto"/>
          <w:kern w:val="0"/>
          <w:sz w:val="24"/>
          <w:lang w:eastAsia="zh-CN"/>
        </w:rPr>
      </w:pPr>
      <w:r>
        <w:rPr>
          <w:rFonts w:hint="eastAsia" w:ascii="仿宋" w:hAnsi="仿宋" w:eastAsia="仿宋"/>
          <w:color w:val="auto"/>
          <w:kern w:val="0"/>
          <w:sz w:val="24"/>
          <w:lang w:val="en-US" w:eastAsia="zh-CN"/>
        </w:rPr>
        <w:t>8.</w:t>
      </w:r>
      <w:r>
        <w:rPr>
          <w:rFonts w:hint="eastAsia" w:ascii="仿宋" w:hAnsi="仿宋" w:eastAsia="仿宋"/>
          <w:color w:val="auto"/>
          <w:kern w:val="0"/>
          <w:sz w:val="24"/>
          <w:lang w:eastAsia="zh-CN"/>
        </w:rPr>
        <w:t>工程量清单</w:t>
      </w:r>
    </w:p>
    <w:p>
      <w:pPr>
        <w:spacing w:line="500" w:lineRule="exact"/>
        <w:ind w:firstLine="480" w:firstLineChars="200"/>
        <w:rPr>
          <w:rFonts w:hint="eastAsia" w:ascii="仿宋" w:hAnsi="仿宋" w:eastAsia="仿宋"/>
          <w:color w:val="auto"/>
          <w:kern w:val="0"/>
          <w:sz w:val="24"/>
          <w:lang w:val="en-US" w:eastAsia="zh-CN"/>
        </w:rPr>
      </w:pPr>
      <w:r>
        <w:rPr>
          <w:rFonts w:hint="eastAsia" w:ascii="仿宋" w:hAnsi="仿宋" w:eastAsia="仿宋"/>
          <w:color w:val="auto"/>
          <w:kern w:val="0"/>
          <w:sz w:val="24"/>
          <w:lang w:val="en-US" w:eastAsia="zh-CN"/>
        </w:rPr>
        <w:t>9.图纸</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lang w:val="en-US" w:eastAsia="zh-CN"/>
        </w:rPr>
        <w:t>10.</w:t>
      </w:r>
      <w:r>
        <w:rPr>
          <w:rFonts w:hint="eastAsia" w:ascii="仿宋" w:hAnsi="仿宋" w:eastAsia="仿宋"/>
          <w:color w:val="auto"/>
          <w:kern w:val="0"/>
          <w:sz w:val="24"/>
        </w:rPr>
        <w:t>本项目招标文件的澄清、答复、修改、补充的内容</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（二）投标人的风险</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投标人没有按照招标文件要求提供全部资料，或者投标人没有对招标文件在各方面作出实质性响应是投标人的风险，并可能导致其投标被拒绝。</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（三）招标文件的澄清与修改</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1.投标人应认真阅读本招标文件，发现其中有误或有不合理要求的，投标人应当在获取招标文件或者招标文件公告期限届满之日起七个工作日内提出，否则逾期视为默认。采购人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2.采购人、采购代理机构必须以书面形式答复投标人要求澄清的问题，并将不包含问题来源的答复书面通知所有购买招标文件的投标人；除书面答复以外的其他澄清方式及澄清内容均无效。</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3.招标文件澄清、答复、修改、补充的内容为招标文件的组成部分。当招标文件与招标文件的答复、澄清、修改、补充通知就同一内容的表述不一致时，以最后发出的书面文件为准。</w:t>
      </w:r>
    </w:p>
    <w:p>
      <w:pPr>
        <w:spacing w:line="500" w:lineRule="exact"/>
        <w:ind w:firstLine="480" w:firstLineChars="200"/>
        <w:rPr>
          <w:rFonts w:ascii="仿宋" w:hAnsi="仿宋" w:eastAsia="仿宋"/>
          <w:color w:val="auto"/>
          <w:kern w:val="0"/>
          <w:sz w:val="24"/>
        </w:rPr>
      </w:pPr>
      <w:r>
        <w:rPr>
          <w:rFonts w:hint="eastAsia" w:ascii="仿宋" w:hAnsi="仿宋" w:eastAsia="仿宋"/>
          <w:color w:val="auto"/>
          <w:kern w:val="0"/>
          <w:sz w:val="24"/>
        </w:rPr>
        <w:t>4.招标文件的澄清、答复、修改或补充都应该通过本采购代理机构以法定形式发布，采购人非通过本采购代理机构，不得擅自澄清、答复、修改或补充招标文件。</w:t>
      </w:r>
    </w:p>
    <w:p>
      <w:pPr>
        <w:spacing w:line="500" w:lineRule="exact"/>
        <w:ind w:firstLine="482" w:firstLineChars="200"/>
        <w:rPr>
          <w:rFonts w:ascii="仿宋" w:hAnsi="仿宋" w:eastAsia="仿宋"/>
          <w:b/>
          <w:color w:val="auto"/>
          <w:kern w:val="0"/>
          <w:sz w:val="24"/>
        </w:rPr>
      </w:pPr>
      <w:r>
        <w:rPr>
          <w:rFonts w:hint="eastAsia" w:ascii="仿宋" w:hAnsi="仿宋" w:eastAsia="仿宋"/>
          <w:b/>
          <w:color w:val="auto"/>
          <w:kern w:val="0"/>
          <w:sz w:val="24"/>
        </w:rPr>
        <w:t>三、投标文件的编制要求</w:t>
      </w:r>
    </w:p>
    <w:p>
      <w:pPr>
        <w:spacing w:line="500" w:lineRule="exact"/>
        <w:ind w:firstLine="482" w:firstLineChars="200"/>
        <w:rPr>
          <w:rFonts w:ascii="仿宋" w:hAnsi="仿宋" w:eastAsia="仿宋"/>
          <w:b/>
          <w:color w:val="auto"/>
          <w:kern w:val="0"/>
          <w:sz w:val="24"/>
        </w:rPr>
      </w:pPr>
      <w:r>
        <w:rPr>
          <w:rFonts w:hint="eastAsia" w:ascii="仿宋" w:hAnsi="仿宋" w:eastAsia="仿宋"/>
          <w:b/>
          <w:color w:val="auto"/>
          <w:kern w:val="0"/>
          <w:sz w:val="24"/>
        </w:rPr>
        <w:t>（一）投标文件的组成（如无格式、格式自拟。）</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投标文件由《资格文件》《技术、商务、资信及其他文件》《报价文件》三部分组成。</w:t>
      </w:r>
    </w:p>
    <w:p>
      <w:pPr>
        <w:numPr>
          <w:ilvl w:val="0"/>
          <w:numId w:val="1"/>
        </w:numPr>
        <w:spacing w:line="500" w:lineRule="exact"/>
        <w:ind w:firstLine="482" w:firstLineChars="200"/>
        <w:rPr>
          <w:rFonts w:ascii="仿宋" w:hAnsi="仿宋" w:eastAsia="仿宋" w:cs="宋体"/>
          <w:b/>
          <w:color w:val="auto"/>
          <w:kern w:val="0"/>
          <w:sz w:val="24"/>
        </w:rPr>
      </w:pPr>
      <w:bookmarkStart w:id="13" w:name="_Hlk69641401"/>
      <w:r>
        <w:rPr>
          <w:rFonts w:hint="eastAsia" w:ascii="仿宋" w:hAnsi="仿宋" w:eastAsia="仿宋" w:cs="宋体"/>
          <w:b/>
          <w:color w:val="auto"/>
          <w:kern w:val="0"/>
          <w:sz w:val="24"/>
        </w:rPr>
        <w:t>资格文件主要包括下列内容：</w:t>
      </w:r>
    </w:p>
    <w:p>
      <w:pPr>
        <w:spacing w:line="500" w:lineRule="exact"/>
        <w:ind w:firstLine="235" w:firstLineChars="98"/>
        <w:rPr>
          <w:rFonts w:ascii="仿宋" w:hAnsi="仿宋" w:eastAsia="仿宋" w:cs="宋体"/>
          <w:b/>
          <w:color w:val="auto"/>
          <w:kern w:val="0"/>
          <w:sz w:val="24"/>
        </w:rPr>
      </w:pPr>
      <w:r>
        <w:rPr>
          <w:rFonts w:hint="eastAsia" w:ascii="仿宋" w:hAnsi="仿宋" w:eastAsia="仿宋" w:cs="宋体"/>
          <w:color w:val="auto"/>
          <w:kern w:val="0"/>
          <w:sz w:val="24"/>
        </w:rPr>
        <w:t xml:space="preserve">（1）有效的营业执照、税务登记证、组织机构代码证或“三证合一”的营业执照或“五证合一”的营业执照；（资格审查条款） </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 xml:space="preserve">（2）法定代表人有效身份证明书及身份证或法定代表人授权书及授权人身份证；（资格审查条款） </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（3）授权代理人最近一个月</w:t>
      </w:r>
      <w:r>
        <w:rPr>
          <w:rFonts w:hint="eastAsia" w:ascii="仿宋" w:hAnsi="仿宋" w:eastAsia="仿宋" w:cs="宋体"/>
          <w:color w:val="auto"/>
          <w:kern w:val="0"/>
          <w:sz w:val="24"/>
          <w:lang w:eastAsia="zh-CN"/>
        </w:rPr>
        <w:t>（至少为</w:t>
      </w:r>
      <w:r>
        <w:rPr>
          <w:rFonts w:hint="eastAsia" w:ascii="仿宋" w:hAnsi="仿宋" w:eastAsia="仿宋" w:cs="宋体"/>
          <w:color w:val="auto"/>
          <w:kern w:val="0"/>
          <w:sz w:val="24"/>
          <w:lang w:val="en-US" w:eastAsia="zh-CN"/>
        </w:rPr>
        <w:t>2021年8月起</w:t>
      </w:r>
      <w:r>
        <w:rPr>
          <w:rFonts w:hint="eastAsia" w:ascii="仿宋" w:hAnsi="仿宋" w:eastAsia="仿宋" w:cs="宋体"/>
          <w:color w:val="auto"/>
          <w:kern w:val="0"/>
          <w:sz w:val="24"/>
          <w:lang w:eastAsia="zh-CN"/>
        </w:rPr>
        <w:t>）</w:t>
      </w:r>
      <w:r>
        <w:rPr>
          <w:rFonts w:hint="eastAsia" w:ascii="仿宋" w:hAnsi="仿宋" w:eastAsia="仿宋" w:cs="宋体"/>
          <w:color w:val="auto"/>
          <w:kern w:val="0"/>
          <w:sz w:val="24"/>
        </w:rPr>
        <w:t xml:space="preserve">个人社保缴纳证明文件；（资格审查条款） </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（4）投标人最近三个月</w:t>
      </w:r>
      <w:r>
        <w:rPr>
          <w:rFonts w:hint="eastAsia" w:ascii="仿宋" w:hAnsi="仿宋" w:eastAsia="仿宋" w:cs="宋体"/>
          <w:color w:val="auto"/>
          <w:kern w:val="0"/>
          <w:sz w:val="24"/>
          <w:lang w:eastAsia="zh-CN"/>
        </w:rPr>
        <w:t>（至少为</w:t>
      </w:r>
      <w:r>
        <w:rPr>
          <w:rFonts w:hint="eastAsia" w:ascii="仿宋" w:hAnsi="仿宋" w:eastAsia="仿宋" w:cs="宋体"/>
          <w:color w:val="auto"/>
          <w:kern w:val="0"/>
          <w:sz w:val="24"/>
          <w:lang w:val="en-US" w:eastAsia="zh-CN"/>
        </w:rPr>
        <w:t>2021年6月起连续三个月</w:t>
      </w:r>
      <w:r>
        <w:rPr>
          <w:rFonts w:hint="eastAsia" w:ascii="仿宋" w:hAnsi="仿宋" w:eastAsia="仿宋" w:cs="宋体"/>
          <w:color w:val="auto"/>
          <w:kern w:val="0"/>
          <w:sz w:val="24"/>
          <w:lang w:eastAsia="zh-CN"/>
        </w:rPr>
        <w:t>）</w:t>
      </w:r>
      <w:r>
        <w:rPr>
          <w:rFonts w:hint="eastAsia" w:ascii="仿宋" w:hAnsi="仿宋" w:eastAsia="仿宋" w:cs="宋体"/>
          <w:color w:val="auto"/>
          <w:kern w:val="0"/>
          <w:sz w:val="24"/>
        </w:rPr>
        <w:t>企业正常纳税情况和社保基金缴纳情况证明文书；</w:t>
      </w:r>
      <w:r>
        <w:rPr>
          <w:rFonts w:hint="eastAsia" w:ascii="仿宋" w:hAnsi="仿宋" w:eastAsia="仿宋" w:cs="宋体"/>
          <w:color w:val="auto"/>
          <w:kern w:val="0"/>
          <w:sz w:val="24"/>
          <w:lang w:eastAsia="zh-CN"/>
        </w:rPr>
        <w:t>新成立的公司需提供情况说明</w:t>
      </w:r>
      <w:r>
        <w:rPr>
          <w:rFonts w:hint="eastAsia" w:ascii="仿宋" w:hAnsi="仿宋" w:eastAsia="仿宋" w:cs="宋体"/>
          <w:color w:val="auto"/>
          <w:kern w:val="0"/>
          <w:sz w:val="24"/>
        </w:rPr>
        <w:t xml:space="preserve">（资格审查条款） </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（5）</w:t>
      </w:r>
      <w:r>
        <w:rPr>
          <w:rFonts w:hint="eastAsia" w:ascii="仿宋" w:hAnsi="仿宋" w:eastAsia="仿宋" w:cs="仿宋"/>
          <w:color w:val="auto"/>
          <w:kern w:val="0"/>
          <w:sz w:val="24"/>
        </w:rPr>
        <w:t xml:space="preserve"> 2020 年度企业的完整财务报表（资产负债表、利润表），新成立的公司</w:t>
      </w:r>
      <w:r>
        <w:rPr>
          <w:rFonts w:hint="eastAsia" w:ascii="仿宋" w:hAnsi="仿宋" w:eastAsia="仿宋" w:cs="仿宋"/>
          <w:color w:val="auto"/>
          <w:kern w:val="0"/>
          <w:sz w:val="24"/>
          <w:lang w:eastAsia="zh-CN"/>
        </w:rPr>
        <w:t>需</w:t>
      </w:r>
      <w:r>
        <w:rPr>
          <w:rFonts w:hint="eastAsia" w:ascii="仿宋" w:hAnsi="仿宋" w:eastAsia="仿宋" w:cs="仿宋"/>
          <w:color w:val="auto"/>
          <w:kern w:val="0"/>
          <w:sz w:val="24"/>
        </w:rPr>
        <w:t>提供情况说明；（资格审查条款）</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 xml:space="preserve">（6）自采购公告发布之后任意时间的“信用中国”（www.creditchina.gov.cn）、“中国政府采购网”（www.ccgp.gov.cn）投标人信用查询网页截图；（资格审查条款，二者缺一不可，截图模板详见附件） </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（7）信用承诺书；（资格审查条款）</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（8）中小企业声明函；（资格审查条款，本项目属于其他未列明行业）</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（9）监狱企业声明函（如有）；</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（10）残疾人福利性单位声明函（如有）；</w:t>
      </w:r>
    </w:p>
    <w:p>
      <w:pPr>
        <w:spacing w:line="500" w:lineRule="exact"/>
        <w:ind w:firstLine="241" w:firstLineChars="100"/>
        <w:rPr>
          <w:rFonts w:ascii="仿宋" w:hAnsi="仿宋" w:eastAsia="仿宋" w:cs="宋体"/>
          <w:b/>
          <w:color w:val="auto"/>
          <w:kern w:val="0"/>
          <w:sz w:val="24"/>
        </w:rPr>
      </w:pPr>
      <w:r>
        <w:rPr>
          <w:rFonts w:hint="eastAsia" w:ascii="仿宋" w:hAnsi="仿宋" w:eastAsia="仿宋" w:cs="宋体"/>
          <w:b/>
          <w:color w:val="auto"/>
          <w:kern w:val="0"/>
          <w:sz w:val="24"/>
        </w:rPr>
        <w:t>2. 技术、商务、资信及其他文件主要包括下列内容：</w:t>
      </w:r>
    </w:p>
    <w:p>
      <w:pPr>
        <w:spacing w:line="500" w:lineRule="exact"/>
        <w:ind w:firstLine="235" w:firstLineChars="98"/>
        <w:rPr>
          <w:rFonts w:ascii="仿宋" w:hAnsi="仿宋" w:eastAsia="仿宋" w:cs="宋体"/>
          <w:color w:val="auto"/>
          <w:kern w:val="0"/>
          <w:sz w:val="24"/>
        </w:rPr>
      </w:pPr>
      <w:r>
        <w:rPr>
          <w:rFonts w:hint="eastAsia" w:ascii="仿宋" w:hAnsi="仿宋" w:eastAsia="仿宋" w:cs="宋体"/>
          <w:color w:val="auto"/>
          <w:kern w:val="0"/>
          <w:sz w:val="24"/>
        </w:rPr>
        <w:t>投标人自评分索引表；</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（1）技术部分：</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①巡查运行方案；</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②保洁值班方案；</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③维修方案；</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④绿化养护方案；</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⑤安全及文明措施；</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⑥项目实施人员配备表；</w:t>
      </w:r>
    </w:p>
    <w:p>
      <w:pPr>
        <w:spacing w:line="500" w:lineRule="exact"/>
        <w:ind w:firstLine="240" w:firstLineChars="100"/>
        <w:rPr>
          <w:rFonts w:hint="eastAsia" w:ascii="仿宋" w:hAnsi="仿宋" w:eastAsia="仿宋" w:cs="宋体"/>
          <w:color w:val="auto"/>
          <w:kern w:val="0"/>
          <w:sz w:val="24"/>
          <w:lang w:eastAsia="zh-CN"/>
        </w:rPr>
      </w:pPr>
      <w:r>
        <w:rPr>
          <w:rFonts w:hint="eastAsia" w:ascii="仿宋" w:hAnsi="仿宋" w:eastAsia="仿宋" w:cs="宋体"/>
          <w:color w:val="auto"/>
          <w:kern w:val="0"/>
          <w:sz w:val="24"/>
        </w:rPr>
        <w:t>⑦</w:t>
      </w:r>
      <w:r>
        <w:rPr>
          <w:rFonts w:hint="eastAsia" w:ascii="仿宋" w:hAnsi="仿宋" w:eastAsia="仿宋" w:cs="宋体"/>
          <w:color w:val="auto"/>
          <w:kern w:val="0"/>
          <w:sz w:val="24"/>
          <w:lang w:eastAsia="zh-CN"/>
        </w:rPr>
        <w:t>车辆配备表；</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lang w:eastAsia="zh-CN"/>
        </w:rPr>
        <w:t>⑧</w:t>
      </w:r>
      <w:r>
        <w:rPr>
          <w:rFonts w:hint="eastAsia" w:ascii="仿宋" w:hAnsi="仿宋" w:eastAsia="仿宋" w:cs="宋体"/>
          <w:color w:val="auto"/>
          <w:kern w:val="0"/>
          <w:sz w:val="24"/>
        </w:rPr>
        <w:t>投标人认为需要的其他文件资料。</w:t>
      </w:r>
    </w:p>
    <w:p>
      <w:pPr>
        <w:spacing w:line="500" w:lineRule="exact"/>
        <w:ind w:firstLine="241" w:firstLineChars="100"/>
        <w:jc w:val="left"/>
        <w:rPr>
          <w:rFonts w:ascii="仿宋" w:hAnsi="仿宋" w:eastAsia="仿宋" w:cs="宋体"/>
          <w:b/>
          <w:color w:val="auto"/>
          <w:kern w:val="0"/>
          <w:sz w:val="24"/>
        </w:rPr>
      </w:pPr>
      <w:r>
        <w:rPr>
          <w:rFonts w:hint="eastAsia" w:ascii="仿宋" w:hAnsi="仿宋" w:eastAsia="仿宋" w:cs="宋体"/>
          <w:b/>
          <w:color w:val="auto"/>
          <w:kern w:val="0"/>
          <w:sz w:val="24"/>
        </w:rPr>
        <w:t>（2）商务、资信及其他部分：</w:t>
      </w:r>
    </w:p>
    <w:p>
      <w:pPr>
        <w:spacing w:line="500" w:lineRule="exact"/>
        <w:ind w:firstLine="360" w:firstLineChars="150"/>
        <w:jc w:val="left"/>
        <w:rPr>
          <w:rFonts w:ascii="仿宋" w:hAnsi="仿宋" w:eastAsia="仿宋" w:cs="宋体"/>
          <w:color w:val="auto"/>
          <w:kern w:val="0"/>
          <w:sz w:val="24"/>
        </w:rPr>
      </w:pPr>
      <w:r>
        <w:rPr>
          <w:rFonts w:hint="eastAsia" w:ascii="仿宋" w:hAnsi="仿宋" w:eastAsia="仿宋" w:cs="宋体"/>
          <w:color w:val="auto"/>
          <w:sz w:val="24"/>
        </w:rPr>
        <w:t>①</w:t>
      </w:r>
      <w:r>
        <w:rPr>
          <w:rFonts w:hint="eastAsia" w:ascii="仿宋" w:hAnsi="仿宋" w:eastAsia="仿宋" w:cs="宋体"/>
          <w:color w:val="auto"/>
          <w:kern w:val="0"/>
          <w:sz w:val="24"/>
        </w:rPr>
        <w:t>商务响应表；</w:t>
      </w:r>
    </w:p>
    <w:p>
      <w:pPr>
        <w:spacing w:line="500" w:lineRule="exact"/>
        <w:ind w:firstLine="360" w:firstLineChars="150"/>
        <w:jc w:val="left"/>
        <w:rPr>
          <w:rFonts w:ascii="仿宋" w:hAnsi="仿宋" w:eastAsia="仿宋" w:cs="宋体"/>
          <w:color w:val="auto"/>
          <w:kern w:val="0"/>
          <w:sz w:val="24"/>
        </w:rPr>
      </w:pPr>
      <w:r>
        <w:rPr>
          <w:rFonts w:hint="eastAsia" w:ascii="仿宋" w:hAnsi="仿宋" w:eastAsia="仿宋" w:cs="宋体"/>
          <w:color w:val="auto"/>
          <w:sz w:val="24"/>
        </w:rPr>
        <w:t>②</w:t>
      </w:r>
      <w:r>
        <w:rPr>
          <w:rFonts w:hint="eastAsia" w:ascii="仿宋" w:hAnsi="仿宋" w:eastAsia="仿宋" w:cs="宋体"/>
          <w:color w:val="auto"/>
          <w:kern w:val="0"/>
          <w:sz w:val="24"/>
        </w:rPr>
        <w:t>企业认证；</w:t>
      </w:r>
    </w:p>
    <w:p>
      <w:pPr>
        <w:spacing w:line="500" w:lineRule="exact"/>
        <w:ind w:firstLine="360" w:firstLineChars="150"/>
        <w:jc w:val="left"/>
        <w:rPr>
          <w:rFonts w:ascii="仿宋" w:hAnsi="仿宋" w:eastAsia="仿宋" w:cs="宋体"/>
          <w:color w:val="auto"/>
          <w:kern w:val="0"/>
          <w:sz w:val="24"/>
        </w:rPr>
      </w:pPr>
      <w:r>
        <w:rPr>
          <w:rFonts w:hint="eastAsia" w:ascii="仿宋" w:hAnsi="仿宋" w:eastAsia="仿宋" w:cs="宋体"/>
          <w:color w:val="auto"/>
          <w:kern w:val="0"/>
          <w:sz w:val="24"/>
        </w:rPr>
        <w:t>③企业业绩；</w:t>
      </w:r>
    </w:p>
    <w:p>
      <w:pPr>
        <w:spacing w:line="500" w:lineRule="exact"/>
        <w:ind w:firstLine="360" w:firstLineChars="150"/>
        <w:jc w:val="left"/>
        <w:rPr>
          <w:rFonts w:eastAsia="仿宋"/>
          <w:color w:val="auto"/>
        </w:rPr>
      </w:pPr>
      <w:r>
        <w:rPr>
          <w:rFonts w:hint="eastAsia" w:ascii="仿宋" w:hAnsi="仿宋" w:eastAsia="仿宋" w:cs="宋体"/>
          <w:color w:val="auto"/>
          <w:kern w:val="0"/>
          <w:sz w:val="24"/>
        </w:rPr>
        <w:t>④投标人服务能力。</w:t>
      </w:r>
    </w:p>
    <w:p>
      <w:pPr>
        <w:spacing w:line="500" w:lineRule="exact"/>
        <w:ind w:firstLine="240" w:firstLineChars="100"/>
        <w:jc w:val="left"/>
        <w:rPr>
          <w:rFonts w:ascii="仿宋" w:hAnsi="仿宋" w:eastAsia="仿宋" w:cs="宋体"/>
          <w:color w:val="auto"/>
          <w:kern w:val="0"/>
          <w:sz w:val="24"/>
        </w:rPr>
      </w:pPr>
      <w:r>
        <w:rPr>
          <w:rFonts w:hint="eastAsia" w:ascii="仿宋" w:hAnsi="仿宋" w:eastAsia="仿宋" w:cs="宋体"/>
          <w:color w:val="auto"/>
          <w:kern w:val="0"/>
          <w:sz w:val="24"/>
        </w:rPr>
        <w:t>（3）其他招标文件要求提供的或投标人认为需要说明的技术、商务、资信及其他文件内容。</w:t>
      </w:r>
    </w:p>
    <w:p>
      <w:pPr>
        <w:spacing w:line="500" w:lineRule="exact"/>
        <w:ind w:firstLine="241" w:firstLineChars="100"/>
        <w:rPr>
          <w:rFonts w:ascii="仿宋" w:hAnsi="仿宋" w:eastAsia="仿宋" w:cs="宋体"/>
          <w:b/>
          <w:color w:val="auto"/>
          <w:kern w:val="0"/>
          <w:sz w:val="24"/>
        </w:rPr>
      </w:pPr>
      <w:r>
        <w:rPr>
          <w:rFonts w:hint="eastAsia" w:ascii="仿宋" w:hAnsi="仿宋" w:eastAsia="仿宋" w:cs="宋体"/>
          <w:b/>
          <w:color w:val="auto"/>
          <w:kern w:val="0"/>
          <w:sz w:val="24"/>
        </w:rPr>
        <w:t>3.报价文件：</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（1）开标一览表；</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（2）</w:t>
      </w:r>
      <w:r>
        <w:rPr>
          <w:rFonts w:hint="eastAsia" w:ascii="仿宋" w:hAnsi="仿宋" w:eastAsia="仿宋" w:cs="宋体"/>
          <w:color w:val="auto"/>
          <w:kern w:val="0"/>
          <w:sz w:val="24"/>
          <w:lang w:eastAsia="zh-CN"/>
        </w:rPr>
        <w:t>清单报价表</w:t>
      </w:r>
      <w:r>
        <w:rPr>
          <w:rFonts w:hint="eastAsia" w:ascii="仿宋" w:hAnsi="仿宋" w:eastAsia="仿宋" w:cs="宋体"/>
          <w:color w:val="auto"/>
          <w:kern w:val="0"/>
          <w:sz w:val="24"/>
        </w:rPr>
        <w:t>；</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（3）招标代理服务费承诺函；</w:t>
      </w:r>
    </w:p>
    <w:p>
      <w:pPr>
        <w:spacing w:line="500" w:lineRule="exact"/>
        <w:ind w:firstLine="240" w:firstLineChars="100"/>
        <w:rPr>
          <w:rFonts w:ascii="仿宋" w:hAnsi="仿宋" w:eastAsia="仿宋" w:cs="宋体"/>
          <w:color w:val="auto"/>
          <w:kern w:val="0"/>
          <w:sz w:val="24"/>
        </w:rPr>
      </w:pPr>
      <w:r>
        <w:rPr>
          <w:rFonts w:hint="eastAsia" w:ascii="仿宋" w:hAnsi="仿宋" w:eastAsia="仿宋" w:cs="宋体"/>
          <w:color w:val="auto"/>
          <w:kern w:val="0"/>
          <w:sz w:val="24"/>
        </w:rPr>
        <w:t>（4）投标人针对报价需要说明的其他文件和说明。</w:t>
      </w:r>
    </w:p>
    <w:bookmarkEnd w:id="13"/>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（二）投标文件的语言及计量</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1.投标文件以及投标人与采购人就有关投标事宜的所有来往函电，均应以中文汉语书写。除签名、盖章、专用名称等特殊情形外，以中文汉语以外的文字表述的投标文件视同未提供。</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2.投标计量单位，招标文件已有明确规定的，使用招标文件规定的计量单位；招标文件没有规定的，应采用中华人民共和国法定计量单位（货币单位：人民币元），否则视同未响应。</w:t>
      </w:r>
    </w:p>
    <w:p>
      <w:pPr>
        <w:spacing w:line="500" w:lineRule="exact"/>
        <w:ind w:firstLine="482" w:firstLineChars="200"/>
        <w:rPr>
          <w:rFonts w:ascii="仿宋" w:hAnsi="仿宋" w:eastAsia="仿宋" w:cs="宋体"/>
          <w:color w:val="auto"/>
          <w:kern w:val="0"/>
          <w:sz w:val="24"/>
        </w:rPr>
      </w:pPr>
      <w:r>
        <w:rPr>
          <w:rFonts w:hint="eastAsia" w:ascii="仿宋" w:hAnsi="仿宋" w:eastAsia="仿宋" w:cs="宋体"/>
          <w:b/>
          <w:color w:val="auto"/>
          <w:kern w:val="0"/>
          <w:sz w:val="24"/>
        </w:rPr>
        <w:t>▲（三）投标报价</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1.投标报价应按招标文件中相关附表格式填写。投标报价为本招标项目全部工作内容的报价，所有报价均应使用（人民币元）表示。</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2.投标报价是履行合同的最终价格，应包括产品、包装、运输、装卸、保险、税金、货到就位等一切税金和费用。投标报价为签订合同的依据。因投标人失误的错漏项均视为已包含在总报价中。</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3.投标文件只允许有一个报价，有选择的或有条件的报价将不予接受。</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4.投标人的最终报价由投标人自担全部风险责任，中标后不得以任何理由调整报价或追加任何费用。</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5.投标人所有优惠条件和优惠费用不得降低和影响本采购项目质量。</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6.投标人对招标文件里有关投标报价的全部内容应仔细确认，若有个别异议，应在开标前提出修改意见，否则视同全部确认。</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7.报价如单价与总价不符时，以单价为准；大写与小写不符时以大写为准。</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8.投标人在报价中应充分考虑所有可能发生的费用，否则采购人将视报价总价中已包括所有费用。</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9.投标人对在合同执行中，除上述费用及招标文件规定的由中标人负责的工作范围以外需要采购人协调或提供便利的工作应当在报价文件中说明。</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（四）投标文件的有效期</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▲1.自投标截止日起</w:t>
      </w:r>
      <w:r>
        <w:rPr>
          <w:rFonts w:hint="eastAsia" w:ascii="仿宋" w:hAnsi="仿宋" w:eastAsia="仿宋" w:cs="宋体"/>
          <w:color w:val="auto"/>
          <w:kern w:val="0"/>
          <w:sz w:val="24"/>
          <w:u w:val="single"/>
        </w:rPr>
        <w:t>60天</w:t>
      </w:r>
      <w:r>
        <w:rPr>
          <w:rFonts w:hint="eastAsia" w:ascii="仿宋" w:hAnsi="仿宋" w:eastAsia="仿宋" w:cs="宋体"/>
          <w:color w:val="auto"/>
          <w:kern w:val="0"/>
          <w:sz w:val="24"/>
        </w:rPr>
        <w:t>投标文件应保持有效。有效期不足的投标文件将被拒绝。</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2.在特殊情况下，采购人可与投标人协商延长投标书的有效期，这种要求和答复均以书面形式进行。</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3.投标人可拒绝接受延期要求。同意延长有效期的投标人不能修改投标文件。</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（五）投标文件的签署和份数</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1、电子投标文件：</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投标人应根据“政采云投标人项目采购-电子招投标操作指南”及本招标文件规定的格式和顺序编制电子投标文件并进行关联定位，若因投标文件内容不完整、编排混乱导致投标文件被误读、漏读或者查找不到相关内容的，是投标人的责任。凡是参加两个或者以上标项投标的，投标文件必须按标项分别制作。</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 xml:space="preserve">2.数据电子备份投标文件（U 盘）：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电子投标文件的备份文件可以 U 盘形式存储。数据电子备份投标文件格式及内容须与政采云平台项目采购-电子交易操作指南中制作、加密并递交的电子投标文件格式及内容一致。投标人应将数据电子备份（U 盘）形式的投标文件密封、包装，不按此规定密封、包装的数据电子备份投标文件（U 盘）均按未提供处理。</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 xml:space="preserve">3.其他：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3.1 投标文件需按招标文件要求的格式填写并签字盖章。</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3.2 投标文件不应涂改或行间插字和增删, 如有修改，修改处须加盖投标人的公章或由法定代表人或其授权委托人签字或盖章。投标文件因字迹潦草或表达不清所引起的后果由投标人负责。</w:t>
      </w:r>
    </w:p>
    <w:p>
      <w:pPr>
        <w:spacing w:line="500" w:lineRule="exact"/>
        <w:ind w:firstLine="482" w:firstLineChars="200"/>
        <w:rPr>
          <w:rFonts w:ascii="仿宋" w:hAnsi="仿宋" w:eastAsia="仿宋" w:cs="宋体"/>
          <w:color w:val="auto"/>
          <w:kern w:val="0"/>
          <w:sz w:val="24"/>
        </w:rPr>
      </w:pPr>
      <w:r>
        <w:rPr>
          <w:rFonts w:hint="eastAsia" w:ascii="仿宋" w:hAnsi="仿宋" w:eastAsia="仿宋" w:cs="宋体"/>
          <w:b/>
          <w:color w:val="auto"/>
          <w:kern w:val="0"/>
          <w:sz w:val="24"/>
        </w:rPr>
        <w:t>（六）投标文件的包装、递交、修改和撤回</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人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w:t>
      </w:r>
      <w:r>
        <w:rPr>
          <w:rFonts w:hint="eastAsia" w:ascii="仿宋" w:hAnsi="仿宋" w:eastAsia="仿宋"/>
          <w:color w:val="auto"/>
          <w:sz w:val="24"/>
        </w:rPr>
        <w:t>作未递交投标文件处理</w:t>
      </w:r>
      <w:r>
        <w:rPr>
          <w:rFonts w:hint="eastAsia" w:ascii="仿宋" w:hAnsi="仿宋" w:eastAsia="仿宋" w:cs="宋体"/>
          <w:color w:val="auto"/>
          <w:kern w:val="0"/>
          <w:sz w:val="24"/>
        </w:rPr>
        <w:t>。</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2.数据电子备份投标文件（U 盘）：以 U 盘形式提供的数据电子备份投标文件格式及内容须与政采云平台项目采购-电子交易操作指南中制作、加密并递交的电子投标文件格式及内容一致。递交方式：</w:t>
      </w:r>
    </w:p>
    <w:p>
      <w:pPr>
        <w:spacing w:line="500" w:lineRule="exact"/>
        <w:ind w:firstLine="283" w:firstLineChars="118"/>
        <w:jc w:val="left"/>
        <w:rPr>
          <w:rFonts w:ascii="仿宋" w:hAnsi="仿宋" w:eastAsia="仿宋" w:cs="宋体"/>
          <w:color w:val="auto"/>
          <w:kern w:val="0"/>
          <w:sz w:val="24"/>
        </w:rPr>
      </w:pPr>
      <w:r>
        <w:rPr>
          <w:rFonts w:hint="eastAsia" w:ascii="仿宋" w:hAnsi="仿宋" w:eastAsia="仿宋" w:cs="宋体"/>
          <w:color w:val="auto"/>
          <w:kern w:val="0"/>
          <w:sz w:val="24"/>
        </w:rPr>
        <w:t>因疫情原因，数据电子备份投标文件（U盘）应通过邮寄快递方式送达（原则上邮寄公司统一采用EMS），邮寄地址为：湖州市仁皇工程咨询有限公司[</w:t>
      </w:r>
      <w:r>
        <w:rPr>
          <w:rFonts w:hint="eastAsia" w:ascii="仿宋" w:hAnsi="仿宋" w:eastAsia="仿宋" w:cs="宋体"/>
          <w:color w:val="auto"/>
          <w:sz w:val="24"/>
        </w:rPr>
        <w:t>湖州市太湖路1155号7层703室</w:t>
      </w:r>
      <w:r>
        <w:rPr>
          <w:rFonts w:hint="eastAsia" w:ascii="仿宋" w:hAnsi="仿宋" w:eastAsia="仿宋" w:cs="宋体"/>
          <w:color w:val="auto"/>
          <w:kern w:val="0"/>
          <w:sz w:val="24"/>
        </w:rPr>
        <w:t>]，联系电话：0572-2615598。邮寄截止时间：投标人应于2021年</w:t>
      </w:r>
      <w:r>
        <w:rPr>
          <w:rFonts w:hint="eastAsia" w:ascii="仿宋" w:hAnsi="仿宋" w:eastAsia="仿宋" w:cs="宋体"/>
          <w:color w:val="auto"/>
          <w:kern w:val="0"/>
          <w:sz w:val="24"/>
          <w:lang w:val="en-US" w:eastAsia="zh-CN"/>
        </w:rPr>
        <w:t>10</w:t>
      </w:r>
      <w:r>
        <w:rPr>
          <w:rFonts w:hint="eastAsia" w:ascii="仿宋" w:hAnsi="仿宋" w:eastAsia="仿宋" w:cs="宋体"/>
          <w:color w:val="auto"/>
          <w:kern w:val="0"/>
          <w:sz w:val="24"/>
        </w:rPr>
        <w:t>月</w:t>
      </w:r>
      <w:r>
        <w:rPr>
          <w:rFonts w:hint="eastAsia" w:ascii="仿宋" w:hAnsi="仿宋" w:eastAsia="仿宋" w:cs="宋体"/>
          <w:color w:val="auto"/>
          <w:kern w:val="0"/>
          <w:sz w:val="24"/>
          <w:lang w:val="en-US" w:eastAsia="zh-CN"/>
        </w:rPr>
        <w:t>19</w:t>
      </w:r>
      <w:r>
        <w:rPr>
          <w:rFonts w:hint="eastAsia" w:ascii="仿宋" w:hAnsi="仿宋" w:eastAsia="仿宋" w:cs="宋体"/>
          <w:color w:val="auto"/>
          <w:kern w:val="0"/>
          <w:sz w:val="24"/>
        </w:rPr>
        <w:t xml:space="preserve">日下午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3.整个开标过程中若因投标人问题造成电子投标文件无法正常解密的，均认定为未提交电子投标文件，</w:t>
      </w:r>
      <w:r>
        <w:rPr>
          <w:rFonts w:hint="eastAsia" w:ascii="仿宋" w:hAnsi="仿宋" w:eastAsia="仿宋"/>
          <w:color w:val="auto"/>
          <w:sz w:val="24"/>
        </w:rPr>
        <w:t>作未递交投标文件处理</w:t>
      </w:r>
      <w:r>
        <w:rPr>
          <w:rFonts w:hint="eastAsia" w:ascii="仿宋" w:hAnsi="仿宋" w:eastAsia="仿宋" w:cs="宋体"/>
          <w:color w:val="auto"/>
          <w:kern w:val="0"/>
          <w:sz w:val="24"/>
        </w:rPr>
        <w:t>。若因网络或者其他非投标人问题造成电子投标文件无法正常解密的，启用数据电子备份投标文件（U 盘），因投标人自身原因造成数据电子备份投标文件（U 盘）无法打开的，</w:t>
      </w:r>
      <w:r>
        <w:rPr>
          <w:rFonts w:hint="eastAsia" w:ascii="仿宋" w:hAnsi="仿宋" w:eastAsia="仿宋"/>
          <w:color w:val="auto"/>
          <w:sz w:val="24"/>
        </w:rPr>
        <w:t>作未递交投标文件处理</w:t>
      </w:r>
      <w:r>
        <w:rPr>
          <w:rFonts w:hint="eastAsia" w:ascii="仿宋" w:hAnsi="仿宋" w:eastAsia="仿宋" w:cs="宋体"/>
          <w:color w:val="auto"/>
          <w:kern w:val="0"/>
          <w:sz w:val="24"/>
        </w:rPr>
        <w:t xml:space="preserve">。若正常解密成功，则数据电子备份投标文件（U 盘）不予开启。在下一顺位的投标文件启用时，前一顺位的投标文件自动失效。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4.投标人应将以数据电子备份（U 盘）形式提供的投标文件一份密封、包装。数据电子备份投标文件（U 盘）的包装封面上应注明投标人名称、投标人地址、投标文件名称、投标项目名称、标项及项目编号，并加盖投标人公章。未按规定密封、包装或标记的数据电子备份投标文件（U 盘）将被拒绝，由此造成数据电子备份投标文件（U 盘）被误投或提前拆封的风险由投标人承担。</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（七）投标无效的情形</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1.在评标开始前，评标委员会或采购代理机构对投标人的资格进行审查，如发现下列情形之一的，投标文件将被视为无效，不在进行下一步评审：</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（1）未提供有效的营业执照、税务登记证、组织机构代码证或未提供“三证合一”的营业执照或未提供“五证合一”的营业执照；</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（2）未提供法定代表人有效身份证明书及身份证或未提供法定代表人授权书及授权人身份证或与法定代表人授权委托人身份不符的；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（3）未提供法定代表人授权委托人社保的；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（4）未提供投标人最近三个月企业正常纳税情况和社保基金缴纳情况证明文书；</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自招标公告发布之日起至投标截止日内，在“信用中国网”(www.creditchina.gov.cn)被列入失信被执行人、重大税收违法当事人名单、政府采购严重违法失信行为记录名单的投标人，资格审查时不予以通过；投标截止前，在“中国政府采购网”(www.ccgp.gov.cn)被列入政府采购严重违法失信行为记录名单中的投标人且在处罚有效期内的投标人，资格审查时不予以通过；</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（6）未提供信用承诺书的；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（7）未提供2020年度完整财务报告的；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（8）未提供中小企业声明函的(监狱企业参加投标【提供《监狱企业声明函》及其相关的证明材料】、残疾人福利性单位参加投标【提供《残疾人福利性单位声明函》】；</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（9）资格证明文件不全的，或者不符合招标文件标明的资格要求的。</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2.在符合性审查和商务评审时，如发现下列情形之一的，投标文件将被视为无效：</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（1）投标文件未按招标文件要求签字或盖章；</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（2）投标文件格式不规范、项目不齐全或者内容虚假的；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（3）投标文件的实质性内容未使用中文表述、意思表述不明确、前后矛盾或者使用计量单位不符合招标文件要求的（经评标委员会认定并允许其当场更正的笔误除外）；</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（4）未实质性响应招标文件要求或者投标文件有采购人不能接受的附加条件的。</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3.在技术评审时，如发现下列情形之一的，投标文件将被视为无效：</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（1）未提供或未如实提供投标货物的技术参数，或者投标文件标明的响应或偏离与事实不符或虚假投标的；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（2）明显不符合招标文件要求的规格型号、质量标准，或者与招标文件中标有“▲”的技术指标、主要功能项目发生实质性偏离的；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（3）投标技术方案不明确，存在一个或一个以上备选（替代）投标方案的；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（4）与其他参加本次投标投标人的投标文件（技术文件）的文字表述内容相同连续 20行以上或者差错相同2处以上的。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4.在报价评审时，如发现下列情形之一的，投标文件将被视为无效：</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（1）未采用“人民币元”报价的或未按照招标文件表明的币种报价的；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（2）报价无偏离采购人的采购定价，或者超出采购预算金额，采购人不能支付的；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（3）投标报价具有选择性，或者投标报价未按照招标文件规定的价格进行报价的。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5.被拒绝的投标文件为无效。</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 xml:space="preserve">6.投标人有下列情形之一的，视为投标人串通投标，其投标无效：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（1）不同投标人的投标（响应）文件由同一单位或者个人编制；</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（2）不同投标人委托同一单位或者个人办理投标事宜；</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（3）不同投标人的投标文件或响应文件载明的项目管理成员或者联系人员为同一人；</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（4）不同投标人的投标（响应）文件件异常一致或者投标报价呈规律性差异；</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（5）不同投标人的投标（响应）文件相互混装。</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7. 投标人有下列情形之一的，属于恶意串通，其投标无效：</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（1）投标人直接或者间接从采购人或者采购代理机构处获得其他投标人的相关情况并修改其投标（响应）文件；</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（2）投标人按照采购人或者采购代理机构的授意撤换、修改投标（响应）文件；</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（3）投标人之间协商报价、技术方案等投标（响应）文件的实质性内容；</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（4）属于同一集团、协会、商会等组织成员的投标人按照该组织要求协同参加政府采购活动；</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（5）投标人之间事先约定由某一特定投标人中标、成交；</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（6）投标人之间商定部分投标人放弃参加政府采购活动或者放弃中标、成交；</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（7）投标人与采购人或者采购代理机构之间、投标人相互之间，为谋求特定投标人中标、成交或者排斥其他投标人的其他串通行为。</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 xml:space="preserve">8.出现以下情形，导致电子交易平台无法正常进行，或者无法保证电子交易的公平、公正和安全时，中止电子交易活动：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（1）电子交易平台发生故障而无法登录访问的；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（2）电子交易平台应用或数据库出现错误，不能进行正常操作的；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（3）电子交易平台发现严重安全漏洞，有潜在泄密危险的；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（4）病毒发作导致不能进行正常操作的；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（5）其他无法保证电子交易的公平、公正和安全的情况。</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出现以上规定情形，不影响采购公平、公正性的，采购代理机构可以待上述情形消除后继续组织电子交易活动，也可以决定某些环节以数据电子备份投标文件（U 盘）形式进行；影响或可能影响采购公平、公正性的，重新采购。</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(八）废标的情形</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在采购活动中，出现下列情形之一的，应予废标：</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(1)符合专业条件的投标人或者对招标文件作实质性响应的投标人不足三家的；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(2)出现影响采购公正的违法、违规行为的；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(3)投标人的报价均超过了采购预算，采购人不能支付的；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(4)因重大变故，采购任务取消的。</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四、开标</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（一）开标准备</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采购代理机构将在规定的时间和地点进行开标，并按照招标文件规定的时间通过“政府采购云平台”组织开标、开启投标文件，所有投标人均应当准时在线参加。</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 xml:space="preserve">（二） 电子招投标开标及评审程序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1.开标由采购人或者采购代理机构主持，邀请投标人在线参加。评标委员会成员不得参加开标活动；</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2.主持人宣布开标会议开始，并按照规定的时间通过政采云系统组织开标，所有投标人应当准时在线参加；</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3.投标截止时间后，投标人应登录政采云平台，在收到电子加密投标文件【开始解密】通知后，通过“项目采购-开标评标”模块对电子投标文件进行在线解密；</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4.在开标结束后（评标开始前），由采购人或采购代理机构进行资格审查。资格审查后在系统上公布资格审查结果；</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5.由评标委员会对资格审查通过的投标人进行技术、商务、资信及其他部分评审，符合性审查及评分结束后，由主持人公布无效投标的投标人名单、投标无效的原因，并在系统上公布其他有效投标的评审结果；</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6.由主持人在系统上公布的投标人名称及在其投标文件中承诺的投标报价、投标内容以及其他有必要宣读的内容；</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7.报价部分符合性审查及评分结束后，由主持人公布无效投标的投标人名单、投标无效的原因，并在系统上公布其他有效投标的评分结果；</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8.最终在政采云系统上公布评审结果；</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9.开标会议结束。</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特别说明：政采云公司如对电子化开标及评审程序有调整的，应按调整的程序操作。</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五、评标</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（一）组建评标委员会</w:t>
      </w:r>
    </w:p>
    <w:p>
      <w:pPr>
        <w:spacing w:line="460" w:lineRule="exact"/>
        <w:ind w:firstLine="480" w:firstLineChars="200"/>
        <w:rPr>
          <w:rFonts w:ascii="仿宋" w:hAnsi="仿宋" w:eastAsia="仿宋" w:cs="宋体"/>
          <w:color w:val="auto"/>
          <w:kern w:val="0"/>
          <w:sz w:val="24"/>
        </w:rPr>
      </w:pPr>
      <w:r>
        <w:rPr>
          <w:rFonts w:hint="eastAsia" w:ascii="仿宋" w:hAnsi="仿宋" w:eastAsia="仿宋" w:cs="仿宋"/>
          <w:color w:val="auto"/>
          <w:kern w:val="0"/>
          <w:sz w:val="24"/>
        </w:rPr>
        <w:t>本项目评标委员会由政府采购评审专家4名及采购人代表1名组成。</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（二）评标的方式</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本项目采用不公开方式评标，评标的依据为招标文件和投标文件。</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（三）评标程序</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1.形式审查</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在开标结束后（评标开始前），采购人或代理机构负责对投标人的资格和投标文件的完整性、合法性等进行审查。</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2.实质审查与比较</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（1）评标委员会审查投标文件的实质性内容是否符合招标文件的实质性要求。</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评标委员会将根据投标人的投标文件进行审查、核对,如有疑问,将对投标人进行询标,投标人要向评标委员会澄清有关问题,并最终以书面形式进行答复。投标人未的规定时间内澄清或者拒绝澄清或者澄清的内容改变了投标文件的实质性内容的，评标委员会有权对该投标文件做出不利于投标人的评判。</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（3）评标委员会完成评标后,按评标原则推荐中标候选人同时起草评标报告。</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（4）评标委员会按评标原则通过电子系统向采购人及采购代理机构提交评审报告。</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（四）澄清问题的形式</w:t>
      </w:r>
    </w:p>
    <w:p>
      <w:pPr>
        <w:spacing w:line="500" w:lineRule="exact"/>
        <w:ind w:firstLine="480" w:firstLineChars="200"/>
        <w:rPr>
          <w:rFonts w:ascii="仿宋" w:hAnsi="仿宋" w:eastAsia="仿宋" w:cs="宋体"/>
          <w:color w:val="auto"/>
          <w:sz w:val="24"/>
        </w:rPr>
      </w:pPr>
      <w:r>
        <w:rPr>
          <w:rFonts w:hint="eastAsia" w:ascii="仿宋" w:hAnsi="仿宋" w:eastAsia="仿宋" w:cs="宋体"/>
          <w:color w:val="auto"/>
          <w:sz w:val="24"/>
        </w:rPr>
        <w:t>评审中需要投标人对投标文件作出澄清、说明或者补正的，评标委员会和投标人应当通过电子交易平台交换数据电文。给予投标人提交澄清说明或补正的时间为30分钟，投标人已经明确表示澄清说明或补正完毕的除外。</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（五）错误修正</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投标文件如果出现计算或表达上的错误，修正错误的原则如下：</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1.投标文件的大写和小写不一致的，以大写为准；</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2.对不同文字文本投标文件的解释发生异议的，以中文文本为准。</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（六）评标原则和评标办法</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2.评标办法。本项目评标办法是</w:t>
      </w:r>
      <w:r>
        <w:rPr>
          <w:rFonts w:hint="eastAsia" w:ascii="仿宋" w:hAnsi="仿宋" w:eastAsia="仿宋" w:cs="宋体"/>
          <w:b/>
          <w:color w:val="auto"/>
          <w:kern w:val="0"/>
          <w:sz w:val="24"/>
          <w:u w:val="single"/>
        </w:rPr>
        <w:t>综合评分法</w:t>
      </w:r>
      <w:r>
        <w:rPr>
          <w:rFonts w:hint="eastAsia" w:ascii="仿宋" w:hAnsi="仿宋" w:eastAsia="仿宋" w:cs="宋体"/>
          <w:color w:val="auto"/>
          <w:kern w:val="0"/>
          <w:sz w:val="24"/>
        </w:rPr>
        <w:t>，具体评标内容及评分标准等详见《第四章：评标办法及评分标准》。</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3.评标过程中凡是属于审查、澄清、评审和比较的有关资料以及授标建议，任何人均不得向投标人或其他无关人员透露。</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（七）评标过程的监控</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本项目评标过程实行全程录音、录像监控，由湖州市公共资源交易管理办公室进行现场监督。投标人在评标过程中所进行的试图影响评标结果的不公正活动，可能导致其投标被拒绝。</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六、定标</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（一）确定中标人。本项目由采购人确定中标人。</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1.评标委员会完成评审后，采购代理机构通过电子交易平台向采购人提交评标报告。采购人通过电子交易平台确认中标人。</w:t>
      </w:r>
    </w:p>
    <w:p>
      <w:pPr>
        <w:spacing w:line="500" w:lineRule="exact"/>
        <w:ind w:firstLine="480" w:firstLineChars="200"/>
        <w:rPr>
          <w:rFonts w:ascii="仿宋" w:hAnsi="仿宋" w:eastAsia="仿宋" w:cs="宋体"/>
          <w:color w:val="auto"/>
          <w:sz w:val="24"/>
        </w:rPr>
      </w:pPr>
      <w:r>
        <w:rPr>
          <w:rFonts w:hint="eastAsia" w:ascii="仿宋" w:hAnsi="仿宋" w:eastAsia="仿宋" w:cs="宋体"/>
          <w:color w:val="auto"/>
          <w:kern w:val="0"/>
          <w:sz w:val="24"/>
        </w:rPr>
        <w:t>2.</w:t>
      </w:r>
      <w:r>
        <w:rPr>
          <w:rFonts w:hint="eastAsia" w:ascii="仿宋" w:hAnsi="仿宋" w:eastAsia="仿宋" w:cs="宋体"/>
          <w:color w:val="auto"/>
          <w:sz w:val="24"/>
        </w:rPr>
        <w:t>采购代理机构在评标结束后2个工作日内将评标报告交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4.采购人依法确定中标人后2个工作日内，采购代理机构、采购人向中标人发出中标通知书，并同时在相关网站上发布中标结果公告。</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七、合同授予</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（一）签订合同</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采购人与中标人应当在《中标通知书》发出之日起30日内签订政府采购合同。采购人通过电子交易平台与中标人签订合同，并在规定时间内依法发布合同公告。同时，采购代理机构对合同内容进行审查，如发现与采购结果和投标承诺内容不一致的，应予以纠正。</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2.中标人拖延、拒签合同的,将被取消中标资格。</w:t>
      </w: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（二）中标通知书</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 xml:space="preserve">1.确定中标人后，采购代理机构将以书面形式发出中标通知书，通知中标的投标人其投标被接受；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 xml:space="preserve">2.中标通知书为双方签订合同的依据；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3.中标人应根据中标通知书中规定的时间内，由法定代表人或其授权代理人与采购人签订合同。</w:t>
      </w:r>
    </w:p>
    <w:p>
      <w:pPr>
        <w:spacing w:line="500" w:lineRule="exact"/>
        <w:ind w:firstLine="482" w:firstLineChars="200"/>
        <w:rPr>
          <w:rFonts w:ascii="仿宋" w:hAnsi="仿宋" w:eastAsia="仿宋" w:cs="仿宋"/>
          <w:color w:val="auto"/>
          <w:sz w:val="24"/>
        </w:rPr>
      </w:pPr>
      <w:r>
        <w:rPr>
          <w:rFonts w:hint="eastAsia" w:ascii="仿宋" w:hAnsi="仿宋" w:eastAsia="仿宋" w:cs="宋体"/>
          <w:b/>
          <w:color w:val="auto"/>
          <w:kern w:val="0"/>
          <w:sz w:val="24"/>
        </w:rPr>
        <w:t xml:space="preserve">（三）履约保证金： </w:t>
      </w:r>
      <w:r>
        <w:rPr>
          <w:rFonts w:hint="eastAsia" w:ascii="仿宋" w:hAnsi="仿宋" w:eastAsia="仿宋" w:cs="仿宋"/>
          <w:color w:val="auto"/>
          <w:sz w:val="24"/>
        </w:rPr>
        <w:t>无</w:t>
      </w:r>
    </w:p>
    <w:p>
      <w:pPr>
        <w:spacing w:line="500" w:lineRule="exact"/>
        <w:ind w:firstLine="482" w:firstLineChars="200"/>
        <w:rPr>
          <w:rFonts w:hint="eastAsia" w:ascii="仿宋" w:hAnsi="仿宋" w:eastAsia="仿宋" w:cs="宋体"/>
          <w:b/>
          <w:color w:val="auto"/>
          <w:kern w:val="0"/>
          <w:sz w:val="24"/>
        </w:rPr>
      </w:pPr>
    </w:p>
    <w:p>
      <w:pPr>
        <w:spacing w:line="50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 xml:space="preserve">八、其他内容 </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发生下列情况之一，投标人自愿接受取消投标资格、记入信用档案、媒体通报、1-3年内禁止参与政府采购等处罚；如已中标（成交）的，自动放弃中标（成交）资格，并承担全部法律责任；给采购人造成损失的，依法承担赔偿责任：</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1.投标人在提交投标（响应）文件截止时间后撤回投标（响应）文件的；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2.投标人在投标（响应）文件中提交虚假材料的；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3.除因不可抗力或招标文件认可的情形以外，中标人不与采购人签订合同的；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4.投标人与采购人、其他投标人或者采购代理机构恶意串通的；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5.中标人拒绝缴纳招标代理服务费的；</w:t>
      </w:r>
    </w:p>
    <w:p>
      <w:pPr>
        <w:spacing w:line="5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6.招标文件规定的其他情形。</w:t>
      </w:r>
    </w:p>
    <w:p>
      <w:pPr>
        <w:pStyle w:val="4"/>
        <w:spacing w:line="560" w:lineRule="exact"/>
        <w:jc w:val="left"/>
        <w:rPr>
          <w:rFonts w:hint="eastAsia" w:ascii="仿宋" w:hAnsi="仿宋" w:eastAsia="仿宋" w:cs="宋体"/>
          <w:b w:val="0"/>
          <w:bCs/>
          <w:color w:val="auto"/>
          <w:kern w:val="0"/>
          <w:sz w:val="24"/>
        </w:rPr>
      </w:pPr>
      <w:r>
        <w:rPr>
          <w:rFonts w:hint="eastAsia" w:ascii="仿宋" w:hAnsi="仿宋" w:eastAsia="仿宋" w:cs="宋体"/>
          <w:b w:val="0"/>
          <w:bCs/>
          <w:color w:val="auto"/>
          <w:kern w:val="0"/>
          <w:sz w:val="24"/>
          <w:lang w:val="en-US" w:eastAsia="zh-CN"/>
        </w:rPr>
        <w:t xml:space="preserve">    </w:t>
      </w:r>
      <w:r>
        <w:rPr>
          <w:rFonts w:hint="eastAsia" w:ascii="仿宋" w:hAnsi="仿宋" w:eastAsia="仿宋" w:cs="宋体"/>
          <w:b w:val="0"/>
          <w:bCs/>
          <w:color w:val="auto"/>
          <w:kern w:val="0"/>
          <w:sz w:val="24"/>
        </w:rPr>
        <w:t>7.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rPr>
          <w:rFonts w:hint="eastAsia" w:ascii="仿宋" w:hAnsi="仿宋" w:eastAsia="仿宋" w:cs="宋体"/>
          <w:color w:val="auto"/>
          <w:kern w:val="0"/>
          <w:sz w:val="24"/>
        </w:rPr>
      </w:pPr>
    </w:p>
    <w:p>
      <w:pPr>
        <w:pStyle w:val="8"/>
        <w:ind w:left="0" w:leftChars="0" w:firstLine="0" w:firstLineChars="0"/>
        <w:rPr>
          <w:rFonts w:hint="eastAsia" w:ascii="仿宋" w:hAnsi="仿宋" w:eastAsia="仿宋" w:cs="宋体"/>
          <w:color w:val="auto"/>
          <w:kern w:val="0"/>
          <w:sz w:val="24"/>
        </w:rPr>
      </w:pPr>
    </w:p>
    <w:p>
      <w:pPr>
        <w:pStyle w:val="4"/>
        <w:spacing w:line="560" w:lineRule="exact"/>
        <w:jc w:val="center"/>
        <w:rPr>
          <w:rFonts w:hint="eastAsia" w:ascii="仿宋" w:hAnsi="仿宋" w:eastAsia="仿宋" w:cs="Times New Roman"/>
          <w:color w:val="auto"/>
          <w:sz w:val="32"/>
        </w:rPr>
      </w:pPr>
      <w:r>
        <w:rPr>
          <w:rFonts w:hint="eastAsia" w:ascii="仿宋" w:hAnsi="仿宋" w:eastAsia="仿宋" w:cs="Times New Roman"/>
          <w:color w:val="auto"/>
          <w:sz w:val="32"/>
        </w:rPr>
        <w:t>第四章 评标办法及评分标准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auto"/>
          <w:kern w:val="0"/>
          <w:sz w:val="24"/>
        </w:rPr>
      </w:pPr>
      <w:r>
        <w:rPr>
          <w:rFonts w:hint="eastAsia" w:ascii="仿宋" w:hAnsi="仿宋" w:eastAsia="仿宋"/>
          <w:color w:val="auto"/>
          <w:kern w:val="0"/>
          <w:sz w:val="24"/>
        </w:rPr>
        <w:t>为公正、公平、科学地选择中标人，根据《中华人民共和国政府采购法》、《政府采购货物和服务招标投标管理办法》及相关法律、法规等规定，并结合本项目的实际，制定本办法。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auto"/>
          <w:sz w:val="24"/>
        </w:rPr>
      </w:pPr>
      <w:r>
        <w:rPr>
          <w:rFonts w:hint="eastAsia" w:ascii="仿宋" w:hAnsi="仿宋" w:eastAsia="仿宋"/>
          <w:color w:val="auto"/>
          <w:kern w:val="0"/>
          <w:sz w:val="24"/>
        </w:rPr>
        <w:t>本办法适用于</w:t>
      </w:r>
      <w:r>
        <w:rPr>
          <w:rFonts w:hint="eastAsia" w:ascii="仿宋" w:hAnsi="仿宋" w:eastAsia="仿宋"/>
          <w:color w:val="auto"/>
          <w:sz w:val="24"/>
          <w:u w:val="single"/>
        </w:rPr>
        <w:t>2021-2023年度</w:t>
      </w:r>
      <w:r>
        <w:rPr>
          <w:rFonts w:hint="eastAsia" w:ascii="仿宋" w:hAnsi="仿宋" w:eastAsia="仿宋"/>
          <w:color w:val="auto"/>
          <w:sz w:val="24"/>
          <w:u w:val="single"/>
          <w:lang w:eastAsia="zh-CN"/>
        </w:rPr>
        <w:t>水闸泵站</w:t>
      </w:r>
      <w:r>
        <w:rPr>
          <w:rFonts w:hint="eastAsia" w:ascii="仿宋" w:hAnsi="仿宋" w:eastAsia="仿宋"/>
          <w:color w:val="auto"/>
          <w:sz w:val="24"/>
          <w:u w:val="single"/>
        </w:rPr>
        <w:t>运行维修养护服务项目</w:t>
      </w:r>
      <w:r>
        <w:rPr>
          <w:rFonts w:hint="eastAsia" w:ascii="仿宋" w:hAnsi="仿宋" w:eastAsia="仿宋"/>
          <w:color w:val="auto"/>
          <w:sz w:val="24"/>
        </w:rPr>
        <w:t>的评标。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auto"/>
          <w:sz w:val="24"/>
        </w:rPr>
      </w:pPr>
      <w:r>
        <w:rPr>
          <w:rFonts w:hint="eastAsia" w:ascii="仿宋" w:hAnsi="仿宋" w:eastAsia="仿宋"/>
          <w:color w:val="auto"/>
          <w:sz w:val="24"/>
        </w:rPr>
        <w:t>一、总则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auto"/>
          <w:kern w:val="0"/>
          <w:sz w:val="24"/>
        </w:rPr>
      </w:pPr>
      <w:r>
        <w:rPr>
          <w:rFonts w:hint="eastAsia" w:ascii="仿宋" w:hAnsi="仿宋" w:eastAsia="仿宋"/>
          <w:color w:val="auto"/>
          <w:kern w:val="0"/>
          <w:sz w:val="24"/>
        </w:rPr>
        <w:t>本次评标采用综合评分法，总分为100分，其中价格分10分、技术分73分、商务、资信及其他部分17分。合格投标人的评标得分为各项目汇总得分。本项目由采购人确定中标人, 中标候选资格按评标得分由高到低顺序排列，得分相同</w:t>
      </w:r>
      <w:r>
        <w:rPr>
          <w:rFonts w:hint="eastAsia" w:ascii="仿宋" w:hAnsi="仿宋" w:eastAsia="仿宋"/>
          <w:color w:val="auto"/>
          <w:kern w:val="0"/>
          <w:sz w:val="24"/>
          <w:lang w:eastAsia="zh-CN"/>
        </w:rPr>
        <w:t>，</w:t>
      </w:r>
      <w:r>
        <w:rPr>
          <w:rFonts w:hint="eastAsia" w:ascii="仿宋" w:hAnsi="仿宋" w:eastAsia="仿宋"/>
          <w:color w:val="auto"/>
          <w:kern w:val="0"/>
          <w:sz w:val="24"/>
        </w:rPr>
        <w:t>按技术部分得分由高到低顺序排列。技术部分得分仍相同的，由采购人采用随机抽取的方式决定，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auto"/>
          <w:kern w:val="0"/>
          <w:sz w:val="24"/>
        </w:rPr>
      </w:pPr>
      <w:r>
        <w:rPr>
          <w:rFonts w:hint="eastAsia" w:ascii="仿宋" w:hAnsi="仿宋" w:eastAsia="仿宋"/>
          <w:color w:val="auto"/>
          <w:kern w:val="0"/>
          <w:sz w:val="24"/>
        </w:rPr>
        <w:t>各投标人最终得分=价格分+技术分、商务、资信及其他分得分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仿宋" w:hAnsi="仿宋" w:eastAsia="仿宋"/>
          <w:b/>
          <w:color w:val="auto"/>
          <w:kern w:val="0"/>
          <w:sz w:val="24"/>
        </w:rPr>
      </w:pPr>
      <w:r>
        <w:rPr>
          <w:rFonts w:hint="eastAsia" w:ascii="仿宋" w:hAnsi="仿宋" w:eastAsia="仿宋"/>
          <w:b/>
          <w:color w:val="auto"/>
          <w:kern w:val="0"/>
          <w:sz w:val="24"/>
        </w:rPr>
        <w:t xml:space="preserve">二、评标内容及标准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仿宋" w:hAnsi="仿宋" w:eastAsia="仿宋"/>
          <w:b/>
          <w:color w:val="auto"/>
          <w:kern w:val="0"/>
          <w:sz w:val="24"/>
        </w:rPr>
      </w:pPr>
      <w:r>
        <w:rPr>
          <w:rFonts w:hint="eastAsia" w:ascii="仿宋" w:hAnsi="仿宋" w:eastAsia="仿宋"/>
          <w:b/>
          <w:color w:val="auto"/>
          <w:kern w:val="0"/>
          <w:sz w:val="24"/>
        </w:rPr>
        <w:t>（一）价格分10分</w:t>
      </w:r>
    </w:p>
    <w:p>
      <w:pPr>
        <w:pStyle w:val="11"/>
        <w:keepNext w:val="0"/>
        <w:keepLines w:val="0"/>
        <w:pageBreakBefore w:val="0"/>
        <w:widowControl w:val="0"/>
        <w:tabs>
          <w:tab w:val="left" w:pos="0"/>
          <w:tab w:val="left" w:pos="993"/>
          <w:tab w:val="left" w:pos="1134"/>
        </w:tabs>
        <w:kinsoku/>
        <w:wordWrap/>
        <w:overflowPunct/>
        <w:topLinePunct w:val="0"/>
        <w:autoSpaceDE/>
        <w:autoSpaceDN/>
        <w:bidi w:val="0"/>
        <w:adjustRightInd/>
        <w:snapToGrid/>
        <w:spacing w:beforeLines="50" w:afterLines="50" w:line="480" w:lineRule="exact"/>
        <w:ind w:firstLine="480"/>
        <w:textAlignment w:val="auto"/>
        <w:rPr>
          <w:rFonts w:ascii="仿宋" w:hAnsi="仿宋" w:eastAsia="仿宋" w:cs="仿宋"/>
          <w:bCs/>
          <w:color w:val="auto"/>
          <w:sz w:val="24"/>
        </w:rPr>
      </w:pPr>
      <w:r>
        <w:rPr>
          <w:rFonts w:hint="eastAsia" w:ascii="仿宋" w:hAnsi="仿宋" w:eastAsia="仿宋" w:cs="仿宋"/>
          <w:bCs/>
          <w:color w:val="auto"/>
          <w:sz w:val="24"/>
        </w:rPr>
        <w:t>价格分采用低价优先法计算，即满足招标文件要求且投标价格最低的投标报价为评标基准价，价格分为满分，其他投标人的价格分按照下列公式计算：</w:t>
      </w:r>
    </w:p>
    <w:p>
      <w:pPr>
        <w:pStyle w:val="2"/>
        <w:keepNext w:val="0"/>
        <w:keepLines w:val="0"/>
        <w:pageBreakBefore w:val="0"/>
        <w:widowControl w:val="0"/>
        <w:kinsoku/>
        <w:wordWrap/>
        <w:overflowPunct/>
        <w:topLinePunct w:val="0"/>
        <w:autoSpaceDE/>
        <w:autoSpaceDN/>
        <w:bidi w:val="0"/>
        <w:adjustRightInd/>
        <w:snapToGrid/>
        <w:spacing w:line="480" w:lineRule="exact"/>
        <w:ind w:firstLine="723" w:firstLineChars="300"/>
        <w:textAlignment w:val="auto"/>
        <w:rPr>
          <w:rFonts w:ascii="仿宋" w:hAnsi="仿宋" w:eastAsia="仿宋" w:cs="仿宋"/>
          <w:color w:val="auto"/>
        </w:rPr>
      </w:pPr>
      <w:r>
        <w:rPr>
          <w:rFonts w:hint="eastAsia" w:ascii="仿宋" w:hAnsi="仿宋" w:eastAsia="仿宋" w:cs="仿宋"/>
          <w:b/>
          <w:color w:val="auto"/>
          <w:sz w:val="24"/>
          <w:shd w:val="pct10" w:color="auto" w:fill="FFFFFF"/>
        </w:rPr>
        <w:t>价格分=（评标基准价/投标报价）×10%×100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仿宋" w:hAnsi="仿宋" w:eastAsia="仿宋" w:cs="仿宋"/>
          <w:b/>
          <w:color w:val="auto"/>
          <w:kern w:val="0"/>
          <w:sz w:val="24"/>
        </w:rPr>
      </w:pPr>
      <w:r>
        <w:rPr>
          <w:rFonts w:hint="eastAsia" w:ascii="仿宋" w:hAnsi="仿宋" w:eastAsia="仿宋" w:cs="仿宋"/>
          <w:b/>
          <w:color w:val="auto"/>
          <w:kern w:val="0"/>
          <w:sz w:val="24"/>
        </w:rPr>
        <w:t>（二）技术分、商务分、资信及其他分90分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
          <w:color w:val="auto"/>
          <w:kern w:val="0"/>
          <w:sz w:val="24"/>
          <w:shd w:val="pct10" w:color="auto" w:fill="FFFFFF"/>
        </w:rPr>
      </w:pPr>
      <w:r>
        <w:rPr>
          <w:rFonts w:hint="eastAsia" w:ascii="仿宋" w:hAnsi="仿宋" w:eastAsia="仿宋" w:cs="仿宋"/>
          <w:color w:val="auto"/>
          <w:kern w:val="0"/>
          <w:sz w:val="24"/>
          <w:shd w:val="pct10" w:color="auto" w:fill="FFFFFF"/>
        </w:rPr>
        <w:t>本项目设技术分73分、商务分、资信及其他分17分。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仿宋" w:hAnsi="仿宋" w:eastAsia="仿宋" w:cs="仿宋"/>
          <w:b/>
          <w:color w:val="auto"/>
          <w:kern w:val="0"/>
          <w:sz w:val="24"/>
        </w:rPr>
      </w:pPr>
      <w:r>
        <w:rPr>
          <w:rFonts w:hint="eastAsia" w:ascii="仿宋" w:hAnsi="仿宋" w:eastAsia="仿宋" w:cs="仿宋"/>
          <w:b/>
          <w:color w:val="auto"/>
          <w:kern w:val="0"/>
          <w:sz w:val="24"/>
        </w:rPr>
        <w:t>（三）技术分、商务分、资信及其他分的计算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
          <w:color w:val="auto"/>
          <w:kern w:val="0"/>
          <w:sz w:val="24"/>
        </w:rPr>
      </w:pPr>
      <w:r>
        <w:rPr>
          <w:rFonts w:hint="eastAsia" w:ascii="仿宋" w:hAnsi="仿宋" w:eastAsia="仿宋" w:cs="仿宋"/>
          <w:color w:val="auto"/>
          <w:kern w:val="0"/>
          <w:sz w:val="24"/>
        </w:rPr>
        <w:t>技术、商务、资信及其他按照评标委员会成员的独立评分结果汇总数的算术平均分计算，计算公式为：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
          <w:color w:val="auto"/>
          <w:kern w:val="0"/>
          <w:sz w:val="24"/>
        </w:rPr>
      </w:pPr>
      <w:r>
        <w:rPr>
          <w:rFonts w:hint="eastAsia" w:ascii="仿宋" w:hAnsi="仿宋" w:eastAsia="仿宋" w:cs="仿宋"/>
          <w:color w:val="auto"/>
          <w:kern w:val="0"/>
          <w:sz w:val="24"/>
        </w:rPr>
        <w:t>技术分、商务分、资信及其他分=（评标委员会所有成员评分合计数）/（评标委员会组成人员数）</w:t>
      </w:r>
    </w:p>
    <w:p>
      <w:pPr>
        <w:spacing w:line="500" w:lineRule="exact"/>
        <w:rPr>
          <w:rFonts w:ascii="仿宋" w:hAnsi="仿宋" w:eastAsia="仿宋" w:cs="仿宋"/>
          <w:b/>
          <w:color w:val="auto"/>
          <w:kern w:val="0"/>
          <w:sz w:val="24"/>
        </w:rPr>
      </w:pPr>
      <w:r>
        <w:rPr>
          <w:rFonts w:hint="eastAsia" w:ascii="仿宋" w:hAnsi="仿宋" w:eastAsia="仿宋" w:cs="仿宋"/>
          <w:b/>
          <w:color w:val="auto"/>
          <w:kern w:val="0"/>
          <w:sz w:val="24"/>
        </w:rPr>
        <w:br w:type="page"/>
      </w:r>
    </w:p>
    <w:p>
      <w:pPr>
        <w:spacing w:line="460" w:lineRule="exact"/>
        <w:ind w:firstLine="482" w:firstLineChars="200"/>
        <w:rPr>
          <w:rFonts w:ascii="仿宋" w:hAnsi="仿宋" w:eastAsia="仿宋"/>
          <w:b/>
          <w:color w:val="auto"/>
          <w:kern w:val="0"/>
          <w:sz w:val="24"/>
        </w:rPr>
      </w:pPr>
      <w:r>
        <w:rPr>
          <w:rFonts w:hint="eastAsia" w:ascii="仿宋" w:hAnsi="仿宋" w:eastAsia="仿宋"/>
          <w:b/>
          <w:color w:val="auto"/>
          <w:kern w:val="0"/>
          <w:sz w:val="24"/>
        </w:rPr>
        <w:t>附件：评分表格式</w:t>
      </w:r>
    </w:p>
    <w:tbl>
      <w:tblPr>
        <w:tblStyle w:val="21"/>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53"/>
        <w:gridCol w:w="1125"/>
        <w:gridCol w:w="14"/>
        <w:gridCol w:w="6195"/>
        <w:gridCol w:w="1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637" w:type="dxa"/>
            <w:tcBorders>
              <w:top w:val="single" w:color="auto" w:sz="4" w:space="0"/>
              <w:bottom w:val="single" w:color="auto" w:sz="4" w:space="0"/>
              <w:right w:val="single" w:color="auto" w:sz="4" w:space="0"/>
            </w:tcBorders>
            <w:vAlign w:val="center"/>
          </w:tcPr>
          <w:p>
            <w:pPr>
              <w:pStyle w:val="18"/>
              <w:spacing w:line="360" w:lineRule="auto"/>
              <w:ind w:left="0" w:leftChars="0"/>
              <w:jc w:val="center"/>
              <w:rPr>
                <w:rFonts w:ascii="仿宋" w:hAnsi="仿宋" w:eastAsia="仿宋" w:cs="仿宋"/>
                <w:b/>
                <w:bCs/>
                <w:color w:val="auto"/>
                <w:sz w:val="24"/>
                <w:szCs w:val="24"/>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评审内容</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pStyle w:val="18"/>
              <w:spacing w:line="360" w:lineRule="auto"/>
              <w:ind w:firstLine="450"/>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评分标准</w:t>
            </w:r>
          </w:p>
        </w:tc>
        <w:tc>
          <w:tcPr>
            <w:tcW w:w="1262" w:type="dxa"/>
            <w:tcBorders>
              <w:top w:val="single" w:color="auto" w:sz="4" w:space="0"/>
              <w:left w:val="single" w:color="auto" w:sz="4" w:space="0"/>
              <w:bottom w:val="single" w:color="auto" w:sz="4" w:space="0"/>
            </w:tcBorders>
            <w:vAlign w:val="center"/>
          </w:tcPr>
          <w:p>
            <w:pPr>
              <w:pStyle w:val="18"/>
              <w:spacing w:line="360" w:lineRule="auto"/>
              <w:ind w:left="0" w:left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37" w:type="dxa"/>
            <w:tcBorders>
              <w:top w:val="single" w:color="auto" w:sz="4" w:space="0"/>
              <w:bottom w:val="single" w:color="auto" w:sz="4" w:space="0"/>
              <w:right w:val="single" w:color="auto" w:sz="4" w:space="0"/>
            </w:tcBorders>
            <w:vAlign w:val="center"/>
          </w:tcPr>
          <w:p>
            <w:pPr>
              <w:pStyle w:val="18"/>
              <w:spacing w:line="360" w:lineRule="auto"/>
              <w:ind w:left="0" w:leftChars="0"/>
              <w:jc w:val="center"/>
              <w:rPr>
                <w:rFonts w:ascii="仿宋" w:hAnsi="仿宋" w:eastAsia="仿宋" w:cs="仿宋"/>
                <w:b/>
                <w:color w:val="auto"/>
                <w:sz w:val="24"/>
                <w:szCs w:val="24"/>
              </w:rPr>
            </w:pPr>
            <w:r>
              <w:rPr>
                <w:rFonts w:hint="eastAsia" w:ascii="仿宋" w:hAnsi="仿宋" w:eastAsia="仿宋" w:cs="仿宋"/>
                <w:b/>
                <w:color w:val="auto"/>
                <w:sz w:val="24"/>
                <w:szCs w:val="24"/>
              </w:rPr>
              <w:t>一</w:t>
            </w:r>
          </w:p>
        </w:tc>
        <w:tc>
          <w:tcPr>
            <w:tcW w:w="7387" w:type="dxa"/>
            <w:gridSpan w:val="4"/>
            <w:tcBorders>
              <w:top w:val="single" w:color="auto" w:sz="4" w:space="0"/>
              <w:left w:val="single" w:color="auto" w:sz="4" w:space="0"/>
              <w:bottom w:val="single" w:color="auto" w:sz="4" w:space="0"/>
              <w:right w:val="single" w:color="auto" w:sz="4" w:space="0"/>
            </w:tcBorders>
            <w:vAlign w:val="center"/>
          </w:tcPr>
          <w:p>
            <w:pPr>
              <w:pStyle w:val="18"/>
              <w:spacing w:line="360" w:lineRule="auto"/>
              <w:ind w:firstLine="450"/>
              <w:jc w:val="center"/>
              <w:rPr>
                <w:rFonts w:ascii="仿宋" w:hAnsi="仿宋" w:eastAsia="仿宋" w:cs="仿宋"/>
                <w:b/>
                <w:color w:val="auto"/>
                <w:sz w:val="24"/>
                <w:szCs w:val="24"/>
              </w:rPr>
            </w:pPr>
            <w:r>
              <w:rPr>
                <w:rFonts w:hint="eastAsia" w:ascii="仿宋" w:hAnsi="仿宋" w:eastAsia="仿宋" w:cs="仿宋"/>
                <w:b/>
                <w:color w:val="auto"/>
                <w:sz w:val="24"/>
                <w:szCs w:val="24"/>
              </w:rPr>
              <w:t>技术分</w:t>
            </w:r>
          </w:p>
        </w:tc>
        <w:tc>
          <w:tcPr>
            <w:tcW w:w="1262" w:type="dxa"/>
            <w:tcBorders>
              <w:top w:val="single" w:color="auto" w:sz="4" w:space="0"/>
              <w:left w:val="single" w:color="auto" w:sz="4" w:space="0"/>
              <w:bottom w:val="single" w:color="auto" w:sz="4" w:space="0"/>
            </w:tcBorders>
            <w:vAlign w:val="center"/>
          </w:tcPr>
          <w:p>
            <w:pPr>
              <w:pStyle w:val="18"/>
              <w:spacing w:line="360" w:lineRule="auto"/>
              <w:ind w:left="0" w:leftChars="0"/>
              <w:jc w:val="center"/>
              <w:rPr>
                <w:rFonts w:ascii="仿宋" w:hAnsi="仿宋" w:eastAsia="仿宋" w:cs="仿宋"/>
                <w:b/>
                <w:color w:val="auto"/>
                <w:sz w:val="24"/>
                <w:szCs w:val="24"/>
              </w:rPr>
            </w:pPr>
            <w:r>
              <w:rPr>
                <w:rFonts w:hint="eastAsia" w:ascii="仿宋" w:hAnsi="仿宋" w:eastAsia="仿宋" w:cs="仿宋"/>
                <w:b/>
                <w:color w:val="auto"/>
                <w:sz w:val="24"/>
                <w:szCs w:val="24"/>
              </w:rPr>
              <w:t>73分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637"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1</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highlight w:val="none"/>
              </w:rPr>
            </w:pPr>
            <w:r>
              <w:rPr>
                <w:rFonts w:hint="eastAsia" w:ascii="仿宋" w:hAnsi="仿宋" w:eastAsia="仿宋" w:cs="仿宋"/>
                <w:color w:val="auto"/>
                <w:sz w:val="24"/>
                <w:highlight w:val="none"/>
              </w:rPr>
              <w:t>巡查运行方案</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巡查运行方案：对组织保障措施、巡查运行重点难点分析、巡查运行重点难点解决方案、巡查运行质量保证措施进行综合评审：</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1、组织保障措施（2-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分）：包括人员交通设施安排、巡查路线时间、巡查内容，措施</w:t>
            </w:r>
            <w:r>
              <w:rPr>
                <w:rFonts w:hint="eastAsia" w:ascii="仿宋" w:hAnsi="仿宋" w:eastAsia="仿宋" w:cs="仿宋"/>
                <w:color w:val="auto"/>
                <w:sz w:val="24"/>
                <w:highlight w:val="none"/>
                <w:lang w:eastAsia="zh-CN"/>
              </w:rPr>
              <w:t>不合理</w:t>
            </w:r>
            <w:r>
              <w:rPr>
                <w:rFonts w:hint="eastAsia" w:ascii="仿宋" w:hAnsi="仿宋" w:eastAsia="仿宋" w:cs="仿宋"/>
                <w:color w:val="auto"/>
                <w:sz w:val="24"/>
                <w:highlight w:val="none"/>
              </w:rPr>
              <w:t>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2、巡查运行重点难点分析（2-5分）：包括巡查线路时间、运行中存在的问题等，分析有缺陷或者描述不符合本项目需求的每项扣1分；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3、巡查运行重点难点解决方案（2-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分）：包括对重点难点解决方案，巡查线路时间以及碰到的问题解决，方案存在缺陷每项扣1分；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4、巡查运行质量保证措施（2-5分）：包括携带的检查工具、日常检查、运行安排、与业主配合等，措施</w:t>
            </w:r>
            <w:r>
              <w:rPr>
                <w:rFonts w:hint="eastAsia" w:ascii="仿宋" w:hAnsi="仿宋" w:eastAsia="仿宋" w:cs="仿宋"/>
                <w:color w:val="auto"/>
                <w:sz w:val="24"/>
                <w:highlight w:val="none"/>
                <w:lang w:eastAsia="zh-CN"/>
              </w:rPr>
              <w:t>不合理</w:t>
            </w:r>
            <w:r>
              <w:rPr>
                <w:rFonts w:hint="eastAsia" w:ascii="仿宋" w:hAnsi="仿宋" w:eastAsia="仿宋" w:cs="仿宋"/>
                <w:color w:val="auto"/>
                <w:sz w:val="24"/>
                <w:highlight w:val="none"/>
              </w:rPr>
              <w:t>每项扣1分。</w:t>
            </w:r>
          </w:p>
          <w:p>
            <w:pPr>
              <w:spacing w:line="360" w:lineRule="exact"/>
              <w:ind w:firstLine="480" w:firstLineChars="200"/>
              <w:jc w:val="left"/>
              <w:rPr>
                <w:rFonts w:ascii="仿宋" w:hAnsi="仿宋" w:eastAsia="仿宋" w:cs="仿宋"/>
                <w:bCs/>
                <w:color w:val="auto"/>
                <w:sz w:val="24"/>
                <w:highlight w:val="none"/>
              </w:rPr>
            </w:pPr>
            <w:r>
              <w:rPr>
                <w:rFonts w:hint="eastAsia" w:ascii="仿宋" w:hAnsi="仿宋" w:eastAsia="仿宋" w:cs="仿宋"/>
                <w:color w:val="auto"/>
                <w:sz w:val="24"/>
                <w:highlight w:val="none"/>
              </w:rPr>
              <w:t>以上单项方案不提供的该单项不得分。</w:t>
            </w:r>
          </w:p>
        </w:tc>
        <w:tc>
          <w:tcPr>
            <w:tcW w:w="1262"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color w:val="auto"/>
                <w:sz w:val="24"/>
                <w:highlight w:val="none"/>
              </w:rPr>
            </w:pP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0" w:hRule="atLeast"/>
          <w:jc w:val="center"/>
        </w:trPr>
        <w:tc>
          <w:tcPr>
            <w:tcW w:w="637"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2</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highlight w:val="darkGray"/>
              </w:rPr>
            </w:pPr>
            <w:r>
              <w:rPr>
                <w:rFonts w:hint="eastAsia" w:ascii="仿宋" w:hAnsi="仿宋" w:eastAsia="仿宋" w:cs="仿宋"/>
                <w:color w:val="auto"/>
                <w:sz w:val="24"/>
              </w:rPr>
              <w:t>保洁值班方案</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保洁值班方案：对组织保障措施、保洁值班重点难点分析、保洁值班重点难点解决方案、保洁值班质量保证措施进行综合评审：</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1、组织保障措施（1-3分）：包括人员安排、保洁范围、保洁内容等，措施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2、保洁值班重点难点分析（</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分）：包括人员安排及过程中碰到发生的问题等，分析有缺陷或者描述不符合本项目需求的每项扣1分；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3、保洁值班重点难点解决方案（</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分）：包括人员安排及过程中碰到发生的问题解决，方案存在缺陷每项扣1分；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4、保洁值班质量保证措施（1-3分）：包括保洁达到的标准、日常检查标准、与业主配合等，措施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spacing w:line="360" w:lineRule="exact"/>
              <w:ind w:firstLine="480" w:firstLineChars="200"/>
              <w:jc w:val="left"/>
              <w:rPr>
                <w:rFonts w:ascii="仿宋" w:hAnsi="仿宋" w:eastAsia="仿宋" w:cs="仿宋"/>
                <w:bCs/>
                <w:color w:val="auto"/>
                <w:sz w:val="24"/>
                <w:highlight w:val="darkGray"/>
              </w:rPr>
            </w:pPr>
            <w:r>
              <w:rPr>
                <w:rFonts w:hint="eastAsia" w:ascii="仿宋" w:hAnsi="仿宋" w:eastAsia="仿宋" w:cs="仿宋"/>
                <w:color w:val="auto"/>
                <w:sz w:val="24"/>
              </w:rPr>
              <w:t>以上单项方案不提供的该单项不得分。</w:t>
            </w:r>
          </w:p>
        </w:tc>
        <w:tc>
          <w:tcPr>
            <w:tcW w:w="1262"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0-1</w:t>
            </w: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95" w:hRule="atLeast"/>
          <w:jc w:val="center"/>
        </w:trPr>
        <w:tc>
          <w:tcPr>
            <w:tcW w:w="637"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3</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highlight w:val="none"/>
              </w:rPr>
            </w:pPr>
            <w:r>
              <w:rPr>
                <w:rFonts w:hint="eastAsia" w:ascii="仿宋" w:hAnsi="仿宋" w:eastAsia="仿宋" w:cs="仿宋"/>
                <w:color w:val="auto"/>
                <w:sz w:val="24"/>
                <w:highlight w:val="none"/>
              </w:rPr>
              <w:t>维修方案</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维修方案：对组织保障措施、维修重点难点分析、维修重点难点解决方案、维修质量保证措施进行综合评审：</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1、组织保障措施（2-5分）：包括维修时间范围、人员及交通设施安排，措施</w:t>
            </w:r>
            <w:r>
              <w:rPr>
                <w:rFonts w:hint="eastAsia" w:ascii="仿宋" w:hAnsi="仿宋" w:eastAsia="仿宋" w:cs="仿宋"/>
                <w:color w:val="auto"/>
                <w:sz w:val="24"/>
                <w:highlight w:val="none"/>
                <w:lang w:eastAsia="zh-CN"/>
              </w:rPr>
              <w:t>不合理</w:t>
            </w:r>
            <w:r>
              <w:rPr>
                <w:rFonts w:hint="eastAsia" w:ascii="仿宋" w:hAnsi="仿宋" w:eastAsia="仿宋" w:cs="仿宋"/>
                <w:color w:val="auto"/>
                <w:sz w:val="24"/>
                <w:highlight w:val="none"/>
              </w:rPr>
              <w:t>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2、维修重点难点分析（2-5分）：包括维修过程中碰到发生的问题等，分析有缺陷或者描述不符合本项目需求的每项扣1分；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3、维修重点难点解决方案（2-5分）：包括维修过程中碰到发生的问题解决等，方案存在缺陷每项扣1分；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4、维修质量保证措施（2-5分）：包括验收标准、日常检查、与业主配合等，措施</w:t>
            </w:r>
            <w:r>
              <w:rPr>
                <w:rFonts w:hint="eastAsia" w:ascii="仿宋" w:hAnsi="仿宋" w:eastAsia="仿宋" w:cs="仿宋"/>
                <w:color w:val="auto"/>
                <w:sz w:val="24"/>
                <w:highlight w:val="none"/>
                <w:lang w:eastAsia="zh-CN"/>
              </w:rPr>
              <w:t>不合理</w:t>
            </w:r>
            <w:r>
              <w:rPr>
                <w:rFonts w:hint="eastAsia" w:ascii="仿宋" w:hAnsi="仿宋" w:eastAsia="仿宋" w:cs="仿宋"/>
                <w:color w:val="auto"/>
                <w:sz w:val="24"/>
                <w:highlight w:val="none"/>
              </w:rPr>
              <w:t>每项扣1分。</w:t>
            </w:r>
          </w:p>
          <w:p>
            <w:pPr>
              <w:spacing w:line="360" w:lineRule="exact"/>
              <w:ind w:firstLine="480" w:firstLineChars="200"/>
              <w:jc w:val="left"/>
              <w:rPr>
                <w:rFonts w:ascii="仿宋" w:hAnsi="仿宋" w:eastAsia="仿宋" w:cs="仿宋"/>
                <w:bCs/>
                <w:color w:val="auto"/>
                <w:sz w:val="24"/>
                <w:highlight w:val="none"/>
              </w:rPr>
            </w:pPr>
            <w:r>
              <w:rPr>
                <w:rFonts w:hint="eastAsia" w:ascii="仿宋" w:hAnsi="仿宋" w:eastAsia="仿宋" w:cs="仿宋"/>
                <w:color w:val="auto"/>
                <w:sz w:val="24"/>
                <w:highlight w:val="none"/>
              </w:rPr>
              <w:t>以上单项方案不提供的该单项不得分。</w:t>
            </w:r>
          </w:p>
        </w:tc>
        <w:tc>
          <w:tcPr>
            <w:tcW w:w="1262"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color w:val="auto"/>
                <w:sz w:val="24"/>
                <w:highlight w:val="none"/>
              </w:rPr>
            </w:pPr>
            <w:r>
              <w:rPr>
                <w:rFonts w:hint="eastAsia" w:ascii="仿宋" w:hAnsi="仿宋" w:eastAsia="仿宋" w:cs="仿宋"/>
                <w:color w:val="auto"/>
                <w:sz w:val="24"/>
                <w:highlight w:val="none"/>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25" w:hRule="atLeast"/>
          <w:jc w:val="center"/>
        </w:trPr>
        <w:tc>
          <w:tcPr>
            <w:tcW w:w="637"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4</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绿化养护方案</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绿化养护方案：对组织保障措施、绿化养护重点难点分析</w:t>
            </w:r>
            <w:r>
              <w:rPr>
                <w:rFonts w:hint="eastAsia" w:ascii="仿宋" w:hAnsi="仿宋" w:eastAsia="仿宋" w:cs="仿宋"/>
                <w:color w:val="auto"/>
                <w:sz w:val="24"/>
                <w:lang w:eastAsia="zh-CN"/>
              </w:rPr>
              <w:t>、</w:t>
            </w:r>
            <w:r>
              <w:rPr>
                <w:rFonts w:hint="eastAsia" w:ascii="仿宋" w:hAnsi="仿宋" w:eastAsia="仿宋" w:cs="仿宋"/>
                <w:color w:val="auto"/>
                <w:sz w:val="24"/>
              </w:rPr>
              <w:t>绿化养护重点难点</w:t>
            </w:r>
            <w:r>
              <w:rPr>
                <w:rFonts w:hint="eastAsia" w:ascii="仿宋" w:hAnsi="仿宋" w:eastAsia="仿宋" w:cs="仿宋"/>
                <w:color w:val="auto"/>
                <w:sz w:val="24"/>
                <w:lang w:eastAsia="zh-CN"/>
              </w:rPr>
              <w:t>分</w:t>
            </w:r>
            <w:r>
              <w:rPr>
                <w:rFonts w:hint="eastAsia" w:ascii="仿宋" w:hAnsi="仿宋" w:eastAsia="仿宋" w:cs="仿宋"/>
                <w:color w:val="auto"/>
                <w:sz w:val="24"/>
              </w:rPr>
              <w:t>解决方案、绿化养护质量保证措施进行综合评审：</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1、组织保障措施（1-</w:t>
            </w:r>
            <w:r>
              <w:rPr>
                <w:rFonts w:hint="eastAsia" w:ascii="仿宋" w:hAnsi="仿宋" w:eastAsia="仿宋" w:cs="仿宋"/>
                <w:color w:val="auto"/>
                <w:sz w:val="24"/>
                <w:lang w:val="en-US" w:eastAsia="zh-CN"/>
              </w:rPr>
              <w:t>2</w:t>
            </w:r>
            <w:r>
              <w:rPr>
                <w:rFonts w:hint="eastAsia" w:ascii="仿宋" w:hAnsi="仿宋" w:eastAsia="仿宋" w:cs="仿宋"/>
                <w:color w:val="auto"/>
                <w:sz w:val="24"/>
              </w:rPr>
              <w:t>分）：包括人员及交通设施安排、养护范围及内容等，措施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2、绿化养护重点难点分析（1-</w:t>
            </w:r>
            <w:r>
              <w:rPr>
                <w:rFonts w:hint="eastAsia" w:ascii="仿宋" w:hAnsi="仿宋" w:eastAsia="仿宋" w:cs="仿宋"/>
                <w:color w:val="auto"/>
                <w:sz w:val="24"/>
                <w:lang w:val="en-US" w:eastAsia="zh-CN"/>
              </w:rPr>
              <w:t>2</w:t>
            </w:r>
            <w:r>
              <w:rPr>
                <w:rFonts w:hint="eastAsia" w:ascii="仿宋" w:hAnsi="仿宋" w:eastAsia="仿宋" w:cs="仿宋"/>
                <w:color w:val="auto"/>
                <w:sz w:val="24"/>
              </w:rPr>
              <w:t>分）：包括在养护过程中碰到发生的问题等，分析有缺陷或者描述不符合本项目需求的每项扣1分；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3、绿化养护重点难点</w:t>
            </w:r>
            <w:r>
              <w:rPr>
                <w:rFonts w:hint="eastAsia" w:ascii="仿宋" w:hAnsi="仿宋" w:eastAsia="仿宋" w:cs="仿宋"/>
                <w:color w:val="auto"/>
                <w:sz w:val="24"/>
                <w:lang w:eastAsia="zh-CN"/>
              </w:rPr>
              <w:t>分</w:t>
            </w:r>
            <w:r>
              <w:rPr>
                <w:rFonts w:hint="eastAsia" w:ascii="仿宋" w:hAnsi="仿宋" w:eastAsia="仿宋" w:cs="仿宋"/>
                <w:color w:val="auto"/>
                <w:sz w:val="24"/>
              </w:rPr>
              <w:t>解决方案（1-</w:t>
            </w:r>
            <w:r>
              <w:rPr>
                <w:rFonts w:hint="eastAsia" w:ascii="仿宋" w:hAnsi="仿宋" w:eastAsia="仿宋" w:cs="仿宋"/>
                <w:color w:val="auto"/>
                <w:sz w:val="24"/>
                <w:lang w:val="en-US" w:eastAsia="zh-CN"/>
              </w:rPr>
              <w:t>2</w:t>
            </w:r>
            <w:r>
              <w:rPr>
                <w:rFonts w:hint="eastAsia" w:ascii="仿宋" w:hAnsi="仿宋" w:eastAsia="仿宋" w:cs="仿宋"/>
                <w:color w:val="auto"/>
                <w:sz w:val="24"/>
              </w:rPr>
              <w:t>分）：在养护过程中碰到发生的问题</w:t>
            </w:r>
            <w:r>
              <w:rPr>
                <w:rFonts w:hint="eastAsia" w:ascii="仿宋" w:hAnsi="仿宋" w:eastAsia="仿宋" w:cs="仿宋"/>
                <w:color w:val="auto"/>
                <w:sz w:val="24"/>
                <w:lang w:eastAsia="zh-CN"/>
              </w:rPr>
              <w:t>及</w:t>
            </w:r>
            <w:r>
              <w:rPr>
                <w:rFonts w:hint="eastAsia" w:ascii="仿宋" w:hAnsi="仿宋" w:eastAsia="仿宋" w:cs="仿宋"/>
                <w:color w:val="auto"/>
                <w:sz w:val="24"/>
              </w:rPr>
              <w:t>解决等，方案存在缺陷每项扣1分；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4、绿化养护质量保证措施（1-</w:t>
            </w:r>
            <w:r>
              <w:rPr>
                <w:rFonts w:hint="eastAsia" w:ascii="仿宋" w:hAnsi="仿宋" w:eastAsia="仿宋" w:cs="仿宋"/>
                <w:color w:val="auto"/>
                <w:sz w:val="24"/>
                <w:lang w:val="en-US" w:eastAsia="zh-CN"/>
              </w:rPr>
              <w:t>2</w:t>
            </w:r>
            <w:r>
              <w:rPr>
                <w:rFonts w:hint="eastAsia" w:ascii="仿宋" w:hAnsi="仿宋" w:eastAsia="仿宋" w:cs="仿宋"/>
                <w:color w:val="auto"/>
                <w:sz w:val="24"/>
              </w:rPr>
              <w:t>分）：包括养护的标准、日常检查、</w:t>
            </w:r>
            <w:r>
              <w:rPr>
                <w:rFonts w:hint="eastAsia" w:ascii="仿宋" w:hAnsi="仿宋" w:eastAsia="仿宋" w:cs="仿宋"/>
                <w:color w:val="auto"/>
                <w:sz w:val="24"/>
                <w:lang w:eastAsia="zh-CN"/>
              </w:rPr>
              <w:t>与</w:t>
            </w:r>
            <w:r>
              <w:rPr>
                <w:rFonts w:hint="eastAsia" w:ascii="仿宋" w:hAnsi="仿宋" w:eastAsia="仿宋" w:cs="仿宋"/>
                <w:color w:val="auto"/>
                <w:sz w:val="24"/>
              </w:rPr>
              <w:t>业主配合等，措施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以上单项方案不提供的该单项不得分。</w:t>
            </w:r>
          </w:p>
        </w:tc>
        <w:tc>
          <w:tcPr>
            <w:tcW w:w="1262"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0-</w:t>
            </w: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637"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5</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bCs/>
                <w:color w:val="auto"/>
                <w:sz w:val="24"/>
              </w:rPr>
            </w:pPr>
            <w:r>
              <w:rPr>
                <w:rFonts w:hint="eastAsia" w:ascii="仿宋" w:hAnsi="仿宋" w:eastAsia="仿宋" w:cs="仿宋"/>
                <w:color w:val="auto"/>
                <w:sz w:val="24"/>
              </w:rPr>
              <w:t>安全及文明措施</w:t>
            </w:r>
          </w:p>
        </w:tc>
        <w:tc>
          <w:tcPr>
            <w:tcW w:w="620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安全及文明措施：对组织保障措施、安全及文明重点难点分析及解决方案、安全及文明质量保证措施</w:t>
            </w:r>
            <w:r>
              <w:rPr>
                <w:rFonts w:hint="eastAsia" w:ascii="仿宋" w:hAnsi="仿宋" w:eastAsia="仿宋" w:cs="仿宋"/>
                <w:color w:val="auto"/>
                <w:sz w:val="24"/>
                <w:lang w:eastAsia="zh-CN"/>
              </w:rPr>
              <w:t>进行</w:t>
            </w:r>
            <w:r>
              <w:rPr>
                <w:rFonts w:hint="eastAsia" w:ascii="仿宋" w:hAnsi="仿宋" w:eastAsia="仿宋" w:cs="仿宋"/>
                <w:color w:val="auto"/>
                <w:sz w:val="24"/>
              </w:rPr>
              <w:t>综合评审：</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1、组织保障措施（1-3分）：包括安全救生设备、交通设施替补，文明规则制度，措施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2、安全及文明重点难点分析及解决方案（2-4分）：制度或设施设备出现的问题及解决等，方案存在缺陷每项扣1分；</w:t>
            </w:r>
          </w:p>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3、安全及文明质量保证措施（2-4分）：包括安全文明、处罚制度、</w:t>
            </w:r>
            <w:r>
              <w:rPr>
                <w:rFonts w:hint="eastAsia" w:ascii="仿宋" w:hAnsi="仿宋" w:eastAsia="仿宋" w:cs="仿宋"/>
                <w:color w:val="auto"/>
                <w:sz w:val="24"/>
                <w:lang w:eastAsia="zh-CN"/>
              </w:rPr>
              <w:t>与</w:t>
            </w:r>
            <w:r>
              <w:rPr>
                <w:rFonts w:hint="eastAsia" w:ascii="仿宋" w:hAnsi="仿宋" w:eastAsia="仿宋" w:cs="仿宋"/>
                <w:color w:val="auto"/>
                <w:sz w:val="24"/>
              </w:rPr>
              <w:t>业主配合等，措施</w:t>
            </w:r>
            <w:r>
              <w:rPr>
                <w:rFonts w:hint="eastAsia" w:ascii="仿宋" w:hAnsi="仿宋" w:eastAsia="仿宋" w:cs="仿宋"/>
                <w:color w:val="auto"/>
                <w:sz w:val="24"/>
                <w:lang w:eastAsia="zh-CN"/>
              </w:rPr>
              <w:t>不合理</w:t>
            </w:r>
            <w:r>
              <w:rPr>
                <w:rFonts w:hint="eastAsia" w:ascii="仿宋" w:hAnsi="仿宋" w:eastAsia="仿宋" w:cs="仿宋"/>
                <w:color w:val="auto"/>
                <w:sz w:val="24"/>
              </w:rPr>
              <w:t>每项扣1分。</w:t>
            </w:r>
          </w:p>
          <w:p>
            <w:pPr>
              <w:pStyle w:val="2"/>
              <w:ind w:firstLine="480" w:firstLineChars="200"/>
              <w:rPr>
                <w:rFonts w:ascii="仿宋" w:hAnsi="仿宋" w:eastAsia="仿宋" w:cs="仿宋"/>
                <w:bCs/>
                <w:color w:val="auto"/>
                <w:sz w:val="24"/>
              </w:rPr>
            </w:pPr>
            <w:r>
              <w:rPr>
                <w:rFonts w:hint="eastAsia" w:ascii="仿宋" w:hAnsi="仿宋" w:eastAsia="仿宋" w:cs="仿宋"/>
                <w:color w:val="auto"/>
                <w:sz w:val="24"/>
              </w:rPr>
              <w:t>以上单项方案不提供的该单项不得分。</w:t>
            </w:r>
          </w:p>
        </w:tc>
        <w:tc>
          <w:tcPr>
            <w:tcW w:w="1262"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cs="仿宋"/>
                <w:bCs/>
                <w:color w:val="auto"/>
                <w:sz w:val="24"/>
              </w:rPr>
            </w:pPr>
            <w:r>
              <w:rPr>
                <w:rFonts w:hint="eastAsia" w:ascii="仿宋" w:hAnsi="仿宋" w:eastAsia="仿宋" w:cs="仿宋"/>
                <w:color w:val="auto"/>
                <w:sz w:val="24"/>
              </w:rPr>
              <w:t>0-11分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4" w:hRule="atLeast"/>
          <w:jc w:val="center"/>
        </w:trPr>
        <w:tc>
          <w:tcPr>
            <w:tcW w:w="8024" w:type="dxa"/>
            <w:gridSpan w:val="5"/>
            <w:tcBorders>
              <w:top w:val="single" w:color="auto" w:sz="4" w:space="0"/>
              <w:left w:val="single" w:color="auto" w:sz="4" w:space="0"/>
              <w:right w:val="single" w:color="auto" w:sz="4" w:space="0"/>
            </w:tcBorders>
            <w:noWrap/>
            <w:vAlign w:val="center"/>
          </w:tcPr>
          <w:p>
            <w:pPr>
              <w:spacing w:line="360" w:lineRule="exact"/>
              <w:ind w:firstLine="480" w:firstLineChars="200"/>
              <w:jc w:val="center"/>
              <w:rPr>
                <w:rFonts w:ascii="仿宋" w:hAnsi="仿宋" w:eastAsia="仿宋" w:cs="仿宋"/>
                <w:color w:val="auto"/>
                <w:sz w:val="24"/>
              </w:rPr>
            </w:pPr>
            <w:r>
              <w:rPr>
                <w:rFonts w:hint="eastAsia" w:ascii="仿宋" w:hAnsi="仿宋" w:eastAsia="仿宋" w:cs="仿宋"/>
                <w:color w:val="auto"/>
                <w:sz w:val="24"/>
              </w:rPr>
              <w:t>商务、资信及其他分</w:t>
            </w:r>
          </w:p>
        </w:tc>
        <w:tc>
          <w:tcPr>
            <w:tcW w:w="1262" w:type="dxa"/>
            <w:tcBorders>
              <w:top w:val="single" w:color="auto" w:sz="4" w:space="0"/>
              <w:left w:val="single" w:color="auto" w:sz="4" w:space="0"/>
              <w:right w:val="single" w:color="auto" w:sz="4" w:space="0"/>
            </w:tcBorders>
            <w:noWrap/>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17分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6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12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企业</w:t>
            </w:r>
          </w:p>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业绩</w:t>
            </w:r>
          </w:p>
        </w:tc>
        <w:tc>
          <w:tcPr>
            <w:tcW w:w="620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供应商自2018年1月1日以来承接过同类项目业绩（包括水利工程维修养护中含水闸或泵站类维修养护或运行管理服务），每个得1分，最高5分。业绩必须提供相应的证明文件（提供中标（成交）通知书、合同, 二者缺一不可，提供原件的扫描件并加盖单位公章，未提供的不得分。时间以合同签订时间为准。）</w:t>
            </w:r>
          </w:p>
        </w:tc>
        <w:tc>
          <w:tcPr>
            <w:tcW w:w="126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690" w:type="dxa"/>
            <w:gridSpan w:val="2"/>
            <w:tcBorders>
              <w:top w:val="single" w:color="auto" w:sz="4" w:space="0"/>
              <w:left w:val="single" w:color="auto" w:sz="4" w:space="0"/>
              <w:right w:val="single" w:color="auto" w:sz="4" w:space="0"/>
            </w:tcBorders>
            <w:noWrap/>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1125" w:type="dxa"/>
            <w:tcBorders>
              <w:top w:val="single" w:color="auto" w:sz="4" w:space="0"/>
              <w:left w:val="single" w:color="auto" w:sz="4" w:space="0"/>
              <w:right w:val="single" w:color="auto" w:sz="4" w:space="0"/>
            </w:tcBorders>
            <w:noWrap/>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企业</w:t>
            </w:r>
          </w:p>
          <w:p>
            <w:pPr>
              <w:spacing w:line="360" w:lineRule="exact"/>
              <w:jc w:val="center"/>
              <w:rPr>
                <w:rFonts w:ascii="仿宋" w:hAnsi="仿宋" w:eastAsia="仿宋" w:cs="仿宋"/>
                <w:color w:val="auto"/>
                <w:sz w:val="24"/>
              </w:rPr>
            </w:pPr>
            <w:r>
              <w:rPr>
                <w:rFonts w:hint="eastAsia" w:ascii="仿宋" w:hAnsi="仿宋" w:eastAsia="仿宋" w:cs="仿宋"/>
                <w:color w:val="auto"/>
                <w:sz w:val="24"/>
              </w:rPr>
              <w:t>认证</w:t>
            </w:r>
          </w:p>
        </w:tc>
        <w:tc>
          <w:tcPr>
            <w:tcW w:w="6209" w:type="dxa"/>
            <w:gridSpan w:val="2"/>
            <w:tcBorders>
              <w:top w:val="single" w:color="auto" w:sz="4" w:space="0"/>
              <w:left w:val="single" w:color="auto" w:sz="4" w:space="0"/>
              <w:right w:val="single" w:color="auto" w:sz="4" w:space="0"/>
            </w:tcBorders>
            <w:noWrap/>
            <w:vAlign w:val="center"/>
          </w:tcPr>
          <w:p>
            <w:pPr>
              <w:spacing w:line="3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供应商具有有效的质量、环境、职业健康安全管理体系标准认证的每个得2分，最多得6分。（以上证书提供原件的扫描件并加盖单位公章，未提供的不得分。）</w:t>
            </w:r>
          </w:p>
        </w:tc>
        <w:tc>
          <w:tcPr>
            <w:tcW w:w="1262" w:type="dxa"/>
            <w:tcBorders>
              <w:top w:val="single" w:color="auto" w:sz="4" w:space="0"/>
              <w:left w:val="single" w:color="auto" w:sz="4" w:space="0"/>
              <w:right w:val="single" w:color="auto" w:sz="4" w:space="0"/>
            </w:tcBorders>
            <w:noWrap/>
            <w:vAlign w:val="center"/>
          </w:tcPr>
          <w:p>
            <w:pPr>
              <w:spacing w:line="360" w:lineRule="exact"/>
              <w:jc w:val="center"/>
              <w:rPr>
                <w:rFonts w:ascii="仿宋" w:hAnsi="仿宋" w:eastAsia="仿宋" w:cs="仿宋"/>
                <w:color w:val="auto"/>
                <w:sz w:val="24"/>
              </w:rPr>
            </w:pPr>
            <w:r>
              <w:rPr>
                <w:rFonts w:hint="eastAsia" w:ascii="仿宋" w:hAnsi="仿宋" w:eastAsia="仿宋" w:cs="仿宋"/>
                <w:color w:val="auto"/>
                <w:sz w:val="24"/>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6" w:hRule="atLeast"/>
          <w:jc w:val="center"/>
        </w:trPr>
        <w:tc>
          <w:tcPr>
            <w:tcW w:w="6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投标人服务能力</w:t>
            </w:r>
          </w:p>
        </w:tc>
        <w:tc>
          <w:tcPr>
            <w:tcW w:w="619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供应商具有省级水利水电工程物业管理服务能力评价（水闸类乙级或乙级临时资质</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以上）的得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numPr>
                <w:ilvl w:val="0"/>
                <w:numId w:val="0"/>
              </w:num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供应商具有省级水利水电工程物业管理服务能力评价（泵站类乙级或乙级临时资质</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以上）的得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p>
          <w:p>
            <w:pPr>
              <w:pStyle w:val="2"/>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3、供应商具有水利水电机电安装工程专业承包资质三级及以上的得2分。</w:t>
            </w:r>
          </w:p>
          <w:p>
            <w:pPr>
              <w:spacing w:line="3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以上证书提供原件的扫描件并加盖单位公章，未提供的不得分。</w:t>
            </w:r>
          </w:p>
        </w:tc>
        <w:tc>
          <w:tcPr>
            <w:tcW w:w="126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0-6分</w:t>
            </w:r>
          </w:p>
        </w:tc>
      </w:tr>
    </w:tbl>
    <w:p>
      <w:pPr>
        <w:rPr>
          <w:rFonts w:ascii="仿宋" w:hAnsi="仿宋" w:eastAsia="仿宋" w:cs="仿宋"/>
          <w:b/>
          <w:color w:val="auto"/>
          <w:sz w:val="24"/>
        </w:rPr>
      </w:pPr>
      <w:r>
        <w:rPr>
          <w:rFonts w:hint="eastAsia" w:ascii="仿宋" w:hAnsi="仿宋" w:eastAsia="仿宋"/>
          <w:b/>
          <w:color w:val="auto"/>
          <w:kern w:val="0"/>
          <w:sz w:val="24"/>
        </w:rPr>
        <w:br w:type="page"/>
      </w:r>
    </w:p>
    <w:p>
      <w:pPr>
        <w:pageBreakBefore/>
        <w:spacing w:line="500" w:lineRule="exact"/>
        <w:ind w:firstLine="281" w:firstLineChars="100"/>
        <w:jc w:val="center"/>
        <w:rPr>
          <w:rFonts w:ascii="仿宋" w:hAnsi="仿宋" w:eastAsia="仿宋"/>
          <w:b/>
          <w:color w:val="auto"/>
          <w:kern w:val="0"/>
          <w:sz w:val="28"/>
          <w:szCs w:val="28"/>
        </w:rPr>
      </w:pPr>
      <w:r>
        <w:rPr>
          <w:rFonts w:hint="eastAsia" w:ascii="仿宋" w:hAnsi="仿宋" w:eastAsia="仿宋"/>
          <w:b/>
          <w:color w:val="auto"/>
          <w:kern w:val="0"/>
          <w:sz w:val="28"/>
          <w:szCs w:val="28"/>
        </w:rPr>
        <w:t>第五章  合同主要条款</w:t>
      </w:r>
    </w:p>
    <w:p>
      <w:pPr>
        <w:pStyle w:val="4"/>
        <w:spacing w:line="500" w:lineRule="exact"/>
        <w:rPr>
          <w:rFonts w:ascii="仿宋" w:hAnsi="仿宋" w:eastAsia="仿宋" w:cs="仿宋"/>
          <w:b w:val="0"/>
          <w:snapToGrid w:val="0"/>
          <w:color w:val="auto"/>
          <w:sz w:val="24"/>
          <w:szCs w:val="24"/>
        </w:rPr>
      </w:pPr>
      <w:r>
        <w:rPr>
          <w:rFonts w:hint="eastAsia" w:ascii="仿宋" w:hAnsi="仿宋" w:eastAsia="仿宋" w:cs="仿宋"/>
          <w:color w:val="auto"/>
          <w:sz w:val="24"/>
          <w:szCs w:val="24"/>
        </w:rPr>
        <w:t>（仅供参考，以正式合同为准）</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财政审批编号: 湖财采确临[2021]</w:t>
      </w:r>
      <w:r>
        <w:rPr>
          <w:rFonts w:hint="eastAsia" w:ascii="仿宋" w:hAnsi="仿宋" w:eastAsia="仿宋" w:cs="仿宋"/>
          <w:color w:val="auto"/>
          <w:sz w:val="24"/>
          <w:lang w:val="en-US" w:eastAsia="zh-CN"/>
        </w:rPr>
        <w:t>21338</w:t>
      </w:r>
      <w:r>
        <w:rPr>
          <w:rFonts w:hint="eastAsia" w:ascii="仿宋" w:hAnsi="仿宋" w:eastAsia="仿宋" w:cs="仿宋"/>
          <w:color w:val="auto"/>
          <w:sz w:val="24"/>
        </w:rPr>
        <w:t>号  采购文件编号: 仁皇招字2021092号</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甲方（采购人）：</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乙方（成交人）：</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甲、乙双方根据湖州市仁皇工程咨询有限公司关于</w:t>
      </w:r>
      <w:r>
        <w:rPr>
          <w:rFonts w:hint="eastAsia" w:ascii="仿宋" w:hAnsi="仿宋" w:eastAsia="仿宋" w:cs="仿宋"/>
          <w:color w:val="auto"/>
          <w:sz w:val="24"/>
          <w:u w:val="single"/>
        </w:rPr>
        <w:t>2021-2023年度</w:t>
      </w:r>
      <w:r>
        <w:rPr>
          <w:rFonts w:hint="eastAsia" w:ascii="仿宋" w:hAnsi="仿宋" w:eastAsia="仿宋" w:cs="仿宋"/>
          <w:color w:val="auto"/>
          <w:sz w:val="24"/>
          <w:u w:val="single"/>
          <w:lang w:eastAsia="zh-CN"/>
        </w:rPr>
        <w:t>水闸泵站</w:t>
      </w:r>
      <w:r>
        <w:rPr>
          <w:rFonts w:hint="eastAsia" w:ascii="仿宋" w:hAnsi="仿宋" w:eastAsia="仿宋" w:cs="仿宋"/>
          <w:color w:val="auto"/>
          <w:sz w:val="24"/>
          <w:u w:val="single"/>
        </w:rPr>
        <w:t>运行维修养护服务项目</w:t>
      </w:r>
      <w:r>
        <w:rPr>
          <w:rFonts w:hint="eastAsia" w:ascii="仿宋" w:hAnsi="仿宋" w:eastAsia="仿宋" w:cs="仿宋"/>
          <w:color w:val="auto"/>
          <w:sz w:val="24"/>
        </w:rPr>
        <w:t>公开招标的结果，签署本合同。</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1.定义</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本合同中的下列术语应解释为：</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1.1“合同”系指供需双方签署的、合同格式中载明的供需双方所达成的协议，包括所有的附件、附录和构成合同的所有文件；</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1.2“合同价”系指根据合同规定，甲方在供应商完全履行合同义务后应付给的价格；</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1.3“货物”系指乙方根据合同规定向采购人提供的一切货物、质量保证书和其他技术资料及技术参数；</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1.4“服务”系指根据合同规定乙方承担与供货有关的辅助服务，如运输、装卸、安装、保险以及其他的服务，例如安装、调试提供技术援助、培训和其他类似的义务；</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1.5“甲方”系指具体使用货物和接受服务的使用单位；</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1.6“乙方”系指根据合同规定提供采购项目货物和服务的具有法人资格的公司、企业或实体；</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2.合同项目与内容</w:t>
      </w:r>
    </w:p>
    <w:p>
      <w:pPr>
        <w:snapToGrid w:val="0"/>
        <w:spacing w:line="400" w:lineRule="exact"/>
        <w:ind w:firstLine="480" w:firstLineChars="200"/>
        <w:jc w:val="left"/>
        <w:rPr>
          <w:rFonts w:ascii="仿宋" w:hAnsi="仿宋" w:eastAsia="仿宋" w:cs="仿宋"/>
          <w:color w:val="auto"/>
          <w:sz w:val="24"/>
          <w:u w:val="single"/>
        </w:rPr>
      </w:pPr>
      <w:r>
        <w:rPr>
          <w:rFonts w:hint="eastAsia" w:ascii="仿宋" w:hAnsi="仿宋" w:eastAsia="仿宋" w:cs="仿宋"/>
          <w:color w:val="auto"/>
          <w:sz w:val="24"/>
        </w:rPr>
        <w:t>2.1合同项目：</w:t>
      </w:r>
      <w:r>
        <w:rPr>
          <w:rFonts w:hint="eastAsia" w:ascii="仿宋" w:hAnsi="仿宋" w:eastAsia="仿宋" w:cs="仿宋"/>
          <w:color w:val="auto"/>
          <w:sz w:val="24"/>
          <w:u w:val="single"/>
        </w:rPr>
        <w:t>2021-2023年度</w:t>
      </w:r>
      <w:r>
        <w:rPr>
          <w:rFonts w:hint="eastAsia" w:ascii="仿宋" w:hAnsi="仿宋" w:eastAsia="仿宋" w:cs="仿宋"/>
          <w:color w:val="auto"/>
          <w:sz w:val="24"/>
          <w:u w:val="single"/>
          <w:lang w:eastAsia="zh-CN"/>
        </w:rPr>
        <w:t>水闸泵站</w:t>
      </w:r>
      <w:r>
        <w:rPr>
          <w:rFonts w:hint="eastAsia" w:ascii="仿宋" w:hAnsi="仿宋" w:eastAsia="仿宋" w:cs="仿宋"/>
          <w:color w:val="auto"/>
          <w:sz w:val="24"/>
          <w:u w:val="single"/>
        </w:rPr>
        <w:t>运行维修养护服务项目</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2.2内容：</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3.服务时间与服务地点</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服务时间：由甲方指定。</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服务地点：由甲方指定。</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4.签署合同的要求</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4.1、乙方必须按照招标文件和询标过程中承诺的条款以及成交通知书中规定的时间、地点与甲方签订合同；</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4.2、所签订的合同内容不得对招标文件和乙方的投标文件作实质性修改；</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4.3、甲方不得向供应商提出任何不合理的要求，作为签订合同的条件，不得与乙方私下订立背离合同实质性内容的协议；</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5.技术规范</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本合同执行国家及本省、市现行项目实施及验收规范及有关条例、实施办法等。</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提供和交付的服务技术规范应与招标文件规定的技术规范相一致。</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6.知识产权</w:t>
      </w:r>
    </w:p>
    <w:p>
      <w:pPr>
        <w:spacing w:line="500" w:lineRule="exact"/>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乙方保证所提供的服务及货物均不存在知识产权纠纷。乙方应保证甲方在使用时不受第三方提出侵犯其专利权、商标权等知识产权的诉讼。</w:t>
      </w:r>
    </w:p>
    <w:p>
      <w:pPr>
        <w:spacing w:line="500" w:lineRule="exact"/>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7.工作考核及付款方式</w:t>
      </w:r>
    </w:p>
    <w:p>
      <w:pPr>
        <w:spacing w:line="500" w:lineRule="exact"/>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付款方式：根据《保障中小企业款项支付条例》、省财政厅《关于坚决打赢疫情防控阻击战进一步做好政府采购资金支持企业发展工作的通知》（浙财采监【2020】3号）要求，制定如下付款方式：</w:t>
      </w:r>
    </w:p>
    <w:p>
      <w:pPr>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经采购人确认，双方签定合同后，采购人自采购合同生效15日内支付供应商第一年度报价总额（总报价的50%）的30%，作为预付款，并按季度平均扣回。第二年预付款支付时间为次年相对应月份，支付第二年度报价总额（总报价的50%）的30%作为预付款，并按季度平均扣回。    </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采购人应自收到供应商开具的发票后将上述相关款项支付到合同约定的供应商账户。</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在签订合同时，供应商明确表示无需预付款或者主动要求降低预付款的，采购合同可不适用前述约定。</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 巡查</w:t>
      </w:r>
      <w:r>
        <w:rPr>
          <w:rFonts w:hint="eastAsia" w:ascii="仿宋" w:hAnsi="仿宋" w:eastAsia="仿宋"/>
          <w:color w:val="auto"/>
          <w:sz w:val="24"/>
          <w:highlight w:val="none"/>
          <w:lang w:eastAsia="zh-CN"/>
        </w:rPr>
        <w:t>运行</w:t>
      </w:r>
      <w:r>
        <w:rPr>
          <w:rFonts w:hint="eastAsia" w:ascii="仿宋" w:hAnsi="仿宋" w:eastAsia="仿宋"/>
          <w:color w:val="auto"/>
          <w:sz w:val="24"/>
          <w:highlight w:val="none"/>
        </w:rPr>
        <w:t>、保洁值班、绿化养护项目付款及结算方法：实行总价承包，按季度结合考核后价款的100%进行支付。</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（2）工程日常维修项目付款及结算方法：实行单价承包，工程量按实结算，并以跟踪审价机构审定为准。新增项目以跟踪审价机构审定为准。工程验收合格后按实际完成工程量的100%支付进度款。</w:t>
      </w:r>
    </w:p>
    <w:p>
      <w:pPr>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本项目服务费按季度考核得分值按季结付：①季度最终考核得分在90分及其以上（小数位精确到0.1）的，季度费用付款额=（该季度巡查运行+值班保洁+绿化养护）*100%+（工程日常维修）×100%；②季度最终考核得分值在90分以下的，按每低0.1分（90分为基数）扣200元的标准实行，即季度扣款额=（90-季度考核得分值）×10×200，则季度养护项目费用付款额=（该季度巡查运行+值班保洁+绿化养护）*100%+（工程日常维修）×100%-季度扣款额；③如提前中止合同的，中止月视为合同期满月。</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保险费在保险合同生效当季一次性支付完毕，当年安全费在当年最后一个季度支付进度款时一次性支付完毕（按当年实际发生且不超过投标报价金额）。</w:t>
      </w:r>
    </w:p>
    <w:p>
      <w:pPr>
        <w:spacing w:line="500" w:lineRule="exact"/>
        <w:ind w:firstLine="480" w:firstLineChars="200"/>
        <w:rPr>
          <w:rFonts w:ascii="仿宋" w:hAnsi="仿宋" w:eastAsia="仿宋"/>
          <w:color w:val="auto"/>
          <w:sz w:val="24"/>
        </w:rPr>
      </w:pPr>
      <w:r>
        <w:rPr>
          <w:rFonts w:hint="eastAsia" w:ascii="仿宋" w:hAnsi="仿宋" w:eastAsia="仿宋"/>
          <w:color w:val="auto"/>
          <w:sz w:val="24"/>
        </w:rPr>
        <w:t>当年预付款扣回：在当年进度款支付中按季平均扣回。</w:t>
      </w:r>
    </w:p>
    <w:p>
      <w:pPr>
        <w:spacing w:line="500" w:lineRule="exact"/>
        <w:ind w:firstLine="480" w:firstLineChars="200"/>
        <w:rPr>
          <w:rFonts w:ascii="仿宋" w:hAnsi="仿宋" w:eastAsia="仿宋"/>
          <w:color w:val="auto"/>
          <w:sz w:val="32"/>
        </w:rPr>
      </w:pPr>
      <w:r>
        <w:rPr>
          <w:rFonts w:hint="eastAsia" w:ascii="仿宋" w:hAnsi="仿宋" w:eastAsia="仿宋"/>
          <w:color w:val="auto"/>
          <w:sz w:val="24"/>
        </w:rPr>
        <w:t>如出现季度扣款额＞该季度养护项目费用，则该季度养护项目费用为零，两者差值（即：季度扣款额-该季度养护项目费用）进入下一季度在养护费用中扣除；如出现季度内出现单月考核70分以下，则该季度养护费用为零；如累计季度扣款额大于养护项目费用总额则维修养护项目费用总额为零。</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8.支付：支付应使用人民币；</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9.技术服务</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乙方应负责安排采购人相关人员进行操作、维修的培训。具体时间及培训内容在投标时由供应商提出建议；</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10.售后服务及承诺</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10.1乙方应明确承诺售后服务各项内容和措施，提供详细的服务地点、联系人、电话等有关资料；</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10.2服务期：详见招标文件要求。在服务期内，因服务质量所发生的一切费用均由乙方承担；</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11.履约保证及后续服务</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11.1 履约保证金：本项目不收取 。</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11.2乙方应按招标文件规定的服务标准向采购人提供服务。</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11.3 如甲方检查发现供应商提供的服务服务不符合标准要求，乙方应立即进行整改，直到符合要求为止。甲方可根据考核标准中扣除供应商因检查不合格而应该扣罚的款项（扣罚款项在签订合同时明确）。</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11.4乙方提供的服务人员不符合本合同约定的数额，乙方应当自接到甲方通知之日起2日内予以补足，甲方有权按照缺岗天数及缺岗人数扣除相应的违约金。</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11.5 由于乙方服务人员原因在服务工作中给甲方的设施、材料造成损失，供应商应负责赔偿。</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11.6 在使用过程中发生问题，乙方在接到甲方通知后在小时内到达采购人现场。</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11.7 在服务质量保证期内，乙方应对出现的服务质量及安全问题负责处理解决并承担一切费用。</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12.违约责任</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12.1 甲方无正当理由拒收接受服务的，甲方向供应商偿付合同款项百分之五作为违约金。</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12.2 甲方无故逾期验收和办理款项支付手续的,甲方应按逾期付款总额每日万分之五向乙方支付违约金。</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12.3 乙方不按约定提供服务的，每日向甲方支付千分之六违约金。逾期提供服务超过约定日期10个工作日的，甲方可解除本合同。乙方因逾期提供服务或因其他违约行为导致甲方解除合同的，乙方应向甲方支付合同总值5%的违约金，如造成甲方损失超过违约金的，超出部分由乙方继续承担赔偿责任。</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12.4如乙方提供的服务或与服务相关的物品存在知识产权纠纷而导致本合同无法继续履行，在甲方发函要求解决相关知识产权问题后 日内仍未解决的，则甲方有权单方终止本合同的履行，并要求乙方承担相应赔偿责任。</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13.不可抗力事件处理</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13.1 在合同有效期内，任何一方因不可抗力事件导致不能履行合同，则合同履行期可延长，其延长期与不可抗力影响期相同。</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13.2 不可抗力事件发生后，应立即通知对方，并寄送有关权威机构出具的证明。</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13.3 不可抗力事件延续120天以上，双方应通过友好协商，确定是否继续履行合同。</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14.争议解决</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14.1在执行本合同中所发生的或与本合同有关的一切争端，合同双方应通过友好协商解决，经过协商仍不能解决，双方选择通过下列第x种方式解决：</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（1）将争端提交湖州仲裁委员会仲裁</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（2）直接向采购人所在地有管辖权的人民法院起诉。</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14.2仲裁费用或诉讼费用应由败诉方负担。</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14.3在仲裁或诉讼期间，除进行仲裁或诉讼的部分外，本合同其它部分应继续执行。</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15.转让或分包</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15.1本合同范围的服务，应由乙方提供，不得转让他人供应；</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16.适用法律</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合同适用法律有《中华人民共和国民法典》、《中华人民共和国产品质量法》和浙江省有关条例等。</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17、合同生效及其它</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1.合同经双方法定代表人或授权代理人签字并加盖单位公章后生效。</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2.合同执行中涉及采购资金和采购内容修改或补充的，须经财政部门审批，并签书面补充协议报政府采购监督管理部门备案，方可作为主合同不可分割的一部分。</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3.本合同未尽事宜，遵照《合同法》有关条文执行。</w:t>
      </w:r>
    </w:p>
    <w:p>
      <w:pPr>
        <w:snapToGrid w:val="0"/>
        <w:spacing w:line="40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4.本合同一式</w:t>
      </w:r>
      <w:r>
        <w:rPr>
          <w:rFonts w:hint="eastAsia" w:ascii="仿宋" w:hAnsi="仿宋" w:eastAsia="仿宋" w:cs="仿宋"/>
          <w:color w:val="auto"/>
          <w:sz w:val="24"/>
          <w:lang w:eastAsia="zh-CN"/>
        </w:rPr>
        <w:t>肆</w:t>
      </w:r>
      <w:r>
        <w:rPr>
          <w:rFonts w:hint="eastAsia" w:ascii="仿宋" w:hAnsi="仿宋" w:eastAsia="仿宋" w:cs="仿宋"/>
          <w:color w:val="auto"/>
          <w:sz w:val="24"/>
        </w:rPr>
        <w:t>份，其中甲乙双方各执两份</w:t>
      </w:r>
      <w:r>
        <w:rPr>
          <w:rFonts w:hint="eastAsia" w:ascii="仿宋" w:hAnsi="仿宋" w:eastAsia="仿宋" w:cs="仿宋"/>
          <w:color w:val="auto"/>
          <w:sz w:val="24"/>
          <w:lang w:eastAsia="zh-CN"/>
        </w:rPr>
        <w:t>。</w:t>
      </w:r>
    </w:p>
    <w:p>
      <w:pPr>
        <w:spacing w:line="440" w:lineRule="exact"/>
        <w:ind w:firstLine="480" w:firstLineChars="200"/>
        <w:rPr>
          <w:rFonts w:ascii="仿宋" w:hAnsi="仿宋" w:eastAsia="仿宋" w:cs="仿宋"/>
          <w:bCs/>
          <w:color w:val="auto"/>
          <w:sz w:val="24"/>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 xml:space="preserve">采购人：                                 供应商： </w:t>
      </w:r>
    </w:p>
    <w:p>
      <w:pPr>
        <w:spacing w:line="440" w:lineRule="exact"/>
        <w:ind w:firstLine="480" w:firstLineChars="200"/>
        <w:rPr>
          <w:rFonts w:ascii="仿宋" w:hAnsi="仿宋" w:eastAsia="仿宋" w:cs="仿宋"/>
          <w:bCs/>
          <w:color w:val="auto"/>
          <w:sz w:val="24"/>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 xml:space="preserve">地址：                                   地址： </w:t>
      </w:r>
    </w:p>
    <w:p>
      <w:pPr>
        <w:spacing w:line="440" w:lineRule="exact"/>
        <w:ind w:firstLine="480" w:firstLineChars="200"/>
        <w:rPr>
          <w:rFonts w:ascii="仿宋" w:hAnsi="仿宋" w:eastAsia="仿宋" w:cs="仿宋"/>
          <w:bCs/>
          <w:color w:val="auto"/>
          <w:sz w:val="24"/>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法定（或授权）代表人：                   法定（或授权）代表人：</w:t>
      </w:r>
    </w:p>
    <w:p>
      <w:pPr>
        <w:pStyle w:val="19"/>
        <w:tabs>
          <w:tab w:val="left" w:pos="0"/>
          <w:tab w:val="left" w:pos="993"/>
          <w:tab w:val="left" w:pos="1134"/>
        </w:tabs>
        <w:rPr>
          <w:rFonts w:ascii="仿宋" w:hAnsi="仿宋" w:eastAsia="仿宋" w:cs="仿宋"/>
          <w:color w:val="auto"/>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签字日期：年  月  日                     签字日期：年  月  日</w:t>
      </w:r>
    </w:p>
    <w:p>
      <w:pPr>
        <w:spacing w:line="560" w:lineRule="exact"/>
        <w:ind w:firstLine="960" w:firstLineChars="400"/>
        <w:rPr>
          <w:rFonts w:ascii="仿宋" w:hAnsi="仿宋" w:eastAsia="仿宋"/>
          <w:color w:val="auto"/>
          <w:sz w:val="24"/>
        </w:rPr>
      </w:pPr>
    </w:p>
    <w:p>
      <w:pPr>
        <w:snapToGrid w:val="0"/>
        <w:spacing w:line="560" w:lineRule="exact"/>
        <w:ind w:firstLine="480" w:firstLineChars="200"/>
        <w:jc w:val="left"/>
        <w:rPr>
          <w:rFonts w:ascii="仿宋" w:hAnsi="仿宋" w:eastAsia="仿宋" w:cs="宋体"/>
          <w:color w:val="auto"/>
          <w:sz w:val="24"/>
        </w:rPr>
      </w:pPr>
      <w:r>
        <w:rPr>
          <w:rFonts w:hint="eastAsia" w:ascii="宋体" w:hAnsi="宋体" w:cs="宋体"/>
          <w:color w:val="auto"/>
          <w:sz w:val="24"/>
        </w:rPr>
        <w:t> </w:t>
      </w:r>
    </w:p>
    <w:p>
      <w:pPr>
        <w:pageBreakBefore/>
        <w:numPr>
          <w:ilvl w:val="0"/>
          <w:numId w:val="2"/>
        </w:numPr>
        <w:spacing w:line="500" w:lineRule="exact"/>
        <w:ind w:firstLine="281" w:firstLineChars="100"/>
        <w:jc w:val="center"/>
        <w:rPr>
          <w:rFonts w:hint="eastAsia" w:ascii="仿宋" w:hAnsi="仿宋" w:eastAsia="仿宋" w:cs="Times New Roman"/>
          <w:b/>
          <w:color w:val="auto"/>
          <w:kern w:val="0"/>
          <w:sz w:val="28"/>
          <w:szCs w:val="28"/>
        </w:rPr>
      </w:pPr>
      <w:r>
        <w:rPr>
          <w:rFonts w:hint="eastAsia" w:ascii="仿宋" w:hAnsi="仿宋" w:eastAsia="仿宋" w:cs="Times New Roman"/>
          <w:b/>
          <w:color w:val="auto"/>
          <w:kern w:val="0"/>
          <w:sz w:val="28"/>
          <w:szCs w:val="28"/>
        </w:rPr>
        <w:t xml:space="preserve">   投标格式</w:t>
      </w:r>
    </w:p>
    <w:p>
      <w:pPr>
        <w:pStyle w:val="8"/>
        <w:numPr>
          <w:ilvl w:val="0"/>
          <w:numId w:val="0"/>
        </w:numPr>
        <w:rPr>
          <w:rFonts w:hint="eastAsia"/>
          <w:color w:val="auto"/>
        </w:rPr>
      </w:pPr>
    </w:p>
    <w:p>
      <w:pPr>
        <w:pStyle w:val="41"/>
        <w:rPr>
          <w:rFonts w:ascii="仿宋" w:hAnsi="仿宋" w:eastAsia="仿宋" w:cs="Times New Roman"/>
          <w:b/>
          <w:color w:val="auto"/>
        </w:rPr>
      </w:pPr>
      <w:r>
        <w:rPr>
          <w:rFonts w:ascii="仿宋" w:hAnsi="仿宋" w:eastAsia="仿宋" w:cs="Times New Roman"/>
          <w:color w:val="auto"/>
        </w:rPr>
        <w:t>封面格式</w:t>
      </w:r>
      <w:r>
        <w:rPr>
          <w:rFonts w:hint="eastAsia" w:ascii="仿宋" w:hAnsi="仿宋" w:eastAsia="仿宋" w:cs="Times New Roman"/>
          <w:b/>
          <w:color w:val="auto"/>
        </w:rPr>
        <w:t>（中标后提供的纸质版本格式）</w:t>
      </w:r>
    </w:p>
    <w:p>
      <w:pPr>
        <w:pStyle w:val="41"/>
        <w:rPr>
          <w:rFonts w:ascii="仿宋" w:hAnsi="仿宋" w:eastAsia="仿宋" w:cs="Times New Roman"/>
          <w:color w:val="auto"/>
        </w:rPr>
      </w:pPr>
    </w:p>
    <w:p>
      <w:pPr>
        <w:pStyle w:val="41"/>
        <w:rPr>
          <w:rFonts w:ascii="仿宋" w:hAnsi="仿宋" w:eastAsia="仿宋" w:cs="Times New Roman"/>
          <w:color w:val="auto"/>
        </w:rPr>
      </w:pPr>
    </w:p>
    <w:p>
      <w:pPr>
        <w:pStyle w:val="41"/>
        <w:rPr>
          <w:rFonts w:ascii="仿宋" w:hAnsi="仿宋" w:eastAsia="仿宋" w:cs="Times New Roman"/>
          <w:color w:val="auto"/>
          <w:sz w:val="36"/>
          <w:szCs w:val="36"/>
        </w:rPr>
      </w:pPr>
    </w:p>
    <w:p>
      <w:pPr>
        <w:pStyle w:val="41"/>
        <w:jc w:val="center"/>
        <w:rPr>
          <w:rFonts w:ascii="仿宋" w:hAnsi="仿宋" w:eastAsia="仿宋" w:cs="Times New Roman"/>
          <w:color w:val="auto"/>
          <w:sz w:val="36"/>
          <w:szCs w:val="36"/>
        </w:rPr>
      </w:pPr>
      <w:r>
        <w:rPr>
          <w:rFonts w:hint="eastAsia" w:ascii="仿宋" w:hAnsi="仿宋" w:eastAsia="仿宋" w:cs="Times New Roman"/>
          <w:b/>
          <w:color w:val="auto"/>
          <w:sz w:val="36"/>
          <w:szCs w:val="36"/>
        </w:rPr>
        <w:t>投标文件</w:t>
      </w:r>
    </w:p>
    <w:p>
      <w:pPr>
        <w:pStyle w:val="41"/>
        <w:jc w:val="right"/>
        <w:rPr>
          <w:rFonts w:ascii="仿宋" w:hAnsi="仿宋" w:eastAsia="仿宋" w:cs="Times New Roman"/>
          <w:color w:val="auto"/>
        </w:rPr>
      </w:pPr>
    </w:p>
    <w:p>
      <w:pPr>
        <w:pStyle w:val="41"/>
        <w:jc w:val="right"/>
        <w:rPr>
          <w:rFonts w:ascii="仿宋" w:hAnsi="仿宋" w:eastAsia="仿宋" w:cs="Times New Roman"/>
          <w:color w:val="auto"/>
        </w:rPr>
      </w:pPr>
    </w:p>
    <w:p>
      <w:pPr>
        <w:pStyle w:val="41"/>
        <w:jc w:val="center"/>
        <w:rPr>
          <w:rFonts w:ascii="仿宋" w:hAnsi="仿宋" w:eastAsia="仿宋" w:cs="Times New Roman"/>
          <w:b/>
          <w:color w:val="auto"/>
        </w:rPr>
      </w:pPr>
      <w:r>
        <w:rPr>
          <w:rFonts w:hint="eastAsia" w:ascii="仿宋" w:hAnsi="仿宋" w:eastAsia="仿宋" w:cs="Times New Roman"/>
          <w:b/>
          <w:color w:val="auto"/>
        </w:rPr>
        <w:t>资格文件/</w:t>
      </w:r>
      <w:r>
        <w:rPr>
          <w:rFonts w:ascii="仿宋" w:hAnsi="仿宋" w:eastAsia="仿宋" w:cs="Times New Roman"/>
          <w:b/>
          <w:color w:val="auto"/>
        </w:rPr>
        <w:t>技术、商务、资信及其他文件</w:t>
      </w:r>
      <w:r>
        <w:rPr>
          <w:rFonts w:hint="eastAsia" w:ascii="仿宋" w:hAnsi="仿宋" w:eastAsia="仿宋" w:cs="Times New Roman"/>
          <w:b/>
          <w:color w:val="auto"/>
        </w:rPr>
        <w:t>/报价文件</w:t>
      </w:r>
    </w:p>
    <w:p>
      <w:pPr>
        <w:pStyle w:val="41"/>
        <w:jc w:val="center"/>
        <w:rPr>
          <w:rFonts w:ascii="仿宋" w:hAnsi="仿宋" w:eastAsia="仿宋" w:cs="Times New Roman"/>
          <w:b/>
          <w:color w:val="auto"/>
        </w:rPr>
      </w:pPr>
    </w:p>
    <w:p>
      <w:pPr>
        <w:pStyle w:val="41"/>
        <w:jc w:val="center"/>
        <w:rPr>
          <w:rFonts w:ascii="仿宋" w:hAnsi="仿宋" w:eastAsia="仿宋" w:cs="Times New Roman"/>
          <w:b/>
          <w:color w:val="auto"/>
        </w:rPr>
      </w:pPr>
    </w:p>
    <w:p>
      <w:pPr>
        <w:pStyle w:val="41"/>
        <w:jc w:val="center"/>
        <w:rPr>
          <w:rFonts w:ascii="仿宋" w:hAnsi="仿宋" w:eastAsia="仿宋" w:cs="Times New Roman"/>
          <w:b/>
          <w:color w:val="auto"/>
        </w:rPr>
      </w:pPr>
    </w:p>
    <w:p>
      <w:pPr>
        <w:pStyle w:val="41"/>
        <w:jc w:val="center"/>
        <w:rPr>
          <w:rFonts w:ascii="仿宋" w:hAnsi="仿宋" w:eastAsia="仿宋" w:cs="Times New Roman"/>
          <w:b/>
          <w:color w:val="auto"/>
        </w:rPr>
      </w:pPr>
    </w:p>
    <w:p>
      <w:pPr>
        <w:pStyle w:val="41"/>
        <w:rPr>
          <w:rFonts w:ascii="仿宋" w:hAnsi="仿宋" w:eastAsia="仿宋" w:cs="Times New Roman"/>
          <w:color w:val="auto"/>
        </w:rPr>
      </w:pPr>
    </w:p>
    <w:p>
      <w:pPr>
        <w:pStyle w:val="41"/>
        <w:rPr>
          <w:rFonts w:ascii="仿宋" w:hAnsi="仿宋" w:eastAsia="仿宋" w:cs="Times New Roman"/>
          <w:color w:val="auto"/>
        </w:rPr>
      </w:pPr>
      <w:r>
        <w:rPr>
          <w:rFonts w:ascii="仿宋" w:hAnsi="仿宋" w:eastAsia="仿宋" w:cs="Times New Roman"/>
          <w:color w:val="auto"/>
        </w:rPr>
        <w:t xml:space="preserve">项目名称： </w:t>
      </w:r>
    </w:p>
    <w:p>
      <w:pPr>
        <w:pStyle w:val="41"/>
        <w:rPr>
          <w:rFonts w:ascii="仿宋" w:hAnsi="仿宋" w:eastAsia="仿宋" w:cs="Times New Roman"/>
          <w:color w:val="auto"/>
        </w:rPr>
      </w:pPr>
    </w:p>
    <w:p>
      <w:pPr>
        <w:pStyle w:val="41"/>
        <w:rPr>
          <w:rFonts w:ascii="仿宋" w:hAnsi="仿宋" w:eastAsia="仿宋" w:cs="Times New Roman"/>
          <w:color w:val="auto"/>
        </w:rPr>
      </w:pPr>
      <w:r>
        <w:rPr>
          <w:rFonts w:ascii="仿宋" w:hAnsi="仿宋" w:eastAsia="仿宋" w:cs="Times New Roman"/>
          <w:color w:val="auto"/>
        </w:rPr>
        <w:t>项目编号</w:t>
      </w:r>
      <w:r>
        <w:rPr>
          <w:rFonts w:hint="eastAsia" w:ascii="仿宋" w:hAnsi="仿宋" w:eastAsia="仿宋" w:cs="Times New Roman"/>
          <w:color w:val="auto"/>
        </w:rPr>
        <w:t>：</w:t>
      </w:r>
    </w:p>
    <w:p>
      <w:pPr>
        <w:pStyle w:val="41"/>
        <w:rPr>
          <w:rFonts w:ascii="仿宋" w:hAnsi="仿宋" w:eastAsia="仿宋" w:cs="Times New Roman"/>
          <w:color w:val="auto"/>
        </w:rPr>
      </w:pPr>
    </w:p>
    <w:p>
      <w:pPr>
        <w:pStyle w:val="41"/>
        <w:rPr>
          <w:rFonts w:ascii="仿宋" w:hAnsi="仿宋" w:eastAsia="仿宋" w:cs="Times New Roman"/>
          <w:color w:val="auto"/>
        </w:rPr>
      </w:pPr>
      <w:r>
        <w:rPr>
          <w:rFonts w:hint="eastAsia" w:ascii="仿宋" w:hAnsi="仿宋" w:eastAsia="仿宋" w:cs="Times New Roman"/>
          <w:color w:val="auto"/>
        </w:rPr>
        <w:t>投</w:t>
      </w:r>
      <w:r>
        <w:rPr>
          <w:rFonts w:ascii="仿宋" w:hAnsi="仿宋" w:eastAsia="仿宋" w:cs="Times New Roman"/>
          <w:color w:val="auto"/>
        </w:rPr>
        <w:t>标文件名称：</w:t>
      </w:r>
      <w:r>
        <w:rPr>
          <w:rFonts w:hint="eastAsia" w:ascii="仿宋" w:hAnsi="仿宋" w:eastAsia="仿宋" w:cs="Times New Roman"/>
          <w:color w:val="auto"/>
        </w:rPr>
        <w:t>资格文件/</w:t>
      </w:r>
      <w:r>
        <w:rPr>
          <w:rFonts w:ascii="仿宋" w:hAnsi="仿宋" w:eastAsia="仿宋" w:cs="Times New Roman"/>
          <w:color w:val="auto"/>
        </w:rPr>
        <w:t xml:space="preserve">技术、商务、资信及其他文件 </w:t>
      </w:r>
      <w:r>
        <w:rPr>
          <w:rFonts w:hint="eastAsia" w:ascii="仿宋" w:hAnsi="仿宋" w:eastAsia="仿宋" w:cs="Times New Roman"/>
          <w:color w:val="auto"/>
        </w:rPr>
        <w:t>/报价文件</w:t>
      </w:r>
    </w:p>
    <w:p>
      <w:pPr>
        <w:pStyle w:val="41"/>
        <w:rPr>
          <w:rFonts w:ascii="仿宋" w:hAnsi="仿宋" w:eastAsia="仿宋" w:cs="Times New Roman"/>
          <w:color w:val="auto"/>
        </w:rPr>
      </w:pPr>
    </w:p>
    <w:p>
      <w:pPr>
        <w:pStyle w:val="41"/>
        <w:rPr>
          <w:rFonts w:ascii="仿宋" w:hAnsi="仿宋" w:eastAsia="仿宋" w:cs="Times New Roman"/>
          <w:color w:val="auto"/>
        </w:rPr>
      </w:pPr>
      <w:r>
        <w:rPr>
          <w:rFonts w:ascii="仿宋" w:hAnsi="仿宋" w:eastAsia="仿宋" w:cs="Times New Roman"/>
          <w:color w:val="auto"/>
        </w:rPr>
        <w:t xml:space="preserve">供应商名称： </w:t>
      </w:r>
    </w:p>
    <w:p>
      <w:pPr>
        <w:pStyle w:val="41"/>
        <w:rPr>
          <w:rFonts w:ascii="仿宋" w:hAnsi="仿宋" w:eastAsia="仿宋" w:cs="Times New Roman"/>
          <w:color w:val="auto"/>
        </w:rPr>
      </w:pPr>
    </w:p>
    <w:p>
      <w:pPr>
        <w:pStyle w:val="41"/>
        <w:rPr>
          <w:rFonts w:ascii="仿宋" w:hAnsi="仿宋" w:eastAsia="仿宋" w:cs="Times New Roman"/>
          <w:color w:val="auto"/>
        </w:rPr>
      </w:pPr>
      <w:r>
        <w:rPr>
          <w:rFonts w:ascii="仿宋" w:hAnsi="仿宋" w:eastAsia="仿宋" w:cs="Times New Roman"/>
          <w:color w:val="auto"/>
        </w:rPr>
        <w:t xml:space="preserve">供应商地址： </w:t>
      </w:r>
    </w:p>
    <w:p>
      <w:pPr>
        <w:pStyle w:val="41"/>
        <w:rPr>
          <w:rFonts w:ascii="仿宋" w:hAnsi="仿宋" w:eastAsia="仿宋" w:cs="Times New Roman"/>
          <w:color w:val="auto"/>
        </w:rPr>
      </w:pPr>
    </w:p>
    <w:p>
      <w:pPr>
        <w:pStyle w:val="41"/>
        <w:rPr>
          <w:rFonts w:ascii="仿宋" w:hAnsi="仿宋" w:eastAsia="仿宋" w:cs="Times New Roman"/>
          <w:color w:val="auto"/>
        </w:rPr>
      </w:pPr>
    </w:p>
    <w:p>
      <w:pPr>
        <w:wordWrap w:val="0"/>
        <w:ind w:firstLine="480" w:firstLineChars="200"/>
        <w:jc w:val="right"/>
        <w:rPr>
          <w:rFonts w:ascii="仿宋" w:hAnsi="仿宋" w:eastAsia="仿宋"/>
          <w:color w:val="auto"/>
          <w:sz w:val="24"/>
        </w:rPr>
      </w:pPr>
      <w:r>
        <w:rPr>
          <w:rFonts w:ascii="仿宋" w:hAnsi="仿宋" w:eastAsia="仿宋"/>
          <w:color w:val="auto"/>
          <w:sz w:val="24"/>
        </w:rPr>
        <w:t>年 月 日</w:t>
      </w:r>
    </w:p>
    <w:p>
      <w:pPr>
        <w:pStyle w:val="41"/>
        <w:pageBreakBefore/>
        <w:jc w:val="center"/>
        <w:rPr>
          <w:rFonts w:ascii="仿宋" w:hAnsi="仿宋" w:eastAsia="仿宋"/>
          <w:b/>
          <w:color w:val="auto"/>
          <w:sz w:val="32"/>
          <w:szCs w:val="32"/>
        </w:rPr>
      </w:pPr>
      <w:r>
        <w:rPr>
          <w:rFonts w:hint="eastAsia" w:ascii="仿宋" w:hAnsi="仿宋" w:eastAsia="仿宋"/>
          <w:b/>
          <w:color w:val="auto"/>
          <w:sz w:val="32"/>
          <w:szCs w:val="32"/>
        </w:rPr>
        <w:t>目   录</w:t>
      </w:r>
    </w:p>
    <w:p>
      <w:pPr>
        <w:pStyle w:val="41"/>
        <w:rPr>
          <w:rFonts w:ascii="仿宋" w:hAnsi="仿宋" w:eastAsia="仿宋"/>
          <w:color w:val="auto"/>
          <w:sz w:val="28"/>
          <w:szCs w:val="28"/>
        </w:rPr>
      </w:pPr>
    </w:p>
    <w:p>
      <w:pPr>
        <w:snapToGrid w:val="0"/>
        <w:spacing w:before="50" w:after="50" w:line="360" w:lineRule="auto"/>
        <w:rPr>
          <w:rFonts w:ascii="仿宋" w:hAnsi="仿宋" w:eastAsia="仿宋" w:cs="宋体"/>
          <w:color w:val="auto"/>
          <w:sz w:val="24"/>
          <w:szCs w:val="28"/>
        </w:rPr>
      </w:pPr>
      <w:r>
        <w:rPr>
          <w:rFonts w:ascii="仿宋" w:hAnsi="仿宋" w:eastAsia="仿宋" w:cs="宋体"/>
          <w:color w:val="auto"/>
          <w:sz w:val="24"/>
          <w:szCs w:val="28"/>
        </w:rPr>
        <w:t>1</w:t>
      </w:r>
      <w:r>
        <w:rPr>
          <w:rFonts w:hint="eastAsia" w:ascii="仿宋" w:hAnsi="仿宋" w:eastAsia="仿宋" w:cs="宋体"/>
          <w:color w:val="auto"/>
          <w:sz w:val="24"/>
          <w:szCs w:val="28"/>
        </w:rPr>
        <w:t>、资格文件目录（具体参考第三章投标人须知“投标文件的组成”）</w:t>
      </w:r>
    </w:p>
    <w:p>
      <w:pPr>
        <w:snapToGrid w:val="0"/>
        <w:spacing w:before="50" w:after="50" w:line="360" w:lineRule="auto"/>
        <w:rPr>
          <w:rFonts w:ascii="仿宋" w:hAnsi="仿宋" w:eastAsia="仿宋" w:cs="宋体"/>
          <w:color w:val="auto"/>
          <w:sz w:val="24"/>
          <w:szCs w:val="28"/>
        </w:rPr>
      </w:pPr>
      <w:r>
        <w:rPr>
          <w:rFonts w:hint="eastAsia" w:ascii="仿宋" w:hAnsi="仿宋" w:eastAsia="仿宋" w:cs="宋体"/>
          <w:color w:val="auto"/>
          <w:sz w:val="24"/>
          <w:szCs w:val="28"/>
        </w:rPr>
        <w:t>………………</w:t>
      </w:r>
    </w:p>
    <w:p>
      <w:pPr>
        <w:snapToGrid w:val="0"/>
        <w:spacing w:before="50" w:after="50" w:line="360" w:lineRule="auto"/>
        <w:rPr>
          <w:rFonts w:ascii="仿宋" w:hAnsi="仿宋" w:eastAsia="仿宋" w:cs="宋体"/>
          <w:color w:val="auto"/>
          <w:sz w:val="24"/>
          <w:szCs w:val="28"/>
        </w:rPr>
      </w:pPr>
    </w:p>
    <w:p>
      <w:pPr>
        <w:snapToGrid w:val="0"/>
        <w:spacing w:before="50" w:after="50" w:line="360" w:lineRule="auto"/>
        <w:rPr>
          <w:rFonts w:ascii="仿宋" w:hAnsi="仿宋" w:eastAsia="仿宋" w:cs="宋体"/>
          <w:color w:val="auto"/>
          <w:szCs w:val="28"/>
        </w:rPr>
      </w:pPr>
    </w:p>
    <w:p>
      <w:pPr>
        <w:snapToGrid w:val="0"/>
        <w:spacing w:before="50" w:after="50" w:line="360" w:lineRule="auto"/>
        <w:rPr>
          <w:rFonts w:ascii="仿宋" w:hAnsi="仿宋" w:eastAsia="仿宋" w:cs="宋体"/>
          <w:color w:val="auto"/>
          <w:sz w:val="24"/>
          <w:szCs w:val="28"/>
        </w:rPr>
      </w:pPr>
      <w:r>
        <w:rPr>
          <w:rFonts w:ascii="仿宋" w:hAnsi="仿宋" w:eastAsia="仿宋" w:cs="宋体"/>
          <w:color w:val="auto"/>
          <w:szCs w:val="28"/>
        </w:rPr>
        <w:t>2</w:t>
      </w:r>
      <w:r>
        <w:rPr>
          <w:rFonts w:hint="eastAsia" w:ascii="仿宋" w:hAnsi="仿宋" w:eastAsia="仿宋" w:cs="宋体"/>
          <w:color w:val="auto"/>
          <w:szCs w:val="28"/>
        </w:rPr>
        <w:t>、</w:t>
      </w:r>
      <w:r>
        <w:rPr>
          <w:rFonts w:hint="eastAsia" w:ascii="仿宋" w:hAnsi="仿宋" w:eastAsia="仿宋" w:cs="宋体"/>
          <w:color w:val="auto"/>
          <w:sz w:val="24"/>
          <w:szCs w:val="28"/>
        </w:rPr>
        <w:t>技术、商务、资信及其他文件目录（具体参考第三章投标人须知“投标文件的组成”）</w:t>
      </w:r>
    </w:p>
    <w:p>
      <w:pPr>
        <w:snapToGrid w:val="0"/>
        <w:spacing w:before="50" w:after="50" w:line="360" w:lineRule="auto"/>
        <w:rPr>
          <w:rFonts w:ascii="仿宋" w:hAnsi="仿宋" w:eastAsia="仿宋" w:cs="宋体"/>
          <w:color w:val="auto"/>
          <w:sz w:val="24"/>
          <w:szCs w:val="28"/>
        </w:rPr>
      </w:pPr>
      <w:r>
        <w:rPr>
          <w:rFonts w:hint="eastAsia" w:ascii="仿宋" w:hAnsi="仿宋" w:eastAsia="仿宋" w:cs="宋体"/>
          <w:color w:val="auto"/>
          <w:sz w:val="24"/>
          <w:szCs w:val="28"/>
        </w:rPr>
        <w:t>………………</w:t>
      </w:r>
    </w:p>
    <w:p>
      <w:pPr>
        <w:snapToGrid w:val="0"/>
        <w:spacing w:before="50" w:after="50" w:line="360" w:lineRule="auto"/>
        <w:rPr>
          <w:rFonts w:ascii="仿宋" w:hAnsi="仿宋" w:eastAsia="仿宋" w:cs="宋体"/>
          <w:color w:val="auto"/>
          <w:szCs w:val="28"/>
        </w:rPr>
      </w:pPr>
    </w:p>
    <w:p>
      <w:pPr>
        <w:snapToGrid w:val="0"/>
        <w:spacing w:before="50" w:after="50" w:line="360" w:lineRule="auto"/>
        <w:rPr>
          <w:rFonts w:ascii="仿宋" w:hAnsi="仿宋" w:eastAsia="仿宋" w:cs="宋体"/>
          <w:color w:val="auto"/>
          <w:szCs w:val="28"/>
        </w:rPr>
      </w:pPr>
    </w:p>
    <w:p>
      <w:pPr>
        <w:snapToGrid w:val="0"/>
        <w:spacing w:before="50" w:after="50" w:line="360" w:lineRule="auto"/>
        <w:rPr>
          <w:rFonts w:ascii="仿宋" w:hAnsi="仿宋" w:eastAsia="仿宋" w:cs="宋体"/>
          <w:color w:val="auto"/>
          <w:sz w:val="24"/>
          <w:szCs w:val="28"/>
        </w:rPr>
      </w:pPr>
      <w:r>
        <w:rPr>
          <w:rFonts w:hint="eastAsia" w:ascii="仿宋" w:hAnsi="仿宋" w:eastAsia="仿宋" w:cs="宋体"/>
          <w:color w:val="auto"/>
          <w:sz w:val="24"/>
          <w:szCs w:val="28"/>
        </w:rPr>
        <w:t>3、报价文件目录（具体参考第三章投标人须知“投标文件的组成”）</w:t>
      </w:r>
    </w:p>
    <w:p>
      <w:pPr>
        <w:snapToGrid w:val="0"/>
        <w:spacing w:before="50" w:after="50" w:line="360" w:lineRule="auto"/>
        <w:rPr>
          <w:rFonts w:ascii="仿宋" w:hAnsi="仿宋" w:eastAsia="仿宋" w:cs="宋体"/>
          <w:color w:val="auto"/>
          <w:sz w:val="24"/>
          <w:szCs w:val="28"/>
        </w:rPr>
      </w:pPr>
      <w:r>
        <w:rPr>
          <w:rFonts w:hint="eastAsia" w:ascii="仿宋" w:hAnsi="仿宋" w:eastAsia="仿宋" w:cs="宋体"/>
          <w:color w:val="auto"/>
          <w:sz w:val="24"/>
          <w:szCs w:val="28"/>
        </w:rPr>
        <w:t>………………</w:t>
      </w:r>
    </w:p>
    <w:p>
      <w:pPr>
        <w:snapToGrid w:val="0"/>
        <w:spacing w:before="50" w:afterLines="50" w:line="360" w:lineRule="auto"/>
        <w:jc w:val="left"/>
        <w:rPr>
          <w:rFonts w:ascii="仿宋" w:hAnsi="仿宋" w:eastAsia="仿宋" w:cs="宋体"/>
          <w:color w:val="auto"/>
          <w:szCs w:val="28"/>
        </w:rPr>
      </w:pPr>
    </w:p>
    <w:p>
      <w:pPr>
        <w:snapToGrid w:val="0"/>
        <w:spacing w:before="50" w:afterLines="50" w:line="360" w:lineRule="auto"/>
        <w:jc w:val="left"/>
        <w:rPr>
          <w:rFonts w:ascii="仿宋" w:hAnsi="仿宋" w:eastAsia="仿宋" w:cs="宋体"/>
          <w:color w:val="auto"/>
          <w:szCs w:val="28"/>
        </w:rPr>
      </w:pPr>
    </w:p>
    <w:p>
      <w:pPr>
        <w:snapToGrid w:val="0"/>
        <w:spacing w:before="50" w:afterLines="50" w:line="360" w:lineRule="auto"/>
        <w:jc w:val="left"/>
        <w:rPr>
          <w:rFonts w:ascii="仿宋" w:hAnsi="仿宋" w:eastAsia="仿宋" w:cs="宋体"/>
          <w:color w:val="auto"/>
          <w:sz w:val="24"/>
        </w:rPr>
      </w:pPr>
      <w:r>
        <w:rPr>
          <w:rFonts w:hint="eastAsia" w:ascii="仿宋" w:hAnsi="仿宋" w:eastAsia="仿宋" w:cs="宋体"/>
          <w:color w:val="auto"/>
          <w:sz w:val="24"/>
        </w:rPr>
        <w:t>（本章仅提供部分标准通用表格，具体格式内容请参照本投标文件中对投标文件编制要求）</w:t>
      </w: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pStyle w:val="12"/>
        <w:ind w:left="0"/>
        <w:rPr>
          <w:rFonts w:ascii="仿宋" w:hAnsi="仿宋" w:eastAsia="仿宋"/>
          <w:color w:val="auto"/>
        </w:rPr>
      </w:pPr>
    </w:p>
    <w:p>
      <w:pPr>
        <w:snapToGrid w:val="0"/>
        <w:spacing w:beforeLines="50" w:after="50" w:line="400" w:lineRule="exact"/>
        <w:jc w:val="center"/>
        <w:rPr>
          <w:rFonts w:ascii="仿宋" w:hAnsi="仿宋" w:eastAsia="仿宋" w:cs="宋体"/>
          <w:b/>
          <w:color w:val="auto"/>
          <w:sz w:val="28"/>
          <w:szCs w:val="28"/>
        </w:rPr>
      </w:pPr>
      <w:r>
        <w:rPr>
          <w:rFonts w:hint="eastAsia" w:ascii="仿宋" w:hAnsi="仿宋" w:eastAsia="仿宋" w:cs="宋体"/>
          <w:b/>
          <w:color w:val="auto"/>
          <w:sz w:val="28"/>
          <w:szCs w:val="28"/>
        </w:rPr>
        <w:t>法定代表人有效身份证明书</w:t>
      </w:r>
    </w:p>
    <w:p>
      <w:pPr>
        <w:pStyle w:val="12"/>
        <w:rPr>
          <w:rFonts w:ascii="仿宋" w:hAnsi="仿宋" w:eastAsia="仿宋" w:cs="宋体"/>
          <w:color w:val="auto"/>
        </w:rPr>
      </w:pPr>
    </w:p>
    <w:p>
      <w:pPr>
        <w:spacing w:line="500" w:lineRule="exact"/>
        <w:ind w:firstLine="360" w:firstLineChars="150"/>
        <w:jc w:val="left"/>
        <w:rPr>
          <w:rFonts w:ascii="仿宋" w:hAnsi="仿宋" w:eastAsia="仿宋" w:cs="宋体"/>
          <w:color w:val="auto"/>
          <w:kern w:val="0"/>
          <w:sz w:val="24"/>
        </w:rPr>
      </w:pPr>
      <w:r>
        <w:rPr>
          <w:rFonts w:hint="eastAsia" w:ascii="仿宋" w:hAnsi="仿宋" w:eastAsia="仿宋" w:cs="宋体"/>
          <w:color w:val="auto"/>
          <w:kern w:val="0"/>
          <w:sz w:val="24"/>
          <w:u w:val="single"/>
        </w:rPr>
        <w:t>（姓名）</w:t>
      </w:r>
      <w:r>
        <w:rPr>
          <w:rFonts w:hint="eastAsia" w:ascii="仿宋" w:hAnsi="仿宋" w:eastAsia="仿宋" w:cs="宋体"/>
          <w:color w:val="auto"/>
          <w:kern w:val="0"/>
          <w:sz w:val="24"/>
        </w:rPr>
        <w:t>是</w:t>
      </w:r>
      <w:r>
        <w:rPr>
          <w:rFonts w:hint="eastAsia" w:ascii="仿宋" w:hAnsi="仿宋" w:eastAsia="仿宋" w:cs="宋体"/>
          <w:color w:val="auto"/>
          <w:kern w:val="0"/>
          <w:sz w:val="24"/>
          <w:u w:val="single"/>
        </w:rPr>
        <w:t>（投标人全称）</w:t>
      </w:r>
      <w:r>
        <w:rPr>
          <w:rFonts w:hint="eastAsia" w:ascii="仿宋" w:hAnsi="仿宋" w:eastAsia="仿宋" w:cs="宋体"/>
          <w:color w:val="auto"/>
          <w:kern w:val="0"/>
          <w:sz w:val="24"/>
        </w:rPr>
        <w:t>的法定代表人，身份证号码为 ______________。</w:t>
      </w:r>
    </w:p>
    <w:p>
      <w:pPr>
        <w:spacing w:line="500" w:lineRule="exact"/>
        <w:jc w:val="left"/>
        <w:rPr>
          <w:rFonts w:ascii="仿宋" w:hAnsi="仿宋" w:eastAsia="仿宋" w:cs="宋体"/>
          <w:color w:val="auto"/>
          <w:kern w:val="0"/>
          <w:sz w:val="24"/>
        </w:rPr>
      </w:pPr>
      <w:r>
        <w:rPr>
          <w:rFonts w:hint="eastAsia" w:ascii="仿宋" w:hAnsi="仿宋" w:eastAsia="仿宋" w:cs="宋体"/>
          <w:color w:val="auto"/>
          <w:kern w:val="0"/>
          <w:sz w:val="24"/>
        </w:rPr>
        <w:t>特此证明。</w:t>
      </w:r>
    </w:p>
    <w:p>
      <w:pPr>
        <w:spacing w:line="500" w:lineRule="exact"/>
        <w:jc w:val="left"/>
        <w:rPr>
          <w:rFonts w:ascii="仿宋" w:hAnsi="仿宋" w:eastAsia="仿宋" w:cs="宋体"/>
          <w:color w:val="auto"/>
          <w:kern w:val="0"/>
          <w:sz w:val="24"/>
        </w:rPr>
      </w:pPr>
    </w:p>
    <w:p>
      <w:pPr>
        <w:spacing w:line="500" w:lineRule="exact"/>
        <w:jc w:val="left"/>
        <w:rPr>
          <w:rFonts w:ascii="仿宋" w:hAnsi="仿宋" w:eastAsia="仿宋" w:cs="宋体"/>
          <w:color w:val="auto"/>
          <w:kern w:val="0"/>
          <w:sz w:val="24"/>
        </w:rPr>
      </w:pPr>
    </w:p>
    <w:p>
      <w:pPr>
        <w:spacing w:line="500" w:lineRule="exact"/>
        <w:jc w:val="left"/>
        <w:rPr>
          <w:rFonts w:ascii="仿宋" w:hAnsi="仿宋" w:eastAsia="仿宋" w:cs="宋体"/>
          <w:color w:val="auto"/>
          <w:kern w:val="0"/>
          <w:sz w:val="24"/>
        </w:rPr>
      </w:pPr>
      <w:r>
        <w:rPr>
          <w:rFonts w:hint="eastAsia" w:ascii="仿宋" w:hAnsi="仿宋" w:eastAsia="仿宋" w:cs="宋体"/>
          <w:color w:val="auto"/>
          <w:kern w:val="0"/>
          <w:sz w:val="24"/>
        </w:rPr>
        <w:t>投标人：（盖章）</w:t>
      </w:r>
    </w:p>
    <w:p>
      <w:pPr>
        <w:spacing w:line="500" w:lineRule="exact"/>
        <w:jc w:val="left"/>
        <w:rPr>
          <w:rFonts w:ascii="仿宋" w:hAnsi="仿宋" w:eastAsia="仿宋" w:cs="宋体"/>
          <w:color w:val="auto"/>
          <w:kern w:val="0"/>
          <w:sz w:val="24"/>
        </w:rPr>
      </w:pPr>
    </w:p>
    <w:p>
      <w:pPr>
        <w:spacing w:line="500" w:lineRule="exact"/>
        <w:jc w:val="left"/>
        <w:rPr>
          <w:rFonts w:ascii="仿宋" w:hAnsi="仿宋" w:eastAsia="仿宋" w:cs="宋体"/>
          <w:color w:val="auto"/>
          <w:kern w:val="0"/>
          <w:sz w:val="24"/>
        </w:rPr>
      </w:pPr>
      <w:r>
        <w:rPr>
          <w:rFonts w:hint="eastAsia" w:ascii="仿宋" w:hAnsi="仿宋" w:eastAsia="仿宋" w:cs="宋体"/>
          <w:color w:val="auto"/>
          <w:kern w:val="0"/>
          <w:sz w:val="24"/>
        </w:rPr>
        <w:t>法定代表人（签名或盖章）：</w:t>
      </w:r>
    </w:p>
    <w:p>
      <w:pPr>
        <w:spacing w:line="500" w:lineRule="exact"/>
        <w:jc w:val="left"/>
        <w:rPr>
          <w:rFonts w:ascii="仿宋" w:hAnsi="仿宋" w:eastAsia="仿宋" w:cs="宋体"/>
          <w:color w:val="auto"/>
          <w:kern w:val="0"/>
          <w:sz w:val="24"/>
        </w:rPr>
      </w:pPr>
    </w:p>
    <w:p>
      <w:pPr>
        <w:spacing w:line="500" w:lineRule="exact"/>
        <w:jc w:val="left"/>
        <w:rPr>
          <w:rFonts w:ascii="仿宋" w:hAnsi="仿宋" w:eastAsia="仿宋" w:cs="宋体"/>
          <w:color w:val="auto"/>
          <w:kern w:val="0"/>
          <w:sz w:val="24"/>
        </w:rPr>
      </w:pPr>
      <w:r>
        <w:rPr>
          <w:rFonts w:hint="eastAsia" w:ascii="仿宋" w:hAnsi="仿宋" w:eastAsia="仿宋" w:cs="宋体"/>
          <w:color w:val="auto"/>
          <w:kern w:val="0"/>
          <w:sz w:val="24"/>
        </w:rPr>
        <w:t>日期：      年   月   日</w:t>
      </w:r>
    </w:p>
    <w:p>
      <w:pPr>
        <w:spacing w:line="500" w:lineRule="exact"/>
        <w:jc w:val="left"/>
        <w:rPr>
          <w:rFonts w:ascii="仿宋" w:hAnsi="仿宋" w:eastAsia="仿宋" w:cs="宋体"/>
          <w:color w:val="auto"/>
          <w:kern w:val="0"/>
          <w:sz w:val="24"/>
        </w:rPr>
      </w:pPr>
      <w:r>
        <w:rPr>
          <w:rFonts w:hint="eastAsia" w:ascii="仿宋" w:hAnsi="仿宋" w:eastAsia="仿宋" w:cs="宋体"/>
          <w:color w:val="auto"/>
          <w:kern w:val="0"/>
          <w:sz w:val="24"/>
        </w:rPr>
        <w:t>——————————————————————————————</w:t>
      </w:r>
    </w:p>
    <w:p>
      <w:pPr>
        <w:spacing w:line="500" w:lineRule="exact"/>
        <w:jc w:val="center"/>
        <w:rPr>
          <w:rFonts w:ascii="仿宋" w:hAnsi="仿宋" w:eastAsia="仿宋" w:cs="宋体"/>
          <w:color w:val="auto"/>
          <w:kern w:val="0"/>
          <w:sz w:val="24"/>
        </w:rPr>
      </w:pPr>
    </w:p>
    <w:p>
      <w:pPr>
        <w:spacing w:line="500" w:lineRule="exact"/>
        <w:jc w:val="center"/>
        <w:rPr>
          <w:rFonts w:ascii="仿宋" w:hAnsi="仿宋" w:eastAsia="仿宋" w:cs="宋体"/>
          <w:color w:val="auto"/>
          <w:kern w:val="0"/>
          <w:sz w:val="24"/>
        </w:rPr>
      </w:pPr>
    </w:p>
    <w:p>
      <w:pPr>
        <w:spacing w:line="500" w:lineRule="exact"/>
        <w:jc w:val="center"/>
        <w:rPr>
          <w:rFonts w:ascii="仿宋" w:hAnsi="仿宋" w:eastAsia="仿宋" w:cs="宋体"/>
          <w:color w:val="auto"/>
          <w:kern w:val="0"/>
          <w:sz w:val="24"/>
        </w:rPr>
      </w:pPr>
    </w:p>
    <w:p>
      <w:pPr>
        <w:spacing w:line="500" w:lineRule="exact"/>
        <w:jc w:val="center"/>
        <w:rPr>
          <w:rFonts w:ascii="仿宋" w:hAnsi="仿宋" w:eastAsia="仿宋" w:cs="宋体"/>
          <w:color w:val="auto"/>
          <w:kern w:val="0"/>
          <w:sz w:val="24"/>
        </w:rPr>
      </w:pPr>
      <w:r>
        <w:rPr>
          <w:rFonts w:hint="eastAsia" w:ascii="仿宋" w:hAnsi="仿宋" w:eastAsia="仿宋" w:cs="宋体"/>
          <w:color w:val="auto"/>
          <w:kern w:val="0"/>
          <w:sz w:val="24"/>
        </w:rPr>
        <w:t>有效身份证明复印件粘贴处</w:t>
      </w:r>
    </w:p>
    <w:p>
      <w:pPr>
        <w:spacing w:line="500" w:lineRule="exact"/>
        <w:jc w:val="center"/>
        <w:rPr>
          <w:rFonts w:ascii="仿宋" w:hAnsi="仿宋" w:eastAsia="仿宋" w:cs="宋体"/>
          <w:color w:val="auto"/>
          <w:kern w:val="0"/>
          <w:sz w:val="24"/>
        </w:rPr>
      </w:pPr>
    </w:p>
    <w:p>
      <w:pPr>
        <w:jc w:val="center"/>
        <w:rPr>
          <w:rFonts w:ascii="仿宋" w:hAnsi="仿宋" w:eastAsia="仿宋" w:cs="宋体"/>
          <w:color w:val="auto"/>
          <w:kern w:val="0"/>
          <w:sz w:val="24"/>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snapToGrid w:val="0"/>
        <w:spacing w:beforeLines="50" w:after="50" w:line="400" w:lineRule="exact"/>
        <w:jc w:val="center"/>
        <w:rPr>
          <w:rFonts w:ascii="仿宋" w:hAnsi="仿宋" w:eastAsia="仿宋" w:cs="宋体"/>
          <w:b/>
          <w:color w:val="auto"/>
          <w:sz w:val="28"/>
          <w:szCs w:val="28"/>
        </w:rPr>
      </w:pPr>
      <w:r>
        <w:rPr>
          <w:rFonts w:hint="eastAsia" w:ascii="仿宋" w:hAnsi="仿宋" w:eastAsia="仿宋" w:cs="宋体"/>
          <w:b/>
          <w:color w:val="auto"/>
          <w:sz w:val="28"/>
          <w:szCs w:val="28"/>
        </w:rPr>
        <w:t>法定代表人授权委托书</w:t>
      </w:r>
    </w:p>
    <w:p>
      <w:pPr>
        <w:snapToGrid w:val="0"/>
        <w:spacing w:beforeLines="50" w:after="50" w:line="400" w:lineRule="exact"/>
        <w:rPr>
          <w:rFonts w:ascii="仿宋" w:hAnsi="仿宋" w:eastAsia="仿宋" w:cs="宋体"/>
          <w:b/>
          <w:bCs/>
          <w:color w:val="auto"/>
          <w:sz w:val="24"/>
        </w:rPr>
      </w:pPr>
      <w:r>
        <w:rPr>
          <w:rFonts w:hint="eastAsia" w:ascii="仿宋" w:hAnsi="仿宋" w:eastAsia="仿宋" w:cs="宋体"/>
          <w:color w:val="auto"/>
          <w:sz w:val="24"/>
        </w:rPr>
        <w:t>致</w:t>
      </w:r>
      <w:r>
        <w:rPr>
          <w:rFonts w:hint="eastAsia" w:ascii="仿宋" w:hAnsi="仿宋" w:eastAsia="仿宋" w:cs="宋体"/>
          <w:color w:val="auto"/>
          <w:sz w:val="24"/>
          <w:u w:val="single"/>
        </w:rPr>
        <w:t xml:space="preserve"> （采购人名称）</w:t>
      </w:r>
      <w:r>
        <w:rPr>
          <w:rFonts w:hint="eastAsia" w:ascii="仿宋" w:hAnsi="仿宋" w:eastAsia="仿宋" w:cs="宋体"/>
          <w:color w:val="auto"/>
          <w:sz w:val="24"/>
        </w:rPr>
        <w:t>：</w:t>
      </w:r>
    </w:p>
    <w:p>
      <w:pPr>
        <w:snapToGrid w:val="0"/>
        <w:spacing w:beforeLines="50" w:after="50" w:line="460" w:lineRule="exact"/>
        <w:ind w:firstLine="600" w:firstLineChars="250"/>
        <w:rPr>
          <w:rFonts w:ascii="仿宋" w:hAnsi="仿宋" w:eastAsia="仿宋" w:cs="宋体"/>
          <w:color w:val="auto"/>
          <w:sz w:val="24"/>
        </w:rPr>
      </w:pPr>
      <w:r>
        <w:rPr>
          <w:rFonts w:hint="eastAsia" w:ascii="仿宋" w:hAnsi="仿宋" w:eastAsia="仿宋" w:cs="宋体"/>
          <w:color w:val="auto"/>
          <w:sz w:val="24"/>
        </w:rPr>
        <w:t xml:space="preserve">我 </w:t>
      </w:r>
      <w:r>
        <w:rPr>
          <w:rFonts w:hint="eastAsia" w:ascii="仿宋" w:hAnsi="仿宋" w:eastAsia="仿宋" w:cs="宋体"/>
          <w:color w:val="auto"/>
          <w:sz w:val="24"/>
          <w:u w:val="single"/>
        </w:rPr>
        <w:t>（姓名）</w:t>
      </w:r>
      <w:r>
        <w:rPr>
          <w:rFonts w:hint="eastAsia" w:ascii="仿宋" w:hAnsi="仿宋" w:eastAsia="仿宋" w:cs="宋体"/>
          <w:color w:val="auto"/>
          <w:sz w:val="24"/>
        </w:rPr>
        <w:t>系</w:t>
      </w:r>
      <w:r>
        <w:rPr>
          <w:rFonts w:hint="eastAsia" w:ascii="仿宋" w:hAnsi="仿宋" w:eastAsia="仿宋" w:cs="宋体"/>
          <w:color w:val="auto"/>
          <w:sz w:val="24"/>
          <w:u w:val="single"/>
        </w:rPr>
        <w:t xml:space="preserve"> （投标人名称）</w:t>
      </w:r>
      <w:r>
        <w:rPr>
          <w:rFonts w:hint="eastAsia" w:ascii="仿宋" w:hAnsi="仿宋" w:eastAsia="仿宋" w:cs="宋体"/>
          <w:color w:val="auto"/>
          <w:sz w:val="24"/>
        </w:rPr>
        <w:t>的法定代表人，现授权委托本单位</w:t>
      </w:r>
      <w:r>
        <w:rPr>
          <w:rFonts w:hint="eastAsia" w:ascii="仿宋" w:hAnsi="仿宋" w:eastAsia="仿宋" w:cs="宋体"/>
          <w:color w:val="auto"/>
          <w:sz w:val="24"/>
          <w:u w:val="single"/>
        </w:rPr>
        <w:t xml:space="preserve"> （姓名）</w:t>
      </w:r>
      <w:r>
        <w:rPr>
          <w:rFonts w:hint="eastAsia" w:ascii="仿宋" w:hAnsi="仿宋" w:eastAsia="仿宋" w:cs="宋体"/>
          <w:color w:val="auto"/>
          <w:sz w:val="24"/>
        </w:rPr>
        <w:t>以我方的名义参加___________________项目的招标活动，并代表我方全权办理针对上述项目的投标、签约等具体事务和签署相关文件。</w:t>
      </w:r>
    </w:p>
    <w:p>
      <w:pPr>
        <w:snapToGrid w:val="0"/>
        <w:spacing w:beforeLines="50" w:after="50" w:line="400" w:lineRule="exact"/>
        <w:rPr>
          <w:rFonts w:ascii="仿宋" w:hAnsi="仿宋" w:eastAsia="仿宋" w:cs="宋体"/>
          <w:color w:val="auto"/>
          <w:sz w:val="24"/>
        </w:rPr>
      </w:pPr>
      <w:r>
        <w:rPr>
          <w:rFonts w:hint="eastAsia" w:ascii="仿宋" w:hAnsi="仿宋" w:eastAsia="仿宋" w:cs="宋体"/>
          <w:color w:val="auto"/>
          <w:sz w:val="24"/>
        </w:rPr>
        <w:t xml:space="preserve">    我方对授权代理人的签名事项负全部责任。</w:t>
      </w:r>
    </w:p>
    <w:p>
      <w:pPr>
        <w:snapToGrid w:val="0"/>
        <w:spacing w:beforeLines="50" w:after="50" w:line="460" w:lineRule="exact"/>
        <w:ind w:firstLine="482"/>
        <w:rPr>
          <w:rFonts w:ascii="仿宋" w:hAnsi="仿宋" w:eastAsia="仿宋" w:cs="宋体"/>
          <w:color w:val="auto"/>
          <w:sz w:val="24"/>
        </w:rPr>
      </w:pPr>
      <w:r>
        <w:rPr>
          <w:rFonts w:hint="eastAsia" w:ascii="仿宋" w:hAnsi="仿宋" w:eastAsia="仿宋" w:cs="宋体"/>
          <w:color w:val="auto"/>
          <w:sz w:val="24"/>
        </w:rPr>
        <w:t>在撤销授权的书面通知以前，本授权书一直有效。授权代理人在授权书有效期内签署的所有文件不因授权的撤销而失效。</w:t>
      </w:r>
    </w:p>
    <w:p>
      <w:pPr>
        <w:snapToGrid w:val="0"/>
        <w:spacing w:beforeLines="50" w:after="50" w:line="400" w:lineRule="exact"/>
        <w:ind w:firstLine="480"/>
        <w:rPr>
          <w:rFonts w:ascii="仿宋" w:hAnsi="仿宋" w:eastAsia="仿宋" w:cs="宋体"/>
          <w:color w:val="auto"/>
          <w:sz w:val="24"/>
        </w:rPr>
      </w:pPr>
      <w:r>
        <w:rPr>
          <w:rFonts w:hint="eastAsia" w:ascii="仿宋" w:hAnsi="仿宋" w:eastAsia="仿宋" w:cs="宋体"/>
          <w:color w:val="auto"/>
          <w:sz w:val="24"/>
        </w:rPr>
        <w:t>授权代理人无转委托权，特此委托。</w:t>
      </w:r>
    </w:p>
    <w:p>
      <w:pPr>
        <w:snapToGrid w:val="0"/>
        <w:spacing w:beforeLines="50" w:after="50" w:line="400" w:lineRule="exact"/>
        <w:rPr>
          <w:rFonts w:ascii="仿宋" w:hAnsi="仿宋" w:eastAsia="仿宋" w:cs="宋体"/>
          <w:color w:val="auto"/>
          <w:sz w:val="24"/>
        </w:rPr>
      </w:pPr>
    </w:p>
    <w:p>
      <w:pPr>
        <w:snapToGrid w:val="0"/>
        <w:spacing w:beforeLines="50" w:after="50" w:line="400" w:lineRule="exact"/>
        <w:rPr>
          <w:rFonts w:ascii="仿宋" w:hAnsi="仿宋" w:eastAsia="仿宋" w:cs="宋体"/>
          <w:color w:val="auto"/>
          <w:sz w:val="24"/>
          <w:u w:val="single"/>
        </w:rPr>
      </w:pPr>
      <w:r>
        <w:rPr>
          <w:rFonts w:hint="eastAsia" w:ascii="仿宋" w:hAnsi="仿宋" w:eastAsia="仿宋" w:cs="宋体"/>
          <w:color w:val="auto"/>
          <w:sz w:val="24"/>
        </w:rPr>
        <w:t>授权代理人签名：         法定代表人签名：</w:t>
      </w:r>
    </w:p>
    <w:p>
      <w:pPr>
        <w:snapToGrid w:val="0"/>
        <w:spacing w:beforeLines="50" w:after="50" w:line="400" w:lineRule="exact"/>
        <w:rPr>
          <w:rFonts w:ascii="仿宋" w:hAnsi="仿宋" w:eastAsia="仿宋" w:cs="宋体"/>
          <w:color w:val="auto"/>
          <w:sz w:val="24"/>
          <w:u w:val="single"/>
        </w:rPr>
      </w:pPr>
    </w:p>
    <w:p>
      <w:pPr>
        <w:snapToGrid w:val="0"/>
        <w:spacing w:beforeLines="50" w:after="50" w:line="400" w:lineRule="exact"/>
        <w:rPr>
          <w:rFonts w:ascii="仿宋" w:hAnsi="仿宋" w:eastAsia="仿宋" w:cs="宋体"/>
          <w:color w:val="auto"/>
          <w:sz w:val="24"/>
          <w:u w:val="single"/>
        </w:rPr>
      </w:pPr>
      <w:r>
        <w:rPr>
          <w:rFonts w:hint="eastAsia" w:ascii="仿宋" w:hAnsi="仿宋" w:eastAsia="仿宋" w:cs="宋体"/>
          <w:color w:val="auto"/>
          <w:sz w:val="24"/>
        </w:rPr>
        <w:t>职务：                   职务：</w:t>
      </w:r>
    </w:p>
    <w:p>
      <w:pPr>
        <w:snapToGrid w:val="0"/>
        <w:spacing w:beforeLines="50" w:after="50" w:line="400" w:lineRule="exact"/>
        <w:ind w:firstLine="960" w:firstLineChars="400"/>
        <w:rPr>
          <w:rFonts w:ascii="仿宋" w:hAnsi="仿宋" w:eastAsia="仿宋" w:cs="宋体"/>
          <w:color w:val="auto"/>
          <w:sz w:val="24"/>
        </w:rPr>
      </w:pPr>
    </w:p>
    <w:p>
      <w:pPr>
        <w:snapToGrid w:val="0"/>
        <w:spacing w:beforeLines="50" w:after="50" w:line="400" w:lineRule="exact"/>
        <w:rPr>
          <w:rFonts w:ascii="仿宋" w:hAnsi="仿宋" w:eastAsia="仿宋" w:cs="宋体"/>
          <w:color w:val="auto"/>
          <w:sz w:val="24"/>
        </w:rPr>
      </w:pPr>
      <w:r>
        <w:rPr>
          <w:rFonts w:hint="eastAsia" w:ascii="仿宋" w:hAnsi="仿宋" w:eastAsia="仿宋" w:cs="宋体"/>
          <w:color w:val="auto"/>
          <w:sz w:val="24"/>
        </w:rPr>
        <w:t>授权代理人身份证号码：</w:t>
      </w:r>
    </w:p>
    <w:p>
      <w:pPr>
        <w:snapToGrid w:val="0"/>
        <w:spacing w:beforeLines="50" w:after="50" w:line="400" w:lineRule="exact"/>
        <w:rPr>
          <w:rFonts w:ascii="仿宋" w:hAnsi="仿宋" w:eastAsia="仿宋" w:cs="宋体"/>
          <w:color w:val="auto"/>
          <w:sz w:val="24"/>
        </w:rPr>
      </w:pPr>
    </w:p>
    <w:p>
      <w:pPr>
        <w:snapToGrid w:val="0"/>
        <w:spacing w:beforeLines="50" w:after="50" w:line="400" w:lineRule="exact"/>
        <w:rPr>
          <w:rFonts w:ascii="仿宋" w:hAnsi="仿宋" w:eastAsia="仿宋" w:cs="宋体"/>
          <w:color w:val="auto"/>
          <w:sz w:val="24"/>
        </w:rPr>
      </w:pPr>
      <w:r>
        <w:rPr>
          <w:rFonts w:hint="eastAsia" w:ascii="仿宋" w:hAnsi="仿宋" w:eastAsia="仿宋" w:cs="宋体"/>
          <w:color w:val="auto"/>
          <w:sz w:val="24"/>
        </w:rPr>
        <w:t xml:space="preserve">                                     投标人公章：</w:t>
      </w:r>
    </w:p>
    <w:p>
      <w:pPr>
        <w:snapToGrid w:val="0"/>
        <w:spacing w:beforeLines="50" w:after="50" w:line="400" w:lineRule="exact"/>
        <w:jc w:val="center"/>
        <w:rPr>
          <w:rFonts w:ascii="仿宋" w:hAnsi="仿宋" w:eastAsia="仿宋" w:cs="宋体"/>
          <w:color w:val="auto"/>
          <w:sz w:val="24"/>
        </w:rPr>
      </w:pPr>
      <w:r>
        <w:rPr>
          <w:rFonts w:hint="eastAsia" w:ascii="仿宋" w:hAnsi="仿宋" w:eastAsia="仿宋" w:cs="宋体"/>
          <w:color w:val="auto"/>
          <w:sz w:val="24"/>
        </w:rPr>
        <w:t xml:space="preserve">                                        年    月    日</w:t>
      </w:r>
    </w:p>
    <w:p>
      <w:pPr>
        <w:jc w:val="center"/>
        <w:rPr>
          <w:rFonts w:ascii="仿宋" w:hAnsi="仿宋" w:eastAsia="仿宋" w:cs="宋体"/>
          <w:color w:val="auto"/>
          <w:kern w:val="0"/>
          <w:sz w:val="24"/>
        </w:rPr>
      </w:pPr>
      <w:r>
        <w:rPr>
          <w:rFonts w:hint="eastAsia" w:ascii="仿宋" w:hAnsi="仿宋" w:eastAsia="仿宋" w:cs="宋体"/>
          <w:color w:val="auto"/>
          <w:kern w:val="0"/>
          <w:sz w:val="24"/>
        </w:rPr>
        <w:t>——————————————————————————————</w:t>
      </w:r>
    </w:p>
    <w:p>
      <w:pPr>
        <w:jc w:val="center"/>
        <w:rPr>
          <w:rFonts w:ascii="仿宋" w:hAnsi="仿宋" w:eastAsia="仿宋" w:cs="宋体"/>
          <w:color w:val="auto"/>
          <w:kern w:val="0"/>
          <w:sz w:val="24"/>
        </w:rPr>
      </w:pPr>
      <w:r>
        <w:rPr>
          <w:rFonts w:hint="eastAsia" w:ascii="仿宋" w:hAnsi="仿宋" w:eastAsia="仿宋" w:cs="宋体"/>
          <w:color w:val="auto"/>
          <w:kern w:val="0"/>
          <w:sz w:val="24"/>
        </w:rPr>
        <w:t>授权代理人有效身份证明复印件粘贴处</w:t>
      </w:r>
    </w:p>
    <w:p>
      <w:pPr>
        <w:jc w:val="center"/>
        <w:rPr>
          <w:rFonts w:ascii="仿宋" w:hAnsi="仿宋" w:eastAsia="仿宋" w:cs="宋体"/>
          <w:color w:val="auto"/>
          <w:kern w:val="0"/>
          <w:sz w:val="28"/>
          <w:szCs w:val="28"/>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snapToGrid w:val="0"/>
        <w:spacing w:line="560" w:lineRule="exact"/>
        <w:jc w:val="center"/>
        <w:rPr>
          <w:rFonts w:ascii="仿宋" w:hAnsi="仿宋" w:eastAsia="仿宋"/>
          <w:color w:val="auto"/>
        </w:rPr>
      </w:pPr>
      <w:r>
        <w:rPr>
          <w:rFonts w:hint="eastAsia" w:ascii="仿宋" w:hAnsi="仿宋" w:eastAsia="仿宋" w:cs="宋体"/>
          <w:color w:val="auto"/>
        </w:rPr>
        <w:br w:type="page"/>
      </w:r>
    </w:p>
    <w:p>
      <w:pPr>
        <w:snapToGrid w:val="0"/>
        <w:spacing w:line="560" w:lineRule="exact"/>
        <w:jc w:val="center"/>
        <w:rPr>
          <w:rFonts w:ascii="仿宋" w:hAnsi="仿宋" w:eastAsia="仿宋" w:cs="宋体"/>
          <w:b/>
          <w:color w:val="auto"/>
          <w:sz w:val="28"/>
          <w:szCs w:val="28"/>
        </w:rPr>
      </w:pPr>
      <w:r>
        <w:rPr>
          <w:rFonts w:hint="eastAsia" w:ascii="仿宋" w:hAnsi="仿宋" w:eastAsia="仿宋" w:cs="宋体"/>
          <w:b/>
          <w:color w:val="auto"/>
          <w:sz w:val="28"/>
          <w:szCs w:val="28"/>
        </w:rPr>
        <w:t>“信用中国”（www.creditchina.gov.cn）、“中国政府采购网”（www.ccgp.gov.cn）网页截图模板</w:t>
      </w:r>
    </w:p>
    <w:p>
      <w:pPr>
        <w:snapToGrid w:val="0"/>
        <w:spacing w:line="560" w:lineRule="exact"/>
        <w:jc w:val="center"/>
        <w:rPr>
          <w:rFonts w:ascii="仿宋" w:hAnsi="仿宋" w:eastAsia="仿宋" w:cs="宋体"/>
          <w:b/>
          <w:bCs/>
          <w:color w:val="auto"/>
          <w:sz w:val="24"/>
        </w:rPr>
      </w:pPr>
      <w:r>
        <w:rPr>
          <w:rFonts w:hint="eastAsia" w:ascii="仿宋" w:hAnsi="仿宋" w:eastAsia="仿宋" w:cs="宋体"/>
          <w:b/>
          <w:bCs/>
          <w:color w:val="auto"/>
          <w:szCs w:val="28"/>
        </w:rPr>
        <w:drawing>
          <wp:anchor distT="0" distB="0" distL="114300" distR="114300" simplePos="0" relativeHeight="251659264" behindDoc="0" locked="0" layoutInCell="1" allowOverlap="1">
            <wp:simplePos x="0" y="0"/>
            <wp:positionH relativeFrom="column">
              <wp:posOffset>80645</wp:posOffset>
            </wp:positionH>
            <wp:positionV relativeFrom="paragraph">
              <wp:posOffset>136525</wp:posOffset>
            </wp:positionV>
            <wp:extent cx="4896485" cy="3741420"/>
            <wp:effectExtent l="0" t="0" r="18415" b="11430"/>
            <wp:wrapSquare wrapText="bothSides"/>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noChangeArrowheads="1"/>
                    </pic:cNvPicPr>
                  </pic:nvPicPr>
                  <pic:blipFill>
                    <a:blip r:embed="rId11" cstate="print"/>
                    <a:srcRect/>
                    <a:stretch>
                      <a:fillRect/>
                    </a:stretch>
                  </pic:blipFill>
                  <pic:spPr>
                    <a:xfrm>
                      <a:off x="0" y="0"/>
                      <a:ext cx="4896485" cy="3741420"/>
                    </a:xfrm>
                    <a:prstGeom prst="rect">
                      <a:avLst/>
                    </a:prstGeom>
                    <a:noFill/>
                    <a:ln w="9525" cmpd="sng">
                      <a:noFill/>
                      <a:miter lim="800000"/>
                      <a:headEnd/>
                      <a:tailEnd/>
                    </a:ln>
                  </pic:spPr>
                </pic:pic>
              </a:graphicData>
            </a:graphic>
          </wp:anchor>
        </w:drawing>
      </w: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ind w:firstLine="600" w:firstLineChars="250"/>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p>
    <w:p>
      <w:pPr>
        <w:pStyle w:val="41"/>
        <w:rPr>
          <w:rFonts w:ascii="仿宋" w:hAnsi="仿宋" w:eastAsia="仿宋"/>
          <w:color w:val="auto"/>
        </w:rPr>
      </w:pPr>
      <w:r>
        <w:rPr>
          <w:rFonts w:hint="eastAsia" w:ascii="仿宋" w:hAnsi="仿宋" w:eastAsia="仿宋"/>
          <w:color w:val="auto"/>
        </w:rPr>
        <w:drawing>
          <wp:anchor distT="0" distB="0" distL="0" distR="0" simplePos="0" relativeHeight="251660288" behindDoc="0" locked="0" layoutInCell="1" allowOverlap="1">
            <wp:simplePos x="0" y="0"/>
            <wp:positionH relativeFrom="column">
              <wp:posOffset>732155</wp:posOffset>
            </wp:positionH>
            <wp:positionV relativeFrom="paragraph">
              <wp:posOffset>-468630</wp:posOffset>
            </wp:positionV>
            <wp:extent cx="3495675" cy="4856480"/>
            <wp:effectExtent l="0" t="0" r="1270" b="9525"/>
            <wp:wrapNone/>
            <wp:docPr id="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
                    <pic:cNvPicPr>
                      <a:picLocks noChangeAspect="1" noChangeArrowheads="1"/>
                    </pic:cNvPicPr>
                  </pic:nvPicPr>
                  <pic:blipFill>
                    <a:blip r:embed="rId12" cstate="print"/>
                    <a:srcRect/>
                    <a:stretch>
                      <a:fillRect/>
                    </a:stretch>
                  </pic:blipFill>
                  <pic:spPr>
                    <a:xfrm rot="5400000">
                      <a:off x="0" y="0"/>
                      <a:ext cx="3495675" cy="4856480"/>
                    </a:xfrm>
                    <a:prstGeom prst="rect">
                      <a:avLst/>
                    </a:prstGeom>
                    <a:noFill/>
                    <a:ln w="9525" cmpd="sng">
                      <a:noFill/>
                      <a:miter lim="800000"/>
                      <a:headEnd/>
                      <a:tailEnd/>
                    </a:ln>
                  </pic:spPr>
                </pic:pic>
              </a:graphicData>
            </a:graphic>
          </wp:anchor>
        </w:drawing>
      </w:r>
    </w:p>
    <w:p>
      <w:pPr>
        <w:pStyle w:val="19"/>
        <w:ind w:firstLine="562"/>
        <w:rPr>
          <w:rFonts w:ascii="仿宋" w:hAnsi="仿宋" w:eastAsia="仿宋" w:cs="宋体"/>
          <w:b/>
          <w:color w:val="auto"/>
          <w:sz w:val="28"/>
          <w:szCs w:val="28"/>
        </w:rPr>
      </w:pPr>
      <w:r>
        <w:rPr>
          <w:rFonts w:hint="eastAsia" w:ascii="仿宋" w:hAnsi="仿宋" w:eastAsia="仿宋" w:cs="宋体"/>
          <w:b/>
          <w:color w:val="auto"/>
          <w:sz w:val="28"/>
          <w:szCs w:val="28"/>
        </w:rPr>
        <w:br w:type="page"/>
      </w:r>
    </w:p>
    <w:p>
      <w:pPr>
        <w:pStyle w:val="19"/>
        <w:ind w:firstLine="2797" w:firstLineChars="995"/>
        <w:rPr>
          <w:rFonts w:ascii="仿宋" w:hAnsi="仿宋" w:eastAsia="仿宋" w:cs="宋体"/>
          <w:b/>
          <w:color w:val="auto"/>
          <w:sz w:val="28"/>
          <w:szCs w:val="28"/>
        </w:rPr>
      </w:pPr>
      <w:r>
        <w:rPr>
          <w:rFonts w:hint="eastAsia" w:ascii="仿宋" w:hAnsi="仿宋" w:eastAsia="仿宋" w:cs="宋体"/>
          <w:b/>
          <w:color w:val="auto"/>
          <w:sz w:val="28"/>
          <w:szCs w:val="28"/>
        </w:rPr>
        <w:t>信用承诺书</w:t>
      </w:r>
    </w:p>
    <w:p>
      <w:pPr>
        <w:pStyle w:val="19"/>
        <w:ind w:firstLine="562"/>
        <w:jc w:val="center"/>
        <w:rPr>
          <w:rFonts w:ascii="仿宋" w:hAnsi="仿宋" w:eastAsia="仿宋" w:cs="宋体"/>
          <w:b/>
          <w:bCs/>
          <w:color w:val="auto"/>
          <w:sz w:val="28"/>
          <w:szCs w:val="28"/>
        </w:rPr>
      </w:pPr>
    </w:p>
    <w:p>
      <w:pPr>
        <w:tabs>
          <w:tab w:val="left" w:pos="1650"/>
        </w:tabs>
        <w:jc w:val="left"/>
        <w:rPr>
          <w:rFonts w:ascii="仿宋" w:hAnsi="仿宋" w:eastAsia="仿宋" w:cs="宋体"/>
          <w:color w:val="auto"/>
          <w:sz w:val="24"/>
        </w:rPr>
      </w:pPr>
      <w:r>
        <w:rPr>
          <w:rFonts w:hint="eastAsia" w:ascii="仿宋" w:hAnsi="仿宋" w:eastAsia="仿宋" w:cs="宋体"/>
          <w:color w:val="auto"/>
          <w:sz w:val="24"/>
          <w:u w:val="single"/>
        </w:rPr>
        <w:t>（投标人）</w:t>
      </w:r>
      <w:r>
        <w:rPr>
          <w:rFonts w:hint="eastAsia" w:ascii="仿宋" w:hAnsi="仿宋" w:eastAsia="仿宋" w:cs="宋体"/>
          <w:color w:val="auto"/>
          <w:sz w:val="24"/>
        </w:rPr>
        <w:t>现参加</w:t>
      </w:r>
      <w:r>
        <w:rPr>
          <w:rFonts w:hint="eastAsia" w:ascii="仿宋" w:hAnsi="仿宋" w:eastAsia="仿宋" w:cs="宋体"/>
          <w:color w:val="auto"/>
          <w:sz w:val="24"/>
          <w:u w:val="single"/>
        </w:rPr>
        <w:t>（项目名称）</w:t>
      </w:r>
      <w:r>
        <w:rPr>
          <w:rFonts w:hint="eastAsia" w:ascii="仿宋" w:hAnsi="仿宋" w:eastAsia="仿宋" w:cs="宋体"/>
          <w:color w:val="auto"/>
          <w:sz w:val="24"/>
        </w:rPr>
        <w:t>政府采购活动，郑重承诺如下：</w:t>
      </w:r>
    </w:p>
    <w:p>
      <w:pPr>
        <w:tabs>
          <w:tab w:val="left" w:pos="1650"/>
        </w:tabs>
        <w:spacing w:line="560" w:lineRule="exact"/>
        <w:ind w:firstLine="630"/>
        <w:rPr>
          <w:rFonts w:ascii="仿宋" w:hAnsi="仿宋" w:eastAsia="仿宋" w:cs="宋体"/>
          <w:color w:val="auto"/>
          <w:sz w:val="24"/>
        </w:rPr>
      </w:pPr>
      <w:r>
        <w:rPr>
          <w:rFonts w:hint="eastAsia" w:ascii="仿宋" w:hAnsi="仿宋" w:eastAsia="仿宋" w:cs="宋体"/>
          <w:color w:val="auto"/>
          <w:sz w:val="24"/>
        </w:rPr>
        <w:t>对所提供的资料合法性、真实性、准确性和有效性负责；</w:t>
      </w:r>
    </w:p>
    <w:p>
      <w:pPr>
        <w:tabs>
          <w:tab w:val="left" w:pos="1650"/>
        </w:tabs>
        <w:spacing w:line="560" w:lineRule="exact"/>
        <w:ind w:firstLine="630"/>
        <w:rPr>
          <w:rFonts w:ascii="仿宋" w:hAnsi="仿宋" w:eastAsia="仿宋" w:cs="宋体"/>
          <w:color w:val="auto"/>
          <w:sz w:val="24"/>
        </w:rPr>
      </w:pPr>
      <w:r>
        <w:rPr>
          <w:rFonts w:hint="eastAsia" w:ascii="仿宋" w:hAnsi="仿宋" w:eastAsia="仿宋" w:cs="宋体"/>
          <w:color w:val="auto"/>
          <w:sz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宋体"/>
          <w:color w:val="auto"/>
          <w:sz w:val="24"/>
        </w:rPr>
      </w:pPr>
      <w:r>
        <w:rPr>
          <w:rFonts w:hint="eastAsia" w:ascii="仿宋" w:hAnsi="仿宋" w:eastAsia="仿宋" w:cs="宋体"/>
          <w:color w:val="auto"/>
          <w:sz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宋体"/>
          <w:color w:val="auto"/>
          <w:sz w:val="24"/>
        </w:rPr>
      </w:pPr>
      <w:r>
        <w:rPr>
          <w:rFonts w:hint="eastAsia" w:ascii="仿宋" w:hAnsi="仿宋" w:eastAsia="仿宋" w:cs="宋体"/>
          <w:color w:val="auto"/>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宋体"/>
          <w:color w:val="auto"/>
          <w:sz w:val="24"/>
        </w:rPr>
      </w:pPr>
      <w:r>
        <w:rPr>
          <w:rFonts w:hint="eastAsia" w:ascii="仿宋" w:hAnsi="仿宋" w:eastAsia="仿宋" w:cs="宋体"/>
          <w:color w:val="auto"/>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仿宋" w:hAnsi="仿宋" w:eastAsia="仿宋" w:cs="宋体"/>
          <w:color w:val="auto"/>
          <w:sz w:val="24"/>
          <w:u w:val="single"/>
        </w:rPr>
      </w:pPr>
    </w:p>
    <w:p>
      <w:pPr>
        <w:tabs>
          <w:tab w:val="left" w:pos="1650"/>
        </w:tabs>
        <w:spacing w:line="560" w:lineRule="exact"/>
        <w:rPr>
          <w:rFonts w:ascii="仿宋" w:hAnsi="仿宋" w:eastAsia="仿宋" w:cs="宋体"/>
          <w:color w:val="auto"/>
          <w:sz w:val="24"/>
          <w:u w:val="single"/>
        </w:rPr>
      </w:pPr>
    </w:p>
    <w:p>
      <w:pPr>
        <w:pStyle w:val="43"/>
        <w:spacing w:before="0" w:beforeAutospacing="0" w:after="0" w:afterAutospacing="0" w:line="560" w:lineRule="exact"/>
        <w:ind w:firstLine="600" w:firstLineChars="250"/>
        <w:rPr>
          <w:rFonts w:ascii="仿宋" w:hAnsi="仿宋" w:eastAsia="仿宋"/>
          <w:color w:val="auto"/>
          <w:spacing w:val="-7"/>
        </w:rPr>
      </w:pPr>
      <w:r>
        <w:rPr>
          <w:rFonts w:hint="eastAsia" w:ascii="仿宋" w:hAnsi="仿宋" w:eastAsia="仿宋"/>
          <w:color w:val="auto"/>
          <w:kern w:val="2"/>
        </w:rPr>
        <w:t>统一社会信用代码：</w:t>
      </w:r>
    </w:p>
    <w:p>
      <w:pPr>
        <w:pStyle w:val="43"/>
        <w:spacing w:before="0" w:beforeAutospacing="0" w:after="0" w:afterAutospacing="0" w:line="560" w:lineRule="exact"/>
        <w:rPr>
          <w:rFonts w:ascii="仿宋" w:hAnsi="仿宋" w:eastAsia="仿宋"/>
          <w:color w:val="auto"/>
        </w:rPr>
      </w:pPr>
    </w:p>
    <w:p>
      <w:pPr>
        <w:pStyle w:val="43"/>
        <w:spacing w:before="0" w:beforeAutospacing="0" w:after="0" w:afterAutospacing="0" w:line="560" w:lineRule="exact"/>
        <w:ind w:firstLine="3240" w:firstLineChars="1350"/>
        <w:rPr>
          <w:rFonts w:ascii="仿宋" w:hAnsi="仿宋" w:eastAsia="仿宋"/>
          <w:color w:val="auto"/>
          <w:kern w:val="2"/>
        </w:rPr>
      </w:pPr>
      <w:r>
        <w:rPr>
          <w:rFonts w:hint="eastAsia" w:ascii="仿宋" w:hAnsi="仿宋" w:eastAsia="仿宋"/>
          <w:color w:val="auto"/>
          <w:kern w:val="2"/>
        </w:rPr>
        <w:t>承诺单位/个人（盖章/签名）</w:t>
      </w:r>
    </w:p>
    <w:p>
      <w:pPr>
        <w:spacing w:line="560" w:lineRule="exact"/>
        <w:rPr>
          <w:rFonts w:ascii="仿宋" w:hAnsi="仿宋" w:eastAsia="仿宋" w:cs="宋体"/>
          <w:color w:val="auto"/>
          <w:sz w:val="24"/>
        </w:rPr>
      </w:pPr>
      <w:r>
        <w:rPr>
          <w:rFonts w:hint="eastAsia" w:ascii="仿宋" w:hAnsi="仿宋" w:eastAsia="仿宋" w:cs="宋体"/>
          <w:color w:val="auto"/>
          <w:sz w:val="24"/>
        </w:rPr>
        <w:t xml:space="preserve">                               时间：20**年*月*日</w:t>
      </w: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p>
    <w:p>
      <w:pPr>
        <w:pStyle w:val="12"/>
        <w:rPr>
          <w:rFonts w:ascii="仿宋" w:hAnsi="仿宋" w:eastAsia="仿宋" w:cs="宋体"/>
          <w:color w:val="auto"/>
        </w:rPr>
      </w:pPr>
      <w:r>
        <w:rPr>
          <w:rFonts w:hint="eastAsia" w:ascii="仿宋" w:hAnsi="仿宋" w:eastAsia="仿宋" w:cs="宋体"/>
          <w:color w:val="auto"/>
        </w:rPr>
        <w:br w:type="page"/>
      </w:r>
    </w:p>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中小企业声明函（工程、 服务）</w:t>
      </w:r>
    </w:p>
    <w:p>
      <w:pPr>
        <w:spacing w:line="560" w:lineRule="exact"/>
        <w:ind w:firstLine="720" w:firstLineChars="300"/>
        <w:rPr>
          <w:rFonts w:ascii="仿宋" w:hAnsi="仿宋" w:eastAsia="仿宋" w:cs="仿宋"/>
          <w:color w:val="auto"/>
          <w:sz w:val="24"/>
          <w:u w:val="single"/>
        </w:rPr>
      </w:pPr>
      <w:r>
        <w:rPr>
          <w:rFonts w:hint="eastAsia" w:ascii="仿宋" w:hAnsi="仿宋" w:eastAsia="仿宋" w:cs="仿宋"/>
          <w:color w:val="auto"/>
          <w:sz w:val="24"/>
        </w:rPr>
        <w:t>本公司（联合体）郑重声明，根据《政府采购促进中小企业发展管理办法》（财库﹝2020﹞46 号）的规定，本公司 （联合体）参加</w:t>
      </w:r>
      <w:r>
        <w:rPr>
          <w:rFonts w:hint="eastAsia" w:ascii="仿宋" w:hAnsi="仿宋" w:eastAsia="仿宋" w:cs="仿宋"/>
          <w:color w:val="auto"/>
          <w:sz w:val="24"/>
          <w:u w:val="single"/>
        </w:rPr>
        <w:t xml:space="preserve"> （ 单位名称 ） </w:t>
      </w:r>
      <w:r>
        <w:rPr>
          <w:rFonts w:hint="eastAsia" w:ascii="仿宋" w:hAnsi="仿宋" w:eastAsia="仿宋" w:cs="仿宋"/>
          <w:color w:val="auto"/>
          <w:sz w:val="24"/>
        </w:rPr>
        <w:t xml:space="preserve">的 </w:t>
      </w:r>
      <w:r>
        <w:rPr>
          <w:rFonts w:hint="eastAsia" w:ascii="仿宋" w:hAnsi="仿宋" w:eastAsia="仿宋" w:cs="仿宋"/>
          <w:color w:val="auto"/>
          <w:sz w:val="24"/>
          <w:u w:val="single"/>
        </w:rPr>
        <w:t>（ 项目名称 ）</w:t>
      </w:r>
      <w:r>
        <w:rPr>
          <w:rFonts w:hint="eastAsia" w:ascii="仿宋" w:hAnsi="仿宋" w:eastAsia="仿宋" w:cs="仿宋"/>
          <w:color w:val="auto"/>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560" w:lineRule="exact"/>
        <w:ind w:firstLine="960" w:firstLineChars="400"/>
        <w:rPr>
          <w:rFonts w:ascii="仿宋" w:hAnsi="仿宋" w:eastAsia="仿宋" w:cs="仿宋"/>
          <w:color w:val="auto"/>
          <w:sz w:val="24"/>
        </w:rPr>
      </w:pPr>
      <w:r>
        <w:rPr>
          <w:rFonts w:hint="eastAsia" w:ascii="仿宋" w:hAnsi="仿宋" w:eastAsia="仿宋" w:cs="仿宋"/>
          <w:color w:val="auto"/>
          <w:sz w:val="24"/>
        </w:rPr>
        <w:t xml:space="preserve">1. </w:t>
      </w:r>
      <w:r>
        <w:rPr>
          <w:rFonts w:hint="eastAsia" w:ascii="仿宋" w:hAnsi="仿宋" w:eastAsia="仿宋" w:cs="仿宋"/>
          <w:color w:val="auto"/>
          <w:sz w:val="24"/>
          <w:u w:val="single"/>
        </w:rPr>
        <w:t xml:space="preserve">（ 标的名称 ） </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 采购文件中明确的所属行业 ）</w:t>
      </w:r>
      <w:r>
        <w:rPr>
          <w:rFonts w:hint="eastAsia" w:ascii="仿宋" w:hAnsi="仿宋" w:eastAsia="仿宋" w:cs="仿宋"/>
          <w:color w:val="auto"/>
          <w:sz w:val="24"/>
        </w:rPr>
        <w:t xml:space="preserve"> ； 承建（承接）企业为</w:t>
      </w:r>
      <w:r>
        <w:rPr>
          <w:rFonts w:hint="eastAsia" w:ascii="仿宋" w:hAnsi="仿宋" w:eastAsia="仿宋" w:cs="仿宋"/>
          <w:color w:val="auto"/>
          <w:sz w:val="24"/>
          <w:u w:val="single"/>
        </w:rPr>
        <w:t xml:space="preserve"> （ 企业名称） </w:t>
      </w:r>
      <w:r>
        <w:rPr>
          <w:rFonts w:hint="eastAsia" w:ascii="仿宋" w:hAnsi="仿宋" w:eastAsia="仿宋" w:cs="仿宋"/>
          <w:color w:val="auto"/>
          <w:sz w:val="24"/>
        </w:rPr>
        <w:t>，从业人员人，营业收入为万元，资产总额为万元，属于</w:t>
      </w:r>
      <w:r>
        <w:rPr>
          <w:rFonts w:hint="eastAsia" w:ascii="仿宋" w:hAnsi="仿宋" w:eastAsia="仿宋" w:cs="仿宋"/>
          <w:color w:val="auto"/>
          <w:sz w:val="24"/>
          <w:u w:val="single"/>
        </w:rPr>
        <w:t xml:space="preserve"> （中型企业 、小型企业 、微型企业 ） </w:t>
      </w:r>
      <w:r>
        <w:rPr>
          <w:rFonts w:hint="eastAsia" w:ascii="仿宋" w:hAnsi="仿宋" w:eastAsia="仿宋" w:cs="仿宋"/>
          <w:color w:val="auto"/>
          <w:sz w:val="24"/>
        </w:rPr>
        <w:t xml:space="preserve">； </w:t>
      </w:r>
    </w:p>
    <w:p>
      <w:pPr>
        <w:spacing w:line="560" w:lineRule="exact"/>
        <w:ind w:firstLine="960" w:firstLineChars="400"/>
        <w:rPr>
          <w:rFonts w:ascii="仿宋" w:hAnsi="仿宋" w:eastAsia="仿宋" w:cs="仿宋"/>
          <w:color w:val="auto"/>
          <w:sz w:val="24"/>
        </w:rPr>
      </w:pPr>
      <w:r>
        <w:rPr>
          <w:rFonts w:hint="eastAsia" w:ascii="仿宋" w:hAnsi="仿宋" w:eastAsia="仿宋" w:cs="仿宋"/>
          <w:color w:val="auto"/>
          <w:sz w:val="24"/>
        </w:rPr>
        <w:t xml:space="preserve">2. </w:t>
      </w:r>
      <w:r>
        <w:rPr>
          <w:rFonts w:hint="eastAsia" w:ascii="仿宋" w:hAnsi="仿宋" w:eastAsia="仿宋" w:cs="仿宋"/>
          <w:color w:val="auto"/>
          <w:sz w:val="24"/>
          <w:u w:val="single"/>
        </w:rPr>
        <w:t xml:space="preserve">（ 标的名称 ） </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 采购文件中明确的所属行业 ）</w:t>
      </w:r>
      <w:r>
        <w:rPr>
          <w:rFonts w:hint="eastAsia" w:ascii="仿宋" w:hAnsi="仿宋" w:eastAsia="仿宋" w:cs="仿宋"/>
          <w:color w:val="auto"/>
          <w:sz w:val="24"/>
        </w:rPr>
        <w:t xml:space="preserve"> ； 承建（承接）企业为</w:t>
      </w:r>
      <w:r>
        <w:rPr>
          <w:rFonts w:hint="eastAsia" w:ascii="仿宋" w:hAnsi="仿宋" w:eastAsia="仿宋" w:cs="仿宋"/>
          <w:color w:val="auto"/>
          <w:sz w:val="24"/>
          <w:u w:val="single"/>
        </w:rPr>
        <w:t xml:space="preserve"> （ 企业名称） </w:t>
      </w:r>
      <w:r>
        <w:rPr>
          <w:rFonts w:hint="eastAsia" w:ascii="仿宋" w:hAnsi="仿宋" w:eastAsia="仿宋" w:cs="仿宋"/>
          <w:color w:val="auto"/>
          <w:sz w:val="24"/>
        </w:rPr>
        <w:t>，从业人员人，营业收入为万元，资产总额为万元，属于</w:t>
      </w:r>
      <w:r>
        <w:rPr>
          <w:rFonts w:hint="eastAsia" w:ascii="仿宋" w:hAnsi="仿宋" w:eastAsia="仿宋" w:cs="仿宋"/>
          <w:color w:val="auto"/>
          <w:sz w:val="24"/>
          <w:u w:val="single"/>
        </w:rPr>
        <w:t xml:space="preserve"> （中型企业 、小型企业 、微型企业 ） </w:t>
      </w:r>
      <w:r>
        <w:rPr>
          <w:rFonts w:hint="eastAsia" w:ascii="仿宋" w:hAnsi="仿宋" w:eastAsia="仿宋" w:cs="仿宋"/>
          <w:color w:val="auto"/>
          <w:sz w:val="24"/>
        </w:rPr>
        <w:t>；</w:t>
      </w:r>
    </w:p>
    <w:p>
      <w:pPr>
        <w:spacing w:line="560" w:lineRule="exact"/>
        <w:ind w:firstLine="960" w:firstLineChars="400"/>
        <w:rPr>
          <w:rFonts w:ascii="仿宋" w:hAnsi="仿宋" w:eastAsia="仿宋" w:cs="仿宋"/>
          <w:color w:val="auto"/>
          <w:sz w:val="24"/>
        </w:rPr>
      </w:pPr>
      <w:r>
        <w:rPr>
          <w:rFonts w:hint="eastAsia" w:ascii="仿宋" w:hAnsi="仿宋" w:eastAsia="仿宋" w:cs="仿宋"/>
          <w:color w:val="auto"/>
          <w:sz w:val="24"/>
        </w:rPr>
        <w:t xml:space="preserve"> ……</w:t>
      </w:r>
    </w:p>
    <w:p>
      <w:pPr>
        <w:spacing w:line="560" w:lineRule="exact"/>
        <w:ind w:firstLine="960" w:firstLineChars="400"/>
        <w:rPr>
          <w:rFonts w:ascii="仿宋" w:hAnsi="仿宋" w:eastAsia="仿宋" w:cs="仿宋"/>
          <w:color w:val="auto"/>
          <w:sz w:val="24"/>
        </w:rPr>
      </w:pPr>
      <w:r>
        <w:rPr>
          <w:rFonts w:hint="eastAsia" w:ascii="仿宋" w:hAnsi="仿宋" w:eastAsia="仿宋" w:cs="仿宋"/>
          <w:color w:val="auto"/>
          <w:sz w:val="24"/>
        </w:rPr>
        <w:t xml:space="preserve"> 以上企业，不属于大企业的分支机构，不存在控股股东 为大企业的情形，也不存在与大企业的负责人为同一人的情形。 本企业对上述声明内容的真实性负责。如有虚假，将依 法承担相应责任。 </w:t>
      </w:r>
    </w:p>
    <w:p>
      <w:pPr>
        <w:tabs>
          <w:tab w:val="left" w:pos="2996"/>
        </w:tabs>
        <w:spacing w:line="600" w:lineRule="exact"/>
        <w:ind w:firstLine="480" w:firstLineChars="200"/>
        <w:rPr>
          <w:rFonts w:ascii="仿宋" w:hAnsi="仿宋" w:eastAsia="仿宋" w:cs="仿宋"/>
          <w:color w:val="auto"/>
          <w:sz w:val="24"/>
        </w:rPr>
      </w:pPr>
    </w:p>
    <w:p>
      <w:pPr>
        <w:tabs>
          <w:tab w:val="left" w:pos="2996"/>
        </w:tabs>
        <w:spacing w:line="600" w:lineRule="exact"/>
        <w:ind w:firstLine="480" w:firstLineChars="200"/>
        <w:rPr>
          <w:rFonts w:ascii="仿宋" w:hAnsi="仿宋" w:eastAsia="仿宋" w:cs="仿宋"/>
          <w:color w:val="auto"/>
          <w:sz w:val="24"/>
        </w:rPr>
      </w:pPr>
    </w:p>
    <w:p>
      <w:pPr>
        <w:tabs>
          <w:tab w:val="left" w:pos="2996"/>
        </w:tabs>
        <w:spacing w:line="600" w:lineRule="exact"/>
        <w:ind w:firstLine="480" w:firstLineChars="200"/>
        <w:jc w:val="right"/>
        <w:rPr>
          <w:rFonts w:ascii="仿宋" w:hAnsi="仿宋" w:eastAsia="仿宋" w:cs="仿宋"/>
          <w:color w:val="auto"/>
          <w:sz w:val="24"/>
        </w:rPr>
      </w:pPr>
      <w:r>
        <w:rPr>
          <w:rFonts w:hint="eastAsia" w:ascii="仿宋" w:hAnsi="仿宋" w:eastAsia="仿宋" w:cs="仿宋"/>
          <w:color w:val="auto"/>
          <w:sz w:val="24"/>
        </w:rPr>
        <w:t>供应商名称（盖章）：</w:t>
      </w:r>
    </w:p>
    <w:p>
      <w:pPr>
        <w:tabs>
          <w:tab w:val="left" w:pos="2996"/>
        </w:tabs>
        <w:spacing w:line="600" w:lineRule="exact"/>
        <w:ind w:firstLine="480" w:firstLineChars="200"/>
        <w:jc w:val="right"/>
        <w:rPr>
          <w:rFonts w:ascii="仿宋" w:hAnsi="仿宋" w:eastAsia="仿宋" w:cs="仿宋"/>
          <w:color w:val="auto"/>
          <w:sz w:val="24"/>
        </w:rPr>
      </w:pPr>
      <w:r>
        <w:rPr>
          <w:rFonts w:hint="eastAsia" w:ascii="仿宋" w:hAnsi="仿宋" w:eastAsia="仿宋" w:cs="仿宋"/>
          <w:color w:val="auto"/>
          <w:sz w:val="24"/>
        </w:rPr>
        <w:t>日　期：</w:t>
      </w:r>
    </w:p>
    <w:p>
      <w:pPr>
        <w:snapToGrid w:val="0"/>
        <w:spacing w:before="50" w:after="50" w:line="360" w:lineRule="auto"/>
        <w:jc w:val="center"/>
        <w:rPr>
          <w:rFonts w:ascii="仿宋" w:hAnsi="仿宋" w:eastAsia="仿宋" w:cs="宋体"/>
          <w:b/>
          <w:color w:val="auto"/>
          <w:sz w:val="28"/>
          <w:szCs w:val="28"/>
        </w:rPr>
      </w:pPr>
    </w:p>
    <w:p>
      <w:pPr>
        <w:pStyle w:val="38"/>
        <w:ind w:firstLine="241"/>
        <w:rPr>
          <w:color w:val="auto"/>
        </w:rPr>
      </w:pPr>
    </w:p>
    <w:p>
      <w:pPr>
        <w:snapToGrid w:val="0"/>
        <w:spacing w:before="50" w:after="50" w:line="360" w:lineRule="auto"/>
        <w:jc w:val="center"/>
        <w:rPr>
          <w:rFonts w:ascii="仿宋" w:hAnsi="仿宋" w:eastAsia="仿宋" w:cs="宋体"/>
          <w:b/>
          <w:color w:val="auto"/>
          <w:sz w:val="28"/>
          <w:szCs w:val="28"/>
        </w:rPr>
      </w:pPr>
    </w:p>
    <w:p>
      <w:pPr>
        <w:snapToGrid w:val="0"/>
        <w:spacing w:before="50" w:after="50" w:line="360" w:lineRule="auto"/>
        <w:jc w:val="center"/>
        <w:rPr>
          <w:rFonts w:ascii="仿宋" w:hAnsi="仿宋" w:eastAsia="仿宋" w:cs="宋体"/>
          <w:b/>
          <w:color w:val="auto"/>
          <w:sz w:val="28"/>
          <w:szCs w:val="28"/>
        </w:rPr>
      </w:pPr>
    </w:p>
    <w:p>
      <w:pPr>
        <w:snapToGrid w:val="0"/>
        <w:spacing w:before="50" w:after="50" w:line="360" w:lineRule="auto"/>
        <w:jc w:val="center"/>
        <w:rPr>
          <w:rFonts w:ascii="仿宋" w:hAnsi="仿宋" w:eastAsia="仿宋" w:cs="宋体"/>
          <w:b/>
          <w:color w:val="auto"/>
          <w:sz w:val="28"/>
          <w:szCs w:val="28"/>
        </w:rPr>
      </w:pPr>
    </w:p>
    <w:p>
      <w:pPr>
        <w:snapToGrid w:val="0"/>
        <w:spacing w:before="50" w:after="50" w:line="360" w:lineRule="auto"/>
        <w:jc w:val="center"/>
        <w:rPr>
          <w:rFonts w:ascii="仿宋" w:hAnsi="仿宋" w:eastAsia="仿宋" w:cs="宋体"/>
          <w:b/>
          <w:color w:val="auto"/>
          <w:sz w:val="28"/>
          <w:szCs w:val="28"/>
        </w:rPr>
      </w:pPr>
      <w:r>
        <w:rPr>
          <w:rFonts w:hint="eastAsia" w:ascii="仿宋" w:hAnsi="仿宋" w:eastAsia="仿宋" w:cs="宋体"/>
          <w:b/>
          <w:color w:val="auto"/>
          <w:sz w:val="28"/>
          <w:szCs w:val="28"/>
        </w:rPr>
        <w:t>监狱企业声明函（如有）</w:t>
      </w:r>
    </w:p>
    <w:p>
      <w:pPr>
        <w:pStyle w:val="41"/>
        <w:spacing w:line="460" w:lineRule="exact"/>
        <w:jc w:val="center"/>
        <w:rPr>
          <w:rFonts w:ascii="仿宋" w:hAnsi="仿宋" w:eastAsia="仿宋"/>
          <w:color w:val="auto"/>
        </w:rPr>
      </w:pPr>
      <w:r>
        <w:rPr>
          <w:rFonts w:hint="eastAsia" w:ascii="仿宋" w:hAnsi="仿宋" w:eastAsia="仿宋"/>
          <w:color w:val="auto"/>
        </w:rPr>
        <w:t>【非监狱企业的不用提供】</w:t>
      </w:r>
    </w:p>
    <w:p>
      <w:pPr>
        <w:pStyle w:val="41"/>
        <w:spacing w:line="460" w:lineRule="exact"/>
        <w:ind w:firstLine="480" w:firstLineChars="200"/>
        <w:rPr>
          <w:rFonts w:ascii="仿宋" w:hAnsi="仿宋" w:eastAsia="仿宋"/>
          <w:color w:val="auto"/>
        </w:rPr>
      </w:pPr>
      <w:r>
        <w:rPr>
          <w:rFonts w:hint="eastAsia" w:ascii="仿宋" w:hAnsi="仿宋" w:eastAsia="仿宋"/>
          <w:color w:val="auto"/>
        </w:rPr>
        <w:t xml:space="preserve">本企业郑重声明，根据《关于政府采购支持监狱企业发展有关问题的通知》(财库[2014]68号）的规定，本企业为监狱企业。 </w:t>
      </w:r>
    </w:p>
    <w:p>
      <w:pPr>
        <w:pStyle w:val="41"/>
        <w:spacing w:line="460" w:lineRule="exact"/>
        <w:ind w:firstLine="480" w:firstLineChars="200"/>
        <w:rPr>
          <w:rFonts w:ascii="仿宋" w:hAnsi="仿宋" w:eastAsia="仿宋"/>
          <w:color w:val="auto"/>
        </w:rPr>
      </w:pPr>
      <w:r>
        <w:rPr>
          <w:rFonts w:hint="eastAsia" w:ascii="仿宋" w:hAnsi="仿宋" w:eastAsia="仿宋"/>
          <w:color w:val="auto"/>
        </w:rPr>
        <w:t xml:space="preserve">根据上述标准，我企业属于监狱企业的理由为: </w:t>
      </w:r>
    </w:p>
    <w:p>
      <w:pPr>
        <w:pStyle w:val="41"/>
        <w:spacing w:line="460" w:lineRule="exact"/>
        <w:ind w:firstLine="480" w:firstLineChars="200"/>
        <w:rPr>
          <w:rFonts w:ascii="仿宋" w:hAnsi="仿宋" w:eastAsia="仿宋"/>
          <w:color w:val="auto"/>
        </w:rPr>
      </w:pPr>
      <w:r>
        <w:rPr>
          <w:rFonts w:hint="eastAsia" w:ascii="仿宋" w:hAnsi="仿宋" w:eastAsia="仿宋"/>
          <w:color w:val="auto"/>
        </w:rPr>
        <w:t>本企业为参加</w:t>
      </w:r>
      <w:r>
        <w:rPr>
          <w:rFonts w:hint="eastAsia" w:ascii="仿宋" w:hAnsi="仿宋" w:eastAsia="仿宋"/>
          <w:color w:val="auto"/>
          <w:u w:val="single"/>
        </w:rPr>
        <w:t>(项目名称: ) (项目编号: )</w:t>
      </w:r>
      <w:r>
        <w:rPr>
          <w:rFonts w:hint="eastAsia" w:ascii="仿宋" w:hAnsi="仿宋" w:eastAsia="仿宋"/>
          <w:color w:val="auto"/>
        </w:rPr>
        <w:t xml:space="preserve">采购活动提供本企业的产品。 </w:t>
      </w:r>
    </w:p>
    <w:p>
      <w:pPr>
        <w:pStyle w:val="41"/>
        <w:spacing w:line="460" w:lineRule="exact"/>
        <w:ind w:firstLine="480" w:firstLineChars="200"/>
        <w:rPr>
          <w:rFonts w:ascii="仿宋" w:hAnsi="仿宋" w:eastAsia="仿宋"/>
          <w:color w:val="auto"/>
        </w:rPr>
      </w:pPr>
      <w:r>
        <w:rPr>
          <w:rFonts w:hint="eastAsia" w:ascii="仿宋" w:hAnsi="仿宋" w:eastAsia="仿宋"/>
          <w:color w:val="auto"/>
        </w:rPr>
        <w:t xml:space="preserve">本企业对上述声明的真实性负责。如有虚假，将依法承担相应责任。 </w:t>
      </w:r>
    </w:p>
    <w:p>
      <w:pPr>
        <w:pStyle w:val="41"/>
        <w:spacing w:line="460" w:lineRule="exact"/>
        <w:ind w:firstLine="480" w:firstLineChars="200"/>
        <w:rPr>
          <w:rFonts w:ascii="仿宋" w:hAnsi="仿宋" w:eastAsia="仿宋"/>
          <w:color w:val="auto"/>
        </w:rPr>
      </w:pPr>
    </w:p>
    <w:p>
      <w:pPr>
        <w:pStyle w:val="41"/>
        <w:spacing w:line="460" w:lineRule="exact"/>
        <w:ind w:firstLine="480" w:firstLineChars="200"/>
        <w:rPr>
          <w:rFonts w:ascii="仿宋" w:hAnsi="仿宋" w:eastAsia="仿宋"/>
          <w:color w:val="auto"/>
        </w:rPr>
      </w:pPr>
    </w:p>
    <w:p>
      <w:pPr>
        <w:pStyle w:val="41"/>
        <w:spacing w:line="460" w:lineRule="exact"/>
        <w:rPr>
          <w:rFonts w:ascii="仿宋" w:hAnsi="仿宋" w:eastAsia="仿宋"/>
          <w:color w:val="auto"/>
        </w:rPr>
      </w:pPr>
      <w:r>
        <w:rPr>
          <w:rFonts w:hint="eastAsia" w:ascii="仿宋" w:hAnsi="仿宋" w:eastAsia="仿宋"/>
          <w:color w:val="auto"/>
        </w:rPr>
        <w:t xml:space="preserve">投标人名称(盖章) : </w:t>
      </w:r>
    </w:p>
    <w:p>
      <w:pPr>
        <w:pStyle w:val="41"/>
        <w:spacing w:line="460" w:lineRule="exact"/>
        <w:rPr>
          <w:rFonts w:ascii="仿宋" w:hAnsi="仿宋" w:eastAsia="仿宋"/>
          <w:color w:val="auto"/>
        </w:rPr>
      </w:pPr>
    </w:p>
    <w:p>
      <w:pPr>
        <w:pStyle w:val="41"/>
        <w:spacing w:line="460" w:lineRule="exact"/>
        <w:rPr>
          <w:rFonts w:ascii="仿宋" w:hAnsi="仿宋" w:eastAsia="仿宋"/>
          <w:color w:val="auto"/>
        </w:rPr>
      </w:pPr>
      <w:r>
        <w:rPr>
          <w:rFonts w:hint="eastAsia" w:ascii="仿宋" w:hAnsi="仿宋" w:eastAsia="仿宋"/>
          <w:color w:val="auto"/>
        </w:rPr>
        <w:t xml:space="preserve">日期: 年 月 日 </w:t>
      </w:r>
    </w:p>
    <w:p>
      <w:pPr>
        <w:pStyle w:val="41"/>
        <w:spacing w:line="460" w:lineRule="exact"/>
        <w:rPr>
          <w:rFonts w:ascii="仿宋" w:hAnsi="仿宋" w:eastAsia="仿宋"/>
          <w:color w:val="auto"/>
        </w:rPr>
      </w:pPr>
    </w:p>
    <w:p>
      <w:pPr>
        <w:snapToGrid w:val="0"/>
        <w:spacing w:beforeLines="50" w:after="50" w:line="460" w:lineRule="exact"/>
        <w:ind w:firstLine="480" w:firstLineChars="200"/>
        <w:jc w:val="left"/>
        <w:rPr>
          <w:rFonts w:ascii="仿宋" w:hAnsi="仿宋" w:eastAsia="仿宋" w:cs="宋体"/>
          <w:color w:val="auto"/>
          <w:sz w:val="24"/>
        </w:rPr>
      </w:pPr>
      <w:r>
        <w:rPr>
          <w:rFonts w:hint="eastAsia" w:ascii="仿宋" w:hAnsi="仿宋" w:eastAsia="仿宋" w:cs="宋体"/>
          <w:color w:val="auto"/>
          <w:sz w:val="24"/>
        </w:rPr>
        <w:t>监狱企业参加政府采购活动时，应当提供由省级以上监狱管理局、戒毒管理局(含新疆生产建设兵团)出具的属于监狱企业的证明文件。</w:t>
      </w:r>
    </w:p>
    <w:p>
      <w:pPr>
        <w:snapToGrid w:val="0"/>
        <w:spacing w:beforeLines="50" w:after="50" w:line="460" w:lineRule="exact"/>
        <w:ind w:firstLine="480" w:firstLineChars="200"/>
        <w:jc w:val="left"/>
        <w:rPr>
          <w:rFonts w:ascii="仿宋" w:hAnsi="仿宋" w:eastAsia="仿宋" w:cs="宋体"/>
          <w:color w:val="auto"/>
          <w:sz w:val="24"/>
        </w:rPr>
      </w:pPr>
      <w:r>
        <w:rPr>
          <w:rFonts w:hint="eastAsia" w:ascii="仿宋" w:hAnsi="仿宋" w:eastAsia="仿宋" w:cs="宋体"/>
          <w:color w:val="auto"/>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Lines="50" w:after="50" w:line="460" w:lineRule="exact"/>
        <w:ind w:firstLine="480" w:firstLineChars="200"/>
        <w:jc w:val="left"/>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pStyle w:val="41"/>
        <w:spacing w:line="460" w:lineRule="exact"/>
        <w:rPr>
          <w:rFonts w:ascii="仿宋" w:hAnsi="仿宋" w:eastAsia="仿宋"/>
          <w:color w:val="auto"/>
        </w:rPr>
      </w:pPr>
    </w:p>
    <w:p>
      <w:pPr>
        <w:snapToGrid w:val="0"/>
        <w:spacing w:before="50" w:after="50" w:line="360" w:lineRule="auto"/>
        <w:jc w:val="center"/>
        <w:rPr>
          <w:rFonts w:ascii="仿宋" w:hAnsi="仿宋" w:eastAsia="仿宋" w:cs="宋体"/>
          <w:b/>
          <w:color w:val="auto"/>
          <w:sz w:val="28"/>
          <w:szCs w:val="28"/>
        </w:rPr>
      </w:pPr>
      <w:r>
        <w:rPr>
          <w:rFonts w:hint="eastAsia" w:ascii="仿宋" w:hAnsi="仿宋" w:eastAsia="仿宋" w:cs="宋体"/>
          <w:b/>
          <w:color w:val="auto"/>
          <w:sz w:val="28"/>
          <w:szCs w:val="28"/>
        </w:rPr>
        <w:t>残疾人福利性单位声明函（如有）</w:t>
      </w:r>
    </w:p>
    <w:p>
      <w:pPr>
        <w:pStyle w:val="41"/>
        <w:spacing w:line="460" w:lineRule="exact"/>
        <w:jc w:val="center"/>
        <w:rPr>
          <w:rFonts w:ascii="仿宋" w:hAnsi="仿宋" w:eastAsia="仿宋"/>
          <w:color w:val="auto"/>
        </w:rPr>
      </w:pPr>
      <w:r>
        <w:rPr>
          <w:rFonts w:hint="eastAsia" w:ascii="仿宋" w:hAnsi="仿宋" w:eastAsia="仿宋"/>
          <w:color w:val="auto"/>
        </w:rPr>
        <w:t>【非残疾人福利性单位不用提供】</w:t>
      </w:r>
    </w:p>
    <w:p>
      <w:pPr>
        <w:pStyle w:val="41"/>
        <w:spacing w:line="460" w:lineRule="exact"/>
        <w:ind w:firstLine="480" w:firstLineChars="200"/>
        <w:rPr>
          <w:rFonts w:ascii="仿宋" w:hAnsi="仿宋" w:eastAsia="仿宋"/>
          <w:color w:val="auto"/>
        </w:rPr>
      </w:pPr>
      <w:r>
        <w:rPr>
          <w:rFonts w:hint="eastAsia" w:ascii="仿宋" w:hAnsi="仿宋" w:eastAsia="仿宋"/>
          <w:color w:val="auto"/>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olor w:val="auto"/>
          <w:u w:val="single"/>
        </w:rPr>
        <w:t xml:space="preserve"> (采购人名称)</w:t>
      </w:r>
      <w:r>
        <w:rPr>
          <w:rFonts w:hint="eastAsia" w:ascii="仿宋" w:hAnsi="仿宋" w:eastAsia="仿宋"/>
          <w:color w:val="auto"/>
        </w:rPr>
        <w:t>单位的</w:t>
      </w:r>
      <w:r>
        <w:rPr>
          <w:rFonts w:hint="eastAsia" w:ascii="仿宋" w:hAnsi="仿宋" w:eastAsia="仿宋"/>
          <w:color w:val="auto"/>
          <w:u w:val="single"/>
        </w:rPr>
        <w:t xml:space="preserve"> (项目名称)</w:t>
      </w:r>
      <w:r>
        <w:rPr>
          <w:rFonts w:hint="eastAsia" w:ascii="仿宋" w:hAnsi="仿宋" w:eastAsia="仿宋"/>
          <w:color w:val="auto"/>
        </w:rPr>
        <w:t xml:space="preserve">项目采购活动提供本单位制造的货物(由本单位承担工程/提供服务)，成者提供其他残疾人福利性单位制造的货物(不包括使用非残疾人福利性单位往册商标的货物)。 </w:t>
      </w:r>
    </w:p>
    <w:p>
      <w:pPr>
        <w:pStyle w:val="41"/>
        <w:spacing w:line="460" w:lineRule="exact"/>
        <w:ind w:firstLine="480" w:firstLineChars="200"/>
        <w:rPr>
          <w:rFonts w:ascii="仿宋" w:hAnsi="仿宋" w:eastAsia="仿宋"/>
          <w:color w:val="auto"/>
        </w:rPr>
      </w:pPr>
      <w:r>
        <w:rPr>
          <w:rFonts w:hint="eastAsia" w:ascii="仿宋" w:hAnsi="仿宋" w:eastAsia="仿宋"/>
          <w:color w:val="auto"/>
        </w:rPr>
        <w:t xml:space="preserve">本单位对上述声明的真实性负责，如有虚假，将依法承但相应责任。 </w:t>
      </w:r>
    </w:p>
    <w:p>
      <w:pPr>
        <w:pStyle w:val="41"/>
        <w:spacing w:line="460" w:lineRule="exact"/>
        <w:ind w:firstLine="480" w:firstLineChars="200"/>
        <w:rPr>
          <w:rFonts w:ascii="仿宋" w:hAnsi="仿宋" w:eastAsia="仿宋"/>
          <w:color w:val="auto"/>
        </w:rPr>
      </w:pPr>
    </w:p>
    <w:p>
      <w:pPr>
        <w:pStyle w:val="41"/>
        <w:spacing w:line="460" w:lineRule="exact"/>
        <w:rPr>
          <w:rFonts w:ascii="仿宋" w:hAnsi="仿宋" w:eastAsia="仿宋"/>
          <w:color w:val="auto"/>
        </w:rPr>
      </w:pPr>
      <w:r>
        <w:rPr>
          <w:rFonts w:hint="eastAsia" w:ascii="仿宋" w:hAnsi="仿宋" w:eastAsia="仿宋"/>
          <w:color w:val="auto"/>
        </w:rPr>
        <w:t xml:space="preserve">投标人名称(盖章)： </w:t>
      </w:r>
    </w:p>
    <w:p>
      <w:pPr>
        <w:pStyle w:val="41"/>
        <w:spacing w:line="460" w:lineRule="exact"/>
        <w:rPr>
          <w:rFonts w:ascii="仿宋" w:hAnsi="仿宋" w:eastAsia="仿宋"/>
          <w:color w:val="auto"/>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日期： 年 月 日</w:t>
      </w: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pStyle w:val="12"/>
        <w:rPr>
          <w:rFonts w:ascii="仿宋" w:hAnsi="仿宋" w:eastAsia="仿宋" w:cs="宋体"/>
          <w:color w:val="auto"/>
          <w:sz w:val="24"/>
        </w:rPr>
      </w:pPr>
    </w:p>
    <w:p>
      <w:pPr>
        <w:pStyle w:val="12"/>
        <w:rPr>
          <w:rFonts w:ascii="仿宋" w:hAnsi="仿宋" w:eastAsia="仿宋" w:cs="宋体"/>
          <w:color w:val="auto"/>
          <w:sz w:val="24"/>
        </w:rPr>
      </w:pPr>
    </w:p>
    <w:p>
      <w:pPr>
        <w:snapToGrid w:val="0"/>
        <w:spacing w:line="360" w:lineRule="auto"/>
        <w:ind w:right="560" w:firstLine="5040" w:firstLineChars="2100"/>
        <w:rPr>
          <w:rFonts w:ascii="仿宋" w:hAnsi="仿宋" w:eastAsia="仿宋" w:cs="宋体"/>
          <w:color w:val="auto"/>
          <w:sz w:val="24"/>
        </w:rPr>
      </w:pPr>
    </w:p>
    <w:p>
      <w:pPr>
        <w:widowControl/>
        <w:jc w:val="left"/>
        <w:rPr>
          <w:rFonts w:ascii="仿宋" w:hAnsi="仿宋" w:eastAsia="仿宋" w:cs="宋体"/>
          <w:color w:val="auto"/>
          <w:sz w:val="24"/>
        </w:rPr>
      </w:pPr>
    </w:p>
    <w:p>
      <w:pPr>
        <w:pStyle w:val="41"/>
        <w:spacing w:line="460" w:lineRule="exact"/>
        <w:jc w:val="center"/>
        <w:rPr>
          <w:rFonts w:ascii="仿宋" w:hAnsi="仿宋" w:eastAsia="仿宋"/>
          <w:b/>
          <w:bCs/>
          <w:color w:val="auto"/>
        </w:rPr>
      </w:pPr>
    </w:p>
    <w:p>
      <w:pPr>
        <w:pStyle w:val="41"/>
        <w:spacing w:line="460" w:lineRule="exact"/>
        <w:jc w:val="center"/>
        <w:rPr>
          <w:rFonts w:ascii="仿宋" w:hAnsi="仿宋" w:eastAsia="仿宋"/>
          <w:color w:val="auto"/>
        </w:rPr>
      </w:pPr>
      <w:r>
        <w:rPr>
          <w:rFonts w:hint="eastAsia" w:ascii="仿宋" w:hAnsi="仿宋" w:eastAsia="仿宋"/>
          <w:b/>
          <w:bCs/>
          <w:color w:val="auto"/>
        </w:rPr>
        <w:t>投标人自评分索引表</w:t>
      </w: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投标人全称（公章）：</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835"/>
        <w:gridCol w:w="132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评分项目</w:t>
            </w:r>
          </w:p>
        </w:tc>
        <w:tc>
          <w:tcPr>
            <w:tcW w:w="2835"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投标文件对应资料</w:t>
            </w:r>
          </w:p>
        </w:tc>
        <w:tc>
          <w:tcPr>
            <w:tcW w:w="1329"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自评分</w:t>
            </w:r>
          </w:p>
        </w:tc>
        <w:tc>
          <w:tcPr>
            <w:tcW w:w="2181"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对应第四章评分办法及评分标准（报价除外）</w:t>
            </w: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r>
              <w:rPr>
                <w:rFonts w:hint="eastAsia" w:ascii="仿宋" w:hAnsi="仿宋" w:eastAsia="仿宋" w:cs="宋体"/>
                <w:color w:val="auto"/>
                <w:sz w:val="24"/>
              </w:rPr>
              <w:t>……</w:t>
            </w: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Lines="50" w:after="50" w:line="460" w:lineRule="exact"/>
              <w:jc w:val="center"/>
              <w:rPr>
                <w:rFonts w:ascii="仿宋" w:hAnsi="仿宋" w:eastAsia="仿宋" w:cs="宋体"/>
                <w:color w:val="auto"/>
                <w:sz w:val="24"/>
              </w:rPr>
            </w:pPr>
          </w:p>
        </w:tc>
        <w:tc>
          <w:tcPr>
            <w:tcW w:w="2835" w:type="dxa"/>
            <w:vAlign w:val="center"/>
          </w:tcPr>
          <w:p>
            <w:pPr>
              <w:snapToGrid w:val="0"/>
              <w:spacing w:beforeLines="50" w:after="50" w:line="460" w:lineRule="exact"/>
              <w:jc w:val="center"/>
              <w:rPr>
                <w:rFonts w:ascii="仿宋" w:hAnsi="仿宋" w:eastAsia="仿宋" w:cs="宋体"/>
                <w:color w:val="auto"/>
                <w:sz w:val="24"/>
              </w:rPr>
            </w:pPr>
          </w:p>
        </w:tc>
        <w:tc>
          <w:tcPr>
            <w:tcW w:w="1329" w:type="dxa"/>
            <w:vAlign w:val="center"/>
          </w:tcPr>
          <w:p>
            <w:pPr>
              <w:snapToGrid w:val="0"/>
              <w:spacing w:beforeLines="50" w:after="50" w:line="460" w:lineRule="exact"/>
              <w:jc w:val="center"/>
              <w:rPr>
                <w:rFonts w:ascii="仿宋" w:hAnsi="仿宋" w:eastAsia="仿宋" w:cs="宋体"/>
                <w:color w:val="auto"/>
                <w:sz w:val="24"/>
              </w:rPr>
            </w:pPr>
          </w:p>
        </w:tc>
        <w:tc>
          <w:tcPr>
            <w:tcW w:w="2181" w:type="dxa"/>
            <w:vAlign w:val="center"/>
          </w:tcPr>
          <w:p>
            <w:pPr>
              <w:snapToGrid w:val="0"/>
              <w:spacing w:beforeLines="50" w:after="50" w:line="460" w:lineRule="exact"/>
              <w:jc w:val="center"/>
              <w:rPr>
                <w:rFonts w:ascii="仿宋" w:hAnsi="仿宋" w:eastAsia="仿宋" w:cs="宋体"/>
                <w:color w:val="auto"/>
                <w:sz w:val="24"/>
              </w:rPr>
            </w:pPr>
          </w:p>
        </w:tc>
      </w:tr>
    </w:tbl>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法定代表人或其授权代理人签字或盖章：</w:t>
      </w: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color w:val="auto"/>
        </w:rPr>
      </w:pPr>
      <w:r>
        <w:rPr>
          <w:rFonts w:hint="eastAsia" w:ascii="仿宋" w:hAnsi="仿宋" w:eastAsia="仿宋" w:cs="宋体"/>
          <w:color w:val="auto"/>
          <w:sz w:val="24"/>
        </w:rPr>
        <w:t>日期： 年 月 日</w:t>
      </w:r>
    </w:p>
    <w:p>
      <w:pPr>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pStyle w:val="50"/>
        <w:ind w:firstLine="420"/>
        <w:rPr>
          <w:color w:val="auto"/>
        </w:rPr>
      </w:pPr>
    </w:p>
    <w:p>
      <w:pPr>
        <w:snapToGrid w:val="0"/>
        <w:spacing w:before="50" w:afterLines="50"/>
        <w:rPr>
          <w:rFonts w:ascii="仿宋" w:hAnsi="仿宋" w:eastAsia="仿宋" w:cs="宋体"/>
          <w:b/>
          <w:color w:val="auto"/>
          <w:sz w:val="24"/>
        </w:rPr>
      </w:pPr>
    </w:p>
    <w:p>
      <w:pPr>
        <w:spacing w:line="360" w:lineRule="auto"/>
        <w:jc w:val="center"/>
        <w:rPr>
          <w:rFonts w:ascii="仿宋" w:hAnsi="仿宋" w:eastAsia="仿宋" w:cs="宋体"/>
          <w:color w:val="auto"/>
          <w:sz w:val="24"/>
        </w:rPr>
      </w:pPr>
      <w:r>
        <w:rPr>
          <w:rFonts w:hint="eastAsia" w:ascii="仿宋" w:hAnsi="仿宋" w:eastAsia="仿宋" w:cs="宋体"/>
          <w:b/>
          <w:color w:val="auto"/>
          <w:sz w:val="24"/>
        </w:rPr>
        <w:t>项目实施人员配备表</w:t>
      </w:r>
    </w:p>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（项目负责人）</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供应商全称（加盖公章）：             </w:t>
      </w:r>
    </w:p>
    <w:p>
      <w:pPr>
        <w:spacing w:line="360" w:lineRule="auto"/>
        <w:rPr>
          <w:rFonts w:ascii="仿宋" w:hAnsi="仿宋" w:eastAsia="仿宋" w:cs="宋体"/>
          <w:b/>
          <w:color w:val="auto"/>
          <w:sz w:val="24"/>
        </w:rPr>
      </w:pPr>
      <w:r>
        <w:rPr>
          <w:rFonts w:hint="eastAsia" w:ascii="仿宋" w:hAnsi="仿宋" w:eastAsia="仿宋" w:cs="宋体"/>
          <w:color w:val="auto"/>
          <w:sz w:val="24"/>
        </w:rPr>
        <w:t>项目编号：</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93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姓名</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480" w:firstLineChars="200"/>
              <w:rPr>
                <w:rFonts w:ascii="仿宋" w:hAnsi="仿宋" w:eastAsia="仿宋" w:cs="宋体"/>
                <w:color w:val="auto"/>
                <w:sz w:val="24"/>
                <w:lang w:val="zh-CN"/>
              </w:rPr>
            </w:pPr>
            <w:r>
              <w:rPr>
                <w:rFonts w:hint="eastAsia" w:ascii="仿宋" w:hAnsi="仿宋" w:eastAsia="仿宋" w:cs="宋体"/>
                <w:color w:val="auto"/>
                <w:sz w:val="24"/>
                <w:lang w:val="zh-CN"/>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性别</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年龄</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职称</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毕业时间</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所学专业</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学历</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资质证书编号</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其他资质情况</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r>
              <w:rPr>
                <w:rFonts w:hint="eastAsia" w:ascii="仿宋" w:hAnsi="仿宋" w:eastAsia="仿宋" w:cs="宋体"/>
                <w:color w:val="auto"/>
                <w:sz w:val="24"/>
                <w:lang w:val="zh-CN"/>
              </w:rPr>
              <w:t>联系电话</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仿宋" w:hAnsi="仿宋" w:eastAsia="仿宋" w:cs="宋体"/>
                <w:color w:val="auto"/>
                <w:sz w:val="24"/>
                <w:lang w:val="zh-CN"/>
              </w:rPr>
            </w:pPr>
          </w:p>
        </w:tc>
      </w:tr>
    </w:tbl>
    <w:p>
      <w:pPr>
        <w:spacing w:line="360" w:lineRule="auto"/>
        <w:jc w:val="center"/>
        <w:rPr>
          <w:rFonts w:ascii="仿宋" w:hAnsi="仿宋" w:eastAsia="仿宋" w:cs="宋体"/>
          <w:b/>
          <w:bCs/>
          <w:color w:val="auto"/>
          <w:sz w:val="24"/>
        </w:rPr>
      </w:pPr>
    </w:p>
    <w:p>
      <w:pPr>
        <w:spacing w:line="360" w:lineRule="auto"/>
        <w:ind w:firstLine="480" w:firstLineChars="200"/>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注：1、</w:t>
      </w:r>
      <w:r>
        <w:rPr>
          <w:rFonts w:hint="eastAsia" w:ascii="仿宋" w:hAnsi="仿宋" w:eastAsia="仿宋" w:cs="宋体"/>
          <w:color w:val="auto"/>
          <w:sz w:val="24"/>
        </w:rPr>
        <w:t>此表仅提供了表格形式，供应商应根据需要准备足够数量的表格来填写；</w:t>
      </w:r>
    </w:p>
    <w:p>
      <w:pPr>
        <w:numPr>
          <w:ilvl w:val="0"/>
          <w:numId w:val="3"/>
        </w:numPr>
        <w:spacing w:line="360" w:lineRule="auto"/>
        <w:ind w:firstLine="480" w:firstLineChars="200"/>
        <w:rPr>
          <w:rFonts w:hint="eastAsia" w:ascii="仿宋" w:hAnsi="仿宋" w:eastAsia="仿宋" w:cs="宋体"/>
          <w:bCs/>
          <w:color w:val="auto"/>
          <w:sz w:val="24"/>
        </w:rPr>
      </w:pPr>
      <w:r>
        <w:rPr>
          <w:rFonts w:hint="eastAsia" w:ascii="仿宋" w:hAnsi="仿宋" w:eastAsia="仿宋" w:cs="宋体"/>
          <w:bCs/>
          <w:color w:val="auto"/>
          <w:sz w:val="24"/>
        </w:rPr>
        <w:t>请附</w:t>
      </w:r>
      <w:r>
        <w:rPr>
          <w:rFonts w:hint="eastAsia" w:ascii="仿宋" w:hAnsi="仿宋" w:eastAsia="仿宋" w:cs="宋体"/>
          <w:color w:val="auto"/>
          <w:sz w:val="24"/>
          <w:lang w:val="zh-CN"/>
        </w:rPr>
        <w:t>随表</w:t>
      </w:r>
      <w:r>
        <w:rPr>
          <w:rFonts w:hint="eastAsia" w:ascii="仿宋" w:hAnsi="仿宋" w:eastAsia="仿宋" w:cs="宋体"/>
          <w:bCs/>
          <w:color w:val="auto"/>
          <w:sz w:val="24"/>
        </w:rPr>
        <w:t>相应证书、身份证等。</w:t>
      </w:r>
    </w:p>
    <w:p>
      <w:pPr>
        <w:numPr>
          <w:ilvl w:val="0"/>
          <w:numId w:val="3"/>
        </w:num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bCs/>
          <w:color w:val="auto"/>
          <w:sz w:val="24"/>
        </w:rPr>
        <w:t>项目负责人</w:t>
      </w:r>
      <w:r>
        <w:rPr>
          <w:rFonts w:hint="eastAsia" w:ascii="仿宋" w:hAnsi="仿宋" w:eastAsia="仿宋" w:cs="宋体"/>
          <w:color w:val="auto"/>
          <w:kern w:val="0"/>
          <w:sz w:val="24"/>
        </w:rPr>
        <w:t>参加供应商社会保险的证明</w:t>
      </w:r>
      <w:r>
        <w:rPr>
          <w:rFonts w:hint="eastAsia" w:ascii="仿宋" w:hAnsi="仿宋" w:eastAsia="仿宋" w:cs="宋体"/>
          <w:color w:val="auto"/>
          <w:kern w:val="0"/>
          <w:sz w:val="24"/>
          <w:lang w:val="en-US" w:eastAsia="zh-CN"/>
        </w:rPr>
        <w:t>(时间至少为2021年8月起）</w:t>
      </w:r>
      <w:r>
        <w:rPr>
          <w:rFonts w:hint="eastAsia" w:ascii="仿宋" w:hAnsi="仿宋" w:eastAsia="仿宋" w:cs="宋体"/>
          <w:color w:val="auto"/>
          <w:kern w:val="0"/>
          <w:sz w:val="24"/>
        </w:rPr>
        <w:t>。</w:t>
      </w:r>
    </w:p>
    <w:p>
      <w:pPr>
        <w:pStyle w:val="8"/>
        <w:rPr>
          <w:rFonts w:hint="eastAsia" w:eastAsia="仿宋"/>
          <w:color w:val="auto"/>
          <w:lang w:val="en-US" w:eastAsia="zh-CN"/>
        </w:rPr>
      </w:pPr>
      <w:r>
        <w:rPr>
          <w:rFonts w:hint="eastAsia" w:ascii="仿宋" w:hAnsi="仿宋" w:eastAsia="仿宋" w:cs="宋体"/>
          <w:color w:val="auto"/>
          <w:kern w:val="0"/>
          <w:sz w:val="24"/>
          <w:lang w:val="en-US" w:eastAsia="zh-CN"/>
        </w:rPr>
        <w:t>4、所有材料提供原件的扫描件，加盖供应商公章。</w:t>
      </w:r>
    </w:p>
    <w:p>
      <w:pPr>
        <w:snapToGrid w:val="0"/>
        <w:spacing w:beforeLines="50" w:after="50"/>
        <w:rPr>
          <w:rFonts w:ascii="仿宋" w:hAnsi="仿宋" w:eastAsia="仿宋" w:cs="宋体"/>
          <w:b/>
          <w:color w:val="auto"/>
          <w:szCs w:val="28"/>
        </w:rPr>
      </w:pPr>
    </w:p>
    <w:p>
      <w:pPr>
        <w:snapToGrid w:val="0"/>
        <w:spacing w:beforeLines="50" w:after="50"/>
        <w:rPr>
          <w:rFonts w:ascii="仿宋" w:hAnsi="仿宋" w:eastAsia="仿宋" w:cs="宋体"/>
          <w:b/>
          <w:color w:val="auto"/>
          <w:szCs w:val="28"/>
        </w:rPr>
      </w:pPr>
    </w:p>
    <w:p>
      <w:pPr>
        <w:snapToGrid w:val="0"/>
        <w:spacing w:beforeLines="50" w:after="50"/>
        <w:rPr>
          <w:rFonts w:ascii="仿宋" w:hAnsi="仿宋" w:eastAsia="仿宋" w:cs="宋体"/>
          <w:b/>
          <w:color w:val="auto"/>
          <w:szCs w:val="28"/>
        </w:rPr>
      </w:pPr>
    </w:p>
    <w:p>
      <w:pPr>
        <w:pStyle w:val="38"/>
        <w:ind w:firstLine="241"/>
        <w:rPr>
          <w:color w:val="auto"/>
        </w:rPr>
      </w:pPr>
    </w:p>
    <w:p>
      <w:pPr>
        <w:snapToGrid w:val="0"/>
        <w:spacing w:beforeLines="50" w:after="50"/>
        <w:rPr>
          <w:rFonts w:ascii="仿宋" w:hAnsi="仿宋" w:eastAsia="仿宋" w:cs="宋体"/>
          <w:b/>
          <w:color w:val="auto"/>
          <w:szCs w:val="28"/>
        </w:rPr>
      </w:pPr>
    </w:p>
    <w:p>
      <w:pPr>
        <w:snapToGrid w:val="0"/>
        <w:spacing w:beforeLines="50" w:after="50"/>
        <w:rPr>
          <w:rFonts w:ascii="仿宋" w:hAnsi="仿宋" w:eastAsia="仿宋" w:cs="宋体"/>
          <w:b/>
          <w:color w:val="auto"/>
          <w:szCs w:val="28"/>
        </w:rPr>
      </w:pPr>
    </w:p>
    <w:p>
      <w:pPr>
        <w:spacing w:line="360" w:lineRule="auto"/>
        <w:jc w:val="center"/>
        <w:rPr>
          <w:rFonts w:ascii="仿宋" w:hAnsi="仿宋" w:eastAsia="仿宋" w:cs="宋体"/>
          <w:color w:val="auto"/>
          <w:sz w:val="24"/>
        </w:rPr>
      </w:pPr>
      <w:r>
        <w:rPr>
          <w:rFonts w:hint="eastAsia" w:ascii="仿宋" w:hAnsi="仿宋" w:eastAsia="仿宋" w:cs="宋体"/>
          <w:b/>
          <w:color w:val="auto"/>
          <w:sz w:val="24"/>
        </w:rPr>
        <w:t>项目实施人员配备表</w:t>
      </w:r>
    </w:p>
    <w:p>
      <w:pPr>
        <w:spacing w:line="360" w:lineRule="auto"/>
        <w:jc w:val="center"/>
        <w:rPr>
          <w:rFonts w:ascii="仿宋" w:hAnsi="仿宋" w:eastAsia="仿宋" w:cs="宋体"/>
          <w:b w:val="0"/>
          <w:bCs w:val="0"/>
          <w:color w:val="auto"/>
          <w:sz w:val="24"/>
        </w:rPr>
      </w:pPr>
      <w:r>
        <w:rPr>
          <w:rFonts w:hint="eastAsia" w:ascii="仿宋" w:hAnsi="仿宋" w:eastAsia="仿宋" w:cs="宋体"/>
          <w:b w:val="0"/>
          <w:bCs w:val="0"/>
          <w:color w:val="auto"/>
          <w:sz w:val="24"/>
        </w:rPr>
        <w:t>（项目团队，除项目负责人以外的配备人员）</w:t>
      </w:r>
    </w:p>
    <w:p>
      <w:pPr>
        <w:spacing w:line="360" w:lineRule="auto"/>
        <w:rPr>
          <w:rFonts w:ascii="仿宋" w:hAnsi="仿宋" w:eastAsia="仿宋" w:cs="宋体"/>
          <w:b/>
          <w:color w:val="auto"/>
          <w:sz w:val="24"/>
        </w:rPr>
      </w:pPr>
      <w:r>
        <w:rPr>
          <w:rFonts w:hint="eastAsia" w:ascii="仿宋" w:hAnsi="仿宋" w:eastAsia="仿宋" w:cs="宋体"/>
          <w:color w:val="auto"/>
          <w:sz w:val="24"/>
        </w:rPr>
        <w:t>供应商全称（加盖公章）：                       项目编号：</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53"/>
        <w:gridCol w:w="447"/>
        <w:gridCol w:w="635"/>
        <w:gridCol w:w="911"/>
        <w:gridCol w:w="911"/>
        <w:gridCol w:w="1025"/>
        <w:gridCol w:w="1366"/>
        <w:gridCol w:w="10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455"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序号</w:t>
            </w:r>
          </w:p>
        </w:tc>
        <w:tc>
          <w:tcPr>
            <w:tcW w:w="853"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姓名</w:t>
            </w:r>
          </w:p>
        </w:tc>
        <w:tc>
          <w:tcPr>
            <w:tcW w:w="447"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性别</w:t>
            </w:r>
          </w:p>
        </w:tc>
        <w:tc>
          <w:tcPr>
            <w:tcW w:w="635"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年龄</w:t>
            </w:r>
          </w:p>
        </w:tc>
        <w:tc>
          <w:tcPr>
            <w:tcW w:w="911"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学历</w:t>
            </w:r>
          </w:p>
        </w:tc>
        <w:tc>
          <w:tcPr>
            <w:tcW w:w="911"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专业</w:t>
            </w:r>
          </w:p>
        </w:tc>
        <w:tc>
          <w:tcPr>
            <w:tcW w:w="1025"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职称</w:t>
            </w:r>
          </w:p>
        </w:tc>
        <w:tc>
          <w:tcPr>
            <w:tcW w:w="1366"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本项目中的职责</w:t>
            </w:r>
          </w:p>
        </w:tc>
        <w:tc>
          <w:tcPr>
            <w:tcW w:w="1025" w:type="dxa"/>
            <w:noWrap/>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w:t>
            </w:r>
          </w:p>
          <w:p>
            <w:pPr>
              <w:spacing w:line="360" w:lineRule="auto"/>
              <w:jc w:val="center"/>
              <w:rPr>
                <w:rFonts w:ascii="仿宋" w:hAnsi="仿宋" w:eastAsia="仿宋" w:cs="宋体"/>
                <w:color w:val="auto"/>
                <w:sz w:val="24"/>
              </w:rPr>
            </w:pPr>
            <w:r>
              <w:rPr>
                <w:rFonts w:hint="eastAsia" w:ascii="仿宋" w:hAnsi="仿宋" w:eastAsia="仿宋" w:cs="宋体"/>
                <w:color w:val="auto"/>
                <w:sz w:val="24"/>
              </w:rPr>
              <w:t>经历</w:t>
            </w:r>
          </w:p>
        </w:tc>
        <w:tc>
          <w:tcPr>
            <w:tcW w:w="1740" w:type="dxa"/>
            <w:noWrap/>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参与本项目</w:t>
            </w:r>
          </w:p>
          <w:p>
            <w:pPr>
              <w:spacing w:line="360" w:lineRule="auto"/>
              <w:jc w:val="center"/>
              <w:rPr>
                <w:rFonts w:ascii="仿宋" w:hAnsi="仿宋" w:eastAsia="仿宋" w:cs="宋体"/>
                <w:color w:val="auto"/>
                <w:sz w:val="24"/>
              </w:rPr>
            </w:pPr>
            <w:r>
              <w:rPr>
                <w:rFonts w:hint="eastAsia" w:ascii="仿宋" w:hAnsi="仿宋" w:eastAsia="仿宋" w:cs="宋体"/>
                <w:color w:val="auto"/>
                <w:sz w:val="24"/>
              </w:rPr>
              <w:t>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hint="eastAsia" w:ascii="仿宋" w:hAnsi="仿宋" w:eastAsia="仿宋" w:cs="宋体"/>
                <w:color w:val="auto"/>
                <w:szCs w:val="28"/>
                <w:lang w:eastAsia="zh-CN"/>
              </w:rPr>
            </w:pPr>
            <w:r>
              <w:rPr>
                <w:rFonts w:hint="eastAsia" w:ascii="仿宋" w:hAnsi="仿宋" w:eastAsia="仿宋" w:cs="宋体"/>
                <w:color w:val="auto"/>
                <w:szCs w:val="28"/>
                <w:lang w:eastAsia="zh-CN"/>
              </w:rPr>
              <w:t>安全员</w:t>
            </w: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 w:type="dxa"/>
            <w:noWrap/>
            <w:vAlign w:val="center"/>
          </w:tcPr>
          <w:p>
            <w:pPr>
              <w:spacing w:line="360" w:lineRule="auto"/>
              <w:jc w:val="center"/>
              <w:rPr>
                <w:rFonts w:ascii="仿宋" w:hAnsi="仿宋" w:eastAsia="仿宋" w:cs="宋体"/>
                <w:color w:val="auto"/>
                <w:szCs w:val="28"/>
              </w:rPr>
            </w:pPr>
          </w:p>
        </w:tc>
        <w:tc>
          <w:tcPr>
            <w:tcW w:w="853" w:type="dxa"/>
            <w:noWrap/>
            <w:vAlign w:val="center"/>
          </w:tcPr>
          <w:p>
            <w:pPr>
              <w:spacing w:line="360" w:lineRule="auto"/>
              <w:jc w:val="center"/>
              <w:rPr>
                <w:rFonts w:ascii="仿宋" w:hAnsi="仿宋" w:eastAsia="仿宋" w:cs="宋体"/>
                <w:color w:val="auto"/>
                <w:szCs w:val="28"/>
              </w:rPr>
            </w:pPr>
          </w:p>
        </w:tc>
        <w:tc>
          <w:tcPr>
            <w:tcW w:w="447" w:type="dxa"/>
            <w:noWrap/>
            <w:vAlign w:val="center"/>
          </w:tcPr>
          <w:p>
            <w:pPr>
              <w:spacing w:line="360" w:lineRule="auto"/>
              <w:jc w:val="center"/>
              <w:rPr>
                <w:rFonts w:ascii="仿宋" w:hAnsi="仿宋" w:eastAsia="仿宋" w:cs="宋体"/>
                <w:color w:val="auto"/>
                <w:szCs w:val="28"/>
              </w:rPr>
            </w:pPr>
          </w:p>
        </w:tc>
        <w:tc>
          <w:tcPr>
            <w:tcW w:w="635"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911"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366" w:type="dxa"/>
            <w:noWrap/>
            <w:vAlign w:val="center"/>
          </w:tcPr>
          <w:p>
            <w:pPr>
              <w:spacing w:line="360" w:lineRule="auto"/>
              <w:jc w:val="center"/>
              <w:rPr>
                <w:rFonts w:ascii="仿宋" w:hAnsi="仿宋" w:eastAsia="仿宋" w:cs="宋体"/>
                <w:color w:val="auto"/>
                <w:szCs w:val="28"/>
              </w:rPr>
            </w:pPr>
          </w:p>
        </w:tc>
        <w:tc>
          <w:tcPr>
            <w:tcW w:w="1025" w:type="dxa"/>
            <w:noWrap/>
            <w:vAlign w:val="center"/>
          </w:tcPr>
          <w:p>
            <w:pPr>
              <w:spacing w:line="360" w:lineRule="auto"/>
              <w:jc w:val="center"/>
              <w:rPr>
                <w:rFonts w:ascii="仿宋" w:hAnsi="仿宋" w:eastAsia="仿宋" w:cs="宋体"/>
                <w:color w:val="auto"/>
                <w:szCs w:val="28"/>
              </w:rPr>
            </w:pPr>
          </w:p>
        </w:tc>
        <w:tc>
          <w:tcPr>
            <w:tcW w:w="1740" w:type="dxa"/>
            <w:noWrap/>
            <w:vAlign w:val="center"/>
          </w:tcPr>
          <w:p>
            <w:pPr>
              <w:spacing w:line="360" w:lineRule="auto"/>
              <w:jc w:val="center"/>
              <w:rPr>
                <w:rFonts w:ascii="仿宋" w:hAnsi="仿宋" w:eastAsia="仿宋" w:cs="宋体"/>
                <w:color w:val="auto"/>
                <w:szCs w:val="28"/>
              </w:rPr>
            </w:pPr>
          </w:p>
        </w:tc>
      </w:tr>
    </w:tbl>
    <w:p>
      <w:pPr>
        <w:tabs>
          <w:tab w:val="left" w:pos="3654"/>
        </w:tabs>
        <w:rPr>
          <w:rFonts w:hint="eastAsia" w:ascii="仿宋" w:hAnsi="仿宋" w:eastAsia="仿宋" w:cs="宋体"/>
          <w:color w:val="auto"/>
          <w:sz w:val="24"/>
        </w:rPr>
      </w:pPr>
    </w:p>
    <w:p>
      <w:pPr>
        <w:tabs>
          <w:tab w:val="left" w:pos="3654"/>
        </w:tabs>
        <w:rPr>
          <w:rFonts w:ascii="仿宋" w:hAnsi="仿宋" w:eastAsia="仿宋" w:cs="宋体"/>
          <w:color w:val="auto"/>
          <w:sz w:val="24"/>
        </w:rPr>
      </w:pPr>
      <w:r>
        <w:rPr>
          <w:rFonts w:hint="eastAsia" w:ascii="仿宋" w:hAnsi="仿宋" w:eastAsia="仿宋" w:cs="宋体"/>
          <w:color w:val="auto"/>
          <w:sz w:val="24"/>
        </w:rPr>
        <w:t>法定代表人或授权代理人签名或盖章：</w:t>
      </w:r>
    </w:p>
    <w:p>
      <w:pPr>
        <w:tabs>
          <w:tab w:val="left" w:pos="3654"/>
        </w:tabs>
        <w:rPr>
          <w:rFonts w:ascii="仿宋" w:hAnsi="仿宋" w:eastAsia="仿宋" w:cs="宋体"/>
          <w:color w:val="auto"/>
          <w:sz w:val="24"/>
        </w:rPr>
      </w:pPr>
    </w:p>
    <w:p>
      <w:pPr>
        <w:tabs>
          <w:tab w:val="left" w:pos="3654"/>
        </w:tabs>
        <w:rPr>
          <w:rFonts w:hint="eastAsia" w:ascii="仿宋" w:hAnsi="仿宋" w:eastAsia="仿宋" w:cs="宋体"/>
          <w:color w:val="auto"/>
          <w:sz w:val="24"/>
        </w:rPr>
      </w:pPr>
      <w:r>
        <w:rPr>
          <w:rFonts w:hint="eastAsia" w:ascii="仿宋" w:hAnsi="仿宋" w:eastAsia="仿宋" w:cs="宋体"/>
          <w:color w:val="auto"/>
          <w:sz w:val="24"/>
        </w:rPr>
        <w:t>日期：    年  月  日</w:t>
      </w:r>
    </w:p>
    <w:p>
      <w:pPr>
        <w:pStyle w:val="58"/>
        <w:rPr>
          <w:color w:val="auto"/>
        </w:rPr>
      </w:pPr>
    </w:p>
    <w:p>
      <w:pPr>
        <w:spacing w:line="360" w:lineRule="auto"/>
        <w:ind w:left="480" w:hanging="480" w:hangingChars="200"/>
        <w:rPr>
          <w:rFonts w:hint="eastAsia" w:ascii="仿宋" w:hAnsi="仿宋" w:eastAsia="仿宋" w:cs="宋体"/>
          <w:bCs/>
          <w:color w:val="auto"/>
          <w:sz w:val="24"/>
        </w:rPr>
      </w:pPr>
      <w:r>
        <w:rPr>
          <w:rFonts w:hint="eastAsia" w:ascii="仿宋" w:hAnsi="仿宋" w:eastAsia="仿宋" w:cs="宋体"/>
          <w:bCs/>
          <w:color w:val="auto"/>
          <w:sz w:val="24"/>
        </w:rPr>
        <w:t>注：1、</w:t>
      </w:r>
      <w:r>
        <w:rPr>
          <w:rFonts w:hint="eastAsia" w:ascii="仿宋" w:hAnsi="仿宋" w:eastAsia="仿宋" w:cs="宋体"/>
          <w:color w:val="auto"/>
          <w:sz w:val="24"/>
        </w:rPr>
        <w:t>此表仅提供了表格形式，供应商应根据需要准备足够数量的表格来填写；</w:t>
      </w:r>
      <w:r>
        <w:rPr>
          <w:rFonts w:hint="eastAsia" w:ascii="仿宋" w:hAnsi="仿宋" w:eastAsia="仿宋" w:cs="宋体"/>
          <w:bCs/>
          <w:color w:val="auto"/>
          <w:sz w:val="24"/>
        </w:rPr>
        <w:t>2、请附证书、身份证</w:t>
      </w:r>
      <w:r>
        <w:rPr>
          <w:rFonts w:hint="eastAsia" w:ascii="仿宋" w:hAnsi="仿宋" w:eastAsia="仿宋" w:cs="宋体"/>
          <w:bCs/>
          <w:color w:val="auto"/>
          <w:sz w:val="24"/>
          <w:lang w:eastAsia="zh-CN"/>
        </w:rPr>
        <w:t>等</w:t>
      </w:r>
      <w:r>
        <w:rPr>
          <w:rFonts w:hint="eastAsia" w:ascii="仿宋" w:hAnsi="仿宋" w:eastAsia="仿宋" w:cs="宋体"/>
          <w:bCs/>
          <w:color w:val="auto"/>
          <w:sz w:val="24"/>
        </w:rPr>
        <w:t>。</w:t>
      </w:r>
    </w:p>
    <w:p>
      <w:pPr>
        <w:numPr>
          <w:ilvl w:val="0"/>
          <w:numId w:val="0"/>
        </w:num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bCs/>
          <w:color w:val="auto"/>
          <w:sz w:val="24"/>
          <w:lang w:val="en-US" w:eastAsia="zh-CN"/>
        </w:rPr>
        <w:t>3、</w:t>
      </w:r>
      <w:r>
        <w:rPr>
          <w:rFonts w:hint="eastAsia" w:ascii="仿宋" w:hAnsi="仿宋" w:eastAsia="仿宋" w:cs="宋体"/>
          <w:bCs/>
          <w:color w:val="auto"/>
          <w:sz w:val="24"/>
        </w:rPr>
        <w:t>项目团队人员</w:t>
      </w:r>
      <w:r>
        <w:rPr>
          <w:rFonts w:hint="eastAsia" w:ascii="仿宋" w:hAnsi="仿宋" w:eastAsia="仿宋" w:cs="宋体"/>
          <w:color w:val="auto"/>
          <w:kern w:val="0"/>
          <w:sz w:val="24"/>
        </w:rPr>
        <w:t>参加供应商社会保险的证明</w:t>
      </w:r>
      <w:r>
        <w:rPr>
          <w:rFonts w:hint="eastAsia" w:ascii="仿宋" w:hAnsi="仿宋" w:eastAsia="仿宋" w:cs="宋体"/>
          <w:color w:val="auto"/>
          <w:kern w:val="0"/>
          <w:sz w:val="24"/>
          <w:lang w:val="en-US" w:eastAsia="zh-CN"/>
        </w:rPr>
        <w:t>(时间至少为2021年8月起）</w:t>
      </w:r>
      <w:r>
        <w:rPr>
          <w:rFonts w:hint="eastAsia" w:ascii="仿宋" w:hAnsi="仿宋" w:eastAsia="仿宋" w:cs="宋体"/>
          <w:color w:val="auto"/>
          <w:kern w:val="0"/>
          <w:sz w:val="24"/>
        </w:rPr>
        <w:t>。</w:t>
      </w:r>
    </w:p>
    <w:p>
      <w:pPr>
        <w:pStyle w:val="8"/>
        <w:rPr>
          <w:rFonts w:hint="eastAsia" w:eastAsia="仿宋"/>
          <w:color w:val="auto"/>
          <w:lang w:val="en-US" w:eastAsia="zh-CN"/>
        </w:rPr>
      </w:pPr>
      <w:r>
        <w:rPr>
          <w:rFonts w:hint="eastAsia" w:ascii="仿宋" w:hAnsi="仿宋" w:eastAsia="仿宋" w:cs="宋体"/>
          <w:color w:val="auto"/>
          <w:kern w:val="0"/>
          <w:sz w:val="24"/>
          <w:lang w:val="en-US" w:eastAsia="zh-CN"/>
        </w:rPr>
        <w:t>4、所有材料提供原件的扫描件，加盖供应商公章。</w:t>
      </w:r>
    </w:p>
    <w:p>
      <w:pPr>
        <w:pStyle w:val="8"/>
        <w:numPr>
          <w:ilvl w:val="0"/>
          <w:numId w:val="0"/>
        </w:numPr>
        <w:ind w:leftChars="200"/>
        <w:rPr>
          <w:rFonts w:hint="eastAsia"/>
          <w:color w:val="auto"/>
        </w:rPr>
      </w:pPr>
    </w:p>
    <w:p>
      <w:pPr>
        <w:pStyle w:val="58"/>
        <w:widowControl w:val="0"/>
        <w:numPr>
          <w:ilvl w:val="0"/>
          <w:numId w:val="0"/>
        </w:numPr>
        <w:adjustRightInd w:val="0"/>
        <w:spacing w:line="420" w:lineRule="atLeast"/>
        <w:jc w:val="left"/>
        <w:textAlignment w:val="baseline"/>
        <w:rPr>
          <w:color w:val="auto"/>
        </w:rPr>
      </w:pPr>
    </w:p>
    <w:p>
      <w:pPr>
        <w:pStyle w:val="2"/>
        <w:rPr>
          <w:color w:val="auto"/>
        </w:rPr>
      </w:pPr>
    </w:p>
    <w:p>
      <w:pPr>
        <w:pStyle w:val="3"/>
        <w:rPr>
          <w:color w:val="auto"/>
        </w:rPr>
      </w:pPr>
    </w:p>
    <w:p>
      <w:pPr>
        <w:rPr>
          <w:color w:val="auto"/>
        </w:rPr>
      </w:pPr>
    </w:p>
    <w:p>
      <w:pPr>
        <w:pStyle w:val="58"/>
        <w:rPr>
          <w:color w:val="auto"/>
        </w:rPr>
      </w:pPr>
    </w:p>
    <w:p>
      <w:pPr>
        <w:pStyle w:val="58"/>
        <w:rPr>
          <w:color w:val="auto"/>
        </w:rPr>
      </w:pPr>
    </w:p>
    <w:p>
      <w:pPr>
        <w:pStyle w:val="2"/>
        <w:rPr>
          <w:color w:val="auto"/>
        </w:rPr>
      </w:pPr>
    </w:p>
    <w:p>
      <w:pPr>
        <w:snapToGrid w:val="0"/>
        <w:spacing w:beforeLines="50" w:after="50"/>
        <w:jc w:val="center"/>
        <w:rPr>
          <w:rFonts w:ascii="仿宋" w:hAnsi="仿宋" w:eastAsia="仿宋" w:cs="宋体"/>
          <w:b/>
          <w:color w:val="auto"/>
          <w:sz w:val="28"/>
          <w:szCs w:val="28"/>
        </w:rPr>
      </w:pPr>
      <w:r>
        <w:rPr>
          <w:rFonts w:hint="eastAsia" w:ascii="仿宋" w:hAnsi="仿宋" w:eastAsia="仿宋" w:cs="宋体"/>
          <w:b/>
          <w:color w:val="auto"/>
          <w:sz w:val="28"/>
          <w:szCs w:val="28"/>
          <w:lang w:val="en-US" w:eastAsia="zh-CN"/>
        </w:rPr>
        <w:t>车辆配备表</w:t>
      </w:r>
    </w:p>
    <w:p>
      <w:pPr>
        <w:pStyle w:val="8"/>
        <w:rPr>
          <w:color w:val="auto"/>
        </w:rPr>
      </w:pPr>
    </w:p>
    <w:tbl>
      <w:tblPr>
        <w:tblStyle w:val="21"/>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014"/>
        <w:gridCol w:w="1547"/>
        <w:gridCol w:w="1547"/>
        <w:gridCol w:w="121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75" w:type="dxa"/>
            <w:noWrap w:val="0"/>
            <w:vAlign w:val="center"/>
          </w:tcPr>
          <w:p>
            <w:pPr>
              <w:widowControl/>
              <w:spacing w:line="480" w:lineRule="exact"/>
              <w:jc w:val="center"/>
              <w:rPr>
                <w:rFonts w:ascii="仿宋" w:hAnsi="仿宋" w:eastAsia="仿宋" w:cs="Tahoma"/>
                <w:b/>
                <w:bCs/>
                <w:color w:val="auto"/>
                <w:kern w:val="0"/>
                <w:sz w:val="24"/>
              </w:rPr>
            </w:pPr>
            <w:r>
              <w:rPr>
                <w:rFonts w:hint="eastAsia" w:ascii="仿宋" w:hAnsi="仿宋" w:eastAsia="仿宋" w:cs="Tahoma"/>
                <w:b/>
                <w:bCs/>
                <w:color w:val="auto"/>
                <w:kern w:val="0"/>
                <w:sz w:val="24"/>
              </w:rPr>
              <w:t>序号</w:t>
            </w:r>
          </w:p>
        </w:tc>
        <w:tc>
          <w:tcPr>
            <w:tcW w:w="2014" w:type="dxa"/>
            <w:noWrap w:val="0"/>
            <w:vAlign w:val="center"/>
          </w:tcPr>
          <w:p>
            <w:pPr>
              <w:widowControl/>
              <w:spacing w:line="480" w:lineRule="exact"/>
              <w:jc w:val="center"/>
              <w:rPr>
                <w:rFonts w:ascii="仿宋" w:hAnsi="仿宋" w:eastAsia="仿宋" w:cs="Tahoma"/>
                <w:b/>
                <w:bCs/>
                <w:color w:val="auto"/>
                <w:kern w:val="0"/>
                <w:sz w:val="24"/>
              </w:rPr>
            </w:pPr>
            <w:r>
              <w:rPr>
                <w:rFonts w:hint="eastAsia" w:ascii="仿宋" w:hAnsi="仿宋" w:eastAsia="仿宋" w:cs="Tahoma"/>
                <w:b/>
                <w:bCs/>
                <w:color w:val="auto"/>
                <w:kern w:val="0"/>
                <w:sz w:val="24"/>
              </w:rPr>
              <w:t>名称</w:t>
            </w:r>
          </w:p>
        </w:tc>
        <w:tc>
          <w:tcPr>
            <w:tcW w:w="1547" w:type="dxa"/>
            <w:noWrap w:val="0"/>
            <w:vAlign w:val="center"/>
          </w:tcPr>
          <w:p>
            <w:pPr>
              <w:widowControl/>
              <w:spacing w:line="480" w:lineRule="exact"/>
              <w:jc w:val="center"/>
              <w:rPr>
                <w:rFonts w:hint="eastAsia" w:ascii="仿宋" w:hAnsi="仿宋" w:eastAsia="仿宋" w:cs="Tahoma"/>
                <w:b/>
                <w:bCs/>
                <w:color w:val="auto"/>
                <w:kern w:val="0"/>
                <w:sz w:val="24"/>
                <w:lang w:eastAsia="zh-CN"/>
              </w:rPr>
            </w:pPr>
            <w:r>
              <w:rPr>
                <w:rFonts w:hint="eastAsia" w:ascii="仿宋" w:hAnsi="仿宋" w:eastAsia="仿宋" w:cs="Tahoma"/>
                <w:b/>
                <w:bCs/>
                <w:color w:val="auto"/>
                <w:kern w:val="0"/>
                <w:sz w:val="24"/>
                <w:lang w:eastAsia="zh-CN"/>
              </w:rPr>
              <w:t>品牌</w:t>
            </w:r>
          </w:p>
        </w:tc>
        <w:tc>
          <w:tcPr>
            <w:tcW w:w="1547" w:type="dxa"/>
            <w:noWrap w:val="0"/>
            <w:vAlign w:val="center"/>
          </w:tcPr>
          <w:p>
            <w:pPr>
              <w:spacing w:line="480" w:lineRule="exact"/>
              <w:contextualSpacing/>
              <w:jc w:val="center"/>
              <w:rPr>
                <w:rFonts w:hint="eastAsia" w:ascii="仿宋" w:hAnsi="仿宋" w:eastAsia="仿宋"/>
                <w:b/>
                <w:color w:val="auto"/>
                <w:kern w:val="0"/>
                <w:sz w:val="24"/>
              </w:rPr>
            </w:pPr>
            <w:r>
              <w:rPr>
                <w:rFonts w:ascii="仿宋" w:hAnsi="仿宋" w:eastAsia="仿宋" w:cs="Tahoma"/>
                <w:b/>
                <w:bCs/>
                <w:color w:val="auto"/>
                <w:kern w:val="0"/>
                <w:sz w:val="24"/>
              </w:rPr>
              <w:t>型号</w:t>
            </w:r>
          </w:p>
        </w:tc>
        <w:tc>
          <w:tcPr>
            <w:tcW w:w="1218" w:type="dxa"/>
            <w:noWrap w:val="0"/>
            <w:vAlign w:val="center"/>
          </w:tcPr>
          <w:p>
            <w:pPr>
              <w:spacing w:line="480" w:lineRule="exact"/>
              <w:contextualSpacing/>
              <w:jc w:val="center"/>
              <w:rPr>
                <w:rFonts w:hint="eastAsia" w:ascii="仿宋" w:hAnsi="仿宋" w:eastAsia="仿宋"/>
                <w:b/>
                <w:color w:val="auto"/>
                <w:kern w:val="0"/>
                <w:sz w:val="24"/>
                <w:lang w:eastAsia="zh-CN"/>
              </w:rPr>
            </w:pPr>
            <w:r>
              <w:rPr>
                <w:rFonts w:hint="eastAsia" w:ascii="仿宋" w:hAnsi="仿宋" w:eastAsia="仿宋"/>
                <w:b/>
                <w:color w:val="auto"/>
                <w:kern w:val="0"/>
                <w:sz w:val="24"/>
              </w:rPr>
              <w:t>数量</w:t>
            </w:r>
            <w:r>
              <w:rPr>
                <w:rFonts w:hint="eastAsia" w:ascii="仿宋" w:hAnsi="仿宋" w:eastAsia="仿宋"/>
                <w:b/>
                <w:color w:val="auto"/>
                <w:kern w:val="0"/>
                <w:sz w:val="24"/>
                <w:lang w:eastAsia="zh-CN"/>
              </w:rPr>
              <w:t>及</w:t>
            </w:r>
          </w:p>
          <w:p>
            <w:pPr>
              <w:spacing w:line="480" w:lineRule="exact"/>
              <w:contextualSpacing/>
              <w:jc w:val="center"/>
              <w:rPr>
                <w:rFonts w:hint="eastAsia" w:ascii="仿宋" w:hAnsi="仿宋" w:eastAsia="仿宋"/>
                <w:b/>
                <w:color w:val="auto"/>
                <w:kern w:val="0"/>
                <w:sz w:val="24"/>
                <w:lang w:eastAsia="zh-CN"/>
              </w:rPr>
            </w:pPr>
            <w:r>
              <w:rPr>
                <w:rFonts w:hint="eastAsia" w:ascii="仿宋" w:hAnsi="仿宋" w:eastAsia="仿宋"/>
                <w:b/>
                <w:color w:val="auto"/>
                <w:kern w:val="0"/>
                <w:sz w:val="24"/>
                <w:lang w:eastAsia="zh-CN"/>
              </w:rPr>
              <w:t>单位</w:t>
            </w:r>
          </w:p>
        </w:tc>
        <w:tc>
          <w:tcPr>
            <w:tcW w:w="1877" w:type="dxa"/>
            <w:noWrap w:val="0"/>
            <w:vAlign w:val="center"/>
          </w:tcPr>
          <w:p>
            <w:pPr>
              <w:spacing w:line="480" w:lineRule="exact"/>
              <w:contextualSpacing/>
              <w:jc w:val="center"/>
              <w:rPr>
                <w:rFonts w:hint="eastAsia" w:ascii="仿宋" w:hAnsi="仿宋" w:eastAsia="仿宋"/>
                <w:b/>
                <w:color w:val="auto"/>
                <w:kern w:val="0"/>
                <w:sz w:val="24"/>
                <w:lang w:eastAsia="zh-CN"/>
              </w:rPr>
            </w:pPr>
            <w:r>
              <w:rPr>
                <w:rFonts w:hint="eastAsia" w:ascii="仿宋" w:hAnsi="仿宋" w:eastAsia="仿宋"/>
                <w:b/>
                <w:color w:val="auto"/>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75" w:type="dxa"/>
            <w:noWrap w:val="0"/>
            <w:vAlign w:val="center"/>
          </w:tcPr>
          <w:p>
            <w:pPr>
              <w:spacing w:line="480" w:lineRule="exact"/>
              <w:contextualSpacing/>
              <w:jc w:val="center"/>
              <w:rPr>
                <w:rFonts w:hint="eastAsia" w:ascii="仿宋" w:hAnsi="仿宋" w:eastAsia="仿宋"/>
                <w:b/>
                <w:color w:val="auto"/>
                <w:kern w:val="0"/>
                <w:sz w:val="24"/>
              </w:rPr>
            </w:pPr>
            <w:r>
              <w:rPr>
                <w:rFonts w:hint="eastAsia" w:ascii="仿宋" w:hAnsi="仿宋" w:eastAsia="仿宋"/>
                <w:b/>
                <w:color w:val="auto"/>
                <w:kern w:val="0"/>
                <w:sz w:val="24"/>
              </w:rPr>
              <w:t>1</w:t>
            </w: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Tahoma"/>
                <w:b/>
                <w:bCs/>
                <w:color w:val="auto"/>
                <w:kern w:val="0"/>
                <w:sz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75" w:type="dxa"/>
            <w:noWrap w:val="0"/>
            <w:vAlign w:val="center"/>
          </w:tcPr>
          <w:p>
            <w:pPr>
              <w:spacing w:line="480" w:lineRule="exact"/>
              <w:contextualSpacing/>
              <w:jc w:val="center"/>
              <w:rPr>
                <w:rFonts w:hint="eastAsia" w:ascii="仿宋" w:hAnsi="仿宋" w:eastAsia="仿宋"/>
                <w:b/>
                <w:color w:val="auto"/>
                <w:kern w:val="0"/>
                <w:sz w:val="24"/>
              </w:rPr>
            </w:pPr>
            <w:r>
              <w:rPr>
                <w:rFonts w:hint="eastAsia" w:ascii="仿宋" w:hAnsi="仿宋" w:eastAsia="仿宋"/>
                <w:b/>
                <w:color w:val="auto"/>
                <w:kern w:val="0"/>
                <w:sz w:val="24"/>
              </w:rPr>
              <w:t>2</w:t>
            </w: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Tahoma"/>
                <w:b/>
                <w:bCs/>
                <w:color w:val="auto"/>
                <w:kern w:val="0"/>
                <w:sz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5" w:type="dxa"/>
            <w:noWrap w:val="0"/>
            <w:vAlign w:val="center"/>
          </w:tcPr>
          <w:p>
            <w:pPr>
              <w:spacing w:line="480" w:lineRule="exact"/>
              <w:contextualSpacing/>
              <w:jc w:val="center"/>
              <w:rPr>
                <w:rFonts w:hint="eastAsia" w:ascii="仿宋" w:hAnsi="仿宋" w:eastAsia="仿宋"/>
                <w:b/>
                <w:color w:val="auto"/>
                <w:kern w:val="0"/>
                <w:sz w:val="24"/>
                <w:lang w:eastAsia="zh-CN"/>
              </w:rPr>
            </w:pPr>
            <w:r>
              <w:rPr>
                <w:rFonts w:hint="eastAsia" w:ascii="仿宋" w:hAnsi="仿宋" w:eastAsia="仿宋"/>
                <w:b/>
                <w:color w:val="auto"/>
                <w:kern w:val="0"/>
                <w:sz w:val="24"/>
                <w:lang w:val="en-US" w:eastAsia="zh-CN"/>
              </w:rPr>
              <w:t>3</w:t>
            </w: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黑体"/>
                <w:b/>
                <w:bCs/>
                <w:color w:val="auto"/>
                <w:sz w:val="24"/>
                <w:szCs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5" w:type="dxa"/>
            <w:noWrap w:val="0"/>
            <w:vAlign w:val="center"/>
          </w:tcPr>
          <w:p>
            <w:pPr>
              <w:spacing w:line="480" w:lineRule="exact"/>
              <w:contextualSpacing/>
              <w:jc w:val="center"/>
              <w:rPr>
                <w:rFonts w:hint="eastAsia" w:ascii="仿宋" w:hAnsi="仿宋" w:eastAsia="仿宋"/>
                <w:b/>
                <w:color w:val="auto"/>
                <w:kern w:val="0"/>
                <w:sz w:val="24"/>
                <w:lang w:val="en-US" w:eastAsia="zh-CN"/>
              </w:rPr>
            </w:pPr>
            <w:r>
              <w:rPr>
                <w:rFonts w:hint="eastAsia" w:ascii="仿宋" w:hAnsi="仿宋" w:eastAsia="仿宋"/>
                <w:b/>
                <w:color w:val="auto"/>
                <w:kern w:val="0"/>
                <w:sz w:val="24"/>
                <w:lang w:val="en-US" w:eastAsia="zh-CN"/>
              </w:rPr>
              <w:t>4</w:t>
            </w: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黑体"/>
                <w:b/>
                <w:bCs/>
                <w:color w:val="auto"/>
                <w:sz w:val="24"/>
                <w:szCs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5" w:type="dxa"/>
            <w:noWrap w:val="0"/>
            <w:vAlign w:val="center"/>
          </w:tcPr>
          <w:p>
            <w:pPr>
              <w:spacing w:line="480" w:lineRule="exact"/>
              <w:contextualSpacing/>
              <w:jc w:val="center"/>
              <w:rPr>
                <w:rFonts w:hint="eastAsia" w:ascii="仿宋" w:hAnsi="仿宋" w:eastAsia="仿宋"/>
                <w:b/>
                <w:color w:val="auto"/>
                <w:kern w:val="0"/>
                <w:sz w:val="24"/>
                <w:lang w:val="en-US" w:eastAsia="zh-CN"/>
              </w:rPr>
            </w:pP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黑体"/>
                <w:b/>
                <w:bCs/>
                <w:color w:val="auto"/>
                <w:sz w:val="24"/>
                <w:szCs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5" w:type="dxa"/>
            <w:noWrap w:val="0"/>
            <w:vAlign w:val="center"/>
          </w:tcPr>
          <w:p>
            <w:pPr>
              <w:spacing w:line="480" w:lineRule="exact"/>
              <w:contextualSpacing/>
              <w:jc w:val="center"/>
              <w:rPr>
                <w:rFonts w:hint="eastAsia" w:ascii="仿宋" w:hAnsi="仿宋" w:eastAsia="仿宋"/>
                <w:b/>
                <w:color w:val="auto"/>
                <w:kern w:val="0"/>
                <w:sz w:val="24"/>
                <w:lang w:val="en-US" w:eastAsia="zh-CN"/>
              </w:rPr>
            </w:pP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黑体"/>
                <w:b/>
                <w:bCs/>
                <w:color w:val="auto"/>
                <w:sz w:val="24"/>
                <w:szCs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5" w:type="dxa"/>
            <w:noWrap w:val="0"/>
            <w:vAlign w:val="center"/>
          </w:tcPr>
          <w:p>
            <w:pPr>
              <w:spacing w:line="480" w:lineRule="exact"/>
              <w:contextualSpacing/>
              <w:jc w:val="center"/>
              <w:rPr>
                <w:rFonts w:hint="eastAsia" w:ascii="仿宋" w:hAnsi="仿宋" w:eastAsia="仿宋"/>
                <w:b/>
                <w:color w:val="auto"/>
                <w:kern w:val="0"/>
                <w:sz w:val="24"/>
                <w:lang w:val="en-US" w:eastAsia="zh-CN"/>
              </w:rPr>
            </w:pPr>
          </w:p>
        </w:tc>
        <w:tc>
          <w:tcPr>
            <w:tcW w:w="2014" w:type="dxa"/>
            <w:noWrap w:val="0"/>
            <w:vAlign w:val="top"/>
          </w:tcPr>
          <w:p>
            <w:pPr>
              <w:keepNext w:val="0"/>
              <w:keepLines w:val="0"/>
              <w:pageBreakBefore w:val="0"/>
              <w:widowControl/>
              <w:kinsoku/>
              <w:wordWrap/>
              <w:overflowPunct/>
              <w:topLinePunct w:val="0"/>
              <w:autoSpaceDE/>
              <w:autoSpaceDN/>
              <w:bidi w:val="0"/>
              <w:adjustRightInd/>
              <w:snapToGrid/>
              <w:spacing w:line="400" w:lineRule="exact"/>
              <w:ind w:left="62" w:leftChars="0" w:right="62" w:rightChars="0"/>
              <w:jc w:val="center"/>
              <w:textAlignment w:val="auto"/>
              <w:rPr>
                <w:rFonts w:hint="eastAsia" w:ascii="仿宋" w:hAnsi="仿宋" w:eastAsia="仿宋" w:cs="黑体"/>
                <w:b/>
                <w:bCs/>
                <w:color w:val="auto"/>
                <w:sz w:val="24"/>
                <w:szCs w:val="24"/>
                <w:lang w:val="en-US" w:eastAsia="zh-CN"/>
              </w:rPr>
            </w:pPr>
          </w:p>
        </w:tc>
        <w:tc>
          <w:tcPr>
            <w:tcW w:w="1547" w:type="dxa"/>
            <w:noWrap w:val="0"/>
            <w:vAlign w:val="top"/>
          </w:tcPr>
          <w:p>
            <w:pPr>
              <w:spacing w:line="480" w:lineRule="exact"/>
              <w:jc w:val="center"/>
              <w:rPr>
                <w:rFonts w:hint="eastAsia" w:ascii="仿宋" w:hAnsi="仿宋" w:eastAsia="仿宋" w:cs="Tahoma"/>
                <w:color w:val="auto"/>
                <w:sz w:val="24"/>
              </w:rPr>
            </w:pPr>
          </w:p>
        </w:tc>
        <w:tc>
          <w:tcPr>
            <w:tcW w:w="1547" w:type="dxa"/>
            <w:noWrap w:val="0"/>
            <w:vAlign w:val="center"/>
          </w:tcPr>
          <w:p>
            <w:pPr>
              <w:spacing w:line="480" w:lineRule="exact"/>
              <w:jc w:val="center"/>
              <w:rPr>
                <w:rFonts w:hint="eastAsia" w:ascii="仿宋" w:hAnsi="仿宋" w:eastAsia="仿宋" w:cs="Tahoma"/>
                <w:color w:val="auto"/>
                <w:sz w:val="24"/>
              </w:rPr>
            </w:pPr>
          </w:p>
        </w:tc>
        <w:tc>
          <w:tcPr>
            <w:tcW w:w="1218" w:type="dxa"/>
            <w:noWrap w:val="0"/>
            <w:vAlign w:val="center"/>
          </w:tcPr>
          <w:p>
            <w:pPr>
              <w:spacing w:line="480" w:lineRule="exact"/>
              <w:jc w:val="center"/>
              <w:rPr>
                <w:rFonts w:ascii="仿宋" w:hAnsi="仿宋" w:eastAsia="仿宋" w:cs="Tahoma"/>
                <w:color w:val="auto"/>
                <w:sz w:val="24"/>
              </w:rPr>
            </w:pPr>
          </w:p>
        </w:tc>
        <w:tc>
          <w:tcPr>
            <w:tcW w:w="1877" w:type="dxa"/>
            <w:noWrap w:val="0"/>
            <w:vAlign w:val="top"/>
          </w:tcPr>
          <w:p>
            <w:pPr>
              <w:spacing w:line="480" w:lineRule="exact"/>
              <w:contextualSpacing/>
              <w:jc w:val="center"/>
              <w:rPr>
                <w:rFonts w:hint="eastAsia" w:ascii="仿宋" w:hAnsi="仿宋" w:eastAsia="仿宋"/>
                <w:b/>
                <w:color w:val="auto"/>
                <w:kern w:val="0"/>
                <w:sz w:val="24"/>
              </w:rPr>
            </w:pPr>
          </w:p>
        </w:tc>
      </w:tr>
    </w:tbl>
    <w:p>
      <w:pPr>
        <w:pStyle w:val="2"/>
        <w:rPr>
          <w:rFonts w:hint="eastAsia" w:ascii="仿宋" w:hAnsi="仿宋" w:eastAsia="仿宋"/>
          <w:color w:val="auto"/>
          <w:sz w:val="24"/>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4"/>
          <w:lang w:eastAsia="zh-CN"/>
        </w:rPr>
      </w:pPr>
      <w:r>
        <w:rPr>
          <w:rFonts w:hint="eastAsia" w:ascii="仿宋" w:hAnsi="仿宋" w:eastAsia="仿宋"/>
          <w:color w:val="auto"/>
          <w:sz w:val="24"/>
          <w:lang w:eastAsia="zh-CN"/>
        </w:rPr>
        <w:t>注：</w:t>
      </w:r>
      <w:r>
        <w:rPr>
          <w:rFonts w:hint="eastAsia" w:ascii="仿宋" w:hAnsi="仿宋" w:eastAsia="仿宋"/>
          <w:color w:val="auto"/>
          <w:sz w:val="24"/>
          <w:lang w:val="en-US" w:eastAsia="zh-CN"/>
        </w:rPr>
        <w:t>1、</w:t>
      </w:r>
      <w:r>
        <w:rPr>
          <w:rFonts w:hint="eastAsia" w:ascii="仿宋" w:hAnsi="仿宋" w:eastAsia="仿宋"/>
          <w:color w:val="auto"/>
          <w:sz w:val="24"/>
        </w:rPr>
        <w:t>须配备工程巡查检查</w:t>
      </w:r>
      <w:r>
        <w:rPr>
          <w:rFonts w:hint="eastAsia" w:ascii="仿宋" w:hAnsi="仿宋" w:eastAsia="仿宋"/>
          <w:color w:val="auto"/>
          <w:sz w:val="24"/>
          <w:lang w:eastAsia="zh-CN"/>
        </w:rPr>
        <w:t>运行</w:t>
      </w:r>
      <w:r>
        <w:rPr>
          <w:rFonts w:hint="eastAsia" w:ascii="仿宋" w:hAnsi="仿宋" w:eastAsia="仿宋"/>
          <w:color w:val="auto"/>
          <w:sz w:val="24"/>
        </w:rPr>
        <w:t>汽车</w:t>
      </w:r>
      <w:r>
        <w:rPr>
          <w:rFonts w:hint="eastAsia" w:ascii="仿宋" w:hAnsi="仿宋" w:eastAsia="仿宋"/>
          <w:color w:val="auto"/>
          <w:sz w:val="24"/>
          <w:lang w:eastAsia="zh-CN"/>
        </w:rPr>
        <w:t>至少</w:t>
      </w:r>
      <w:r>
        <w:rPr>
          <w:rFonts w:hint="eastAsia" w:ascii="仿宋" w:hAnsi="仿宋" w:eastAsia="仿宋"/>
          <w:color w:val="auto"/>
          <w:sz w:val="24"/>
        </w:rPr>
        <w:t>4辆（要求性能正常、保险齐全、年审合格的越野车）</w:t>
      </w:r>
      <w:r>
        <w:rPr>
          <w:rFonts w:hint="eastAsia" w:ascii="仿宋" w:hAnsi="仿宋" w:eastAsia="仿宋"/>
          <w:color w:val="auto"/>
          <w:sz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ascii="仿宋" w:hAnsi="仿宋" w:eastAsia="仿宋"/>
          <w:color w:val="auto"/>
          <w:sz w:val="24"/>
        </w:rPr>
      </w:pPr>
      <w:r>
        <w:rPr>
          <w:rFonts w:hint="eastAsia" w:ascii="仿宋" w:hAnsi="仿宋" w:eastAsia="仿宋"/>
          <w:color w:val="auto"/>
          <w:sz w:val="24"/>
          <w:lang w:val="en-US" w:eastAsia="zh-CN"/>
        </w:rPr>
        <w:t>2、</w:t>
      </w:r>
      <w:r>
        <w:rPr>
          <w:rFonts w:hint="eastAsia" w:ascii="仿宋" w:hAnsi="仿宋" w:eastAsia="仿宋"/>
          <w:color w:val="auto"/>
          <w:sz w:val="24"/>
        </w:rPr>
        <w:t>以上</w:t>
      </w:r>
      <w:r>
        <w:rPr>
          <w:rFonts w:hint="eastAsia" w:ascii="仿宋" w:hAnsi="仿宋" w:eastAsia="仿宋"/>
          <w:color w:val="auto"/>
          <w:sz w:val="24"/>
          <w:lang w:eastAsia="zh-CN"/>
        </w:rPr>
        <w:t>车辆</w:t>
      </w:r>
      <w:r>
        <w:rPr>
          <w:rFonts w:hint="eastAsia" w:ascii="仿宋" w:hAnsi="仿宋" w:eastAsia="仿宋"/>
          <w:color w:val="auto"/>
          <w:sz w:val="24"/>
        </w:rPr>
        <w:t>如为供应商自有，提供有效机动车登记证书、车辆行驶证；如为租赁，须提供有效租赁合同和车辆登记证书、车辆行驶证。</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3、</w:t>
      </w:r>
      <w:r>
        <w:rPr>
          <w:rFonts w:hint="eastAsia" w:ascii="仿宋" w:hAnsi="仿宋" w:eastAsia="仿宋" w:cs="Times New Roman"/>
          <w:color w:val="auto"/>
          <w:sz w:val="24"/>
          <w:lang w:eastAsia="zh-CN"/>
        </w:rPr>
        <w:t>所有证件材料提供原件的扫描件，加盖供应商公章。</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4、</w:t>
      </w:r>
      <w:r>
        <w:rPr>
          <w:rFonts w:hint="eastAsia" w:ascii="仿宋" w:hAnsi="仿宋" w:eastAsia="仿宋" w:cs="Times New Roman"/>
          <w:color w:val="auto"/>
          <w:sz w:val="24"/>
        </w:rPr>
        <w:t>此表仅提供了表格形式，投标人应根据需要准备足够数量的表格来填写</w:t>
      </w:r>
      <w:r>
        <w:rPr>
          <w:rFonts w:hint="eastAsia" w:ascii="仿宋" w:hAnsi="仿宋" w:eastAsia="仿宋" w:cs="Times New Roman"/>
          <w:color w:val="auto"/>
          <w:sz w:val="24"/>
          <w:lang w:eastAsia="zh-CN"/>
        </w:rPr>
        <w:t>。</w:t>
      </w:r>
    </w:p>
    <w:p>
      <w:pPr>
        <w:pStyle w:val="41"/>
        <w:pageBreakBefore/>
        <w:jc w:val="center"/>
        <w:rPr>
          <w:rFonts w:ascii="仿宋" w:hAnsi="仿宋" w:eastAsia="仿宋"/>
          <w:b/>
          <w:color w:val="auto"/>
          <w:sz w:val="28"/>
          <w:szCs w:val="28"/>
        </w:rPr>
      </w:pPr>
      <w:r>
        <w:rPr>
          <w:rFonts w:hint="eastAsia" w:ascii="仿宋" w:hAnsi="仿宋" w:eastAsia="仿宋"/>
          <w:b/>
          <w:color w:val="auto"/>
          <w:sz w:val="28"/>
          <w:szCs w:val="28"/>
        </w:rPr>
        <w:t>商务响应表</w:t>
      </w:r>
    </w:p>
    <w:p>
      <w:pPr>
        <w:pStyle w:val="41"/>
        <w:spacing w:line="460" w:lineRule="exact"/>
        <w:rPr>
          <w:rFonts w:ascii="仿宋" w:hAnsi="仿宋" w:eastAsia="仿宋"/>
          <w:color w:val="auto"/>
        </w:rPr>
      </w:pPr>
      <w:r>
        <w:rPr>
          <w:rFonts w:hint="eastAsia" w:ascii="仿宋" w:hAnsi="仿宋" w:eastAsia="仿宋"/>
          <w:color w:val="auto"/>
        </w:rPr>
        <w:t xml:space="preserve">投标人全称（加盖公章）： </w:t>
      </w:r>
    </w:p>
    <w:p>
      <w:pPr>
        <w:spacing w:line="460" w:lineRule="exact"/>
        <w:jc w:val="left"/>
        <w:rPr>
          <w:rFonts w:ascii="仿宋" w:hAnsi="仿宋" w:eastAsia="仿宋" w:cs="宋体"/>
          <w:color w:val="auto"/>
          <w:sz w:val="24"/>
        </w:rPr>
      </w:pPr>
      <w:r>
        <w:rPr>
          <w:rFonts w:hint="eastAsia" w:ascii="仿宋" w:hAnsi="仿宋" w:eastAsia="仿宋" w:cs="宋体"/>
          <w:color w:val="auto"/>
          <w:sz w:val="24"/>
        </w:rPr>
        <w:t>项目名称：2021-2023年度</w:t>
      </w:r>
      <w:r>
        <w:rPr>
          <w:rFonts w:hint="eastAsia" w:ascii="仿宋" w:hAnsi="仿宋" w:eastAsia="仿宋" w:cs="宋体"/>
          <w:color w:val="auto"/>
          <w:sz w:val="24"/>
          <w:lang w:eastAsia="zh-CN"/>
        </w:rPr>
        <w:t>水闸泵站运行</w:t>
      </w:r>
      <w:r>
        <w:rPr>
          <w:rFonts w:hint="eastAsia" w:ascii="仿宋" w:hAnsi="仿宋" w:eastAsia="仿宋" w:cs="宋体"/>
          <w:color w:val="auto"/>
          <w:sz w:val="24"/>
        </w:rPr>
        <w:t xml:space="preserve">维修养护服务项目 </w:t>
      </w:r>
    </w:p>
    <w:p>
      <w:pPr>
        <w:pStyle w:val="50"/>
        <w:rPr>
          <w:rFonts w:ascii="仿宋" w:hAnsi="仿宋" w:eastAsia="仿宋" w:cs="宋体"/>
          <w:color w:val="auto"/>
          <w:kern w:val="0"/>
          <w:sz w:val="24"/>
        </w:rPr>
      </w:pPr>
    </w:p>
    <w:tbl>
      <w:tblPr>
        <w:tblStyle w:val="21"/>
        <w:tblW w:w="86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54"/>
        <w:gridCol w:w="2177"/>
        <w:gridCol w:w="1905"/>
        <w:gridCol w:w="2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r>
              <w:rPr>
                <w:rFonts w:hint="eastAsia" w:ascii="仿宋" w:hAnsi="仿宋" w:eastAsia="仿宋" w:cs="仿宋"/>
                <w:color w:val="auto"/>
                <w:sz w:val="24"/>
              </w:rPr>
              <w:t>项目</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r>
              <w:rPr>
                <w:rFonts w:hint="eastAsia" w:ascii="仿宋" w:hAnsi="仿宋" w:eastAsia="仿宋" w:cs="仿宋"/>
                <w:color w:val="auto"/>
                <w:sz w:val="24"/>
              </w:rPr>
              <w:t>招标文件要求</w:t>
            </w: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r>
              <w:rPr>
                <w:rFonts w:hint="eastAsia" w:ascii="仿宋" w:hAnsi="仿宋" w:eastAsia="仿宋" w:cs="仿宋"/>
                <w:color w:val="auto"/>
                <w:sz w:val="24"/>
              </w:rPr>
              <w:t>是否响应</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r>
              <w:rPr>
                <w:rFonts w:hint="eastAsia" w:ascii="仿宋" w:hAnsi="仿宋" w:eastAsia="仿宋" w:cs="仿宋"/>
                <w:color w:val="auto"/>
                <w:sz w:val="24"/>
              </w:rPr>
              <w:t>供应商的承诺或说明或优化方案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0"/>
              </w:rPr>
            </w:pPr>
            <w:r>
              <w:rPr>
                <w:rFonts w:hint="eastAsia" w:ascii="仿宋" w:hAnsi="仿宋" w:eastAsia="仿宋" w:cs="仿宋"/>
                <w:color w:val="auto"/>
                <w:sz w:val="24"/>
              </w:rPr>
              <w:t>服务期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付款方式</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其他要求</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.....（自拟）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4"/>
                <w:szCs w:val="20"/>
              </w:rPr>
            </w:pPr>
          </w:p>
        </w:tc>
      </w:tr>
    </w:tbl>
    <w:p>
      <w:pPr>
        <w:pStyle w:val="50"/>
        <w:rPr>
          <w:rFonts w:ascii="仿宋" w:hAnsi="仿宋" w:eastAsia="仿宋" w:cs="宋体"/>
          <w:color w:val="auto"/>
          <w:kern w:val="0"/>
          <w:sz w:val="24"/>
        </w:rPr>
      </w:pPr>
    </w:p>
    <w:p>
      <w:pPr>
        <w:spacing w:line="460" w:lineRule="exact"/>
        <w:jc w:val="left"/>
        <w:rPr>
          <w:rFonts w:ascii="仿宋" w:hAnsi="仿宋" w:eastAsia="仿宋" w:cs="宋体"/>
          <w:color w:val="auto"/>
          <w:kern w:val="0"/>
          <w:sz w:val="24"/>
        </w:rPr>
      </w:pPr>
      <w:r>
        <w:rPr>
          <w:rFonts w:hint="eastAsia" w:ascii="仿宋" w:hAnsi="仿宋" w:eastAsia="仿宋" w:cs="宋体"/>
          <w:color w:val="auto"/>
          <w:kern w:val="0"/>
          <w:sz w:val="24"/>
        </w:rPr>
        <w:t>法定代表人或其授权代理人签字：</w:t>
      </w:r>
    </w:p>
    <w:p>
      <w:pPr>
        <w:spacing w:line="460" w:lineRule="exact"/>
        <w:jc w:val="left"/>
        <w:rPr>
          <w:rFonts w:ascii="仿宋" w:hAnsi="仿宋" w:eastAsia="仿宋" w:cs="宋体"/>
          <w:color w:val="auto"/>
          <w:kern w:val="0"/>
          <w:sz w:val="24"/>
        </w:rPr>
      </w:pPr>
      <w:r>
        <w:rPr>
          <w:rFonts w:hint="eastAsia" w:ascii="仿宋" w:hAnsi="仿宋" w:eastAsia="仿宋" w:cs="宋体"/>
          <w:color w:val="auto"/>
          <w:kern w:val="0"/>
          <w:sz w:val="24"/>
        </w:rPr>
        <w:t>日期： 年 月 日</w:t>
      </w:r>
    </w:p>
    <w:p>
      <w:pPr>
        <w:rPr>
          <w:rFonts w:ascii="仿宋" w:hAnsi="仿宋" w:eastAsia="仿宋" w:cs="宋体"/>
          <w:color w:val="auto"/>
          <w:kern w:val="0"/>
          <w:sz w:val="24"/>
        </w:rPr>
      </w:pPr>
      <w:r>
        <w:rPr>
          <w:rFonts w:hint="eastAsia" w:ascii="仿宋" w:hAnsi="仿宋" w:eastAsia="仿宋" w:cs="宋体"/>
          <w:color w:val="auto"/>
          <w:kern w:val="0"/>
          <w:sz w:val="24"/>
        </w:rPr>
        <w:br w:type="page"/>
      </w:r>
    </w:p>
    <w:p>
      <w:pPr>
        <w:spacing w:line="460" w:lineRule="exact"/>
        <w:jc w:val="center"/>
        <w:rPr>
          <w:rFonts w:ascii="仿宋" w:hAnsi="仿宋" w:eastAsia="仿宋" w:cs="宋体"/>
          <w:b/>
          <w:color w:val="auto"/>
          <w:sz w:val="28"/>
          <w:szCs w:val="28"/>
        </w:rPr>
      </w:pPr>
      <w:r>
        <w:rPr>
          <w:rFonts w:hint="eastAsia" w:ascii="仿宋" w:hAnsi="仿宋" w:eastAsia="仿宋" w:cs="宋体"/>
          <w:b/>
          <w:color w:val="auto"/>
          <w:sz w:val="28"/>
          <w:szCs w:val="28"/>
        </w:rPr>
        <w:t>企业业绩</w:t>
      </w:r>
    </w:p>
    <w:p>
      <w:pPr>
        <w:pStyle w:val="41"/>
        <w:keepNext w:val="0"/>
        <w:keepLines w:val="0"/>
        <w:pageBreakBefore w:val="0"/>
        <w:widowControl w:val="0"/>
        <w:kinsoku/>
        <w:wordWrap/>
        <w:overflowPunct/>
        <w:topLinePunct w:val="0"/>
        <w:bidi w:val="0"/>
        <w:snapToGrid/>
        <w:spacing w:line="500" w:lineRule="atLeast"/>
        <w:textAlignment w:val="auto"/>
        <w:rPr>
          <w:rFonts w:ascii="仿宋" w:hAnsi="仿宋" w:eastAsia="仿宋"/>
          <w:color w:val="auto"/>
        </w:rPr>
      </w:pPr>
      <w:r>
        <w:rPr>
          <w:rFonts w:hint="eastAsia" w:ascii="仿宋" w:hAnsi="仿宋" w:eastAsia="仿宋"/>
          <w:color w:val="auto"/>
        </w:rPr>
        <w:t xml:space="preserve">投标人全称（加盖公章）： </w:t>
      </w:r>
    </w:p>
    <w:p>
      <w:pPr>
        <w:keepNext w:val="0"/>
        <w:keepLines w:val="0"/>
        <w:pageBreakBefore w:val="0"/>
        <w:widowControl w:val="0"/>
        <w:kinsoku/>
        <w:wordWrap/>
        <w:overflowPunct/>
        <w:topLinePunct w:val="0"/>
        <w:bidi w:val="0"/>
        <w:snapToGrid/>
        <w:spacing w:line="500" w:lineRule="atLeast"/>
        <w:jc w:val="left"/>
        <w:textAlignment w:val="auto"/>
        <w:rPr>
          <w:rFonts w:ascii="仿宋" w:hAnsi="仿宋" w:eastAsia="仿宋" w:cs="宋体"/>
          <w:color w:val="auto"/>
          <w:sz w:val="24"/>
        </w:rPr>
      </w:pPr>
      <w:r>
        <w:rPr>
          <w:rFonts w:hint="eastAsia" w:ascii="仿宋" w:hAnsi="仿宋" w:eastAsia="仿宋" w:cs="宋体"/>
          <w:color w:val="auto"/>
          <w:sz w:val="24"/>
        </w:rPr>
        <w:t>项目名称：2021-2023年度</w:t>
      </w:r>
      <w:r>
        <w:rPr>
          <w:rFonts w:hint="eastAsia" w:ascii="仿宋" w:hAnsi="仿宋" w:eastAsia="仿宋" w:cs="宋体"/>
          <w:color w:val="auto"/>
          <w:sz w:val="24"/>
          <w:lang w:eastAsia="zh-CN"/>
        </w:rPr>
        <w:t>水闸泵站</w:t>
      </w:r>
      <w:r>
        <w:rPr>
          <w:rFonts w:hint="eastAsia" w:ascii="仿宋" w:hAnsi="仿宋" w:eastAsia="仿宋" w:cs="宋体"/>
          <w:color w:val="auto"/>
          <w:sz w:val="24"/>
        </w:rPr>
        <w:t xml:space="preserve">运行维修养护服务项目 </w:t>
      </w:r>
    </w:p>
    <w:p>
      <w:pPr>
        <w:pStyle w:val="12"/>
        <w:rPr>
          <w:color w:val="auto"/>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32"/>
        <w:gridCol w:w="1161"/>
        <w:gridCol w:w="1418"/>
        <w:gridCol w:w="1159"/>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序号</w:t>
            </w:r>
          </w:p>
        </w:tc>
        <w:tc>
          <w:tcPr>
            <w:tcW w:w="1532"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项目名称</w:t>
            </w:r>
          </w:p>
        </w:tc>
        <w:tc>
          <w:tcPr>
            <w:tcW w:w="1161"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使用方</w:t>
            </w:r>
          </w:p>
        </w:tc>
        <w:tc>
          <w:tcPr>
            <w:tcW w:w="1418"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合同金额（元）</w:t>
            </w:r>
          </w:p>
        </w:tc>
        <w:tc>
          <w:tcPr>
            <w:tcW w:w="1159"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签订</w:t>
            </w:r>
          </w:p>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时间</w:t>
            </w:r>
          </w:p>
        </w:tc>
        <w:tc>
          <w:tcPr>
            <w:tcW w:w="1246"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使用方联系人</w:t>
            </w:r>
          </w:p>
        </w:tc>
        <w:tc>
          <w:tcPr>
            <w:tcW w:w="1246" w:type="dxa"/>
            <w:vAlign w:val="center"/>
          </w:tcPr>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联系</w:t>
            </w:r>
          </w:p>
          <w:p>
            <w:pPr>
              <w:snapToGrid w:val="0"/>
              <w:spacing w:beforeLines="50" w:after="50"/>
              <w:jc w:val="center"/>
              <w:rPr>
                <w:rFonts w:ascii="仿宋" w:hAnsi="仿宋" w:eastAsia="仿宋" w:cs="宋体"/>
                <w:color w:val="auto"/>
                <w:sz w:val="24"/>
              </w:rPr>
            </w:pPr>
            <w:r>
              <w:rPr>
                <w:rFonts w:hint="eastAsia" w:ascii="仿宋" w:hAnsi="仿宋" w:eastAsia="仿宋" w:cs="宋体"/>
                <w:color w:val="auto"/>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spacing w:beforeLines="50" w:after="50"/>
              <w:jc w:val="center"/>
              <w:rPr>
                <w:rFonts w:ascii="仿宋" w:hAnsi="仿宋" w:eastAsia="仿宋" w:cs="宋体"/>
                <w:color w:val="auto"/>
                <w:sz w:val="24"/>
              </w:rPr>
            </w:pPr>
          </w:p>
        </w:tc>
        <w:tc>
          <w:tcPr>
            <w:tcW w:w="1532" w:type="dxa"/>
            <w:vAlign w:val="center"/>
          </w:tcPr>
          <w:p>
            <w:pPr>
              <w:snapToGrid w:val="0"/>
              <w:spacing w:beforeLines="50" w:after="50"/>
              <w:jc w:val="center"/>
              <w:rPr>
                <w:rFonts w:ascii="仿宋" w:hAnsi="仿宋" w:eastAsia="仿宋" w:cs="宋体"/>
                <w:color w:val="auto"/>
                <w:sz w:val="24"/>
              </w:rPr>
            </w:pPr>
          </w:p>
        </w:tc>
        <w:tc>
          <w:tcPr>
            <w:tcW w:w="1161" w:type="dxa"/>
            <w:vAlign w:val="center"/>
          </w:tcPr>
          <w:p>
            <w:pPr>
              <w:snapToGrid w:val="0"/>
              <w:spacing w:beforeLines="50" w:after="50"/>
              <w:jc w:val="center"/>
              <w:rPr>
                <w:rFonts w:ascii="仿宋" w:hAnsi="仿宋" w:eastAsia="仿宋" w:cs="宋体"/>
                <w:color w:val="auto"/>
                <w:sz w:val="24"/>
              </w:rPr>
            </w:pPr>
          </w:p>
        </w:tc>
        <w:tc>
          <w:tcPr>
            <w:tcW w:w="1418" w:type="dxa"/>
            <w:vAlign w:val="center"/>
          </w:tcPr>
          <w:p>
            <w:pPr>
              <w:snapToGrid w:val="0"/>
              <w:spacing w:beforeLines="50" w:after="50"/>
              <w:jc w:val="center"/>
              <w:rPr>
                <w:rFonts w:ascii="仿宋" w:hAnsi="仿宋" w:eastAsia="仿宋" w:cs="宋体"/>
                <w:color w:val="auto"/>
                <w:sz w:val="24"/>
              </w:rPr>
            </w:pPr>
          </w:p>
        </w:tc>
        <w:tc>
          <w:tcPr>
            <w:tcW w:w="1159"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c>
          <w:tcPr>
            <w:tcW w:w="1246" w:type="dxa"/>
            <w:vAlign w:val="center"/>
          </w:tcPr>
          <w:p>
            <w:pPr>
              <w:snapToGrid w:val="0"/>
              <w:spacing w:beforeLines="50" w:after="50"/>
              <w:jc w:val="center"/>
              <w:rPr>
                <w:rFonts w:ascii="仿宋" w:hAnsi="仿宋" w:eastAsia="仿宋" w:cs="宋体"/>
                <w:color w:val="auto"/>
                <w:sz w:val="24"/>
              </w:rPr>
            </w:pPr>
          </w:p>
        </w:tc>
      </w:tr>
    </w:tbl>
    <w:p>
      <w:pPr>
        <w:snapToGrid w:val="0"/>
        <w:spacing w:beforeLines="50" w:after="50"/>
        <w:jc w:val="left"/>
        <w:rPr>
          <w:rFonts w:hint="eastAsia" w:ascii="仿宋" w:hAnsi="仿宋" w:eastAsia="仿宋" w:cs="宋体"/>
          <w:b w:val="0"/>
          <w:bCs/>
          <w:color w:val="auto"/>
          <w:sz w:val="24"/>
          <w:lang w:eastAsia="zh-CN"/>
        </w:rPr>
      </w:pPr>
      <w:r>
        <w:rPr>
          <w:rFonts w:hint="eastAsia" w:ascii="仿宋" w:hAnsi="仿宋" w:eastAsia="仿宋" w:cs="宋体"/>
          <w:b w:val="0"/>
          <w:bCs/>
          <w:color w:val="auto"/>
          <w:sz w:val="24"/>
        </w:rPr>
        <w:t>注：此表仅提供了表格形式，投标人应根据需要准备足够数量的表格来填写</w:t>
      </w:r>
      <w:r>
        <w:rPr>
          <w:rFonts w:hint="eastAsia" w:ascii="仿宋" w:hAnsi="仿宋" w:eastAsia="仿宋" w:cs="宋体"/>
          <w:b w:val="0"/>
          <w:bCs/>
          <w:color w:val="auto"/>
          <w:sz w:val="24"/>
          <w:lang w:eastAsia="zh-CN"/>
        </w:rPr>
        <w:t>。</w:t>
      </w:r>
    </w:p>
    <w:p>
      <w:pPr>
        <w:snapToGrid w:val="0"/>
        <w:spacing w:beforeLines="50" w:after="50"/>
        <w:jc w:val="left"/>
        <w:rPr>
          <w:rFonts w:ascii="仿宋" w:hAnsi="仿宋" w:eastAsia="仿宋" w:cs="宋体"/>
          <w:b/>
          <w:color w:val="auto"/>
          <w:sz w:val="24"/>
        </w:rPr>
      </w:pPr>
    </w:p>
    <w:p>
      <w:pPr>
        <w:snapToGrid w:val="0"/>
        <w:spacing w:beforeLines="50" w:after="50"/>
        <w:jc w:val="left"/>
        <w:rPr>
          <w:rFonts w:ascii="仿宋" w:hAnsi="仿宋" w:eastAsia="仿宋" w:cs="宋体"/>
          <w:b/>
          <w:color w:val="auto"/>
          <w:sz w:val="24"/>
        </w:rPr>
      </w:pPr>
    </w:p>
    <w:p>
      <w:pPr>
        <w:snapToGrid w:val="0"/>
        <w:spacing w:beforeLines="50" w:after="50"/>
        <w:jc w:val="left"/>
        <w:rPr>
          <w:rFonts w:ascii="仿宋" w:hAnsi="仿宋" w:eastAsia="仿宋" w:cs="宋体"/>
          <w:color w:val="auto"/>
          <w:sz w:val="24"/>
        </w:rPr>
      </w:pPr>
      <w:r>
        <w:rPr>
          <w:rFonts w:hint="eastAsia" w:ascii="仿宋" w:hAnsi="仿宋" w:eastAsia="仿宋" w:cs="宋体"/>
          <w:color w:val="auto"/>
          <w:sz w:val="24"/>
        </w:rPr>
        <w:t>法定代表人或其授权代理人签名或盖章：</w:t>
      </w:r>
    </w:p>
    <w:p>
      <w:pPr>
        <w:snapToGrid w:val="0"/>
        <w:spacing w:beforeLines="50" w:after="50"/>
        <w:jc w:val="left"/>
        <w:rPr>
          <w:rFonts w:ascii="仿宋" w:hAnsi="仿宋" w:eastAsia="仿宋" w:cs="宋体"/>
          <w:color w:val="auto"/>
          <w:sz w:val="24"/>
        </w:rPr>
      </w:pPr>
    </w:p>
    <w:p>
      <w:pPr>
        <w:snapToGrid w:val="0"/>
        <w:spacing w:beforeLines="50" w:after="50"/>
        <w:jc w:val="left"/>
        <w:rPr>
          <w:rFonts w:ascii="仿宋" w:hAnsi="仿宋" w:eastAsia="仿宋" w:cs="宋体"/>
          <w:color w:val="auto"/>
          <w:sz w:val="24"/>
        </w:rPr>
      </w:pPr>
      <w:r>
        <w:rPr>
          <w:rFonts w:hint="eastAsia" w:ascii="仿宋" w:hAnsi="仿宋" w:eastAsia="仿宋" w:cs="宋体"/>
          <w:color w:val="auto"/>
          <w:sz w:val="24"/>
        </w:rPr>
        <w:t>日期： 年 月 日</w:t>
      </w:r>
    </w:p>
    <w:p>
      <w:pPr>
        <w:rPr>
          <w:rFonts w:ascii="仿宋" w:hAnsi="仿宋" w:eastAsia="仿宋" w:cs="宋体"/>
          <w:color w:val="auto"/>
          <w:kern w:val="0"/>
          <w:sz w:val="24"/>
        </w:rPr>
      </w:pPr>
      <w:r>
        <w:rPr>
          <w:rFonts w:ascii="仿宋" w:hAnsi="仿宋" w:eastAsia="仿宋" w:cs="宋体"/>
          <w:color w:val="auto"/>
          <w:kern w:val="0"/>
          <w:sz w:val="24"/>
        </w:rPr>
        <w:br w:type="page"/>
      </w:r>
    </w:p>
    <w:p>
      <w:pPr>
        <w:spacing w:line="600" w:lineRule="exact"/>
        <w:jc w:val="center"/>
        <w:rPr>
          <w:rFonts w:ascii="仿宋" w:hAnsi="仿宋" w:eastAsia="仿宋" w:cs="宋体"/>
          <w:b/>
          <w:bCs/>
          <w:color w:val="auto"/>
          <w:spacing w:val="24"/>
          <w:sz w:val="28"/>
          <w:szCs w:val="28"/>
        </w:rPr>
      </w:pPr>
      <w:r>
        <w:rPr>
          <w:rFonts w:hint="eastAsia" w:ascii="仿宋" w:hAnsi="仿宋" w:eastAsia="仿宋" w:cs="宋体"/>
          <w:b/>
          <w:bCs/>
          <w:color w:val="auto"/>
          <w:spacing w:val="24"/>
          <w:sz w:val="28"/>
          <w:szCs w:val="28"/>
        </w:rPr>
        <w:t>企业认证</w:t>
      </w:r>
    </w:p>
    <w:p>
      <w:pPr>
        <w:spacing w:line="600" w:lineRule="exact"/>
        <w:rPr>
          <w:rFonts w:ascii="仿宋" w:hAnsi="仿宋" w:eastAsia="仿宋"/>
          <w:color w:val="auto"/>
          <w:sz w:val="24"/>
        </w:rPr>
      </w:pPr>
      <w:r>
        <w:rPr>
          <w:rFonts w:hint="eastAsia" w:ascii="仿宋" w:hAnsi="仿宋" w:eastAsia="仿宋"/>
          <w:color w:val="auto"/>
          <w:sz w:val="24"/>
        </w:rPr>
        <w:t>供应商全称（加盖公章）：</w:t>
      </w:r>
    </w:p>
    <w:p>
      <w:pPr>
        <w:spacing w:line="600" w:lineRule="exact"/>
        <w:rPr>
          <w:rFonts w:ascii="仿宋" w:hAnsi="仿宋" w:eastAsia="仿宋"/>
          <w:color w:val="auto"/>
          <w:sz w:val="24"/>
        </w:rPr>
      </w:pPr>
      <w:r>
        <w:rPr>
          <w:rFonts w:hint="eastAsia" w:ascii="仿宋" w:hAnsi="仿宋" w:eastAsia="仿宋"/>
          <w:color w:val="auto"/>
          <w:sz w:val="24"/>
        </w:rPr>
        <w:t>项目</w:t>
      </w:r>
      <w:r>
        <w:rPr>
          <w:rFonts w:ascii="仿宋" w:hAnsi="仿宋" w:eastAsia="仿宋"/>
          <w:color w:val="auto"/>
          <w:sz w:val="24"/>
        </w:rPr>
        <w:t>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80"/>
        <w:gridCol w:w="1596"/>
        <w:gridCol w:w="198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序号</w:t>
            </w:r>
          </w:p>
        </w:tc>
        <w:tc>
          <w:tcPr>
            <w:tcW w:w="1980" w:type="dxa"/>
            <w:noWrap/>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证书名称</w:t>
            </w:r>
          </w:p>
        </w:tc>
        <w:tc>
          <w:tcPr>
            <w:tcW w:w="1596" w:type="dxa"/>
            <w:noWrap/>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颁发机构</w:t>
            </w:r>
          </w:p>
        </w:tc>
        <w:tc>
          <w:tcPr>
            <w:tcW w:w="1980" w:type="dxa"/>
            <w:noWrap/>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颁发时间</w:t>
            </w:r>
          </w:p>
        </w:tc>
        <w:tc>
          <w:tcPr>
            <w:tcW w:w="2904" w:type="dxa"/>
            <w:noWrap/>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1596" w:type="dxa"/>
            <w:noWrap/>
            <w:vAlign w:val="center"/>
          </w:tcPr>
          <w:p>
            <w:pPr>
              <w:spacing w:line="440" w:lineRule="exact"/>
              <w:jc w:val="center"/>
              <w:rPr>
                <w:rFonts w:ascii="仿宋" w:hAnsi="仿宋" w:eastAsia="仿宋" w:cs="宋体"/>
                <w:color w:val="auto"/>
                <w:sz w:val="24"/>
              </w:rPr>
            </w:pPr>
          </w:p>
        </w:tc>
        <w:tc>
          <w:tcPr>
            <w:tcW w:w="1980" w:type="dxa"/>
            <w:noWrap/>
            <w:vAlign w:val="center"/>
          </w:tcPr>
          <w:p>
            <w:pPr>
              <w:spacing w:line="440" w:lineRule="exact"/>
              <w:jc w:val="center"/>
              <w:rPr>
                <w:rFonts w:ascii="仿宋" w:hAnsi="仿宋" w:eastAsia="仿宋" w:cs="宋体"/>
                <w:color w:val="auto"/>
                <w:sz w:val="24"/>
              </w:rPr>
            </w:pPr>
          </w:p>
        </w:tc>
        <w:tc>
          <w:tcPr>
            <w:tcW w:w="2904" w:type="dxa"/>
            <w:noWrap/>
            <w:vAlign w:val="center"/>
          </w:tcPr>
          <w:p>
            <w:pPr>
              <w:spacing w:line="440" w:lineRule="exact"/>
              <w:jc w:val="center"/>
              <w:rPr>
                <w:rFonts w:ascii="仿宋" w:hAnsi="仿宋" w:eastAsia="仿宋" w:cs="宋体"/>
                <w:color w:val="auto"/>
                <w:sz w:val="24"/>
              </w:rPr>
            </w:pPr>
          </w:p>
        </w:tc>
      </w:tr>
    </w:tbl>
    <w:p>
      <w:pPr>
        <w:spacing w:line="360" w:lineRule="auto"/>
        <w:rPr>
          <w:rFonts w:ascii="仿宋" w:hAnsi="仿宋" w:eastAsia="仿宋" w:cs="宋体"/>
          <w:color w:val="auto"/>
          <w:sz w:val="24"/>
        </w:rPr>
      </w:pPr>
    </w:p>
    <w:p>
      <w:pPr>
        <w:spacing w:line="360" w:lineRule="auto"/>
        <w:rPr>
          <w:rFonts w:ascii="仿宋" w:hAnsi="仿宋" w:eastAsia="仿宋" w:cs="宋体"/>
          <w:color w:val="auto"/>
          <w:sz w:val="24"/>
        </w:rPr>
      </w:pPr>
      <w:r>
        <w:rPr>
          <w:rFonts w:hint="eastAsia" w:ascii="仿宋" w:hAnsi="仿宋" w:eastAsia="仿宋" w:cs="宋体"/>
          <w:color w:val="auto"/>
          <w:sz w:val="24"/>
        </w:rPr>
        <w:t>法定代表人或授权代理人签名或盖章：</w:t>
      </w:r>
    </w:p>
    <w:p>
      <w:pPr>
        <w:spacing w:line="360" w:lineRule="auto"/>
        <w:rPr>
          <w:rFonts w:ascii="仿宋" w:hAnsi="仿宋" w:eastAsia="仿宋" w:cs="宋体"/>
          <w:color w:val="auto"/>
          <w:sz w:val="24"/>
        </w:rPr>
      </w:pPr>
      <w:r>
        <w:rPr>
          <w:rFonts w:hint="eastAsia" w:ascii="仿宋" w:hAnsi="仿宋" w:eastAsia="仿宋" w:cs="宋体"/>
          <w:color w:val="auto"/>
          <w:sz w:val="24"/>
        </w:rPr>
        <w:t xml:space="preserve">                                日期：     年  月  日</w:t>
      </w:r>
    </w:p>
    <w:p>
      <w:pPr>
        <w:spacing w:line="360" w:lineRule="auto"/>
        <w:ind w:left="840" w:hanging="840" w:hangingChars="350"/>
        <w:rPr>
          <w:rFonts w:ascii="仿宋" w:hAnsi="仿宋" w:eastAsia="仿宋" w:cs="宋体"/>
          <w:color w:val="auto"/>
          <w:sz w:val="24"/>
        </w:rPr>
      </w:pPr>
    </w:p>
    <w:p>
      <w:pPr>
        <w:spacing w:line="360" w:lineRule="auto"/>
        <w:ind w:left="843" w:hanging="843" w:hangingChars="350"/>
        <w:rPr>
          <w:rFonts w:ascii="仿宋" w:hAnsi="仿宋" w:eastAsia="仿宋" w:cs="宋体"/>
          <w:b/>
          <w:color w:val="auto"/>
          <w:sz w:val="24"/>
        </w:rPr>
      </w:pPr>
      <w:r>
        <w:rPr>
          <w:rFonts w:hint="eastAsia" w:ascii="仿宋" w:hAnsi="仿宋" w:eastAsia="仿宋" w:cs="宋体"/>
          <w:b/>
          <w:color w:val="auto"/>
          <w:sz w:val="24"/>
        </w:rPr>
        <w:t>注：</w:t>
      </w:r>
    </w:p>
    <w:p>
      <w:pPr>
        <w:spacing w:line="360" w:lineRule="auto"/>
        <w:ind w:left="795" w:leftChars="150" w:hanging="480" w:hangingChars="200"/>
        <w:rPr>
          <w:rFonts w:ascii="仿宋" w:hAnsi="仿宋" w:eastAsia="仿宋" w:cs="宋体"/>
          <w:color w:val="auto"/>
          <w:sz w:val="24"/>
        </w:rPr>
      </w:pPr>
      <w:r>
        <w:rPr>
          <w:rFonts w:hint="eastAsia" w:ascii="仿宋" w:hAnsi="仿宋" w:eastAsia="仿宋" w:cs="宋体"/>
          <w:color w:val="auto"/>
          <w:sz w:val="24"/>
        </w:rPr>
        <w:t>1.</w:t>
      </w:r>
      <w:r>
        <w:rPr>
          <w:rFonts w:hint="eastAsia" w:ascii="仿宋" w:hAnsi="仿宋" w:eastAsia="仿宋" w:cs="宋体"/>
          <w:bCs/>
          <w:color w:val="auto"/>
          <w:sz w:val="24"/>
        </w:rPr>
        <w:t>获得的证书(附证书</w:t>
      </w:r>
      <w:r>
        <w:rPr>
          <w:rFonts w:hint="eastAsia" w:ascii="仿宋" w:hAnsi="仿宋" w:eastAsia="仿宋" w:cs="宋体"/>
          <w:bCs/>
          <w:color w:val="auto"/>
          <w:sz w:val="24"/>
          <w:lang w:eastAsia="zh-CN"/>
        </w:rPr>
        <w:t>原件的扫描件</w:t>
      </w:r>
      <w:r>
        <w:rPr>
          <w:rFonts w:hint="eastAsia" w:ascii="仿宋" w:hAnsi="仿宋" w:eastAsia="仿宋" w:cs="宋体"/>
          <w:bCs/>
          <w:color w:val="auto"/>
          <w:sz w:val="24"/>
        </w:rPr>
        <w:t>并加盖公章)；</w:t>
      </w:r>
    </w:p>
    <w:p>
      <w:pPr>
        <w:spacing w:line="360" w:lineRule="auto"/>
        <w:ind w:left="795" w:leftChars="150" w:hanging="480" w:hangingChars="200"/>
        <w:rPr>
          <w:rFonts w:ascii="仿宋" w:hAnsi="仿宋" w:eastAsia="仿宋" w:cs="宋体"/>
          <w:color w:val="auto"/>
          <w:sz w:val="24"/>
        </w:rPr>
      </w:pPr>
      <w:r>
        <w:rPr>
          <w:rFonts w:hint="eastAsia" w:ascii="仿宋" w:hAnsi="仿宋" w:eastAsia="仿宋" w:cs="宋体"/>
          <w:color w:val="auto"/>
          <w:sz w:val="24"/>
        </w:rPr>
        <w:t>2.此表仅提供了表格形式，供应商应根据需要准备足够数量的表格来填写。</w:t>
      </w:r>
    </w:p>
    <w:p>
      <w:pPr>
        <w:spacing w:line="360" w:lineRule="auto"/>
        <w:ind w:left="795" w:leftChars="150" w:hanging="480" w:hangingChars="200"/>
        <w:rPr>
          <w:rFonts w:ascii="仿宋" w:hAnsi="仿宋" w:eastAsia="仿宋" w:cs="宋体"/>
          <w:color w:val="auto"/>
          <w:sz w:val="24"/>
        </w:rPr>
      </w:pPr>
    </w:p>
    <w:p>
      <w:pPr>
        <w:pStyle w:val="38"/>
        <w:ind w:firstLine="201"/>
        <w:rPr>
          <w:rFonts w:ascii="仿宋" w:hAnsi="仿宋" w:eastAsia="仿宋" w:cs="宋体"/>
          <w:color w:val="auto"/>
          <w:sz w:val="24"/>
        </w:rPr>
      </w:pPr>
    </w:p>
    <w:p>
      <w:pPr>
        <w:pStyle w:val="38"/>
        <w:ind w:firstLine="0" w:firstLineChars="0"/>
        <w:jc w:val="both"/>
        <w:rPr>
          <w:rFonts w:ascii="仿宋" w:hAnsi="仿宋" w:eastAsia="仿宋" w:cs="宋体"/>
          <w:color w:val="auto"/>
          <w:sz w:val="24"/>
        </w:rPr>
      </w:pPr>
    </w:p>
    <w:p>
      <w:pPr>
        <w:pStyle w:val="38"/>
        <w:ind w:firstLine="201"/>
        <w:rPr>
          <w:rFonts w:ascii="仿宋" w:hAnsi="仿宋" w:eastAsia="仿宋" w:cs="宋体"/>
          <w:color w:val="auto"/>
          <w:sz w:val="24"/>
        </w:rPr>
      </w:pPr>
    </w:p>
    <w:p>
      <w:pPr>
        <w:snapToGrid w:val="0"/>
        <w:spacing w:before="50" w:after="50"/>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开标一览表</w:t>
      </w:r>
    </w:p>
    <w:p>
      <w:pPr>
        <w:pStyle w:val="8"/>
        <w:rPr>
          <w:rFonts w:hint="eastAsia" w:ascii="仿宋" w:hAnsi="仿宋" w:eastAsia="仿宋" w:cs="宋体"/>
          <w:b/>
          <w:bCs/>
          <w:color w:val="auto"/>
          <w:sz w:val="32"/>
          <w:szCs w:val="32"/>
        </w:rPr>
      </w:pPr>
    </w:p>
    <w:p>
      <w:pPr>
        <w:pStyle w:val="8"/>
        <w:rPr>
          <w:rFonts w:hint="eastAsia" w:ascii="仿宋" w:hAnsi="仿宋" w:eastAsia="仿宋" w:cs="宋体"/>
          <w:b/>
          <w:bCs/>
          <w:color w:val="auto"/>
          <w:sz w:val="32"/>
          <w:szCs w:val="32"/>
        </w:rPr>
      </w:pPr>
    </w:p>
    <w:p>
      <w:pPr>
        <w:snapToGrid w:val="0"/>
        <w:spacing w:before="50" w:after="50" w:line="360" w:lineRule="auto"/>
        <w:jc w:val="left"/>
        <w:rPr>
          <w:rFonts w:ascii="仿宋" w:hAnsi="仿宋" w:eastAsia="仿宋" w:cs="宋体"/>
          <w:color w:val="auto"/>
          <w:sz w:val="24"/>
        </w:rPr>
      </w:pPr>
      <w:r>
        <w:rPr>
          <w:rFonts w:hint="eastAsia" w:ascii="仿宋" w:hAnsi="仿宋" w:eastAsia="仿宋" w:cs="宋体"/>
          <w:color w:val="auto"/>
          <w:sz w:val="24"/>
        </w:rPr>
        <w:t xml:space="preserve">投标人全称（加盖公章）：                                      </w:t>
      </w:r>
    </w:p>
    <w:p>
      <w:pPr>
        <w:snapToGrid w:val="0"/>
        <w:spacing w:before="50" w:after="50" w:line="360" w:lineRule="auto"/>
        <w:jc w:val="left"/>
        <w:rPr>
          <w:rFonts w:ascii="仿宋" w:hAnsi="仿宋" w:eastAsia="仿宋" w:cs="宋体"/>
          <w:color w:val="auto"/>
          <w:sz w:val="24"/>
        </w:rPr>
      </w:pPr>
      <w:r>
        <w:rPr>
          <w:rFonts w:hint="eastAsia" w:ascii="仿宋" w:hAnsi="仿宋" w:eastAsia="仿宋" w:cs="宋体"/>
          <w:color w:val="auto"/>
          <w:sz w:val="24"/>
        </w:rPr>
        <w:t>项目编号：</w:t>
      </w:r>
    </w:p>
    <w:tbl>
      <w:tblPr>
        <w:tblStyle w:val="21"/>
        <w:tblW w:w="853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052"/>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2821" w:type="dxa"/>
            <w:gridSpan w:val="2"/>
            <w:noWrap/>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5718" w:type="dxa"/>
            <w:noWrap/>
            <w:vAlign w:val="center"/>
          </w:tcPr>
          <w:p>
            <w:pPr>
              <w:spacing w:line="5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769" w:type="dxa"/>
            <w:vMerge w:val="restart"/>
            <w:tcBorders>
              <w:top w:val="single" w:color="auto" w:sz="4" w:space="0"/>
            </w:tcBorders>
            <w:noWrap/>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总价</w:t>
            </w:r>
          </w:p>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（人民币/元）</w:t>
            </w:r>
          </w:p>
        </w:tc>
        <w:tc>
          <w:tcPr>
            <w:tcW w:w="1052" w:type="dxa"/>
            <w:tcBorders>
              <w:top w:val="single" w:color="auto" w:sz="4" w:space="0"/>
              <w:bottom w:val="single" w:color="auto" w:sz="4" w:space="0"/>
            </w:tcBorders>
            <w:noWrap/>
            <w:vAlign w:val="center"/>
          </w:tcPr>
          <w:p>
            <w:pPr>
              <w:widowControl/>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小写</w:t>
            </w:r>
          </w:p>
        </w:tc>
        <w:tc>
          <w:tcPr>
            <w:tcW w:w="5718" w:type="dxa"/>
            <w:noWrap/>
            <w:vAlign w:val="center"/>
          </w:tcPr>
          <w:p>
            <w:pPr>
              <w:spacing w:line="54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769" w:type="dxa"/>
            <w:vMerge w:val="continue"/>
            <w:noWrap/>
            <w:vAlign w:val="center"/>
          </w:tcPr>
          <w:p>
            <w:pPr>
              <w:spacing w:line="540" w:lineRule="exact"/>
              <w:jc w:val="center"/>
              <w:rPr>
                <w:rFonts w:ascii="仿宋" w:hAnsi="仿宋" w:eastAsia="仿宋" w:cs="仿宋"/>
                <w:color w:val="auto"/>
                <w:sz w:val="24"/>
                <w:highlight w:val="none"/>
              </w:rPr>
            </w:pPr>
          </w:p>
        </w:tc>
        <w:tc>
          <w:tcPr>
            <w:tcW w:w="1052" w:type="dxa"/>
            <w:tcBorders>
              <w:top w:val="single" w:color="auto" w:sz="4" w:space="0"/>
              <w:bottom w:val="single" w:color="auto" w:sz="4" w:space="0"/>
            </w:tcBorders>
            <w:noWrap/>
            <w:vAlign w:val="center"/>
          </w:tcPr>
          <w:p>
            <w:pPr>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大写</w:t>
            </w:r>
          </w:p>
        </w:tc>
        <w:tc>
          <w:tcPr>
            <w:tcW w:w="5718" w:type="dxa"/>
            <w:noWrap/>
            <w:vAlign w:val="center"/>
          </w:tcPr>
          <w:p>
            <w:pPr>
              <w:spacing w:line="540" w:lineRule="exact"/>
              <w:jc w:val="center"/>
              <w:rPr>
                <w:rFonts w:ascii="仿宋" w:hAnsi="仿宋" w:eastAsia="仿宋" w:cs="仿宋"/>
                <w:color w:val="auto"/>
                <w:sz w:val="24"/>
                <w:highlight w:val="none"/>
              </w:rPr>
            </w:pPr>
          </w:p>
        </w:tc>
      </w:tr>
    </w:tbl>
    <w:p>
      <w:pPr>
        <w:rPr>
          <w:rFonts w:ascii="仿宋" w:hAnsi="仿宋" w:eastAsia="仿宋"/>
          <w:color w:val="auto"/>
        </w:rPr>
      </w:pPr>
    </w:p>
    <w:p>
      <w:pPr>
        <w:rPr>
          <w:rFonts w:ascii="仿宋" w:hAnsi="仿宋" w:cs="宋体"/>
          <w:color w:val="auto"/>
          <w:sz w:val="24"/>
        </w:rPr>
      </w:pPr>
    </w:p>
    <w:p>
      <w:pPr>
        <w:rPr>
          <w:rFonts w:ascii="仿宋" w:hAnsi="仿宋" w:eastAsia="仿宋" w:cs="宋体"/>
          <w:color w:val="auto"/>
          <w:sz w:val="24"/>
        </w:rPr>
      </w:pPr>
    </w:p>
    <w:p>
      <w:pPr>
        <w:rPr>
          <w:rFonts w:ascii="仿宋" w:hAnsi="仿宋" w:eastAsia="仿宋" w:cs="宋体"/>
          <w:color w:val="auto"/>
          <w:sz w:val="24"/>
        </w:rPr>
      </w:pPr>
    </w:p>
    <w:p>
      <w:pPr>
        <w:rPr>
          <w:rFonts w:ascii="仿宋" w:hAnsi="仿宋" w:eastAsia="仿宋" w:cs="宋体"/>
          <w:color w:val="auto"/>
          <w:sz w:val="24"/>
        </w:rPr>
      </w:pPr>
      <w:r>
        <w:rPr>
          <w:rFonts w:hint="eastAsia" w:ascii="仿宋" w:hAnsi="仿宋" w:eastAsia="仿宋" w:cs="宋体"/>
          <w:color w:val="auto"/>
          <w:sz w:val="24"/>
        </w:rPr>
        <w:t>法定代表人或授权代理人签字：</w:t>
      </w:r>
    </w:p>
    <w:p>
      <w:pPr>
        <w:rPr>
          <w:rFonts w:ascii="仿宋" w:hAnsi="仿宋" w:eastAsia="仿宋" w:cs="宋体"/>
          <w:color w:val="auto"/>
          <w:sz w:val="24"/>
        </w:rPr>
      </w:pPr>
    </w:p>
    <w:p>
      <w:pPr>
        <w:rPr>
          <w:rFonts w:ascii="仿宋" w:hAnsi="仿宋" w:eastAsia="仿宋" w:cs="宋体"/>
          <w:color w:val="auto"/>
          <w:sz w:val="24"/>
        </w:rPr>
      </w:pPr>
      <w:r>
        <w:rPr>
          <w:rFonts w:hint="eastAsia" w:ascii="仿宋" w:hAnsi="仿宋" w:eastAsia="仿宋" w:cs="宋体"/>
          <w:color w:val="auto"/>
          <w:sz w:val="24"/>
        </w:rPr>
        <w:t xml:space="preserve">   年   月   日</w:t>
      </w:r>
    </w:p>
    <w:p>
      <w:pPr>
        <w:rPr>
          <w:rFonts w:ascii="仿宋" w:hAnsi="仿宋" w:eastAsia="仿宋" w:cs="宋体"/>
          <w:b/>
          <w:bCs/>
          <w:color w:val="auto"/>
          <w:sz w:val="32"/>
          <w:szCs w:val="32"/>
        </w:rPr>
      </w:pPr>
      <w:r>
        <w:rPr>
          <w:rFonts w:hint="eastAsia" w:ascii="仿宋" w:hAnsi="仿宋" w:eastAsia="仿宋" w:cs="宋体"/>
          <w:b/>
          <w:bCs/>
          <w:color w:val="auto"/>
          <w:sz w:val="32"/>
          <w:szCs w:val="32"/>
        </w:rPr>
        <w:br w:type="page"/>
      </w:r>
    </w:p>
    <w:p>
      <w:pPr>
        <w:spacing w:line="360" w:lineRule="auto"/>
        <w:jc w:val="center"/>
        <w:rPr>
          <w:rFonts w:ascii="仿宋" w:hAnsi="仿宋" w:eastAsia="仿宋" w:cs="宋体"/>
          <w:b/>
          <w:bCs/>
          <w:color w:val="auto"/>
          <w:sz w:val="28"/>
          <w:szCs w:val="28"/>
        </w:rPr>
      </w:pPr>
    </w:p>
    <w:p>
      <w:pPr>
        <w:spacing w:line="360" w:lineRule="auto"/>
        <w:jc w:val="center"/>
        <w:rPr>
          <w:rFonts w:ascii="仿宋" w:hAnsi="仿宋" w:eastAsia="仿宋" w:cs="宋体"/>
          <w:b/>
          <w:bCs/>
          <w:color w:val="auto"/>
          <w:sz w:val="28"/>
          <w:szCs w:val="28"/>
        </w:rPr>
      </w:pPr>
    </w:p>
    <w:p>
      <w:pPr>
        <w:spacing w:line="360" w:lineRule="auto"/>
        <w:jc w:val="center"/>
        <w:rPr>
          <w:rFonts w:ascii="仿宋" w:hAnsi="仿宋" w:eastAsia="仿宋" w:cs="宋体"/>
          <w:b/>
          <w:bCs/>
          <w:color w:val="auto"/>
          <w:sz w:val="28"/>
          <w:szCs w:val="28"/>
        </w:rPr>
      </w:pPr>
    </w:p>
    <w:p>
      <w:pPr>
        <w:spacing w:line="360" w:lineRule="auto"/>
        <w:jc w:val="center"/>
        <w:rPr>
          <w:rFonts w:ascii="仿宋" w:hAnsi="仿宋" w:eastAsia="仿宋" w:cs="宋体"/>
          <w:b/>
          <w:bCs/>
          <w:color w:val="auto"/>
          <w:sz w:val="28"/>
          <w:szCs w:val="28"/>
        </w:rPr>
      </w:pPr>
      <w:r>
        <w:rPr>
          <w:rFonts w:hint="eastAsia" w:ascii="仿宋" w:hAnsi="仿宋" w:eastAsia="仿宋" w:cs="宋体"/>
          <w:b/>
          <w:bCs/>
          <w:color w:val="auto"/>
          <w:sz w:val="28"/>
          <w:szCs w:val="28"/>
        </w:rPr>
        <w:t>清单报价</w:t>
      </w:r>
      <w:r>
        <w:rPr>
          <w:rFonts w:hint="eastAsia" w:ascii="仿宋" w:hAnsi="仿宋" w:eastAsia="仿宋" w:cs="宋体"/>
          <w:b/>
          <w:bCs/>
          <w:color w:val="auto"/>
          <w:sz w:val="28"/>
          <w:szCs w:val="28"/>
          <w:lang w:eastAsia="zh-CN"/>
        </w:rPr>
        <w:t>表</w:t>
      </w:r>
      <w:r>
        <w:rPr>
          <w:rFonts w:hint="eastAsia" w:ascii="仿宋" w:hAnsi="仿宋" w:eastAsia="仿宋" w:cs="宋体"/>
          <w:b/>
          <w:bCs/>
          <w:color w:val="auto"/>
          <w:sz w:val="28"/>
          <w:szCs w:val="28"/>
        </w:rPr>
        <w:t>（</w:t>
      </w:r>
      <w:r>
        <w:rPr>
          <w:rFonts w:hint="eastAsia" w:ascii="仿宋" w:hAnsi="仿宋" w:eastAsia="仿宋" w:cs="宋体"/>
          <w:b/>
          <w:bCs/>
          <w:color w:val="auto"/>
          <w:sz w:val="28"/>
          <w:szCs w:val="28"/>
          <w:lang w:eastAsia="zh-CN"/>
        </w:rPr>
        <w:t>按照第八章</w:t>
      </w:r>
      <w:r>
        <w:rPr>
          <w:rFonts w:hint="eastAsia" w:ascii="仿宋" w:hAnsi="仿宋" w:eastAsia="仿宋" w:cs="宋体"/>
          <w:b/>
          <w:bCs/>
          <w:color w:val="auto"/>
          <w:sz w:val="28"/>
          <w:szCs w:val="28"/>
        </w:rPr>
        <w:t>工程量清单报价）</w:t>
      </w:r>
    </w:p>
    <w:p>
      <w:pPr>
        <w:pStyle w:val="3"/>
        <w:rPr>
          <w:rFonts w:ascii="仿宋" w:hAnsi="仿宋" w:eastAsia="仿宋" w:cs="仿宋"/>
          <w:b/>
          <w:color w:val="auto"/>
          <w:szCs w:val="28"/>
        </w:rPr>
      </w:pPr>
    </w:p>
    <w:p>
      <w:pPr>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8"/>
        <w:rPr>
          <w:rFonts w:ascii="仿宋" w:hAnsi="仿宋" w:eastAsia="仿宋" w:cs="仿宋"/>
          <w:b/>
          <w:color w:val="auto"/>
          <w:sz w:val="28"/>
          <w:szCs w:val="28"/>
        </w:rPr>
      </w:pPr>
    </w:p>
    <w:p>
      <w:pPr>
        <w:pStyle w:val="38"/>
        <w:ind w:firstLine="241"/>
        <w:rPr>
          <w:rFonts w:ascii="仿宋" w:hAnsi="仿宋" w:eastAsia="仿宋" w:cs="仿宋"/>
          <w:color w:val="auto"/>
        </w:rPr>
      </w:pPr>
    </w:p>
    <w:p>
      <w:pPr>
        <w:pStyle w:val="38"/>
        <w:ind w:firstLine="241"/>
        <w:rPr>
          <w:rFonts w:ascii="仿宋" w:hAnsi="仿宋" w:eastAsia="仿宋" w:cs="仿宋"/>
          <w:color w:val="auto"/>
        </w:rPr>
      </w:pPr>
    </w:p>
    <w:p>
      <w:pPr>
        <w:pStyle w:val="38"/>
        <w:ind w:firstLine="241"/>
        <w:rPr>
          <w:rFonts w:ascii="仿宋" w:hAnsi="仿宋" w:eastAsia="仿宋" w:cs="仿宋"/>
          <w:color w:val="auto"/>
        </w:rPr>
      </w:pPr>
    </w:p>
    <w:p>
      <w:pPr>
        <w:spacing w:line="360" w:lineRule="auto"/>
        <w:jc w:val="center"/>
        <w:rPr>
          <w:rFonts w:hint="eastAsia" w:ascii="仿宋" w:hAnsi="仿宋" w:eastAsia="仿宋" w:cs="宋体"/>
          <w:b/>
          <w:bCs/>
          <w:color w:val="auto"/>
          <w:sz w:val="28"/>
          <w:szCs w:val="28"/>
        </w:rPr>
      </w:pPr>
    </w:p>
    <w:p>
      <w:pPr>
        <w:spacing w:line="360" w:lineRule="auto"/>
        <w:jc w:val="center"/>
        <w:rPr>
          <w:rFonts w:hint="eastAsia" w:ascii="仿宋" w:hAnsi="仿宋" w:eastAsia="仿宋" w:cs="宋体"/>
          <w:b/>
          <w:bCs/>
          <w:color w:val="auto"/>
          <w:sz w:val="28"/>
          <w:szCs w:val="28"/>
        </w:rPr>
      </w:pPr>
    </w:p>
    <w:p>
      <w:pPr>
        <w:spacing w:line="360" w:lineRule="auto"/>
        <w:jc w:val="center"/>
        <w:rPr>
          <w:rFonts w:ascii="仿宋" w:hAnsi="仿宋" w:eastAsia="仿宋" w:cs="宋体"/>
          <w:b/>
          <w:bCs/>
          <w:color w:val="auto"/>
          <w:sz w:val="28"/>
          <w:szCs w:val="28"/>
        </w:rPr>
      </w:pPr>
      <w:r>
        <w:rPr>
          <w:rFonts w:hint="eastAsia" w:ascii="仿宋" w:hAnsi="仿宋" w:eastAsia="仿宋" w:cs="宋体"/>
          <w:b/>
          <w:bCs/>
          <w:color w:val="auto"/>
          <w:sz w:val="28"/>
          <w:szCs w:val="28"/>
        </w:rPr>
        <w:t>招标代理服务费承诺函</w:t>
      </w: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湖州市仁皇工程咨询有限公司：</w:t>
      </w:r>
    </w:p>
    <w:p>
      <w:pPr>
        <w:snapToGrid w:val="0"/>
        <w:spacing w:beforeLines="50" w:after="50" w:line="460" w:lineRule="exact"/>
        <w:ind w:firstLine="480" w:firstLineChars="200"/>
        <w:jc w:val="left"/>
        <w:rPr>
          <w:rFonts w:ascii="仿宋" w:hAnsi="仿宋" w:eastAsia="仿宋" w:cs="宋体"/>
          <w:color w:val="auto"/>
          <w:sz w:val="24"/>
        </w:rPr>
      </w:pPr>
      <w:r>
        <w:rPr>
          <w:rFonts w:hint="eastAsia" w:ascii="仿宋" w:hAnsi="仿宋" w:eastAsia="仿宋" w:cs="宋体"/>
          <w:color w:val="auto"/>
          <w:sz w:val="24"/>
        </w:rPr>
        <w:t>根据招标文件的规定，一旦我公司中标，我公司同意按招标文件规定金额向贵公司交纳中标标项的招标代理服务费，在收到中标通知书后的当天一次性结清。</w:t>
      </w:r>
    </w:p>
    <w:p>
      <w:pPr>
        <w:snapToGrid w:val="0"/>
        <w:spacing w:beforeLines="50" w:after="50" w:line="460" w:lineRule="exact"/>
        <w:ind w:firstLine="480" w:firstLineChars="200"/>
        <w:jc w:val="left"/>
        <w:rPr>
          <w:rFonts w:ascii="仿宋" w:hAnsi="仿宋" w:eastAsia="仿宋" w:cs="宋体"/>
          <w:color w:val="auto"/>
          <w:sz w:val="24"/>
        </w:rPr>
      </w:pPr>
      <w:r>
        <w:rPr>
          <w:rFonts w:hint="eastAsia" w:ascii="仿宋" w:hAnsi="仿宋" w:eastAsia="仿宋" w:cs="宋体"/>
          <w:color w:val="auto"/>
          <w:sz w:val="24"/>
        </w:rPr>
        <w:t>本承诺函自开标之日起至本次采购期满有效。</w:t>
      </w:r>
    </w:p>
    <w:p>
      <w:pPr>
        <w:snapToGrid w:val="0"/>
        <w:spacing w:beforeLines="50" w:after="50" w:line="460" w:lineRule="exact"/>
        <w:ind w:firstLine="480" w:firstLineChars="200"/>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法定代表人或授权代理人签字：</w:t>
      </w: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投标人公章：</w:t>
      </w: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r>
        <w:rPr>
          <w:rFonts w:hint="eastAsia" w:ascii="仿宋" w:hAnsi="仿宋" w:eastAsia="仿宋" w:cs="宋体"/>
          <w:color w:val="auto"/>
          <w:sz w:val="24"/>
        </w:rPr>
        <w:t>日期：   年   月   日</w:t>
      </w:r>
    </w:p>
    <w:p>
      <w:pPr>
        <w:snapToGrid w:val="0"/>
        <w:spacing w:beforeLines="50" w:after="50" w:line="460" w:lineRule="exact"/>
        <w:jc w:val="left"/>
        <w:rPr>
          <w:rFonts w:ascii="仿宋" w:hAnsi="仿宋" w:eastAsia="仿宋" w:cs="宋体"/>
          <w:color w:val="auto"/>
          <w:sz w:val="24"/>
        </w:rPr>
      </w:pPr>
    </w:p>
    <w:p>
      <w:pPr>
        <w:snapToGrid w:val="0"/>
        <w:spacing w:beforeLines="50" w:after="50" w:line="460" w:lineRule="exact"/>
        <w:jc w:val="left"/>
        <w:rPr>
          <w:rFonts w:ascii="仿宋" w:hAnsi="仿宋" w:eastAsia="仿宋" w:cs="宋体"/>
          <w:color w:val="auto"/>
          <w:sz w:val="24"/>
        </w:rPr>
      </w:pPr>
    </w:p>
    <w:p>
      <w:pPr>
        <w:spacing w:line="460" w:lineRule="exact"/>
        <w:ind w:firstLine="480" w:firstLineChars="200"/>
        <w:rPr>
          <w:rFonts w:ascii="仿宋" w:hAnsi="仿宋" w:eastAsia="仿宋" w:cs="宋体"/>
          <w:color w:val="auto"/>
          <w:sz w:val="24"/>
        </w:rPr>
      </w:pPr>
      <w:r>
        <w:rPr>
          <w:rFonts w:hint="eastAsia" w:ascii="仿宋" w:hAnsi="仿宋" w:eastAsia="仿宋" w:cs="宋体"/>
          <w:color w:val="auto"/>
          <w:sz w:val="24"/>
        </w:rPr>
        <w:t>账户名称：湖州市仁皇工程咨询有限公司</w:t>
      </w:r>
    </w:p>
    <w:p>
      <w:pPr>
        <w:tabs>
          <w:tab w:val="left" w:pos="3780"/>
        </w:tabs>
        <w:spacing w:line="460" w:lineRule="exact"/>
        <w:ind w:firstLine="480" w:firstLineChars="200"/>
        <w:rPr>
          <w:rFonts w:ascii="仿宋" w:hAnsi="仿宋" w:eastAsia="仿宋" w:cs="宋体"/>
          <w:color w:val="auto"/>
          <w:sz w:val="24"/>
        </w:rPr>
      </w:pPr>
      <w:r>
        <w:rPr>
          <w:rFonts w:hint="eastAsia" w:ascii="仿宋" w:hAnsi="仿宋" w:eastAsia="仿宋" w:cs="宋体"/>
          <w:color w:val="auto"/>
          <w:sz w:val="24"/>
        </w:rPr>
        <w:t>开户银行：湖州吴兴农村商业银行股份有限公司爱山支行</w:t>
      </w:r>
    </w:p>
    <w:p>
      <w:pPr>
        <w:tabs>
          <w:tab w:val="left" w:pos="3780"/>
        </w:tabs>
        <w:spacing w:line="460" w:lineRule="exact"/>
        <w:ind w:firstLine="480" w:firstLineChars="200"/>
        <w:rPr>
          <w:rFonts w:ascii="仿宋" w:hAnsi="仿宋" w:eastAsia="仿宋"/>
          <w:color w:val="auto"/>
        </w:rPr>
      </w:pPr>
      <w:r>
        <w:rPr>
          <w:rFonts w:hint="eastAsia" w:ascii="仿宋" w:hAnsi="仿宋" w:eastAsia="仿宋" w:cs="宋体"/>
          <w:color w:val="auto"/>
          <w:sz w:val="24"/>
        </w:rPr>
        <w:t>银行帐号：201000224835118</w:t>
      </w:r>
    </w:p>
    <w:p>
      <w:pPr>
        <w:snapToGrid w:val="0"/>
        <w:spacing w:before="50" w:after="50"/>
        <w:rPr>
          <w:rFonts w:ascii="仿宋" w:hAnsi="仿宋" w:eastAsia="仿宋" w:cs="宋体"/>
          <w:color w:val="auto"/>
        </w:rPr>
      </w:pPr>
    </w:p>
    <w:p>
      <w:pPr>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pStyle w:val="8"/>
        <w:rPr>
          <w:rFonts w:ascii="仿宋" w:hAnsi="仿宋" w:eastAsia="仿宋"/>
          <w:color w:val="auto"/>
        </w:rPr>
      </w:pPr>
    </w:p>
    <w:p>
      <w:pPr>
        <w:numPr>
          <w:ilvl w:val="0"/>
          <w:numId w:val="0"/>
        </w:numPr>
        <w:spacing w:line="50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第七章</w:t>
      </w:r>
      <w:r>
        <w:rPr>
          <w:rFonts w:hint="eastAsia" w:ascii="仿宋" w:hAnsi="仿宋" w:eastAsia="仿宋" w:cs="仿宋"/>
          <w:b/>
          <w:bCs/>
          <w:color w:val="auto"/>
          <w:sz w:val="28"/>
          <w:szCs w:val="28"/>
        </w:rPr>
        <w:t xml:space="preserve"> 技术标准和要求</w:t>
      </w:r>
    </w:p>
    <w:p>
      <w:pPr>
        <w:pageBreakBefore w:val="0"/>
        <w:kinsoku/>
        <w:wordWrap/>
        <w:overflowPunct/>
        <w:topLinePunct w:val="0"/>
        <w:autoSpaceDE/>
        <w:autoSpaceDN/>
        <w:bidi w:val="0"/>
        <w:spacing w:line="500" w:lineRule="exact"/>
        <w:jc w:val="center"/>
        <w:textAlignment w:val="auto"/>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一 总则</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第一条</w:t>
      </w:r>
      <w:r>
        <w:rPr>
          <w:rFonts w:hint="eastAsia" w:ascii="仿宋" w:hAnsi="仿宋" w:eastAsia="仿宋" w:cs="仿宋"/>
          <w:color w:val="auto"/>
          <w:sz w:val="24"/>
          <w:szCs w:val="24"/>
        </w:rPr>
        <w:t xml:space="preserve">  为进一步加强市直管水利工程管理工作，确保水利工程安全运行，推进工程养护管理工作规范化、标准化进程，根据《大中型水闸运行管理规程》（DB33/T- 2109-2018）和《泵站运行管理规程》（DB33/T- 2248-2020）和国家及水利部颁发的有关规程、规范、规定、标准等，结合湖州市直管工程管理现状，制定本技术规定。</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第二条</w:t>
      </w:r>
      <w:r>
        <w:rPr>
          <w:rFonts w:hint="eastAsia" w:ascii="仿宋" w:hAnsi="仿宋" w:eastAsia="仿宋" w:cs="仿宋"/>
          <w:color w:val="auto"/>
          <w:sz w:val="24"/>
          <w:szCs w:val="24"/>
        </w:rPr>
        <w:t xml:space="preserve">  本标准适用于市直管水利工程的的</w:t>
      </w:r>
      <w:r>
        <w:rPr>
          <w:rFonts w:hint="eastAsia" w:ascii="仿宋" w:hAnsi="仿宋" w:eastAsia="仿宋" w:cs="仿宋"/>
          <w:color w:val="auto"/>
          <w:sz w:val="24"/>
          <w:szCs w:val="24"/>
          <w:lang w:eastAsia="zh-CN"/>
        </w:rPr>
        <w:t>水闸泵站</w:t>
      </w:r>
      <w:r>
        <w:rPr>
          <w:rFonts w:hint="eastAsia" w:ascii="仿宋" w:hAnsi="仿宋" w:eastAsia="仿宋" w:cs="仿宋"/>
          <w:color w:val="auto"/>
          <w:sz w:val="24"/>
          <w:szCs w:val="24"/>
        </w:rPr>
        <w:t>工程的运行维修养护工作。</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第三条</w:t>
      </w:r>
      <w:r>
        <w:rPr>
          <w:rFonts w:hint="eastAsia" w:ascii="仿宋" w:hAnsi="仿宋" w:eastAsia="仿宋" w:cs="仿宋"/>
          <w:color w:val="auto"/>
          <w:sz w:val="24"/>
          <w:szCs w:val="24"/>
        </w:rPr>
        <w:t xml:space="preserve">  水利工程维修养护的基本要求是：做好水利工程运行、保洁</w:t>
      </w:r>
      <w:r>
        <w:rPr>
          <w:rFonts w:hint="eastAsia" w:ascii="仿宋" w:hAnsi="仿宋" w:eastAsia="仿宋" w:cs="仿宋"/>
          <w:color w:val="auto"/>
          <w:sz w:val="24"/>
          <w:szCs w:val="24"/>
          <w:lang w:val="en-US" w:eastAsia="zh-CN"/>
        </w:rPr>
        <w:t>值班</w:t>
      </w:r>
      <w:r>
        <w:rPr>
          <w:rFonts w:hint="eastAsia" w:ascii="仿宋" w:hAnsi="仿宋" w:eastAsia="仿宋" w:cs="仿宋"/>
          <w:color w:val="auto"/>
          <w:sz w:val="24"/>
          <w:szCs w:val="24"/>
        </w:rPr>
        <w:t>、巡查、绿化养护、维修等工作，保证水利工程安全运行。维修养护的各项技术指标不低于工程原设计的各项技术指标。</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二  工程维修</w:t>
      </w:r>
    </w:p>
    <w:p>
      <w:pPr>
        <w:pageBreakBefore w:val="0"/>
        <w:kinsoku/>
        <w:wordWrap/>
        <w:overflowPunct/>
        <w:topLinePunct w:val="0"/>
        <w:autoSpaceDE/>
        <w:autoSpaceDN/>
        <w:bidi w:val="0"/>
        <w:spacing w:line="500" w:lineRule="exact"/>
        <w:ind w:left="178" w:leftChars="85" w:firstLine="241" w:firstLineChars="1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第四条</w:t>
      </w:r>
      <w:r>
        <w:rPr>
          <w:rFonts w:hint="eastAsia" w:ascii="仿宋" w:hAnsi="仿宋" w:eastAsia="仿宋" w:cs="仿宋"/>
          <w:color w:val="auto"/>
          <w:sz w:val="24"/>
          <w:szCs w:val="24"/>
        </w:rPr>
        <w:t xml:space="preserve">  工程的维修养护范围为：水闸管理区域内所有设施设备。</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第五条</w:t>
      </w:r>
      <w:r>
        <w:rPr>
          <w:rFonts w:hint="eastAsia" w:ascii="仿宋" w:hAnsi="仿宋" w:eastAsia="仿宋" w:cs="仿宋"/>
          <w:color w:val="auto"/>
          <w:sz w:val="24"/>
          <w:szCs w:val="24"/>
        </w:rPr>
        <w:t xml:space="preserve">  工程维修养护的项目包括：土方工程、石方工程、房屋建筑、机电设备等。</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第六条</w:t>
      </w:r>
      <w:r>
        <w:rPr>
          <w:rFonts w:hint="eastAsia" w:ascii="仿宋" w:hAnsi="仿宋" w:eastAsia="仿宋" w:cs="仿宋"/>
          <w:color w:val="auto"/>
          <w:sz w:val="24"/>
          <w:szCs w:val="24"/>
        </w:rPr>
        <w:t xml:space="preserve"> 专用道路</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（1）专用道路无摆摊设点、违章建筑、无非景观绿化（含农作物等）、无任何与工程养护无关的杂物、工具等和取土现象，保持堤顶道路畅通。</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未硬化的泥结石防汛专用道路路面保持鱼脊背形，横向坡度宜保持在1%-3%；路面高程不低于设计高程；无车槽及及明显凹陷、起伏，局部不平整不大于3厘米；排水顺畅，降雨期及雨后无积水；无明显浮土；平均每5米长度纵向差不应大于10厘米；边线明显、顺直；路缘石无破损、残缺、松动，整体完整。</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硬化的专用道路（沥青路面、混凝土路面）路面宽度保持设计宽度，边线明显，路面平整，且无积水、无杂物、无破损、无裂缝、无泛油、无啃边等现象；路缘石无破损、残缺、松动，整体完整，外观整洁。</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（4）堤顶内外路肩平整，无流失、无杂物、无积水。</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第七条</w:t>
      </w:r>
      <w:r>
        <w:rPr>
          <w:rFonts w:hint="eastAsia" w:ascii="仿宋" w:hAnsi="仿宋" w:eastAsia="仿宋" w:cs="仿宋"/>
          <w:color w:val="auto"/>
          <w:sz w:val="24"/>
          <w:szCs w:val="24"/>
        </w:rPr>
        <w:t xml:space="preserve">  护坡、护岸</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（1）护面或平台表面应保持平整、完好，相邻段无错动、伸缩缝开合正常。</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砌体无松动、塌陷、脱落、架空、垫层淘刷现象，表面勾缝无松动、脱落现象，护坡上无杂树和杂物等。</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（3）浆砌石或混凝土（预制块）护坡、护岸变形缝和止水应保持完好，坡面无局部侵蚀剥落、裂缝或破碎老化，排水孔排水应保持顺畅。</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（4）护脚体表面无凹陷、坍塌，护脚平台及坡度平顺，护脚体下部无冲刷松动、走失。</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（5）压顶应保持完好，无断裂、松动、缺失现象。 </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第八条</w:t>
      </w:r>
      <w:r>
        <w:rPr>
          <w:rFonts w:hint="eastAsia" w:ascii="仿宋" w:hAnsi="仿宋" w:eastAsia="仿宋" w:cs="仿宋"/>
          <w:color w:val="auto"/>
          <w:sz w:val="24"/>
          <w:szCs w:val="24"/>
        </w:rPr>
        <w:t xml:space="preserve">  防浪抛石</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抛石范围、数量、高程符合设计或竣工验收时的标准；抛石表面无浮石、平整顺畅，无明显外凸内凹、抛石丢失现象。</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第九条</w:t>
      </w:r>
      <w:r>
        <w:rPr>
          <w:rFonts w:hint="eastAsia" w:ascii="仿宋" w:hAnsi="仿宋" w:eastAsia="仿宋" w:cs="仿宋"/>
          <w:color w:val="auto"/>
          <w:sz w:val="24"/>
          <w:szCs w:val="24"/>
        </w:rPr>
        <w:t xml:space="preserve"> 防渗及排水设施</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（1）防渗设施无损坏、失效现象，保护层完整。</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（2）排水设施结构完整，无漏水、淤堵、阻塞等现象，出口无冲刷。</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第十条</w:t>
      </w:r>
      <w:r>
        <w:rPr>
          <w:rFonts w:hint="eastAsia" w:ascii="仿宋" w:hAnsi="仿宋" w:eastAsia="仿宋" w:cs="仿宋"/>
          <w:color w:val="auto"/>
          <w:sz w:val="24"/>
          <w:szCs w:val="24"/>
        </w:rPr>
        <w:t xml:space="preserve">  堤防</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（1）管理范围内无摆摊设点、违章建筑、无非景观绿化（含农作物等）、无任何与工</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程养护无关的杂物、工具等和取土现象。</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（2）土堤堤顶排水顺畅，降雨期间及雨后无积水；无杂物；无明显浮土；堤肩线明显、顺直。</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（3）堤坡完整，堤坡坡度符合设计坡度，坡面平顺，无异常渗漏，无水沟、滑坡、塌坑、鼠洞、兽穴、裂缝等现象。</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（4）堤脚无冲刷、残缺、洞穴（蚁穴、兽穴）。</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（5）护堤地地面平整，边界明确；无水沟、滑坡、塌坑、鼠洞、兽穴、裂缝等现象。</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三  管理设施</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第十一条</w:t>
      </w:r>
      <w:r>
        <w:rPr>
          <w:rFonts w:hint="eastAsia" w:ascii="仿宋" w:hAnsi="仿宋" w:eastAsia="仿宋" w:cs="仿宋"/>
          <w:color w:val="auto"/>
          <w:sz w:val="24"/>
          <w:szCs w:val="24"/>
        </w:rPr>
        <w:t xml:space="preserve">  管理设施包括监测点、界桩、宣传牌、警示牌、安全护栏等。</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（1）确保管理设施无损坏、缺失等现象，否则应做好修复及补全工作。</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（2）确保各类标牌固定牢固、完整，无倾斜、弯曲、字迹模糊等现象。</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四  其它建筑物</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第十二条</w:t>
      </w:r>
      <w:r>
        <w:rPr>
          <w:rFonts w:hint="eastAsia" w:ascii="仿宋" w:hAnsi="仿宋" w:eastAsia="仿宋" w:cs="仿宋"/>
          <w:color w:val="auto"/>
          <w:sz w:val="24"/>
          <w:szCs w:val="24"/>
        </w:rPr>
        <w:t xml:space="preserve">  建筑物与堤防接合应坚实紧密，无不均匀沉陷、裂缝、空隙、渗漏等现象；交叉建筑物运行应安全、稳定。交叉建筑物存在损坏、影响堤防工程安全时，应及时通知建筑物管理单位或责任主体进行维修。</w:t>
      </w:r>
    </w:p>
    <w:p>
      <w:pPr>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第十三条</w:t>
      </w:r>
      <w:r>
        <w:rPr>
          <w:rFonts w:hint="eastAsia" w:ascii="仿宋" w:hAnsi="仿宋" w:eastAsia="仿宋" w:cs="仿宋"/>
          <w:color w:val="auto"/>
          <w:sz w:val="24"/>
          <w:szCs w:val="24"/>
        </w:rPr>
        <w:t xml:space="preserve">  桥梁工程</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（1）保持桥面整洁、桥面混凝土表面无脱落、裂缝、露筋现象。</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（2）保持桥梁排水系统、泄水管道等设施完整，确保排水畅通。</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（3）保持桥梁栏杆完整、无裂缝、断裂、固定牢固无松动现象，钢制栏杆无锈蚀、混凝土栏杆粉刷层无脱落等现象。</w:t>
      </w:r>
    </w:p>
    <w:p>
      <w:pPr>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（4）加强工程巡查，发现桥梁受力构件出现混凝土表面有脱落、锈蚀、炭化等影响桥梁安全现象的，及时向业主报告。</w:t>
      </w:r>
    </w:p>
    <w:p>
      <w:pPr>
        <w:pageBreakBefore w:val="0"/>
        <w:kinsoku/>
        <w:wordWrap/>
        <w:overflowPunct/>
        <w:topLinePunct w:val="0"/>
        <w:autoSpaceDE/>
        <w:autoSpaceDN/>
        <w:bidi w:val="0"/>
        <w:spacing w:line="500" w:lineRule="exact"/>
        <w:jc w:val="left"/>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color w:val="auto"/>
          <w:sz w:val="24"/>
          <w:szCs w:val="24"/>
        </w:rPr>
        <w:t>五  工程巡查和运行</w:t>
      </w:r>
    </w:p>
    <w:p>
      <w:pPr>
        <w:pageBreakBefore w:val="0"/>
        <w:numPr>
          <w:ilvl w:val="0"/>
          <w:numId w:val="0"/>
        </w:numPr>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lang w:eastAsia="zh-CN"/>
        </w:rPr>
        <w:t>第十四条</w:t>
      </w:r>
      <w:r>
        <w:rPr>
          <w:rFonts w:hint="eastAsia" w:ascii="仿宋" w:hAnsi="仿宋" w:eastAsia="仿宋" w:cs="仿宋"/>
          <w:color w:val="auto"/>
          <w:sz w:val="24"/>
          <w:szCs w:val="24"/>
        </w:rPr>
        <w:t xml:space="preserve"> 工程巡查范围包括工程的管理范围和保护范围，及影响工程安全的其它区域。</w:t>
      </w:r>
    </w:p>
    <w:p>
      <w:pPr>
        <w:pageBreakBefore w:val="0"/>
        <w:numPr>
          <w:ilvl w:val="0"/>
          <w:numId w:val="0"/>
        </w:numPr>
        <w:kinsoku/>
        <w:wordWrap/>
        <w:overflowPunct/>
        <w:topLinePunct w:val="0"/>
        <w:autoSpaceDE/>
        <w:autoSpaceDN/>
        <w:bidi w:val="0"/>
        <w:spacing w:line="50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lang w:eastAsia="zh-CN"/>
        </w:rPr>
        <w:t>第十五条</w:t>
      </w:r>
      <w:r>
        <w:rPr>
          <w:rFonts w:hint="eastAsia" w:ascii="仿宋" w:hAnsi="仿宋" w:eastAsia="仿宋" w:cs="仿宋"/>
          <w:color w:val="auto"/>
          <w:sz w:val="24"/>
          <w:szCs w:val="24"/>
        </w:rPr>
        <w:t xml:space="preserve"> 检查人员发现异常情况应及时上报，发现突发险情应立即向管理单位负责人或工程管理负责人报告；巡查发现的问题属维养单位职责范围内的，要及时整改；需行政执法的，要及时上报，并配合执法人员进行处置；因维养单位巡查不力、处置不及时造成的设施损失，维养单位不得以任何理由推卸责任，必须承当扣分罚款等后果；处置事宜无法推动后，维养单位形成初步处理意见，及时沟通、报告并全力配合管理所做好处置工作。</w:t>
      </w:r>
    </w:p>
    <w:p>
      <w:pPr>
        <w:pageBreakBefore w:val="0"/>
        <w:kinsoku/>
        <w:wordWrap/>
        <w:overflowPunct/>
        <w:topLinePunct w:val="0"/>
        <w:autoSpaceDE/>
        <w:autoSpaceDN/>
        <w:bidi w:val="0"/>
        <w:spacing w:line="500" w:lineRule="exact"/>
        <w:ind w:firstLine="241" w:firstLineChars="1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第十六条</w:t>
      </w:r>
      <w:r>
        <w:rPr>
          <w:rFonts w:hint="eastAsia" w:ascii="仿宋" w:hAnsi="仿宋" w:eastAsia="仿宋" w:cs="仿宋"/>
          <w:color w:val="auto"/>
          <w:sz w:val="24"/>
          <w:szCs w:val="24"/>
        </w:rPr>
        <w:t xml:space="preserve">  检查记录应清晰、完整、准确、规范。</w:t>
      </w:r>
    </w:p>
    <w:p>
      <w:pPr>
        <w:pageBreakBefore w:val="0"/>
        <w:kinsoku/>
        <w:wordWrap/>
        <w:overflowPunct/>
        <w:topLinePunct w:val="0"/>
        <w:autoSpaceDE/>
        <w:autoSpaceDN/>
        <w:bidi w:val="0"/>
        <w:spacing w:line="500" w:lineRule="exact"/>
        <w:ind w:firstLine="241" w:firstLineChars="1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第十七条</w:t>
      </w:r>
      <w:r>
        <w:rPr>
          <w:rFonts w:hint="eastAsia" w:ascii="仿宋" w:hAnsi="仿宋" w:eastAsia="仿宋" w:cs="仿宋"/>
          <w:color w:val="auto"/>
          <w:sz w:val="24"/>
          <w:szCs w:val="24"/>
        </w:rPr>
        <w:t xml:space="preserve">  日常巡查宜采用定位信息技术(如 GPS、BDS 等)开展。</w:t>
      </w:r>
    </w:p>
    <w:p>
      <w:pPr>
        <w:pageBreakBefore w:val="0"/>
        <w:kinsoku/>
        <w:wordWrap/>
        <w:overflowPunct/>
        <w:topLinePunct w:val="0"/>
        <w:autoSpaceDE/>
        <w:autoSpaceDN/>
        <w:bidi w:val="0"/>
        <w:spacing w:line="500" w:lineRule="exact"/>
        <w:ind w:firstLine="241" w:firstLineChars="1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第十八条  检查内容</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防浪墙是否完整、倾斜，堤顶是否坚实平整，堤肩线是否顺直。有无凹陷、裂缝、残缺。堤坡是否平顺，有无雨淋沟、滑坡、裂缝、塌坑、洞穴，有无害堤动物洞穴和活动痕迹，有无渗水散浸；堤脚有无发生淘刷、变形、坍塌等现象。排水沟是否完好、顺畅，排水孔是否正常，渗漏水量变化情况等。混凝土结构有无溶蚀、侵蚀和冻害、破损、老化等情况。砌石结构是否平整、完好、紧密，有无松动、塌陷、脱落、风化、架空等情况。</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（2）征用红线范围和保护范围有无管涌、渗水情况， 红线范围内如有非法种植、非法搭建、非法侵占等行为应及时组织力量清障，管理范围、保护范围内有无从事危害堤防工程安全、影响工程运行的行为及其它禁止性行为。</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护坡、护岸的护面是否平整、完好，相邻段有无错动、伸缩缝开合是否正常，砌体有无松动、塌陷、脱落、架空、垫层淘刷现象，护坡上有无杂草、杂树和杂物等。浆砌石或混凝土护坡变形缝和止水是否完好，坡面是否发生局部侵蚀剥落、裂缝或破碎老化，排水孔排水是否顺畅。护脚体表面有无凹陷、坍塌，护脚平台及坡度是否平顺，护脚体下部有无冲动、走失。</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（4）防渗设施保护层是否完整，有无损坏、失效；有无异常渗水等。排水沟有无沉陷、断裂、接头漏水、阻塞；排水孔排水是否顺畅。</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交叉建筑物与堤防接合部的结合是否紧密；是否有不均匀沉陷、裂缝、空隙等；临水侧截水设施是否完好无损，背水侧反滤排水设施是否完好、无阻塞现象。交叉建筑物有无破损、开裂、变形、异常渗水等现象，能否安全运行。交叉建筑物有相应标准的按照其标准检查。交叉建筑物运行管理对堤防工程安全有无影响。</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 护堤林带、草皮护坡是否存在损坏、缺失现象，是否有荆棘、杂草或灌木。</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 路面是否平整、坚实，交通是否通畅，是否存在阻碍交通管理的现象，交通标识、卡管物是否完好。通信网的各种设施是否完好，能否正常运行。信息化设施：检查信息化设备、电缆是否完好，是否存在破损、中断等现象，检查信息化系统是否运行正常，监控图像是否存在缺失现象。标识标牌：堤防上公告牌、责任牌、公里桩、百米桩、界桩、警示牌、名称标识牌等是否完好，字迹是否清晰，是否存在丢失或损坏现象。检查绿道节点景观设施是否整洁、完好，是否存在损坏、安全隐患等现象。</w:t>
      </w:r>
    </w:p>
    <w:p>
      <w:pPr>
        <w:pageBreakBefore w:val="0"/>
        <w:kinsoku/>
        <w:wordWrap/>
        <w:overflowPunct/>
        <w:topLinePunct w:val="0"/>
        <w:autoSpaceDE/>
        <w:autoSpaceDN/>
        <w:bidi w:val="0"/>
        <w:spacing w:line="50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第十九条  检查流程和运行流程</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检查人员按以下流程开展检查工作：</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（1）根据水利工程标准化管理要求，确定检查频次。</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（2）掌握天气、水雨情情况。</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（3）准备检查工具。</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（4）开展检查工作。</w:t>
      </w:r>
    </w:p>
    <w:p>
      <w:pPr>
        <w:pageBreakBefore w:val="0"/>
        <w:kinsoku/>
        <w:wordWrap/>
        <w:overflowPunct/>
        <w:topLinePunct w:val="0"/>
        <w:autoSpaceDE/>
        <w:autoSpaceDN/>
        <w:bidi w:val="0"/>
        <w:spacing w:line="50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第二十条  检查要求</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（1）确定检查频次。</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1）无特殊情况下，经常检查频次为每3天至少开展一次进行日常工程检查。</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2）当启动Ⅳ级应急响应时，按照防汛预案有关要求，每天一次进行日常工程检查。</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3）当启动Ⅲ级及以上应急响应时，启动《湖州市直管水利工程防汛防台（旱）应急预案》，由市防指统一调度指挥，加强巡堤检查。</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掌握天气情况</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通过气象预报掌握天气状况，如遇极端天气如大暴雨、台风、强对流天气时，检查人员需加强自我保护，择时开展检查。</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（3）携带检查工具： </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根据检查工作需要，选择携带以下工具：</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1）记录工具：运行检查记录本、笔、信息化设备；</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2）检查工具：根据上次检查中发现的问题，选择性携带锤、钎、钢卷尺等；如有护坡松动等，可带锤钎进一步探明；有裂缝等异常点需量尺寸、位置的，可带钢卷尺测量。</w:t>
      </w:r>
    </w:p>
    <w:p>
      <w:pPr>
        <w:pageBreakBefore w:val="0"/>
        <w:kinsoku/>
        <w:wordWrap/>
        <w:overflowPunct/>
        <w:topLinePunct w:val="0"/>
        <w:autoSpaceDE/>
        <w:autoSpaceDN/>
        <w:bidi w:val="0"/>
        <w:spacing w:line="500" w:lineRule="exact"/>
        <w:ind w:firstLine="120" w:firstLineChars="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3）安全工具：通信工具、救生衣、照明工具、草帽、雨衣鞋等。</w:t>
      </w:r>
    </w:p>
    <w:p>
      <w:pPr>
        <w:pageBreakBefore w:val="0"/>
        <w:kinsoku/>
        <w:wordWrap/>
        <w:overflowPunct/>
        <w:topLinePunct w:val="0"/>
        <w:autoSpaceDE/>
        <w:autoSpaceDN/>
        <w:bidi w:val="0"/>
        <w:spacing w:line="50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第二十一条  检查方法</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经常检查的外部检查，对</w:t>
      </w:r>
      <w:r>
        <w:rPr>
          <w:rFonts w:hint="eastAsia" w:ascii="仿宋" w:hAnsi="仿宋" w:eastAsia="仿宋" w:cs="仿宋"/>
          <w:color w:val="auto"/>
          <w:sz w:val="24"/>
          <w:szCs w:val="24"/>
          <w:lang w:eastAsia="zh-CN"/>
        </w:rPr>
        <w:t>水闸泵站</w:t>
      </w:r>
      <w:r>
        <w:rPr>
          <w:rFonts w:hint="eastAsia" w:ascii="仿宋" w:hAnsi="仿宋" w:eastAsia="仿宋" w:cs="仿宋"/>
          <w:color w:val="auto"/>
          <w:sz w:val="24"/>
          <w:szCs w:val="24"/>
        </w:rPr>
        <w:t>建筑物及各设施设备进行目视检查。</w:t>
      </w:r>
    </w:p>
    <w:p>
      <w:pPr>
        <w:pageBreakBefore w:val="0"/>
        <w:kinsoku/>
        <w:wordWrap/>
        <w:overflowPunct/>
        <w:topLinePunct w:val="0"/>
        <w:autoSpaceDE/>
        <w:autoSpaceDN/>
        <w:bidi w:val="0"/>
        <w:spacing w:line="50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第二十二条  时间、路线、人员要求</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巡查路线必须沿水闸或泵站进行，不得驾驶汽车跑巡查轨迹。根据实际情况，合理安排巡查人员进行现场经常检查，保证巡查任务高质量完成。</w:t>
      </w:r>
    </w:p>
    <w:p>
      <w:pPr>
        <w:pageBreakBefore w:val="0"/>
        <w:kinsoku/>
        <w:wordWrap/>
        <w:overflowPunct/>
        <w:topLinePunct w:val="0"/>
        <w:autoSpaceDE/>
        <w:autoSpaceDN/>
        <w:bidi w:val="0"/>
        <w:spacing w:line="50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第二十三条  成果记录</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在每个检查点、检查线路完成后，向工程检查负责岗报告检查情况。</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六  重要地段养护</w:t>
      </w:r>
    </w:p>
    <w:p>
      <w:pPr>
        <w:pageBreakBefore w:val="0"/>
        <w:kinsoku/>
        <w:wordWrap/>
        <w:overflowPunct/>
        <w:topLinePunct w:val="0"/>
        <w:autoSpaceDE/>
        <w:autoSpaceDN/>
        <w:bidi w:val="0"/>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第二十四条</w:t>
      </w:r>
      <w:r>
        <w:rPr>
          <w:rFonts w:hint="eastAsia" w:ascii="仿宋" w:hAnsi="仿宋" w:eastAsia="仿宋" w:cs="仿宋"/>
          <w:b w:val="0"/>
          <w:bCs w:val="0"/>
          <w:color w:val="auto"/>
          <w:sz w:val="24"/>
          <w:szCs w:val="24"/>
          <w:highlight w:val="none"/>
        </w:rPr>
        <w:t xml:space="preserve"> 各重要水闸或泵站，应根据发包人要求，在重要活动前加密频次做好绿化修剪、除草、保洁等工作，该项工作内容费用包含在投标报价中，不单独计列费用。</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七  绿化养护</w:t>
      </w:r>
    </w:p>
    <w:p>
      <w:pPr>
        <w:pageBreakBefore w:val="0"/>
        <w:kinsoku/>
        <w:wordWrap/>
        <w:overflowPunct/>
        <w:topLinePunct w:val="0"/>
        <w:autoSpaceDE/>
        <w:autoSpaceDN/>
        <w:bidi w:val="0"/>
        <w:spacing w:line="50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第二十五条</w:t>
      </w:r>
      <w:r>
        <w:rPr>
          <w:rFonts w:hint="eastAsia" w:ascii="仿宋" w:hAnsi="仿宋" w:eastAsia="仿宋" w:cs="仿宋"/>
          <w:color w:val="auto"/>
          <w:sz w:val="24"/>
          <w:szCs w:val="24"/>
        </w:rPr>
        <w:t xml:space="preserve">  </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（1）修剪除草：</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1）乔灌木修剪基本合理，时间较为适合，修剪作业能基本符合植物生长特性，每年修剪不少于二次，乔木下垂枝尖端不得低于2.5米，树高一般控制在10~17米之间，注意不能影响高压线；</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2）草坪、地被覆盖率达到90%以上；草坪高度控制在8公分以内，草坪内杂草控制在20%以内且无20cm以上杂草、基本无积水，生长和颜色无明显异常。每年修剪不少于4次，时间较为适合。</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防病治虫：防病治虫：及时做好病虫害的防治工作，根据预防为主、综合防治的原则，早发现早处理。发生病虫为害，最严重的受害面积控制在8%以下，严禁使用国家明令禁止的剧毒、高毒、高残留农药，提倡使用生物农药。</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（3）浇水施肥：根据实际特别是夏季，对苗木、灌木、草坪进行适期适量浇水，及时抗旱，确保正常生长。土壤疏松，根据植物生态习性及时施肥，要求一年施肥1次。</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（4）补缺调整：绿地内无明显死株、缺株，无明显倾斜或倒伏植株，对绿地内死株、缺株、倾斜或倒伏株能予扶正、补植，乔灌木保存率92%以上；</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（5）刷白：乔木主干每年11月底前完成涂白一次，刷白高度为1.2米。刷白均匀细致；树枝的裂隙应全部粉刷。</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（6）绿地保洁：保持绿地清洁，无垃圾杂物，绿化生产垃圾(如：树枝、草末等)做到日产日清，绿地内无明显的废弃物或垃圾，并能坚持在节假日或重要活动前进行突击清理。</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7）安全管理：绿养护人员、设备到位；严格按安全生产操作规程组织作业，养护管理规范；有防台、抗旱、抗雪应对预案，遇灾害性天气及时采取修枝、加固、浇水、打雪等措施；保护所承担养护区域的绿地，发现破坏绿地情况，及时制止并上报。 </w:t>
      </w:r>
    </w:p>
    <w:p>
      <w:pPr>
        <w:pStyle w:val="2"/>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绿化养护范围：水闸管理区域，变压器房周边。</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八  保洁</w:t>
      </w:r>
    </w:p>
    <w:p>
      <w:pPr>
        <w:pStyle w:val="2"/>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 xml:space="preserve">第二十六条 </w:t>
      </w:r>
      <w:r>
        <w:rPr>
          <w:rFonts w:hint="eastAsia" w:ascii="仿宋" w:hAnsi="仿宋" w:eastAsia="仿宋" w:cs="仿宋"/>
          <w:color w:val="auto"/>
          <w:sz w:val="24"/>
          <w:szCs w:val="24"/>
        </w:rPr>
        <w:t xml:space="preserve"> 工程的保洁范围为：水闸或泵站管理范围内的所有设施设备，包括但不限于楼地面、栏杆、设备表面、外部道路等（不包括</w:t>
      </w:r>
      <w:r>
        <w:rPr>
          <w:rFonts w:hint="eastAsia" w:ascii="仿宋" w:hAnsi="仿宋" w:eastAsia="仿宋" w:cs="仿宋"/>
          <w:color w:val="auto"/>
          <w:sz w:val="24"/>
          <w:szCs w:val="24"/>
          <w:lang w:eastAsia="zh-CN"/>
        </w:rPr>
        <w:t>外墙</w:t>
      </w:r>
      <w:r>
        <w:rPr>
          <w:rFonts w:hint="eastAsia" w:ascii="仿宋" w:hAnsi="仿宋" w:eastAsia="仿宋" w:cs="仿宋"/>
          <w:color w:val="auto"/>
          <w:sz w:val="24"/>
          <w:szCs w:val="24"/>
        </w:rPr>
        <w:t>玻璃）</w:t>
      </w:r>
      <w:r>
        <w:rPr>
          <w:rFonts w:hint="eastAsia" w:ascii="仿宋" w:hAnsi="仿宋" w:eastAsia="仿宋" w:cs="仿宋"/>
          <w:color w:val="auto"/>
          <w:sz w:val="24"/>
          <w:szCs w:val="24"/>
          <w:lang w:eastAsia="zh-CN"/>
        </w:rPr>
        <w:t>、闸门冲洗</w:t>
      </w:r>
      <w:r>
        <w:rPr>
          <w:rFonts w:hint="eastAsia" w:ascii="仿宋" w:hAnsi="仿宋" w:eastAsia="仿宋" w:cs="仿宋"/>
          <w:color w:val="auto"/>
          <w:sz w:val="24"/>
          <w:szCs w:val="24"/>
        </w:rPr>
        <w:t>，每3天至少保洁1次，</w:t>
      </w:r>
      <w:r>
        <w:rPr>
          <w:rFonts w:hint="eastAsia" w:ascii="仿宋" w:hAnsi="仿宋" w:eastAsia="仿宋" w:cs="仿宋"/>
          <w:color w:val="auto"/>
          <w:sz w:val="24"/>
          <w:szCs w:val="24"/>
          <w:lang w:val="en-US" w:eastAsia="zh-CN"/>
        </w:rPr>
        <w:t>其中环湖大堤沿线水闸外部区域每天保洁1次，</w:t>
      </w:r>
      <w:r>
        <w:rPr>
          <w:rFonts w:hint="eastAsia" w:ascii="仿宋" w:hAnsi="仿宋" w:eastAsia="仿宋" w:cs="仿宋"/>
          <w:color w:val="auto"/>
          <w:sz w:val="24"/>
          <w:szCs w:val="24"/>
        </w:rPr>
        <w:t>主要清理日常垃圾。</w:t>
      </w:r>
    </w:p>
    <w:p>
      <w:pPr>
        <w:pStyle w:val="55"/>
        <w:pageBreakBefore w:val="0"/>
        <w:kinsoku/>
        <w:wordWrap/>
        <w:overflowPunct/>
        <w:topLinePunct w:val="0"/>
        <w:autoSpaceDE/>
        <w:autoSpaceDN/>
        <w:bidi w:val="0"/>
        <w:spacing w:before="144" w:after="72" w:line="500" w:lineRule="exact"/>
        <w:jc w:val="center"/>
        <w:textAlignment w:val="auto"/>
        <w:rPr>
          <w:rFonts w:hint="eastAsia" w:ascii="仿宋" w:hAnsi="仿宋" w:eastAsia="仿宋" w:cs="仿宋"/>
          <w:color w:val="auto"/>
          <w:sz w:val="24"/>
          <w:szCs w:val="24"/>
          <w:lang w:val="en-US" w:bidi="ar-SA"/>
        </w:rPr>
      </w:pPr>
      <w:bookmarkStart w:id="14" w:name="_Toc16737"/>
      <w:bookmarkStart w:id="15" w:name="_Toc455575488"/>
      <w:bookmarkStart w:id="16" w:name="_Toc495759874"/>
      <w:bookmarkStart w:id="17" w:name="_Toc491600038"/>
      <w:bookmarkStart w:id="18" w:name="_Toc511641589"/>
      <w:r>
        <w:rPr>
          <w:rFonts w:hint="eastAsia" w:ascii="仿宋" w:hAnsi="仿宋" w:eastAsia="仿宋" w:cs="仿宋"/>
          <w:color w:val="auto"/>
          <w:sz w:val="24"/>
          <w:szCs w:val="24"/>
          <w:lang w:val="en-US" w:bidi="ar-SA"/>
        </w:rPr>
        <w:t>九 水闸泵站</w:t>
      </w:r>
      <w:bookmarkEnd w:id="14"/>
      <w:bookmarkEnd w:id="15"/>
      <w:bookmarkEnd w:id="16"/>
      <w:bookmarkEnd w:id="17"/>
      <w:bookmarkEnd w:id="18"/>
      <w:r>
        <w:rPr>
          <w:rFonts w:hint="eastAsia" w:ascii="仿宋" w:hAnsi="仿宋" w:eastAsia="仿宋" w:cs="仿宋"/>
          <w:color w:val="auto"/>
          <w:sz w:val="24"/>
          <w:szCs w:val="24"/>
          <w:lang w:val="en-US" w:bidi="ar-SA"/>
        </w:rPr>
        <w:t>运行</w:t>
      </w:r>
    </w:p>
    <w:p>
      <w:pPr>
        <w:pageBreakBefore w:val="0"/>
        <w:kinsoku/>
        <w:wordWrap/>
        <w:overflowPunct/>
        <w:topLinePunct w:val="0"/>
        <w:autoSpaceDE/>
        <w:autoSpaceDN/>
        <w:bidi w:val="0"/>
        <w:spacing w:line="500" w:lineRule="exact"/>
        <w:ind w:firstLine="600" w:firstLineChars="25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供应商应根据发包人指令，开展水闸泵站试运行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每15天至少开展1次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或运行工作。当启动Ⅳ级应急响应时，按照防汛预案有关要求</w:t>
      </w:r>
      <w:r>
        <w:rPr>
          <w:rFonts w:hint="eastAsia" w:ascii="仿宋" w:hAnsi="仿宋" w:eastAsia="仿宋" w:cs="仿宋"/>
          <w:color w:val="auto"/>
          <w:sz w:val="24"/>
          <w:szCs w:val="24"/>
          <w:lang w:val="en-US" w:eastAsia="zh-CN"/>
        </w:rPr>
        <w:t>开展试运行，</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p>
    <w:p>
      <w:pPr>
        <w:pStyle w:val="55"/>
        <w:pageBreakBefore w:val="0"/>
        <w:kinsoku/>
        <w:wordWrap/>
        <w:overflowPunct/>
        <w:topLinePunct w:val="0"/>
        <w:autoSpaceDE/>
        <w:autoSpaceDN/>
        <w:bidi w:val="0"/>
        <w:spacing w:before="144" w:after="72" w:line="500" w:lineRule="exact"/>
        <w:textAlignment w:val="auto"/>
        <w:rPr>
          <w:rFonts w:hint="eastAsia" w:ascii="仿宋" w:hAnsi="仿宋" w:eastAsia="仿宋" w:cs="仿宋"/>
          <w:color w:val="auto"/>
          <w:sz w:val="24"/>
          <w:szCs w:val="24"/>
          <w:lang w:val="en-US" w:bidi="ar-SA"/>
        </w:rPr>
      </w:pPr>
      <w:bookmarkStart w:id="19" w:name="_Toc27092"/>
      <w:bookmarkStart w:id="20" w:name="_Toc491600039"/>
      <w:bookmarkStart w:id="21" w:name="_Toc495759875"/>
      <w:bookmarkStart w:id="22" w:name="_Toc455575489"/>
      <w:bookmarkStart w:id="23" w:name="_Toc511641590"/>
      <w:r>
        <w:rPr>
          <w:rFonts w:hint="eastAsia" w:ascii="仿宋" w:hAnsi="仿宋" w:eastAsia="仿宋" w:cs="仿宋"/>
          <w:color w:val="auto"/>
          <w:sz w:val="24"/>
          <w:szCs w:val="24"/>
          <w:lang w:val="en-US" w:bidi="ar-SA"/>
        </w:rPr>
        <w:t>第二十七条 水闸（泵站）操作</w:t>
      </w:r>
      <w:bookmarkEnd w:id="19"/>
      <w:bookmarkEnd w:id="20"/>
      <w:bookmarkEnd w:id="21"/>
      <w:bookmarkEnd w:id="22"/>
      <w:bookmarkEnd w:id="23"/>
    </w:p>
    <w:p>
      <w:pPr>
        <w:pStyle w:val="56"/>
        <w:pageBreakBefore w:val="0"/>
        <w:kinsoku/>
        <w:wordWrap/>
        <w:overflowPunct/>
        <w:topLinePunct w:val="0"/>
        <w:autoSpaceDE/>
        <w:autoSpaceDN/>
        <w:bidi w:val="0"/>
        <w:spacing w:before="120" w:after="48"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1、工作流程</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（1）供应商接受水闸（泵站）操作指令；</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（2）供应商通知操作人员及时到岗；</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（3）操作人员做好水闸（泵站）运行前检查工作，发现问题及时处理；</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（4）水闸操作运行，做好有关检查和记录工作；</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（5）闸门（水泵）运行后做好相关记录，并整理台账。</w:t>
      </w: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2、操作前预警</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闸门或水泵启闭前提前预警，操作运行岗在闸门或水泵开启前确认上下游无船只逗留，两岸无危险作业。当发现上下游有船只未及时离开或是左右岸作业未及时停止，采用人工喊话进行预警。</w:t>
      </w: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3、闸门启闭前相关检查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各闸门操作运行岗到岗就位后，应仔细检查闸门、启闭机及闸门周边环境情况，做好开/关闸准备工作。</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检查要求如下：</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（1）周边环境检查：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1）观察水闸上下游有无船只、渔民和影响闸门启闭的漂浮物；</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2）通过水位尺检查上下游水位情况。</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（2）闸门的检查：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1）检查闸门启、闭状态，闸门多次启闭时，应检查开度是否在原定的位置；</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2）检查闸门的周围有无漂浮物卡阻，门体有无歪斜，门槽是否堵塞；</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3）锁门器的投解锁状态等。</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（3）启闭设备检查：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1）检查控制柜电源开关状态及电源指示灯情况；</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2）检查开度仪及荷载仪显示屏、电压表、电流表有无破损；</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3）变速箱、制动器、卷筒、钢丝绳等是否安全可靠；</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4）牵引设备是否正常，如钢丝绳有无锈蚀、断裂，吊点结合是否牢固；</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5）卷扬机卷筒上钢丝绳的排列情况，电机开关状态是否正确；液压启闭机的油泵、阀、滤油器是否正常，回油管阀门和其他手动阀门开关状态是否正确，邮箱的油量是否充足，管道、油缸是否漏油等。</w:t>
      </w: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4、闸门启闭操作</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闸门开启应按设计提供的启闭程序及操作规程进行操作运行；开启完成后投入锁定装置；并检查闸门开度是否与调度通知单要求一致。闸门操作时，人员不得少于3人，须1人操作，1人监护，1人观察，严禁1人独立操作。</w:t>
      </w: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5、操作注意事项</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（1）闸门操作运行应按照设计规定执行，工作闸门可在动水下启闭；检修闸门一般应在静水情况下启闭，事故、检修闸门不能用以控制流量；通航孔工作闸门一般应在静水情况下启闭。</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（2）闸门启闭时，如发生沉重、停滞、卡阻、杂声等异常情况，应及时停机检查原因并予以处理，消除不正常现象后，再行启闭。</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启闭闸门时，应密切注意启闭机电动机运行动向，电器、电压、机械设备的运用，开度指示器及各种仪表所示的位置等，防止反转造成事故；若发现当启闭力达到要求，而闸门仍固定不动或发生其他异常现象时，应立即停机检查处理，不得强行启闭。启闭结束后应立即切断电源。</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（4）闸门正在启闭时，不得按反向按钮，如需改变闸门运行方向时，应先停车，确认停止后，再反向运行。</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（5）当闸门需要长期全开或固定在某一开度时，应投入锁定装置；投入锁定装置的闸门，启闭前应先打开锁定装置。</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（6）人工操作手、电两用启闭机时，必须先断开电源，合上离合器，方能操作；闭门时严禁松开制动器使闸门自由下落；操作结束应立即取下摇柄，拉开离合器。</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（7）使用液压启闭机，当闸门开启到达预定位置，而压力仍然升高时，应立即停机检查，并将回油控制阀开大到极限位置等可靠措施。</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（8）凡有锁定设施的闸门，闭门前应先打开锁定装置；当启闭结束后，应立即予以锁定。</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（9）闸门开启后，应仔细核对开启高度，观察上下游流态，检查制动设备，切断电源等；启闭完毕后，应校核闸门的开度。</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（10）当用人力操作闸门时，在接近最大开度或关闭位置时，应注意及时停止操作。</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（11）当液压启闭机运行造成不同步时，应马上停机检查闸门纠偏控制系统。</w:t>
      </w: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6、水泵操作运行</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（1）确认主变油位正常并无漏油迹象，进线铝排上有无异物、树枝等，发现情况请及时处理掉。</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（2）开启电脑，点击桌面上视频监控图标，进入泵站自动化监控系统，观察电脑上的内河外港水位并记录。</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（3）进入高压开关室内带上高压绝缘手套，并穿上高压绝缘鞋，一人操作一人监护。使用操作手柄将接地刀的隔离触头摇至工作位置，断开接地线（逆时针旋转90°），观察旁边开关状态指示正确无误。</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用摇手柄合上进线隔离柜上的隔离开关（顺时针旋转90°），观察旁边的开关状态正确无误</w:t>
      </w:r>
      <w:r>
        <w:rPr>
          <w:rFonts w:hint="eastAsia" w:ascii="仿宋" w:hAnsi="仿宋" w:eastAsia="仿宋" w:cs="仿宋"/>
          <w:color w:val="auto"/>
          <w:sz w:val="24"/>
          <w:szCs w:val="24"/>
          <w:lang w:eastAsia="zh-CN"/>
        </w:rPr>
        <w:t>。</w:t>
      </w:r>
      <w:r>
        <w:rPr>
          <w:rFonts w:hint="eastAsia" w:ascii="仿宋" w:hAnsi="仿宋" w:eastAsia="仿宋" w:cs="仿宋"/>
          <w:b/>
          <w:bCs/>
          <w:color w:val="auto"/>
          <w:kern w:val="0"/>
          <w:sz w:val="24"/>
          <w:szCs w:val="24"/>
        </w:rPr>
        <w:t xml:space="preserve">    </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在高压室内找到ABB柜，查看SF4压力指示表是否正常。</w:t>
      </w:r>
      <w:r>
        <w:rPr>
          <w:rFonts w:hint="eastAsia" w:ascii="仿宋" w:hAnsi="仿宋" w:eastAsia="仿宋" w:cs="仿宋"/>
          <w:b/>
          <w:bCs/>
          <w:color w:val="auto"/>
          <w:kern w:val="0"/>
          <w:sz w:val="24"/>
          <w:szCs w:val="24"/>
        </w:rPr>
        <w:t xml:space="preserve">  </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使用操作手柄将负荷开关顺时针旋转90°，打开开关，查看旁边开关状态正确无误。然后按下高压合闸按钮（绿色为合闸，红色为分闸）。</w:t>
      </w:r>
    </w:p>
    <w:p>
      <w:pPr>
        <w:pageBreakBefore w:val="0"/>
        <w:widowControl/>
        <w:kinsoku/>
        <w:wordWrap/>
        <w:overflowPunct/>
        <w:topLinePunct w:val="0"/>
        <w:autoSpaceDE/>
        <w:autoSpaceDN/>
        <w:bidi w:val="0"/>
        <w:spacing w:line="500" w:lineRule="exact"/>
        <w:jc w:val="both"/>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 xml:space="preserve">   </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z w:val="24"/>
          <w:szCs w:val="24"/>
        </w:rPr>
        <w:t>进入低压室，找到低压送电柜上的送电开关，按下按钮送电。</w:t>
      </w:r>
      <w:r>
        <w:rPr>
          <w:rFonts w:hint="eastAsia" w:ascii="仿宋" w:hAnsi="仿宋" w:eastAsia="仿宋" w:cs="仿宋"/>
          <w:b w:val="0"/>
          <w:bCs w:val="0"/>
          <w:color w:val="auto"/>
          <w:kern w:val="0"/>
          <w:sz w:val="24"/>
          <w:szCs w:val="24"/>
        </w:rPr>
        <w:t xml:space="preserve">   </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找到电容柜，按下合闸按钮，指示灯亮起，确认各仪表读数正常。</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找到手动投入电容柜，投入全部电容。</w:t>
      </w:r>
      <w:r>
        <w:rPr>
          <w:rFonts w:hint="eastAsia" w:ascii="仿宋" w:hAnsi="仿宋" w:eastAsia="仿宋" w:cs="仿宋"/>
          <w:b w:val="0"/>
          <w:bCs w:val="0"/>
          <w:color w:val="auto"/>
          <w:kern w:val="0"/>
          <w:sz w:val="24"/>
          <w:szCs w:val="24"/>
        </w:rPr>
        <w:t xml:space="preserve">   </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z w:val="24"/>
          <w:szCs w:val="24"/>
        </w:rPr>
        <w:t>找到自动投入电容柜，旋转手柄，投入全部电容，指示灯亮起。</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找到水泵电源柜，旋转手柄，合上开关，合闸指示灯亮起。</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进入泵房找到控制室电源开关，确认水泵控制室电源开关是否处于合闸状态。</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打开润滑水阀门</w:t>
      </w:r>
      <w:r>
        <w:rPr>
          <w:rFonts w:hint="eastAsia" w:ascii="仿宋" w:hAnsi="仿宋" w:eastAsia="仿宋" w:cs="仿宋"/>
          <w:b w:val="0"/>
          <w:bCs w:val="0"/>
          <w:color w:val="auto"/>
          <w:sz w:val="24"/>
          <w:szCs w:val="24"/>
          <w:lang w:eastAsia="zh-CN"/>
        </w:rPr>
        <w:t>。</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进入水泵控制室，检查PLC柜内各PLC指示灯是否正常（绿色灯亮为正常）。</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找到水泵电源控制柜，合上水泵控制柜电源空气开关。</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合上水泵控制柜二次线路和润滑水空气开关。</w:t>
      </w:r>
    </w:p>
    <w:p>
      <w:pPr>
        <w:pageBreakBefore w:val="0"/>
        <w:numPr>
          <w:ilvl w:val="0"/>
          <w:numId w:val="4"/>
        </w:numPr>
        <w:kinsoku/>
        <w:wordWrap/>
        <w:overflowPunct/>
        <w:topLinePunct w:val="0"/>
        <w:autoSpaceDE/>
        <w:autoSpaceDN/>
        <w:bidi w:val="0"/>
        <w:spacing w:line="500" w:lineRule="exact"/>
        <w:ind w:firstLine="56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找到需要开启的水泵操作柜，观察润滑水指示灯是否亮起，确认无误后，选择水泵启动方式。</w:t>
      </w:r>
    </w:p>
    <w:p>
      <w:pPr>
        <w:pageBreakBefore w:val="0"/>
        <w:kinsoku/>
        <w:wordWrap/>
        <w:overflowPunct/>
        <w:topLinePunct w:val="0"/>
        <w:autoSpaceDE/>
        <w:autoSpaceDN/>
        <w:bidi w:val="0"/>
        <w:spacing w:line="500" w:lineRule="exact"/>
        <w:ind w:firstLine="560"/>
        <w:jc w:val="center"/>
        <w:textAlignment w:val="auto"/>
        <w:rPr>
          <w:rFonts w:hint="eastAsia" w:ascii="仿宋" w:hAnsi="仿宋" w:eastAsia="仿宋" w:cs="仿宋"/>
          <w:color w:val="auto"/>
          <w:sz w:val="24"/>
          <w:szCs w:val="24"/>
        </w:rPr>
      </w:pPr>
    </w:p>
    <w:p>
      <w:pPr>
        <w:pStyle w:val="57"/>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7、水泵运行中的相关检查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1、巡查工作路线</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具体路径：中央控制室—河道检查—水泵控制室—泵房。</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2、工作要求：</w:t>
      </w:r>
    </w:p>
    <w:p>
      <w:pPr>
        <w:pageBreakBefore w:val="0"/>
        <w:kinsoku/>
        <w:wordWrap/>
        <w:overflowPunct/>
        <w:topLinePunct w:val="0"/>
        <w:autoSpaceDE/>
        <w:autoSpaceDN/>
        <w:bidi w:val="0"/>
        <w:spacing w:line="500" w:lineRule="exact"/>
        <w:ind w:firstLine="562"/>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中央控制室</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（1）查看内河、外港水位，确保内河水位不低于最低运行水位。</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（2）查看已运行的机组信息，运行状态。</w:t>
      </w:r>
    </w:p>
    <w:p>
      <w:pPr>
        <w:pageBreakBefore w:val="0"/>
        <w:kinsoku/>
        <w:wordWrap/>
        <w:overflowPunct/>
        <w:topLinePunct w:val="0"/>
        <w:autoSpaceDE/>
        <w:autoSpaceDN/>
        <w:bidi w:val="0"/>
        <w:spacing w:line="500" w:lineRule="exact"/>
        <w:ind w:firstLine="562"/>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河道检查</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1、观察外港水位尺读数与遥测水位读数是否一致，观察外港侧是否有人员与船只，若有则劝其离开。</w:t>
      </w:r>
    </w:p>
    <w:p>
      <w:pPr>
        <w:pageBreakBefore w:val="0"/>
        <w:kinsoku/>
        <w:wordWrap/>
        <w:overflowPunct/>
        <w:topLinePunct w:val="0"/>
        <w:autoSpaceDE/>
        <w:autoSpaceDN/>
        <w:bidi w:val="0"/>
        <w:spacing w:line="500" w:lineRule="exact"/>
        <w:ind w:firstLine="562"/>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水泵控制室</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（1）查看公用LCU柜：检查电压、电流、功率是否正常。</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（2）观察电源控制柜：仪表读数是否正常。</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泵房</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1、机组运行情况</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观察机组运行是否稳定，无异常声响。</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2、查看LCU柜，电压、电流、功率是否正常。</w:t>
      </w:r>
    </w:p>
    <w:p>
      <w:pPr>
        <w:pageBreakBefore w:val="0"/>
        <w:kinsoku/>
        <w:wordWrap/>
        <w:overflowPunct/>
        <w:topLinePunct w:val="0"/>
        <w:autoSpaceDE/>
        <w:autoSpaceDN/>
        <w:bidi w:val="0"/>
        <w:spacing w:line="500" w:lineRule="exact"/>
        <w:ind w:firstLine="56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3、查看润滑水供水是否正常。</w:t>
      </w: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bCs/>
          <w:color w:val="auto"/>
          <w:sz w:val="24"/>
          <w:szCs w:val="24"/>
        </w:rPr>
      </w:pPr>
    </w:p>
    <w:p>
      <w:pPr>
        <w:pageBreakBefore w:val="0"/>
        <w:kinsoku/>
        <w:wordWrap/>
        <w:overflowPunct/>
        <w:topLinePunct w:val="0"/>
        <w:autoSpaceDE/>
        <w:autoSpaceDN/>
        <w:bidi w:val="0"/>
        <w:spacing w:line="50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十  其他要求</w:t>
      </w:r>
    </w:p>
    <w:p>
      <w:pPr>
        <w:pageBreakBefore w:val="0"/>
        <w:kinsoku/>
        <w:wordWrap/>
        <w:overflowPunct/>
        <w:topLinePunct w:val="0"/>
        <w:autoSpaceDE/>
        <w:autoSpaceDN/>
        <w:bidi w:val="0"/>
        <w:spacing w:line="50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第二十八条  项目负责人及其他人员。项目负责人按照本合同的约定行使权利，履行职责。</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（1）为实施本合同发出的一切函件应由项目负责人或其授权代表签名，发包方人员在回执上签署姓名和收到时间后生效。</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（2）项目负责人按采购人批准的维护防护、维护进度计划和根据合同发出的指示、要求组织维护工作。</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（3）项目负责人及安全员如因特殊情况需要调换，须经业主同意，更换后的项目负责人是供应商正式职工（须提供</w:t>
      </w:r>
      <w:r>
        <w:rPr>
          <w:rFonts w:hint="eastAsia" w:ascii="仿宋" w:hAnsi="仿宋" w:eastAsia="仿宋" w:cs="仿宋"/>
          <w:color w:val="auto"/>
          <w:kern w:val="0"/>
          <w:sz w:val="24"/>
          <w:szCs w:val="24"/>
          <w:highlight w:val="none"/>
        </w:rPr>
        <w:t>2021年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月至今任意</w:t>
      </w:r>
      <w:r>
        <w:rPr>
          <w:rFonts w:hint="eastAsia" w:ascii="仿宋" w:hAnsi="仿宋" w:eastAsia="仿宋" w:cs="仿宋"/>
          <w:color w:val="auto"/>
          <w:sz w:val="24"/>
          <w:szCs w:val="24"/>
          <w:highlight w:val="none"/>
        </w:rPr>
        <w:t>1个月的社保</w:t>
      </w:r>
      <w:r>
        <w:rPr>
          <w:rFonts w:hint="eastAsia" w:ascii="仿宋" w:hAnsi="仿宋" w:eastAsia="仿宋" w:cs="仿宋"/>
          <w:bCs/>
          <w:color w:val="auto"/>
          <w:sz w:val="24"/>
          <w:szCs w:val="24"/>
          <w:highlight w:val="none"/>
        </w:rPr>
        <w:t>本单位缴纳</w:t>
      </w:r>
      <w:r>
        <w:rPr>
          <w:rFonts w:hint="eastAsia" w:ascii="仿宋" w:hAnsi="仿宋" w:eastAsia="仿宋" w:cs="仿宋"/>
          <w:color w:val="auto"/>
          <w:sz w:val="24"/>
          <w:szCs w:val="24"/>
          <w:highlight w:val="none"/>
        </w:rPr>
        <w:t>证明），职称不得低于原项目负责人。项目负责人每月在工地时间不得少于22天，如不足22天，每少一天则在季度扣款外另处500元/天罚款。项目负责人连续2个月每月驻工地的天数少于10天，采购人有权要求调换项目负责人，并处以2万元罚款或解除合同(以月度为单位进行统计)。安全员每月在工地时间不得少于22天，如不足22天，每少一天则在季度扣款外另处200元/天罚款。</w:t>
      </w:r>
    </w:p>
    <w:p>
      <w:pPr>
        <w:pStyle w:val="2"/>
        <w:pageBreakBefore w:val="0"/>
        <w:kinsoku/>
        <w:wordWrap/>
        <w:overflowPunct/>
        <w:topLinePunct w:val="0"/>
        <w:autoSpaceDE/>
        <w:autoSpaceDN/>
        <w:bidi w:val="0"/>
        <w:spacing w:line="50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第二十九条 安全文明施工</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人应负责统一管理维护施工文明、安全及治安、消防和防汛抗灾工作。供应商应按技术条款规定，认真做好管辖区施工安全及消防、防汛和抗灾工作。发包方应按有关法律、法规、规章和本合同有关规定，检查承包方上述工作的实施，对供应商故意延误或拒绝改正的，有权责令其停工整改。发生重大伤亡事故，供应商应按有关规定立即通知采购人和上级有关部门。</w:t>
      </w:r>
    </w:p>
    <w:p>
      <w:pPr>
        <w:pageBreakBefore w:val="0"/>
        <w:kinsoku/>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第三十条 不可抗力</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震、洪水、雪雹等不可抗力发生后，供应商应迅速采取措施，尽力减少损失，并在24小时内向采购人通报情况，按合同条款约定的时间向采购人报告损失情况和清理、修复的费用。灾害继续发生，供应商应每隔3天向采购人报告一次灾害情况，直到灾害结束。采购人应对灾害处理提供必要条件。</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因灾害发生的费用按下列规定由双方分别承担。</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1.工程本身的损害由采购人承担。</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2.人员伤亡由其所属单位负责，并承担相应费用。</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3.造成供应商设备、机械的损失等由供应商承担。</w:t>
      </w:r>
    </w:p>
    <w:p>
      <w:pPr>
        <w:pageBreakBefore w:val="0"/>
        <w:kinsoku/>
        <w:wordWrap/>
        <w:overflowPunct/>
        <w:topLinePunct w:val="0"/>
        <w:autoSpaceDE/>
        <w:autoSpaceDN/>
        <w:bidi w:val="0"/>
        <w:spacing w:line="500" w:lineRule="exact"/>
        <w:ind w:firstLine="42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4.所需清理修复工作的费用由采购人承担。</w:t>
      </w:r>
    </w:p>
    <w:p>
      <w:pPr>
        <w:jc w:val="center"/>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pStyle w:val="8"/>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jc w:val="center"/>
        <w:rPr>
          <w:rFonts w:ascii="仿宋" w:hAnsi="仿宋" w:eastAsia="仿宋"/>
          <w:b/>
          <w:bCs/>
          <w:color w:val="auto"/>
          <w:u w:val="single"/>
        </w:rPr>
      </w:pPr>
    </w:p>
    <w:p>
      <w:pPr>
        <w:jc w:val="center"/>
        <w:rPr>
          <w:rFonts w:hint="eastAsia" w:ascii="仿宋" w:hAnsi="仿宋" w:eastAsia="仿宋"/>
          <w:b w:val="0"/>
          <w:bCs/>
          <w:color w:val="auto"/>
          <w:sz w:val="24"/>
          <w:szCs w:val="24"/>
        </w:rPr>
      </w:pPr>
    </w:p>
    <w:p>
      <w:pPr>
        <w:jc w:val="center"/>
        <w:rPr>
          <w:rFonts w:hint="eastAsia" w:ascii="仿宋" w:hAnsi="仿宋" w:eastAsia="仿宋" w:cs="仿宋"/>
          <w:b w:val="0"/>
          <w:bCs/>
          <w:color w:val="auto"/>
          <w:sz w:val="24"/>
          <w:szCs w:val="24"/>
        </w:rPr>
      </w:pPr>
      <w:r>
        <w:rPr>
          <w:rFonts w:hint="eastAsia" w:ascii="仿宋" w:hAnsi="仿宋" w:eastAsia="仿宋"/>
          <w:b w:val="0"/>
          <w:bCs/>
          <w:color w:val="auto"/>
          <w:sz w:val="24"/>
          <w:szCs w:val="24"/>
        </w:rPr>
        <w:t>2021-2023年度</w:t>
      </w:r>
      <w:r>
        <w:rPr>
          <w:rFonts w:hint="eastAsia" w:ascii="仿宋" w:hAnsi="仿宋" w:eastAsia="仿宋"/>
          <w:b w:val="0"/>
          <w:bCs/>
          <w:color w:val="auto"/>
          <w:sz w:val="24"/>
          <w:szCs w:val="24"/>
          <w:lang w:eastAsia="zh-CN"/>
        </w:rPr>
        <w:t>水闸泵站</w:t>
      </w:r>
      <w:r>
        <w:rPr>
          <w:rFonts w:hint="eastAsia" w:ascii="仿宋" w:hAnsi="仿宋" w:eastAsia="仿宋"/>
          <w:b w:val="0"/>
          <w:bCs/>
          <w:color w:val="auto"/>
          <w:sz w:val="24"/>
          <w:szCs w:val="24"/>
        </w:rPr>
        <w:t>运行维修养护服务项目</w:t>
      </w:r>
      <w:r>
        <w:rPr>
          <w:rFonts w:hint="eastAsia" w:ascii="仿宋" w:hAnsi="仿宋" w:eastAsia="仿宋" w:cs="仿宋"/>
          <w:b w:val="0"/>
          <w:bCs/>
          <w:color w:val="auto"/>
          <w:sz w:val="24"/>
          <w:szCs w:val="24"/>
        </w:rPr>
        <w:t xml:space="preserve"> </w:t>
      </w:r>
    </w:p>
    <w:p>
      <w:pPr>
        <w:jc w:val="center"/>
        <w:rPr>
          <w:rFonts w:hint="eastAsia" w:ascii="仿宋" w:hAnsi="仿宋" w:eastAsia="仿宋"/>
          <w:b w:val="0"/>
          <w:bCs/>
          <w:color w:val="auto"/>
          <w:sz w:val="24"/>
          <w:szCs w:val="24"/>
        </w:rPr>
      </w:pPr>
      <w:r>
        <w:rPr>
          <w:rFonts w:hint="eastAsia" w:ascii="仿宋" w:hAnsi="仿宋" w:eastAsia="仿宋"/>
          <w:b w:val="0"/>
          <w:bCs/>
          <w:color w:val="auto"/>
          <w:sz w:val="24"/>
          <w:szCs w:val="24"/>
        </w:rPr>
        <w:t>日常管理养护考核评分表</w:t>
      </w:r>
    </w:p>
    <w:p>
      <w:pPr>
        <w:pStyle w:val="8"/>
        <w:rPr>
          <w:color w:val="auto"/>
        </w:rPr>
      </w:pPr>
    </w:p>
    <w:tbl>
      <w:tblPr>
        <w:tblStyle w:val="21"/>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28"/>
        <w:gridCol w:w="4815"/>
        <w:gridCol w:w="7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序号</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考核内容</w:t>
            </w:r>
          </w:p>
        </w:tc>
        <w:tc>
          <w:tcPr>
            <w:tcW w:w="4815" w:type="dxa"/>
            <w:noWrap/>
            <w:vAlign w:val="center"/>
          </w:tcPr>
          <w:p>
            <w:pPr>
              <w:spacing w:line="560" w:lineRule="exact"/>
              <w:ind w:firstLine="420"/>
              <w:jc w:val="center"/>
              <w:rPr>
                <w:rFonts w:ascii="仿宋" w:hAnsi="仿宋" w:eastAsia="仿宋"/>
                <w:color w:val="auto"/>
                <w:szCs w:val="21"/>
              </w:rPr>
            </w:pPr>
            <w:r>
              <w:rPr>
                <w:rFonts w:hint="eastAsia" w:ascii="仿宋" w:hAnsi="仿宋" w:eastAsia="仿宋"/>
                <w:color w:val="auto"/>
                <w:szCs w:val="21"/>
              </w:rPr>
              <w:t>扣分原则</w:t>
            </w:r>
          </w:p>
        </w:tc>
        <w:tc>
          <w:tcPr>
            <w:tcW w:w="79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扣分情况</w:t>
            </w:r>
          </w:p>
        </w:tc>
        <w:tc>
          <w:tcPr>
            <w:tcW w:w="900"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1</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工程巡查运行</w:t>
            </w:r>
          </w:p>
          <w:p>
            <w:pPr>
              <w:spacing w:line="56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olor w:val="auto"/>
                <w:szCs w:val="21"/>
                <w:lang w:val="en-US" w:eastAsia="zh-CN"/>
              </w:rPr>
              <w:t>3</w:t>
            </w:r>
            <w:r>
              <w:rPr>
                <w:rFonts w:hint="eastAsia" w:ascii="仿宋" w:hAnsi="仿宋" w:eastAsia="仿宋"/>
                <w:color w:val="auto"/>
                <w:szCs w:val="21"/>
              </w:rPr>
              <w:t>0分）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未按规定频率巡查或运行的每少巡查1次扣</w:t>
            </w:r>
            <w:r>
              <w:rPr>
                <w:rFonts w:hint="eastAsia" w:ascii="仿宋" w:hAnsi="仿宋" w:eastAsia="仿宋" w:cs="仿宋"/>
                <w:color w:val="auto"/>
                <w:lang w:val="en-US" w:eastAsia="zh-CN"/>
              </w:rPr>
              <w:t>2</w:t>
            </w:r>
            <w:r>
              <w:rPr>
                <w:rFonts w:hint="eastAsia" w:ascii="仿宋" w:hAnsi="仿宋" w:eastAsia="仿宋" w:cs="仿宋"/>
                <w:color w:val="auto"/>
              </w:rPr>
              <w:t>分，未按规定巡查路线巡查的每次扣</w:t>
            </w:r>
            <w:r>
              <w:rPr>
                <w:rFonts w:hint="eastAsia" w:ascii="仿宋" w:hAnsi="仿宋" w:eastAsia="仿宋" w:cs="仿宋"/>
                <w:color w:val="auto"/>
                <w:lang w:val="en-US" w:eastAsia="zh-CN"/>
              </w:rPr>
              <w:t>1</w:t>
            </w:r>
            <w:r>
              <w:rPr>
                <w:rFonts w:hint="eastAsia" w:ascii="仿宋" w:hAnsi="仿宋" w:eastAsia="仿宋" w:cs="仿宋"/>
                <w:color w:val="auto"/>
              </w:rPr>
              <w:t>分,巡查走形式，不认真巡查运行或巡查运行中未发现安全隐患的每次扣2分。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2</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绿化养护</w:t>
            </w:r>
          </w:p>
          <w:p>
            <w:pPr>
              <w:spacing w:line="56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olor w:val="auto"/>
                <w:szCs w:val="21"/>
                <w:lang w:val="en-US" w:eastAsia="zh-CN"/>
              </w:rPr>
              <w:t>1</w:t>
            </w:r>
            <w:r>
              <w:rPr>
                <w:rFonts w:hint="eastAsia" w:ascii="仿宋" w:hAnsi="仿宋" w:eastAsia="仿宋"/>
                <w:color w:val="auto"/>
                <w:szCs w:val="21"/>
              </w:rPr>
              <w:t>0分）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管理区域树木歪斜、倒伏而未扶直支撑的，每发现一株扣0.2分；树木被偷盗每1株扣0.2分；树木死亡及缺损的每发现一株扣1分；出现病虫害每10株扣0.2分；修剪不符合要求的每10株扣0.2分；刷白不符合要求的每10株扣0.2分。除草不符合要求的每处扣0.2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3</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环境卫生</w:t>
            </w:r>
          </w:p>
          <w:p>
            <w:pPr>
              <w:spacing w:line="560" w:lineRule="exact"/>
              <w:jc w:val="center"/>
              <w:rPr>
                <w:rFonts w:ascii="仿宋" w:hAnsi="仿宋" w:eastAsia="仿宋"/>
                <w:color w:val="auto"/>
                <w:szCs w:val="21"/>
              </w:rPr>
            </w:pPr>
            <w:r>
              <w:rPr>
                <w:rFonts w:hint="eastAsia" w:ascii="仿宋" w:hAnsi="仿宋" w:eastAsia="仿宋"/>
                <w:color w:val="auto"/>
                <w:szCs w:val="21"/>
              </w:rPr>
              <w:t>（20分）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绿地、防汛道路、护坡等养护区域内有明显杂物，影响环境，发现一次扣1分。将修剪、除草工作的杂草、树叶塞在管理区域不外运的的每处扣1分。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4</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服务指令</w:t>
            </w:r>
          </w:p>
          <w:p>
            <w:pPr>
              <w:spacing w:line="560" w:lineRule="exact"/>
              <w:jc w:val="center"/>
              <w:rPr>
                <w:rFonts w:ascii="仿宋" w:hAnsi="仿宋" w:eastAsia="仿宋"/>
                <w:color w:val="auto"/>
                <w:szCs w:val="21"/>
              </w:rPr>
            </w:pPr>
            <w:r>
              <w:rPr>
                <w:rFonts w:hint="eastAsia" w:ascii="仿宋" w:hAnsi="仿宋" w:eastAsia="仿宋"/>
                <w:color w:val="auto"/>
                <w:szCs w:val="21"/>
              </w:rPr>
              <w:t>（20分）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对于业主提出的开展工程维修、清障等各种指令延迟执行的每次扣2分，拒不执行的每次扣10分，未在规定时间内完成的扣3分，完成质量不符合要求的扣1分。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5</w:t>
            </w:r>
          </w:p>
        </w:tc>
        <w:tc>
          <w:tcPr>
            <w:tcW w:w="1728"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养护资料</w:t>
            </w:r>
          </w:p>
          <w:p>
            <w:pPr>
              <w:spacing w:line="560" w:lineRule="exact"/>
              <w:jc w:val="center"/>
              <w:rPr>
                <w:rFonts w:ascii="仿宋" w:hAnsi="仿宋" w:eastAsia="仿宋"/>
                <w:color w:val="auto"/>
                <w:szCs w:val="21"/>
              </w:rPr>
            </w:pPr>
            <w:r>
              <w:rPr>
                <w:rFonts w:hint="eastAsia" w:ascii="仿宋" w:hAnsi="仿宋" w:eastAsia="仿宋"/>
                <w:color w:val="auto"/>
                <w:szCs w:val="21"/>
              </w:rPr>
              <w:t>（2分）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月度养护管理计划和月度总结未及时上报或不完整的每项扣1分。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6</w:t>
            </w:r>
          </w:p>
        </w:tc>
        <w:tc>
          <w:tcPr>
            <w:tcW w:w="1728" w:type="dxa"/>
            <w:noWrap/>
            <w:vAlign w:val="center"/>
          </w:tcPr>
          <w:p>
            <w:pPr>
              <w:spacing w:line="560" w:lineRule="exact"/>
              <w:ind w:firstLine="420"/>
              <w:rPr>
                <w:rFonts w:ascii="仿宋" w:hAnsi="仿宋" w:eastAsia="仿宋"/>
                <w:color w:val="auto"/>
                <w:szCs w:val="21"/>
              </w:rPr>
            </w:pPr>
            <w:r>
              <w:rPr>
                <w:rFonts w:hint="eastAsia" w:ascii="仿宋" w:hAnsi="仿宋" w:eastAsia="仿宋"/>
                <w:color w:val="auto"/>
                <w:szCs w:val="21"/>
              </w:rPr>
              <w:t>形象面貌</w:t>
            </w:r>
          </w:p>
          <w:p>
            <w:pPr>
              <w:spacing w:line="560" w:lineRule="exact"/>
              <w:ind w:firstLine="420"/>
              <w:rPr>
                <w:rFonts w:ascii="仿宋" w:hAnsi="仿宋" w:eastAsia="仿宋"/>
                <w:color w:val="auto"/>
                <w:szCs w:val="21"/>
              </w:rPr>
            </w:pPr>
            <w:r>
              <w:rPr>
                <w:rFonts w:hint="eastAsia" w:ascii="仿宋" w:hAnsi="仿宋" w:eastAsia="仿宋"/>
                <w:color w:val="auto"/>
                <w:szCs w:val="21"/>
              </w:rPr>
              <w:t>（3分）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在巡查、绿化养护、清障、维修等作业时，未穿着反光条安全背心或工作服的每发现1次/人扣0.5分。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560" w:lineRule="exact"/>
              <w:jc w:val="center"/>
              <w:rPr>
                <w:rFonts w:ascii="仿宋" w:hAnsi="仿宋" w:eastAsia="仿宋"/>
                <w:color w:val="auto"/>
                <w:szCs w:val="21"/>
              </w:rPr>
            </w:pPr>
            <w:r>
              <w:rPr>
                <w:rFonts w:hint="eastAsia" w:ascii="仿宋" w:hAnsi="仿宋" w:eastAsia="仿宋"/>
                <w:color w:val="auto"/>
                <w:szCs w:val="21"/>
              </w:rPr>
              <w:t>7</w:t>
            </w:r>
          </w:p>
        </w:tc>
        <w:tc>
          <w:tcPr>
            <w:tcW w:w="1728" w:type="dxa"/>
            <w:noWrap/>
            <w:vAlign w:val="center"/>
          </w:tcPr>
          <w:p>
            <w:pPr>
              <w:spacing w:line="560" w:lineRule="exact"/>
              <w:ind w:firstLine="420"/>
              <w:rPr>
                <w:rFonts w:ascii="仿宋" w:hAnsi="仿宋" w:eastAsia="仿宋"/>
                <w:color w:val="auto"/>
                <w:szCs w:val="21"/>
              </w:rPr>
            </w:pPr>
            <w:r>
              <w:rPr>
                <w:rFonts w:hint="eastAsia" w:ascii="仿宋" w:hAnsi="仿宋" w:eastAsia="仿宋"/>
                <w:color w:val="auto"/>
                <w:szCs w:val="21"/>
              </w:rPr>
              <w:t>安全生产</w:t>
            </w:r>
          </w:p>
          <w:p>
            <w:pPr>
              <w:spacing w:line="560" w:lineRule="exact"/>
              <w:ind w:firstLine="420"/>
              <w:rPr>
                <w:rFonts w:ascii="仿宋" w:hAnsi="仿宋" w:eastAsia="仿宋"/>
                <w:color w:val="auto"/>
                <w:szCs w:val="21"/>
              </w:rPr>
            </w:pPr>
            <w:r>
              <w:rPr>
                <w:rFonts w:hint="eastAsia" w:ascii="仿宋" w:hAnsi="仿宋" w:eastAsia="仿宋"/>
                <w:color w:val="auto"/>
                <w:szCs w:val="21"/>
              </w:rPr>
              <w:t>（15分）</w:t>
            </w:r>
          </w:p>
        </w:tc>
        <w:tc>
          <w:tcPr>
            <w:tcW w:w="4815" w:type="dxa"/>
            <w:noWrap/>
            <w:vAlign w:val="center"/>
          </w:tcPr>
          <w:p>
            <w:pPr>
              <w:rPr>
                <w:rFonts w:ascii="仿宋" w:hAnsi="仿宋" w:eastAsia="仿宋"/>
                <w:color w:val="auto"/>
                <w:szCs w:val="21"/>
              </w:rPr>
            </w:pPr>
            <w:r>
              <w:rPr>
                <w:rFonts w:hint="eastAsia" w:ascii="仿宋" w:hAnsi="仿宋" w:eastAsia="仿宋" w:cs="仿宋"/>
                <w:color w:val="auto"/>
              </w:rPr>
              <w:t>发现安全隐患不处理的每次扣10分，未及时整改的，每次扣5分，整改不到位的，每次扣2分。</w:t>
            </w: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75" w:type="dxa"/>
            <w:noWrap/>
            <w:vAlign w:val="center"/>
          </w:tcPr>
          <w:p>
            <w:pPr>
              <w:spacing w:line="560" w:lineRule="exact"/>
              <w:rPr>
                <w:rFonts w:ascii="仿宋" w:hAnsi="仿宋" w:eastAsia="仿宋"/>
                <w:color w:val="auto"/>
                <w:szCs w:val="21"/>
              </w:rPr>
            </w:pPr>
            <w:r>
              <w:rPr>
                <w:rFonts w:hint="eastAsia" w:ascii="仿宋" w:hAnsi="仿宋" w:eastAsia="仿宋"/>
                <w:color w:val="auto"/>
                <w:szCs w:val="21"/>
              </w:rPr>
              <w:t>合计</w:t>
            </w:r>
          </w:p>
        </w:tc>
        <w:tc>
          <w:tcPr>
            <w:tcW w:w="1728" w:type="dxa"/>
            <w:noWrap/>
            <w:vAlign w:val="center"/>
          </w:tcPr>
          <w:p>
            <w:pPr>
              <w:spacing w:line="560" w:lineRule="exact"/>
              <w:ind w:firstLine="420"/>
              <w:rPr>
                <w:rFonts w:hint="default" w:ascii="仿宋" w:hAnsi="仿宋" w:eastAsia="仿宋"/>
                <w:color w:val="auto"/>
                <w:szCs w:val="21"/>
                <w:lang w:val="en-US" w:eastAsia="zh-CN"/>
              </w:rPr>
            </w:pPr>
          </w:p>
        </w:tc>
        <w:tc>
          <w:tcPr>
            <w:tcW w:w="4815" w:type="dxa"/>
            <w:noWrap/>
            <w:vAlign w:val="center"/>
          </w:tcPr>
          <w:p>
            <w:pPr>
              <w:spacing w:line="560" w:lineRule="exact"/>
              <w:ind w:firstLine="420"/>
              <w:rPr>
                <w:rFonts w:ascii="仿宋" w:hAnsi="仿宋" w:eastAsia="仿宋"/>
                <w:color w:val="auto"/>
                <w:szCs w:val="21"/>
              </w:rPr>
            </w:pPr>
          </w:p>
        </w:tc>
        <w:tc>
          <w:tcPr>
            <w:tcW w:w="795" w:type="dxa"/>
            <w:noWrap/>
            <w:vAlign w:val="center"/>
          </w:tcPr>
          <w:p>
            <w:pPr>
              <w:spacing w:line="560" w:lineRule="exact"/>
              <w:ind w:firstLine="420"/>
              <w:rPr>
                <w:rFonts w:ascii="仿宋" w:hAnsi="仿宋" w:eastAsia="仿宋"/>
                <w:color w:val="auto"/>
                <w:szCs w:val="21"/>
              </w:rPr>
            </w:pPr>
          </w:p>
        </w:tc>
        <w:tc>
          <w:tcPr>
            <w:tcW w:w="900" w:type="dxa"/>
            <w:noWrap/>
            <w:vAlign w:val="center"/>
          </w:tcPr>
          <w:p>
            <w:pPr>
              <w:spacing w:line="560" w:lineRule="exact"/>
              <w:ind w:firstLine="420"/>
              <w:rPr>
                <w:rFonts w:ascii="仿宋" w:hAnsi="仿宋" w:eastAsia="仿宋"/>
                <w:color w:val="auto"/>
                <w:szCs w:val="21"/>
              </w:rPr>
            </w:pPr>
          </w:p>
        </w:tc>
      </w:tr>
    </w:tbl>
    <w:p>
      <w:pPr>
        <w:jc w:val="left"/>
        <w:rPr>
          <w:rFonts w:ascii="宋体" w:hAnsi="宋体" w:cs="宋体"/>
          <w:color w:val="auto"/>
          <w:sz w:val="24"/>
        </w:rPr>
      </w:pPr>
    </w:p>
    <w:p>
      <w:pPr>
        <w:spacing w:line="560" w:lineRule="exact"/>
        <w:ind w:firstLine="420"/>
        <w:jc w:val="center"/>
        <w:rPr>
          <w:rFonts w:ascii="宋体" w:hAnsi="宋体" w:cs="宋体"/>
          <w:b/>
          <w:bCs/>
          <w:color w:val="auto"/>
          <w:sz w:val="24"/>
        </w:rPr>
      </w:pPr>
    </w:p>
    <w:p>
      <w:pPr>
        <w:pStyle w:val="8"/>
        <w:rPr>
          <w:rFonts w:ascii="宋体" w:hAnsi="宋体" w:cs="宋体"/>
          <w:b/>
          <w:bCs/>
          <w:color w:val="auto"/>
          <w:sz w:val="24"/>
        </w:rPr>
      </w:pPr>
    </w:p>
    <w:p>
      <w:pPr>
        <w:pStyle w:val="8"/>
        <w:rPr>
          <w:rFonts w:ascii="宋体" w:hAnsi="宋体" w:cs="宋体"/>
          <w:b/>
          <w:bCs/>
          <w:color w:val="auto"/>
          <w:sz w:val="24"/>
        </w:rPr>
      </w:pPr>
    </w:p>
    <w:p>
      <w:pPr>
        <w:pStyle w:val="8"/>
        <w:rPr>
          <w:rFonts w:ascii="宋体" w:hAnsi="宋体" w:cs="宋体"/>
          <w:b/>
          <w:bCs/>
          <w:color w:val="auto"/>
          <w:sz w:val="24"/>
        </w:rPr>
      </w:pPr>
    </w:p>
    <w:p>
      <w:pPr>
        <w:pStyle w:val="8"/>
        <w:rPr>
          <w:rFonts w:ascii="宋体" w:hAnsi="宋体" w:cs="宋体"/>
          <w:b/>
          <w:bCs/>
          <w:color w:val="auto"/>
          <w:sz w:val="24"/>
        </w:rPr>
      </w:pPr>
    </w:p>
    <w:p>
      <w:pPr>
        <w:pStyle w:val="8"/>
        <w:rPr>
          <w:rFonts w:ascii="宋体" w:hAnsi="宋体" w:cs="宋体"/>
          <w:b/>
          <w:bCs/>
          <w:color w:val="auto"/>
          <w:sz w:val="24"/>
        </w:rPr>
      </w:pPr>
    </w:p>
    <w:p>
      <w:pPr>
        <w:pStyle w:val="8"/>
        <w:rPr>
          <w:rFonts w:ascii="宋体" w:hAnsi="宋体" w:cs="宋体"/>
          <w:b/>
          <w:bCs/>
          <w:color w:val="auto"/>
          <w:sz w:val="24"/>
        </w:rPr>
      </w:pPr>
    </w:p>
    <w:p>
      <w:pPr>
        <w:spacing w:line="560" w:lineRule="exact"/>
        <w:ind w:firstLine="420"/>
        <w:jc w:val="center"/>
        <w:rPr>
          <w:rFonts w:hint="eastAsia" w:ascii="仿宋" w:hAnsi="仿宋" w:eastAsia="仿宋" w:cs="仿宋"/>
          <w:b/>
          <w:bCs/>
          <w:color w:val="auto"/>
          <w:sz w:val="24"/>
        </w:rPr>
      </w:pPr>
      <w:r>
        <w:rPr>
          <w:rFonts w:hint="eastAsia" w:ascii="仿宋" w:hAnsi="仿宋" w:eastAsia="仿宋" w:cs="仿宋"/>
          <w:b/>
          <w:bCs/>
          <w:color w:val="auto"/>
          <w:sz w:val="24"/>
        </w:rPr>
        <w:t>考核办法</w:t>
      </w:r>
    </w:p>
    <w:p>
      <w:pPr>
        <w:spacing w:line="560" w:lineRule="exact"/>
        <w:ind w:firstLine="420"/>
        <w:rPr>
          <w:rFonts w:hint="eastAsia" w:ascii="仿宋" w:hAnsi="仿宋" w:eastAsia="仿宋" w:cs="仿宋"/>
          <w:b/>
          <w:bCs/>
          <w:color w:val="auto"/>
          <w:sz w:val="24"/>
        </w:rPr>
      </w:pPr>
      <w:r>
        <w:rPr>
          <w:rFonts w:hint="eastAsia" w:ascii="仿宋" w:hAnsi="仿宋" w:eastAsia="仿宋" w:cs="仿宋"/>
          <w:b/>
          <w:bCs/>
          <w:color w:val="auto"/>
          <w:sz w:val="24"/>
        </w:rPr>
        <w:t xml:space="preserve">一、考核方式： </w:t>
      </w:r>
    </w:p>
    <w:p>
      <w:pPr>
        <w:spacing w:line="560" w:lineRule="exact"/>
        <w:ind w:firstLine="420"/>
        <w:rPr>
          <w:rFonts w:hint="eastAsia" w:ascii="仿宋" w:hAnsi="仿宋" w:eastAsia="仿宋" w:cs="仿宋"/>
          <w:b/>
          <w:bCs/>
          <w:color w:val="auto"/>
          <w:sz w:val="24"/>
        </w:rPr>
      </w:pPr>
      <w:r>
        <w:rPr>
          <w:rFonts w:hint="eastAsia" w:ascii="仿宋" w:hAnsi="仿宋" w:eastAsia="仿宋" w:cs="仿宋"/>
          <w:b/>
          <w:bCs/>
          <w:color w:val="auto"/>
          <w:sz w:val="24"/>
        </w:rPr>
        <w:t>（1）总则：按实计量项，承包人须按运管平台内的指令及时完成相应工作，完工后经业主单位组织验收。对于不经过业主同意，擅自施工完成的工程量，业主单位不予计量。</w:t>
      </w:r>
    </w:p>
    <w:p>
      <w:pPr>
        <w:spacing w:line="560" w:lineRule="exact"/>
        <w:ind w:firstLine="420"/>
        <w:rPr>
          <w:rFonts w:hint="eastAsia" w:ascii="仿宋" w:hAnsi="仿宋" w:eastAsia="仿宋" w:cs="仿宋"/>
          <w:color w:val="auto"/>
          <w:sz w:val="24"/>
        </w:rPr>
      </w:pPr>
      <w:r>
        <w:rPr>
          <w:rFonts w:hint="eastAsia" w:ascii="仿宋" w:hAnsi="仿宋" w:eastAsia="仿宋" w:cs="仿宋"/>
          <w:color w:val="auto"/>
          <w:sz w:val="24"/>
        </w:rPr>
        <w:t>（2）严格按照《技术标准和要求》《管理养护考核评分表》进行考核，分两级考核。</w:t>
      </w:r>
    </w:p>
    <w:p>
      <w:pPr>
        <w:spacing w:line="560" w:lineRule="exact"/>
        <w:ind w:firstLine="420"/>
        <w:rPr>
          <w:rFonts w:hint="eastAsia" w:ascii="仿宋" w:hAnsi="仿宋" w:eastAsia="仿宋" w:cs="仿宋"/>
          <w:color w:val="auto"/>
          <w:sz w:val="24"/>
        </w:rPr>
      </w:pPr>
      <w:r>
        <w:rPr>
          <w:rFonts w:hint="eastAsia" w:ascii="仿宋" w:hAnsi="仿宋" w:eastAsia="仿宋" w:cs="仿宋"/>
          <w:color w:val="auto"/>
          <w:sz w:val="24"/>
        </w:rPr>
        <w:t xml:space="preserve">1）第一级考核为业主单位自行组织考核小组，每月分别对合同范围内的日常维修养护内容进行全覆盖考核，每个季度综合每月考核成绩综合计算平均分，占季度总分值的 50%。    </w:t>
      </w:r>
    </w:p>
    <w:p>
      <w:pPr>
        <w:spacing w:line="560" w:lineRule="exact"/>
        <w:ind w:firstLine="420"/>
        <w:rPr>
          <w:rFonts w:hint="eastAsia" w:ascii="仿宋" w:hAnsi="仿宋" w:eastAsia="仿宋" w:cs="仿宋"/>
          <w:color w:val="auto"/>
          <w:sz w:val="24"/>
        </w:rPr>
      </w:pPr>
      <w:r>
        <w:rPr>
          <w:rFonts w:hint="eastAsia" w:ascii="仿宋" w:hAnsi="仿宋" w:eastAsia="仿宋" w:cs="仿宋"/>
          <w:color w:val="auto"/>
          <w:sz w:val="24"/>
        </w:rPr>
        <w:t>2）第二级考核由市太湖建管中心统一组织维修养护考核小组，每个季度对合同范围内的日常维修养护内容进行重点抽查考核。每次考核按随机抽取1个以上地段以代表考核标段的整体情况，考核分占季度总分值的 50%。</w:t>
      </w:r>
    </w:p>
    <w:p>
      <w:pPr>
        <w:spacing w:line="560" w:lineRule="exact"/>
        <w:ind w:firstLine="420"/>
        <w:rPr>
          <w:rFonts w:hint="eastAsia" w:ascii="仿宋" w:hAnsi="仿宋" w:eastAsia="仿宋" w:cs="仿宋"/>
          <w:color w:val="auto"/>
          <w:sz w:val="24"/>
        </w:rPr>
      </w:pPr>
      <w:r>
        <w:rPr>
          <w:rFonts w:hint="eastAsia" w:ascii="仿宋" w:hAnsi="仿宋" w:eastAsia="仿宋" w:cs="仿宋"/>
          <w:color w:val="auto"/>
          <w:sz w:val="24"/>
        </w:rPr>
        <w:t xml:space="preserve">3）整改复检考核：当月度考核得分在70以下（不合格），由市直管所针对存在问题，出具限时整改通知书，承包人根据整改通知书，限时整改。承包人整改完成后书面向发包人提出整改复检报告，由市直管所组织整改复检。复检仍不合格的，则有权单方面终止合同，将作为企业不良行为上报上级主管部门作出相应处理。 </w:t>
      </w:r>
    </w:p>
    <w:p>
      <w:pPr>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lang w:eastAsia="zh-CN"/>
        </w:rPr>
      </w:pPr>
    </w:p>
    <w:p>
      <w:pPr>
        <w:pStyle w:val="8"/>
        <w:rPr>
          <w:rFonts w:hint="eastAsia" w:ascii="仿宋" w:hAnsi="仿宋" w:eastAsia="仿宋" w:cs="仿宋"/>
          <w:color w:val="auto"/>
          <w:lang w:eastAsia="zh-CN"/>
        </w:rPr>
      </w:pPr>
    </w:p>
    <w:p>
      <w:pPr>
        <w:pStyle w:val="8"/>
        <w:rPr>
          <w:rFonts w:hint="eastAsia" w:ascii="仿宋" w:hAnsi="仿宋" w:eastAsia="仿宋" w:cs="仿宋"/>
          <w:color w:val="auto"/>
          <w:lang w:eastAsia="zh-CN"/>
        </w:rPr>
      </w:pPr>
    </w:p>
    <w:p>
      <w:pPr>
        <w:pStyle w:val="8"/>
        <w:rPr>
          <w:rFonts w:hint="eastAsia" w:ascii="仿宋" w:hAnsi="仿宋" w:eastAsia="仿宋" w:cs="仿宋"/>
          <w:color w:val="auto"/>
          <w:lang w:eastAsia="zh-CN"/>
        </w:rPr>
      </w:pPr>
    </w:p>
    <w:p>
      <w:pPr>
        <w:pStyle w:val="8"/>
        <w:jc w:val="center"/>
        <w:rPr>
          <w:rFonts w:hint="eastAsia" w:ascii="仿宋" w:hAnsi="仿宋" w:eastAsia="仿宋" w:cs="仿宋"/>
          <w:b/>
          <w:bCs/>
          <w:color w:val="auto"/>
          <w:sz w:val="28"/>
          <w:szCs w:val="28"/>
          <w:lang w:eastAsia="zh-CN"/>
        </w:rPr>
      </w:pPr>
    </w:p>
    <w:p>
      <w:pPr>
        <w:pStyle w:val="8"/>
        <w:jc w:val="cente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eastAsia="zh-CN"/>
        </w:rPr>
        <w:t>第八章</w:t>
      </w:r>
      <w:r>
        <w:rPr>
          <w:rFonts w:hint="eastAsia" w:ascii="仿宋" w:hAnsi="仿宋" w:eastAsia="仿宋" w:cs="仿宋"/>
          <w:b/>
          <w:bCs/>
          <w:color w:val="auto"/>
          <w:sz w:val="28"/>
          <w:szCs w:val="28"/>
          <w:lang w:val="en-US" w:eastAsia="zh-CN"/>
        </w:rPr>
        <w:t xml:space="preserve">  工程量清单（以附件的形式上传）</w:t>
      </w: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eastAsia" w:ascii="仿宋" w:hAnsi="仿宋" w:eastAsia="仿宋" w:cs="仿宋"/>
          <w:b/>
          <w:bCs/>
          <w:color w:val="auto"/>
          <w:sz w:val="28"/>
          <w:szCs w:val="28"/>
          <w:lang w:val="en-US" w:eastAsia="zh-CN"/>
        </w:rPr>
      </w:pPr>
    </w:p>
    <w:p>
      <w:pPr>
        <w:pStyle w:val="8"/>
        <w:jc w:val="center"/>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第九章 图纸（以附件的形式上传，本项目实施内容包括但不限于图纸内容）</w:t>
      </w:r>
    </w:p>
    <w:sectPr>
      <w:headerReference r:id="rId8" w:type="default"/>
      <w:footerReference r:id="rId9" w:type="default"/>
      <w:pgSz w:w="11907" w:h="16840"/>
      <w:pgMar w:top="1418" w:right="1701" w:bottom="1134" w:left="1701" w:header="851" w:footer="6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 w:hAnsi="仿宋" w:eastAsia="仿宋" w:cs="仿宋"/>
        <w:sz w:val="21"/>
        <w:szCs w:val="21"/>
      </w:rP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 w:hAnsi="仿宋" w:eastAsia="仿宋" w:cs="仿宋"/>
        <w:sz w:val="21"/>
        <w:szCs w:val="21"/>
      </w:rPr>
    </w:pP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 w:hAnsi="仿宋" w:eastAsia="仿宋" w:cs="仿宋"/>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5"/>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v:textbox>
            </v:shape>
          </w:pict>
        </mc:Fallback>
      </mc:AlternateContent>
    </w:r>
  </w:p>
  <w:p>
    <w:pPr>
      <w:pStyle w:val="16"/>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仿宋" w:hAnsi="仿宋" w:eastAsia="仿宋" w:cs="仿宋"/>
        <w:sz w:val="24"/>
      </w:rPr>
    </w:pPr>
    <w:r>
      <w:rPr>
        <w:rFonts w:hint="eastAsia" w:ascii="仿宋" w:hAnsi="仿宋" w:eastAsia="仿宋"/>
        <w:bCs/>
        <w:sz w:val="24"/>
        <w:szCs w:val="24"/>
      </w:rPr>
      <w:t>2021-2023年度</w:t>
    </w:r>
    <w:r>
      <w:rPr>
        <w:rFonts w:hint="eastAsia" w:ascii="仿宋" w:hAnsi="仿宋" w:eastAsia="仿宋"/>
        <w:bCs/>
        <w:sz w:val="24"/>
        <w:szCs w:val="24"/>
        <w:lang w:eastAsia="zh-CN"/>
      </w:rPr>
      <w:t>水闸泵站</w:t>
    </w:r>
    <w:r>
      <w:rPr>
        <w:rFonts w:hint="eastAsia" w:ascii="仿宋" w:hAnsi="仿宋" w:eastAsia="仿宋"/>
        <w:bCs/>
        <w:sz w:val="24"/>
        <w:szCs w:val="24"/>
      </w:rPr>
      <w:t>运行维修养护服务项目</w:t>
    </w:r>
    <w:r>
      <w:rPr>
        <w:rFonts w:hint="eastAsia" w:ascii="仿宋" w:hAnsi="仿宋" w:eastAsia="仿宋" w:cs="仿宋"/>
        <w:sz w:val="24"/>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仿宋" w:hAnsi="仿宋" w:eastAsia="仿宋" w:cs="仿宋"/>
        <w:sz w:val="24"/>
        <w:szCs w:val="24"/>
      </w:rPr>
    </w:pPr>
    <w:r>
      <w:rPr>
        <w:rFonts w:hint="eastAsia" w:ascii="仿宋" w:hAnsi="仿宋" w:eastAsia="仿宋"/>
        <w:bCs/>
        <w:sz w:val="24"/>
        <w:szCs w:val="24"/>
      </w:rPr>
      <w:t>2021-2023年度</w:t>
    </w:r>
    <w:r>
      <w:rPr>
        <w:rFonts w:hint="eastAsia" w:ascii="仿宋" w:hAnsi="仿宋" w:eastAsia="仿宋"/>
        <w:bCs/>
        <w:sz w:val="24"/>
        <w:szCs w:val="24"/>
        <w:lang w:eastAsia="zh-CN"/>
      </w:rPr>
      <w:t>水闸泵站</w:t>
    </w:r>
    <w:r>
      <w:rPr>
        <w:rFonts w:hint="eastAsia" w:ascii="仿宋" w:hAnsi="仿宋" w:eastAsia="仿宋"/>
        <w:bCs/>
        <w:sz w:val="24"/>
        <w:szCs w:val="24"/>
      </w:rPr>
      <w:t>运行维修养护服务项目</w:t>
    </w:r>
    <w:r>
      <w:rPr>
        <w:rFonts w:hint="eastAsia" w:ascii="仿宋" w:hAnsi="仿宋" w:eastAsia="仿宋" w:cs="仿宋"/>
        <w:sz w:val="24"/>
        <w:szCs w:val="24"/>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BC4D7"/>
    <w:multiLevelType w:val="singleLevel"/>
    <w:tmpl w:val="01FBC4D7"/>
    <w:lvl w:ilvl="0" w:tentative="0">
      <w:start w:val="2"/>
      <w:numFmt w:val="decimal"/>
      <w:suff w:val="nothing"/>
      <w:lvlText w:val="%1、"/>
      <w:lvlJc w:val="left"/>
    </w:lvl>
  </w:abstractNum>
  <w:abstractNum w:abstractNumId="1">
    <w:nsid w:val="0432147A"/>
    <w:multiLevelType w:val="singleLevel"/>
    <w:tmpl w:val="0432147A"/>
    <w:lvl w:ilvl="0" w:tentative="0">
      <w:start w:val="1"/>
      <w:numFmt w:val="decimal"/>
      <w:lvlText w:val="%1."/>
      <w:lvlJc w:val="left"/>
      <w:pPr>
        <w:tabs>
          <w:tab w:val="left" w:pos="312"/>
        </w:tabs>
      </w:pPr>
    </w:lvl>
  </w:abstractNum>
  <w:abstractNum w:abstractNumId="2">
    <w:nsid w:val="3C4A6DDD"/>
    <w:multiLevelType w:val="singleLevel"/>
    <w:tmpl w:val="3C4A6DDD"/>
    <w:lvl w:ilvl="0" w:tentative="0">
      <w:start w:val="6"/>
      <w:numFmt w:val="chineseCounting"/>
      <w:suff w:val="space"/>
      <w:lvlText w:val="第%1章"/>
      <w:lvlJc w:val="left"/>
      <w:rPr>
        <w:rFonts w:hint="eastAsia"/>
      </w:rPr>
    </w:lvl>
  </w:abstractNum>
  <w:abstractNum w:abstractNumId="3">
    <w:nsid w:val="579B2BE0"/>
    <w:multiLevelType w:val="singleLevel"/>
    <w:tmpl w:val="579B2BE0"/>
    <w:lvl w:ilvl="0" w:tentative="0">
      <w:start w:val="4"/>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C9"/>
    <w:rsid w:val="00000229"/>
    <w:rsid w:val="000659FA"/>
    <w:rsid w:val="001D7C47"/>
    <w:rsid w:val="00222A55"/>
    <w:rsid w:val="002272C6"/>
    <w:rsid w:val="00235ACA"/>
    <w:rsid w:val="002562B8"/>
    <w:rsid w:val="0033714F"/>
    <w:rsid w:val="00373D75"/>
    <w:rsid w:val="003B3915"/>
    <w:rsid w:val="00464E5E"/>
    <w:rsid w:val="004765CC"/>
    <w:rsid w:val="004A537F"/>
    <w:rsid w:val="004C6DEA"/>
    <w:rsid w:val="0052307F"/>
    <w:rsid w:val="005E7209"/>
    <w:rsid w:val="006449EB"/>
    <w:rsid w:val="006841F3"/>
    <w:rsid w:val="006A0129"/>
    <w:rsid w:val="00761E37"/>
    <w:rsid w:val="00767EF2"/>
    <w:rsid w:val="00783CFC"/>
    <w:rsid w:val="007C5E75"/>
    <w:rsid w:val="00893AFE"/>
    <w:rsid w:val="008C73B1"/>
    <w:rsid w:val="00A425E2"/>
    <w:rsid w:val="00A81B50"/>
    <w:rsid w:val="00AC79C4"/>
    <w:rsid w:val="00B9777D"/>
    <w:rsid w:val="00C961C2"/>
    <w:rsid w:val="00CC1CDC"/>
    <w:rsid w:val="00CF5910"/>
    <w:rsid w:val="00D04484"/>
    <w:rsid w:val="00D57002"/>
    <w:rsid w:val="00DE06BA"/>
    <w:rsid w:val="00EA1137"/>
    <w:rsid w:val="00EF38C9"/>
    <w:rsid w:val="00F72A54"/>
    <w:rsid w:val="00F83CA1"/>
    <w:rsid w:val="00FF7C3A"/>
    <w:rsid w:val="01D32647"/>
    <w:rsid w:val="03F83C47"/>
    <w:rsid w:val="05AB5879"/>
    <w:rsid w:val="063730AA"/>
    <w:rsid w:val="064A2B79"/>
    <w:rsid w:val="06721436"/>
    <w:rsid w:val="06CD62D6"/>
    <w:rsid w:val="07333ED0"/>
    <w:rsid w:val="074D6BDB"/>
    <w:rsid w:val="07851F98"/>
    <w:rsid w:val="07897FB9"/>
    <w:rsid w:val="07BA36EE"/>
    <w:rsid w:val="0A56794B"/>
    <w:rsid w:val="0AFE6646"/>
    <w:rsid w:val="0B311A78"/>
    <w:rsid w:val="0B827CEF"/>
    <w:rsid w:val="0BB070D3"/>
    <w:rsid w:val="0BC91220"/>
    <w:rsid w:val="0C4C2993"/>
    <w:rsid w:val="0DF07282"/>
    <w:rsid w:val="0E6D3A3E"/>
    <w:rsid w:val="0EA3533E"/>
    <w:rsid w:val="0EE803DA"/>
    <w:rsid w:val="0F703127"/>
    <w:rsid w:val="100B7154"/>
    <w:rsid w:val="105D4085"/>
    <w:rsid w:val="10BD2A5C"/>
    <w:rsid w:val="10C75956"/>
    <w:rsid w:val="10EF5781"/>
    <w:rsid w:val="110A4AF3"/>
    <w:rsid w:val="116515A7"/>
    <w:rsid w:val="120A0427"/>
    <w:rsid w:val="135201A2"/>
    <w:rsid w:val="13B05EBB"/>
    <w:rsid w:val="15871B18"/>
    <w:rsid w:val="15BB7DB5"/>
    <w:rsid w:val="15C777D1"/>
    <w:rsid w:val="15EB43F8"/>
    <w:rsid w:val="166D3692"/>
    <w:rsid w:val="17046242"/>
    <w:rsid w:val="17171B0D"/>
    <w:rsid w:val="175E72D4"/>
    <w:rsid w:val="17AD106C"/>
    <w:rsid w:val="17CD38DC"/>
    <w:rsid w:val="18650EDA"/>
    <w:rsid w:val="18B13E7E"/>
    <w:rsid w:val="18B65EBD"/>
    <w:rsid w:val="19D8626C"/>
    <w:rsid w:val="1A0001E9"/>
    <w:rsid w:val="1B5540F9"/>
    <w:rsid w:val="1B836494"/>
    <w:rsid w:val="1BA8202B"/>
    <w:rsid w:val="1C551B16"/>
    <w:rsid w:val="1C692CB7"/>
    <w:rsid w:val="1D5A4782"/>
    <w:rsid w:val="1DA22F15"/>
    <w:rsid w:val="1E002C2D"/>
    <w:rsid w:val="1EAA35B4"/>
    <w:rsid w:val="1F63394D"/>
    <w:rsid w:val="218A55F6"/>
    <w:rsid w:val="21FE1A98"/>
    <w:rsid w:val="22002F60"/>
    <w:rsid w:val="23085BA0"/>
    <w:rsid w:val="230E2E0D"/>
    <w:rsid w:val="231A1E81"/>
    <w:rsid w:val="246C492B"/>
    <w:rsid w:val="2624544B"/>
    <w:rsid w:val="26400F3E"/>
    <w:rsid w:val="26473197"/>
    <w:rsid w:val="26907CDC"/>
    <w:rsid w:val="27713C34"/>
    <w:rsid w:val="277359EE"/>
    <w:rsid w:val="278B0E4D"/>
    <w:rsid w:val="278E0FA9"/>
    <w:rsid w:val="27F7682E"/>
    <w:rsid w:val="2852663F"/>
    <w:rsid w:val="28760383"/>
    <w:rsid w:val="299279FB"/>
    <w:rsid w:val="2A161CA7"/>
    <w:rsid w:val="2A511688"/>
    <w:rsid w:val="2B9660AF"/>
    <w:rsid w:val="2CD51CB3"/>
    <w:rsid w:val="2D340A2A"/>
    <w:rsid w:val="2EAE59DF"/>
    <w:rsid w:val="2EE865DD"/>
    <w:rsid w:val="2F3E43E4"/>
    <w:rsid w:val="30F4160A"/>
    <w:rsid w:val="319F36C6"/>
    <w:rsid w:val="32095637"/>
    <w:rsid w:val="34364339"/>
    <w:rsid w:val="35504C05"/>
    <w:rsid w:val="35574C6B"/>
    <w:rsid w:val="36A9137E"/>
    <w:rsid w:val="371B6B5C"/>
    <w:rsid w:val="381867C7"/>
    <w:rsid w:val="38F8042B"/>
    <w:rsid w:val="39196636"/>
    <w:rsid w:val="39F162F6"/>
    <w:rsid w:val="3A234284"/>
    <w:rsid w:val="3A7228A2"/>
    <w:rsid w:val="3BD43F26"/>
    <w:rsid w:val="3CD72CFF"/>
    <w:rsid w:val="3D027CA5"/>
    <w:rsid w:val="3D1170D3"/>
    <w:rsid w:val="3D31194D"/>
    <w:rsid w:val="3D6C7996"/>
    <w:rsid w:val="3EB94D37"/>
    <w:rsid w:val="40EF60A6"/>
    <w:rsid w:val="410F1370"/>
    <w:rsid w:val="41B97BA0"/>
    <w:rsid w:val="4225758B"/>
    <w:rsid w:val="428C4F26"/>
    <w:rsid w:val="432E1B41"/>
    <w:rsid w:val="43DA7AEA"/>
    <w:rsid w:val="451D3660"/>
    <w:rsid w:val="466044AE"/>
    <w:rsid w:val="46D61296"/>
    <w:rsid w:val="474F42FE"/>
    <w:rsid w:val="4768231B"/>
    <w:rsid w:val="47D6179B"/>
    <w:rsid w:val="499F4BF8"/>
    <w:rsid w:val="49F736BA"/>
    <w:rsid w:val="4A021624"/>
    <w:rsid w:val="4A334933"/>
    <w:rsid w:val="4A4E1AB6"/>
    <w:rsid w:val="4B1F32A6"/>
    <w:rsid w:val="4B6F343F"/>
    <w:rsid w:val="4BAD5B49"/>
    <w:rsid w:val="4D161D3E"/>
    <w:rsid w:val="4D2B7FF8"/>
    <w:rsid w:val="4DC15E2F"/>
    <w:rsid w:val="4F511456"/>
    <w:rsid w:val="4FF0131C"/>
    <w:rsid w:val="50027A67"/>
    <w:rsid w:val="5112778B"/>
    <w:rsid w:val="511B08E6"/>
    <w:rsid w:val="51231176"/>
    <w:rsid w:val="51A97D89"/>
    <w:rsid w:val="51B25AF9"/>
    <w:rsid w:val="51CB1BB2"/>
    <w:rsid w:val="52101C59"/>
    <w:rsid w:val="53473874"/>
    <w:rsid w:val="544B5F47"/>
    <w:rsid w:val="56131BCE"/>
    <w:rsid w:val="56AE57E8"/>
    <w:rsid w:val="571B14DA"/>
    <w:rsid w:val="5773571B"/>
    <w:rsid w:val="578E3F71"/>
    <w:rsid w:val="57C03B0A"/>
    <w:rsid w:val="58775531"/>
    <w:rsid w:val="58B82682"/>
    <w:rsid w:val="5A905061"/>
    <w:rsid w:val="5ADB6ADE"/>
    <w:rsid w:val="5B9B5748"/>
    <w:rsid w:val="5BDF027E"/>
    <w:rsid w:val="5C3449E3"/>
    <w:rsid w:val="5CE00ABD"/>
    <w:rsid w:val="5D0F44CA"/>
    <w:rsid w:val="5D8D68FD"/>
    <w:rsid w:val="5DE2050D"/>
    <w:rsid w:val="5DFA147B"/>
    <w:rsid w:val="5F7F41DA"/>
    <w:rsid w:val="602D5532"/>
    <w:rsid w:val="609B3EA5"/>
    <w:rsid w:val="60A73659"/>
    <w:rsid w:val="61034ABF"/>
    <w:rsid w:val="619C5487"/>
    <w:rsid w:val="631C2D7A"/>
    <w:rsid w:val="63BB0CE1"/>
    <w:rsid w:val="63CF4B37"/>
    <w:rsid w:val="65131E9C"/>
    <w:rsid w:val="6699008D"/>
    <w:rsid w:val="687636DD"/>
    <w:rsid w:val="6A060375"/>
    <w:rsid w:val="6A0F417B"/>
    <w:rsid w:val="6A2F58EC"/>
    <w:rsid w:val="6A387EE4"/>
    <w:rsid w:val="6A3A5538"/>
    <w:rsid w:val="6AC23C76"/>
    <w:rsid w:val="6AE52CF7"/>
    <w:rsid w:val="6B777DBE"/>
    <w:rsid w:val="6B7A0307"/>
    <w:rsid w:val="6B7E22E5"/>
    <w:rsid w:val="6B8E2567"/>
    <w:rsid w:val="6B9E01CB"/>
    <w:rsid w:val="6BAC49A3"/>
    <w:rsid w:val="6C1718B1"/>
    <w:rsid w:val="6C286DCE"/>
    <w:rsid w:val="6DBF601E"/>
    <w:rsid w:val="6DD02851"/>
    <w:rsid w:val="6DDA2712"/>
    <w:rsid w:val="6DE4072E"/>
    <w:rsid w:val="6E236AEA"/>
    <w:rsid w:val="6F2F193C"/>
    <w:rsid w:val="70DB4C45"/>
    <w:rsid w:val="738617E6"/>
    <w:rsid w:val="742C72E2"/>
    <w:rsid w:val="7453511A"/>
    <w:rsid w:val="74CD020C"/>
    <w:rsid w:val="752051D2"/>
    <w:rsid w:val="752D4B85"/>
    <w:rsid w:val="75630078"/>
    <w:rsid w:val="75716244"/>
    <w:rsid w:val="75BA578A"/>
    <w:rsid w:val="75CD62B0"/>
    <w:rsid w:val="766F0386"/>
    <w:rsid w:val="7696219D"/>
    <w:rsid w:val="76EF02B4"/>
    <w:rsid w:val="78C12485"/>
    <w:rsid w:val="790B6A49"/>
    <w:rsid w:val="79CB3CF1"/>
    <w:rsid w:val="79D54A31"/>
    <w:rsid w:val="7ADE536B"/>
    <w:rsid w:val="7D5702AA"/>
    <w:rsid w:val="7E144A4A"/>
    <w:rsid w:val="7EA94D6D"/>
    <w:rsid w:val="7EDD2379"/>
    <w:rsid w:val="7F36206D"/>
    <w:rsid w:val="7FA60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spacing w:line="216" w:lineRule="auto"/>
      <w:jc w:val="center"/>
      <w:outlineLvl w:val="0"/>
    </w:pPr>
    <w:rPr>
      <w:rFonts w:ascii="宋体" w:hAnsi="宋体"/>
      <w:b/>
      <w:sz w:val="30"/>
      <w:szCs w:val="20"/>
    </w:rPr>
  </w:style>
  <w:style w:type="paragraph" w:styleId="5">
    <w:name w:val="heading 2"/>
    <w:basedOn w:val="1"/>
    <w:next w:val="1"/>
    <w:qFormat/>
    <w:uiPriority w:val="1"/>
    <w:pPr>
      <w:ind w:left="218"/>
      <w:outlineLvl w:val="1"/>
    </w:pPr>
    <w:rPr>
      <w:rFonts w:ascii="宋体" w:hAnsi="宋体" w:cs="宋体"/>
      <w:b/>
      <w:bCs/>
      <w:sz w:val="24"/>
      <w:lang w:val="zh-CN" w:bidi="zh-CN"/>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Cambria" w:hAnsi="Cambria"/>
      <w:b/>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sz w:val="28"/>
    </w:rPr>
  </w:style>
  <w:style w:type="paragraph" w:styleId="3">
    <w:name w:val="Body Text First Indent"/>
    <w:basedOn w:val="2"/>
    <w:next w:val="1"/>
    <w:qFormat/>
    <w:uiPriority w:val="0"/>
    <w:pPr>
      <w:spacing w:line="312" w:lineRule="auto"/>
      <w:ind w:firstLine="420"/>
    </w:pPr>
  </w:style>
  <w:style w:type="paragraph" w:styleId="8">
    <w:name w:val="Normal Indent"/>
    <w:basedOn w:val="1"/>
    <w:qFormat/>
    <w:uiPriority w:val="0"/>
    <w:pPr>
      <w:ind w:firstLine="420" w:firstLineChars="200"/>
    </w:pPr>
  </w:style>
  <w:style w:type="paragraph" w:styleId="9">
    <w:name w:val="Document Map"/>
    <w:basedOn w:val="1"/>
    <w:link w:val="54"/>
    <w:qFormat/>
    <w:uiPriority w:val="0"/>
    <w:rPr>
      <w:rFonts w:ascii="宋体"/>
      <w:sz w:val="18"/>
      <w:szCs w:val="18"/>
    </w:rPr>
  </w:style>
  <w:style w:type="paragraph" w:styleId="10">
    <w:name w:val="annotation text"/>
    <w:basedOn w:val="1"/>
    <w:qFormat/>
    <w:uiPriority w:val="0"/>
    <w:pPr>
      <w:jc w:val="left"/>
    </w:pPr>
  </w:style>
  <w:style w:type="paragraph" w:styleId="11">
    <w:name w:val="Body Text Indent"/>
    <w:basedOn w:val="1"/>
    <w:next w:val="1"/>
    <w:qFormat/>
    <w:uiPriority w:val="0"/>
    <w:pPr>
      <w:spacing w:line="360" w:lineRule="auto"/>
      <w:ind w:firstLine="600" w:firstLineChars="200"/>
    </w:pPr>
    <w:rPr>
      <w:rFonts w:ascii="仿宋_GB2312" w:hAnsi="宋体" w:eastAsia="仿宋_GB2312"/>
      <w:sz w:val="30"/>
    </w:rPr>
  </w:style>
  <w:style w:type="paragraph" w:styleId="12">
    <w:name w:val="Block Text"/>
    <w:basedOn w:val="1"/>
    <w:qFormat/>
    <w:uiPriority w:val="0"/>
    <w:pPr>
      <w:spacing w:line="390" w:lineRule="exact"/>
      <w:ind w:left="735" w:right="-296" w:rightChars="-141"/>
    </w:pPr>
    <w:rPr>
      <w:rFonts w:ascii="宋体"/>
    </w:rPr>
  </w:style>
  <w:style w:type="paragraph" w:styleId="13">
    <w:name w:val="Plain Text"/>
    <w:basedOn w:val="1"/>
    <w:next w:val="1"/>
    <w:qFormat/>
    <w:uiPriority w:val="0"/>
    <w:rPr>
      <w:rFonts w:ascii="宋体" w:hAnsi="Courier New" w:cs="Courier New"/>
      <w:szCs w:val="21"/>
    </w:rPr>
  </w:style>
  <w:style w:type="paragraph" w:styleId="14">
    <w:name w:val="Date"/>
    <w:basedOn w:val="1"/>
    <w:next w:val="1"/>
    <w:qFormat/>
    <w:uiPriority w:val="0"/>
    <w:pPr>
      <w:ind w:left="100" w:leftChars="2500"/>
    </w:pPr>
  </w:style>
  <w:style w:type="paragraph" w:styleId="15">
    <w:name w:val="Balloon Text"/>
    <w:basedOn w:val="1"/>
    <w:link w:val="5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8">
    <w:name w:val="Body Text Indent 3"/>
    <w:basedOn w:val="1"/>
    <w:qFormat/>
    <w:uiPriority w:val="99"/>
    <w:pPr>
      <w:spacing w:after="120"/>
      <w:ind w:left="420" w:leftChars="200"/>
    </w:pPr>
    <w:rPr>
      <w:sz w:val="16"/>
      <w:szCs w:val="16"/>
    </w:rPr>
  </w:style>
  <w:style w:type="paragraph" w:styleId="19">
    <w:name w:val="Body Text First Indent 2"/>
    <w:basedOn w:val="11"/>
    <w:next w:val="20"/>
    <w:qFormat/>
    <w:uiPriority w:val="0"/>
    <w:pPr>
      <w:spacing w:after="120" w:line="240" w:lineRule="auto"/>
      <w:ind w:left="420" w:leftChars="200" w:firstLine="420"/>
    </w:pPr>
    <w:rPr>
      <w:rFonts w:ascii="Times New Roman" w:hAnsi="Times New Roman" w:eastAsia="楷体_GB2312"/>
      <w:sz w:val="21"/>
    </w:rPr>
  </w:style>
  <w:style w:type="paragraph" w:customStyle="1" w:styleId="20">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style>
  <w:style w:type="character" w:styleId="25">
    <w:name w:val="page number"/>
    <w:basedOn w:val="23"/>
    <w:qFormat/>
    <w:uiPriority w:val="0"/>
  </w:style>
  <w:style w:type="character" w:styleId="26">
    <w:name w:val="FollowedHyperlink"/>
    <w:basedOn w:val="23"/>
    <w:qFormat/>
    <w:uiPriority w:val="0"/>
    <w:rPr>
      <w:color w:val="333333"/>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Typewriter"/>
    <w:basedOn w:val="23"/>
    <w:qFormat/>
    <w:uiPriority w:val="0"/>
    <w:rPr>
      <w:rFonts w:hint="default"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qFormat/>
    <w:uiPriority w:val="0"/>
    <w:rPr>
      <w:color w:val="0000FF"/>
      <w:u w:val="single"/>
    </w:rPr>
  </w:style>
  <w:style w:type="character" w:styleId="33">
    <w:name w:val="HTML Code"/>
    <w:basedOn w:val="23"/>
    <w:qFormat/>
    <w:uiPriority w:val="0"/>
    <w:rPr>
      <w:rFonts w:hint="default" w:ascii="monospace" w:hAnsi="monospace" w:eastAsia="monospace" w:cs="monospace"/>
      <w:sz w:val="20"/>
    </w:rPr>
  </w:style>
  <w:style w:type="character" w:styleId="34">
    <w:name w:val="annotation reference"/>
    <w:semiHidden/>
    <w:qFormat/>
    <w:uiPriority w:val="0"/>
    <w:rPr>
      <w:sz w:val="21"/>
      <w:szCs w:val="21"/>
    </w:rPr>
  </w:style>
  <w:style w:type="character" w:styleId="35">
    <w:name w:val="HTML Cite"/>
    <w:basedOn w:val="23"/>
    <w:qFormat/>
    <w:uiPriority w:val="0"/>
  </w:style>
  <w:style w:type="character" w:styleId="36">
    <w:name w:val="HTML Keyboard"/>
    <w:basedOn w:val="23"/>
    <w:qFormat/>
    <w:uiPriority w:val="0"/>
    <w:rPr>
      <w:rFonts w:ascii="monospace" w:hAnsi="monospace" w:eastAsia="monospace" w:cs="monospace"/>
      <w:sz w:val="20"/>
    </w:rPr>
  </w:style>
  <w:style w:type="character" w:styleId="37">
    <w:name w:val="HTML Sample"/>
    <w:basedOn w:val="23"/>
    <w:qFormat/>
    <w:uiPriority w:val="0"/>
    <w:rPr>
      <w:rFonts w:hint="default" w:ascii="monospace" w:hAnsi="monospace" w:eastAsia="monospace" w:cs="monospace"/>
    </w:rPr>
  </w:style>
  <w:style w:type="paragraph" w:customStyle="1" w:styleId="38">
    <w:name w:val="BodyText1I"/>
    <w:basedOn w:val="39"/>
    <w:qFormat/>
    <w:uiPriority w:val="0"/>
    <w:pPr>
      <w:tabs>
        <w:tab w:val="left" w:pos="3380"/>
      </w:tabs>
      <w:ind w:firstLine="420" w:firstLineChars="100"/>
    </w:pPr>
    <w:rPr>
      <w:rFonts w:ascii="宋体" w:hAnsi="宋体"/>
      <w:sz w:val="28"/>
      <w:szCs w:val="28"/>
    </w:rPr>
  </w:style>
  <w:style w:type="paragraph" w:customStyle="1" w:styleId="39">
    <w:name w:val="BodyText"/>
    <w:basedOn w:val="1"/>
    <w:qFormat/>
    <w:uiPriority w:val="0"/>
    <w:pPr>
      <w:tabs>
        <w:tab w:val="left" w:pos="3380"/>
      </w:tabs>
      <w:jc w:val="center"/>
      <w:textAlignment w:val="baseline"/>
    </w:pPr>
    <w:rPr>
      <w:rFonts w:ascii="Times New Roman"/>
      <w:b/>
      <w:bCs/>
      <w:spacing w:val="-20"/>
      <w:kern w:val="0"/>
      <w:sz w:val="36"/>
    </w:rPr>
  </w:style>
  <w:style w:type="paragraph" w:customStyle="1" w:styleId="40">
    <w:name w:val="段"/>
    <w:next w:val="1"/>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paragraph" w:customStyle="1" w:styleId="4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2">
    <w:name w:val="纯文本2"/>
    <w:basedOn w:val="1"/>
    <w:qFormat/>
    <w:uiPriority w:val="0"/>
    <w:pPr>
      <w:adjustRightInd w:val="0"/>
      <w:textAlignment w:val="baseline"/>
    </w:pPr>
    <w:rPr>
      <w:rFonts w:ascii="宋体" w:hAnsi="Courier New" w:eastAsia="楷体_GB2312"/>
      <w:sz w:val="26"/>
      <w:szCs w:val="20"/>
    </w:rPr>
  </w:style>
  <w:style w:type="paragraph" w:customStyle="1" w:styleId="4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_Style 1"/>
    <w:qFormat/>
    <w:uiPriority w:val="99"/>
    <w:rPr>
      <w:rFonts w:ascii="Calibri" w:hAnsi="Calibri" w:eastAsia="宋体" w:cs="Times New Roman"/>
      <w:kern w:val="2"/>
      <w:sz w:val="28"/>
      <w:szCs w:val="22"/>
      <w:lang w:val="en-US" w:eastAsia="zh-CN" w:bidi="ar-SA"/>
    </w:rPr>
  </w:style>
  <w:style w:type="paragraph" w:customStyle="1" w:styleId="46">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47">
    <w:name w:val="font51"/>
    <w:basedOn w:val="23"/>
    <w:qFormat/>
    <w:uiPriority w:val="0"/>
    <w:rPr>
      <w:rFonts w:hint="eastAsia" w:ascii="宋体" w:hAnsi="宋体" w:eastAsia="宋体" w:cs="宋体"/>
      <w:color w:val="000000"/>
      <w:sz w:val="20"/>
      <w:szCs w:val="20"/>
      <w:u w:val="none"/>
    </w:rPr>
  </w:style>
  <w:style w:type="character" w:customStyle="1" w:styleId="48">
    <w:name w:val="font61"/>
    <w:basedOn w:val="23"/>
    <w:qFormat/>
    <w:uiPriority w:val="0"/>
    <w:rPr>
      <w:rFonts w:hint="eastAsia" w:ascii="宋体" w:hAnsi="宋体" w:eastAsia="宋体" w:cs="宋体"/>
      <w:b/>
      <w:color w:val="FF0000"/>
      <w:sz w:val="20"/>
      <w:szCs w:val="20"/>
      <w:u w:val="none"/>
    </w:rPr>
  </w:style>
  <w:style w:type="paragraph" w:styleId="49">
    <w:name w:val="List Paragraph"/>
    <w:basedOn w:val="1"/>
    <w:qFormat/>
    <w:uiPriority w:val="1"/>
    <w:pPr>
      <w:ind w:left="218" w:firstLine="480"/>
    </w:pPr>
    <w:rPr>
      <w:rFonts w:ascii="宋体" w:hAnsi="宋体" w:cs="宋体"/>
      <w:lang w:val="zh-CN" w:bidi="zh-CN"/>
    </w:rPr>
  </w:style>
  <w:style w:type="paragraph" w:customStyle="1" w:styleId="50">
    <w:name w:val="首行缩进"/>
    <w:basedOn w:val="1"/>
    <w:qFormat/>
    <w:uiPriority w:val="0"/>
    <w:pPr>
      <w:ind w:firstLine="480" w:firstLineChars="200"/>
    </w:pPr>
    <w:rPr>
      <w:lang w:val="zh-CN"/>
    </w:rPr>
  </w:style>
  <w:style w:type="paragraph" w:customStyle="1" w:styleId="51">
    <w:name w:val="正文2"/>
    <w:basedOn w:val="1"/>
    <w:qFormat/>
    <w:uiPriority w:val="0"/>
    <w:pPr>
      <w:spacing w:before="156" w:line="360" w:lineRule="auto"/>
      <w:ind w:firstLine="510" w:firstLineChars="200"/>
    </w:pPr>
    <w:rPr>
      <w:sz w:val="24"/>
      <w:szCs w:val="20"/>
    </w:rPr>
  </w:style>
  <w:style w:type="paragraph" w:customStyle="1" w:styleId="52">
    <w:name w:val="DAS正文"/>
    <w:basedOn w:val="1"/>
    <w:qFormat/>
    <w:uiPriority w:val="0"/>
    <w:pPr>
      <w:ind w:right="181" w:firstLine="480"/>
    </w:pPr>
    <w:rPr>
      <w:rFonts w:ascii="Verdana" w:hAnsi="Verdana"/>
      <w:sz w:val="24"/>
    </w:rPr>
  </w:style>
  <w:style w:type="character" w:customStyle="1" w:styleId="53">
    <w:name w:val="批注框文本 Char"/>
    <w:basedOn w:val="23"/>
    <w:link w:val="15"/>
    <w:qFormat/>
    <w:uiPriority w:val="0"/>
    <w:rPr>
      <w:rFonts w:ascii="Calibri" w:hAnsi="Calibri"/>
      <w:kern w:val="2"/>
      <w:sz w:val="18"/>
      <w:szCs w:val="18"/>
    </w:rPr>
  </w:style>
  <w:style w:type="character" w:customStyle="1" w:styleId="54">
    <w:name w:val="文档结构图 Char"/>
    <w:basedOn w:val="23"/>
    <w:link w:val="9"/>
    <w:qFormat/>
    <w:uiPriority w:val="0"/>
    <w:rPr>
      <w:rFonts w:ascii="宋体" w:hAnsi="Calibri"/>
      <w:kern w:val="2"/>
      <w:sz w:val="18"/>
      <w:szCs w:val="18"/>
    </w:rPr>
  </w:style>
  <w:style w:type="paragraph" w:customStyle="1" w:styleId="55">
    <w:name w:val="标题2"/>
    <w:basedOn w:val="5"/>
    <w:qFormat/>
    <w:uiPriority w:val="0"/>
    <w:pPr>
      <w:adjustRightInd w:val="0"/>
      <w:snapToGrid w:val="0"/>
      <w:spacing w:beforeLines="60" w:afterLines="30" w:line="360" w:lineRule="auto"/>
      <w:ind w:left="8"/>
      <w:jc w:val="left"/>
    </w:pPr>
    <w:rPr>
      <w:rFonts w:eastAsia="黑体"/>
      <w:sz w:val="30"/>
    </w:rPr>
  </w:style>
  <w:style w:type="paragraph" w:customStyle="1" w:styleId="56">
    <w:name w:val="标题3"/>
    <w:basedOn w:val="6"/>
    <w:qFormat/>
    <w:uiPriority w:val="0"/>
    <w:pPr>
      <w:spacing w:beforeLines="50" w:afterLines="20"/>
      <w:ind w:left="8"/>
    </w:pPr>
    <w:rPr>
      <w:sz w:val="28"/>
    </w:rPr>
  </w:style>
  <w:style w:type="paragraph" w:customStyle="1" w:styleId="57">
    <w:name w:val="标题4"/>
    <w:basedOn w:val="7"/>
    <w:qFormat/>
    <w:uiPriority w:val="0"/>
    <w:pPr>
      <w:spacing w:before="0" w:after="0" w:line="360" w:lineRule="auto"/>
      <w:ind w:left="8"/>
    </w:pPr>
  </w:style>
  <w:style w:type="paragraph" w:customStyle="1" w:styleId="58">
    <w:name w:val="表格文字"/>
    <w:basedOn w:val="1"/>
    <w:next w:val="2"/>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36182</Words>
  <Characters>38019</Characters>
  <Lines>284</Lines>
  <Paragraphs>80</Paragraphs>
  <TotalTime>14</TotalTime>
  <ScaleCrop>false</ScaleCrop>
  <LinksUpToDate>false</LinksUpToDate>
  <CharactersWithSpaces>38964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2021-06-08T06:07:00Z</dcterms:created>
  <dc:creator>Administrator.PC-20160716QTOZ</dc:creator>
  <cp:lastModifiedBy>rainbow</cp:lastModifiedBy>
  <dcterms:modified xsi:type="dcterms:W3CDTF">2021-09-29T05:59:52Z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9FA0FA16D8A2476D8376E72414BC79B5</vt:lpwstr>
  </property>
</Properties>
</file>