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ascii="方正小标宋简体" w:hAnsi="黑体" w:eastAsia="方正小标宋简体"/>
          <w:b/>
          <w:bCs/>
          <w:color w:val="auto"/>
          <w:sz w:val="52"/>
          <w:szCs w:val="52"/>
        </w:rPr>
      </w:pPr>
      <w:r>
        <w:rPr>
          <w:rFonts w:hint="eastAsia" w:ascii="方正小标宋简体" w:hAnsi="黑体" w:eastAsia="方正小标宋简体"/>
          <w:b/>
          <w:bCs/>
          <w:color w:val="auto"/>
          <w:sz w:val="52"/>
          <w:szCs w:val="52"/>
          <w:lang w:eastAsia="zh-CN"/>
        </w:rPr>
        <w:t>湖州市教育局仁西小学办公计算机及多媒体设备采购项目</w:t>
      </w:r>
      <w:r>
        <w:rPr>
          <w:rFonts w:hint="eastAsia" w:ascii="方正小标宋简体" w:hAnsi="黑体" w:eastAsia="方正小标宋简体"/>
          <w:b/>
          <w:bCs/>
          <w:color w:val="auto"/>
          <w:sz w:val="52"/>
          <w:szCs w:val="52"/>
        </w:rPr>
        <w:t>公开招标文件</w:t>
      </w:r>
    </w:p>
    <w:p>
      <w:pPr>
        <w:jc w:val="center"/>
        <w:rPr>
          <w:rFonts w:ascii="方正小标宋简体" w:hAnsi="黑体" w:eastAsia="方正小标宋简体"/>
          <w:b/>
          <w:bCs/>
          <w:color w:val="auto"/>
          <w:sz w:val="28"/>
          <w:szCs w:val="28"/>
        </w:rPr>
      </w:pPr>
    </w:p>
    <w:p>
      <w:pPr>
        <w:jc w:val="center"/>
        <w:rPr>
          <w:rFonts w:ascii="方正小标宋简体" w:hAnsi="黑体" w:eastAsia="方正小标宋简体"/>
          <w:b/>
          <w:bCs/>
          <w:color w:val="auto"/>
          <w:sz w:val="48"/>
        </w:rPr>
      </w:pPr>
    </w:p>
    <w:p>
      <w:pPr>
        <w:jc w:val="center"/>
        <w:rPr>
          <w:rFonts w:ascii="方正小标宋简体" w:hAnsi="黑体" w:eastAsia="方正小标宋简体"/>
          <w:b/>
          <w:bCs/>
          <w:color w:val="auto"/>
          <w:sz w:val="48"/>
        </w:rPr>
      </w:pPr>
    </w:p>
    <w:p>
      <w:pPr>
        <w:rPr>
          <w:rFonts w:ascii="方正小标宋简体" w:hAnsi="黑体" w:eastAsia="方正小标宋简体"/>
          <w:b/>
          <w:bCs/>
          <w:color w:val="auto"/>
          <w:sz w:val="48"/>
        </w:rPr>
      </w:pPr>
    </w:p>
    <w:p>
      <w:pPr>
        <w:jc w:val="center"/>
        <w:rPr>
          <w:rFonts w:hint="eastAsia" w:ascii="方正小标宋简体" w:hAnsi="黑体" w:eastAsia="方正小标宋简体"/>
          <w:b/>
          <w:bCs/>
          <w:color w:val="auto"/>
          <w:sz w:val="36"/>
          <w:lang w:eastAsia="zh-CN"/>
        </w:rPr>
      </w:pPr>
      <w:r>
        <w:rPr>
          <w:rFonts w:hint="eastAsia" w:ascii="方正小标宋简体" w:hAnsi="黑体" w:eastAsia="方正小标宋简体"/>
          <w:b/>
          <w:bCs/>
          <w:color w:val="auto"/>
          <w:sz w:val="36"/>
        </w:rPr>
        <w:t>招标文件编号:</w:t>
      </w:r>
      <w:r>
        <w:rPr>
          <w:rFonts w:hint="eastAsia" w:ascii="方正小标宋简体" w:hAnsi="黑体" w:eastAsia="方正小标宋简体"/>
          <w:b/>
          <w:bCs/>
          <w:color w:val="auto"/>
          <w:sz w:val="36"/>
          <w:lang w:eastAsia="zh-CN"/>
        </w:rPr>
        <w:t>HZGZ2023-12</w:t>
      </w:r>
    </w:p>
    <w:p>
      <w:pPr>
        <w:jc w:val="center"/>
        <w:rPr>
          <w:rFonts w:hint="eastAsia" w:ascii="方正小标宋简体" w:hAnsi="黑体" w:eastAsia="方正小标宋简体" w:cs="Times New Roman"/>
          <w:b/>
          <w:bCs/>
          <w:color w:val="auto"/>
          <w:sz w:val="36"/>
        </w:rPr>
      </w:pPr>
      <w:r>
        <w:rPr>
          <w:rFonts w:hint="eastAsia" w:ascii="方正小标宋简体" w:hAnsi="黑体" w:eastAsia="方正小标宋简体" w:cs="Times New Roman"/>
          <w:b/>
          <w:bCs/>
          <w:color w:val="auto"/>
          <w:sz w:val="36"/>
        </w:rPr>
        <w:t xml:space="preserve">财政审批编号: </w:t>
      </w:r>
      <w:r>
        <w:rPr>
          <w:rFonts w:hint="eastAsia" w:ascii="方正小标宋简体" w:hAnsi="黑体" w:eastAsia="方正小标宋简体" w:cs="Times New Roman"/>
          <w:b/>
          <w:bCs/>
          <w:color w:val="auto"/>
          <w:sz w:val="36"/>
          <w:lang w:eastAsia="zh-CN"/>
        </w:rPr>
        <w:t>【2023】7595、7596号</w:t>
      </w:r>
    </w:p>
    <w:p>
      <w:pPr>
        <w:jc w:val="center"/>
        <w:rPr>
          <w:rFonts w:ascii="方正小标宋简体" w:hAnsi="黑体" w:eastAsia="方正小标宋简体"/>
          <w:b/>
          <w:bCs/>
          <w:color w:val="auto"/>
          <w:sz w:val="36"/>
        </w:rPr>
      </w:pPr>
    </w:p>
    <w:p>
      <w:pPr>
        <w:jc w:val="center"/>
        <w:rPr>
          <w:rFonts w:ascii="方正小标宋简体" w:hAnsi="黑体" w:eastAsia="方正小标宋简体"/>
          <w:b/>
          <w:bCs/>
          <w:color w:val="auto"/>
          <w:sz w:val="36"/>
          <w:u w:val="single"/>
        </w:rPr>
      </w:pPr>
    </w:p>
    <w:p>
      <w:pPr>
        <w:jc w:val="center"/>
        <w:rPr>
          <w:rFonts w:ascii="方正小标宋简体" w:hAnsi="黑体" w:eastAsia="方正小标宋简体"/>
          <w:b/>
          <w:bCs/>
          <w:color w:val="auto"/>
          <w:sz w:val="36"/>
        </w:rPr>
      </w:pPr>
    </w:p>
    <w:p>
      <w:pPr>
        <w:rPr>
          <w:rFonts w:ascii="方正小标宋简体" w:hAnsi="黑体" w:eastAsia="方正小标宋简体"/>
          <w:b/>
          <w:bCs/>
          <w:color w:val="auto"/>
          <w:sz w:val="36"/>
        </w:rPr>
      </w:pPr>
    </w:p>
    <w:p>
      <w:pPr>
        <w:spacing w:line="940" w:lineRule="exact"/>
        <w:rPr>
          <w:rFonts w:hint="eastAsia" w:ascii="方正小标宋简体" w:hAnsi="黑体" w:eastAsia="方正小标宋简体"/>
          <w:b/>
          <w:bCs/>
          <w:color w:val="auto"/>
          <w:sz w:val="30"/>
          <w:szCs w:val="30"/>
        </w:rPr>
      </w:pPr>
    </w:p>
    <w:p>
      <w:pPr>
        <w:spacing w:line="940" w:lineRule="exact"/>
        <w:rPr>
          <w:rFonts w:hint="eastAsia" w:ascii="方正小标宋简体" w:hAnsi="黑体" w:eastAsia="方正小标宋简体"/>
          <w:b/>
          <w:bCs/>
          <w:color w:val="auto"/>
          <w:sz w:val="30"/>
          <w:szCs w:val="30"/>
          <w:u w:val="single"/>
          <w:lang w:eastAsia="zh-CN"/>
        </w:rPr>
      </w:pPr>
      <w:r>
        <w:rPr>
          <w:rFonts w:hint="eastAsia" w:ascii="方正小标宋简体" w:hAnsi="黑体" w:eastAsia="方正小标宋简体"/>
          <w:b/>
          <w:bCs/>
          <w:color w:val="auto"/>
          <w:sz w:val="30"/>
          <w:szCs w:val="30"/>
        </w:rPr>
        <w:t>采购人：</w:t>
      </w:r>
      <w:r>
        <w:rPr>
          <w:rFonts w:hint="eastAsia" w:ascii="方正小标宋简体" w:hAnsi="黑体" w:eastAsia="方正小标宋简体"/>
          <w:b/>
          <w:color w:val="auto"/>
          <w:sz w:val="30"/>
          <w:szCs w:val="30"/>
          <w:lang w:eastAsia="zh-CN"/>
        </w:rPr>
        <w:t>湖州市教育局</w:t>
      </w:r>
    </w:p>
    <w:p>
      <w:pPr>
        <w:spacing w:line="940" w:lineRule="exact"/>
        <w:rPr>
          <w:rFonts w:ascii="方正小标宋简体" w:hAnsi="黑体" w:eastAsia="方正小标宋简体"/>
          <w:b/>
          <w:bCs/>
          <w:color w:val="auto"/>
          <w:sz w:val="28"/>
          <w:szCs w:val="28"/>
          <w:u w:val="single"/>
        </w:rPr>
      </w:pPr>
      <w:r>
        <w:rPr>
          <w:rFonts w:hint="eastAsia" w:ascii="方正小标宋简体" w:hAnsi="黑体" w:eastAsia="方正小标宋简体"/>
          <w:b/>
          <w:bCs/>
          <w:color w:val="auto"/>
          <w:sz w:val="30"/>
          <w:szCs w:val="30"/>
        </w:rPr>
        <w:t>集中采购机构：</w:t>
      </w:r>
      <w:r>
        <w:rPr>
          <w:rFonts w:hint="eastAsia" w:ascii="方正小标宋简体" w:hAnsi="黑体" w:eastAsia="方正小标宋简体"/>
          <w:b/>
          <w:bCs/>
          <w:color w:val="auto"/>
          <w:sz w:val="28"/>
          <w:szCs w:val="28"/>
        </w:rPr>
        <w:t>湖州市政府采购中心（盖章）</w:t>
      </w:r>
    </w:p>
    <w:p>
      <w:pPr>
        <w:spacing w:line="940" w:lineRule="exact"/>
        <w:rPr>
          <w:rFonts w:hint="eastAsia" w:ascii="方正小标宋简体" w:hAnsi="黑体" w:eastAsia="方正小标宋简体"/>
          <w:b/>
          <w:bCs/>
          <w:color w:val="auto"/>
          <w:sz w:val="30"/>
          <w:szCs w:val="30"/>
        </w:rPr>
      </w:pPr>
      <w:r>
        <w:rPr>
          <w:rFonts w:hint="eastAsia" w:ascii="方正小标宋简体" w:hAnsi="黑体" w:eastAsia="方正小标宋简体"/>
          <w:b/>
          <w:bCs/>
          <w:color w:val="auto"/>
          <w:sz w:val="30"/>
          <w:szCs w:val="30"/>
        </w:rPr>
        <w:t>日期：</w:t>
      </w:r>
      <w:r>
        <w:rPr>
          <w:rFonts w:hint="eastAsia" w:ascii="方正小标宋简体" w:hAnsi="黑体" w:eastAsia="方正小标宋简体"/>
          <w:b/>
          <w:bCs/>
          <w:color w:val="auto"/>
          <w:sz w:val="30"/>
          <w:szCs w:val="30"/>
          <w:lang w:eastAsia="zh-CN"/>
        </w:rPr>
        <w:t>2023年</w:t>
      </w:r>
      <w:r>
        <w:rPr>
          <w:rFonts w:hint="eastAsia" w:ascii="方正小标宋简体" w:hAnsi="黑体" w:eastAsia="方正小标宋简体"/>
          <w:b/>
          <w:bCs/>
          <w:color w:val="auto"/>
          <w:sz w:val="30"/>
          <w:szCs w:val="30"/>
          <w:lang w:val="en-US" w:eastAsia="zh-CN"/>
        </w:rPr>
        <w:t>5</w:t>
      </w:r>
      <w:r>
        <w:rPr>
          <w:rFonts w:hint="eastAsia" w:ascii="方正小标宋简体" w:hAnsi="黑体" w:eastAsia="方正小标宋简体"/>
          <w:b/>
          <w:bCs/>
          <w:color w:val="auto"/>
          <w:sz w:val="30"/>
          <w:szCs w:val="30"/>
        </w:rPr>
        <w:t>月</w:t>
      </w:r>
      <w:r>
        <w:rPr>
          <w:rFonts w:hint="eastAsia" w:ascii="方正小标宋简体" w:hAnsi="黑体" w:eastAsia="方正小标宋简体"/>
          <w:b/>
          <w:bCs/>
          <w:color w:val="auto"/>
          <w:sz w:val="30"/>
          <w:szCs w:val="30"/>
          <w:lang w:val="en-US" w:eastAsia="zh-CN"/>
        </w:rPr>
        <w:t>18</w:t>
      </w:r>
      <w:r>
        <w:rPr>
          <w:rFonts w:hint="eastAsia" w:ascii="方正小标宋简体" w:hAnsi="黑体" w:eastAsia="方正小标宋简体"/>
          <w:b/>
          <w:bCs/>
          <w:color w:val="auto"/>
          <w:sz w:val="30"/>
          <w:szCs w:val="30"/>
        </w:rPr>
        <w:t>日</w:t>
      </w:r>
    </w:p>
    <w:p>
      <w:pPr>
        <w:pStyle w:val="12"/>
        <w:rPr>
          <w:rFonts w:hint="eastAsia" w:ascii="方正小标宋简体" w:hAnsi="黑体" w:eastAsia="方正小标宋简体"/>
          <w:b/>
          <w:bCs/>
          <w:color w:val="auto"/>
          <w:sz w:val="30"/>
          <w:szCs w:val="30"/>
        </w:rPr>
      </w:pPr>
    </w:p>
    <w:p>
      <w:pPr>
        <w:rPr>
          <w:rFonts w:hint="eastAsia" w:ascii="方正小标宋简体" w:hAnsi="黑体" w:eastAsia="方正小标宋简体"/>
          <w:b/>
          <w:bCs/>
          <w:color w:val="auto"/>
          <w:sz w:val="30"/>
          <w:szCs w:val="30"/>
        </w:rPr>
      </w:pPr>
    </w:p>
    <w:p>
      <w:pPr>
        <w:rPr>
          <w:color w:val="auto"/>
        </w:rPr>
      </w:pPr>
    </w:p>
    <w:p>
      <w:pPr>
        <w:adjustRightInd w:val="0"/>
        <w:snapToGrid w:val="0"/>
        <w:spacing w:line="500" w:lineRule="exact"/>
        <w:jc w:val="center"/>
        <w:rPr>
          <w:rFonts w:ascii="方正小标宋简体" w:hAnsi="仿宋" w:eastAsia="方正小标宋简体"/>
          <w:b/>
          <w:snapToGrid w:val="0"/>
          <w:color w:val="auto"/>
          <w:sz w:val="32"/>
          <w:szCs w:val="32"/>
        </w:rPr>
      </w:pPr>
      <w:r>
        <w:rPr>
          <w:rFonts w:hint="eastAsia" w:ascii="方正小标宋简体" w:hAnsi="仿宋" w:eastAsia="方正小标宋简体"/>
          <w:b/>
          <w:snapToGrid w:val="0"/>
          <w:color w:val="auto"/>
          <w:sz w:val="32"/>
          <w:szCs w:val="32"/>
        </w:rPr>
        <w:t>目         录</w:t>
      </w:r>
    </w:p>
    <w:p>
      <w:pPr>
        <w:adjustRightInd w:val="0"/>
        <w:snapToGrid w:val="0"/>
        <w:spacing w:line="500" w:lineRule="exact"/>
        <w:rPr>
          <w:rFonts w:ascii="仿宋" w:hAnsi="仿宋" w:eastAsia="仿宋"/>
          <w:bCs/>
          <w:snapToGrid w:val="0"/>
          <w:color w:val="auto"/>
          <w:sz w:val="28"/>
        </w:rPr>
      </w:pPr>
    </w:p>
    <w:p>
      <w:pPr>
        <w:pStyle w:val="23"/>
        <w:spacing w:line="480" w:lineRule="exact"/>
        <w:rPr>
          <w:rFonts w:ascii="仿宋" w:hAnsi="仿宋" w:eastAsia="仿宋"/>
          <w:b w:val="0"/>
          <w:color w:val="auto"/>
          <w:kern w:val="0"/>
          <w:sz w:val="28"/>
          <w:szCs w:val="28"/>
        </w:rPr>
      </w:pPr>
      <w:r>
        <w:rPr>
          <w:rFonts w:hint="eastAsia" w:ascii="仿宋" w:hAnsi="仿宋" w:eastAsia="仿宋"/>
          <w:b w:val="0"/>
          <w:color w:val="auto"/>
          <w:kern w:val="0"/>
          <w:sz w:val="28"/>
          <w:szCs w:val="28"/>
        </w:rPr>
        <w:t>招标公告</w:t>
      </w:r>
      <w:r>
        <w:rPr>
          <w:rFonts w:hint="eastAsia" w:ascii="仿宋" w:hAnsi="仿宋" w:eastAsia="仿宋"/>
          <w:b w:val="0"/>
          <w:color w:val="auto"/>
          <w:kern w:val="0"/>
          <w:sz w:val="28"/>
          <w:szCs w:val="28"/>
        </w:rPr>
        <w:tab/>
      </w:r>
      <w:r>
        <w:rPr>
          <w:rFonts w:hint="eastAsia" w:ascii="仿宋" w:hAnsi="仿宋" w:eastAsia="仿宋"/>
          <w:b w:val="0"/>
          <w:color w:val="auto"/>
          <w:kern w:val="0"/>
          <w:sz w:val="28"/>
          <w:szCs w:val="28"/>
        </w:rPr>
        <w:t>....................................................................................3</w:t>
      </w:r>
    </w:p>
    <w:p>
      <w:pPr>
        <w:pStyle w:val="23"/>
        <w:tabs>
          <w:tab w:val="right" w:leader="dot" w:pos="8494"/>
        </w:tabs>
        <w:rPr>
          <w:rFonts w:ascii="仿宋" w:hAnsi="仿宋" w:eastAsia="仿宋" w:cstheme="minorBidi"/>
          <w:b w:val="0"/>
          <w:bCs w:val="0"/>
          <w:caps w:val="0"/>
          <w:color w:val="auto"/>
          <w:sz w:val="28"/>
          <w:szCs w:val="28"/>
        </w:rPr>
      </w:pPr>
      <w:bookmarkStart w:id="0" w:name="OLE_LINK1"/>
      <w:bookmarkStart w:id="1" w:name="OLE_LINK5"/>
      <w:bookmarkStart w:id="2" w:name="OLE_LINK6"/>
      <w:bookmarkStart w:id="3" w:name="OLE_LINK4"/>
      <w:bookmarkStart w:id="4" w:name="OLE_LINK3"/>
      <w:r>
        <w:rPr>
          <w:rStyle w:val="39"/>
          <w:rFonts w:ascii="仿宋" w:hAnsi="仿宋" w:eastAsia="仿宋"/>
          <w:b w:val="0"/>
          <w:color w:val="auto"/>
          <w:sz w:val="28"/>
          <w:szCs w:val="28"/>
        </w:rPr>
        <w:fldChar w:fldCharType="begin"/>
      </w:r>
      <w:r>
        <w:rPr>
          <w:rStyle w:val="39"/>
          <w:rFonts w:ascii="仿宋" w:hAnsi="仿宋" w:eastAsia="仿宋"/>
          <w:b w:val="0"/>
          <w:color w:val="auto"/>
          <w:sz w:val="28"/>
          <w:szCs w:val="28"/>
        </w:rPr>
        <w:instrText xml:space="preserve"> </w:instrText>
      </w:r>
      <w:r>
        <w:rPr>
          <w:rStyle w:val="39"/>
          <w:rFonts w:hint="eastAsia" w:ascii="仿宋" w:hAnsi="仿宋" w:eastAsia="仿宋"/>
          <w:b w:val="0"/>
          <w:color w:val="auto"/>
          <w:sz w:val="28"/>
          <w:szCs w:val="28"/>
        </w:rPr>
        <w:instrText xml:space="preserve">TOC \o "1-3" \h \z \u</w:instrText>
      </w:r>
      <w:r>
        <w:rPr>
          <w:rStyle w:val="39"/>
          <w:rFonts w:ascii="仿宋" w:hAnsi="仿宋" w:eastAsia="仿宋"/>
          <w:b w:val="0"/>
          <w:color w:val="auto"/>
          <w:sz w:val="28"/>
          <w:szCs w:val="28"/>
        </w:rPr>
        <w:instrText xml:space="preserve"> </w:instrText>
      </w:r>
      <w:r>
        <w:rPr>
          <w:rStyle w:val="39"/>
          <w:rFonts w:ascii="仿宋" w:hAnsi="仿宋" w:eastAsia="仿宋"/>
          <w:b w:val="0"/>
          <w:color w:val="auto"/>
          <w:sz w:val="28"/>
          <w:szCs w:val="28"/>
        </w:rPr>
        <w:fldChar w:fldCharType="separate"/>
      </w:r>
      <w:r>
        <w:rPr>
          <w:color w:val="auto"/>
        </w:rPr>
        <w:fldChar w:fldCharType="begin"/>
      </w:r>
      <w:r>
        <w:rPr>
          <w:color w:val="auto"/>
        </w:rPr>
        <w:instrText xml:space="preserve"> HYPERLINK \l "_Toc36454312" </w:instrText>
      </w:r>
      <w:r>
        <w:rPr>
          <w:color w:val="auto"/>
        </w:rPr>
        <w:fldChar w:fldCharType="separate"/>
      </w:r>
      <w:r>
        <w:rPr>
          <w:rStyle w:val="39"/>
          <w:rFonts w:hint="eastAsia" w:ascii="仿宋" w:hAnsi="仿宋" w:eastAsia="仿宋"/>
          <w:b w:val="0"/>
          <w:color w:val="auto"/>
          <w:sz w:val="28"/>
          <w:szCs w:val="28"/>
        </w:rPr>
        <w:t>第一章</w:t>
      </w:r>
      <w:r>
        <w:rPr>
          <w:rStyle w:val="39"/>
          <w:rFonts w:ascii="仿宋" w:hAnsi="仿宋" w:eastAsia="仿宋"/>
          <w:b w:val="0"/>
          <w:color w:val="auto"/>
          <w:sz w:val="28"/>
          <w:szCs w:val="28"/>
        </w:rPr>
        <w:t xml:space="preserve">  </w:t>
      </w:r>
      <w:r>
        <w:rPr>
          <w:rStyle w:val="39"/>
          <w:rFonts w:hint="eastAsia" w:ascii="仿宋" w:hAnsi="仿宋" w:eastAsia="仿宋"/>
          <w:b w:val="0"/>
          <w:color w:val="auto"/>
          <w:sz w:val="28"/>
          <w:szCs w:val="28"/>
        </w:rPr>
        <w:t>投标人须知</w:t>
      </w:r>
      <w:r>
        <w:rPr>
          <w:rFonts w:ascii="仿宋" w:hAnsi="仿宋" w:eastAsia="仿宋"/>
          <w:b w:val="0"/>
          <w:color w:val="auto"/>
          <w:sz w:val="28"/>
          <w:szCs w:val="28"/>
        </w:rPr>
        <w:tab/>
      </w:r>
      <w:r>
        <w:rPr>
          <w:rFonts w:ascii="仿宋" w:hAnsi="仿宋" w:eastAsia="仿宋"/>
          <w:b w:val="0"/>
          <w:color w:val="auto"/>
          <w:sz w:val="28"/>
          <w:szCs w:val="28"/>
        </w:rPr>
        <w:fldChar w:fldCharType="begin"/>
      </w:r>
      <w:r>
        <w:rPr>
          <w:rFonts w:ascii="仿宋" w:hAnsi="仿宋" w:eastAsia="仿宋"/>
          <w:b w:val="0"/>
          <w:color w:val="auto"/>
          <w:sz w:val="28"/>
          <w:szCs w:val="28"/>
        </w:rPr>
        <w:instrText xml:space="preserve"> PAGEREF _Toc36454312 \h </w:instrText>
      </w:r>
      <w:r>
        <w:rPr>
          <w:rFonts w:ascii="仿宋" w:hAnsi="仿宋" w:eastAsia="仿宋"/>
          <w:b w:val="0"/>
          <w:color w:val="auto"/>
          <w:sz w:val="28"/>
          <w:szCs w:val="28"/>
        </w:rPr>
        <w:fldChar w:fldCharType="separate"/>
      </w:r>
      <w:r>
        <w:rPr>
          <w:rFonts w:ascii="仿宋" w:hAnsi="仿宋" w:eastAsia="仿宋"/>
          <w:b w:val="0"/>
          <w:color w:val="auto"/>
          <w:sz w:val="28"/>
          <w:szCs w:val="28"/>
        </w:rPr>
        <w:t>7</w:t>
      </w:r>
      <w:r>
        <w:rPr>
          <w:rFonts w:ascii="仿宋" w:hAnsi="仿宋" w:eastAsia="仿宋"/>
          <w:b w:val="0"/>
          <w:color w:val="auto"/>
          <w:sz w:val="28"/>
          <w:szCs w:val="28"/>
        </w:rPr>
        <w:fldChar w:fldCharType="end"/>
      </w:r>
      <w:r>
        <w:rPr>
          <w:rFonts w:ascii="仿宋" w:hAnsi="仿宋" w:eastAsia="仿宋"/>
          <w:b w:val="0"/>
          <w:color w:val="auto"/>
          <w:sz w:val="28"/>
          <w:szCs w:val="28"/>
        </w:rPr>
        <w:fldChar w:fldCharType="end"/>
      </w:r>
    </w:p>
    <w:p>
      <w:pPr>
        <w:pStyle w:val="27"/>
        <w:tabs>
          <w:tab w:val="right" w:leader="dot" w:pos="8494"/>
        </w:tabs>
        <w:rPr>
          <w:rFonts w:ascii="仿宋" w:hAnsi="仿宋" w:eastAsia="仿宋" w:cstheme="minorBidi"/>
          <w:smallCaps w:val="0"/>
          <w:color w:val="auto"/>
          <w:sz w:val="28"/>
          <w:szCs w:val="28"/>
        </w:rPr>
      </w:pPr>
      <w:r>
        <w:rPr>
          <w:color w:val="auto"/>
        </w:rPr>
        <w:fldChar w:fldCharType="begin"/>
      </w:r>
      <w:r>
        <w:rPr>
          <w:color w:val="auto"/>
        </w:rPr>
        <w:instrText xml:space="preserve"> HYPERLINK \l "_Toc36454313" </w:instrText>
      </w:r>
      <w:r>
        <w:rPr>
          <w:color w:val="auto"/>
        </w:rPr>
        <w:fldChar w:fldCharType="separate"/>
      </w:r>
      <w:r>
        <w:rPr>
          <w:rStyle w:val="39"/>
          <w:rFonts w:hint="eastAsia" w:ascii="仿宋" w:hAnsi="仿宋" w:eastAsia="仿宋"/>
          <w:color w:val="auto"/>
          <w:sz w:val="28"/>
          <w:szCs w:val="28"/>
        </w:rPr>
        <w:t>前</w:t>
      </w:r>
      <w:r>
        <w:rPr>
          <w:rStyle w:val="39"/>
          <w:rFonts w:ascii="仿宋" w:hAnsi="仿宋" w:eastAsia="仿宋"/>
          <w:color w:val="auto"/>
          <w:sz w:val="28"/>
          <w:szCs w:val="28"/>
        </w:rPr>
        <w:t xml:space="preserve">   </w:t>
      </w:r>
      <w:r>
        <w:rPr>
          <w:rStyle w:val="39"/>
          <w:rFonts w:hint="eastAsia" w:ascii="仿宋" w:hAnsi="仿宋" w:eastAsia="仿宋"/>
          <w:color w:val="auto"/>
          <w:sz w:val="28"/>
          <w:szCs w:val="28"/>
        </w:rPr>
        <w:t>附</w:t>
      </w:r>
      <w:r>
        <w:rPr>
          <w:rStyle w:val="39"/>
          <w:rFonts w:ascii="仿宋" w:hAnsi="仿宋" w:eastAsia="仿宋"/>
          <w:color w:val="auto"/>
          <w:sz w:val="28"/>
          <w:szCs w:val="28"/>
        </w:rPr>
        <w:t xml:space="preserve">  </w:t>
      </w:r>
      <w:r>
        <w:rPr>
          <w:rStyle w:val="39"/>
          <w:rFonts w:hint="eastAsia" w:ascii="仿宋" w:hAnsi="仿宋" w:eastAsia="仿宋"/>
          <w:color w:val="auto"/>
          <w:sz w:val="28"/>
          <w:szCs w:val="28"/>
        </w:rPr>
        <w:t>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_Toc36454313 \h </w:instrText>
      </w:r>
      <w:r>
        <w:rPr>
          <w:rFonts w:ascii="仿宋" w:hAnsi="仿宋" w:eastAsia="仿宋"/>
          <w:color w:val="auto"/>
          <w:sz w:val="28"/>
          <w:szCs w:val="28"/>
        </w:rPr>
        <w:fldChar w:fldCharType="separate"/>
      </w:r>
      <w:r>
        <w:rPr>
          <w:rFonts w:ascii="仿宋" w:hAnsi="仿宋" w:eastAsia="仿宋"/>
          <w:color w:val="auto"/>
          <w:sz w:val="28"/>
          <w:szCs w:val="28"/>
        </w:rPr>
        <w:t>7</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27"/>
        <w:tabs>
          <w:tab w:val="right" w:leader="dot" w:pos="8494"/>
        </w:tabs>
        <w:rPr>
          <w:rFonts w:ascii="仿宋" w:hAnsi="仿宋" w:eastAsia="仿宋" w:cstheme="minorBidi"/>
          <w:smallCaps w:val="0"/>
          <w:color w:val="auto"/>
          <w:sz w:val="28"/>
          <w:szCs w:val="28"/>
        </w:rPr>
      </w:pPr>
      <w:r>
        <w:rPr>
          <w:color w:val="auto"/>
        </w:rPr>
        <w:fldChar w:fldCharType="begin"/>
      </w:r>
      <w:r>
        <w:rPr>
          <w:color w:val="auto"/>
        </w:rPr>
        <w:instrText xml:space="preserve"> HYPERLINK \l "_Toc36454314" </w:instrText>
      </w:r>
      <w:r>
        <w:rPr>
          <w:color w:val="auto"/>
        </w:rPr>
        <w:fldChar w:fldCharType="separate"/>
      </w:r>
      <w:r>
        <w:rPr>
          <w:rStyle w:val="39"/>
          <w:rFonts w:hint="eastAsia" w:ascii="仿宋" w:hAnsi="仿宋" w:eastAsia="仿宋"/>
          <w:color w:val="auto"/>
          <w:sz w:val="28"/>
          <w:szCs w:val="28"/>
        </w:rPr>
        <w:t>一、总</w:t>
      </w:r>
      <w:r>
        <w:rPr>
          <w:rStyle w:val="39"/>
          <w:rFonts w:ascii="仿宋" w:hAnsi="仿宋" w:eastAsia="仿宋"/>
          <w:color w:val="auto"/>
          <w:sz w:val="28"/>
          <w:szCs w:val="28"/>
        </w:rPr>
        <w:t xml:space="preserve">  </w:t>
      </w:r>
      <w:r>
        <w:rPr>
          <w:rStyle w:val="39"/>
          <w:rFonts w:hint="eastAsia" w:ascii="仿宋" w:hAnsi="仿宋" w:eastAsia="仿宋"/>
          <w:color w:val="auto"/>
          <w:sz w:val="28"/>
          <w:szCs w:val="28"/>
        </w:rPr>
        <w:t>则</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_Toc36454314 \h </w:instrText>
      </w:r>
      <w:r>
        <w:rPr>
          <w:rFonts w:ascii="仿宋" w:hAnsi="仿宋" w:eastAsia="仿宋"/>
          <w:color w:val="auto"/>
          <w:sz w:val="28"/>
          <w:szCs w:val="28"/>
        </w:rPr>
        <w:fldChar w:fldCharType="separate"/>
      </w:r>
      <w:r>
        <w:rPr>
          <w:rFonts w:ascii="仿宋" w:hAnsi="仿宋" w:eastAsia="仿宋"/>
          <w:color w:val="auto"/>
          <w:sz w:val="28"/>
          <w:szCs w:val="28"/>
        </w:rPr>
        <w:t>8</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27"/>
        <w:tabs>
          <w:tab w:val="right" w:leader="dot" w:pos="8494"/>
        </w:tabs>
        <w:rPr>
          <w:rFonts w:ascii="仿宋" w:hAnsi="仿宋" w:eastAsia="仿宋" w:cstheme="minorBidi"/>
          <w:smallCaps w:val="0"/>
          <w:color w:val="auto"/>
          <w:sz w:val="28"/>
          <w:szCs w:val="28"/>
        </w:rPr>
      </w:pPr>
      <w:r>
        <w:rPr>
          <w:color w:val="auto"/>
        </w:rPr>
        <w:fldChar w:fldCharType="begin"/>
      </w:r>
      <w:r>
        <w:rPr>
          <w:color w:val="auto"/>
        </w:rPr>
        <w:instrText xml:space="preserve"> HYPERLINK \l "_Toc36454315" </w:instrText>
      </w:r>
      <w:r>
        <w:rPr>
          <w:color w:val="auto"/>
        </w:rPr>
        <w:fldChar w:fldCharType="separate"/>
      </w:r>
      <w:r>
        <w:rPr>
          <w:rStyle w:val="39"/>
          <w:rFonts w:hint="eastAsia" w:ascii="仿宋" w:hAnsi="仿宋" w:eastAsia="仿宋"/>
          <w:color w:val="auto"/>
          <w:sz w:val="28"/>
          <w:szCs w:val="28"/>
        </w:rPr>
        <w:t>二、招标文件的说明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_Toc36454315 \h </w:instrText>
      </w:r>
      <w:r>
        <w:rPr>
          <w:rFonts w:ascii="仿宋" w:hAnsi="仿宋" w:eastAsia="仿宋"/>
          <w:color w:val="auto"/>
          <w:sz w:val="28"/>
          <w:szCs w:val="28"/>
        </w:rPr>
        <w:fldChar w:fldCharType="separate"/>
      </w:r>
      <w:r>
        <w:rPr>
          <w:rFonts w:ascii="仿宋" w:hAnsi="仿宋" w:eastAsia="仿宋"/>
          <w:color w:val="auto"/>
          <w:sz w:val="28"/>
          <w:szCs w:val="28"/>
        </w:rPr>
        <w:t>9</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27"/>
        <w:tabs>
          <w:tab w:val="right" w:leader="dot" w:pos="8494"/>
        </w:tabs>
        <w:rPr>
          <w:rFonts w:ascii="仿宋" w:hAnsi="仿宋" w:eastAsia="仿宋" w:cstheme="minorBidi"/>
          <w:smallCaps w:val="0"/>
          <w:color w:val="auto"/>
          <w:sz w:val="28"/>
          <w:szCs w:val="28"/>
        </w:rPr>
      </w:pPr>
      <w:r>
        <w:rPr>
          <w:color w:val="auto"/>
        </w:rPr>
        <w:fldChar w:fldCharType="begin"/>
      </w:r>
      <w:r>
        <w:rPr>
          <w:color w:val="auto"/>
        </w:rPr>
        <w:instrText xml:space="preserve"> HYPERLINK \l "_Toc36454316" </w:instrText>
      </w:r>
      <w:r>
        <w:rPr>
          <w:color w:val="auto"/>
        </w:rPr>
        <w:fldChar w:fldCharType="separate"/>
      </w:r>
      <w:r>
        <w:rPr>
          <w:rStyle w:val="39"/>
          <w:rFonts w:hint="eastAsia" w:ascii="仿宋" w:hAnsi="仿宋" w:eastAsia="仿宋"/>
          <w:color w:val="auto"/>
          <w:sz w:val="28"/>
          <w:szCs w:val="28"/>
        </w:rPr>
        <w:t>三、投标文件的编制</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_Toc36454316 \h </w:instrText>
      </w:r>
      <w:r>
        <w:rPr>
          <w:rFonts w:ascii="仿宋" w:hAnsi="仿宋" w:eastAsia="仿宋"/>
          <w:color w:val="auto"/>
          <w:sz w:val="28"/>
          <w:szCs w:val="28"/>
        </w:rPr>
        <w:fldChar w:fldCharType="separate"/>
      </w:r>
      <w:r>
        <w:rPr>
          <w:rFonts w:ascii="仿宋" w:hAnsi="仿宋" w:eastAsia="仿宋"/>
          <w:color w:val="auto"/>
          <w:sz w:val="28"/>
          <w:szCs w:val="28"/>
        </w:rPr>
        <w:t>10</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27"/>
        <w:tabs>
          <w:tab w:val="right" w:leader="dot" w:pos="8494"/>
        </w:tabs>
        <w:rPr>
          <w:rFonts w:ascii="仿宋" w:hAnsi="仿宋" w:eastAsia="仿宋" w:cstheme="minorBidi"/>
          <w:smallCaps w:val="0"/>
          <w:color w:val="auto"/>
          <w:sz w:val="28"/>
          <w:szCs w:val="28"/>
        </w:rPr>
      </w:pPr>
      <w:r>
        <w:rPr>
          <w:color w:val="auto"/>
        </w:rPr>
        <w:fldChar w:fldCharType="begin"/>
      </w:r>
      <w:r>
        <w:rPr>
          <w:color w:val="auto"/>
        </w:rPr>
        <w:instrText xml:space="preserve"> HYPERLINK \l "_Toc36454317" </w:instrText>
      </w:r>
      <w:r>
        <w:rPr>
          <w:color w:val="auto"/>
        </w:rPr>
        <w:fldChar w:fldCharType="separate"/>
      </w:r>
      <w:r>
        <w:rPr>
          <w:rStyle w:val="39"/>
          <w:rFonts w:hint="eastAsia" w:ascii="仿宋" w:hAnsi="仿宋" w:eastAsia="仿宋"/>
          <w:color w:val="auto"/>
          <w:sz w:val="28"/>
          <w:szCs w:val="28"/>
        </w:rPr>
        <w:t>四、投标文件的提交</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_Toc36454317 \h </w:instrText>
      </w:r>
      <w:r>
        <w:rPr>
          <w:rFonts w:ascii="仿宋" w:hAnsi="仿宋" w:eastAsia="仿宋"/>
          <w:color w:val="auto"/>
          <w:sz w:val="28"/>
          <w:szCs w:val="28"/>
        </w:rPr>
        <w:fldChar w:fldCharType="separate"/>
      </w:r>
      <w:r>
        <w:rPr>
          <w:rFonts w:ascii="仿宋" w:hAnsi="仿宋" w:eastAsia="仿宋"/>
          <w:color w:val="auto"/>
          <w:sz w:val="28"/>
          <w:szCs w:val="28"/>
        </w:rPr>
        <w:t>13</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27"/>
        <w:tabs>
          <w:tab w:val="right" w:leader="dot" w:pos="8494"/>
        </w:tabs>
        <w:rPr>
          <w:rFonts w:ascii="仿宋" w:hAnsi="仿宋" w:eastAsia="仿宋" w:cstheme="minorBidi"/>
          <w:smallCaps w:val="0"/>
          <w:color w:val="auto"/>
          <w:sz w:val="28"/>
          <w:szCs w:val="28"/>
        </w:rPr>
      </w:pPr>
      <w:r>
        <w:rPr>
          <w:color w:val="auto"/>
        </w:rPr>
        <w:fldChar w:fldCharType="begin"/>
      </w:r>
      <w:r>
        <w:rPr>
          <w:color w:val="auto"/>
        </w:rPr>
        <w:instrText xml:space="preserve"> HYPERLINK \l "_Toc36454318" </w:instrText>
      </w:r>
      <w:r>
        <w:rPr>
          <w:color w:val="auto"/>
        </w:rPr>
        <w:fldChar w:fldCharType="separate"/>
      </w:r>
      <w:r>
        <w:rPr>
          <w:rStyle w:val="39"/>
          <w:rFonts w:hint="eastAsia" w:ascii="仿宋" w:hAnsi="仿宋" w:eastAsia="仿宋"/>
          <w:color w:val="auto"/>
          <w:sz w:val="28"/>
          <w:szCs w:val="28"/>
        </w:rPr>
        <w:t>五、开标程序</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_Toc36454318 \h </w:instrText>
      </w:r>
      <w:r>
        <w:rPr>
          <w:rFonts w:ascii="仿宋" w:hAnsi="仿宋" w:eastAsia="仿宋"/>
          <w:color w:val="auto"/>
          <w:sz w:val="28"/>
          <w:szCs w:val="28"/>
        </w:rPr>
        <w:fldChar w:fldCharType="separate"/>
      </w:r>
      <w:r>
        <w:rPr>
          <w:rFonts w:ascii="仿宋" w:hAnsi="仿宋" w:eastAsia="仿宋"/>
          <w:color w:val="auto"/>
          <w:sz w:val="28"/>
          <w:szCs w:val="28"/>
        </w:rPr>
        <w:t>14</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27"/>
        <w:tabs>
          <w:tab w:val="right" w:leader="dot" w:pos="8494"/>
        </w:tabs>
        <w:rPr>
          <w:rFonts w:ascii="仿宋" w:hAnsi="仿宋" w:eastAsia="仿宋" w:cstheme="minorBidi"/>
          <w:smallCaps w:val="0"/>
          <w:color w:val="auto"/>
          <w:sz w:val="28"/>
          <w:szCs w:val="28"/>
        </w:rPr>
      </w:pPr>
      <w:r>
        <w:rPr>
          <w:color w:val="auto"/>
        </w:rPr>
        <w:fldChar w:fldCharType="begin"/>
      </w:r>
      <w:r>
        <w:rPr>
          <w:color w:val="auto"/>
        </w:rPr>
        <w:instrText xml:space="preserve"> HYPERLINK \l "_Toc36454319" </w:instrText>
      </w:r>
      <w:r>
        <w:rPr>
          <w:color w:val="auto"/>
        </w:rPr>
        <w:fldChar w:fldCharType="separate"/>
      </w:r>
      <w:r>
        <w:rPr>
          <w:rStyle w:val="39"/>
          <w:rFonts w:hint="eastAsia" w:ascii="仿宋" w:hAnsi="仿宋" w:eastAsia="仿宋"/>
          <w:snapToGrid w:val="0"/>
          <w:color w:val="auto"/>
          <w:sz w:val="28"/>
          <w:szCs w:val="28"/>
        </w:rPr>
        <w:t>六、评标</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_Toc36454319 \h </w:instrText>
      </w:r>
      <w:r>
        <w:rPr>
          <w:rFonts w:ascii="仿宋" w:hAnsi="仿宋" w:eastAsia="仿宋"/>
          <w:color w:val="auto"/>
          <w:sz w:val="28"/>
          <w:szCs w:val="28"/>
        </w:rPr>
        <w:fldChar w:fldCharType="separate"/>
      </w:r>
      <w:r>
        <w:rPr>
          <w:rFonts w:ascii="仿宋" w:hAnsi="仿宋" w:eastAsia="仿宋"/>
          <w:color w:val="auto"/>
          <w:sz w:val="28"/>
          <w:szCs w:val="28"/>
        </w:rPr>
        <w:t>14</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27"/>
        <w:tabs>
          <w:tab w:val="right" w:leader="dot" w:pos="8494"/>
        </w:tabs>
        <w:rPr>
          <w:rFonts w:ascii="仿宋" w:hAnsi="仿宋" w:eastAsia="仿宋" w:cstheme="minorBidi"/>
          <w:smallCaps w:val="0"/>
          <w:color w:val="auto"/>
          <w:sz w:val="28"/>
          <w:szCs w:val="28"/>
        </w:rPr>
      </w:pPr>
      <w:r>
        <w:rPr>
          <w:color w:val="auto"/>
        </w:rPr>
        <w:fldChar w:fldCharType="begin"/>
      </w:r>
      <w:r>
        <w:rPr>
          <w:color w:val="auto"/>
        </w:rPr>
        <w:instrText xml:space="preserve"> HYPERLINK \l "_Toc36454320" </w:instrText>
      </w:r>
      <w:r>
        <w:rPr>
          <w:color w:val="auto"/>
        </w:rPr>
        <w:fldChar w:fldCharType="separate"/>
      </w:r>
      <w:r>
        <w:rPr>
          <w:rStyle w:val="39"/>
          <w:rFonts w:hint="eastAsia" w:ascii="仿宋" w:hAnsi="仿宋" w:eastAsia="仿宋"/>
          <w:color w:val="auto"/>
          <w:sz w:val="28"/>
          <w:szCs w:val="28"/>
        </w:rPr>
        <w:t>七、投标无效的情形</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_Toc36454320 \h </w:instrText>
      </w:r>
      <w:r>
        <w:rPr>
          <w:rFonts w:ascii="仿宋" w:hAnsi="仿宋" w:eastAsia="仿宋"/>
          <w:color w:val="auto"/>
          <w:sz w:val="28"/>
          <w:szCs w:val="28"/>
        </w:rPr>
        <w:fldChar w:fldCharType="separate"/>
      </w:r>
      <w:r>
        <w:rPr>
          <w:rFonts w:ascii="仿宋" w:hAnsi="仿宋" w:eastAsia="仿宋"/>
          <w:color w:val="auto"/>
          <w:sz w:val="28"/>
          <w:szCs w:val="28"/>
        </w:rPr>
        <w:t>17</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27"/>
        <w:tabs>
          <w:tab w:val="right" w:leader="dot" w:pos="8494"/>
        </w:tabs>
        <w:rPr>
          <w:rFonts w:ascii="仿宋" w:hAnsi="仿宋" w:eastAsia="仿宋" w:cstheme="minorBidi"/>
          <w:smallCaps w:val="0"/>
          <w:color w:val="auto"/>
          <w:sz w:val="28"/>
          <w:szCs w:val="28"/>
        </w:rPr>
      </w:pPr>
      <w:r>
        <w:rPr>
          <w:color w:val="auto"/>
        </w:rPr>
        <w:fldChar w:fldCharType="begin"/>
      </w:r>
      <w:r>
        <w:rPr>
          <w:color w:val="auto"/>
        </w:rPr>
        <w:instrText xml:space="preserve"> HYPERLINK \l "_Toc36454321" </w:instrText>
      </w:r>
      <w:r>
        <w:rPr>
          <w:color w:val="auto"/>
        </w:rPr>
        <w:fldChar w:fldCharType="separate"/>
      </w:r>
      <w:r>
        <w:rPr>
          <w:rStyle w:val="39"/>
          <w:rFonts w:hint="eastAsia" w:ascii="仿宋" w:hAnsi="仿宋" w:eastAsia="仿宋"/>
          <w:color w:val="auto"/>
          <w:sz w:val="28"/>
          <w:szCs w:val="28"/>
        </w:rPr>
        <w:t>八、合同的授予</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_Toc36454321 \h </w:instrText>
      </w:r>
      <w:r>
        <w:rPr>
          <w:rFonts w:ascii="仿宋" w:hAnsi="仿宋" w:eastAsia="仿宋"/>
          <w:color w:val="auto"/>
          <w:sz w:val="28"/>
          <w:szCs w:val="28"/>
        </w:rPr>
        <w:fldChar w:fldCharType="separate"/>
      </w:r>
      <w:r>
        <w:rPr>
          <w:rFonts w:ascii="仿宋" w:hAnsi="仿宋" w:eastAsia="仿宋"/>
          <w:color w:val="auto"/>
          <w:sz w:val="28"/>
          <w:szCs w:val="28"/>
        </w:rPr>
        <w:t>19</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27"/>
        <w:tabs>
          <w:tab w:val="right" w:leader="dot" w:pos="8494"/>
        </w:tabs>
        <w:rPr>
          <w:rFonts w:ascii="仿宋" w:hAnsi="仿宋" w:eastAsia="仿宋" w:cstheme="minorBidi"/>
          <w:smallCaps w:val="0"/>
          <w:color w:val="auto"/>
          <w:sz w:val="28"/>
          <w:szCs w:val="28"/>
        </w:rPr>
      </w:pPr>
      <w:r>
        <w:rPr>
          <w:color w:val="auto"/>
        </w:rPr>
        <w:fldChar w:fldCharType="begin"/>
      </w:r>
      <w:r>
        <w:rPr>
          <w:color w:val="auto"/>
        </w:rPr>
        <w:instrText xml:space="preserve"> HYPERLINK \l "_Toc36454322" </w:instrText>
      </w:r>
      <w:r>
        <w:rPr>
          <w:color w:val="auto"/>
        </w:rPr>
        <w:fldChar w:fldCharType="separate"/>
      </w:r>
      <w:r>
        <w:rPr>
          <w:rStyle w:val="39"/>
          <w:rFonts w:hint="eastAsia" w:ascii="仿宋" w:hAnsi="仿宋" w:eastAsia="仿宋"/>
          <w:color w:val="auto"/>
          <w:sz w:val="28"/>
          <w:szCs w:val="28"/>
        </w:rPr>
        <w:t>九、质疑</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_Toc36454322 \h </w:instrText>
      </w:r>
      <w:r>
        <w:rPr>
          <w:rFonts w:ascii="仿宋" w:hAnsi="仿宋" w:eastAsia="仿宋"/>
          <w:color w:val="auto"/>
          <w:sz w:val="28"/>
          <w:szCs w:val="28"/>
        </w:rPr>
        <w:fldChar w:fldCharType="separate"/>
      </w:r>
      <w:r>
        <w:rPr>
          <w:rFonts w:ascii="仿宋" w:hAnsi="仿宋" w:eastAsia="仿宋"/>
          <w:color w:val="auto"/>
          <w:sz w:val="28"/>
          <w:szCs w:val="28"/>
        </w:rPr>
        <w:t>20</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23"/>
        <w:tabs>
          <w:tab w:val="right" w:leader="dot" w:pos="8494"/>
        </w:tabs>
        <w:rPr>
          <w:rFonts w:ascii="仿宋" w:hAnsi="仿宋" w:eastAsia="仿宋" w:cstheme="minorBidi"/>
          <w:b w:val="0"/>
          <w:bCs w:val="0"/>
          <w:caps w:val="0"/>
          <w:color w:val="auto"/>
          <w:sz w:val="28"/>
          <w:szCs w:val="28"/>
        </w:rPr>
      </w:pPr>
      <w:r>
        <w:rPr>
          <w:color w:val="auto"/>
        </w:rPr>
        <w:fldChar w:fldCharType="begin"/>
      </w:r>
      <w:r>
        <w:rPr>
          <w:color w:val="auto"/>
        </w:rPr>
        <w:instrText xml:space="preserve"> HYPERLINK \l "_Toc36454323" </w:instrText>
      </w:r>
      <w:r>
        <w:rPr>
          <w:color w:val="auto"/>
        </w:rPr>
        <w:fldChar w:fldCharType="separate"/>
      </w:r>
      <w:r>
        <w:rPr>
          <w:rStyle w:val="39"/>
          <w:rFonts w:hint="eastAsia" w:ascii="仿宋" w:hAnsi="仿宋" w:eastAsia="仿宋"/>
          <w:b w:val="0"/>
          <w:color w:val="auto"/>
          <w:sz w:val="28"/>
          <w:szCs w:val="28"/>
        </w:rPr>
        <w:t>第二章</w:t>
      </w:r>
      <w:r>
        <w:rPr>
          <w:rStyle w:val="39"/>
          <w:rFonts w:ascii="仿宋" w:hAnsi="仿宋" w:eastAsia="仿宋"/>
          <w:b w:val="0"/>
          <w:color w:val="auto"/>
          <w:sz w:val="28"/>
          <w:szCs w:val="28"/>
        </w:rPr>
        <w:t xml:space="preserve">  </w:t>
      </w:r>
      <w:r>
        <w:rPr>
          <w:rStyle w:val="39"/>
          <w:rFonts w:hint="eastAsia" w:ascii="仿宋" w:hAnsi="仿宋" w:eastAsia="仿宋"/>
          <w:b w:val="0"/>
          <w:color w:val="auto"/>
          <w:sz w:val="28"/>
          <w:szCs w:val="28"/>
        </w:rPr>
        <w:t>招标需求</w:t>
      </w:r>
      <w:r>
        <w:rPr>
          <w:rFonts w:ascii="仿宋" w:hAnsi="仿宋" w:eastAsia="仿宋"/>
          <w:b w:val="0"/>
          <w:color w:val="auto"/>
          <w:sz w:val="28"/>
          <w:szCs w:val="28"/>
        </w:rPr>
        <w:tab/>
      </w:r>
      <w:r>
        <w:rPr>
          <w:rFonts w:ascii="仿宋" w:hAnsi="仿宋" w:eastAsia="仿宋"/>
          <w:b w:val="0"/>
          <w:color w:val="auto"/>
          <w:sz w:val="28"/>
          <w:szCs w:val="28"/>
        </w:rPr>
        <w:fldChar w:fldCharType="begin"/>
      </w:r>
      <w:r>
        <w:rPr>
          <w:rFonts w:ascii="仿宋" w:hAnsi="仿宋" w:eastAsia="仿宋"/>
          <w:b w:val="0"/>
          <w:color w:val="auto"/>
          <w:sz w:val="28"/>
          <w:szCs w:val="28"/>
        </w:rPr>
        <w:instrText xml:space="preserve"> PAGEREF _Toc36454323 \h </w:instrText>
      </w:r>
      <w:r>
        <w:rPr>
          <w:rFonts w:ascii="仿宋" w:hAnsi="仿宋" w:eastAsia="仿宋"/>
          <w:b w:val="0"/>
          <w:color w:val="auto"/>
          <w:sz w:val="28"/>
          <w:szCs w:val="28"/>
        </w:rPr>
        <w:fldChar w:fldCharType="separate"/>
      </w:r>
      <w:r>
        <w:rPr>
          <w:rFonts w:ascii="仿宋" w:hAnsi="仿宋" w:eastAsia="仿宋"/>
          <w:b w:val="0"/>
          <w:color w:val="auto"/>
          <w:sz w:val="28"/>
          <w:szCs w:val="28"/>
        </w:rPr>
        <w:t>21</w:t>
      </w:r>
      <w:r>
        <w:rPr>
          <w:rFonts w:ascii="仿宋" w:hAnsi="仿宋" w:eastAsia="仿宋"/>
          <w:b w:val="0"/>
          <w:color w:val="auto"/>
          <w:sz w:val="28"/>
          <w:szCs w:val="28"/>
        </w:rPr>
        <w:fldChar w:fldCharType="end"/>
      </w:r>
      <w:r>
        <w:rPr>
          <w:rFonts w:ascii="仿宋" w:hAnsi="仿宋" w:eastAsia="仿宋"/>
          <w:b w:val="0"/>
          <w:color w:val="auto"/>
          <w:sz w:val="28"/>
          <w:szCs w:val="28"/>
        </w:rPr>
        <w:fldChar w:fldCharType="end"/>
      </w:r>
    </w:p>
    <w:p>
      <w:pPr>
        <w:pStyle w:val="23"/>
        <w:tabs>
          <w:tab w:val="right" w:leader="dot" w:pos="8494"/>
        </w:tabs>
        <w:rPr>
          <w:rFonts w:ascii="仿宋" w:hAnsi="仿宋" w:eastAsia="仿宋" w:cstheme="minorBidi"/>
          <w:b w:val="0"/>
          <w:bCs w:val="0"/>
          <w:caps w:val="0"/>
          <w:color w:val="auto"/>
          <w:sz w:val="28"/>
          <w:szCs w:val="28"/>
        </w:rPr>
      </w:pPr>
      <w:r>
        <w:rPr>
          <w:color w:val="auto"/>
        </w:rPr>
        <w:fldChar w:fldCharType="begin"/>
      </w:r>
      <w:r>
        <w:rPr>
          <w:color w:val="auto"/>
        </w:rPr>
        <w:instrText xml:space="preserve"> HYPERLINK \l "_Toc36454324" </w:instrText>
      </w:r>
      <w:r>
        <w:rPr>
          <w:color w:val="auto"/>
        </w:rPr>
        <w:fldChar w:fldCharType="separate"/>
      </w:r>
      <w:r>
        <w:rPr>
          <w:rStyle w:val="39"/>
          <w:rFonts w:hint="eastAsia" w:ascii="仿宋" w:hAnsi="仿宋" w:eastAsia="仿宋"/>
          <w:b w:val="0"/>
          <w:color w:val="auto"/>
          <w:sz w:val="28"/>
          <w:szCs w:val="28"/>
        </w:rPr>
        <w:t>第三章</w:t>
      </w:r>
      <w:r>
        <w:rPr>
          <w:rStyle w:val="39"/>
          <w:rFonts w:ascii="仿宋" w:hAnsi="仿宋" w:eastAsia="仿宋"/>
          <w:b w:val="0"/>
          <w:color w:val="auto"/>
          <w:sz w:val="28"/>
          <w:szCs w:val="28"/>
        </w:rPr>
        <w:t xml:space="preserve">  </w:t>
      </w:r>
      <w:r>
        <w:rPr>
          <w:rStyle w:val="39"/>
          <w:rFonts w:hint="eastAsia" w:ascii="仿宋" w:hAnsi="仿宋" w:eastAsia="仿宋"/>
          <w:b w:val="0"/>
          <w:color w:val="auto"/>
          <w:sz w:val="28"/>
          <w:szCs w:val="28"/>
        </w:rPr>
        <w:t>合同主要条款</w:t>
      </w:r>
      <w:r>
        <w:rPr>
          <w:rFonts w:ascii="仿宋" w:hAnsi="仿宋" w:eastAsia="仿宋"/>
          <w:b w:val="0"/>
          <w:color w:val="auto"/>
          <w:sz w:val="28"/>
          <w:szCs w:val="28"/>
        </w:rPr>
        <w:tab/>
      </w:r>
      <w:r>
        <w:rPr>
          <w:rFonts w:ascii="仿宋" w:hAnsi="仿宋" w:eastAsia="仿宋"/>
          <w:b w:val="0"/>
          <w:color w:val="auto"/>
          <w:sz w:val="28"/>
          <w:szCs w:val="28"/>
        </w:rPr>
        <w:fldChar w:fldCharType="begin"/>
      </w:r>
      <w:r>
        <w:rPr>
          <w:rFonts w:ascii="仿宋" w:hAnsi="仿宋" w:eastAsia="仿宋"/>
          <w:b w:val="0"/>
          <w:color w:val="auto"/>
          <w:sz w:val="28"/>
          <w:szCs w:val="28"/>
        </w:rPr>
        <w:instrText xml:space="preserve"> PAGEREF _Toc36454324 \h </w:instrText>
      </w:r>
      <w:r>
        <w:rPr>
          <w:rFonts w:ascii="仿宋" w:hAnsi="仿宋" w:eastAsia="仿宋"/>
          <w:b w:val="0"/>
          <w:color w:val="auto"/>
          <w:sz w:val="28"/>
          <w:szCs w:val="28"/>
        </w:rPr>
        <w:fldChar w:fldCharType="separate"/>
      </w:r>
      <w:r>
        <w:rPr>
          <w:rFonts w:ascii="仿宋" w:hAnsi="仿宋" w:eastAsia="仿宋"/>
          <w:b w:val="0"/>
          <w:color w:val="auto"/>
          <w:sz w:val="28"/>
          <w:szCs w:val="28"/>
        </w:rPr>
        <w:t>63</w:t>
      </w:r>
      <w:r>
        <w:rPr>
          <w:rFonts w:ascii="仿宋" w:hAnsi="仿宋" w:eastAsia="仿宋"/>
          <w:b w:val="0"/>
          <w:color w:val="auto"/>
          <w:sz w:val="28"/>
          <w:szCs w:val="28"/>
        </w:rPr>
        <w:fldChar w:fldCharType="end"/>
      </w:r>
      <w:r>
        <w:rPr>
          <w:rFonts w:ascii="仿宋" w:hAnsi="仿宋" w:eastAsia="仿宋"/>
          <w:b w:val="0"/>
          <w:color w:val="auto"/>
          <w:sz w:val="28"/>
          <w:szCs w:val="28"/>
        </w:rPr>
        <w:fldChar w:fldCharType="end"/>
      </w:r>
    </w:p>
    <w:p>
      <w:pPr>
        <w:pStyle w:val="23"/>
        <w:tabs>
          <w:tab w:val="right" w:leader="dot" w:pos="8494"/>
        </w:tabs>
        <w:rPr>
          <w:rFonts w:ascii="仿宋" w:hAnsi="仿宋" w:eastAsia="仿宋" w:cstheme="minorBidi"/>
          <w:b w:val="0"/>
          <w:bCs w:val="0"/>
          <w:caps w:val="0"/>
          <w:color w:val="auto"/>
          <w:sz w:val="28"/>
          <w:szCs w:val="28"/>
        </w:rPr>
      </w:pPr>
      <w:r>
        <w:rPr>
          <w:color w:val="auto"/>
        </w:rPr>
        <w:fldChar w:fldCharType="begin"/>
      </w:r>
      <w:r>
        <w:rPr>
          <w:color w:val="auto"/>
        </w:rPr>
        <w:instrText xml:space="preserve"> HYPERLINK \l "_Toc36454325" </w:instrText>
      </w:r>
      <w:r>
        <w:rPr>
          <w:color w:val="auto"/>
        </w:rPr>
        <w:fldChar w:fldCharType="separate"/>
      </w:r>
      <w:r>
        <w:rPr>
          <w:rStyle w:val="39"/>
          <w:rFonts w:hint="eastAsia" w:ascii="仿宋" w:hAnsi="仿宋" w:eastAsia="仿宋"/>
          <w:b w:val="0"/>
          <w:color w:val="auto"/>
          <w:sz w:val="28"/>
          <w:szCs w:val="28"/>
        </w:rPr>
        <w:t>第四章</w:t>
      </w:r>
      <w:r>
        <w:rPr>
          <w:rStyle w:val="39"/>
          <w:rFonts w:ascii="仿宋" w:hAnsi="仿宋" w:eastAsia="仿宋"/>
          <w:b w:val="0"/>
          <w:color w:val="auto"/>
          <w:sz w:val="28"/>
          <w:szCs w:val="28"/>
        </w:rPr>
        <w:t xml:space="preserve">  </w:t>
      </w:r>
      <w:r>
        <w:rPr>
          <w:rStyle w:val="39"/>
          <w:rFonts w:hint="eastAsia" w:ascii="仿宋" w:hAnsi="仿宋" w:eastAsia="仿宋"/>
          <w:b w:val="0"/>
          <w:color w:val="auto"/>
          <w:sz w:val="28"/>
          <w:szCs w:val="28"/>
        </w:rPr>
        <w:t>投标文件的格式附件</w:t>
      </w:r>
      <w:r>
        <w:rPr>
          <w:rFonts w:ascii="仿宋" w:hAnsi="仿宋" w:eastAsia="仿宋"/>
          <w:b w:val="0"/>
          <w:color w:val="auto"/>
          <w:sz w:val="28"/>
          <w:szCs w:val="28"/>
        </w:rPr>
        <w:tab/>
      </w:r>
      <w:r>
        <w:rPr>
          <w:rFonts w:ascii="仿宋" w:hAnsi="仿宋" w:eastAsia="仿宋"/>
          <w:b w:val="0"/>
          <w:color w:val="auto"/>
          <w:sz w:val="28"/>
          <w:szCs w:val="28"/>
        </w:rPr>
        <w:fldChar w:fldCharType="begin"/>
      </w:r>
      <w:r>
        <w:rPr>
          <w:rFonts w:ascii="仿宋" w:hAnsi="仿宋" w:eastAsia="仿宋"/>
          <w:b w:val="0"/>
          <w:color w:val="auto"/>
          <w:sz w:val="28"/>
          <w:szCs w:val="28"/>
        </w:rPr>
        <w:instrText xml:space="preserve"> PAGEREF _Toc36454325 \h </w:instrText>
      </w:r>
      <w:r>
        <w:rPr>
          <w:rFonts w:ascii="仿宋" w:hAnsi="仿宋" w:eastAsia="仿宋"/>
          <w:b w:val="0"/>
          <w:color w:val="auto"/>
          <w:sz w:val="28"/>
          <w:szCs w:val="28"/>
        </w:rPr>
        <w:fldChar w:fldCharType="separate"/>
      </w:r>
      <w:r>
        <w:rPr>
          <w:rFonts w:ascii="仿宋" w:hAnsi="仿宋" w:eastAsia="仿宋"/>
          <w:b w:val="0"/>
          <w:color w:val="auto"/>
          <w:sz w:val="28"/>
          <w:szCs w:val="28"/>
        </w:rPr>
        <w:t>72</w:t>
      </w:r>
      <w:r>
        <w:rPr>
          <w:rFonts w:ascii="仿宋" w:hAnsi="仿宋" w:eastAsia="仿宋"/>
          <w:b w:val="0"/>
          <w:color w:val="auto"/>
          <w:sz w:val="28"/>
          <w:szCs w:val="28"/>
        </w:rPr>
        <w:fldChar w:fldCharType="end"/>
      </w:r>
      <w:r>
        <w:rPr>
          <w:rFonts w:ascii="仿宋" w:hAnsi="仿宋" w:eastAsia="仿宋"/>
          <w:b w:val="0"/>
          <w:color w:val="auto"/>
          <w:sz w:val="28"/>
          <w:szCs w:val="28"/>
        </w:rPr>
        <w:fldChar w:fldCharType="end"/>
      </w:r>
    </w:p>
    <w:p>
      <w:pPr>
        <w:pStyle w:val="23"/>
        <w:tabs>
          <w:tab w:val="right" w:leader="dot" w:pos="8494"/>
        </w:tabs>
        <w:rPr>
          <w:rFonts w:ascii="仿宋" w:hAnsi="仿宋" w:eastAsia="仿宋" w:cstheme="minorBidi"/>
          <w:b w:val="0"/>
          <w:bCs w:val="0"/>
          <w:caps w:val="0"/>
          <w:color w:val="auto"/>
          <w:sz w:val="28"/>
          <w:szCs w:val="28"/>
        </w:rPr>
      </w:pPr>
      <w:r>
        <w:rPr>
          <w:color w:val="auto"/>
        </w:rPr>
        <w:fldChar w:fldCharType="begin"/>
      </w:r>
      <w:r>
        <w:rPr>
          <w:color w:val="auto"/>
        </w:rPr>
        <w:instrText xml:space="preserve"> HYPERLINK \l "_Toc36454326" </w:instrText>
      </w:r>
      <w:r>
        <w:rPr>
          <w:color w:val="auto"/>
        </w:rPr>
        <w:fldChar w:fldCharType="separate"/>
      </w:r>
      <w:r>
        <w:rPr>
          <w:rStyle w:val="39"/>
          <w:rFonts w:hint="eastAsia" w:ascii="仿宋" w:hAnsi="仿宋" w:eastAsia="仿宋"/>
          <w:b w:val="0"/>
          <w:color w:val="auto"/>
          <w:sz w:val="28"/>
          <w:szCs w:val="28"/>
        </w:rPr>
        <w:t>第五章</w:t>
      </w:r>
      <w:r>
        <w:rPr>
          <w:rStyle w:val="39"/>
          <w:rFonts w:ascii="仿宋" w:hAnsi="仿宋" w:eastAsia="仿宋"/>
          <w:b w:val="0"/>
          <w:color w:val="auto"/>
          <w:sz w:val="28"/>
          <w:szCs w:val="28"/>
        </w:rPr>
        <w:t xml:space="preserve">  </w:t>
      </w:r>
      <w:r>
        <w:rPr>
          <w:rStyle w:val="39"/>
          <w:rFonts w:hint="eastAsia" w:ascii="仿宋" w:hAnsi="仿宋" w:eastAsia="仿宋"/>
          <w:b w:val="0"/>
          <w:color w:val="auto"/>
          <w:sz w:val="28"/>
          <w:szCs w:val="28"/>
        </w:rPr>
        <w:t>评标办法及标准</w:t>
      </w:r>
      <w:r>
        <w:rPr>
          <w:rFonts w:ascii="仿宋" w:hAnsi="仿宋" w:eastAsia="仿宋"/>
          <w:b w:val="0"/>
          <w:color w:val="auto"/>
          <w:sz w:val="28"/>
          <w:szCs w:val="28"/>
        </w:rPr>
        <w:tab/>
      </w:r>
      <w:r>
        <w:rPr>
          <w:rFonts w:ascii="仿宋" w:hAnsi="仿宋" w:eastAsia="仿宋"/>
          <w:b w:val="0"/>
          <w:color w:val="auto"/>
          <w:sz w:val="28"/>
          <w:szCs w:val="28"/>
        </w:rPr>
        <w:fldChar w:fldCharType="begin"/>
      </w:r>
      <w:r>
        <w:rPr>
          <w:rFonts w:ascii="仿宋" w:hAnsi="仿宋" w:eastAsia="仿宋"/>
          <w:b w:val="0"/>
          <w:color w:val="auto"/>
          <w:sz w:val="28"/>
          <w:szCs w:val="28"/>
        </w:rPr>
        <w:instrText xml:space="preserve"> PAGEREF _Toc36454326 \h </w:instrText>
      </w:r>
      <w:r>
        <w:rPr>
          <w:rFonts w:ascii="仿宋" w:hAnsi="仿宋" w:eastAsia="仿宋"/>
          <w:b w:val="0"/>
          <w:color w:val="auto"/>
          <w:sz w:val="28"/>
          <w:szCs w:val="28"/>
        </w:rPr>
        <w:fldChar w:fldCharType="separate"/>
      </w:r>
      <w:r>
        <w:rPr>
          <w:rFonts w:ascii="仿宋" w:hAnsi="仿宋" w:eastAsia="仿宋"/>
          <w:b w:val="0"/>
          <w:color w:val="auto"/>
          <w:sz w:val="28"/>
          <w:szCs w:val="28"/>
        </w:rPr>
        <w:t>87</w:t>
      </w:r>
      <w:r>
        <w:rPr>
          <w:rFonts w:ascii="仿宋" w:hAnsi="仿宋" w:eastAsia="仿宋"/>
          <w:b w:val="0"/>
          <w:color w:val="auto"/>
          <w:sz w:val="28"/>
          <w:szCs w:val="28"/>
        </w:rPr>
        <w:fldChar w:fldCharType="end"/>
      </w:r>
      <w:r>
        <w:rPr>
          <w:rFonts w:ascii="仿宋" w:hAnsi="仿宋" w:eastAsia="仿宋"/>
          <w:b w:val="0"/>
          <w:color w:val="auto"/>
          <w:sz w:val="28"/>
          <w:szCs w:val="28"/>
        </w:rPr>
        <w:fldChar w:fldCharType="end"/>
      </w:r>
    </w:p>
    <w:p>
      <w:pPr>
        <w:pStyle w:val="23"/>
        <w:spacing w:line="480" w:lineRule="exact"/>
        <w:jc w:val="center"/>
        <w:rPr>
          <w:rStyle w:val="39"/>
          <w:rFonts w:ascii="仿宋" w:hAnsi="仿宋" w:eastAsia="仿宋"/>
          <w:b w:val="0"/>
          <w:color w:val="auto"/>
          <w:sz w:val="28"/>
          <w:szCs w:val="28"/>
        </w:rPr>
      </w:pPr>
      <w:r>
        <w:rPr>
          <w:rStyle w:val="39"/>
          <w:rFonts w:ascii="仿宋" w:hAnsi="仿宋" w:eastAsia="仿宋"/>
          <w:b w:val="0"/>
          <w:color w:val="auto"/>
          <w:sz w:val="28"/>
          <w:szCs w:val="28"/>
        </w:rPr>
        <w:fldChar w:fldCharType="end"/>
      </w:r>
    </w:p>
    <w:p>
      <w:pPr>
        <w:pStyle w:val="23"/>
        <w:spacing w:line="480" w:lineRule="exact"/>
        <w:jc w:val="both"/>
        <w:rPr>
          <w:rFonts w:hint="eastAsia" w:ascii="方正小标宋简体" w:hAnsi="仿宋" w:eastAsia="方正小标宋简体"/>
          <w:color w:val="auto"/>
          <w:sz w:val="32"/>
          <w:szCs w:val="32"/>
          <w:lang w:eastAsia="zh-CN"/>
        </w:rPr>
      </w:pPr>
    </w:p>
    <w:p>
      <w:pPr>
        <w:pStyle w:val="23"/>
        <w:spacing w:line="480" w:lineRule="exact"/>
        <w:jc w:val="center"/>
        <w:rPr>
          <w:rFonts w:ascii="方正小标宋简体" w:hAnsi="仿宋" w:eastAsia="方正小标宋简体"/>
          <w:b w:val="0"/>
          <w:color w:val="auto"/>
          <w:sz w:val="28"/>
          <w:szCs w:val="28"/>
        </w:rPr>
      </w:pPr>
      <w:r>
        <w:rPr>
          <w:rFonts w:hint="eastAsia" w:ascii="方正小标宋简体" w:hAnsi="仿宋" w:eastAsia="方正小标宋简体"/>
          <w:color w:val="auto"/>
          <w:sz w:val="28"/>
          <w:szCs w:val="28"/>
          <w:lang w:eastAsia="zh-CN"/>
        </w:rPr>
        <w:t>湖州市教育局仁西小学办公计算机及多媒体设备采购项目</w:t>
      </w:r>
      <w:r>
        <w:rPr>
          <w:rFonts w:hint="eastAsia" w:ascii="方正小标宋简体" w:hAnsi="仿宋" w:eastAsia="方正小标宋简体"/>
          <w:color w:val="auto"/>
          <w:sz w:val="28"/>
          <w:szCs w:val="28"/>
        </w:rPr>
        <w:t>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ascii="仿宋" w:hAnsi="仿宋" w:eastAsia="仿宋"/>
          <w:color w:val="auto"/>
          <w:sz w:val="28"/>
          <w:szCs w:val="28"/>
        </w:rPr>
      </w:pPr>
      <w:bookmarkStart w:id="5" w:name="OLE_LINK7"/>
      <w:r>
        <w:rPr>
          <w:rFonts w:hint="eastAsia" w:ascii="仿宋" w:hAnsi="仿宋" w:eastAsia="仿宋"/>
          <w:color w:val="auto"/>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湖州市教育局仁西小学办公计算机及多媒体设备采购项目</w:t>
      </w:r>
      <w:r>
        <w:rPr>
          <w:rFonts w:hint="eastAsia" w:ascii="仿宋" w:hAnsi="仿宋" w:eastAsia="仿宋"/>
          <w:color w:val="auto"/>
          <w:sz w:val="28"/>
          <w:szCs w:val="28"/>
        </w:rPr>
        <w:t>的潜在投标人应注册成为政采云平台供应商后登录</w:t>
      </w:r>
      <w:r>
        <w:rPr>
          <w:rFonts w:ascii="仿宋" w:hAnsi="仿宋" w:eastAsia="仿宋"/>
          <w:color w:val="auto"/>
          <w:sz w:val="28"/>
          <w:szCs w:val="28"/>
        </w:rPr>
        <w:t>浙江政府采购云平台</w:t>
      </w:r>
      <w:r>
        <w:rPr>
          <w:rFonts w:hint="eastAsia" w:ascii="仿宋" w:hAnsi="仿宋" w:eastAsia="仿宋"/>
          <w:color w:val="auto"/>
          <w:sz w:val="28"/>
          <w:szCs w:val="28"/>
        </w:rPr>
        <w:t>（</w:t>
      </w:r>
      <w:r>
        <w:rPr>
          <w:color w:val="auto"/>
        </w:rPr>
        <w:fldChar w:fldCharType="begin"/>
      </w:r>
      <w:r>
        <w:rPr>
          <w:color w:val="auto"/>
        </w:rPr>
        <w:instrText xml:space="preserve"> HYPERLINK "http://www.zcygov.cn/" </w:instrText>
      </w:r>
      <w:r>
        <w:rPr>
          <w:color w:val="auto"/>
        </w:rPr>
        <w:fldChar w:fldCharType="separate"/>
      </w:r>
      <w:r>
        <w:rPr>
          <w:rFonts w:ascii="仿宋" w:hAnsi="仿宋" w:eastAsia="仿宋"/>
          <w:color w:val="auto"/>
          <w:sz w:val="28"/>
          <w:szCs w:val="28"/>
        </w:rPr>
        <w:t>http://www.zcygov.cn/</w:t>
      </w:r>
      <w:r>
        <w:rPr>
          <w:rFonts w:ascii="仿宋" w:hAnsi="仿宋" w:eastAsia="仿宋"/>
          <w:color w:val="auto"/>
          <w:sz w:val="28"/>
          <w:szCs w:val="28"/>
        </w:rPr>
        <w:fldChar w:fldCharType="end"/>
      </w:r>
      <w:r>
        <w:rPr>
          <w:rFonts w:hint="eastAsia" w:ascii="仿宋" w:hAnsi="仿宋" w:eastAsia="仿宋"/>
          <w:color w:val="auto"/>
          <w:sz w:val="28"/>
          <w:szCs w:val="28"/>
        </w:rPr>
        <w:t>）进行申请</w:t>
      </w:r>
      <w:r>
        <w:rPr>
          <w:rFonts w:ascii="仿宋" w:hAnsi="仿宋" w:eastAsia="仿宋"/>
          <w:color w:val="auto"/>
          <w:sz w:val="28"/>
          <w:szCs w:val="28"/>
        </w:rPr>
        <w:t>。申请通过后请自行在浙江政府采购网（http://zfcg.czt.zj.gov.cn/）或者湖州市公共资源交易信息网（</w:t>
      </w:r>
      <w:r>
        <w:rPr>
          <w:color w:val="auto"/>
        </w:rPr>
        <w:fldChar w:fldCharType="begin"/>
      </w:r>
      <w:r>
        <w:rPr>
          <w:color w:val="auto"/>
        </w:rPr>
        <w:instrText xml:space="preserve"> HYPERLINK "http://ggzy.huzhou.gov.cn/hzfront/）下载获取招标文件，并于2020年7月" </w:instrText>
      </w:r>
      <w:r>
        <w:rPr>
          <w:color w:val="auto"/>
        </w:rPr>
        <w:fldChar w:fldCharType="separate"/>
      </w:r>
      <w:r>
        <w:rPr>
          <w:rStyle w:val="39"/>
          <w:rFonts w:hint="eastAsia" w:ascii="仿宋" w:hAnsi="仿宋" w:eastAsia="仿宋"/>
          <w:color w:val="auto"/>
          <w:sz w:val="28"/>
          <w:szCs w:val="28"/>
          <w:u w:val="none"/>
        </w:rPr>
        <w:t>http://ggzyjy.huzhou.gov.cn/</w:t>
      </w:r>
      <w:r>
        <w:rPr>
          <w:rStyle w:val="39"/>
          <w:rFonts w:ascii="仿宋" w:hAnsi="仿宋" w:eastAsia="仿宋"/>
          <w:color w:val="auto"/>
          <w:sz w:val="28"/>
          <w:szCs w:val="28"/>
          <w:u w:val="none"/>
        </w:rPr>
        <w:t>）下载</w:t>
      </w:r>
      <w:r>
        <w:rPr>
          <w:rStyle w:val="39"/>
          <w:rFonts w:hint="eastAsia" w:ascii="仿宋" w:hAnsi="仿宋" w:eastAsia="仿宋"/>
          <w:color w:val="auto"/>
          <w:sz w:val="28"/>
          <w:szCs w:val="28"/>
          <w:u w:val="none"/>
        </w:rPr>
        <w:t>获取招标文件，并于</w:t>
      </w:r>
      <w:r>
        <w:rPr>
          <w:rStyle w:val="39"/>
          <w:rFonts w:hint="eastAsia" w:ascii="仿宋" w:hAnsi="仿宋" w:eastAsia="仿宋"/>
          <w:color w:val="auto"/>
          <w:sz w:val="28"/>
          <w:szCs w:val="28"/>
          <w:u w:val="none"/>
          <w:lang w:eastAsia="zh-CN"/>
        </w:rPr>
        <w:t>2023年</w:t>
      </w:r>
      <w:r>
        <w:rPr>
          <w:rStyle w:val="39"/>
          <w:rFonts w:hint="eastAsia" w:ascii="仿宋" w:hAnsi="仿宋" w:eastAsia="仿宋"/>
          <w:color w:val="auto"/>
          <w:sz w:val="28"/>
          <w:szCs w:val="28"/>
          <w:u w:val="none"/>
          <w:lang w:val="en-US" w:eastAsia="zh-CN"/>
        </w:rPr>
        <w:t>6</w:t>
      </w:r>
      <w:r>
        <w:rPr>
          <w:rStyle w:val="39"/>
          <w:rFonts w:hint="eastAsia" w:ascii="仿宋" w:hAnsi="仿宋" w:eastAsia="仿宋"/>
          <w:bCs/>
          <w:color w:val="auto"/>
          <w:sz w:val="28"/>
          <w:szCs w:val="28"/>
          <w:u w:val="none"/>
        </w:rPr>
        <w:t>月</w:t>
      </w:r>
      <w:r>
        <w:rPr>
          <w:rStyle w:val="39"/>
          <w:rFonts w:hint="eastAsia" w:ascii="仿宋" w:hAnsi="仿宋" w:eastAsia="仿宋"/>
          <w:bCs/>
          <w:color w:val="auto"/>
          <w:sz w:val="28"/>
          <w:szCs w:val="28"/>
          <w:u w:val="none"/>
        </w:rPr>
        <w:fldChar w:fldCharType="end"/>
      </w:r>
      <w:r>
        <w:rPr>
          <w:rStyle w:val="39"/>
          <w:rFonts w:hint="eastAsia" w:ascii="仿宋" w:hAnsi="仿宋" w:eastAsia="仿宋"/>
          <w:bCs/>
          <w:color w:val="auto"/>
          <w:sz w:val="28"/>
          <w:szCs w:val="28"/>
          <w:u w:val="none"/>
          <w:lang w:val="en-US" w:eastAsia="zh-CN"/>
        </w:rPr>
        <w:t>9</w:t>
      </w:r>
      <w:r>
        <w:rPr>
          <w:rFonts w:hint="eastAsia" w:ascii="仿宋" w:hAnsi="仿宋" w:eastAsia="仿宋"/>
          <w:bCs/>
          <w:color w:val="auto"/>
          <w:sz w:val="28"/>
          <w:szCs w:val="28"/>
        </w:rPr>
        <w:t>日9:00（北京时间）前在政采云平台上传递交投标</w:t>
      </w:r>
      <w:r>
        <w:rPr>
          <w:rFonts w:ascii="仿宋" w:hAnsi="仿宋" w:eastAsia="仿宋"/>
          <w:bCs/>
          <w:color w:val="auto"/>
          <w:sz w:val="28"/>
          <w:szCs w:val="28"/>
        </w:rPr>
        <w:t>文件</w:t>
      </w:r>
      <w:r>
        <w:rPr>
          <w:rFonts w:hint="eastAsia" w:ascii="仿宋" w:hAnsi="仿宋" w:eastAsia="仿宋"/>
          <w:color w:val="auto"/>
          <w:sz w:val="28"/>
          <w:szCs w:val="28"/>
        </w:rPr>
        <w:t>。</w:t>
      </w:r>
    </w:p>
    <w:p>
      <w:pPr>
        <w:spacing w:line="400" w:lineRule="exact"/>
        <w:rPr>
          <w:rFonts w:ascii="仿宋" w:hAnsi="仿宋" w:eastAsia="仿宋"/>
          <w:b/>
          <w:color w:val="auto"/>
          <w:sz w:val="28"/>
          <w:szCs w:val="28"/>
        </w:rPr>
      </w:pPr>
      <w:bookmarkStart w:id="6" w:name="_Toc28359002"/>
      <w:bookmarkStart w:id="7" w:name="_Toc35393790"/>
      <w:bookmarkStart w:id="8" w:name="_Toc35393621"/>
      <w:bookmarkStart w:id="9" w:name="_Toc28359079"/>
      <w:bookmarkStart w:id="10" w:name="_Hlk24379207"/>
      <w:r>
        <w:rPr>
          <w:rFonts w:hint="eastAsia" w:ascii="仿宋" w:hAnsi="仿宋" w:eastAsia="仿宋"/>
          <w:b/>
          <w:color w:val="auto"/>
          <w:sz w:val="28"/>
          <w:szCs w:val="28"/>
        </w:rPr>
        <w:t>一、项目基本情况</w:t>
      </w:r>
      <w:bookmarkEnd w:id="6"/>
      <w:bookmarkEnd w:id="7"/>
      <w:bookmarkEnd w:id="8"/>
      <w:bookmarkEnd w:id="9"/>
    </w:p>
    <w:p>
      <w:pPr>
        <w:spacing w:line="400" w:lineRule="exac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eastAsia="zh-CN"/>
        </w:rPr>
        <w:t>HZGZ2023-12</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财政审批编号：</w:t>
      </w:r>
      <w:r>
        <w:rPr>
          <w:rFonts w:hint="eastAsia" w:ascii="仿宋" w:hAnsi="仿宋" w:eastAsia="仿宋"/>
          <w:color w:val="auto"/>
          <w:sz w:val="28"/>
          <w:szCs w:val="28"/>
          <w:lang w:eastAsia="zh-CN"/>
        </w:rPr>
        <w:t>【2023】7595、7596号</w:t>
      </w:r>
    </w:p>
    <w:p>
      <w:pPr>
        <w:spacing w:line="4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项目名称：</w:t>
      </w:r>
      <w:bookmarkEnd w:id="10"/>
      <w:r>
        <w:rPr>
          <w:rFonts w:hint="eastAsia" w:ascii="仿宋" w:hAnsi="仿宋" w:eastAsia="仿宋"/>
          <w:color w:val="auto"/>
          <w:sz w:val="28"/>
          <w:szCs w:val="28"/>
          <w:lang w:val="en-US" w:eastAsia="zh-CN"/>
        </w:rPr>
        <w:t xml:space="preserve">湖州市教育局仁西小学办公计算机及多媒体设备采购项目    </w:t>
      </w:r>
    </w:p>
    <w:p>
      <w:pPr>
        <w:spacing w:line="400" w:lineRule="exact"/>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第一标项：办公计算机等设备【2023】7595号</w:t>
      </w:r>
    </w:p>
    <w:p>
      <w:pPr>
        <w:spacing w:line="4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预算金额：人民币260万元</w:t>
      </w:r>
    </w:p>
    <w:p>
      <w:pPr>
        <w:spacing w:line="4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供货期限：签订合同后20个工作日供货并完成安装调试</w:t>
      </w:r>
    </w:p>
    <w:p>
      <w:pPr>
        <w:spacing w:line="400" w:lineRule="exact"/>
        <w:ind w:firstLine="560" w:firstLineChars="200"/>
        <w:rPr>
          <w:rFonts w:hint="eastAsia" w:ascii="仿宋" w:hAnsi="仿宋" w:eastAsia="仿宋"/>
          <w:color w:val="auto"/>
          <w:sz w:val="28"/>
          <w:szCs w:val="28"/>
          <w:lang w:val="en-US" w:eastAsia="zh-CN"/>
        </w:rPr>
      </w:pPr>
    </w:p>
    <w:p>
      <w:pPr>
        <w:spacing w:line="400" w:lineRule="exact"/>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第二标项：多媒体等设备【2023】7596号</w:t>
      </w:r>
    </w:p>
    <w:p>
      <w:pPr>
        <w:spacing w:line="4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预算金额：人民币295万元</w:t>
      </w:r>
    </w:p>
    <w:p>
      <w:pPr>
        <w:spacing w:line="4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供货期限：签订合同后20个工作日供货并完成安装调试</w:t>
      </w:r>
    </w:p>
    <w:p>
      <w:pPr>
        <w:spacing w:line="400" w:lineRule="exact"/>
        <w:ind w:firstLine="560" w:firstLineChars="200"/>
        <w:rPr>
          <w:rFonts w:hint="eastAsia" w:ascii="仿宋" w:hAnsi="仿宋" w:eastAsia="仿宋"/>
          <w:color w:val="auto"/>
          <w:sz w:val="28"/>
          <w:szCs w:val="28"/>
          <w:lang w:val="en-US" w:eastAsia="zh-CN"/>
        </w:rPr>
      </w:pPr>
    </w:p>
    <w:p>
      <w:pPr>
        <w:spacing w:line="4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本项目不接受联合体投标和进口产品投标。</w:t>
      </w:r>
    </w:p>
    <w:p>
      <w:pPr>
        <w:spacing w:line="400" w:lineRule="exact"/>
        <w:rPr>
          <w:rFonts w:ascii="仿宋" w:hAnsi="仿宋" w:eastAsia="仿宋"/>
          <w:b/>
          <w:color w:val="auto"/>
          <w:sz w:val="28"/>
          <w:szCs w:val="28"/>
        </w:rPr>
      </w:pPr>
      <w:bookmarkStart w:id="11" w:name="_Toc28359003"/>
      <w:bookmarkStart w:id="12" w:name="_Toc35393622"/>
      <w:bookmarkStart w:id="13" w:name="_Toc35393791"/>
      <w:bookmarkStart w:id="14" w:name="_Toc28359080"/>
      <w:r>
        <w:rPr>
          <w:rFonts w:hint="eastAsia" w:ascii="仿宋" w:hAnsi="仿宋" w:eastAsia="仿宋"/>
          <w:b/>
          <w:color w:val="auto"/>
          <w:sz w:val="28"/>
          <w:szCs w:val="28"/>
        </w:rPr>
        <w:t>二、申请人的资格要求</w:t>
      </w:r>
      <w:bookmarkEnd w:id="11"/>
      <w:bookmarkEnd w:id="12"/>
      <w:bookmarkEnd w:id="13"/>
      <w:bookmarkEnd w:id="14"/>
    </w:p>
    <w:p>
      <w:pPr>
        <w:spacing w:line="400" w:lineRule="exact"/>
        <w:ind w:firstLine="560" w:firstLineChars="200"/>
        <w:rPr>
          <w:rFonts w:hint="eastAsia" w:ascii="仿宋" w:hAnsi="仿宋" w:eastAsia="仿宋"/>
          <w:color w:val="auto"/>
          <w:sz w:val="28"/>
          <w:szCs w:val="28"/>
          <w:lang w:val="en-US" w:eastAsia="zh-CN"/>
        </w:rPr>
      </w:pPr>
      <w:r>
        <w:rPr>
          <w:rFonts w:hint="eastAsia" w:ascii="仿宋" w:hAnsi="仿宋" w:eastAsia="仿宋" w:cs="Arial"/>
          <w:bCs/>
          <w:color w:val="auto"/>
          <w:sz w:val="28"/>
          <w:szCs w:val="28"/>
        </w:rPr>
        <w:t>1、符合《中华人民共和国政府采购法》第二十二条和《关于规范政府采购</w:t>
      </w:r>
      <w:r>
        <w:rPr>
          <w:rFonts w:hint="eastAsia" w:ascii="仿宋" w:hAnsi="仿宋" w:eastAsia="仿宋"/>
          <w:color w:val="auto"/>
          <w:sz w:val="28"/>
          <w:szCs w:val="28"/>
        </w:rPr>
        <w:t>供应商资格设定及资格审查的通知》(浙财采监[2013]24号)第六条规定，且未被“信用中国”（www.creditchina.gov.cn）、中国政府采购网（www.ccgp.gov.cn）列入失信被执行人、重大税收违法案件当事人名单、</w:t>
      </w:r>
      <w:r>
        <w:rPr>
          <w:rFonts w:hint="eastAsia" w:ascii="仿宋" w:hAnsi="仿宋" w:eastAsia="仿宋"/>
          <w:color w:val="auto"/>
          <w:sz w:val="28"/>
          <w:szCs w:val="28"/>
          <w:lang w:val="en-US" w:eastAsia="zh-CN"/>
        </w:rPr>
        <w:t>政府采购严重违法失信行为记录名单；</w:t>
      </w:r>
      <w:bookmarkStart w:id="15" w:name="_Toc35393623"/>
      <w:bookmarkStart w:id="16" w:name="_Toc35393792"/>
      <w:bookmarkStart w:id="17" w:name="_Toc28359004"/>
      <w:bookmarkStart w:id="18" w:name="_Toc28359081"/>
    </w:p>
    <w:p>
      <w:pPr>
        <w:spacing w:line="4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2、第一标项投标产品中学生计算机、教师计算机及便携式计算机必为节能产品；</w:t>
      </w:r>
    </w:p>
    <w:p>
      <w:pPr>
        <w:spacing w:line="400" w:lineRule="exact"/>
        <w:ind w:firstLine="560" w:firstLineChars="200"/>
        <w:rPr>
          <w:rFonts w:hint="eastAsia"/>
          <w:color w:val="auto"/>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、落实政府采购政策需满足的资格要求：</w:t>
      </w:r>
      <w:r>
        <w:rPr>
          <w:rFonts w:hint="eastAsia" w:ascii="仿宋" w:hAnsi="仿宋" w:eastAsia="仿宋"/>
          <w:color w:val="auto"/>
          <w:sz w:val="28"/>
          <w:szCs w:val="28"/>
          <w:lang w:eastAsia="zh-CN"/>
        </w:rPr>
        <w:t>无</w:t>
      </w:r>
      <w:r>
        <w:rPr>
          <w:rFonts w:hint="eastAsia" w:ascii="仿宋" w:hAnsi="仿宋" w:eastAsia="仿宋"/>
          <w:color w:val="auto"/>
          <w:sz w:val="28"/>
          <w:szCs w:val="28"/>
        </w:rPr>
        <w:t>；</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三、获取招标文件</w:t>
      </w:r>
      <w:bookmarkEnd w:id="15"/>
      <w:bookmarkEnd w:id="16"/>
      <w:bookmarkEnd w:id="17"/>
      <w:bookmarkEnd w:id="18"/>
    </w:p>
    <w:p>
      <w:pPr>
        <w:spacing w:line="400" w:lineRule="exact"/>
        <w:ind w:firstLine="540"/>
        <w:rPr>
          <w:rFonts w:ascii="仿宋" w:hAnsi="仿宋" w:eastAsia="仿宋" w:cs="宋体"/>
          <w:color w:val="auto"/>
          <w:sz w:val="28"/>
          <w:szCs w:val="28"/>
        </w:rPr>
      </w:pPr>
      <w:r>
        <w:rPr>
          <w:rFonts w:hint="eastAsia" w:ascii="仿宋" w:hAnsi="仿宋" w:eastAsia="仿宋" w:cs="宋体"/>
          <w:color w:val="auto"/>
          <w:sz w:val="28"/>
          <w:szCs w:val="28"/>
        </w:rPr>
        <w:t>时间：</w:t>
      </w:r>
      <w:r>
        <w:rPr>
          <w:rFonts w:ascii="仿宋" w:hAnsi="仿宋" w:eastAsia="仿宋"/>
          <w:color w:val="auto"/>
          <w:sz w:val="28"/>
          <w:szCs w:val="28"/>
        </w:rPr>
        <w:t>公告发布时间</w:t>
      </w:r>
      <w:r>
        <w:rPr>
          <w:rFonts w:hint="eastAsia" w:ascii="仿宋" w:hAnsi="仿宋" w:eastAsia="仿宋"/>
          <w:color w:val="auto"/>
          <w:sz w:val="28"/>
          <w:szCs w:val="28"/>
        </w:rPr>
        <w:t xml:space="preserve"> </w:t>
      </w:r>
      <w:r>
        <w:rPr>
          <w:rFonts w:ascii="仿宋" w:hAnsi="仿宋" w:eastAsia="仿宋"/>
          <w:color w:val="auto"/>
          <w:sz w:val="28"/>
          <w:szCs w:val="28"/>
        </w:rPr>
        <w:t>至</w:t>
      </w:r>
      <w:r>
        <w:rPr>
          <w:rFonts w:hint="eastAsia" w:ascii="仿宋" w:hAnsi="仿宋" w:eastAsia="仿宋"/>
          <w:color w:val="auto"/>
          <w:sz w:val="28"/>
          <w:szCs w:val="28"/>
        </w:rPr>
        <w:t xml:space="preserve"> 投标截止时间</w:t>
      </w:r>
    </w:p>
    <w:p>
      <w:pPr>
        <w:spacing w:line="400" w:lineRule="exact"/>
        <w:ind w:firstLine="540"/>
        <w:rPr>
          <w:rFonts w:ascii="仿宋" w:hAnsi="仿宋" w:eastAsia="仿宋" w:cs="宋体"/>
          <w:color w:val="auto"/>
          <w:sz w:val="28"/>
          <w:szCs w:val="28"/>
          <w:u w:val="single"/>
        </w:rPr>
      </w:pPr>
      <w:r>
        <w:rPr>
          <w:rFonts w:hint="eastAsia" w:ascii="仿宋" w:hAnsi="仿宋" w:eastAsia="仿宋" w:cs="宋体"/>
          <w:color w:val="auto"/>
          <w:sz w:val="28"/>
          <w:szCs w:val="28"/>
        </w:rPr>
        <w:t>方式：</w:t>
      </w:r>
      <w:r>
        <w:rPr>
          <w:rFonts w:ascii="仿宋" w:hAnsi="仿宋" w:eastAsia="仿宋"/>
          <w:color w:val="auto"/>
          <w:sz w:val="28"/>
          <w:szCs w:val="28"/>
        </w:rPr>
        <w:t>网上在线申请。</w:t>
      </w:r>
      <w:r>
        <w:rPr>
          <w:rFonts w:hint="eastAsia" w:ascii="仿宋" w:hAnsi="仿宋" w:eastAsia="仿宋"/>
          <w:color w:val="auto"/>
          <w:sz w:val="28"/>
          <w:szCs w:val="28"/>
        </w:rPr>
        <w:t>注册成为政采云平台供应商后登录</w:t>
      </w:r>
      <w:r>
        <w:rPr>
          <w:rFonts w:ascii="仿宋" w:hAnsi="仿宋" w:eastAsia="仿宋"/>
          <w:color w:val="auto"/>
          <w:sz w:val="28"/>
          <w:szCs w:val="28"/>
        </w:rPr>
        <w:t>浙江政府采购云平台</w:t>
      </w:r>
      <w:r>
        <w:rPr>
          <w:rFonts w:hint="eastAsia" w:ascii="仿宋" w:hAnsi="仿宋" w:eastAsia="仿宋"/>
          <w:color w:val="auto"/>
          <w:sz w:val="28"/>
          <w:szCs w:val="28"/>
        </w:rPr>
        <w:t>（</w:t>
      </w:r>
      <w:r>
        <w:rPr>
          <w:color w:val="auto"/>
        </w:rPr>
        <w:fldChar w:fldCharType="begin"/>
      </w:r>
      <w:r>
        <w:rPr>
          <w:color w:val="auto"/>
        </w:rPr>
        <w:instrText xml:space="preserve"> HYPERLINK "http://www.zcygov.cn/" </w:instrText>
      </w:r>
      <w:r>
        <w:rPr>
          <w:color w:val="auto"/>
        </w:rPr>
        <w:fldChar w:fldCharType="separate"/>
      </w:r>
      <w:r>
        <w:rPr>
          <w:rFonts w:ascii="仿宋" w:hAnsi="仿宋" w:eastAsia="仿宋"/>
          <w:color w:val="auto"/>
          <w:sz w:val="28"/>
          <w:szCs w:val="28"/>
        </w:rPr>
        <w:t>http://www.zcygov.cn/</w:t>
      </w:r>
      <w:r>
        <w:rPr>
          <w:rFonts w:ascii="仿宋" w:hAnsi="仿宋" w:eastAsia="仿宋"/>
          <w:color w:val="auto"/>
          <w:sz w:val="28"/>
          <w:szCs w:val="28"/>
        </w:rPr>
        <w:fldChar w:fldCharType="end"/>
      </w:r>
      <w:r>
        <w:rPr>
          <w:rFonts w:hint="eastAsia" w:ascii="仿宋" w:hAnsi="仿宋" w:eastAsia="仿宋"/>
          <w:color w:val="auto"/>
          <w:sz w:val="28"/>
          <w:szCs w:val="28"/>
        </w:rPr>
        <w:t>）进行申请</w:t>
      </w:r>
      <w:r>
        <w:rPr>
          <w:rFonts w:ascii="仿宋" w:hAnsi="仿宋" w:eastAsia="仿宋"/>
          <w:color w:val="auto"/>
          <w:sz w:val="28"/>
          <w:szCs w:val="28"/>
        </w:rPr>
        <w:t>。申请通过后请自行在浙江政府采购网（http://zfcg.czt.zj.gov.cn/）或者湖州市公共资源交易信息网（http://ggzy.huzhou.gov.cn/hzfront/）下载。</w:t>
      </w:r>
    </w:p>
    <w:p>
      <w:pPr>
        <w:spacing w:line="400" w:lineRule="exact"/>
        <w:ind w:firstLine="540"/>
        <w:rPr>
          <w:rFonts w:ascii="仿宋" w:hAnsi="仿宋" w:eastAsia="仿宋" w:cs="宋体"/>
          <w:color w:val="auto"/>
          <w:sz w:val="28"/>
          <w:szCs w:val="28"/>
        </w:rPr>
      </w:pPr>
      <w:r>
        <w:rPr>
          <w:rFonts w:hint="eastAsia" w:ascii="仿宋" w:hAnsi="仿宋" w:eastAsia="仿宋" w:cs="宋体"/>
          <w:color w:val="auto"/>
          <w:sz w:val="28"/>
          <w:szCs w:val="28"/>
        </w:rPr>
        <w:t>投标保证金：不缴纳</w:t>
      </w:r>
    </w:p>
    <w:p>
      <w:pPr>
        <w:spacing w:line="400" w:lineRule="exact"/>
        <w:ind w:firstLine="540"/>
        <w:rPr>
          <w:rFonts w:ascii="仿宋" w:hAnsi="仿宋" w:eastAsia="仿宋" w:cs="宋体"/>
          <w:color w:val="auto"/>
          <w:sz w:val="28"/>
          <w:szCs w:val="28"/>
        </w:rPr>
      </w:pPr>
      <w:r>
        <w:rPr>
          <w:rFonts w:hint="eastAsia" w:ascii="仿宋" w:hAnsi="仿宋" w:eastAsia="仿宋" w:cs="宋体"/>
          <w:color w:val="auto"/>
          <w:sz w:val="28"/>
          <w:szCs w:val="28"/>
        </w:rPr>
        <w:t>售价：免工本费</w:t>
      </w:r>
    </w:p>
    <w:p>
      <w:pPr>
        <w:spacing w:line="400" w:lineRule="exact"/>
        <w:rPr>
          <w:rFonts w:ascii="仿宋" w:hAnsi="仿宋" w:eastAsia="仿宋"/>
          <w:b/>
          <w:color w:val="auto"/>
          <w:sz w:val="28"/>
          <w:szCs w:val="28"/>
        </w:rPr>
      </w:pPr>
      <w:bookmarkStart w:id="19" w:name="_Toc28359082"/>
      <w:bookmarkStart w:id="20" w:name="_Toc28359005"/>
      <w:bookmarkStart w:id="21" w:name="_Toc35393793"/>
      <w:bookmarkStart w:id="22" w:name="_Toc35393624"/>
      <w:r>
        <w:rPr>
          <w:rFonts w:hint="eastAsia" w:ascii="仿宋" w:hAnsi="仿宋" w:eastAsia="仿宋"/>
          <w:b/>
          <w:color w:val="auto"/>
          <w:sz w:val="28"/>
          <w:szCs w:val="28"/>
        </w:rPr>
        <w:t>四、提交投标文件</w:t>
      </w:r>
      <w:bookmarkEnd w:id="19"/>
      <w:bookmarkEnd w:id="20"/>
      <w:r>
        <w:rPr>
          <w:rFonts w:hint="eastAsia" w:ascii="仿宋" w:hAnsi="仿宋" w:eastAsia="仿宋"/>
          <w:b/>
          <w:color w:val="auto"/>
          <w:sz w:val="28"/>
          <w:szCs w:val="28"/>
        </w:rPr>
        <w:t>截止时间、开标时间和</w:t>
      </w:r>
      <w:bookmarkEnd w:id="21"/>
      <w:bookmarkEnd w:id="22"/>
      <w:r>
        <w:rPr>
          <w:rFonts w:hint="eastAsia" w:ascii="仿宋" w:hAnsi="仿宋" w:eastAsia="仿宋"/>
          <w:b/>
          <w:color w:val="auto"/>
          <w:sz w:val="28"/>
          <w:szCs w:val="28"/>
        </w:rPr>
        <w:t>方式</w:t>
      </w:r>
    </w:p>
    <w:p>
      <w:pPr>
        <w:spacing w:line="40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 xml:space="preserve">截止（开标）时间： </w:t>
      </w:r>
      <w:r>
        <w:rPr>
          <w:rFonts w:hint="eastAsia" w:ascii="仿宋" w:hAnsi="仿宋" w:eastAsia="仿宋"/>
          <w:bCs/>
          <w:color w:val="auto"/>
          <w:sz w:val="28"/>
          <w:szCs w:val="28"/>
          <w:lang w:eastAsia="zh-CN"/>
        </w:rPr>
        <w:t>2023年</w:t>
      </w:r>
      <w:r>
        <w:rPr>
          <w:rFonts w:hint="eastAsia" w:ascii="仿宋" w:hAnsi="仿宋" w:eastAsia="仿宋"/>
          <w:bCs/>
          <w:color w:val="auto"/>
          <w:sz w:val="28"/>
          <w:szCs w:val="28"/>
          <w:lang w:val="en-US" w:eastAsia="zh-CN"/>
        </w:rPr>
        <w:t>6</w:t>
      </w:r>
      <w:r>
        <w:rPr>
          <w:rFonts w:hint="eastAsia" w:ascii="仿宋" w:hAnsi="仿宋" w:eastAsia="仿宋"/>
          <w:bCs/>
          <w:color w:val="auto"/>
          <w:sz w:val="28"/>
          <w:szCs w:val="28"/>
        </w:rPr>
        <w:t>月</w:t>
      </w:r>
      <w:r>
        <w:rPr>
          <w:rFonts w:hint="eastAsia" w:ascii="仿宋" w:hAnsi="仿宋" w:eastAsia="仿宋"/>
          <w:bCs/>
          <w:color w:val="auto"/>
          <w:sz w:val="28"/>
          <w:szCs w:val="28"/>
          <w:lang w:val="en-US" w:eastAsia="zh-CN"/>
        </w:rPr>
        <w:t>9</w:t>
      </w:r>
      <w:r>
        <w:rPr>
          <w:rFonts w:hint="eastAsia" w:ascii="仿宋" w:hAnsi="仿宋" w:eastAsia="仿宋"/>
          <w:bCs/>
          <w:color w:val="auto"/>
          <w:sz w:val="28"/>
          <w:szCs w:val="28"/>
        </w:rPr>
        <w:t>日9:00（北京时间）</w:t>
      </w:r>
    </w:p>
    <w:p>
      <w:pPr>
        <w:spacing w:line="400" w:lineRule="exact"/>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方式：政采云平台提交电子投标文件。</w:t>
      </w:r>
    </w:p>
    <w:p>
      <w:pPr>
        <w:spacing w:line="400" w:lineRule="exact"/>
        <w:rPr>
          <w:rFonts w:ascii="仿宋" w:hAnsi="仿宋" w:eastAsia="仿宋"/>
          <w:b/>
          <w:color w:val="auto"/>
          <w:sz w:val="28"/>
          <w:szCs w:val="28"/>
        </w:rPr>
      </w:pPr>
      <w:bookmarkStart w:id="23" w:name="_Toc35393625"/>
      <w:bookmarkStart w:id="24" w:name="_Toc28359084"/>
      <w:bookmarkStart w:id="25" w:name="_Toc28359007"/>
      <w:bookmarkStart w:id="26" w:name="_Toc35393794"/>
      <w:r>
        <w:rPr>
          <w:rFonts w:hint="eastAsia" w:ascii="仿宋" w:hAnsi="仿宋" w:eastAsia="仿宋"/>
          <w:b/>
          <w:color w:val="auto"/>
          <w:sz w:val="28"/>
          <w:szCs w:val="28"/>
        </w:rPr>
        <w:t>五、公告期限</w:t>
      </w:r>
      <w:bookmarkEnd w:id="23"/>
      <w:bookmarkEnd w:id="24"/>
      <w:bookmarkEnd w:id="25"/>
      <w:bookmarkEnd w:id="26"/>
    </w:p>
    <w:p>
      <w:pPr>
        <w:spacing w:line="40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pPr>
        <w:spacing w:line="400" w:lineRule="exact"/>
        <w:rPr>
          <w:rFonts w:ascii="仿宋" w:hAnsi="仿宋" w:eastAsia="仿宋"/>
          <w:b/>
          <w:color w:val="auto"/>
          <w:sz w:val="28"/>
          <w:szCs w:val="28"/>
        </w:rPr>
      </w:pPr>
      <w:bookmarkStart w:id="27" w:name="_Toc35393795"/>
      <w:bookmarkStart w:id="28" w:name="_Toc35393626"/>
      <w:r>
        <w:rPr>
          <w:rFonts w:hint="eastAsia" w:ascii="仿宋" w:hAnsi="仿宋" w:eastAsia="仿宋"/>
          <w:b/>
          <w:color w:val="auto"/>
          <w:sz w:val="28"/>
          <w:szCs w:val="28"/>
        </w:rPr>
        <w:t>六、其他补充事宜</w:t>
      </w:r>
      <w:bookmarkEnd w:id="27"/>
      <w:bookmarkEnd w:id="28"/>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本项目实行电子投标，应按照本项目</w:t>
      </w:r>
      <w:r>
        <w:rPr>
          <w:rFonts w:hint="eastAsia" w:ascii="仿宋" w:hAnsi="仿宋" w:eastAsia="仿宋"/>
          <w:color w:val="auto"/>
          <w:sz w:val="28"/>
          <w:szCs w:val="28"/>
        </w:rPr>
        <w:t>招标文件</w:t>
      </w:r>
      <w:r>
        <w:rPr>
          <w:rFonts w:ascii="仿宋" w:hAnsi="仿宋" w:eastAsia="仿宋"/>
          <w:color w:val="auto"/>
          <w:sz w:val="28"/>
          <w:szCs w:val="28"/>
        </w:rPr>
        <w:t>和政采云平台的要求编制、加密并提交</w:t>
      </w:r>
      <w:r>
        <w:rPr>
          <w:rFonts w:hint="eastAsia" w:ascii="仿宋" w:hAnsi="仿宋" w:eastAsia="仿宋"/>
          <w:color w:val="auto"/>
          <w:sz w:val="28"/>
          <w:szCs w:val="28"/>
        </w:rPr>
        <w:t>投标</w:t>
      </w:r>
      <w:r>
        <w:rPr>
          <w:rFonts w:ascii="仿宋" w:hAnsi="仿宋" w:eastAsia="仿宋"/>
          <w:color w:val="auto"/>
          <w:sz w:val="28"/>
          <w:szCs w:val="28"/>
        </w:rPr>
        <w:t>文件</w:t>
      </w:r>
      <w:r>
        <w:rPr>
          <w:rFonts w:hint="eastAsia" w:ascii="仿宋" w:hAnsi="仿宋" w:eastAsia="仿宋"/>
          <w:color w:val="auto"/>
          <w:sz w:val="28"/>
          <w:szCs w:val="28"/>
        </w:rPr>
        <w:t>, 投标人的法定代表人或其授权代表或个体工商户不需要参加现场投标和开标。</w:t>
      </w:r>
    </w:p>
    <w:p>
      <w:pPr>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供应商在使用系统进行投标的过程中遇到涉及平台使用的任何问题，可致电政采云平台技术支持热线咨询，联系方式：400-881-7190。</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投标人应在开标前完成CA数字证书办理。（办理流程详见http://zfcg.czt.zj.gov.cn/bidClientTemplate/2019-05-27/12945.html）。</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投标人通过“政采云”平台电子</w:t>
      </w:r>
      <w:r>
        <w:rPr>
          <w:rFonts w:hint="eastAsia" w:ascii="仿宋" w:hAnsi="仿宋" w:eastAsia="仿宋"/>
          <w:color w:val="auto"/>
          <w:sz w:val="28"/>
          <w:szCs w:val="28"/>
        </w:rPr>
        <w:t>交易客户端</w:t>
      </w:r>
      <w:r>
        <w:rPr>
          <w:rFonts w:ascii="仿宋" w:hAnsi="仿宋" w:eastAsia="仿宋"/>
          <w:color w:val="auto"/>
          <w:sz w:val="28"/>
          <w:szCs w:val="28"/>
        </w:rPr>
        <w:t>制作</w:t>
      </w:r>
      <w:r>
        <w:rPr>
          <w:rFonts w:hint="eastAsia" w:ascii="仿宋" w:hAnsi="仿宋" w:eastAsia="仿宋"/>
          <w:color w:val="auto"/>
          <w:sz w:val="28"/>
          <w:szCs w:val="28"/>
        </w:rPr>
        <w:t>投标文件</w:t>
      </w:r>
      <w:r>
        <w:rPr>
          <w:rFonts w:ascii="仿宋" w:hAnsi="仿宋" w:eastAsia="仿宋"/>
          <w:color w:val="auto"/>
          <w:sz w:val="28"/>
          <w:szCs w:val="28"/>
        </w:rPr>
        <w:t>，电子</w:t>
      </w:r>
      <w:r>
        <w:rPr>
          <w:rFonts w:hint="eastAsia" w:ascii="仿宋" w:hAnsi="仿宋" w:eastAsia="仿宋"/>
          <w:color w:val="auto"/>
          <w:sz w:val="28"/>
          <w:szCs w:val="28"/>
        </w:rPr>
        <w:t>交易客户端</w:t>
      </w:r>
      <w:r>
        <w:rPr>
          <w:rFonts w:ascii="仿宋" w:hAnsi="仿宋" w:eastAsia="仿宋"/>
          <w:color w:val="auto"/>
          <w:sz w:val="28"/>
          <w:szCs w:val="28"/>
        </w:rPr>
        <w:t>请供应商自行前往浙江省政府采购网下载并安装，（下载网址：</w:t>
      </w:r>
    </w:p>
    <w:p>
      <w:pPr>
        <w:spacing w:line="400" w:lineRule="exact"/>
        <w:rPr>
          <w:rFonts w:ascii="仿宋" w:hAnsi="仿宋" w:eastAsia="仿宋"/>
          <w:color w:val="auto"/>
          <w:sz w:val="28"/>
          <w:szCs w:val="28"/>
        </w:rPr>
      </w:pPr>
      <w:r>
        <w:rPr>
          <w:rFonts w:ascii="仿宋" w:hAnsi="仿宋" w:eastAsia="仿宋"/>
          <w:color w:val="auto"/>
          <w:sz w:val="28"/>
          <w:szCs w:val="28"/>
        </w:rPr>
        <w:t>http://zfcg.czt.zj.gov.cn/bidClientTemplate/2019-09-24/12975.html），电子投标具体流程详见</w:t>
      </w:r>
      <w:r>
        <w:rPr>
          <w:rFonts w:hint="eastAsia" w:ascii="仿宋" w:hAnsi="仿宋" w:eastAsia="仿宋"/>
          <w:color w:val="auto"/>
          <w:sz w:val="28"/>
          <w:szCs w:val="28"/>
        </w:rPr>
        <w:t>政采云平台帮助文档视频材料</w:t>
      </w:r>
      <w:r>
        <w:rPr>
          <w:rFonts w:ascii="仿宋" w:hAnsi="仿宋" w:eastAsia="仿宋"/>
          <w:color w:val="auto"/>
          <w:sz w:val="28"/>
          <w:szCs w:val="28"/>
        </w:rPr>
        <w:t>：“政府采购项目电子交易管理操作</w:t>
      </w:r>
      <w:r>
        <w:rPr>
          <w:rFonts w:hint="eastAsia" w:ascii="仿宋" w:hAnsi="仿宋" w:eastAsia="仿宋"/>
          <w:color w:val="auto"/>
          <w:sz w:val="28"/>
          <w:szCs w:val="28"/>
        </w:rPr>
        <w:t>视频</w:t>
      </w:r>
      <w:r>
        <w:rPr>
          <w:rFonts w:ascii="仿宋" w:hAnsi="仿宋" w:eastAsia="仿宋"/>
          <w:color w:val="auto"/>
          <w:sz w:val="28"/>
          <w:szCs w:val="28"/>
        </w:rPr>
        <w:t>-供应商</w:t>
      </w:r>
      <w:r>
        <w:rPr>
          <w:rFonts w:hint="eastAsia" w:ascii="仿宋" w:hAnsi="仿宋" w:eastAsia="仿宋"/>
          <w:color w:val="auto"/>
          <w:sz w:val="28"/>
          <w:szCs w:val="28"/>
        </w:rPr>
        <w:t>”。</w:t>
      </w:r>
    </w:p>
    <w:p>
      <w:pPr>
        <w:spacing w:line="40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hint="eastAsia" w:ascii="仿宋" w:hAnsi="仿宋" w:eastAsia="仿宋"/>
          <w:color w:val="auto"/>
          <w:sz w:val="28"/>
          <w:szCs w:val="28"/>
        </w:rPr>
        <w:t>、</w:t>
      </w:r>
      <w:r>
        <w:rPr>
          <w:rFonts w:ascii="仿宋" w:hAnsi="仿宋" w:eastAsia="仿宋" w:cs="宋体"/>
          <w:color w:val="auto"/>
          <w:kern w:val="0"/>
          <w:sz w:val="28"/>
          <w:szCs w:val="28"/>
        </w:rPr>
        <w:t>投标人应当在</w:t>
      </w:r>
      <w:r>
        <w:rPr>
          <w:rFonts w:hint="eastAsia" w:ascii="仿宋" w:hAnsi="仿宋" w:eastAsia="仿宋" w:cs="宋体"/>
          <w:color w:val="auto"/>
          <w:kern w:val="0"/>
          <w:sz w:val="28"/>
          <w:szCs w:val="28"/>
        </w:rPr>
        <w:t>投标截止时间</w:t>
      </w:r>
      <w:r>
        <w:rPr>
          <w:rFonts w:ascii="仿宋" w:hAnsi="仿宋" w:eastAsia="仿宋" w:cs="宋体"/>
          <w:color w:val="auto"/>
          <w:kern w:val="0"/>
          <w:sz w:val="28"/>
          <w:szCs w:val="28"/>
        </w:rPr>
        <w:t>前完成电子</w:t>
      </w:r>
      <w:r>
        <w:rPr>
          <w:rFonts w:hint="eastAsia" w:ascii="仿宋" w:hAnsi="仿宋" w:eastAsia="仿宋" w:cs="宋体"/>
          <w:color w:val="auto"/>
          <w:kern w:val="0"/>
          <w:sz w:val="28"/>
          <w:szCs w:val="28"/>
        </w:rPr>
        <w:t>投标文件</w:t>
      </w:r>
      <w:r>
        <w:rPr>
          <w:rFonts w:ascii="仿宋" w:hAnsi="仿宋" w:eastAsia="仿宋" w:cs="宋体"/>
          <w:color w:val="auto"/>
          <w:kern w:val="0"/>
          <w:sz w:val="28"/>
          <w:szCs w:val="28"/>
        </w:rPr>
        <w:t>的传输提交，并可以补充、修改或者撤回电子</w:t>
      </w:r>
      <w:r>
        <w:rPr>
          <w:rFonts w:hint="eastAsia" w:ascii="仿宋" w:hAnsi="仿宋" w:eastAsia="仿宋" w:cs="宋体"/>
          <w:color w:val="auto"/>
          <w:kern w:val="0"/>
          <w:sz w:val="28"/>
          <w:szCs w:val="28"/>
        </w:rPr>
        <w:t>投标文件</w:t>
      </w:r>
      <w:r>
        <w:rPr>
          <w:rFonts w:ascii="仿宋" w:hAnsi="仿宋" w:eastAsia="仿宋" w:cs="宋体"/>
          <w:color w:val="auto"/>
          <w:kern w:val="0"/>
          <w:sz w:val="28"/>
          <w:szCs w:val="28"/>
        </w:rPr>
        <w:t>。补充或者修改电子</w:t>
      </w:r>
      <w:r>
        <w:rPr>
          <w:rFonts w:hint="eastAsia" w:ascii="仿宋" w:hAnsi="仿宋" w:eastAsia="仿宋" w:cs="宋体"/>
          <w:color w:val="auto"/>
          <w:kern w:val="0"/>
          <w:sz w:val="28"/>
          <w:szCs w:val="28"/>
        </w:rPr>
        <w:t>投标文件</w:t>
      </w:r>
      <w:r>
        <w:rPr>
          <w:rFonts w:ascii="仿宋" w:hAnsi="仿宋" w:eastAsia="仿宋" w:cs="宋体"/>
          <w:color w:val="auto"/>
          <w:kern w:val="0"/>
          <w:sz w:val="28"/>
          <w:szCs w:val="28"/>
        </w:rPr>
        <w:t>的，应当先行撤回原文件，补充、修改后重新传输提交。</w:t>
      </w:r>
      <w:r>
        <w:rPr>
          <w:rFonts w:hint="eastAsia" w:ascii="仿宋" w:hAnsi="仿宋" w:eastAsia="仿宋" w:cs="宋体"/>
          <w:color w:val="auto"/>
          <w:kern w:val="0"/>
          <w:sz w:val="28"/>
          <w:szCs w:val="28"/>
        </w:rPr>
        <w:t>投标截止时间</w:t>
      </w:r>
      <w:r>
        <w:rPr>
          <w:rFonts w:ascii="仿宋" w:hAnsi="仿宋" w:eastAsia="仿宋" w:cs="宋体"/>
          <w:color w:val="auto"/>
          <w:kern w:val="0"/>
          <w:sz w:val="28"/>
          <w:szCs w:val="28"/>
        </w:rPr>
        <w:t>前未完成传输的，视为撤回</w:t>
      </w:r>
      <w:r>
        <w:rPr>
          <w:rFonts w:hint="eastAsia" w:ascii="仿宋" w:hAnsi="仿宋" w:eastAsia="仿宋" w:cs="宋体"/>
          <w:color w:val="auto"/>
          <w:kern w:val="0"/>
          <w:sz w:val="28"/>
          <w:szCs w:val="28"/>
        </w:rPr>
        <w:t>投标文件</w:t>
      </w:r>
      <w:r>
        <w:rPr>
          <w:rFonts w:ascii="仿宋" w:hAnsi="仿宋" w:eastAsia="仿宋" w:cs="宋体"/>
          <w:color w:val="auto"/>
          <w:kern w:val="0"/>
          <w:sz w:val="28"/>
          <w:szCs w:val="28"/>
        </w:rPr>
        <w:t>。投标截止时间后</w:t>
      </w:r>
      <w:r>
        <w:rPr>
          <w:rFonts w:hint="eastAsia" w:ascii="仿宋" w:hAnsi="仿宋" w:eastAsia="仿宋" w:cs="宋体"/>
          <w:color w:val="auto"/>
          <w:kern w:val="0"/>
          <w:sz w:val="28"/>
          <w:szCs w:val="28"/>
        </w:rPr>
        <w:t>传输提交</w:t>
      </w:r>
      <w:r>
        <w:rPr>
          <w:rFonts w:ascii="仿宋" w:hAnsi="仿宋" w:eastAsia="仿宋" w:cs="宋体"/>
          <w:color w:val="auto"/>
          <w:kern w:val="0"/>
          <w:sz w:val="28"/>
          <w:szCs w:val="28"/>
        </w:rPr>
        <w:t>的投标文件，将被政采云平台拒收。</w:t>
      </w:r>
    </w:p>
    <w:p>
      <w:pPr>
        <w:spacing w:line="40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5</w:t>
      </w:r>
      <w:r>
        <w:rPr>
          <w:rFonts w:hint="eastAsia" w:ascii="仿宋" w:hAnsi="仿宋" w:eastAsia="仿宋"/>
          <w:color w:val="auto"/>
          <w:sz w:val="28"/>
          <w:szCs w:val="28"/>
        </w:rPr>
        <w:t>、</w:t>
      </w:r>
      <w:r>
        <w:rPr>
          <w:rFonts w:ascii="仿宋" w:hAnsi="仿宋" w:eastAsia="仿宋" w:cs="宋体"/>
          <w:color w:val="auto"/>
          <w:kern w:val="0"/>
          <w:sz w:val="28"/>
          <w:szCs w:val="28"/>
        </w:rPr>
        <w:t>投标</w:t>
      </w:r>
      <w:r>
        <w:rPr>
          <w:rFonts w:hint="eastAsia" w:ascii="仿宋" w:hAnsi="仿宋" w:eastAsia="仿宋" w:cs="宋体"/>
          <w:color w:val="auto"/>
          <w:kern w:val="0"/>
          <w:sz w:val="28"/>
          <w:szCs w:val="28"/>
        </w:rPr>
        <w:t>人</w:t>
      </w:r>
      <w:r>
        <w:rPr>
          <w:rFonts w:ascii="仿宋" w:hAnsi="仿宋" w:eastAsia="仿宋" w:cs="宋体"/>
          <w:color w:val="auto"/>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0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EMS接收人：</w:t>
      </w:r>
      <w:r>
        <w:rPr>
          <w:rFonts w:hint="eastAsia" w:ascii="仿宋" w:hAnsi="仿宋" w:eastAsia="仿宋" w:cs="宋体"/>
          <w:color w:val="auto"/>
          <w:kern w:val="0"/>
          <w:sz w:val="28"/>
          <w:szCs w:val="28"/>
          <w:lang w:eastAsia="zh-CN"/>
        </w:rPr>
        <w:t>范</w:t>
      </w:r>
      <w:r>
        <w:rPr>
          <w:rFonts w:hint="eastAsia" w:ascii="仿宋" w:hAnsi="仿宋" w:eastAsia="仿宋" w:cs="宋体"/>
          <w:color w:val="auto"/>
          <w:kern w:val="0"/>
          <w:sz w:val="28"/>
          <w:szCs w:val="28"/>
        </w:rPr>
        <w:t>女士  电话：0572-2220019</w:t>
      </w:r>
    </w:p>
    <w:p>
      <w:pPr>
        <w:spacing w:line="400" w:lineRule="exact"/>
        <w:ind w:firstLine="280" w:firstLineChars="100"/>
        <w:rPr>
          <w:rFonts w:ascii="仿宋" w:hAnsi="仿宋" w:eastAsia="仿宋" w:cs="宋体"/>
          <w:color w:val="auto"/>
          <w:kern w:val="0"/>
          <w:sz w:val="28"/>
          <w:szCs w:val="28"/>
        </w:rPr>
      </w:pPr>
      <w:r>
        <w:rPr>
          <w:rFonts w:hint="eastAsia" w:ascii="仿宋" w:hAnsi="仿宋" w:eastAsia="仿宋" w:cs="宋体"/>
          <w:color w:val="auto"/>
          <w:kern w:val="0"/>
          <w:sz w:val="28"/>
          <w:szCs w:val="28"/>
        </w:rPr>
        <w:t>邮寄地址：湖州市金盖山路66号市民服务中心2号楼2楼238室。</w:t>
      </w:r>
    </w:p>
    <w:p>
      <w:pPr>
        <w:spacing w:line="400" w:lineRule="exact"/>
        <w:ind w:left="140" w:leftChars="67"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6</w:t>
      </w:r>
      <w:r>
        <w:rPr>
          <w:rFonts w:hint="eastAsia" w:ascii="仿宋" w:hAnsi="仿宋" w:eastAsia="仿宋"/>
          <w:color w:val="auto"/>
          <w:sz w:val="28"/>
          <w:szCs w:val="28"/>
        </w:rPr>
        <w:t>、</w:t>
      </w:r>
      <w:r>
        <w:rPr>
          <w:rFonts w:ascii="仿宋" w:hAnsi="仿宋" w:eastAsia="仿宋" w:cs="宋体"/>
          <w:color w:val="auto"/>
          <w:kern w:val="0"/>
          <w:sz w:val="28"/>
          <w:szCs w:val="28"/>
        </w:rPr>
        <w:t>供应商按照规定方式获取</w:t>
      </w:r>
      <w:r>
        <w:rPr>
          <w:rFonts w:hint="eastAsia" w:ascii="仿宋" w:hAnsi="仿宋" w:eastAsia="仿宋" w:cs="宋体"/>
          <w:color w:val="auto"/>
          <w:kern w:val="0"/>
          <w:sz w:val="28"/>
          <w:szCs w:val="28"/>
        </w:rPr>
        <w:t>招标</w:t>
      </w:r>
      <w:r>
        <w:rPr>
          <w:rFonts w:ascii="仿宋" w:hAnsi="仿宋" w:eastAsia="仿宋" w:cs="宋体"/>
          <w:color w:val="auto"/>
          <w:kern w:val="0"/>
          <w:sz w:val="28"/>
          <w:szCs w:val="28"/>
        </w:rPr>
        <w:t>文件的，可以自获取</w:t>
      </w:r>
      <w:r>
        <w:rPr>
          <w:rFonts w:hint="eastAsia" w:ascii="仿宋" w:hAnsi="仿宋" w:eastAsia="仿宋" w:cs="宋体"/>
          <w:color w:val="auto"/>
          <w:kern w:val="0"/>
          <w:sz w:val="28"/>
          <w:szCs w:val="28"/>
        </w:rPr>
        <w:t>招标</w:t>
      </w:r>
      <w:r>
        <w:rPr>
          <w:rFonts w:ascii="仿宋" w:hAnsi="仿宋" w:eastAsia="仿宋" w:cs="宋体"/>
          <w:color w:val="auto"/>
          <w:kern w:val="0"/>
          <w:sz w:val="28"/>
          <w:szCs w:val="28"/>
        </w:rPr>
        <w:t>文件之日</w:t>
      </w:r>
      <w:r>
        <w:rPr>
          <w:rFonts w:hint="eastAsia" w:ascii="仿宋" w:hAnsi="仿宋" w:eastAsia="仿宋" w:cs="宋体"/>
          <w:color w:val="auto"/>
          <w:kern w:val="0"/>
          <w:sz w:val="28"/>
          <w:szCs w:val="28"/>
        </w:rPr>
        <w:t>或者招标</w:t>
      </w:r>
      <w:r>
        <w:rPr>
          <w:rFonts w:ascii="仿宋" w:hAnsi="仿宋" w:eastAsia="仿宋" w:cs="宋体"/>
          <w:color w:val="auto"/>
          <w:kern w:val="0"/>
          <w:sz w:val="28"/>
          <w:szCs w:val="28"/>
        </w:rPr>
        <w:t>文件公告期限届满之日（</w:t>
      </w:r>
      <w:r>
        <w:rPr>
          <w:rFonts w:hint="eastAsia" w:ascii="仿宋" w:hAnsi="仿宋" w:eastAsia="仿宋" w:cs="宋体"/>
          <w:color w:val="auto"/>
          <w:kern w:val="0"/>
          <w:sz w:val="28"/>
          <w:szCs w:val="28"/>
        </w:rPr>
        <w:t>公告发布后的第6个工作日</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起</w:t>
      </w:r>
      <w:r>
        <w:rPr>
          <w:rFonts w:ascii="仿宋" w:hAnsi="仿宋" w:eastAsia="仿宋" w:cs="宋体"/>
          <w:color w:val="auto"/>
          <w:kern w:val="0"/>
          <w:sz w:val="28"/>
          <w:szCs w:val="28"/>
        </w:rPr>
        <w:t>7个工作日内、且在</w:t>
      </w:r>
      <w:r>
        <w:rPr>
          <w:rFonts w:hint="eastAsia" w:ascii="仿宋" w:hAnsi="仿宋" w:eastAsia="仿宋" w:cs="宋体"/>
          <w:color w:val="auto"/>
          <w:kern w:val="0"/>
          <w:sz w:val="28"/>
          <w:szCs w:val="28"/>
        </w:rPr>
        <w:t>提交</w:t>
      </w:r>
      <w:r>
        <w:rPr>
          <w:rFonts w:ascii="仿宋" w:hAnsi="仿宋" w:eastAsia="仿宋" w:cs="宋体"/>
          <w:color w:val="auto"/>
          <w:kern w:val="0"/>
          <w:sz w:val="28"/>
          <w:szCs w:val="28"/>
        </w:rPr>
        <w:t>投标文件截止时间当天之前，以书面形式向采购人或采购代理机构提出质疑。</w:t>
      </w:r>
    </w:p>
    <w:p>
      <w:pPr>
        <w:spacing w:line="400" w:lineRule="exact"/>
        <w:ind w:left="140" w:leftChars="67"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质疑供应商对采购人、采购代理机构的答复不满意，或者采购人、采购代理机构未在规定时间内作出答复的，可以在答复期满后15个工作日内向同级财政部门提起投诉。</w:t>
      </w:r>
    </w:p>
    <w:p>
      <w:pPr>
        <w:spacing w:line="400" w:lineRule="exact"/>
        <w:ind w:left="140" w:leftChars="67" w:firstLine="420" w:firstLineChars="150"/>
        <w:rPr>
          <w:rFonts w:ascii="仿宋" w:hAnsi="仿宋" w:eastAsia="仿宋" w:cs="宋体"/>
          <w:color w:val="auto"/>
          <w:kern w:val="0"/>
          <w:sz w:val="28"/>
          <w:szCs w:val="28"/>
        </w:rPr>
      </w:pPr>
      <w:r>
        <w:rPr>
          <w:rFonts w:ascii="仿宋" w:hAnsi="仿宋" w:eastAsia="仿宋" w:cs="宋体"/>
          <w:color w:val="auto"/>
          <w:kern w:val="0"/>
          <w:sz w:val="28"/>
          <w:szCs w:val="28"/>
        </w:rPr>
        <w:t>“规定方式获取</w:t>
      </w:r>
      <w:r>
        <w:rPr>
          <w:rFonts w:hint="eastAsia" w:ascii="仿宋" w:hAnsi="仿宋" w:eastAsia="仿宋" w:cs="宋体"/>
          <w:color w:val="auto"/>
          <w:kern w:val="0"/>
          <w:sz w:val="28"/>
          <w:szCs w:val="28"/>
        </w:rPr>
        <w:t>招标</w:t>
      </w:r>
      <w:r>
        <w:rPr>
          <w:rFonts w:ascii="仿宋" w:hAnsi="仿宋" w:eastAsia="仿宋" w:cs="宋体"/>
          <w:color w:val="auto"/>
          <w:kern w:val="0"/>
          <w:sz w:val="28"/>
          <w:szCs w:val="28"/>
        </w:rPr>
        <w:t>文件”是指：供应商按本项目招标公告要求向集中采购机构申请获取</w:t>
      </w:r>
      <w:r>
        <w:rPr>
          <w:rFonts w:hint="eastAsia" w:ascii="仿宋" w:hAnsi="仿宋" w:eastAsia="仿宋" w:cs="宋体"/>
          <w:color w:val="auto"/>
          <w:kern w:val="0"/>
          <w:sz w:val="28"/>
          <w:szCs w:val="28"/>
        </w:rPr>
        <w:t>招标</w:t>
      </w:r>
      <w:r>
        <w:rPr>
          <w:rFonts w:ascii="仿宋" w:hAnsi="仿宋" w:eastAsia="仿宋" w:cs="宋体"/>
          <w:color w:val="auto"/>
          <w:kern w:val="0"/>
          <w:sz w:val="28"/>
          <w:szCs w:val="28"/>
        </w:rPr>
        <w:t>文件通过后下载</w:t>
      </w:r>
      <w:r>
        <w:rPr>
          <w:rFonts w:hint="eastAsia" w:ascii="仿宋" w:hAnsi="仿宋" w:eastAsia="仿宋" w:cs="宋体"/>
          <w:color w:val="auto"/>
          <w:kern w:val="0"/>
          <w:sz w:val="28"/>
          <w:szCs w:val="28"/>
        </w:rPr>
        <w:t>招标</w:t>
      </w:r>
      <w:r>
        <w:rPr>
          <w:rFonts w:ascii="仿宋" w:hAnsi="仿宋" w:eastAsia="仿宋" w:cs="宋体"/>
          <w:color w:val="auto"/>
          <w:kern w:val="0"/>
          <w:sz w:val="28"/>
          <w:szCs w:val="28"/>
        </w:rPr>
        <w:t>文件。</w:t>
      </w:r>
    </w:p>
    <w:p>
      <w:pPr>
        <w:spacing w:line="400" w:lineRule="exact"/>
        <w:ind w:left="140" w:leftChars="67"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7、投标答疑时间：供应商对招标文件有异议的，应当在</w:t>
      </w:r>
      <w:r>
        <w:rPr>
          <w:rFonts w:hint="eastAsia" w:ascii="仿宋" w:hAnsi="仿宋" w:eastAsia="仿宋" w:cs="宋体"/>
          <w:color w:val="auto"/>
          <w:kern w:val="0"/>
          <w:sz w:val="28"/>
          <w:szCs w:val="28"/>
          <w:lang w:eastAsia="zh-CN"/>
        </w:rPr>
        <w:t>2023年</w:t>
      </w:r>
      <w:r>
        <w:rPr>
          <w:rFonts w:hint="eastAsia" w:ascii="仿宋" w:hAnsi="仿宋" w:eastAsia="仿宋" w:cs="宋体"/>
          <w:color w:val="auto"/>
          <w:kern w:val="0"/>
          <w:sz w:val="28"/>
          <w:szCs w:val="28"/>
          <w:lang w:val="en-US" w:eastAsia="zh-CN"/>
        </w:rPr>
        <w:t>5月31</w:t>
      </w:r>
      <w:r>
        <w:rPr>
          <w:rFonts w:hint="eastAsia" w:ascii="仿宋" w:hAnsi="仿宋" w:eastAsia="仿宋" w:cs="宋体"/>
          <w:color w:val="auto"/>
          <w:kern w:val="0"/>
          <w:sz w:val="28"/>
          <w:szCs w:val="28"/>
        </w:rPr>
        <w:t>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pPr>
        <w:spacing w:line="400" w:lineRule="exact"/>
        <w:ind w:left="140" w:leftChars="67"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8、采购项目需要落实的政府采购政策：包括保护环境、节约能源、促进中小企业发展等，详见招标文件。</w:t>
      </w:r>
    </w:p>
    <w:p>
      <w:pPr>
        <w:spacing w:line="400" w:lineRule="exact"/>
        <w:ind w:left="140" w:leftChars="67" w:firstLine="560" w:firstLineChars="200"/>
        <w:rPr>
          <w:color w:val="auto"/>
          <w:sz w:val="28"/>
          <w:szCs w:val="28"/>
        </w:rPr>
      </w:pPr>
      <w:r>
        <w:rPr>
          <w:rFonts w:hint="eastAsia" w:ascii="仿宋" w:hAnsi="仿宋" w:eastAsia="仿宋" w:cs="宋体"/>
          <w:color w:val="auto"/>
          <w:kern w:val="0"/>
          <w:sz w:val="28"/>
          <w:szCs w:val="28"/>
        </w:rPr>
        <w:t>9、</w:t>
      </w:r>
      <w:r>
        <w:rPr>
          <w:rFonts w:ascii="仿宋" w:hAnsi="仿宋" w:eastAsia="仿宋" w:cs="宋体"/>
          <w:color w:val="auto"/>
          <w:kern w:val="0"/>
          <w:sz w:val="28"/>
          <w:szCs w:val="28"/>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color w:val="auto"/>
          <w:kern w:val="0"/>
          <w:sz w:val="28"/>
          <w:szCs w:val="28"/>
        </w:rPr>
        <w:t>https://</w:t>
      </w:r>
      <w:r>
        <w:rPr>
          <w:rFonts w:ascii="仿宋" w:hAnsi="仿宋" w:eastAsia="仿宋" w:cs="宋体"/>
          <w:color w:val="auto"/>
          <w:kern w:val="0"/>
          <w:sz w:val="28"/>
          <w:szCs w:val="28"/>
        </w:rPr>
        <w:t>lvdt.huzldt.com）或“政采贷”平台网页（www.zcygov.cn）申请相关融资产品。具体操作方式可在“绿贷通”或“政采贷”平台网站查询，也可向“绿贷通”或“政采贷”平台电话咨询（“绿贷通”联系电话：0572-2392590、“政采贷”联系电话：0572-2151055、18698580797）</w:t>
      </w:r>
      <w:r>
        <w:rPr>
          <w:rFonts w:hint="eastAsia" w:ascii="仿宋" w:hAnsi="仿宋" w:eastAsia="仿宋" w:cs="宋体"/>
          <w:color w:val="auto"/>
          <w:kern w:val="0"/>
          <w:sz w:val="28"/>
          <w:szCs w:val="28"/>
        </w:rPr>
        <w:t>。</w:t>
      </w:r>
    </w:p>
    <w:p>
      <w:pPr>
        <w:spacing w:line="400" w:lineRule="exact"/>
        <w:rPr>
          <w:rFonts w:ascii="仿宋" w:hAnsi="仿宋" w:eastAsia="仿宋"/>
          <w:b/>
          <w:color w:val="auto"/>
          <w:sz w:val="28"/>
          <w:szCs w:val="28"/>
        </w:rPr>
      </w:pPr>
      <w:bookmarkStart w:id="29" w:name="_Toc35393796"/>
      <w:bookmarkStart w:id="30" w:name="_Toc35393627"/>
      <w:bookmarkStart w:id="31" w:name="_Toc28359085"/>
      <w:bookmarkStart w:id="32" w:name="_Toc28359008"/>
      <w:r>
        <w:rPr>
          <w:rFonts w:hint="eastAsia" w:ascii="仿宋" w:hAnsi="仿宋" w:eastAsia="仿宋"/>
          <w:b/>
          <w:color w:val="auto"/>
          <w:sz w:val="28"/>
          <w:szCs w:val="28"/>
        </w:rPr>
        <w:t>七、对本次招标提出询问，请按</w:t>
      </w:r>
      <w:r>
        <w:rPr>
          <w:rFonts w:ascii="仿宋" w:hAnsi="仿宋" w:eastAsia="仿宋"/>
          <w:b/>
          <w:color w:val="auto"/>
          <w:sz w:val="28"/>
          <w:szCs w:val="28"/>
        </w:rPr>
        <w:t>以下方式</w:t>
      </w:r>
      <w:r>
        <w:rPr>
          <w:rFonts w:hint="eastAsia" w:ascii="仿宋" w:hAnsi="仿宋" w:eastAsia="仿宋"/>
          <w:b/>
          <w:color w:val="auto"/>
          <w:sz w:val="28"/>
          <w:szCs w:val="28"/>
        </w:rPr>
        <w:t>联系。</w:t>
      </w:r>
      <w:bookmarkEnd w:id="29"/>
      <w:bookmarkEnd w:id="30"/>
      <w:bookmarkEnd w:id="31"/>
      <w:bookmarkEnd w:id="32"/>
    </w:p>
    <w:p>
      <w:pPr>
        <w:widowControl/>
        <w:spacing w:line="400" w:lineRule="exact"/>
        <w:ind w:firstLine="560" w:firstLineChars="200"/>
        <w:jc w:val="left"/>
        <w:rPr>
          <w:rFonts w:ascii="仿宋_GB2312" w:eastAsia="仿宋_GB2312"/>
          <w:color w:val="auto"/>
          <w:sz w:val="28"/>
          <w:szCs w:val="28"/>
        </w:rPr>
      </w:pPr>
      <w:r>
        <w:rPr>
          <w:rFonts w:hint="eastAsia" w:ascii="仿宋" w:hAnsi="仿宋" w:eastAsia="仿宋" w:cs="宋体"/>
          <w:color w:val="auto"/>
          <w:sz w:val="28"/>
          <w:szCs w:val="28"/>
        </w:rPr>
        <w:t>1、采购人信息</w:t>
      </w:r>
    </w:p>
    <w:p>
      <w:pPr>
        <w:spacing w:line="400" w:lineRule="exact"/>
        <w:ind w:firstLine="560" w:firstLineChars="200"/>
        <w:rPr>
          <w:rFonts w:hint="eastAsia" w:ascii="仿宋" w:hAnsi="仿宋" w:eastAsia="仿宋" w:cs="Times New Roman"/>
          <w:color w:val="auto"/>
          <w:sz w:val="28"/>
          <w:szCs w:val="28"/>
        </w:rPr>
      </w:pPr>
      <w:bookmarkStart w:id="33" w:name="_Toc28359009"/>
      <w:bookmarkStart w:id="34" w:name="_Toc28359086"/>
      <w:r>
        <w:rPr>
          <w:rFonts w:hint="eastAsia" w:ascii="仿宋" w:hAnsi="仿宋" w:eastAsia="仿宋" w:cs="Times New Roman"/>
          <w:color w:val="auto"/>
          <w:sz w:val="28"/>
          <w:szCs w:val="28"/>
        </w:rPr>
        <w:t>名称：湖州市教育局</w:t>
      </w:r>
    </w:p>
    <w:p>
      <w:pPr>
        <w:spacing w:line="400" w:lineRule="exact"/>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地址：湖州市行政中心</w:t>
      </w:r>
      <w:r>
        <w:rPr>
          <w:rFonts w:hint="eastAsia" w:ascii="仿宋" w:hAnsi="仿宋" w:eastAsia="仿宋" w:cs="Times New Roman"/>
          <w:color w:val="auto"/>
          <w:sz w:val="28"/>
          <w:szCs w:val="28"/>
          <w:lang w:val="en-US" w:eastAsia="zh-CN"/>
        </w:rPr>
        <w:t>1</w:t>
      </w:r>
      <w:r>
        <w:rPr>
          <w:rFonts w:hint="eastAsia" w:ascii="仿宋" w:hAnsi="仿宋" w:eastAsia="仿宋" w:cs="Times New Roman"/>
          <w:color w:val="auto"/>
          <w:sz w:val="28"/>
          <w:szCs w:val="28"/>
        </w:rPr>
        <w:t>号楼</w:t>
      </w: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rPr>
        <w:t>楼</w:t>
      </w:r>
    </w:p>
    <w:p>
      <w:pPr>
        <w:spacing w:line="400" w:lineRule="exact"/>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联系人：施先生   质疑函接收人：施先生</w:t>
      </w:r>
    </w:p>
    <w:p>
      <w:pPr>
        <w:spacing w:line="400" w:lineRule="exact"/>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联系方式：</w:t>
      </w:r>
      <w:r>
        <w:rPr>
          <w:rFonts w:hint="eastAsia" w:ascii="仿宋" w:hAnsi="仿宋" w:eastAsia="仿宋" w:cs="Times New Roman"/>
          <w:color w:val="auto"/>
          <w:sz w:val="28"/>
          <w:szCs w:val="28"/>
          <w:lang w:eastAsia="zh-CN"/>
        </w:rPr>
        <w:t>0572-2056716</w:t>
      </w:r>
      <w:r>
        <w:rPr>
          <w:rFonts w:hint="eastAsia" w:ascii="仿宋" w:hAnsi="仿宋" w:eastAsia="仿宋" w:cs="Times New Roman"/>
          <w:color w:val="auto"/>
          <w:sz w:val="28"/>
          <w:szCs w:val="28"/>
        </w:rPr>
        <w:t xml:space="preserve">      传真：0572-</w:t>
      </w:r>
      <w:r>
        <w:rPr>
          <w:rFonts w:hint="eastAsia" w:ascii="仿宋" w:hAnsi="仿宋" w:eastAsia="仿宋" w:cs="Times New Roman"/>
          <w:color w:val="auto"/>
          <w:sz w:val="28"/>
          <w:szCs w:val="28"/>
          <w:lang w:val="en-US" w:eastAsia="zh-CN"/>
        </w:rPr>
        <w:t>2056716</w:t>
      </w:r>
    </w:p>
    <w:p>
      <w:pPr>
        <w:spacing w:line="400" w:lineRule="exact"/>
        <w:ind w:firstLine="560" w:firstLineChars="200"/>
        <w:jc w:val="left"/>
        <w:rPr>
          <w:rFonts w:ascii="仿宋" w:hAnsi="仿宋" w:eastAsia="仿宋"/>
          <w:color w:val="auto"/>
          <w:sz w:val="28"/>
          <w:szCs w:val="28"/>
        </w:rPr>
      </w:pPr>
      <w:r>
        <w:rPr>
          <w:rFonts w:hint="eastAsia" w:ascii="仿宋" w:hAnsi="仿宋" w:eastAsia="仿宋" w:cs="宋体"/>
          <w:color w:val="auto"/>
          <w:sz w:val="28"/>
          <w:szCs w:val="28"/>
        </w:rPr>
        <w:t>2、采购代理机构信息</w:t>
      </w:r>
      <w:bookmarkEnd w:id="33"/>
      <w:bookmarkEnd w:id="34"/>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名称：湖州市政府采购中心</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宋体"/>
          <w:color w:val="auto"/>
          <w:kern w:val="0"/>
          <w:sz w:val="28"/>
          <w:szCs w:val="28"/>
        </w:rPr>
        <w:t>湖州市金盖山路66号市民服务中心2号楼2楼</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质疑函接收人：</w:t>
      </w:r>
      <w:r>
        <w:rPr>
          <w:rFonts w:hint="eastAsia" w:ascii="仿宋" w:hAnsi="仿宋" w:eastAsia="仿宋"/>
          <w:color w:val="auto"/>
          <w:sz w:val="28"/>
          <w:szCs w:val="28"/>
          <w:lang w:eastAsia="zh-CN"/>
        </w:rPr>
        <w:t>范</w:t>
      </w:r>
      <w:r>
        <w:rPr>
          <w:rFonts w:hint="eastAsia" w:ascii="仿宋" w:hAnsi="仿宋" w:eastAsia="仿宋"/>
          <w:color w:val="auto"/>
          <w:sz w:val="28"/>
          <w:szCs w:val="28"/>
        </w:rPr>
        <w:t>女士</w:t>
      </w:r>
    </w:p>
    <w:p>
      <w:pPr>
        <w:widowControl/>
        <w:spacing w:line="400" w:lineRule="exact"/>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联系方式：</w:t>
      </w:r>
      <w:bookmarkStart w:id="35" w:name="_Toc28359010"/>
      <w:bookmarkStart w:id="36" w:name="_Toc28359087"/>
      <w:r>
        <w:rPr>
          <w:rFonts w:hint="eastAsia" w:ascii="仿宋" w:hAnsi="仿宋" w:eastAsia="仿宋" w:cs="宋体"/>
          <w:color w:val="auto"/>
          <w:sz w:val="28"/>
          <w:szCs w:val="28"/>
        </w:rPr>
        <w:t>0572-2220019   传真：0572-2220061</w:t>
      </w:r>
    </w:p>
    <w:p>
      <w:pPr>
        <w:widowControl/>
        <w:spacing w:line="400" w:lineRule="exact"/>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邮箱：zfcgfzx@huzhou.gov.cn</w:t>
      </w:r>
    </w:p>
    <w:bookmarkEnd w:id="5"/>
    <w:bookmarkEnd w:id="35"/>
    <w:bookmarkEnd w:id="36"/>
    <w:p>
      <w:pPr>
        <w:widowControl/>
        <w:spacing w:line="400" w:lineRule="exact"/>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3、项目联系方式</w:t>
      </w:r>
    </w:p>
    <w:p>
      <w:pPr>
        <w:widowControl/>
        <w:spacing w:line="400" w:lineRule="exact"/>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项目联系人：范女士    电话：0572-2220019</w:t>
      </w:r>
    </w:p>
    <w:p>
      <w:pPr>
        <w:widowControl/>
        <w:spacing w:line="400" w:lineRule="exact"/>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4、同级政府采购监督管理部门</w:t>
      </w:r>
    </w:p>
    <w:p>
      <w:pPr>
        <w:widowControl/>
        <w:spacing w:line="400" w:lineRule="exact"/>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名称：湖州市财政局政府采购监管处 </w:t>
      </w:r>
    </w:p>
    <w:p>
      <w:pPr>
        <w:widowControl/>
        <w:spacing w:line="400" w:lineRule="exact"/>
        <w:ind w:firstLine="560" w:firstLineChars="200"/>
        <w:jc w:val="left"/>
        <w:rPr>
          <w:rFonts w:ascii="仿宋" w:hAnsi="仿宋" w:eastAsia="仿宋"/>
          <w:bCs/>
          <w:color w:val="auto"/>
          <w:sz w:val="28"/>
          <w:szCs w:val="28"/>
        </w:rPr>
      </w:pPr>
      <w:r>
        <w:rPr>
          <w:rFonts w:hint="eastAsia" w:ascii="仿宋" w:hAnsi="仿宋" w:eastAsia="仿宋" w:cs="宋体"/>
          <w:color w:val="auto"/>
          <w:sz w:val="28"/>
          <w:szCs w:val="28"/>
        </w:rPr>
        <w:t>联系人：李女士     监督投诉电话：0572-2150086</w:t>
      </w:r>
      <w:r>
        <w:rPr>
          <w:rFonts w:ascii="仿宋" w:hAnsi="仿宋" w:eastAsia="仿宋"/>
          <w:bCs/>
          <w:color w:val="auto"/>
          <w:sz w:val="28"/>
          <w:szCs w:val="28"/>
        </w:rPr>
        <w:br w:type="page"/>
      </w:r>
    </w:p>
    <w:p>
      <w:pPr>
        <w:pStyle w:val="3"/>
        <w:jc w:val="center"/>
        <w:rPr>
          <w:rFonts w:ascii="方正小标宋简体" w:eastAsia="方正小标宋简体"/>
          <w:color w:val="auto"/>
          <w:sz w:val="32"/>
          <w:szCs w:val="32"/>
        </w:rPr>
      </w:pPr>
      <w:bookmarkStart w:id="37" w:name="_Toc36454312"/>
      <w:r>
        <w:rPr>
          <w:rFonts w:hint="eastAsia" w:ascii="方正小标宋简体" w:eastAsia="方正小标宋简体"/>
          <w:color w:val="auto"/>
          <w:sz w:val="32"/>
          <w:szCs w:val="32"/>
        </w:rPr>
        <w:t>第一章  投标人须知</w:t>
      </w:r>
      <w:bookmarkEnd w:id="37"/>
    </w:p>
    <w:p>
      <w:pPr>
        <w:pStyle w:val="4"/>
        <w:spacing w:line="440" w:lineRule="exact"/>
        <w:jc w:val="center"/>
        <w:rPr>
          <w:rFonts w:ascii="仿宋" w:hAnsi="仿宋" w:eastAsia="仿宋"/>
          <w:color w:val="auto"/>
        </w:rPr>
      </w:pPr>
      <w:bookmarkStart w:id="38" w:name="_Toc36454313"/>
      <w:r>
        <w:rPr>
          <w:rFonts w:hint="eastAsia" w:ascii="仿宋" w:hAnsi="仿宋" w:eastAsia="仿宋"/>
          <w:color w:val="auto"/>
        </w:rPr>
        <w:t>前   附  表</w:t>
      </w:r>
      <w:bookmarkEnd w:id="38"/>
    </w:p>
    <w:tbl>
      <w:tblPr>
        <w:tblStyle w:val="32"/>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ascii="仿宋" w:hAnsi="仿宋" w:eastAsia="仿宋"/>
                <w:b/>
                <w:bCs/>
                <w:color w:val="auto"/>
                <w:sz w:val="24"/>
              </w:rPr>
            </w:pPr>
            <w:r>
              <w:rPr>
                <w:rFonts w:hint="eastAsia" w:ascii="仿宋" w:hAnsi="仿宋" w:eastAsia="仿宋"/>
                <w:b/>
                <w:bCs/>
                <w:color w:val="auto"/>
                <w:sz w:val="24"/>
              </w:rPr>
              <w:t>序号</w:t>
            </w:r>
          </w:p>
        </w:tc>
        <w:tc>
          <w:tcPr>
            <w:tcW w:w="2520" w:type="dxa"/>
            <w:vAlign w:val="center"/>
          </w:tcPr>
          <w:p>
            <w:pPr>
              <w:spacing w:line="300" w:lineRule="exact"/>
              <w:jc w:val="center"/>
              <w:rPr>
                <w:rFonts w:ascii="仿宋" w:hAnsi="仿宋" w:eastAsia="仿宋"/>
                <w:b/>
                <w:bCs/>
                <w:color w:val="auto"/>
                <w:sz w:val="24"/>
              </w:rPr>
            </w:pPr>
            <w:r>
              <w:rPr>
                <w:rFonts w:hint="eastAsia" w:ascii="仿宋" w:hAnsi="仿宋" w:eastAsia="仿宋"/>
                <w:b/>
                <w:bCs/>
                <w:color w:val="auto"/>
                <w:sz w:val="24"/>
              </w:rPr>
              <w:t>项  目</w:t>
            </w:r>
          </w:p>
        </w:tc>
        <w:tc>
          <w:tcPr>
            <w:tcW w:w="6261" w:type="dxa"/>
            <w:vAlign w:val="center"/>
          </w:tcPr>
          <w:p>
            <w:pPr>
              <w:spacing w:line="300" w:lineRule="exact"/>
              <w:jc w:val="center"/>
              <w:rPr>
                <w:rFonts w:ascii="仿宋" w:hAnsi="仿宋" w:eastAsia="仿宋"/>
                <w:b/>
                <w:bCs/>
                <w:color w:val="auto"/>
                <w:sz w:val="24"/>
              </w:rPr>
            </w:pPr>
            <w:r>
              <w:rPr>
                <w:rFonts w:hint="eastAsia" w:ascii="仿宋" w:hAnsi="仿宋" w:eastAsia="仿宋"/>
                <w:b/>
                <w:bCs/>
                <w:color w:val="auto"/>
                <w:sz w:val="24"/>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1</w:t>
            </w:r>
          </w:p>
        </w:tc>
        <w:tc>
          <w:tcPr>
            <w:tcW w:w="25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项目名称</w:t>
            </w:r>
          </w:p>
        </w:tc>
        <w:tc>
          <w:tcPr>
            <w:tcW w:w="6261" w:type="dxa"/>
            <w:vAlign w:val="center"/>
          </w:tcPr>
          <w:p>
            <w:pPr>
              <w:spacing w:line="300" w:lineRule="exact"/>
              <w:jc w:val="center"/>
              <w:rPr>
                <w:rFonts w:ascii="仿宋" w:hAnsi="仿宋" w:eastAsia="仿宋"/>
                <w:bCs/>
                <w:color w:val="auto"/>
                <w:spacing w:val="-4"/>
                <w:sz w:val="24"/>
              </w:rPr>
            </w:pPr>
            <w:r>
              <w:rPr>
                <w:rFonts w:hint="eastAsia" w:ascii="仿宋" w:hAnsi="仿宋" w:eastAsia="仿宋"/>
                <w:bCs/>
                <w:color w:val="auto"/>
                <w:spacing w:val="-4"/>
                <w:sz w:val="24"/>
                <w:lang w:eastAsia="zh-CN"/>
              </w:rPr>
              <w:t>湖州市教育局仁西小学办公计算机及多媒体设备采购项目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2</w:t>
            </w:r>
          </w:p>
        </w:tc>
        <w:tc>
          <w:tcPr>
            <w:tcW w:w="25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编号</w:t>
            </w:r>
          </w:p>
        </w:tc>
        <w:tc>
          <w:tcPr>
            <w:tcW w:w="6261" w:type="dxa"/>
            <w:vAlign w:val="center"/>
          </w:tcPr>
          <w:p>
            <w:pPr>
              <w:spacing w:line="300" w:lineRule="exact"/>
              <w:rPr>
                <w:rFonts w:hint="eastAsia" w:ascii="仿宋" w:hAnsi="仿宋" w:eastAsia="仿宋"/>
                <w:bCs/>
                <w:color w:val="auto"/>
                <w:spacing w:val="-4"/>
                <w:sz w:val="24"/>
                <w:u w:val="single"/>
                <w:lang w:eastAsia="zh-CN"/>
              </w:rPr>
            </w:pPr>
            <w:r>
              <w:rPr>
                <w:rFonts w:hint="eastAsia" w:ascii="仿宋" w:hAnsi="仿宋" w:eastAsia="仿宋"/>
                <w:bCs/>
                <w:color w:val="auto"/>
                <w:spacing w:val="-4"/>
                <w:sz w:val="24"/>
              </w:rPr>
              <w:t>招标文件编号：</w:t>
            </w:r>
            <w:r>
              <w:rPr>
                <w:rFonts w:hint="eastAsia" w:ascii="仿宋" w:hAnsi="仿宋" w:eastAsia="仿宋"/>
                <w:bCs/>
                <w:color w:val="auto"/>
                <w:spacing w:val="-4"/>
                <w:sz w:val="24"/>
                <w:lang w:eastAsia="zh-CN"/>
              </w:rPr>
              <w:t>HZGZ2023-12</w:t>
            </w:r>
          </w:p>
          <w:p>
            <w:pPr>
              <w:spacing w:line="300" w:lineRule="exact"/>
              <w:rPr>
                <w:rFonts w:ascii="仿宋" w:hAnsi="仿宋" w:eastAsia="方正小标宋简体"/>
                <w:bCs/>
                <w:color w:val="auto"/>
                <w:spacing w:val="-4"/>
                <w:sz w:val="24"/>
                <w:u w:val="single"/>
              </w:rPr>
            </w:pPr>
            <w:r>
              <w:rPr>
                <w:rFonts w:hint="eastAsia" w:ascii="仿宋" w:hAnsi="仿宋" w:eastAsia="仿宋"/>
                <w:bCs/>
                <w:color w:val="auto"/>
                <w:spacing w:val="-4"/>
                <w:sz w:val="24"/>
              </w:rPr>
              <w:t>财政审批编号：</w:t>
            </w:r>
            <w:r>
              <w:rPr>
                <w:rFonts w:hint="eastAsia" w:ascii="仿宋" w:hAnsi="仿宋" w:eastAsia="仿宋"/>
                <w:bCs/>
                <w:color w:val="auto"/>
                <w:spacing w:val="-4"/>
                <w:sz w:val="24"/>
                <w:lang w:eastAsia="zh-CN"/>
              </w:rPr>
              <w:t>【2023】7595、7596号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3</w:t>
            </w:r>
          </w:p>
        </w:tc>
        <w:tc>
          <w:tcPr>
            <w:tcW w:w="25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招标内容</w:t>
            </w:r>
          </w:p>
        </w:tc>
        <w:tc>
          <w:tcPr>
            <w:tcW w:w="6261" w:type="dxa"/>
            <w:vAlign w:val="center"/>
          </w:tcPr>
          <w:p>
            <w:pPr>
              <w:spacing w:line="300" w:lineRule="exact"/>
              <w:jc w:val="center"/>
              <w:rPr>
                <w:rFonts w:ascii="仿宋" w:hAnsi="仿宋" w:eastAsia="仿宋"/>
                <w:color w:val="auto"/>
                <w:sz w:val="24"/>
              </w:rPr>
            </w:pPr>
            <w:r>
              <w:rPr>
                <w:rFonts w:hint="eastAsia" w:ascii="仿宋" w:hAnsi="仿宋" w:eastAsia="仿宋"/>
                <w:bCs/>
                <w:color w:val="auto"/>
                <w:spacing w:val="-4"/>
                <w:sz w:val="24"/>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4</w:t>
            </w:r>
          </w:p>
        </w:tc>
        <w:tc>
          <w:tcPr>
            <w:tcW w:w="25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项目交货及安装地点</w:t>
            </w:r>
          </w:p>
        </w:tc>
        <w:tc>
          <w:tcPr>
            <w:tcW w:w="6261" w:type="dxa"/>
            <w:vAlign w:val="center"/>
          </w:tcPr>
          <w:p>
            <w:pPr>
              <w:spacing w:line="300" w:lineRule="exact"/>
              <w:jc w:val="center"/>
              <w:rPr>
                <w:rFonts w:hint="eastAsia" w:ascii="仿宋" w:hAnsi="仿宋" w:eastAsia="仿宋"/>
                <w:bCs/>
                <w:color w:val="auto"/>
                <w:sz w:val="24"/>
              </w:rPr>
            </w:pPr>
            <w:r>
              <w:rPr>
                <w:rFonts w:hint="eastAsia" w:ascii="仿宋" w:hAnsi="仿宋" w:eastAsia="仿宋"/>
                <w:bCs/>
                <w:color w:val="auto"/>
                <w:sz w:val="24"/>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5</w:t>
            </w:r>
          </w:p>
        </w:tc>
        <w:tc>
          <w:tcPr>
            <w:tcW w:w="25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合同履行期限</w:t>
            </w:r>
          </w:p>
        </w:tc>
        <w:tc>
          <w:tcPr>
            <w:tcW w:w="6261" w:type="dxa"/>
            <w:vAlign w:val="center"/>
          </w:tcPr>
          <w:p>
            <w:pPr>
              <w:spacing w:line="300" w:lineRule="exact"/>
              <w:jc w:val="center"/>
              <w:rPr>
                <w:rFonts w:hint="eastAsia" w:ascii="仿宋" w:hAnsi="仿宋" w:eastAsia="仿宋"/>
                <w:bCs/>
                <w:color w:val="auto"/>
                <w:sz w:val="24"/>
              </w:rPr>
            </w:pPr>
            <w:r>
              <w:rPr>
                <w:rFonts w:hint="eastAsia" w:ascii="仿宋" w:hAnsi="仿宋" w:eastAsia="仿宋"/>
                <w:bCs/>
                <w:color w:val="auto"/>
                <w:sz w:val="24"/>
                <w:lang w:val="en-US" w:eastAsia="zh-CN"/>
              </w:rPr>
              <w:t>签订合同后20个工作日供货并完成安装调试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bottom w:val="single" w:color="auto" w:sz="4" w:space="0"/>
            </w:tcBorders>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6</w:t>
            </w:r>
          </w:p>
        </w:tc>
        <w:tc>
          <w:tcPr>
            <w:tcW w:w="2520" w:type="dxa"/>
            <w:tcBorders>
              <w:bottom w:val="single" w:color="auto" w:sz="4" w:space="0"/>
            </w:tcBorders>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投标保证金</w:t>
            </w:r>
          </w:p>
        </w:tc>
        <w:tc>
          <w:tcPr>
            <w:tcW w:w="6261" w:type="dxa"/>
            <w:tcBorders>
              <w:bottom w:val="single" w:color="auto" w:sz="4" w:space="0"/>
            </w:tcBorders>
            <w:vAlign w:val="center"/>
          </w:tcPr>
          <w:p>
            <w:pPr>
              <w:spacing w:line="440" w:lineRule="exact"/>
              <w:jc w:val="center"/>
              <w:rPr>
                <w:rFonts w:ascii="仿宋" w:hAnsi="仿宋" w:eastAsia="仿宋" w:cs="宋体"/>
                <w:color w:val="auto"/>
                <w:sz w:val="24"/>
              </w:rPr>
            </w:pPr>
            <w:r>
              <w:rPr>
                <w:rFonts w:hint="eastAsia" w:ascii="仿宋" w:hAnsi="仿宋" w:eastAsia="仿宋" w:cs="宋体"/>
                <w:color w:val="auto"/>
                <w:sz w:val="24"/>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color w:val="auto"/>
                <w:sz w:val="24"/>
                <w:shd w:val="pct10" w:color="auto" w:fill="FFFFFF"/>
              </w:rPr>
            </w:pPr>
            <w:r>
              <w:rPr>
                <w:rFonts w:hint="eastAsia" w:ascii="仿宋" w:hAnsi="仿宋" w:eastAsia="仿宋"/>
                <w:bCs/>
                <w:color w:val="auto"/>
                <w:sz w:val="24"/>
                <w:shd w:val="pct10" w:color="auto" w:fill="FFFFFF"/>
              </w:rPr>
              <w:t>7</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rPr>
            </w:pPr>
            <w:r>
              <w:rPr>
                <w:rFonts w:hint="eastAsia" w:ascii="仿宋" w:hAnsi="仿宋" w:eastAsia="仿宋"/>
                <w:color w:val="auto"/>
                <w:sz w:val="24"/>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rPr>
            </w:pPr>
            <w:r>
              <w:rPr>
                <w:rFonts w:hint="eastAsia" w:ascii="仿宋" w:hAnsi="仿宋" w:eastAsia="仿宋"/>
                <w:color w:val="auto"/>
                <w:sz w:val="24"/>
                <w:lang w:eastAsia="zh-CN"/>
              </w:rPr>
              <w:t>2023年</w:t>
            </w:r>
            <w:r>
              <w:rPr>
                <w:rFonts w:hint="eastAsia" w:ascii="仿宋" w:hAnsi="仿宋" w:eastAsia="仿宋"/>
                <w:color w:val="auto"/>
                <w:sz w:val="24"/>
                <w:lang w:val="en-US" w:eastAsia="zh-CN"/>
              </w:rPr>
              <w:t>5</w:t>
            </w:r>
            <w:r>
              <w:rPr>
                <w:rFonts w:hint="eastAsia" w:ascii="仿宋" w:hAnsi="仿宋" w:eastAsia="仿宋"/>
                <w:color w:val="auto"/>
                <w:sz w:val="24"/>
              </w:rPr>
              <w:t>月</w:t>
            </w:r>
            <w:r>
              <w:rPr>
                <w:rFonts w:hint="eastAsia" w:ascii="仿宋" w:hAnsi="仿宋" w:eastAsia="仿宋"/>
                <w:color w:val="auto"/>
                <w:sz w:val="24"/>
                <w:lang w:val="en-US" w:eastAsia="zh-CN"/>
              </w:rPr>
              <w:t>31</w:t>
            </w:r>
            <w:r>
              <w:rPr>
                <w:rFonts w:hint="eastAsia" w:ascii="仿宋" w:hAnsi="仿宋" w:eastAsia="仿宋"/>
                <w:color w:val="auto"/>
                <w:sz w:val="24"/>
              </w:rPr>
              <w:t>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vAlign w:val="center"/>
          </w:tcPr>
          <w:p>
            <w:pPr>
              <w:snapToGrid w:val="0"/>
              <w:jc w:val="center"/>
              <w:rPr>
                <w:rFonts w:ascii="仿宋" w:hAnsi="仿宋" w:eastAsia="仿宋"/>
                <w:color w:val="auto"/>
                <w:sz w:val="24"/>
              </w:rPr>
            </w:pPr>
            <w:r>
              <w:rPr>
                <w:rFonts w:hint="eastAsia" w:ascii="仿宋" w:hAnsi="仿宋" w:eastAsia="仿宋"/>
                <w:color w:val="auto"/>
                <w:sz w:val="24"/>
              </w:rPr>
              <w:t>8</w:t>
            </w:r>
          </w:p>
        </w:tc>
        <w:tc>
          <w:tcPr>
            <w:tcW w:w="2520" w:type="dxa"/>
            <w:tcBorders>
              <w:top w:val="single" w:color="auto" w:sz="4" w:space="0"/>
            </w:tcBorders>
            <w:vAlign w:val="center"/>
          </w:tcPr>
          <w:p>
            <w:pPr>
              <w:snapToGrid w:val="0"/>
              <w:jc w:val="center"/>
              <w:rPr>
                <w:rFonts w:ascii="仿宋" w:hAnsi="仿宋" w:eastAsia="仿宋"/>
                <w:color w:val="auto"/>
                <w:sz w:val="24"/>
              </w:rPr>
            </w:pPr>
            <w:r>
              <w:rPr>
                <w:rFonts w:hint="eastAsia" w:ascii="仿宋" w:hAnsi="仿宋" w:eastAsia="仿宋"/>
                <w:color w:val="auto"/>
                <w:sz w:val="24"/>
              </w:rPr>
              <w:t>是否允许转包与分包</w:t>
            </w:r>
          </w:p>
        </w:tc>
        <w:tc>
          <w:tcPr>
            <w:tcW w:w="6261" w:type="dxa"/>
            <w:tcBorders>
              <w:top w:val="single" w:color="auto" w:sz="4" w:space="0"/>
            </w:tcBorders>
            <w:vAlign w:val="center"/>
          </w:tcPr>
          <w:p>
            <w:pPr>
              <w:snapToGrid w:val="0"/>
              <w:jc w:val="center"/>
              <w:rPr>
                <w:rFonts w:ascii="仿宋" w:hAnsi="仿宋" w:eastAsia="仿宋"/>
                <w:color w:val="auto"/>
                <w:sz w:val="24"/>
              </w:rPr>
            </w:pPr>
            <w:r>
              <w:rPr>
                <w:rFonts w:hint="eastAsia" w:ascii="仿宋" w:hAnsi="仿宋" w:eastAsia="仿宋"/>
                <w:color w:val="auto"/>
                <w:sz w:val="24"/>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olor w:val="auto"/>
                <w:sz w:val="24"/>
              </w:rPr>
            </w:pPr>
            <w:r>
              <w:rPr>
                <w:rFonts w:hint="eastAsia" w:ascii="仿宋" w:hAnsi="仿宋" w:eastAsia="仿宋"/>
                <w:color w:val="auto"/>
                <w:sz w:val="24"/>
              </w:rPr>
              <w:t>9</w:t>
            </w:r>
          </w:p>
        </w:tc>
        <w:tc>
          <w:tcPr>
            <w:tcW w:w="2520" w:type="dxa"/>
            <w:vAlign w:val="center"/>
          </w:tcPr>
          <w:p>
            <w:pPr>
              <w:snapToGrid w:val="0"/>
              <w:jc w:val="center"/>
              <w:rPr>
                <w:rFonts w:ascii="仿宋" w:hAnsi="仿宋" w:eastAsia="仿宋"/>
                <w:color w:val="auto"/>
                <w:sz w:val="24"/>
              </w:rPr>
            </w:pPr>
            <w:r>
              <w:rPr>
                <w:rFonts w:hint="eastAsia" w:ascii="仿宋" w:hAnsi="仿宋" w:eastAsia="仿宋"/>
                <w:color w:val="auto"/>
                <w:sz w:val="24"/>
              </w:rPr>
              <w:t>是否现场踏勘</w:t>
            </w:r>
          </w:p>
        </w:tc>
        <w:tc>
          <w:tcPr>
            <w:tcW w:w="6261" w:type="dxa"/>
            <w:vAlign w:val="center"/>
          </w:tcPr>
          <w:p>
            <w:pPr>
              <w:snapToGrid w:val="0"/>
              <w:jc w:val="center"/>
              <w:rPr>
                <w:rFonts w:ascii="仿宋" w:hAnsi="仿宋" w:eastAsia="仿宋"/>
                <w:color w:val="auto"/>
                <w:sz w:val="24"/>
              </w:rPr>
            </w:pPr>
            <w:r>
              <w:rPr>
                <w:rFonts w:hint="eastAsia" w:ascii="仿宋" w:hAnsi="仿宋" w:eastAsia="仿宋"/>
                <w:color w:val="auto"/>
                <w:sz w:val="24"/>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olor w:val="auto"/>
                <w:sz w:val="24"/>
              </w:rPr>
            </w:pPr>
            <w:r>
              <w:rPr>
                <w:rFonts w:hint="eastAsia" w:ascii="仿宋" w:hAnsi="仿宋" w:eastAsia="仿宋"/>
                <w:color w:val="auto"/>
                <w:sz w:val="24"/>
              </w:rPr>
              <w:t>10</w:t>
            </w:r>
          </w:p>
        </w:tc>
        <w:tc>
          <w:tcPr>
            <w:tcW w:w="2520" w:type="dxa"/>
            <w:vAlign w:val="center"/>
          </w:tcPr>
          <w:p>
            <w:pPr>
              <w:snapToGrid w:val="0"/>
              <w:jc w:val="center"/>
              <w:rPr>
                <w:rFonts w:ascii="仿宋" w:hAnsi="仿宋" w:eastAsia="仿宋"/>
                <w:color w:val="auto"/>
                <w:sz w:val="24"/>
              </w:rPr>
            </w:pPr>
            <w:r>
              <w:rPr>
                <w:rFonts w:hint="eastAsia" w:ascii="仿宋" w:hAnsi="仿宋" w:eastAsia="仿宋"/>
                <w:color w:val="auto"/>
                <w:sz w:val="24"/>
              </w:rPr>
              <w:t>是否提供演示</w:t>
            </w:r>
          </w:p>
        </w:tc>
        <w:tc>
          <w:tcPr>
            <w:tcW w:w="6261" w:type="dxa"/>
            <w:vAlign w:val="center"/>
          </w:tcPr>
          <w:p>
            <w:pPr>
              <w:snapToGrid w:val="0"/>
              <w:ind w:firstLine="960" w:firstLineChars="400"/>
              <w:rPr>
                <w:rFonts w:ascii="仿宋" w:hAnsi="仿宋" w:eastAsia="仿宋"/>
                <w:color w:val="auto"/>
                <w:sz w:val="24"/>
              </w:rPr>
            </w:pPr>
            <w:r>
              <w:rPr>
                <w:rFonts w:hint="eastAsia" w:ascii="仿宋" w:hAnsi="仿宋" w:eastAsia="仿宋"/>
                <w:color w:val="auto"/>
                <w:sz w:val="24"/>
                <w:lang w:eastAsia="zh-CN"/>
              </w:rPr>
              <w:t>否</w:t>
            </w:r>
            <w:r>
              <w:rPr>
                <w:rFonts w:hint="eastAsia" w:ascii="仿宋" w:hAnsi="仿宋" w:eastAsia="仿宋"/>
                <w:color w:val="auto"/>
                <w:sz w:val="24"/>
              </w:rPr>
              <w:t xml:space="preserve">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20" w:type="dxa"/>
            <w:vAlign w:val="center"/>
          </w:tcPr>
          <w:p>
            <w:pPr>
              <w:snapToGrid w:val="0"/>
              <w:jc w:val="center"/>
              <w:rPr>
                <w:rFonts w:ascii="仿宋" w:hAnsi="仿宋" w:eastAsia="仿宋"/>
                <w:color w:val="auto"/>
                <w:sz w:val="24"/>
              </w:rPr>
            </w:pPr>
            <w:r>
              <w:rPr>
                <w:rFonts w:hint="eastAsia" w:ascii="仿宋" w:hAnsi="仿宋" w:eastAsia="仿宋"/>
                <w:color w:val="auto"/>
                <w:sz w:val="24"/>
              </w:rPr>
              <w:t>11</w:t>
            </w:r>
          </w:p>
        </w:tc>
        <w:tc>
          <w:tcPr>
            <w:tcW w:w="2520" w:type="dxa"/>
            <w:vAlign w:val="center"/>
          </w:tcPr>
          <w:p>
            <w:pPr>
              <w:snapToGrid w:val="0"/>
              <w:jc w:val="center"/>
              <w:rPr>
                <w:rFonts w:ascii="仿宋" w:hAnsi="仿宋" w:eastAsia="仿宋"/>
                <w:color w:val="auto"/>
                <w:sz w:val="24"/>
              </w:rPr>
            </w:pPr>
            <w:r>
              <w:rPr>
                <w:rFonts w:hint="eastAsia" w:ascii="仿宋" w:hAnsi="仿宋" w:eastAsia="仿宋"/>
                <w:color w:val="auto"/>
                <w:sz w:val="24"/>
              </w:rPr>
              <w:t>是否提供样品</w:t>
            </w:r>
          </w:p>
        </w:tc>
        <w:tc>
          <w:tcPr>
            <w:tcW w:w="6261" w:type="dxa"/>
            <w:vAlign w:val="center"/>
          </w:tcPr>
          <w:p>
            <w:pPr>
              <w:snapToGrid w:val="0"/>
              <w:jc w:val="center"/>
              <w:rPr>
                <w:rFonts w:ascii="仿宋" w:hAnsi="仿宋" w:eastAsia="仿宋"/>
                <w:b/>
                <w:color w:val="auto"/>
                <w:sz w:val="24"/>
              </w:rPr>
            </w:pPr>
            <w:r>
              <w:rPr>
                <w:rFonts w:hint="eastAsia" w:ascii="仿宋" w:hAnsi="仿宋" w:eastAsia="仿宋"/>
                <w:color w:val="auto"/>
                <w:sz w:val="24"/>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12</w:t>
            </w:r>
          </w:p>
        </w:tc>
        <w:tc>
          <w:tcPr>
            <w:tcW w:w="25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投标形式</w:t>
            </w:r>
          </w:p>
        </w:tc>
        <w:tc>
          <w:tcPr>
            <w:tcW w:w="6261"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政采云平台提交</w:t>
            </w:r>
            <w:r>
              <w:rPr>
                <w:rFonts w:ascii="仿宋" w:hAnsi="仿宋" w:eastAsia="仿宋"/>
                <w:bCs/>
                <w:color w:val="auto"/>
                <w:sz w:val="24"/>
              </w:rPr>
              <w:t>电子</w:t>
            </w:r>
            <w:r>
              <w:rPr>
                <w:rFonts w:hint="eastAsia" w:ascii="仿宋" w:hAnsi="仿宋" w:eastAsia="仿宋"/>
                <w:bCs/>
                <w:color w:val="auto"/>
                <w:sz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13</w:t>
            </w:r>
          </w:p>
        </w:tc>
        <w:tc>
          <w:tcPr>
            <w:tcW w:w="2520" w:type="dxa"/>
            <w:vAlign w:val="center"/>
          </w:tcPr>
          <w:p>
            <w:pPr>
              <w:spacing w:line="300" w:lineRule="exact"/>
              <w:jc w:val="center"/>
              <w:rPr>
                <w:rFonts w:ascii="仿宋" w:hAnsi="仿宋" w:eastAsia="仿宋"/>
                <w:color w:val="auto"/>
                <w:sz w:val="24"/>
              </w:rPr>
            </w:pPr>
            <w:r>
              <w:rPr>
                <w:rFonts w:hint="eastAsia" w:ascii="仿宋" w:hAnsi="仿宋" w:eastAsia="仿宋"/>
                <w:color w:val="auto"/>
                <w:sz w:val="24"/>
              </w:rPr>
              <w:t>开标时间</w:t>
            </w:r>
          </w:p>
          <w:p>
            <w:pPr>
              <w:spacing w:line="300" w:lineRule="exact"/>
              <w:jc w:val="center"/>
              <w:rPr>
                <w:rFonts w:ascii="仿宋" w:hAnsi="仿宋" w:eastAsia="仿宋"/>
                <w:color w:val="auto"/>
                <w:sz w:val="24"/>
              </w:rPr>
            </w:pPr>
            <w:r>
              <w:rPr>
                <w:rFonts w:hint="eastAsia" w:ascii="仿宋" w:hAnsi="仿宋" w:eastAsia="仿宋"/>
                <w:color w:val="auto"/>
                <w:sz w:val="24"/>
              </w:rPr>
              <w:t>（投标截止时间）</w:t>
            </w:r>
          </w:p>
        </w:tc>
        <w:tc>
          <w:tcPr>
            <w:tcW w:w="6261" w:type="dxa"/>
            <w:vAlign w:val="center"/>
          </w:tcPr>
          <w:p>
            <w:pPr>
              <w:spacing w:line="300" w:lineRule="exact"/>
              <w:jc w:val="center"/>
              <w:rPr>
                <w:rFonts w:ascii="仿宋" w:hAnsi="仿宋" w:eastAsia="仿宋"/>
                <w:color w:val="auto"/>
                <w:sz w:val="24"/>
              </w:rPr>
            </w:pPr>
            <w:r>
              <w:rPr>
                <w:rFonts w:hint="eastAsia" w:ascii="仿宋" w:hAnsi="仿宋" w:eastAsia="仿宋" w:cs="宋体"/>
                <w:color w:val="auto"/>
                <w:sz w:val="24"/>
                <w:lang w:eastAsia="zh-CN"/>
              </w:rPr>
              <w:t>2023年</w:t>
            </w:r>
            <w:r>
              <w:rPr>
                <w:rFonts w:hint="eastAsia" w:ascii="仿宋" w:hAnsi="仿宋" w:eastAsia="仿宋" w:cs="宋体"/>
                <w:color w:val="auto"/>
                <w:sz w:val="24"/>
                <w:lang w:val="en-US" w:eastAsia="zh-CN"/>
              </w:rPr>
              <w:t>6</w:t>
            </w:r>
            <w:r>
              <w:rPr>
                <w:rFonts w:hint="eastAsia" w:ascii="仿宋" w:hAnsi="仿宋" w:eastAsia="仿宋" w:cs="宋体"/>
                <w:color w:val="auto"/>
                <w:sz w:val="24"/>
              </w:rPr>
              <w:t>月</w:t>
            </w:r>
            <w:r>
              <w:rPr>
                <w:rFonts w:hint="eastAsia" w:ascii="仿宋" w:hAnsi="仿宋" w:eastAsia="仿宋" w:cs="宋体"/>
                <w:color w:val="auto"/>
                <w:sz w:val="24"/>
                <w:lang w:val="en-US" w:eastAsia="zh-CN"/>
              </w:rPr>
              <w:t>9</w:t>
            </w:r>
            <w:r>
              <w:rPr>
                <w:rFonts w:hint="eastAsia" w:ascii="仿宋" w:hAnsi="仿宋" w:eastAsia="仿宋" w:cs="宋体"/>
                <w:color w:val="auto"/>
                <w:sz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14</w:t>
            </w:r>
          </w:p>
        </w:tc>
        <w:tc>
          <w:tcPr>
            <w:tcW w:w="2520" w:type="dxa"/>
            <w:vAlign w:val="center"/>
          </w:tcPr>
          <w:p>
            <w:pPr>
              <w:spacing w:line="300" w:lineRule="exact"/>
              <w:jc w:val="center"/>
              <w:rPr>
                <w:rFonts w:ascii="仿宋" w:hAnsi="仿宋" w:eastAsia="仿宋"/>
                <w:bCs/>
                <w:color w:val="auto"/>
                <w:sz w:val="24"/>
              </w:rPr>
            </w:pPr>
            <w:r>
              <w:rPr>
                <w:rFonts w:hint="eastAsia" w:ascii="仿宋" w:hAnsi="仿宋" w:eastAsia="仿宋"/>
                <w:color w:val="auto"/>
                <w:sz w:val="24"/>
              </w:rPr>
              <w:t>开标地点</w:t>
            </w:r>
          </w:p>
        </w:tc>
        <w:tc>
          <w:tcPr>
            <w:tcW w:w="6261" w:type="dxa"/>
            <w:vAlign w:val="center"/>
          </w:tcPr>
          <w:p>
            <w:pPr>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湖州市金盖山路66号市民服务中心2号楼2楼，</w:t>
            </w:r>
          </w:p>
          <w:p>
            <w:pPr>
              <w:spacing w:line="300" w:lineRule="exact"/>
              <w:jc w:val="center"/>
              <w:rPr>
                <w:rFonts w:ascii="仿宋" w:hAnsi="仿宋" w:eastAsia="仿宋"/>
                <w:color w:val="auto"/>
                <w:sz w:val="24"/>
              </w:rPr>
            </w:pPr>
            <w:r>
              <w:rPr>
                <w:rFonts w:hint="eastAsia" w:ascii="仿宋" w:hAnsi="仿宋" w:eastAsia="仿宋" w:cs="宋体"/>
                <w:color w:val="auto"/>
                <w:kern w:val="0"/>
                <w:sz w:val="24"/>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15</w:t>
            </w:r>
          </w:p>
        </w:tc>
        <w:tc>
          <w:tcPr>
            <w:tcW w:w="2520" w:type="dxa"/>
            <w:vAlign w:val="center"/>
          </w:tcPr>
          <w:p>
            <w:pPr>
              <w:spacing w:line="300" w:lineRule="exact"/>
              <w:jc w:val="center"/>
              <w:rPr>
                <w:rFonts w:hint="eastAsia" w:ascii="仿宋" w:hAnsi="仿宋" w:eastAsia="仿宋"/>
                <w:bCs/>
                <w:color w:val="auto"/>
                <w:sz w:val="24"/>
              </w:rPr>
            </w:pPr>
            <w:r>
              <w:rPr>
                <w:rFonts w:hint="eastAsia" w:ascii="仿宋" w:hAnsi="仿宋" w:eastAsia="仿宋"/>
                <w:bCs/>
                <w:color w:val="auto"/>
                <w:sz w:val="24"/>
              </w:rPr>
              <w:t>投标有效期</w:t>
            </w:r>
          </w:p>
        </w:tc>
        <w:tc>
          <w:tcPr>
            <w:tcW w:w="6261" w:type="dxa"/>
            <w:vAlign w:val="center"/>
          </w:tcPr>
          <w:p>
            <w:pPr>
              <w:spacing w:line="300" w:lineRule="exact"/>
              <w:jc w:val="center"/>
              <w:rPr>
                <w:rFonts w:hint="eastAsia" w:ascii="仿宋" w:hAnsi="仿宋" w:eastAsia="仿宋"/>
                <w:bCs/>
                <w:color w:val="auto"/>
                <w:sz w:val="24"/>
              </w:rPr>
            </w:pPr>
            <w:r>
              <w:rPr>
                <w:rFonts w:hint="eastAsia" w:ascii="仿宋" w:hAnsi="仿宋" w:eastAsia="仿宋"/>
                <w:bCs/>
                <w:color w:val="auto"/>
                <w:sz w:val="24"/>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16</w:t>
            </w:r>
          </w:p>
        </w:tc>
        <w:tc>
          <w:tcPr>
            <w:tcW w:w="2520" w:type="dxa"/>
            <w:vAlign w:val="center"/>
          </w:tcPr>
          <w:p>
            <w:pPr>
              <w:spacing w:line="300" w:lineRule="exact"/>
              <w:jc w:val="center"/>
              <w:rPr>
                <w:rFonts w:hint="eastAsia" w:ascii="仿宋" w:hAnsi="仿宋" w:eastAsia="仿宋"/>
                <w:bCs/>
                <w:color w:val="auto"/>
                <w:sz w:val="24"/>
              </w:rPr>
            </w:pPr>
            <w:r>
              <w:rPr>
                <w:rFonts w:hint="eastAsia" w:ascii="仿宋" w:hAnsi="仿宋" w:eastAsia="仿宋"/>
                <w:bCs/>
                <w:color w:val="auto"/>
                <w:sz w:val="24"/>
              </w:rPr>
              <w:t>质量保证期</w:t>
            </w:r>
          </w:p>
        </w:tc>
        <w:tc>
          <w:tcPr>
            <w:tcW w:w="6261" w:type="dxa"/>
            <w:vAlign w:val="center"/>
          </w:tcPr>
          <w:p>
            <w:pPr>
              <w:spacing w:line="300" w:lineRule="exact"/>
              <w:jc w:val="center"/>
              <w:rPr>
                <w:rFonts w:hint="eastAsia" w:ascii="仿宋" w:hAnsi="仿宋" w:eastAsia="仿宋"/>
                <w:bCs/>
                <w:color w:val="auto"/>
                <w:sz w:val="24"/>
                <w:lang w:val="en-US" w:eastAsia="zh-CN"/>
              </w:rPr>
            </w:pPr>
            <w:r>
              <w:rPr>
                <w:rFonts w:hint="eastAsia" w:ascii="仿宋" w:hAnsi="仿宋" w:eastAsia="仿宋"/>
                <w:bCs/>
                <w:color w:val="auto"/>
                <w:sz w:val="24"/>
              </w:rPr>
              <w:t>原厂三年保修三年上门服务。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17</w:t>
            </w:r>
          </w:p>
        </w:tc>
        <w:tc>
          <w:tcPr>
            <w:tcW w:w="2520" w:type="dxa"/>
            <w:vAlign w:val="center"/>
          </w:tcPr>
          <w:p>
            <w:pPr>
              <w:spacing w:line="30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履约保证金</w:t>
            </w:r>
          </w:p>
        </w:tc>
        <w:tc>
          <w:tcPr>
            <w:tcW w:w="6261" w:type="dxa"/>
            <w:vAlign w:val="center"/>
          </w:tcPr>
          <w:p>
            <w:pPr>
              <w:spacing w:line="300" w:lineRule="exact"/>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18</w:t>
            </w:r>
          </w:p>
        </w:tc>
        <w:tc>
          <w:tcPr>
            <w:tcW w:w="25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评标办法及标准</w:t>
            </w:r>
          </w:p>
        </w:tc>
        <w:tc>
          <w:tcPr>
            <w:tcW w:w="6261" w:type="dxa"/>
            <w:vAlign w:val="center"/>
          </w:tcPr>
          <w:p>
            <w:pPr>
              <w:spacing w:line="300" w:lineRule="exact"/>
              <w:jc w:val="center"/>
              <w:rPr>
                <w:rFonts w:hint="eastAsia" w:ascii="仿宋" w:hAnsi="仿宋" w:eastAsia="仿宋" w:cs="Times New Roman"/>
                <w:bCs/>
                <w:color w:val="auto"/>
                <w:sz w:val="24"/>
              </w:rPr>
            </w:pPr>
            <w:r>
              <w:rPr>
                <w:rFonts w:hint="eastAsia" w:ascii="仿宋" w:hAnsi="仿宋" w:eastAsia="仿宋" w:cs="Times New Roman"/>
                <w:bCs/>
                <w:color w:val="auto"/>
                <w:sz w:val="24"/>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vAlign w:val="center"/>
          </w:tcPr>
          <w:p>
            <w:pPr>
              <w:spacing w:line="300" w:lineRule="exact"/>
              <w:jc w:val="center"/>
              <w:rPr>
                <w:rFonts w:ascii="仿宋" w:hAnsi="仿宋" w:eastAsia="仿宋"/>
                <w:bCs/>
                <w:color w:val="auto"/>
                <w:sz w:val="24"/>
              </w:rPr>
            </w:pPr>
            <w:r>
              <w:rPr>
                <w:rFonts w:hint="eastAsia" w:ascii="仿宋" w:hAnsi="仿宋" w:eastAsia="仿宋"/>
                <w:bCs/>
                <w:color w:val="auto"/>
                <w:sz w:val="24"/>
              </w:rPr>
              <w:t>19</w:t>
            </w:r>
          </w:p>
        </w:tc>
        <w:tc>
          <w:tcPr>
            <w:tcW w:w="2520" w:type="dxa"/>
            <w:vAlign w:val="center"/>
          </w:tcPr>
          <w:p>
            <w:pPr>
              <w:spacing w:line="380" w:lineRule="exact"/>
              <w:jc w:val="center"/>
              <w:rPr>
                <w:rFonts w:ascii="仿宋" w:hAnsi="仿宋" w:eastAsia="仿宋"/>
                <w:bCs/>
                <w:color w:val="auto"/>
                <w:sz w:val="24"/>
              </w:rPr>
            </w:pPr>
            <w:r>
              <w:rPr>
                <w:rFonts w:hint="eastAsia" w:ascii="仿宋" w:hAnsi="仿宋" w:eastAsia="仿宋"/>
                <w:bCs/>
                <w:color w:val="auto"/>
                <w:sz w:val="24"/>
              </w:rPr>
              <w:t>采购人</w:t>
            </w:r>
          </w:p>
        </w:tc>
        <w:tc>
          <w:tcPr>
            <w:tcW w:w="6261" w:type="dxa"/>
            <w:vAlign w:val="center"/>
          </w:tcPr>
          <w:p>
            <w:pPr>
              <w:spacing w:line="300" w:lineRule="exact"/>
              <w:ind w:firstLine="480" w:firstLineChars="200"/>
              <w:jc w:val="center"/>
              <w:rPr>
                <w:rFonts w:hint="eastAsia" w:ascii="仿宋" w:hAnsi="仿宋" w:eastAsia="仿宋" w:cs="Times New Roman"/>
                <w:bCs/>
                <w:color w:val="auto"/>
                <w:sz w:val="24"/>
                <w:lang w:eastAsia="zh-CN"/>
              </w:rPr>
            </w:pPr>
            <w:r>
              <w:rPr>
                <w:rFonts w:hint="eastAsia" w:ascii="仿宋" w:hAnsi="仿宋" w:eastAsia="仿宋" w:cs="Times New Roman"/>
                <w:bCs/>
                <w:color w:val="auto"/>
                <w:sz w:val="24"/>
                <w:lang w:eastAsia="zh-CN"/>
              </w:rPr>
              <w:t>湖州市教育局</w:t>
            </w:r>
          </w:p>
          <w:p>
            <w:pPr>
              <w:spacing w:line="300" w:lineRule="exact"/>
              <w:jc w:val="center"/>
              <w:rPr>
                <w:rFonts w:hint="default" w:ascii="仿宋" w:hAnsi="仿宋" w:eastAsia="仿宋" w:cs="Times New Roman"/>
                <w:bCs/>
                <w:color w:val="auto"/>
                <w:sz w:val="24"/>
                <w:lang w:val="en-US"/>
              </w:rPr>
            </w:pPr>
            <w:r>
              <w:rPr>
                <w:rFonts w:hint="eastAsia" w:ascii="仿宋" w:hAnsi="仿宋" w:eastAsia="仿宋" w:cs="Times New Roman"/>
                <w:bCs/>
                <w:color w:val="auto"/>
                <w:sz w:val="24"/>
              </w:rPr>
              <w:t xml:space="preserve">联系人：施先生   联系方式：0572-2056716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vAlign w:val="center"/>
          </w:tcPr>
          <w:p>
            <w:pPr>
              <w:spacing w:line="300" w:lineRule="exact"/>
              <w:jc w:val="center"/>
              <w:rPr>
                <w:rFonts w:hint="eastAsia" w:ascii="仿宋" w:hAnsi="仿宋" w:eastAsia="仿宋"/>
                <w:bCs/>
                <w:color w:val="auto"/>
                <w:sz w:val="24"/>
                <w:lang w:eastAsia="zh-CN"/>
              </w:rPr>
            </w:pPr>
            <w:r>
              <w:rPr>
                <w:rFonts w:hint="eastAsia" w:ascii="仿宋" w:hAnsi="仿宋" w:eastAsia="仿宋"/>
                <w:bCs/>
                <w:color w:val="auto"/>
                <w:sz w:val="24"/>
              </w:rPr>
              <w:t>本招标文件的解释权属</w:t>
            </w:r>
            <w:r>
              <w:rPr>
                <w:rFonts w:hint="eastAsia" w:ascii="仿宋" w:hAnsi="仿宋" w:eastAsia="仿宋"/>
                <w:bCs/>
                <w:color w:val="auto"/>
                <w:sz w:val="24"/>
                <w:u w:val="none"/>
                <w:lang w:eastAsia="zh-CN"/>
              </w:rPr>
              <w:t>湖州市教育局、</w:t>
            </w:r>
            <w:r>
              <w:rPr>
                <w:rFonts w:hint="eastAsia" w:ascii="仿宋" w:hAnsi="仿宋" w:eastAsia="仿宋"/>
                <w:bCs/>
                <w:color w:val="auto"/>
                <w:sz w:val="24"/>
              </w:rPr>
              <w:t>湖州市政府采购中心</w:t>
            </w:r>
          </w:p>
        </w:tc>
      </w:tr>
    </w:tbl>
    <w:p>
      <w:pPr>
        <w:rPr>
          <w:color w:val="auto"/>
        </w:rPr>
      </w:pPr>
    </w:p>
    <w:p>
      <w:pPr>
        <w:rPr>
          <w:color w:val="auto"/>
        </w:rPr>
      </w:pPr>
    </w:p>
    <w:p>
      <w:pPr>
        <w:rPr>
          <w:color w:val="auto"/>
        </w:rPr>
      </w:pPr>
    </w:p>
    <w:p>
      <w:pPr>
        <w:rPr>
          <w:color w:val="auto"/>
        </w:rPr>
      </w:pPr>
    </w:p>
    <w:p>
      <w:pPr>
        <w:pStyle w:val="4"/>
        <w:spacing w:line="440" w:lineRule="exact"/>
        <w:jc w:val="center"/>
        <w:rPr>
          <w:rFonts w:ascii="仿宋" w:hAnsi="仿宋" w:eastAsia="仿宋"/>
          <w:color w:val="auto"/>
          <w:sz w:val="28"/>
          <w:szCs w:val="28"/>
        </w:rPr>
      </w:pPr>
      <w:bookmarkStart w:id="39" w:name="_Toc36454314"/>
      <w:r>
        <w:rPr>
          <w:rFonts w:hint="eastAsia" w:ascii="仿宋" w:hAnsi="仿宋" w:eastAsia="仿宋"/>
          <w:color w:val="auto"/>
          <w:sz w:val="28"/>
          <w:szCs w:val="28"/>
        </w:rPr>
        <w:t>一、总  则</w:t>
      </w:r>
      <w:bookmarkEnd w:id="39"/>
    </w:p>
    <w:p>
      <w:pPr>
        <w:spacing w:line="440" w:lineRule="exact"/>
        <w:rPr>
          <w:rFonts w:ascii="仿宋" w:hAnsi="仿宋" w:eastAsia="仿宋"/>
          <w:color w:val="auto"/>
          <w:sz w:val="28"/>
          <w:szCs w:val="28"/>
        </w:rPr>
      </w:pPr>
      <w:r>
        <w:rPr>
          <w:rFonts w:hint="eastAsia" w:ascii="仿宋" w:hAnsi="仿宋" w:eastAsia="仿宋"/>
          <w:b/>
          <w:color w:val="auto"/>
          <w:sz w:val="28"/>
          <w:szCs w:val="28"/>
        </w:rPr>
        <w:t>1. 适用范围</w:t>
      </w:r>
      <w:r>
        <w:rPr>
          <w:rFonts w:hint="eastAsia" w:ascii="仿宋" w:hAnsi="仿宋" w:eastAsia="仿宋"/>
          <w:color w:val="auto"/>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采购人、项目名称、编号及相关内容见投标人须知前附表。</w:t>
      </w:r>
      <w:bookmarkStart w:id="40" w:name="_Toc495916957"/>
    </w:p>
    <w:p>
      <w:pPr>
        <w:spacing w:line="440" w:lineRule="exact"/>
        <w:rPr>
          <w:rFonts w:ascii="仿宋" w:hAnsi="仿宋" w:eastAsia="仿宋"/>
          <w:b/>
          <w:color w:val="auto"/>
          <w:sz w:val="28"/>
          <w:szCs w:val="28"/>
        </w:rPr>
      </w:pPr>
      <w:r>
        <w:rPr>
          <w:rFonts w:hint="eastAsia" w:ascii="仿宋" w:hAnsi="仿宋" w:eastAsia="仿宋"/>
          <w:b/>
          <w:color w:val="auto"/>
          <w:sz w:val="28"/>
          <w:szCs w:val="28"/>
        </w:rPr>
        <w:t>2、定义</w:t>
      </w:r>
      <w:bookmarkEnd w:id="40"/>
      <w:r>
        <w:rPr>
          <w:rFonts w:hint="eastAsia" w:ascii="仿宋" w:hAnsi="仿宋" w:eastAsia="仿宋"/>
          <w:b/>
          <w:color w:val="auto"/>
          <w:sz w:val="28"/>
          <w:szCs w:val="28"/>
        </w:rPr>
        <w:t xml:space="preserve"> </w:t>
      </w:r>
    </w:p>
    <w:p>
      <w:pPr>
        <w:snapToGrid w:val="0"/>
        <w:spacing w:line="460" w:lineRule="exact"/>
        <w:ind w:firstLine="420" w:firstLineChars="150"/>
        <w:rPr>
          <w:rFonts w:ascii="仿宋" w:hAnsi="仿宋" w:eastAsia="仿宋" w:cs="Arial"/>
          <w:color w:val="auto"/>
          <w:sz w:val="28"/>
          <w:szCs w:val="28"/>
        </w:rPr>
      </w:pPr>
      <w:r>
        <w:rPr>
          <w:rFonts w:hint="eastAsia" w:ascii="仿宋" w:hAnsi="仿宋" w:eastAsia="仿宋" w:cs="Arial"/>
          <w:color w:val="auto"/>
          <w:sz w:val="28"/>
          <w:szCs w:val="28"/>
        </w:rPr>
        <w:t>(1)、“集中采购机构”系指组织本项目采购的湖州市政府采购中心。</w:t>
      </w:r>
    </w:p>
    <w:p>
      <w:pPr>
        <w:snapToGrid w:val="0"/>
        <w:spacing w:line="460" w:lineRule="exact"/>
        <w:ind w:firstLine="420" w:firstLineChars="150"/>
        <w:rPr>
          <w:rFonts w:ascii="仿宋" w:hAnsi="仿宋" w:eastAsia="仿宋" w:cs="Arial"/>
          <w:color w:val="auto"/>
          <w:sz w:val="28"/>
          <w:szCs w:val="28"/>
        </w:rPr>
      </w:pPr>
      <w:r>
        <w:rPr>
          <w:rFonts w:hint="eastAsia" w:ascii="仿宋" w:hAnsi="仿宋" w:eastAsia="仿宋" w:cs="Arial"/>
          <w:color w:val="auto"/>
          <w:sz w:val="28"/>
          <w:szCs w:val="28"/>
        </w:rPr>
        <w:t>(2)、“投标人”系指提交投标文件的单位。</w:t>
      </w:r>
    </w:p>
    <w:p>
      <w:pPr>
        <w:snapToGrid w:val="0"/>
        <w:spacing w:line="460" w:lineRule="exact"/>
        <w:ind w:firstLine="420" w:firstLineChars="150"/>
        <w:rPr>
          <w:rFonts w:ascii="仿宋" w:hAnsi="仿宋" w:eastAsia="仿宋" w:cs="Arial"/>
          <w:color w:val="auto"/>
          <w:sz w:val="28"/>
          <w:szCs w:val="28"/>
        </w:rPr>
      </w:pPr>
      <w:r>
        <w:rPr>
          <w:rFonts w:hint="eastAsia" w:ascii="仿宋" w:hAnsi="仿宋" w:eastAsia="仿宋" w:cs="Arial"/>
          <w:color w:val="auto"/>
          <w:sz w:val="28"/>
          <w:szCs w:val="28"/>
        </w:rPr>
        <w:t>(3)、“采购人” 系指委托集中采购机构采购本次货物、服务项目的国家机关、事业单位和团体组织。</w:t>
      </w:r>
    </w:p>
    <w:p>
      <w:pPr>
        <w:spacing w:line="400" w:lineRule="exact"/>
        <w:ind w:firstLine="560" w:firstLineChars="200"/>
        <w:rPr>
          <w:rFonts w:ascii="仿宋" w:hAnsi="仿宋" w:eastAsia="仿宋"/>
          <w:b/>
          <w:bCs/>
          <w:color w:val="auto"/>
          <w:sz w:val="28"/>
          <w:szCs w:val="28"/>
        </w:rPr>
      </w:pPr>
      <w:r>
        <w:rPr>
          <w:rFonts w:hint="eastAsia" w:ascii="仿宋" w:hAnsi="仿宋" w:eastAsia="仿宋"/>
          <w:b/>
          <w:bCs/>
          <w:color w:val="auto"/>
          <w:sz w:val="28"/>
          <w:szCs w:val="28"/>
        </w:rPr>
        <w:t>3.采购预算：</w:t>
      </w:r>
    </w:p>
    <w:p>
      <w:pPr>
        <w:spacing w:line="4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第一标项：办公计算机</w:t>
      </w:r>
      <w:r>
        <w:rPr>
          <w:rFonts w:hint="eastAsia" w:ascii="仿宋" w:hAnsi="仿宋" w:eastAsia="仿宋"/>
          <w:color w:val="auto"/>
          <w:sz w:val="28"/>
          <w:szCs w:val="28"/>
          <w:lang w:eastAsia="zh-CN"/>
        </w:rPr>
        <w:t>等设备</w:t>
      </w:r>
      <w:r>
        <w:rPr>
          <w:rFonts w:hint="eastAsia" w:ascii="仿宋" w:hAnsi="仿宋" w:eastAsia="仿宋"/>
          <w:color w:val="auto"/>
          <w:sz w:val="28"/>
          <w:szCs w:val="28"/>
        </w:rPr>
        <w:t>【2023】7595号</w:t>
      </w:r>
    </w:p>
    <w:p>
      <w:pPr>
        <w:spacing w:line="4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预算金额：人民币260万元</w:t>
      </w:r>
    </w:p>
    <w:p>
      <w:pPr>
        <w:spacing w:line="4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第二标项：多媒体设备</w:t>
      </w:r>
      <w:r>
        <w:rPr>
          <w:rFonts w:hint="eastAsia" w:ascii="仿宋" w:hAnsi="仿宋" w:eastAsia="仿宋"/>
          <w:color w:val="auto"/>
          <w:sz w:val="28"/>
          <w:szCs w:val="28"/>
          <w:lang w:eastAsia="zh-CN"/>
        </w:rPr>
        <w:t>等设备</w:t>
      </w:r>
      <w:r>
        <w:rPr>
          <w:rFonts w:hint="eastAsia" w:ascii="仿宋" w:hAnsi="仿宋" w:eastAsia="仿宋"/>
          <w:color w:val="auto"/>
          <w:sz w:val="28"/>
          <w:szCs w:val="28"/>
        </w:rPr>
        <w:t>【2023】7596号</w:t>
      </w:r>
    </w:p>
    <w:p>
      <w:pPr>
        <w:spacing w:line="4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预算金额：人民币295万元</w:t>
      </w:r>
    </w:p>
    <w:p>
      <w:pPr>
        <w:spacing w:line="400" w:lineRule="exact"/>
        <w:ind w:firstLine="560" w:firstLineChars="200"/>
        <w:rPr>
          <w:rFonts w:ascii="仿宋" w:hAnsi="仿宋" w:eastAsia="仿宋" w:cs="宋体"/>
          <w:color w:val="auto"/>
          <w:sz w:val="28"/>
          <w:szCs w:val="28"/>
        </w:rPr>
      </w:pPr>
      <w:r>
        <w:rPr>
          <w:rFonts w:hint="eastAsia" w:ascii="仿宋" w:hAnsi="仿宋" w:eastAsia="仿宋"/>
          <w:color w:val="auto"/>
          <w:sz w:val="28"/>
          <w:szCs w:val="28"/>
        </w:rPr>
        <w:t xml:space="preserve">采购人用于采购本项目的资金已得到政府有关部门的批准，其资金来源已落实。         </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4.采购方式 ：公开招标</w:t>
      </w:r>
    </w:p>
    <w:p>
      <w:pPr>
        <w:spacing w:line="440" w:lineRule="exact"/>
        <w:rPr>
          <w:rFonts w:ascii="仿宋" w:hAnsi="仿宋" w:eastAsia="仿宋"/>
          <w:b/>
          <w:color w:val="auto"/>
          <w:sz w:val="28"/>
          <w:szCs w:val="28"/>
        </w:rPr>
      </w:pPr>
      <w:r>
        <w:rPr>
          <w:rFonts w:hint="eastAsia" w:ascii="仿宋" w:hAnsi="仿宋" w:eastAsia="仿宋"/>
          <w:b/>
          <w:color w:val="auto"/>
          <w:sz w:val="28"/>
          <w:szCs w:val="28"/>
        </w:rPr>
        <w:t>5.投标人的资格条件</w:t>
      </w:r>
    </w:p>
    <w:p>
      <w:pPr>
        <w:snapToGrid w:val="0"/>
        <w:spacing w:line="460" w:lineRule="exact"/>
        <w:ind w:firstLine="420" w:firstLineChars="150"/>
        <w:rPr>
          <w:rFonts w:hint="eastAsia" w:ascii="仿宋" w:hAnsi="仿宋" w:eastAsia="仿宋" w:cs="Arial"/>
          <w:color w:val="auto"/>
          <w:sz w:val="28"/>
          <w:szCs w:val="28"/>
          <w:lang w:eastAsia="zh-CN"/>
        </w:rPr>
      </w:pPr>
      <w:r>
        <w:rPr>
          <w:rFonts w:hint="eastAsia" w:ascii="仿宋" w:hAnsi="仿宋" w:eastAsia="仿宋" w:cs="Arial"/>
          <w:bCs/>
          <w:color w:val="auto"/>
          <w:sz w:val="28"/>
          <w:szCs w:val="28"/>
        </w:rPr>
        <w:t>5.1</w:t>
      </w:r>
      <w:r>
        <w:rPr>
          <w:rFonts w:hint="eastAsia" w:ascii="仿宋" w:hAnsi="仿宋" w:eastAsia="仿宋" w:cs="Arial"/>
          <w:color w:val="auto"/>
          <w:sz w:val="28"/>
          <w:szCs w:val="28"/>
        </w:rPr>
        <w:t>符合《中华人民共和国政府采购法》第二十二条</w:t>
      </w:r>
      <w:r>
        <w:rPr>
          <w:rFonts w:hint="eastAsia" w:ascii="仿宋" w:hAnsi="仿宋" w:eastAsia="仿宋" w:cs="Arial"/>
          <w:bCs/>
          <w:color w:val="auto"/>
          <w:sz w:val="28"/>
          <w:szCs w:val="28"/>
        </w:rPr>
        <w:t>和《关于规范政府采购供应商资格设定及资格审查的通知》（浙财采监[2013]24号）第六条规定，</w:t>
      </w:r>
      <w:r>
        <w:rPr>
          <w:rFonts w:hint="eastAsia" w:ascii="仿宋" w:hAnsi="仿宋" w:eastAsia="仿宋" w:cs="Arial"/>
          <w:color w:val="auto"/>
          <w:sz w:val="28"/>
          <w:szCs w:val="28"/>
        </w:rPr>
        <w:t>且未被“信用中国”（www.creditchina.gov.cn）、中国政府采购网（www.ccgp.gov.cn）列入失信被执行人、重大税收违法案件当事人名单、政府采购严重违法失信行为记录名单</w:t>
      </w:r>
      <w:r>
        <w:rPr>
          <w:rFonts w:hint="eastAsia" w:ascii="仿宋" w:hAnsi="仿宋" w:eastAsia="仿宋" w:cs="Arial"/>
          <w:color w:val="auto"/>
          <w:sz w:val="28"/>
          <w:szCs w:val="28"/>
          <w:lang w:eastAsia="zh-CN"/>
        </w:rPr>
        <w:t>；</w:t>
      </w:r>
    </w:p>
    <w:p>
      <w:pPr>
        <w:spacing w:line="4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5.2第一标项投标产品中学生计算机、教师计算机及便携式计算机必为节能产品；</w:t>
      </w:r>
    </w:p>
    <w:p>
      <w:pPr>
        <w:spacing w:line="400" w:lineRule="exact"/>
        <w:ind w:firstLine="560" w:firstLineChars="200"/>
        <w:rPr>
          <w:rFonts w:hint="eastAsia" w:eastAsia="仿宋"/>
          <w:color w:val="auto"/>
          <w:lang w:eastAsia="zh-CN"/>
        </w:rPr>
      </w:pPr>
      <w:r>
        <w:rPr>
          <w:rFonts w:hint="eastAsia" w:ascii="仿宋" w:hAnsi="仿宋" w:eastAsia="仿宋"/>
          <w:color w:val="auto"/>
          <w:sz w:val="28"/>
          <w:szCs w:val="28"/>
          <w:lang w:val="en-US" w:eastAsia="zh-CN"/>
        </w:rPr>
        <w:t>5.3</w:t>
      </w:r>
      <w:r>
        <w:rPr>
          <w:rFonts w:hint="eastAsia" w:ascii="仿宋" w:hAnsi="仿宋" w:eastAsia="仿宋"/>
          <w:color w:val="auto"/>
          <w:sz w:val="28"/>
          <w:szCs w:val="28"/>
        </w:rPr>
        <w:t>落实政府采购政策需满足的资格要求：</w:t>
      </w:r>
      <w:r>
        <w:rPr>
          <w:rFonts w:hint="eastAsia" w:ascii="仿宋" w:hAnsi="仿宋" w:eastAsia="仿宋"/>
          <w:color w:val="auto"/>
          <w:sz w:val="28"/>
          <w:szCs w:val="28"/>
          <w:lang w:eastAsia="zh-CN"/>
        </w:rPr>
        <w:t>无。</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6.投标费用</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投标人应承担其编制投标文件和提交投标文件所涉及的一切费用。不论投标结果如何，集中采购机构对上述费用不负任何责任。</w:t>
      </w:r>
    </w:p>
    <w:p>
      <w:pPr>
        <w:pStyle w:val="4"/>
        <w:spacing w:line="440" w:lineRule="exact"/>
        <w:jc w:val="center"/>
        <w:rPr>
          <w:rFonts w:ascii="仿宋" w:hAnsi="仿宋" w:eastAsia="仿宋"/>
          <w:bCs w:val="0"/>
          <w:color w:val="auto"/>
          <w:sz w:val="28"/>
          <w:szCs w:val="28"/>
        </w:rPr>
      </w:pPr>
      <w:bookmarkStart w:id="41" w:name="_Toc36454315"/>
      <w:r>
        <w:rPr>
          <w:rFonts w:hint="eastAsia" w:ascii="仿宋" w:hAnsi="仿宋" w:eastAsia="仿宋"/>
          <w:bCs w:val="0"/>
          <w:color w:val="auto"/>
          <w:sz w:val="28"/>
          <w:szCs w:val="28"/>
        </w:rPr>
        <w:t>二、招标文件的说明</w:t>
      </w:r>
      <w:bookmarkEnd w:id="41"/>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7.招标文件的组成</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7.1招标文件包括以下内容</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第一章 投标人须知</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第二章 </w:t>
      </w:r>
      <w:r>
        <w:rPr>
          <w:rFonts w:hint="eastAsia" w:ascii="仿宋" w:hAnsi="仿宋" w:eastAsia="仿宋"/>
          <w:bCs/>
          <w:color w:val="auto"/>
          <w:sz w:val="28"/>
          <w:szCs w:val="28"/>
        </w:rPr>
        <w:t>招标项目内容、数量、规格和技术要求</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第三章 合同主要条款</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第四章 投标文件格式</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第五章 评标办法及标准</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hAnsi="仿宋" w:eastAsia="仿宋"/>
          <w:color w:val="auto"/>
          <w:sz w:val="28"/>
          <w:szCs w:val="28"/>
        </w:rPr>
        <w:t>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8.招标文件答疑</w:t>
      </w:r>
    </w:p>
    <w:p>
      <w:pPr>
        <w:spacing w:line="440" w:lineRule="exact"/>
        <w:ind w:firstLine="600"/>
        <w:rPr>
          <w:rFonts w:ascii="仿宋" w:hAnsi="仿宋" w:eastAsia="仿宋"/>
          <w:color w:val="auto"/>
          <w:sz w:val="28"/>
          <w:szCs w:val="28"/>
        </w:rPr>
      </w:pPr>
      <w:r>
        <w:rPr>
          <w:rFonts w:hint="eastAsia" w:ascii="仿宋" w:hAnsi="仿宋" w:eastAsia="仿宋" w:cs="宋体"/>
          <w:color w:val="auto"/>
          <w:sz w:val="28"/>
        </w:rPr>
        <w:t>投标人对招标文件有异议的，应当在</w:t>
      </w:r>
      <w:r>
        <w:rPr>
          <w:rFonts w:hint="eastAsia" w:ascii="仿宋" w:hAnsi="仿宋" w:eastAsia="仿宋" w:cs="宋体"/>
          <w:b/>
          <w:color w:val="auto"/>
          <w:sz w:val="28"/>
        </w:rPr>
        <w:t>招标</w:t>
      </w:r>
      <w:r>
        <w:rPr>
          <w:rFonts w:hint="eastAsia" w:ascii="仿宋" w:hAnsi="仿宋" w:eastAsia="仿宋" w:cs="宋体"/>
          <w:b/>
          <w:color w:val="auto"/>
          <w:sz w:val="28"/>
          <w:szCs w:val="28"/>
        </w:rPr>
        <w:t>公告中规定的时间</w:t>
      </w:r>
      <w:r>
        <w:rPr>
          <w:rFonts w:hint="eastAsia" w:ascii="仿宋" w:hAnsi="仿宋" w:eastAsia="仿宋" w:cs="宋体"/>
          <w:color w:val="auto"/>
          <w:sz w:val="28"/>
        </w:rPr>
        <w:t>以书面（含传真、电邮）形式向集中采购机构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hint="eastAsia" w:ascii="仿宋" w:hAnsi="仿宋" w:eastAsia="仿宋" w:cs="宋体"/>
          <w:b/>
          <w:color w:val="auto"/>
          <w:sz w:val="28"/>
        </w:rPr>
        <w:t>逾期提出集中采购机构将不予受理。</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9.招标文件的澄清、修改</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9.2采购人和集中采购机构可以视采购具体情况，延长投标截止时间和开标时间，并将变更时间书面通知所有招标文件收受人，并在财政部门指定的政府采购信息发布媒体上发布变更公告。</w:t>
      </w:r>
    </w:p>
    <w:p>
      <w:pPr>
        <w:pStyle w:val="4"/>
        <w:spacing w:line="440" w:lineRule="exact"/>
        <w:jc w:val="center"/>
        <w:rPr>
          <w:rFonts w:ascii="仿宋" w:hAnsi="仿宋" w:eastAsia="仿宋"/>
          <w:bCs w:val="0"/>
          <w:color w:val="auto"/>
          <w:sz w:val="28"/>
          <w:szCs w:val="28"/>
        </w:rPr>
      </w:pPr>
      <w:bookmarkStart w:id="42" w:name="_Toc36454316"/>
      <w:r>
        <w:rPr>
          <w:rFonts w:hint="eastAsia" w:ascii="仿宋" w:hAnsi="仿宋" w:eastAsia="仿宋"/>
          <w:bCs w:val="0"/>
          <w:color w:val="auto"/>
          <w:sz w:val="28"/>
          <w:szCs w:val="28"/>
        </w:rPr>
        <w:t>三、投标文件的编制</w:t>
      </w:r>
      <w:bookmarkEnd w:id="42"/>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10.投标文件的语言及度量衡单位</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b/>
          <w:bCs/>
          <w:color w:val="auto"/>
          <w:sz w:val="28"/>
          <w:szCs w:val="28"/>
        </w:rPr>
      </w:pPr>
      <w:r>
        <w:rPr>
          <w:rFonts w:hint="eastAsia" w:ascii="仿宋" w:hAnsi="仿宋" w:eastAsia="仿宋"/>
          <w:color w:val="auto"/>
          <w:sz w:val="28"/>
          <w:szCs w:val="28"/>
        </w:rPr>
        <w:t>10.2除技术规范中另有规定外，投标文件所使用的度量衡单位，均采用我国法定计量单位。</w:t>
      </w:r>
    </w:p>
    <w:p>
      <w:pPr>
        <w:snapToGrid w:val="0"/>
        <w:spacing w:line="460" w:lineRule="exact"/>
        <w:jc w:val="left"/>
        <w:rPr>
          <w:rFonts w:ascii="仿宋" w:hAnsi="仿宋" w:eastAsia="仿宋"/>
          <w:b/>
          <w:bCs/>
          <w:color w:val="auto"/>
          <w:sz w:val="28"/>
          <w:szCs w:val="28"/>
        </w:rPr>
      </w:pPr>
      <w:r>
        <w:rPr>
          <w:rFonts w:hint="eastAsia" w:ascii="仿宋" w:hAnsi="仿宋" w:eastAsia="仿宋"/>
          <w:b/>
          <w:color w:val="auto"/>
          <w:sz w:val="28"/>
          <w:szCs w:val="28"/>
        </w:rPr>
        <w:t>11.</w:t>
      </w:r>
      <w:r>
        <w:rPr>
          <w:rFonts w:hint="eastAsia" w:ascii="仿宋" w:hAnsi="仿宋" w:eastAsia="仿宋"/>
          <w:b/>
          <w:bCs/>
          <w:color w:val="auto"/>
          <w:sz w:val="28"/>
          <w:szCs w:val="28"/>
        </w:rPr>
        <w:t>投标文件的形式与效力</w:t>
      </w:r>
    </w:p>
    <w:p>
      <w:pPr>
        <w:snapToGrid w:val="0"/>
        <w:spacing w:line="460" w:lineRule="exact"/>
        <w:ind w:firstLine="560" w:firstLineChars="200"/>
        <w:jc w:val="left"/>
        <w:rPr>
          <w:rFonts w:ascii="仿宋" w:hAnsi="仿宋" w:eastAsia="仿宋"/>
          <w:bCs/>
          <w:color w:val="auto"/>
          <w:sz w:val="28"/>
          <w:szCs w:val="28"/>
        </w:rPr>
      </w:pPr>
      <w:r>
        <w:rPr>
          <w:rFonts w:hint="eastAsia" w:ascii="仿宋" w:hAnsi="仿宋" w:eastAsia="仿宋"/>
          <w:bCs/>
          <w:color w:val="auto"/>
          <w:sz w:val="28"/>
          <w:szCs w:val="28"/>
        </w:rPr>
        <w:t>11.1供应商应准备电子投标文件，按政采云平台“</w:t>
      </w:r>
      <w:r>
        <w:rPr>
          <w:rFonts w:ascii="仿宋" w:hAnsi="仿宋" w:eastAsia="仿宋"/>
          <w:bCs/>
          <w:color w:val="auto"/>
          <w:sz w:val="28"/>
          <w:szCs w:val="28"/>
        </w:rPr>
        <w:t>政府采购项目电子交易管理操作</w:t>
      </w:r>
      <w:r>
        <w:rPr>
          <w:rFonts w:hint="eastAsia" w:ascii="仿宋" w:hAnsi="仿宋" w:eastAsia="仿宋"/>
          <w:bCs/>
          <w:color w:val="auto"/>
          <w:sz w:val="28"/>
          <w:szCs w:val="28"/>
        </w:rPr>
        <w:t>视频</w:t>
      </w:r>
      <w:r>
        <w:rPr>
          <w:rFonts w:ascii="仿宋" w:hAnsi="仿宋" w:eastAsia="仿宋"/>
          <w:bCs/>
          <w:color w:val="auto"/>
          <w:sz w:val="28"/>
          <w:szCs w:val="28"/>
        </w:rPr>
        <w:t>-供应商</w:t>
      </w:r>
      <w:r>
        <w:rPr>
          <w:rFonts w:hint="eastAsia" w:ascii="仿宋" w:hAnsi="仿宋" w:eastAsia="仿宋"/>
          <w:bCs/>
          <w:color w:val="auto"/>
          <w:sz w:val="28"/>
          <w:szCs w:val="28"/>
        </w:rPr>
        <w:t>”及本项目招标文件要求提交；</w:t>
      </w:r>
    </w:p>
    <w:p>
      <w:pPr>
        <w:snapToGrid w:val="0"/>
        <w:spacing w:line="460" w:lineRule="exact"/>
        <w:ind w:firstLine="560" w:firstLineChars="200"/>
        <w:rPr>
          <w:rFonts w:ascii="仿宋" w:hAnsi="仿宋" w:eastAsia="仿宋" w:cs="宋体"/>
          <w:color w:val="auto"/>
          <w:kern w:val="0"/>
          <w:sz w:val="28"/>
          <w:szCs w:val="28"/>
        </w:rPr>
      </w:pPr>
      <w:r>
        <w:rPr>
          <w:rFonts w:hint="eastAsia" w:ascii="仿宋" w:hAnsi="仿宋" w:eastAsia="仿宋"/>
          <w:bCs/>
          <w:color w:val="auto"/>
          <w:sz w:val="28"/>
          <w:szCs w:val="28"/>
        </w:rPr>
        <w:t>11.2</w:t>
      </w:r>
      <w:r>
        <w:rPr>
          <w:rFonts w:ascii="仿宋" w:hAnsi="仿宋" w:eastAsia="仿宋" w:cs="宋体"/>
          <w:color w:val="auto"/>
          <w:kern w:val="0"/>
          <w:sz w:val="28"/>
          <w:szCs w:val="28"/>
        </w:rPr>
        <w:t>投标</w:t>
      </w:r>
      <w:r>
        <w:rPr>
          <w:rFonts w:hint="eastAsia" w:ascii="仿宋" w:hAnsi="仿宋" w:eastAsia="仿宋" w:cs="宋体"/>
          <w:color w:val="auto"/>
          <w:kern w:val="0"/>
          <w:sz w:val="28"/>
          <w:szCs w:val="28"/>
        </w:rPr>
        <w:t>人</w:t>
      </w:r>
      <w:r>
        <w:rPr>
          <w:rFonts w:ascii="仿宋" w:hAnsi="仿宋" w:eastAsia="仿宋" w:cs="宋体"/>
          <w:color w:val="auto"/>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bCs/>
          <w:color w:val="auto"/>
          <w:sz w:val="28"/>
          <w:szCs w:val="28"/>
        </w:rPr>
      </w:pPr>
      <w:r>
        <w:rPr>
          <w:rFonts w:ascii="仿宋" w:hAnsi="仿宋" w:eastAsia="仿宋" w:cs="宋体"/>
          <w:color w:val="auto"/>
          <w:kern w:val="0"/>
          <w:sz w:val="28"/>
          <w:szCs w:val="28"/>
        </w:rPr>
        <w:t>通过政府采购云平台成功上传递交的电子加密</w:t>
      </w:r>
      <w:r>
        <w:rPr>
          <w:rFonts w:hint="eastAsia" w:ascii="仿宋" w:hAnsi="仿宋" w:eastAsia="仿宋" w:cs="宋体"/>
          <w:color w:val="auto"/>
          <w:kern w:val="0"/>
          <w:sz w:val="28"/>
          <w:szCs w:val="28"/>
        </w:rPr>
        <w:t>投标</w:t>
      </w:r>
      <w:r>
        <w:rPr>
          <w:rFonts w:ascii="仿宋" w:hAnsi="仿宋" w:eastAsia="仿宋" w:cs="宋体"/>
          <w:color w:val="auto"/>
          <w:kern w:val="0"/>
          <w:sz w:val="28"/>
          <w:szCs w:val="28"/>
        </w:rPr>
        <w:t>文件已按时解密的，备份</w:t>
      </w:r>
      <w:r>
        <w:rPr>
          <w:rFonts w:hint="eastAsia" w:ascii="仿宋" w:hAnsi="仿宋" w:eastAsia="仿宋" w:cs="宋体"/>
          <w:color w:val="auto"/>
          <w:kern w:val="0"/>
          <w:sz w:val="28"/>
          <w:szCs w:val="28"/>
        </w:rPr>
        <w:t>投标</w:t>
      </w:r>
      <w:r>
        <w:rPr>
          <w:rFonts w:ascii="仿宋" w:hAnsi="仿宋" w:eastAsia="仿宋" w:cs="宋体"/>
          <w:color w:val="auto"/>
          <w:kern w:val="0"/>
          <w:sz w:val="28"/>
          <w:szCs w:val="28"/>
        </w:rPr>
        <w:t>文件自动失效</w:t>
      </w:r>
      <w:r>
        <w:rPr>
          <w:rFonts w:hint="eastAsia" w:ascii="仿宋" w:hAnsi="仿宋" w:eastAsia="仿宋" w:cs="宋体"/>
          <w:color w:val="auto"/>
          <w:kern w:val="0"/>
          <w:sz w:val="28"/>
          <w:szCs w:val="28"/>
        </w:rPr>
        <w:t>；</w:t>
      </w:r>
      <w:r>
        <w:rPr>
          <w:rFonts w:hint="eastAsia" w:ascii="仿宋" w:hAnsi="仿宋" w:eastAsia="仿宋"/>
          <w:bCs/>
          <w:color w:val="auto"/>
          <w:sz w:val="28"/>
          <w:szCs w:val="28"/>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bCs/>
          <w:color w:val="auto"/>
          <w:sz w:val="28"/>
          <w:szCs w:val="28"/>
        </w:rPr>
      </w:pPr>
      <w:r>
        <w:rPr>
          <w:rFonts w:ascii="仿宋" w:hAnsi="仿宋" w:eastAsia="仿宋"/>
          <w:bCs/>
          <w:color w:val="auto"/>
          <w:sz w:val="28"/>
          <w:szCs w:val="28"/>
        </w:rPr>
        <w:t>投标截止时间前，投标供应商仅递交了“备份投标文件”而未将“电子加密投标文件”成功上传至“政府采购云平台”的，投标无效。</w:t>
      </w:r>
    </w:p>
    <w:p>
      <w:pPr>
        <w:spacing w:line="440" w:lineRule="exact"/>
        <w:rPr>
          <w:rFonts w:ascii="仿宋" w:hAnsi="仿宋" w:eastAsia="仿宋"/>
          <w:b/>
          <w:color w:val="auto"/>
          <w:sz w:val="28"/>
          <w:szCs w:val="28"/>
        </w:rPr>
      </w:pPr>
      <w:r>
        <w:rPr>
          <w:rFonts w:hint="eastAsia" w:ascii="仿宋" w:hAnsi="仿宋" w:eastAsia="仿宋"/>
          <w:b/>
          <w:color w:val="auto"/>
          <w:sz w:val="28"/>
          <w:szCs w:val="28"/>
        </w:rPr>
        <w:t>12.电子投标文件的组成</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b/>
          <w:color w:val="auto"/>
          <w:sz w:val="28"/>
          <w:szCs w:val="28"/>
        </w:rPr>
        <w:t>电子投标文件中所盖公章均采用CA签章</w:t>
      </w:r>
      <w:r>
        <w:rPr>
          <w:rFonts w:hint="eastAsia" w:ascii="仿宋" w:hAnsi="仿宋" w:eastAsia="仿宋"/>
          <w:color w:val="auto"/>
          <w:sz w:val="28"/>
          <w:szCs w:val="28"/>
        </w:rPr>
        <w:t>）。</w:t>
      </w:r>
    </w:p>
    <w:p>
      <w:pPr>
        <w:spacing w:line="440" w:lineRule="exact"/>
        <w:rPr>
          <w:rFonts w:ascii="仿宋" w:hAnsi="仿宋" w:eastAsia="仿宋"/>
          <w:b/>
          <w:color w:val="auto"/>
          <w:sz w:val="28"/>
          <w:szCs w:val="28"/>
        </w:rPr>
      </w:pPr>
      <w:r>
        <w:rPr>
          <w:rFonts w:hint="eastAsia" w:ascii="仿宋" w:hAnsi="仿宋" w:eastAsia="仿宋"/>
          <w:color w:val="auto"/>
          <w:sz w:val="28"/>
          <w:szCs w:val="28"/>
        </w:rPr>
        <w:t xml:space="preserve">    </w:t>
      </w:r>
      <w:r>
        <w:rPr>
          <w:rFonts w:hint="eastAsia" w:ascii="仿宋" w:hAnsi="仿宋" w:eastAsia="仿宋"/>
          <w:b/>
          <w:color w:val="auto"/>
          <w:sz w:val="28"/>
          <w:szCs w:val="28"/>
        </w:rPr>
        <w:t>12.1资格部分</w:t>
      </w:r>
      <w:r>
        <w:rPr>
          <w:rFonts w:hint="eastAsia" w:ascii="仿宋" w:hAnsi="仿宋" w:eastAsia="仿宋"/>
          <w:b/>
          <w:bCs/>
          <w:color w:val="auto"/>
          <w:sz w:val="28"/>
          <w:szCs w:val="28"/>
        </w:rPr>
        <w:t>包括下列内容：</w:t>
      </w:r>
    </w:p>
    <w:p>
      <w:pPr>
        <w:snapToGrid w:val="0"/>
        <w:spacing w:line="460" w:lineRule="exact"/>
        <w:ind w:firstLine="548" w:firstLineChars="196"/>
        <w:jc w:val="left"/>
        <w:rPr>
          <w:rFonts w:hint="eastAsia" w:ascii="仿宋" w:hAnsi="仿宋" w:eastAsia="仿宋" w:cs="仿宋"/>
          <w:color w:val="auto"/>
          <w:sz w:val="28"/>
          <w:szCs w:val="28"/>
        </w:rPr>
      </w:pPr>
      <w:r>
        <w:rPr>
          <w:rFonts w:hint="eastAsia" w:ascii="仿宋" w:hAnsi="仿宋" w:eastAsia="仿宋" w:cs="仿宋"/>
          <w:color w:val="auto"/>
          <w:sz w:val="28"/>
          <w:szCs w:val="28"/>
        </w:rPr>
        <w:t>12.1.1投标声明书(格式见附件1，含重大违法记录声明)；</w:t>
      </w:r>
    </w:p>
    <w:p>
      <w:pPr>
        <w:snapToGrid w:val="0"/>
        <w:spacing w:line="460" w:lineRule="exact"/>
        <w:ind w:firstLine="548" w:firstLineChars="196"/>
        <w:rPr>
          <w:rFonts w:hint="eastAsia" w:ascii="仿宋" w:hAnsi="仿宋" w:eastAsia="仿宋" w:cs="仿宋"/>
          <w:color w:val="auto"/>
          <w:sz w:val="28"/>
          <w:szCs w:val="28"/>
        </w:rPr>
      </w:pPr>
      <w:r>
        <w:rPr>
          <w:rFonts w:hint="eastAsia" w:ascii="仿宋" w:hAnsi="仿宋" w:eastAsia="仿宋" w:cs="仿宋"/>
          <w:color w:val="auto"/>
          <w:sz w:val="28"/>
          <w:szCs w:val="28"/>
        </w:rPr>
        <w:t>12.1.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提供法定代表人</w:t>
      </w:r>
      <w:r>
        <w:rPr>
          <w:rFonts w:hint="eastAsia" w:ascii="仿宋" w:hAnsi="仿宋" w:eastAsia="仿宋" w:cs="仿宋"/>
          <w:color w:val="auto"/>
          <w:sz w:val="28"/>
          <w:szCs w:val="28"/>
          <w:lang w:eastAsia="zh-CN"/>
        </w:rPr>
        <w:t>身份证明（格式见附件</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授权委托书(格式见附件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)、授权代理人有效身份证明（复印件）以及授权代理人个人社保缴纳证明（缴纳凭证或人社部门出具的证明）；</w:t>
      </w:r>
    </w:p>
    <w:p>
      <w:pPr>
        <w:snapToGrid w:val="0"/>
        <w:spacing w:line="460" w:lineRule="exact"/>
        <w:ind w:firstLine="548" w:firstLineChars="196"/>
        <w:jc w:val="left"/>
        <w:rPr>
          <w:rFonts w:hint="eastAsia" w:ascii="仿宋" w:hAnsi="仿宋" w:eastAsia="仿宋" w:cs="仿宋"/>
          <w:color w:val="auto"/>
          <w:sz w:val="28"/>
          <w:szCs w:val="28"/>
        </w:rPr>
      </w:pPr>
      <w:r>
        <w:rPr>
          <w:rFonts w:hint="eastAsia" w:ascii="仿宋" w:hAnsi="仿宋" w:eastAsia="仿宋" w:cs="仿宋"/>
          <w:color w:val="auto"/>
          <w:sz w:val="28"/>
          <w:szCs w:val="28"/>
        </w:rPr>
        <w:t>12.1.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中小企业声明函（如面向中小企业采购需提供，格式见附件1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pPr>
        <w:snapToGrid w:val="0"/>
        <w:spacing w:line="460" w:lineRule="exact"/>
        <w:ind w:firstLine="548" w:firstLineChars="196"/>
        <w:jc w:val="left"/>
        <w:rPr>
          <w:rFonts w:hint="eastAsia" w:ascii="仿宋" w:hAnsi="仿宋" w:eastAsia="仿宋"/>
          <w:color w:val="auto"/>
          <w:sz w:val="28"/>
          <w:szCs w:val="28"/>
        </w:rPr>
      </w:pPr>
      <w:r>
        <w:rPr>
          <w:rFonts w:hint="eastAsia" w:ascii="仿宋" w:hAnsi="仿宋" w:eastAsia="仿宋" w:cs="仿宋"/>
          <w:color w:val="auto"/>
          <w:sz w:val="28"/>
          <w:szCs w:val="28"/>
        </w:rPr>
        <w:t>12.1.</w:t>
      </w:r>
      <w:r>
        <w:rPr>
          <w:rFonts w:hint="eastAsia" w:ascii="仿宋" w:hAnsi="仿宋" w:eastAsia="仿宋" w:cs="仿宋"/>
          <w:color w:val="auto"/>
          <w:sz w:val="28"/>
          <w:szCs w:val="28"/>
          <w:lang w:val="en-US" w:eastAsia="zh-CN"/>
        </w:rPr>
        <w:t>4</w:t>
      </w:r>
      <w:r>
        <w:rPr>
          <w:rFonts w:hint="eastAsia" w:ascii="仿宋" w:hAnsi="仿宋" w:eastAsia="仿宋"/>
          <w:color w:val="auto"/>
          <w:sz w:val="28"/>
          <w:szCs w:val="28"/>
          <w:lang w:val="en-US" w:eastAsia="zh-CN"/>
        </w:rPr>
        <w:t>投标产品具有参与实施政府采购节能产品认证证书或证书发布平台（中国政府采购网等）的投标产品节能认证证书查询截图</w:t>
      </w:r>
      <w:r>
        <w:rPr>
          <w:rFonts w:hint="eastAsia" w:ascii="仿宋" w:hAnsi="仿宋" w:eastAsia="仿宋"/>
          <w:color w:val="auto"/>
          <w:sz w:val="28"/>
          <w:szCs w:val="28"/>
        </w:rPr>
        <w:t>。</w:t>
      </w:r>
    </w:p>
    <w:p>
      <w:pPr>
        <w:snapToGrid w:val="0"/>
        <w:spacing w:line="460" w:lineRule="exact"/>
        <w:ind w:firstLine="548" w:firstLineChars="196"/>
        <w:jc w:val="left"/>
        <w:rPr>
          <w:rFonts w:ascii="仿宋" w:hAnsi="仿宋" w:eastAsia="仿宋"/>
          <w:color w:val="auto"/>
          <w:sz w:val="28"/>
          <w:szCs w:val="28"/>
        </w:rPr>
      </w:pPr>
      <w:r>
        <w:rPr>
          <w:rFonts w:hint="eastAsia" w:ascii="仿宋" w:hAnsi="仿宋" w:eastAsia="仿宋"/>
          <w:b/>
          <w:color w:val="auto"/>
          <w:sz w:val="28"/>
          <w:szCs w:val="28"/>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ascii="仿宋" w:hAnsi="仿宋" w:eastAsia="仿宋"/>
          <w:b/>
          <w:color w:val="auto"/>
          <w:sz w:val="28"/>
          <w:szCs w:val="28"/>
        </w:rPr>
      </w:pPr>
      <w:r>
        <w:rPr>
          <w:rFonts w:hint="eastAsia" w:ascii="仿宋" w:hAnsi="仿宋" w:eastAsia="仿宋"/>
          <w:b/>
          <w:color w:val="auto"/>
          <w:sz w:val="28"/>
          <w:szCs w:val="28"/>
        </w:rPr>
        <w:t>12.2商务部分</w:t>
      </w:r>
      <w:r>
        <w:rPr>
          <w:rFonts w:hint="eastAsia" w:ascii="仿宋" w:hAnsi="仿宋" w:eastAsia="仿宋"/>
          <w:b/>
          <w:bCs/>
          <w:color w:val="auto"/>
          <w:sz w:val="28"/>
          <w:szCs w:val="28"/>
        </w:rPr>
        <w:t>主要包括下列内容：</w:t>
      </w:r>
    </w:p>
    <w:p>
      <w:pPr>
        <w:snapToGrid w:val="0"/>
        <w:spacing w:line="4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12.2.1评分索引表（格式见附件4，主要用于评委对应评分内容，包括商务部分、技术部分）</w:t>
      </w:r>
    </w:p>
    <w:p>
      <w:pPr>
        <w:snapToGrid w:val="0"/>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12.2.2企业荣誉与业绩（见附件5、附件6）；</w:t>
      </w:r>
    </w:p>
    <w:p>
      <w:pPr>
        <w:snapToGrid w:val="0"/>
        <w:spacing w:line="4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12.2.3认证证书、检测报告（如有）；生产厂家授权、承诺</w:t>
      </w:r>
      <w:r>
        <w:rPr>
          <w:rFonts w:ascii="仿宋" w:hAnsi="仿宋" w:eastAsia="仿宋"/>
          <w:color w:val="auto"/>
          <w:sz w:val="28"/>
          <w:szCs w:val="28"/>
        </w:rPr>
        <w:t>、证明、背书</w:t>
      </w:r>
      <w:r>
        <w:rPr>
          <w:rFonts w:hint="eastAsia" w:ascii="仿宋" w:hAnsi="仿宋" w:eastAsia="仿宋"/>
          <w:color w:val="auto"/>
          <w:sz w:val="28"/>
          <w:szCs w:val="28"/>
        </w:rPr>
        <w:t>材料（如有）；</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12.2.4投标人履约能力（可包含且不限于技术力量情况、投标人各项能力证书）</w:t>
      </w:r>
    </w:p>
    <w:p>
      <w:pPr>
        <w:spacing w:line="440" w:lineRule="exact"/>
        <w:ind w:firstLine="600"/>
        <w:rPr>
          <w:rFonts w:ascii="仿宋" w:hAnsi="仿宋" w:eastAsia="仿宋"/>
          <w:color w:val="auto"/>
          <w:sz w:val="28"/>
          <w:szCs w:val="28"/>
        </w:rPr>
      </w:pPr>
      <w:r>
        <w:rPr>
          <w:rFonts w:hint="eastAsia" w:ascii="仿宋" w:hAnsi="仿宋" w:eastAsia="仿宋"/>
          <w:color w:val="auto"/>
          <w:sz w:val="28"/>
          <w:szCs w:val="28"/>
        </w:rPr>
        <w:t>12.2.5供货期，列明</w:t>
      </w:r>
      <w:r>
        <w:rPr>
          <w:rFonts w:hint="eastAsia" w:ascii="仿宋" w:hAnsi="仿宋" w:eastAsia="仿宋"/>
          <w:b/>
          <w:color w:val="auto"/>
          <w:sz w:val="28"/>
          <w:szCs w:val="28"/>
        </w:rPr>
        <w:t>施工进度计划表</w:t>
      </w:r>
      <w:r>
        <w:rPr>
          <w:rFonts w:hint="eastAsia" w:ascii="仿宋" w:hAnsi="仿宋" w:eastAsia="仿宋"/>
          <w:color w:val="auto"/>
          <w:sz w:val="28"/>
          <w:szCs w:val="28"/>
        </w:rPr>
        <w:t>（格式自拟）；</w:t>
      </w:r>
    </w:p>
    <w:p>
      <w:pPr>
        <w:spacing w:line="440" w:lineRule="exact"/>
        <w:ind w:firstLine="600"/>
        <w:rPr>
          <w:rFonts w:ascii="仿宋" w:hAnsi="仿宋" w:eastAsia="仿宋"/>
          <w:color w:val="auto"/>
          <w:sz w:val="28"/>
          <w:szCs w:val="28"/>
        </w:rPr>
      </w:pPr>
      <w:r>
        <w:rPr>
          <w:rFonts w:hint="eastAsia" w:ascii="仿宋" w:hAnsi="仿宋" w:eastAsia="仿宋"/>
          <w:color w:val="auto"/>
          <w:sz w:val="28"/>
          <w:szCs w:val="28"/>
        </w:rPr>
        <w:t>12.2.6售后服务</w:t>
      </w:r>
    </w:p>
    <w:p>
      <w:pPr>
        <w:spacing w:line="440" w:lineRule="exact"/>
        <w:ind w:firstLine="600"/>
        <w:rPr>
          <w:rFonts w:ascii="仿宋" w:hAnsi="仿宋" w:eastAsia="仿宋"/>
          <w:color w:val="auto"/>
          <w:sz w:val="28"/>
          <w:szCs w:val="28"/>
        </w:rPr>
      </w:pPr>
      <w:r>
        <w:rPr>
          <w:rFonts w:hint="eastAsia" w:ascii="仿宋" w:hAnsi="仿宋" w:eastAsia="仿宋"/>
          <w:color w:val="auto"/>
          <w:sz w:val="28"/>
          <w:szCs w:val="28"/>
        </w:rPr>
        <w:t>12.2.7商务条款偏离表（格式见附件7）；</w:t>
      </w:r>
    </w:p>
    <w:p>
      <w:pPr>
        <w:spacing w:line="440" w:lineRule="exact"/>
        <w:ind w:firstLine="600"/>
        <w:rPr>
          <w:rFonts w:ascii="仿宋" w:hAnsi="仿宋" w:eastAsia="仿宋"/>
          <w:bCs/>
          <w:color w:val="auto"/>
          <w:sz w:val="28"/>
          <w:szCs w:val="28"/>
        </w:rPr>
      </w:pPr>
      <w:r>
        <w:rPr>
          <w:rFonts w:hint="eastAsia" w:ascii="仿宋" w:hAnsi="仿宋" w:eastAsia="仿宋"/>
          <w:bCs/>
          <w:color w:val="auto"/>
          <w:sz w:val="28"/>
          <w:szCs w:val="28"/>
        </w:rPr>
        <w:t>12.2.8企业信誉</w:t>
      </w:r>
    </w:p>
    <w:p>
      <w:pPr>
        <w:spacing w:line="440" w:lineRule="exact"/>
        <w:ind w:firstLine="600"/>
        <w:rPr>
          <w:rFonts w:ascii="仿宋" w:hAnsi="仿宋" w:eastAsia="仿宋"/>
          <w:bCs/>
          <w:color w:val="auto"/>
          <w:sz w:val="28"/>
          <w:szCs w:val="28"/>
        </w:rPr>
      </w:pPr>
      <w:r>
        <w:rPr>
          <w:rFonts w:hint="eastAsia" w:ascii="仿宋" w:hAnsi="仿宋" w:eastAsia="仿宋"/>
          <w:bCs/>
          <w:color w:val="auto"/>
          <w:sz w:val="28"/>
          <w:szCs w:val="28"/>
        </w:rPr>
        <w:t>12.2.8.1企业信用等级证书（如有）</w:t>
      </w:r>
    </w:p>
    <w:p>
      <w:pPr>
        <w:spacing w:line="440" w:lineRule="exact"/>
        <w:ind w:firstLine="600"/>
        <w:rPr>
          <w:rFonts w:ascii="仿宋" w:hAnsi="仿宋" w:eastAsia="仿宋"/>
          <w:b/>
          <w:bCs/>
          <w:color w:val="auto"/>
          <w:sz w:val="28"/>
          <w:szCs w:val="28"/>
        </w:rPr>
      </w:pPr>
      <w:r>
        <w:rPr>
          <w:rFonts w:hint="eastAsia" w:ascii="仿宋" w:hAnsi="仿宋" w:eastAsia="仿宋"/>
          <w:bCs/>
          <w:color w:val="auto"/>
          <w:sz w:val="28"/>
          <w:szCs w:val="28"/>
        </w:rPr>
        <w:t>12.2.9政策分相关证明资料；</w:t>
      </w:r>
    </w:p>
    <w:p>
      <w:pPr>
        <w:snapToGrid w:val="0"/>
        <w:spacing w:line="4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12.2.10投标人认为要说明的其他内容；</w:t>
      </w:r>
    </w:p>
    <w:p>
      <w:pPr>
        <w:spacing w:line="440" w:lineRule="exact"/>
        <w:ind w:firstLine="560" w:firstLineChars="200"/>
        <w:rPr>
          <w:rFonts w:ascii="仿宋" w:hAnsi="仿宋" w:eastAsia="仿宋"/>
          <w:b/>
          <w:bCs/>
          <w:color w:val="auto"/>
          <w:sz w:val="28"/>
          <w:szCs w:val="28"/>
        </w:rPr>
      </w:pPr>
      <w:r>
        <w:rPr>
          <w:rFonts w:hint="eastAsia" w:ascii="仿宋" w:hAnsi="仿宋" w:eastAsia="仿宋"/>
          <w:b/>
          <w:bCs/>
          <w:color w:val="auto"/>
          <w:sz w:val="28"/>
          <w:szCs w:val="28"/>
        </w:rPr>
        <w:t>12.3技术部分主要包括下列内容：</w:t>
      </w:r>
    </w:p>
    <w:p>
      <w:pPr>
        <w:snapToGrid w:val="0"/>
        <w:spacing w:line="4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12.3.1投标货物(设备)技术指标参数偏离表（格式见附件8）；</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12.3.2服务计划书（格式自拟）；</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12.3.4投标货物（设备）组成清单（格式见附件9）；</w:t>
      </w:r>
    </w:p>
    <w:p>
      <w:pPr>
        <w:snapToGrid w:val="0"/>
        <w:spacing w:line="460" w:lineRule="exact"/>
        <w:ind w:firstLine="560" w:firstLineChars="200"/>
        <w:jc w:val="left"/>
        <w:rPr>
          <w:rFonts w:ascii="仿宋_GB2312" w:eastAsia="仿宋_GB2312"/>
          <w:color w:val="auto"/>
          <w:sz w:val="28"/>
          <w:szCs w:val="28"/>
        </w:rPr>
      </w:pPr>
      <w:r>
        <w:rPr>
          <w:rFonts w:hint="eastAsia" w:ascii="仿宋" w:hAnsi="仿宋" w:eastAsia="仿宋"/>
          <w:color w:val="auto"/>
          <w:sz w:val="28"/>
          <w:szCs w:val="28"/>
        </w:rPr>
        <w:t>12.3.5技术资料、彩本（页）等（如有，格式自拟）；</w:t>
      </w:r>
    </w:p>
    <w:p>
      <w:pPr>
        <w:snapToGrid w:val="0"/>
        <w:spacing w:line="460" w:lineRule="exact"/>
        <w:ind w:firstLine="560" w:firstLineChars="200"/>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12.3.6</w:t>
      </w:r>
      <w:r>
        <w:rPr>
          <w:rFonts w:hint="eastAsia" w:ascii="仿宋" w:hAnsi="仿宋" w:eastAsia="仿宋"/>
          <w:color w:val="auto"/>
          <w:sz w:val="28"/>
          <w:szCs w:val="28"/>
          <w:lang w:val="en-US" w:eastAsia="zh-CN"/>
        </w:rPr>
        <w:t xml:space="preserve"> 技术功能演示等（如有,以U盘形式另行提供）</w:t>
      </w:r>
    </w:p>
    <w:p>
      <w:pPr>
        <w:snapToGrid w:val="0"/>
        <w:spacing w:line="4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lang w:val="en-US" w:eastAsia="zh-CN"/>
        </w:rPr>
        <w:t>12.3.7</w:t>
      </w:r>
      <w:r>
        <w:rPr>
          <w:rFonts w:hint="eastAsia" w:ascii="仿宋" w:hAnsi="仿宋" w:eastAsia="仿宋"/>
          <w:color w:val="auto"/>
          <w:sz w:val="28"/>
          <w:szCs w:val="28"/>
        </w:rPr>
        <w:t>投标方认为需要的其他文件资料。</w:t>
      </w:r>
    </w:p>
    <w:p>
      <w:pPr>
        <w:spacing w:line="440" w:lineRule="exact"/>
        <w:ind w:firstLine="560" w:firstLineChars="200"/>
        <w:rPr>
          <w:rFonts w:ascii="仿宋" w:hAnsi="仿宋" w:eastAsia="仿宋"/>
          <w:b/>
          <w:bCs/>
          <w:color w:val="auto"/>
          <w:sz w:val="28"/>
          <w:szCs w:val="28"/>
        </w:rPr>
      </w:pPr>
      <w:r>
        <w:rPr>
          <w:rFonts w:hint="eastAsia" w:ascii="仿宋" w:hAnsi="仿宋" w:eastAsia="仿宋"/>
          <w:b/>
          <w:bCs/>
          <w:color w:val="auto"/>
          <w:sz w:val="28"/>
          <w:szCs w:val="28"/>
        </w:rPr>
        <w:t>12.4价格部分主要包括下列内容：</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12.4.1开标一览表（报价表）（格式见附件10）;</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12.4.2投标项目报价明细表（格式见附件11）; </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12.4.3中小企业声明函（若有，格式见附件12）；</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12.4.4残疾人福利企业声明函（若有，格式见附件13）</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12.4.5属于监狱企业的证明文件（若有）。</w:t>
      </w:r>
    </w:p>
    <w:p>
      <w:pPr>
        <w:spacing w:line="400" w:lineRule="exact"/>
        <w:ind w:firstLine="548" w:firstLineChars="196"/>
        <w:rPr>
          <w:rFonts w:ascii="仿宋" w:hAnsi="仿宋" w:eastAsia="仿宋"/>
          <w:b/>
          <w:color w:val="auto"/>
          <w:sz w:val="28"/>
          <w:szCs w:val="28"/>
          <w:u w:val="single"/>
        </w:rPr>
      </w:pPr>
      <w:r>
        <w:rPr>
          <w:rFonts w:hint="eastAsia" w:ascii="仿宋" w:hAnsi="仿宋" w:eastAsia="仿宋"/>
          <w:b/>
          <w:color w:val="auto"/>
          <w:sz w:val="28"/>
          <w:szCs w:val="28"/>
        </w:rPr>
        <w:t>注：法定代表人授权委托书、投标声明书、投标项目报价明细表必须按招标文件格式要求正确签署并加盖投标人电子签章。</w:t>
      </w:r>
      <w:r>
        <w:rPr>
          <w:rFonts w:hint="eastAsia" w:ascii="仿宋" w:hAnsi="仿宋" w:eastAsia="仿宋"/>
          <w:b/>
          <w:color w:val="auto"/>
          <w:sz w:val="28"/>
          <w:szCs w:val="28"/>
          <w:u w:val="single"/>
        </w:rPr>
        <w:t>资格部分、商务部分及技术部分中不得出现项目价格部分内容，否则将作无效标处理。</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13.投标报价</w:t>
      </w:r>
    </w:p>
    <w:p>
      <w:pPr>
        <w:spacing w:line="440" w:lineRule="exact"/>
        <w:ind w:firstLine="560" w:firstLineChars="200"/>
        <w:rPr>
          <w:rFonts w:ascii="仿宋" w:hAnsi="仿宋" w:eastAsia="仿宋"/>
          <w:color w:val="auto"/>
          <w:sz w:val="28"/>
          <w:szCs w:val="28"/>
          <w:u w:val="single"/>
        </w:rPr>
      </w:pPr>
      <w:r>
        <w:rPr>
          <w:rFonts w:hint="eastAsia" w:ascii="仿宋" w:hAnsi="仿宋" w:eastAsia="仿宋"/>
          <w:color w:val="auto"/>
          <w:sz w:val="28"/>
          <w:szCs w:val="28"/>
          <w:u w:val="single"/>
        </w:rPr>
        <w:t>13.1投标人对同一投标货物不得同时出现可选择性品牌和一个品牌中的可选择性型号，</w:t>
      </w:r>
      <w:r>
        <w:rPr>
          <w:rFonts w:hint="eastAsia" w:ascii="仿宋" w:hAnsi="仿宋" w:eastAsia="仿宋"/>
          <w:color w:val="auto"/>
          <w:sz w:val="28"/>
          <w:szCs w:val="28"/>
        </w:rPr>
        <w:t>采购人和集中采购机构不接受备选方案。</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13.4投标人在填报</w:t>
      </w:r>
      <w:r>
        <w:rPr>
          <w:rFonts w:hint="eastAsia" w:ascii="仿宋" w:hAnsi="仿宋" w:eastAsia="仿宋"/>
          <w:bCs/>
          <w:color w:val="auto"/>
          <w:sz w:val="28"/>
          <w:szCs w:val="28"/>
        </w:rPr>
        <w:t>投标项目报价明细表</w:t>
      </w:r>
      <w:r>
        <w:rPr>
          <w:rFonts w:hint="eastAsia" w:ascii="仿宋" w:hAnsi="仿宋" w:eastAsia="仿宋"/>
          <w:color w:val="auto"/>
          <w:sz w:val="28"/>
          <w:szCs w:val="28"/>
        </w:rPr>
        <w:t>时必须按照采购需求货物清单内容逐项报价，不得随意更改序号、货物名称、单位、数量，</w:t>
      </w:r>
      <w:r>
        <w:rPr>
          <w:rFonts w:hint="eastAsia" w:ascii="仿宋" w:hAnsi="仿宋" w:eastAsia="仿宋"/>
          <w:b/>
          <w:color w:val="auto"/>
          <w:sz w:val="28"/>
          <w:szCs w:val="28"/>
        </w:rPr>
        <w:t>否则有可能被视为无效投标</w:t>
      </w:r>
      <w:r>
        <w:rPr>
          <w:rFonts w:hint="eastAsia" w:ascii="仿宋" w:hAnsi="仿宋" w:eastAsia="仿宋"/>
          <w:color w:val="auto"/>
          <w:sz w:val="28"/>
          <w:szCs w:val="28"/>
        </w:rPr>
        <w:t>。</w:t>
      </w:r>
    </w:p>
    <w:p>
      <w:pPr>
        <w:spacing w:line="440" w:lineRule="exact"/>
        <w:ind w:firstLine="560" w:firstLineChars="200"/>
        <w:rPr>
          <w:rFonts w:ascii="仿宋" w:hAnsi="仿宋" w:eastAsia="仿宋"/>
          <w:b/>
          <w:bCs/>
          <w:color w:val="auto"/>
          <w:sz w:val="28"/>
          <w:szCs w:val="28"/>
        </w:rPr>
      </w:pPr>
      <w:r>
        <w:rPr>
          <w:rFonts w:hint="eastAsia" w:ascii="仿宋" w:hAnsi="仿宋" w:eastAsia="仿宋"/>
          <w:color w:val="auto"/>
          <w:sz w:val="28"/>
          <w:szCs w:val="28"/>
        </w:rPr>
        <w:t>13.5投标文件中的单价、合价、总价全部采用人民币表示。</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14.投标有效期</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14.1</w:t>
      </w:r>
      <w:r>
        <w:rPr>
          <w:rFonts w:ascii="仿宋" w:hAnsi="仿宋" w:eastAsia="仿宋"/>
          <w:color w:val="auto"/>
          <w:sz w:val="28"/>
          <w:szCs w:val="28"/>
        </w:rPr>
        <w:t>投标有效期见本须知前附表第</w:t>
      </w:r>
      <w:r>
        <w:rPr>
          <w:rFonts w:hint="eastAsia" w:ascii="仿宋" w:hAnsi="仿宋" w:eastAsia="仿宋"/>
          <w:color w:val="auto"/>
          <w:sz w:val="28"/>
          <w:szCs w:val="28"/>
        </w:rPr>
        <w:t>15</w:t>
      </w:r>
      <w:r>
        <w:rPr>
          <w:rFonts w:ascii="仿宋" w:hAnsi="仿宋" w:eastAsia="仿宋"/>
          <w:color w:val="auto"/>
          <w:sz w:val="28"/>
          <w:szCs w:val="28"/>
        </w:rPr>
        <w:t>项</w:t>
      </w:r>
      <w:r>
        <w:rPr>
          <w:rFonts w:hint="eastAsia" w:ascii="仿宋" w:hAnsi="仿宋" w:eastAsia="仿宋"/>
          <w:color w:val="auto"/>
          <w:sz w:val="28"/>
          <w:szCs w:val="28"/>
        </w:rPr>
        <w:t>（120日历天）</w:t>
      </w:r>
      <w:r>
        <w:rPr>
          <w:rFonts w:ascii="仿宋" w:hAnsi="仿宋" w:eastAsia="仿宋"/>
          <w:color w:val="auto"/>
          <w:sz w:val="28"/>
          <w:szCs w:val="28"/>
        </w:rPr>
        <w:t>所规定的期限，在此期限内，凡符合本招标文件要求的投标文件均保持有效。</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14.2</w:t>
      </w:r>
      <w:r>
        <w:rPr>
          <w:rFonts w:ascii="仿宋" w:hAnsi="仿宋" w:eastAsia="仿宋"/>
          <w:color w:val="auto"/>
          <w:sz w:val="28"/>
          <w:szCs w:val="28"/>
        </w:rPr>
        <w:t>在特殊情况下，</w:t>
      </w:r>
      <w:r>
        <w:rPr>
          <w:rFonts w:hint="eastAsia" w:ascii="仿宋" w:hAnsi="仿宋" w:eastAsia="仿宋"/>
          <w:color w:val="auto"/>
          <w:sz w:val="28"/>
          <w:szCs w:val="28"/>
        </w:rPr>
        <w:t>采购人和集中采购机构</w:t>
      </w:r>
      <w:r>
        <w:rPr>
          <w:rFonts w:ascii="仿宋" w:hAnsi="仿宋" w:eastAsia="仿宋"/>
          <w:color w:val="auto"/>
          <w:sz w:val="28"/>
          <w:szCs w:val="28"/>
        </w:rPr>
        <w:t>在原定投标有效期内，可以根据需要以书面形式向投标人提出延长投标有效期的要求，对此要求投标人须以书面形式予以答复。投标人可以拒绝</w:t>
      </w:r>
      <w:r>
        <w:rPr>
          <w:rFonts w:hint="eastAsia" w:ascii="仿宋" w:hAnsi="仿宋" w:eastAsia="仿宋"/>
          <w:color w:val="auto"/>
          <w:sz w:val="28"/>
          <w:szCs w:val="28"/>
        </w:rPr>
        <w:t>采购人和集中采购机构</w:t>
      </w:r>
      <w:r>
        <w:rPr>
          <w:rFonts w:ascii="仿宋" w:hAnsi="仿宋" w:eastAsia="仿宋"/>
          <w:color w:val="auto"/>
          <w:sz w:val="28"/>
          <w:szCs w:val="28"/>
        </w:rPr>
        <w:t>这种要求</w:t>
      </w:r>
      <w:r>
        <w:rPr>
          <w:rFonts w:hint="eastAsia" w:ascii="仿宋" w:hAnsi="仿宋" w:eastAsia="仿宋"/>
          <w:color w:val="auto"/>
          <w:sz w:val="28"/>
          <w:szCs w:val="28"/>
        </w:rPr>
        <w:t>。</w:t>
      </w:r>
      <w:r>
        <w:rPr>
          <w:rFonts w:ascii="仿宋" w:hAnsi="仿宋" w:eastAsia="仿宋"/>
          <w:color w:val="auto"/>
          <w:sz w:val="28"/>
          <w:szCs w:val="28"/>
        </w:rPr>
        <w:t>同意延长投标有效期的投标人既不能要求也不允许修改其投标文件。</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15.投标保证金</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本项目不向投标人收取投标保证金。</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16.投标文件的签署</w:t>
      </w:r>
    </w:p>
    <w:p>
      <w:pPr>
        <w:spacing w:line="440" w:lineRule="exact"/>
        <w:ind w:firstLine="560" w:firstLineChars="200"/>
        <w:rPr>
          <w:rFonts w:ascii="仿宋" w:hAnsi="仿宋" w:eastAsia="仿宋"/>
          <w:b/>
          <w:bCs/>
          <w:color w:val="auto"/>
          <w:sz w:val="28"/>
          <w:szCs w:val="28"/>
        </w:rPr>
      </w:pPr>
      <w:r>
        <w:rPr>
          <w:rFonts w:hint="eastAsia" w:ascii="仿宋" w:hAnsi="仿宋" w:eastAsia="仿宋"/>
          <w:color w:val="auto"/>
          <w:sz w:val="28"/>
          <w:szCs w:val="28"/>
        </w:rPr>
        <w:t>供应商应根据政采云平台“</w:t>
      </w:r>
      <w:r>
        <w:rPr>
          <w:rFonts w:ascii="仿宋" w:hAnsi="仿宋" w:eastAsia="仿宋"/>
          <w:color w:val="auto"/>
          <w:sz w:val="28"/>
          <w:szCs w:val="28"/>
        </w:rPr>
        <w:t>政府采购项目电子交易管理操作</w:t>
      </w:r>
      <w:r>
        <w:rPr>
          <w:rFonts w:hint="eastAsia" w:ascii="仿宋" w:hAnsi="仿宋" w:eastAsia="仿宋"/>
          <w:color w:val="auto"/>
          <w:sz w:val="28"/>
          <w:szCs w:val="28"/>
        </w:rPr>
        <w:t>视频</w:t>
      </w:r>
      <w:r>
        <w:rPr>
          <w:rFonts w:ascii="仿宋" w:hAnsi="仿宋" w:eastAsia="仿宋"/>
          <w:color w:val="auto"/>
          <w:sz w:val="28"/>
          <w:szCs w:val="28"/>
        </w:rPr>
        <w:t>-供应商</w:t>
      </w:r>
      <w:r>
        <w:rPr>
          <w:rFonts w:hint="eastAsia" w:ascii="仿宋" w:hAnsi="仿宋" w:eastAsia="仿宋"/>
          <w:color w:val="auto"/>
          <w:sz w:val="28"/>
          <w:szCs w:val="28"/>
        </w:rPr>
        <w:t>”及本招标文件规定的格式和顺序编制电子投标文件并进行关联定位。</w:t>
      </w:r>
    </w:p>
    <w:p>
      <w:pPr>
        <w:spacing w:line="440" w:lineRule="exact"/>
        <w:ind w:firstLine="560" w:firstLineChars="200"/>
        <w:rPr>
          <w:rFonts w:ascii="仿宋" w:hAnsi="仿宋" w:eastAsia="仿宋"/>
          <w:b/>
          <w:bCs/>
          <w:color w:val="auto"/>
          <w:sz w:val="28"/>
          <w:szCs w:val="28"/>
        </w:rPr>
      </w:pPr>
      <w:r>
        <w:rPr>
          <w:rFonts w:hint="eastAsia" w:ascii="仿宋" w:hAnsi="仿宋" w:eastAsia="仿宋"/>
          <w:b/>
          <w:bCs/>
          <w:color w:val="auto"/>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color w:val="auto"/>
          <w:sz w:val="28"/>
          <w:szCs w:val="28"/>
        </w:rPr>
      </w:pPr>
      <w:r>
        <w:rPr>
          <w:rFonts w:hint="eastAsia" w:ascii="仿宋" w:hAnsi="仿宋" w:eastAsia="仿宋"/>
          <w:b/>
          <w:bCs/>
          <w:color w:val="auto"/>
          <w:kern w:val="0"/>
          <w:sz w:val="28"/>
          <w:szCs w:val="28"/>
        </w:rPr>
        <w:t>投标文件需按招标文件要求的格式填写并签字盖章。</w:t>
      </w:r>
    </w:p>
    <w:p>
      <w:pPr>
        <w:pStyle w:val="4"/>
        <w:spacing w:line="440" w:lineRule="exact"/>
        <w:jc w:val="center"/>
        <w:rPr>
          <w:rFonts w:ascii="仿宋" w:hAnsi="仿宋" w:eastAsia="仿宋"/>
          <w:bCs w:val="0"/>
          <w:color w:val="auto"/>
          <w:sz w:val="28"/>
          <w:szCs w:val="28"/>
        </w:rPr>
      </w:pPr>
      <w:bookmarkStart w:id="43" w:name="_Toc36454317"/>
      <w:r>
        <w:rPr>
          <w:rFonts w:hint="eastAsia" w:ascii="仿宋" w:hAnsi="仿宋" w:eastAsia="仿宋"/>
          <w:bCs w:val="0"/>
          <w:color w:val="auto"/>
          <w:sz w:val="28"/>
          <w:szCs w:val="28"/>
        </w:rPr>
        <w:t>四、投标文件的提交</w:t>
      </w:r>
      <w:bookmarkEnd w:id="43"/>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17.投标文件的提交及提交截止时间</w:t>
      </w:r>
    </w:p>
    <w:p>
      <w:pPr>
        <w:spacing w:line="440" w:lineRule="exact"/>
        <w:ind w:firstLine="560" w:firstLineChars="200"/>
        <w:rPr>
          <w:rFonts w:ascii="仿宋" w:hAnsi="仿宋" w:eastAsia="仿宋"/>
          <w:b/>
          <w:color w:val="auto"/>
          <w:sz w:val="28"/>
          <w:szCs w:val="28"/>
        </w:rPr>
      </w:pPr>
      <w:r>
        <w:rPr>
          <w:rFonts w:hint="eastAsia" w:ascii="仿宋" w:hAnsi="仿宋" w:eastAsia="仿宋"/>
          <w:b/>
          <w:color w:val="auto"/>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18.迟交的投标文件</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投标截止时间后传输提交的投标文件，将被政采云平台拒收。</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19.投标文件的撤回</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在投标截止时间至规定的投标有效期满之间的这段时间，投标人不得撤回其投标。</w:t>
      </w:r>
    </w:p>
    <w:p>
      <w:pPr>
        <w:pStyle w:val="4"/>
        <w:spacing w:line="440" w:lineRule="exact"/>
        <w:jc w:val="center"/>
        <w:rPr>
          <w:rFonts w:ascii="仿宋" w:hAnsi="仿宋" w:eastAsia="仿宋"/>
          <w:bCs w:val="0"/>
          <w:color w:val="auto"/>
          <w:sz w:val="28"/>
          <w:szCs w:val="28"/>
        </w:rPr>
      </w:pPr>
      <w:bookmarkStart w:id="44" w:name="_Toc36454318"/>
      <w:r>
        <w:rPr>
          <w:rFonts w:hint="eastAsia" w:ascii="仿宋" w:hAnsi="仿宋" w:eastAsia="仿宋"/>
          <w:bCs w:val="0"/>
          <w:color w:val="auto"/>
          <w:sz w:val="28"/>
          <w:szCs w:val="28"/>
        </w:rPr>
        <w:t>五、开标程序</w:t>
      </w:r>
      <w:bookmarkEnd w:id="44"/>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20.开标程序</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20</w:t>
      </w:r>
      <w:r>
        <w:rPr>
          <w:rFonts w:ascii="仿宋" w:hAnsi="仿宋" w:eastAsia="仿宋"/>
          <w:color w:val="auto"/>
          <w:sz w:val="28"/>
          <w:szCs w:val="28"/>
        </w:rPr>
        <w:t>.1</w:t>
      </w:r>
      <w:r>
        <w:rPr>
          <w:rFonts w:hint="eastAsia" w:ascii="仿宋" w:hAnsi="仿宋" w:eastAsia="仿宋"/>
          <w:color w:val="auto"/>
          <w:sz w:val="28"/>
          <w:szCs w:val="28"/>
        </w:rPr>
        <w:t>集中采购机构和采购人将于本须知《前附表》第13、14项规定的时间和地点举行开标会；</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20</w:t>
      </w:r>
      <w:r>
        <w:rPr>
          <w:rFonts w:ascii="仿宋" w:hAnsi="仿宋" w:eastAsia="仿宋"/>
          <w:color w:val="auto"/>
          <w:sz w:val="28"/>
          <w:szCs w:val="28"/>
        </w:rPr>
        <w:t>.2</w:t>
      </w:r>
      <w:r>
        <w:rPr>
          <w:rFonts w:hint="eastAsia" w:ascii="仿宋" w:hAnsi="仿宋" w:eastAsia="仿宋"/>
          <w:color w:val="auto"/>
          <w:sz w:val="28"/>
          <w:szCs w:val="28"/>
        </w:rPr>
        <w:t>开标会由集中采购机构和采购人共同主持；</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20.3本项目采用政采云电子招投标开标程序</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投标截止时间后</w:t>
      </w:r>
      <w:r>
        <w:rPr>
          <w:rFonts w:hint="eastAsia" w:ascii="仿宋" w:hAnsi="仿宋" w:eastAsia="仿宋"/>
          <w:color w:val="auto"/>
          <w:sz w:val="28"/>
          <w:szCs w:val="28"/>
        </w:rPr>
        <w:t>，投标人</w:t>
      </w:r>
      <w:r>
        <w:rPr>
          <w:rFonts w:ascii="仿宋" w:hAnsi="仿宋" w:eastAsia="仿宋"/>
          <w:color w:val="auto"/>
          <w:sz w:val="28"/>
          <w:szCs w:val="28"/>
        </w:rPr>
        <w:t>登录</w:t>
      </w:r>
      <w:r>
        <w:rPr>
          <w:rFonts w:hint="eastAsia" w:ascii="仿宋" w:hAnsi="仿宋" w:eastAsia="仿宋"/>
          <w:color w:val="auto"/>
          <w:sz w:val="28"/>
          <w:szCs w:val="28"/>
        </w:rPr>
        <w:t>政采云平台</w:t>
      </w:r>
      <w:r>
        <w:rPr>
          <w:rFonts w:ascii="仿宋" w:hAnsi="仿宋" w:eastAsia="仿宋"/>
          <w:color w:val="auto"/>
          <w:sz w:val="28"/>
          <w:szCs w:val="28"/>
        </w:rPr>
        <w:t>，用“</w:t>
      </w:r>
      <w:r>
        <w:rPr>
          <w:rFonts w:hint="eastAsia" w:ascii="仿宋" w:hAnsi="仿宋" w:eastAsia="仿宋"/>
          <w:color w:val="auto"/>
          <w:sz w:val="28"/>
          <w:szCs w:val="28"/>
        </w:rPr>
        <w:t>项目采购-开标评标</w:t>
      </w:r>
      <w:r>
        <w:rPr>
          <w:rFonts w:ascii="仿宋" w:hAnsi="仿宋" w:eastAsia="仿宋"/>
          <w:color w:val="auto"/>
          <w:sz w:val="28"/>
          <w:szCs w:val="28"/>
        </w:rPr>
        <w:t>”功能</w:t>
      </w:r>
      <w:r>
        <w:rPr>
          <w:rFonts w:hint="eastAsia" w:ascii="仿宋" w:hAnsi="仿宋" w:eastAsia="仿宋"/>
          <w:color w:val="auto"/>
          <w:sz w:val="28"/>
          <w:szCs w:val="28"/>
        </w:rPr>
        <w:t>对电子投标文件进行在线解密</w:t>
      </w:r>
      <w:r>
        <w:rPr>
          <w:rFonts w:ascii="仿宋" w:hAnsi="仿宋" w:eastAsia="仿宋"/>
          <w:color w:val="auto"/>
          <w:sz w:val="28"/>
          <w:szCs w:val="28"/>
        </w:rPr>
        <w:t>。</w:t>
      </w:r>
      <w:r>
        <w:rPr>
          <w:rFonts w:hint="eastAsia" w:ascii="仿宋" w:hAnsi="仿宋" w:eastAsia="仿宋"/>
          <w:color w:val="auto"/>
          <w:sz w:val="28"/>
          <w:szCs w:val="28"/>
        </w:rPr>
        <w:t>在线解密电子投标文件时间为</w:t>
      </w:r>
      <w:r>
        <w:rPr>
          <w:rFonts w:hint="eastAsia" w:ascii="仿宋" w:hAnsi="仿宋" w:eastAsia="仿宋"/>
          <w:b/>
          <w:color w:val="auto"/>
          <w:sz w:val="28"/>
          <w:szCs w:val="28"/>
        </w:rPr>
        <w:t>开标时间起30分钟内</w:t>
      </w:r>
      <w:r>
        <w:rPr>
          <w:rFonts w:hint="eastAsia" w:ascii="仿宋" w:hAnsi="仿宋" w:eastAsia="仿宋"/>
          <w:color w:val="auto"/>
          <w:sz w:val="28"/>
          <w:szCs w:val="28"/>
        </w:rPr>
        <w:t>。</w:t>
      </w:r>
      <w:r>
        <w:rPr>
          <w:rFonts w:hint="eastAsia" w:ascii="仿宋" w:hAnsi="仿宋" w:eastAsia="仿宋"/>
          <w:b/>
          <w:color w:val="auto"/>
          <w:sz w:val="28"/>
          <w:szCs w:val="28"/>
          <w:u w:val="single"/>
        </w:rPr>
        <w:t>如投标人在开标开始后30分钟内解密失败，投标无效</w:t>
      </w:r>
      <w:r>
        <w:rPr>
          <w:rFonts w:hint="eastAsia" w:ascii="仿宋" w:hAnsi="仿宋" w:eastAsia="仿宋"/>
          <w:color w:val="auto"/>
          <w:sz w:val="28"/>
          <w:szCs w:val="28"/>
          <w:u w:val="single"/>
        </w:rPr>
        <w:t>。</w:t>
      </w:r>
    </w:p>
    <w:p>
      <w:pPr>
        <w:spacing w:line="440" w:lineRule="exact"/>
        <w:ind w:firstLine="560" w:firstLineChars="200"/>
        <w:rPr>
          <w:rFonts w:ascii="仿宋" w:hAnsi="仿宋" w:eastAsia="仿宋"/>
          <w:color w:val="auto"/>
          <w:sz w:val="28"/>
          <w:szCs w:val="28"/>
          <w:u w:val="single"/>
        </w:rPr>
      </w:pPr>
      <w:r>
        <w:rPr>
          <w:rFonts w:hint="eastAsia" w:ascii="仿宋" w:hAnsi="仿宋" w:eastAsia="仿宋"/>
          <w:color w:val="auto"/>
          <w:sz w:val="28"/>
          <w:szCs w:val="28"/>
          <w:u w:val="single"/>
        </w:rPr>
        <w:t>说明：政采云平台如对电子开评标程序有调整的，按调整后的程序操作。</w:t>
      </w:r>
    </w:p>
    <w:p>
      <w:pPr>
        <w:pStyle w:val="4"/>
        <w:spacing w:line="440" w:lineRule="exact"/>
        <w:ind w:firstLine="3332" w:firstLineChars="1190"/>
        <w:rPr>
          <w:rFonts w:ascii="仿宋" w:hAnsi="仿宋" w:eastAsia="仿宋"/>
          <w:bCs w:val="0"/>
          <w:snapToGrid w:val="0"/>
          <w:color w:val="auto"/>
          <w:sz w:val="28"/>
          <w:szCs w:val="28"/>
        </w:rPr>
      </w:pPr>
      <w:bookmarkStart w:id="45" w:name="_Toc36454319"/>
      <w:r>
        <w:rPr>
          <w:rFonts w:hint="eastAsia" w:ascii="仿宋" w:hAnsi="仿宋" w:eastAsia="仿宋"/>
          <w:bCs w:val="0"/>
          <w:snapToGrid w:val="0"/>
          <w:color w:val="auto"/>
          <w:sz w:val="28"/>
          <w:szCs w:val="28"/>
        </w:rPr>
        <w:t>六、评标</w:t>
      </w:r>
      <w:bookmarkEnd w:id="45"/>
    </w:p>
    <w:p>
      <w:pPr>
        <w:spacing w:line="440" w:lineRule="exact"/>
        <w:rPr>
          <w:rFonts w:ascii="仿宋" w:hAnsi="仿宋" w:eastAsia="仿宋"/>
          <w:b/>
          <w:bCs/>
          <w:snapToGrid w:val="0"/>
          <w:color w:val="auto"/>
          <w:sz w:val="28"/>
          <w:szCs w:val="28"/>
        </w:rPr>
      </w:pPr>
      <w:r>
        <w:rPr>
          <w:rFonts w:hint="eastAsia" w:ascii="仿宋" w:hAnsi="仿宋" w:eastAsia="仿宋"/>
          <w:b/>
          <w:bCs/>
          <w:snapToGrid w:val="0"/>
          <w:color w:val="auto"/>
          <w:sz w:val="28"/>
          <w:szCs w:val="28"/>
        </w:rPr>
        <w:t>21.</w:t>
      </w:r>
      <w:r>
        <w:rPr>
          <w:rFonts w:ascii="仿宋" w:hAnsi="仿宋" w:eastAsia="仿宋"/>
          <w:b/>
          <w:bCs/>
          <w:color w:val="auto"/>
          <w:sz w:val="28"/>
          <w:szCs w:val="28"/>
        </w:rPr>
        <w:t>评标委员会与评标</w:t>
      </w:r>
    </w:p>
    <w:p>
      <w:pPr>
        <w:spacing w:line="440" w:lineRule="exact"/>
        <w:ind w:firstLine="560"/>
        <w:rPr>
          <w:rFonts w:ascii="仿宋" w:hAnsi="仿宋" w:eastAsia="仿宋"/>
          <w:color w:val="auto"/>
          <w:sz w:val="28"/>
          <w:szCs w:val="28"/>
        </w:rPr>
      </w:pPr>
      <w:r>
        <w:rPr>
          <w:rFonts w:ascii="仿宋" w:hAnsi="仿宋" w:eastAsia="仿宋"/>
          <w:color w:val="auto"/>
          <w:sz w:val="28"/>
          <w:szCs w:val="28"/>
        </w:rPr>
        <w:t>评标委员会由</w:t>
      </w:r>
      <w:r>
        <w:rPr>
          <w:rFonts w:hint="eastAsia" w:ascii="仿宋" w:hAnsi="仿宋" w:eastAsia="仿宋"/>
          <w:color w:val="auto"/>
          <w:sz w:val="28"/>
          <w:szCs w:val="28"/>
        </w:rPr>
        <w:t>集中采购机构依法</w:t>
      </w:r>
      <w:r>
        <w:rPr>
          <w:rFonts w:ascii="仿宋" w:hAnsi="仿宋" w:eastAsia="仿宋"/>
          <w:color w:val="auto"/>
          <w:sz w:val="28"/>
          <w:szCs w:val="28"/>
        </w:rPr>
        <w:t>组建，负责评标活动。</w:t>
      </w:r>
      <w:r>
        <w:rPr>
          <w:rFonts w:hint="eastAsia" w:ascii="仿宋" w:hAnsi="仿宋" w:eastAsia="仿宋"/>
          <w:color w:val="auto"/>
          <w:sz w:val="28"/>
          <w:szCs w:val="28"/>
        </w:rPr>
        <w:t>评标</w:t>
      </w:r>
      <w:r>
        <w:rPr>
          <w:rFonts w:hint="eastAsia" w:ascii="仿宋" w:hAnsi="仿宋" w:eastAsia="仿宋"/>
          <w:snapToGrid w:val="0"/>
          <w:color w:val="auto"/>
          <w:sz w:val="28"/>
          <w:szCs w:val="28"/>
        </w:rPr>
        <w:t>委员会</w:t>
      </w:r>
      <w:r>
        <w:rPr>
          <w:rFonts w:hint="eastAsia" w:ascii="仿宋" w:hAnsi="仿宋" w:eastAsia="仿宋"/>
          <w:color w:val="auto"/>
          <w:sz w:val="28"/>
          <w:szCs w:val="28"/>
        </w:rPr>
        <w:t>遵循公正、公平、科学合理，竞争择优的原则。</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22.</w:t>
      </w:r>
      <w:r>
        <w:rPr>
          <w:rFonts w:ascii="仿宋" w:hAnsi="仿宋" w:eastAsia="仿宋"/>
          <w:b/>
          <w:bCs/>
          <w:color w:val="auto"/>
          <w:sz w:val="28"/>
          <w:szCs w:val="28"/>
        </w:rPr>
        <w:t>评标过程的保密</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22</w:t>
      </w:r>
      <w:r>
        <w:rPr>
          <w:rFonts w:ascii="仿宋" w:hAnsi="仿宋" w:eastAsia="仿宋"/>
          <w:color w:val="auto"/>
          <w:sz w:val="28"/>
          <w:szCs w:val="28"/>
        </w:rPr>
        <w:t>.1开标后，直至授予中标供应商合同为止，凡属于对投标文件的审查、澄清、评价和比较的有关资料</w:t>
      </w:r>
      <w:r>
        <w:rPr>
          <w:rFonts w:hint="eastAsia" w:ascii="仿宋" w:hAnsi="仿宋" w:eastAsia="仿宋"/>
          <w:color w:val="auto"/>
          <w:sz w:val="28"/>
          <w:szCs w:val="28"/>
        </w:rPr>
        <w:t>、</w:t>
      </w:r>
      <w:r>
        <w:rPr>
          <w:rFonts w:ascii="仿宋" w:hAnsi="仿宋" w:eastAsia="仿宋"/>
          <w:color w:val="auto"/>
          <w:sz w:val="28"/>
          <w:szCs w:val="28"/>
        </w:rPr>
        <w:t>中标候选人的推荐情况</w:t>
      </w:r>
      <w:r>
        <w:rPr>
          <w:rFonts w:hint="eastAsia" w:ascii="仿宋" w:hAnsi="仿宋" w:eastAsia="仿宋"/>
          <w:color w:val="auto"/>
          <w:sz w:val="28"/>
          <w:szCs w:val="28"/>
        </w:rPr>
        <w:t>及</w:t>
      </w:r>
      <w:r>
        <w:rPr>
          <w:rFonts w:ascii="仿宋" w:hAnsi="仿宋" w:eastAsia="仿宋"/>
          <w:color w:val="auto"/>
          <w:sz w:val="28"/>
          <w:szCs w:val="28"/>
        </w:rPr>
        <w:t>与评标有关的其他任何情况均严格保密。</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22</w:t>
      </w:r>
      <w:r>
        <w:rPr>
          <w:rFonts w:ascii="仿宋" w:hAnsi="仿宋" w:eastAsia="仿宋"/>
          <w:color w:val="auto"/>
          <w:sz w:val="28"/>
          <w:szCs w:val="28"/>
        </w:rPr>
        <w:t>.2 在投标文件的评审和比较、中标候选人推荐以及授予合同的过程中，投标人向</w:t>
      </w:r>
      <w:r>
        <w:rPr>
          <w:rFonts w:hint="eastAsia" w:ascii="仿宋" w:hAnsi="仿宋" w:eastAsia="仿宋"/>
          <w:color w:val="auto"/>
          <w:sz w:val="28"/>
          <w:szCs w:val="28"/>
        </w:rPr>
        <w:t>采购人、集中采购机构</w:t>
      </w:r>
      <w:r>
        <w:rPr>
          <w:rFonts w:ascii="仿宋" w:hAnsi="仿宋" w:eastAsia="仿宋"/>
          <w:color w:val="auto"/>
          <w:sz w:val="28"/>
          <w:szCs w:val="28"/>
        </w:rPr>
        <w:t>和评标委员会施加影响的任何行为，都将会导致其投标被拒绝。</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23.</w:t>
      </w:r>
      <w:r>
        <w:rPr>
          <w:rFonts w:ascii="仿宋" w:hAnsi="仿宋" w:eastAsia="仿宋"/>
          <w:b/>
          <w:bCs/>
          <w:color w:val="auto"/>
          <w:sz w:val="28"/>
          <w:szCs w:val="28"/>
        </w:rPr>
        <w:t>投标文件的澄清</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为有助于投标文件的审查、评价和比较，评标委员会可以要求投标人对于投标文件中含义不明确、同类问题表述不一致或者有明显文字和计算错误的内容作必要的澄清</w:t>
      </w:r>
      <w:r>
        <w:rPr>
          <w:rFonts w:hint="eastAsia" w:ascii="仿宋" w:hAnsi="仿宋" w:eastAsia="仿宋"/>
          <w:color w:val="auto"/>
          <w:sz w:val="28"/>
          <w:szCs w:val="28"/>
        </w:rPr>
        <w:t>、</w:t>
      </w:r>
      <w:r>
        <w:rPr>
          <w:rFonts w:ascii="仿宋" w:hAnsi="仿宋" w:eastAsia="仿宋"/>
          <w:color w:val="auto"/>
          <w:sz w:val="28"/>
          <w:szCs w:val="28"/>
        </w:rPr>
        <w:t>说明</w:t>
      </w:r>
      <w:r>
        <w:rPr>
          <w:rFonts w:hint="eastAsia" w:ascii="仿宋" w:hAnsi="仿宋" w:eastAsia="仿宋"/>
          <w:color w:val="auto"/>
          <w:sz w:val="28"/>
          <w:szCs w:val="28"/>
        </w:rPr>
        <w:t>或补正。</w:t>
      </w:r>
    </w:p>
    <w:p>
      <w:pPr>
        <w:spacing w:line="48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投标人通过政采云平台交换的数据电文必须进行电子签章。</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根据本须知第</w:t>
      </w:r>
      <w:r>
        <w:rPr>
          <w:rFonts w:hint="eastAsia" w:ascii="仿宋" w:hAnsi="仿宋" w:eastAsia="仿宋"/>
          <w:color w:val="auto"/>
          <w:sz w:val="28"/>
          <w:szCs w:val="28"/>
        </w:rPr>
        <w:t>25</w:t>
      </w:r>
      <w:r>
        <w:rPr>
          <w:rFonts w:ascii="仿宋" w:hAnsi="仿宋" w:eastAsia="仿宋"/>
          <w:color w:val="auto"/>
          <w:sz w:val="28"/>
          <w:szCs w:val="28"/>
        </w:rPr>
        <w:t>条规定，凡属于评标委员会在评标中发现的计算错误进行核实的修改不在此列。</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24.投标文件的评定</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24.1资格性审查</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24.2符合性审查</w:t>
      </w:r>
    </w:p>
    <w:p>
      <w:pPr>
        <w:spacing w:line="440" w:lineRule="exact"/>
        <w:ind w:firstLine="500"/>
        <w:rPr>
          <w:rFonts w:ascii="仿宋" w:hAnsi="仿宋" w:eastAsia="仿宋"/>
          <w:color w:val="auto"/>
          <w:sz w:val="28"/>
          <w:szCs w:val="28"/>
        </w:rPr>
      </w:pPr>
      <w:r>
        <w:rPr>
          <w:rFonts w:ascii="仿宋" w:hAnsi="仿宋" w:eastAsia="仿宋"/>
          <w:color w:val="auto"/>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color w:val="auto"/>
          <w:sz w:val="28"/>
          <w:szCs w:val="28"/>
        </w:rPr>
        <w:t>采购</w:t>
      </w:r>
      <w:r>
        <w:rPr>
          <w:rFonts w:ascii="仿宋" w:hAnsi="仿宋" w:eastAsia="仿宋"/>
          <w:color w:val="auto"/>
          <w:sz w:val="28"/>
          <w:szCs w:val="28"/>
        </w:rPr>
        <w:t>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b/>
          <w:bCs/>
          <w:color w:val="auto"/>
          <w:sz w:val="28"/>
          <w:szCs w:val="28"/>
        </w:rPr>
      </w:pPr>
      <w:r>
        <w:rPr>
          <w:rFonts w:hint="eastAsia" w:ascii="仿宋" w:hAnsi="仿宋" w:eastAsia="仿宋"/>
          <w:b/>
          <w:bCs/>
          <w:color w:val="auto"/>
          <w:sz w:val="28"/>
          <w:szCs w:val="28"/>
        </w:rPr>
        <w:t>24.3</w:t>
      </w:r>
      <w:r>
        <w:rPr>
          <w:rFonts w:ascii="仿宋" w:hAnsi="仿宋" w:eastAsia="仿宋"/>
          <w:b/>
          <w:bCs/>
          <w:color w:val="auto"/>
          <w:sz w:val="28"/>
          <w:szCs w:val="28"/>
        </w:rPr>
        <w:t>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25.投标文件报价前后不一致的修正</w:t>
      </w:r>
    </w:p>
    <w:p>
      <w:pPr>
        <w:spacing w:line="440" w:lineRule="exact"/>
        <w:ind w:firstLine="500"/>
        <w:rPr>
          <w:rFonts w:ascii="仿宋" w:hAnsi="仿宋" w:eastAsia="仿宋"/>
          <w:color w:val="auto"/>
          <w:sz w:val="28"/>
          <w:szCs w:val="28"/>
        </w:rPr>
      </w:pPr>
      <w:r>
        <w:rPr>
          <w:rFonts w:ascii="仿宋" w:hAnsi="仿宋" w:eastAsia="仿宋"/>
          <w:color w:val="auto"/>
          <w:sz w:val="28"/>
          <w:szCs w:val="28"/>
        </w:rPr>
        <w:t>投标文件报价出现前后不一致的，除</w:t>
      </w:r>
      <w:r>
        <w:rPr>
          <w:rFonts w:hint="eastAsia" w:ascii="仿宋" w:hAnsi="仿宋" w:eastAsia="仿宋"/>
          <w:color w:val="auto"/>
          <w:sz w:val="28"/>
          <w:szCs w:val="28"/>
        </w:rPr>
        <w:t>本</w:t>
      </w:r>
      <w:r>
        <w:rPr>
          <w:rFonts w:ascii="仿宋" w:hAnsi="仿宋" w:eastAsia="仿宋"/>
          <w:color w:val="auto"/>
          <w:sz w:val="28"/>
          <w:szCs w:val="28"/>
        </w:rPr>
        <w:t>招标文件另有规定外，按照下列规定修正：</w:t>
      </w:r>
    </w:p>
    <w:p>
      <w:pPr>
        <w:spacing w:line="440" w:lineRule="exact"/>
        <w:ind w:firstLine="5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5</w:t>
      </w:r>
      <w:r>
        <w:rPr>
          <w:rFonts w:ascii="仿宋" w:hAnsi="仿宋" w:eastAsia="仿宋"/>
          <w:color w:val="auto"/>
          <w:sz w:val="28"/>
          <w:szCs w:val="28"/>
        </w:rPr>
        <w:t>.1</w:t>
      </w:r>
      <w:r>
        <w:rPr>
          <w:rFonts w:hint="eastAsia" w:ascii="仿宋" w:hAnsi="仿宋" w:eastAsia="仿宋"/>
          <w:color w:val="auto"/>
          <w:sz w:val="28"/>
          <w:szCs w:val="28"/>
        </w:rPr>
        <w:t>投标文件中开标一览表（报价表）内容与投标文件中</w:t>
      </w:r>
      <w:r>
        <w:rPr>
          <w:rFonts w:hint="eastAsia" w:ascii="仿宋" w:hAnsi="仿宋" w:eastAsia="仿宋"/>
          <w:bCs/>
          <w:color w:val="auto"/>
          <w:sz w:val="28"/>
          <w:szCs w:val="28"/>
        </w:rPr>
        <w:t>投标项目报价</w:t>
      </w:r>
      <w:r>
        <w:rPr>
          <w:rFonts w:hint="eastAsia" w:ascii="仿宋" w:hAnsi="仿宋" w:eastAsia="仿宋"/>
          <w:color w:val="auto"/>
          <w:sz w:val="28"/>
          <w:szCs w:val="28"/>
        </w:rPr>
        <w:t>明细表内容不一致的，以开标一览表（报价表）为准；</w:t>
      </w:r>
    </w:p>
    <w:p>
      <w:pPr>
        <w:spacing w:line="440" w:lineRule="exact"/>
        <w:ind w:firstLine="5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5</w:t>
      </w:r>
      <w:r>
        <w:rPr>
          <w:rFonts w:ascii="仿宋" w:hAnsi="仿宋" w:eastAsia="仿宋"/>
          <w:color w:val="auto"/>
          <w:sz w:val="28"/>
          <w:szCs w:val="28"/>
        </w:rPr>
        <w:t>.2</w:t>
      </w:r>
      <w:r>
        <w:rPr>
          <w:rFonts w:hint="eastAsia" w:ascii="仿宋" w:hAnsi="仿宋" w:eastAsia="仿宋"/>
          <w:color w:val="auto"/>
          <w:sz w:val="28"/>
          <w:szCs w:val="28"/>
        </w:rPr>
        <w:t>投标文件的大写金额和小写金额不一致的，以大写金额为准；</w:t>
      </w:r>
    </w:p>
    <w:p>
      <w:pPr>
        <w:spacing w:line="440" w:lineRule="exact"/>
        <w:ind w:firstLine="5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5</w:t>
      </w:r>
      <w:r>
        <w:rPr>
          <w:rFonts w:ascii="仿宋" w:hAnsi="仿宋" w:eastAsia="仿宋"/>
          <w:color w:val="auto"/>
          <w:sz w:val="28"/>
          <w:szCs w:val="28"/>
        </w:rPr>
        <w:t>.</w:t>
      </w:r>
      <w:r>
        <w:rPr>
          <w:rFonts w:hint="eastAsia" w:ascii="仿宋" w:hAnsi="仿宋" w:eastAsia="仿宋"/>
          <w:color w:val="auto"/>
          <w:sz w:val="28"/>
          <w:szCs w:val="28"/>
        </w:rPr>
        <w:t>3单价金额小数点或者百分比有明显错位的，以开标一览表的总价为准，并修改单价；</w:t>
      </w:r>
    </w:p>
    <w:p>
      <w:pPr>
        <w:spacing w:line="440" w:lineRule="exact"/>
        <w:ind w:firstLine="500"/>
        <w:rPr>
          <w:rFonts w:ascii="仿宋" w:hAnsi="仿宋" w:eastAsia="仿宋"/>
          <w:color w:val="auto"/>
          <w:sz w:val="28"/>
          <w:szCs w:val="28"/>
        </w:rPr>
      </w:pPr>
      <w:r>
        <w:rPr>
          <w:rFonts w:hint="eastAsia" w:ascii="仿宋" w:hAnsi="仿宋" w:eastAsia="仿宋"/>
          <w:color w:val="auto"/>
          <w:spacing w:val="-8"/>
          <w:sz w:val="28"/>
          <w:szCs w:val="28"/>
        </w:rPr>
        <w:t>25.4</w:t>
      </w:r>
      <w:r>
        <w:rPr>
          <w:rFonts w:hint="eastAsia" w:ascii="仿宋" w:hAnsi="仿宋" w:eastAsia="仿宋"/>
          <w:color w:val="auto"/>
          <w:sz w:val="28"/>
          <w:szCs w:val="28"/>
        </w:rPr>
        <w:t>总价金额与按单价汇总金额不一致的，以单价金额计算结果为准。</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b/>
          <w:bCs/>
          <w:color w:val="auto"/>
          <w:sz w:val="28"/>
          <w:szCs w:val="28"/>
        </w:rPr>
      </w:pPr>
      <w:r>
        <w:rPr>
          <w:rFonts w:hint="eastAsia" w:ascii="仿宋" w:hAnsi="仿宋" w:eastAsia="仿宋"/>
          <w:b/>
          <w:bCs/>
          <w:color w:val="auto"/>
          <w:sz w:val="28"/>
          <w:szCs w:val="28"/>
        </w:rPr>
        <w:t>26.</w:t>
      </w:r>
      <w:r>
        <w:rPr>
          <w:rFonts w:ascii="仿宋" w:hAnsi="仿宋" w:eastAsia="仿宋"/>
          <w:b/>
          <w:bCs/>
          <w:color w:val="auto"/>
          <w:sz w:val="28"/>
          <w:szCs w:val="28"/>
        </w:rPr>
        <w:t>投标文件的评审、比较和否决</w:t>
      </w:r>
      <w:r>
        <w:rPr>
          <w:rFonts w:ascii="仿宋" w:hAnsi="仿宋" w:eastAsia="仿宋"/>
          <w:b/>
          <w:bCs/>
          <w:color w:val="auto"/>
          <w:sz w:val="28"/>
          <w:szCs w:val="28"/>
        </w:rPr>
        <w:tab/>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26</w:t>
      </w:r>
      <w:r>
        <w:rPr>
          <w:rFonts w:ascii="仿宋" w:hAnsi="仿宋" w:eastAsia="仿宋"/>
          <w:color w:val="auto"/>
          <w:sz w:val="28"/>
          <w:szCs w:val="28"/>
        </w:rPr>
        <w:t>.1评标委员会将对在实质上响应招标文件要求的投标文件进行评估和比较。</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26</w:t>
      </w:r>
      <w:r>
        <w:rPr>
          <w:rFonts w:ascii="仿宋" w:hAnsi="仿宋" w:eastAsia="仿宋"/>
          <w:color w:val="auto"/>
          <w:sz w:val="28"/>
          <w:szCs w:val="28"/>
        </w:rPr>
        <w:t>.2 在评审过程中,评标委员会可以要求投标人就投标文件中含义不明确的内容进行说明并提供相关材料。</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26</w:t>
      </w:r>
      <w:r>
        <w:rPr>
          <w:rFonts w:ascii="仿宋" w:hAnsi="仿宋" w:eastAsia="仿宋"/>
          <w:color w:val="auto"/>
          <w:sz w:val="28"/>
          <w:szCs w:val="28"/>
        </w:rPr>
        <w:t>.</w:t>
      </w:r>
      <w:r>
        <w:rPr>
          <w:rFonts w:hint="eastAsia" w:ascii="仿宋" w:hAnsi="仿宋" w:eastAsia="仿宋"/>
          <w:color w:val="auto"/>
          <w:sz w:val="28"/>
          <w:szCs w:val="28"/>
        </w:rPr>
        <w:t>3在评审过程中，如发现与招标文件要求相偏离的，评标委员会应对其偏离情形进行必要的书面核实。</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26</w:t>
      </w:r>
      <w:r>
        <w:rPr>
          <w:rFonts w:ascii="仿宋" w:hAnsi="仿宋" w:eastAsia="仿宋"/>
          <w:color w:val="auto"/>
          <w:sz w:val="28"/>
          <w:szCs w:val="28"/>
        </w:rPr>
        <w:t>.</w:t>
      </w:r>
      <w:r>
        <w:rPr>
          <w:rFonts w:hint="eastAsia" w:ascii="仿宋" w:hAnsi="仿宋" w:eastAsia="仿宋"/>
          <w:color w:val="auto"/>
          <w:sz w:val="28"/>
          <w:szCs w:val="28"/>
        </w:rPr>
        <w:t>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color w:val="auto"/>
          <w:sz w:val="28"/>
          <w:szCs w:val="28"/>
          <w:u w:val="single"/>
        </w:rPr>
      </w:pPr>
      <w:r>
        <w:rPr>
          <w:rFonts w:hint="eastAsia" w:ascii="仿宋" w:hAnsi="仿宋" w:eastAsia="仿宋"/>
          <w:color w:val="auto"/>
          <w:sz w:val="28"/>
          <w:szCs w:val="28"/>
        </w:rPr>
        <w:t>26.5在评审过程中，如发现投标文件同一内容前后描述不一致的，评标委员会有权对其做出不利的判定。</w:t>
      </w:r>
    </w:p>
    <w:p>
      <w:pPr>
        <w:spacing w:line="440" w:lineRule="exact"/>
        <w:ind w:firstLine="500"/>
        <w:rPr>
          <w:rFonts w:ascii="仿宋" w:hAnsi="仿宋" w:eastAsia="仿宋"/>
          <w:color w:val="auto"/>
          <w:sz w:val="28"/>
          <w:szCs w:val="28"/>
        </w:rPr>
      </w:pPr>
      <w:r>
        <w:rPr>
          <w:rFonts w:hint="eastAsia" w:ascii="仿宋" w:hAnsi="仿宋" w:eastAsia="仿宋"/>
          <w:color w:val="auto"/>
          <w:sz w:val="28"/>
          <w:szCs w:val="28"/>
        </w:rPr>
        <w:t>26</w:t>
      </w:r>
      <w:r>
        <w:rPr>
          <w:rFonts w:ascii="仿宋" w:hAnsi="仿宋" w:eastAsia="仿宋"/>
          <w:color w:val="auto"/>
          <w:sz w:val="28"/>
          <w:szCs w:val="28"/>
        </w:rPr>
        <w:t>.</w:t>
      </w:r>
      <w:r>
        <w:rPr>
          <w:rFonts w:hint="eastAsia" w:ascii="仿宋" w:hAnsi="仿宋" w:eastAsia="仿宋"/>
          <w:color w:val="auto"/>
          <w:sz w:val="28"/>
          <w:szCs w:val="28"/>
        </w:rPr>
        <w:t>6</w:t>
      </w:r>
      <w:r>
        <w:rPr>
          <w:rFonts w:ascii="仿宋" w:hAnsi="仿宋" w:eastAsia="仿宋"/>
          <w:color w:val="auto"/>
          <w:sz w:val="28"/>
          <w:szCs w:val="28"/>
        </w:rPr>
        <w:t xml:space="preserve"> 评标委员会依据</w:t>
      </w:r>
      <w:r>
        <w:rPr>
          <w:rFonts w:hint="eastAsia" w:ascii="仿宋" w:hAnsi="仿宋" w:eastAsia="仿宋"/>
          <w:color w:val="auto"/>
          <w:sz w:val="28"/>
          <w:szCs w:val="28"/>
        </w:rPr>
        <w:t>招标文件</w:t>
      </w:r>
      <w:r>
        <w:rPr>
          <w:rFonts w:ascii="仿宋" w:hAnsi="仿宋" w:eastAsia="仿宋"/>
          <w:color w:val="auto"/>
          <w:sz w:val="28"/>
          <w:szCs w:val="28"/>
        </w:rPr>
        <w:t>规定的评标标准和方法，对投标文件进行评审和比较，向</w:t>
      </w:r>
      <w:r>
        <w:rPr>
          <w:rFonts w:hint="eastAsia" w:ascii="仿宋" w:hAnsi="仿宋" w:eastAsia="仿宋"/>
          <w:color w:val="auto"/>
          <w:sz w:val="28"/>
          <w:szCs w:val="28"/>
        </w:rPr>
        <w:t>集中采购机构提交</w:t>
      </w:r>
      <w:r>
        <w:rPr>
          <w:rFonts w:ascii="仿宋" w:hAnsi="仿宋" w:eastAsia="仿宋"/>
          <w:color w:val="auto"/>
          <w:sz w:val="28"/>
          <w:szCs w:val="28"/>
        </w:rPr>
        <w:t>书面评标报告，并推荐合格的中标候选人。</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27.废标</w:t>
      </w:r>
    </w:p>
    <w:p>
      <w:pPr>
        <w:spacing w:line="440" w:lineRule="exact"/>
        <w:ind w:firstLine="560" w:firstLineChars="200"/>
        <w:rPr>
          <w:rFonts w:ascii="仿宋" w:hAnsi="仿宋" w:eastAsia="仿宋"/>
          <w:b/>
          <w:bCs/>
          <w:color w:val="auto"/>
          <w:sz w:val="28"/>
          <w:szCs w:val="28"/>
        </w:rPr>
      </w:pPr>
      <w:r>
        <w:rPr>
          <w:rFonts w:hint="eastAsia" w:ascii="仿宋" w:hAnsi="仿宋" w:eastAsia="仿宋"/>
          <w:b/>
          <w:bCs/>
          <w:color w:val="auto"/>
          <w:sz w:val="28"/>
          <w:szCs w:val="28"/>
        </w:rPr>
        <w:t>在招标采购中，出现下列情形之一的，应予废标（</w:t>
      </w:r>
      <w:r>
        <w:rPr>
          <w:rFonts w:hint="eastAsia" w:ascii="仿宋" w:hAnsi="仿宋" w:eastAsia="仿宋"/>
          <w:b/>
          <w:snapToGrid w:val="0"/>
          <w:color w:val="auto"/>
          <w:sz w:val="28"/>
          <w:szCs w:val="28"/>
        </w:rPr>
        <w:t>法律、法规、规章、省级及以上监管部门规定的其他情形除外）</w:t>
      </w:r>
      <w:r>
        <w:rPr>
          <w:rFonts w:hint="eastAsia" w:ascii="仿宋" w:hAnsi="仿宋" w:eastAsia="仿宋"/>
          <w:b/>
          <w:bCs/>
          <w:color w:val="auto"/>
          <w:sz w:val="28"/>
          <w:szCs w:val="28"/>
        </w:rPr>
        <w:t>：</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27.1符合专业条件的供应商或者对招标文件作实质响应的供应商不足三家的；</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27.2出现影响采购公正的违法、违规行为的；</w:t>
      </w:r>
    </w:p>
    <w:p>
      <w:pPr>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27.3因重大变故，采购任务取消的;</w:t>
      </w:r>
    </w:p>
    <w:p>
      <w:pPr>
        <w:spacing w:line="440" w:lineRule="exact"/>
        <w:ind w:firstLine="560" w:firstLineChars="200"/>
        <w:rPr>
          <w:rFonts w:ascii="仿宋" w:hAnsi="仿宋" w:eastAsia="仿宋"/>
          <w:b/>
          <w:snapToGrid w:val="0"/>
          <w:color w:val="auto"/>
          <w:sz w:val="28"/>
          <w:szCs w:val="28"/>
        </w:rPr>
      </w:pPr>
      <w:r>
        <w:rPr>
          <w:rFonts w:hint="eastAsia" w:ascii="仿宋" w:hAnsi="仿宋" w:eastAsia="仿宋"/>
          <w:bCs/>
          <w:color w:val="auto"/>
          <w:sz w:val="28"/>
          <w:szCs w:val="28"/>
        </w:rPr>
        <w:t>27.4投标人的报价均超采购预算的，采购人不能支付的。</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28.定标</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28.1集中采购机构在</w:t>
      </w:r>
      <w:r>
        <w:rPr>
          <w:rFonts w:ascii="仿宋" w:hAnsi="仿宋" w:eastAsia="仿宋"/>
          <w:color w:val="auto"/>
          <w:sz w:val="28"/>
          <w:szCs w:val="28"/>
        </w:rPr>
        <w:t>评标结束后2个工作日内</w:t>
      </w:r>
      <w:r>
        <w:rPr>
          <w:rFonts w:hint="eastAsia" w:ascii="仿宋" w:hAnsi="仿宋" w:eastAsia="仿宋"/>
          <w:color w:val="auto"/>
          <w:sz w:val="28"/>
          <w:szCs w:val="28"/>
        </w:rPr>
        <w:t>将</w:t>
      </w:r>
      <w:r>
        <w:rPr>
          <w:rFonts w:ascii="仿宋" w:hAnsi="仿宋" w:eastAsia="仿宋"/>
          <w:color w:val="auto"/>
          <w:sz w:val="28"/>
          <w:szCs w:val="28"/>
        </w:rPr>
        <w:t>评标报告</w:t>
      </w:r>
      <w:r>
        <w:rPr>
          <w:rFonts w:hint="eastAsia" w:ascii="仿宋" w:hAnsi="仿宋" w:eastAsia="仿宋"/>
          <w:color w:val="auto"/>
          <w:sz w:val="28"/>
          <w:szCs w:val="28"/>
        </w:rPr>
        <w:t>送交采购人确认，采购人应在收到评标报告后五个工作日内依法确定中标供应商，并将确认意见书面形式回复集中采购机构，逾期未复视为同意</w:t>
      </w:r>
      <w:r>
        <w:rPr>
          <w:rFonts w:ascii="仿宋" w:hAnsi="仿宋" w:eastAsia="仿宋"/>
          <w:color w:val="auto"/>
          <w:sz w:val="28"/>
          <w:szCs w:val="28"/>
        </w:rPr>
        <w:t>。</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28.2中标供应商确定后，中标结果在财政部门指定的政府采购信息发布媒体上公告。</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28.4中标通知书发出后，采购人改变中标结果，或者中标供应商放弃中标，应当承担相应的法律责任。</w:t>
      </w:r>
    </w:p>
    <w:p>
      <w:pPr>
        <w:pStyle w:val="4"/>
        <w:jc w:val="center"/>
        <w:rPr>
          <w:rFonts w:ascii="仿宋" w:hAnsi="仿宋" w:eastAsia="仿宋"/>
          <w:color w:val="auto"/>
          <w:sz w:val="28"/>
          <w:szCs w:val="28"/>
        </w:rPr>
      </w:pPr>
      <w:bookmarkStart w:id="46" w:name="_Toc36454320"/>
      <w:r>
        <w:rPr>
          <w:rFonts w:hint="eastAsia" w:ascii="仿宋" w:hAnsi="仿宋" w:eastAsia="仿宋"/>
          <w:color w:val="auto"/>
          <w:sz w:val="28"/>
          <w:szCs w:val="28"/>
        </w:rPr>
        <w:t>七、投标无效的情形</w:t>
      </w:r>
      <w:bookmarkEnd w:id="46"/>
    </w:p>
    <w:p>
      <w:pPr>
        <w:spacing w:line="440" w:lineRule="exact"/>
        <w:ind w:firstLine="560" w:firstLineChars="200"/>
        <w:rPr>
          <w:rFonts w:ascii="仿宋" w:hAnsi="仿宋" w:eastAsia="仿宋"/>
          <w:b/>
          <w:color w:val="auto"/>
          <w:sz w:val="28"/>
          <w:szCs w:val="28"/>
        </w:rPr>
      </w:pPr>
      <w:r>
        <w:rPr>
          <w:rFonts w:hint="eastAsia" w:ascii="仿宋" w:hAnsi="仿宋" w:eastAsia="仿宋"/>
          <w:b/>
          <w:color w:val="auto"/>
          <w:sz w:val="28"/>
          <w:szCs w:val="28"/>
        </w:rPr>
        <w:t>29.投标文件有下列情况之一者</w:t>
      </w:r>
      <w:r>
        <w:rPr>
          <w:rFonts w:ascii="仿宋" w:hAnsi="仿宋" w:eastAsia="仿宋"/>
          <w:b/>
          <w:color w:val="auto"/>
          <w:sz w:val="28"/>
          <w:szCs w:val="28"/>
        </w:rPr>
        <w:t>,</w:t>
      </w:r>
      <w:r>
        <w:rPr>
          <w:rFonts w:hint="eastAsia" w:ascii="仿宋" w:hAnsi="仿宋" w:eastAsia="仿宋"/>
          <w:b/>
          <w:color w:val="auto"/>
          <w:sz w:val="28"/>
          <w:szCs w:val="28"/>
        </w:rPr>
        <w:t xml:space="preserve"> 投标文件将被视为无效：</w:t>
      </w:r>
    </w:p>
    <w:p>
      <w:pPr>
        <w:spacing w:line="440" w:lineRule="exact"/>
        <w:ind w:firstLine="560" w:firstLineChars="200"/>
        <w:rPr>
          <w:rFonts w:ascii="仿宋_GB2312" w:hAnsi="仿宋" w:eastAsia="仿宋_GB2312"/>
          <w:b/>
          <w:color w:val="auto"/>
          <w:sz w:val="24"/>
        </w:rPr>
      </w:pPr>
      <w:r>
        <w:rPr>
          <w:rFonts w:hint="eastAsia" w:ascii="仿宋_GB2312" w:hAnsi="仿宋" w:eastAsia="仿宋_GB2312"/>
          <w:b/>
          <w:color w:val="auto"/>
          <w:sz w:val="28"/>
          <w:szCs w:val="28"/>
        </w:rPr>
        <w:t>29.1资格审查没有通过的</w:t>
      </w:r>
      <w:r>
        <w:rPr>
          <w:rFonts w:hint="eastAsia" w:ascii="仿宋_GB2312" w:hAnsi="仿宋" w:eastAsia="仿宋_GB2312"/>
          <w:b/>
          <w:color w:val="auto"/>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ascii="仿宋" w:hAnsi="仿宋" w:eastAsia="仿宋"/>
          <w:b/>
          <w:color w:val="auto"/>
          <w:sz w:val="28"/>
          <w:szCs w:val="28"/>
        </w:rPr>
      </w:pPr>
      <w:r>
        <w:rPr>
          <w:rFonts w:hint="eastAsia" w:ascii="仿宋" w:hAnsi="仿宋" w:eastAsia="仿宋"/>
          <w:b/>
          <w:color w:val="auto"/>
          <w:sz w:val="28"/>
          <w:szCs w:val="28"/>
        </w:rPr>
        <w:t>29.2电子投标文件在规定时间内解密失败的；</w:t>
      </w:r>
    </w:p>
    <w:p>
      <w:pPr>
        <w:spacing w:line="440" w:lineRule="exact"/>
        <w:ind w:firstLine="560" w:firstLineChars="200"/>
        <w:rPr>
          <w:rFonts w:ascii="仿宋" w:hAnsi="仿宋" w:eastAsia="仿宋"/>
          <w:b/>
          <w:color w:val="auto"/>
          <w:sz w:val="28"/>
          <w:szCs w:val="28"/>
        </w:rPr>
      </w:pPr>
      <w:r>
        <w:rPr>
          <w:rFonts w:hint="eastAsia" w:ascii="仿宋" w:hAnsi="仿宋" w:eastAsia="仿宋"/>
          <w:b/>
          <w:color w:val="auto"/>
          <w:sz w:val="28"/>
          <w:szCs w:val="28"/>
        </w:rPr>
        <w:t>29.3未按照招标文件规定的要求签署、盖章的；</w:t>
      </w:r>
    </w:p>
    <w:p>
      <w:pPr>
        <w:spacing w:line="440" w:lineRule="exact"/>
        <w:ind w:firstLine="548" w:firstLineChars="196"/>
        <w:rPr>
          <w:rFonts w:ascii="仿宋" w:hAnsi="仿宋" w:eastAsia="仿宋"/>
          <w:b/>
          <w:color w:val="auto"/>
          <w:sz w:val="28"/>
          <w:szCs w:val="28"/>
        </w:rPr>
      </w:pPr>
      <w:r>
        <w:rPr>
          <w:rFonts w:hint="eastAsia" w:ascii="仿宋" w:hAnsi="仿宋" w:eastAsia="仿宋"/>
          <w:b/>
          <w:color w:val="auto"/>
          <w:sz w:val="28"/>
          <w:szCs w:val="28"/>
        </w:rPr>
        <w:t>29.4投标文件中资格部分、商务部分、技术部分中出现价格部分内容的；</w:t>
      </w:r>
    </w:p>
    <w:p>
      <w:pPr>
        <w:spacing w:line="440" w:lineRule="exact"/>
        <w:ind w:firstLine="560" w:firstLineChars="200"/>
        <w:rPr>
          <w:rFonts w:ascii="仿宋" w:hAnsi="仿宋" w:eastAsia="仿宋"/>
          <w:b/>
          <w:color w:val="auto"/>
          <w:sz w:val="28"/>
          <w:szCs w:val="28"/>
        </w:rPr>
      </w:pPr>
      <w:r>
        <w:rPr>
          <w:rFonts w:hint="eastAsia" w:ascii="仿宋" w:hAnsi="仿宋" w:eastAsia="仿宋"/>
          <w:b/>
          <w:color w:val="auto"/>
          <w:sz w:val="28"/>
          <w:szCs w:val="28"/>
        </w:rPr>
        <w:t>29.5投标人在一份投标文件中对同一采购项目有两个或两个以上报价的；</w:t>
      </w:r>
    </w:p>
    <w:p>
      <w:pPr>
        <w:spacing w:line="440" w:lineRule="exact"/>
        <w:ind w:firstLine="560" w:firstLineChars="200"/>
        <w:rPr>
          <w:rFonts w:ascii="仿宋" w:hAnsi="仿宋" w:eastAsia="仿宋"/>
          <w:b/>
          <w:color w:val="auto"/>
          <w:sz w:val="28"/>
          <w:szCs w:val="28"/>
        </w:rPr>
      </w:pPr>
      <w:r>
        <w:rPr>
          <w:rFonts w:hint="eastAsia" w:ascii="仿宋" w:hAnsi="仿宋" w:eastAsia="仿宋"/>
          <w:b/>
          <w:color w:val="auto"/>
          <w:sz w:val="28"/>
          <w:szCs w:val="28"/>
        </w:rPr>
        <w:t>29.6投标</w:t>
      </w:r>
      <w:r>
        <w:rPr>
          <w:rFonts w:ascii="仿宋" w:hAnsi="仿宋" w:eastAsia="仿宋"/>
          <w:b/>
          <w:color w:val="auto"/>
          <w:sz w:val="28"/>
          <w:szCs w:val="28"/>
        </w:rPr>
        <w:t>报价超过招标文件中规定的预算金额或者最高限价的；</w:t>
      </w:r>
    </w:p>
    <w:p>
      <w:pPr>
        <w:spacing w:line="440" w:lineRule="exact"/>
        <w:ind w:firstLine="560" w:firstLineChars="200"/>
        <w:rPr>
          <w:rFonts w:ascii="仿宋" w:hAnsi="仿宋" w:eastAsia="仿宋"/>
          <w:b/>
          <w:snapToGrid w:val="0"/>
          <w:color w:val="auto"/>
          <w:sz w:val="28"/>
          <w:szCs w:val="28"/>
        </w:rPr>
      </w:pPr>
      <w:r>
        <w:rPr>
          <w:rFonts w:hint="eastAsia" w:ascii="仿宋" w:hAnsi="仿宋" w:eastAsia="仿宋"/>
          <w:b/>
          <w:color w:val="auto"/>
          <w:sz w:val="28"/>
          <w:szCs w:val="28"/>
        </w:rPr>
        <w:t>29.7投标文件</w:t>
      </w:r>
      <w:r>
        <w:rPr>
          <w:rFonts w:hint="eastAsia" w:ascii="仿宋" w:hAnsi="仿宋" w:eastAsia="仿宋"/>
          <w:b/>
          <w:snapToGrid w:val="0"/>
          <w:color w:val="auto"/>
          <w:sz w:val="28"/>
          <w:szCs w:val="28"/>
        </w:rPr>
        <w:t>载明的招标项目完成期限超过招标文件规定的期限，采购人不能接受的；</w:t>
      </w:r>
    </w:p>
    <w:p>
      <w:pPr>
        <w:spacing w:line="440" w:lineRule="exact"/>
        <w:ind w:firstLine="560" w:firstLineChars="200"/>
        <w:rPr>
          <w:rFonts w:ascii="仿宋" w:hAnsi="仿宋" w:eastAsia="仿宋"/>
          <w:b/>
          <w:snapToGrid w:val="0"/>
          <w:color w:val="auto"/>
          <w:sz w:val="28"/>
          <w:szCs w:val="28"/>
        </w:rPr>
      </w:pPr>
      <w:r>
        <w:rPr>
          <w:rFonts w:hint="eastAsia" w:ascii="仿宋" w:hAnsi="仿宋" w:eastAsia="仿宋"/>
          <w:b/>
          <w:snapToGrid w:val="0"/>
          <w:color w:val="auto"/>
          <w:sz w:val="28"/>
          <w:szCs w:val="28"/>
        </w:rPr>
        <w:t>29.8</w:t>
      </w:r>
      <w:r>
        <w:rPr>
          <w:rFonts w:hint="eastAsia" w:ascii="仿宋" w:hAnsi="仿宋" w:eastAsia="仿宋"/>
          <w:b/>
          <w:color w:val="auto"/>
          <w:sz w:val="28"/>
          <w:szCs w:val="28"/>
        </w:rPr>
        <w:t>投标文件</w:t>
      </w:r>
      <w:r>
        <w:rPr>
          <w:rFonts w:hint="eastAsia" w:ascii="仿宋" w:hAnsi="仿宋" w:eastAsia="仿宋"/>
          <w:b/>
          <w:snapToGrid w:val="0"/>
          <w:color w:val="auto"/>
          <w:sz w:val="28"/>
          <w:szCs w:val="28"/>
        </w:rPr>
        <w:t>载明的投标有效期、质量保证期少于招标文件规定期限的；</w:t>
      </w:r>
    </w:p>
    <w:p>
      <w:pPr>
        <w:spacing w:line="440" w:lineRule="exact"/>
        <w:ind w:firstLine="560" w:firstLineChars="200"/>
        <w:rPr>
          <w:rFonts w:ascii="仿宋" w:hAnsi="仿宋" w:eastAsia="仿宋"/>
          <w:b/>
          <w:color w:val="auto"/>
          <w:sz w:val="28"/>
          <w:szCs w:val="28"/>
        </w:rPr>
      </w:pPr>
      <w:r>
        <w:rPr>
          <w:rFonts w:hint="eastAsia" w:ascii="仿宋" w:hAnsi="仿宋" w:eastAsia="仿宋"/>
          <w:b/>
          <w:color w:val="auto"/>
          <w:sz w:val="28"/>
          <w:szCs w:val="28"/>
        </w:rPr>
        <w:t>29.9投标文件未响应招标文件规定的付款方式的；</w:t>
      </w:r>
    </w:p>
    <w:p>
      <w:pPr>
        <w:spacing w:line="440" w:lineRule="exact"/>
        <w:ind w:firstLine="548" w:firstLineChars="196"/>
        <w:rPr>
          <w:rFonts w:ascii="仿宋" w:hAnsi="仿宋" w:eastAsia="仿宋"/>
          <w:b/>
          <w:snapToGrid w:val="0"/>
          <w:color w:val="auto"/>
          <w:sz w:val="28"/>
          <w:szCs w:val="28"/>
        </w:rPr>
      </w:pPr>
      <w:r>
        <w:rPr>
          <w:rFonts w:hint="eastAsia" w:ascii="仿宋" w:hAnsi="仿宋" w:eastAsia="仿宋"/>
          <w:b/>
          <w:color w:val="auto"/>
          <w:sz w:val="28"/>
          <w:szCs w:val="28"/>
        </w:rPr>
        <w:t>29.10投标货物的</w:t>
      </w:r>
      <w:r>
        <w:rPr>
          <w:rFonts w:hint="eastAsia" w:ascii="仿宋" w:hAnsi="仿宋" w:eastAsia="仿宋"/>
          <w:b/>
          <w:snapToGrid w:val="0"/>
          <w:color w:val="auto"/>
          <w:sz w:val="28"/>
          <w:szCs w:val="28"/>
        </w:rPr>
        <w:t>技术规范、技术标准明显不符合国家强制性要求的；</w:t>
      </w:r>
    </w:p>
    <w:p>
      <w:pPr>
        <w:spacing w:line="440" w:lineRule="exact"/>
        <w:ind w:firstLine="600"/>
        <w:rPr>
          <w:rFonts w:ascii="仿宋" w:hAnsi="仿宋" w:eastAsia="仿宋"/>
          <w:b/>
          <w:snapToGrid w:val="0"/>
          <w:color w:val="auto"/>
          <w:sz w:val="28"/>
          <w:szCs w:val="28"/>
        </w:rPr>
      </w:pPr>
      <w:r>
        <w:rPr>
          <w:rFonts w:hint="eastAsia" w:ascii="仿宋" w:hAnsi="仿宋" w:eastAsia="仿宋"/>
          <w:b/>
          <w:snapToGrid w:val="0"/>
          <w:color w:val="auto"/>
          <w:sz w:val="28"/>
          <w:szCs w:val="28"/>
        </w:rPr>
        <w:t>29.11投标货物载明的验收标准和方法等不符合国家规定及招标文件要求的；</w:t>
      </w:r>
    </w:p>
    <w:p>
      <w:pPr>
        <w:spacing w:line="440" w:lineRule="exact"/>
        <w:ind w:firstLine="600"/>
        <w:rPr>
          <w:rFonts w:ascii="仿宋" w:hAnsi="仿宋" w:eastAsia="仿宋"/>
          <w:b/>
          <w:color w:val="auto"/>
          <w:sz w:val="28"/>
          <w:szCs w:val="28"/>
        </w:rPr>
      </w:pPr>
      <w:r>
        <w:rPr>
          <w:rFonts w:hint="eastAsia" w:ascii="仿宋" w:hAnsi="仿宋" w:eastAsia="仿宋"/>
          <w:b/>
          <w:color w:val="auto"/>
          <w:sz w:val="28"/>
          <w:szCs w:val="28"/>
        </w:rPr>
        <w:t>29.12投标文件字迹模糊辨认不清的（评标委员会一致认为难以确认）；</w:t>
      </w:r>
    </w:p>
    <w:p>
      <w:pPr>
        <w:spacing w:line="440" w:lineRule="exact"/>
        <w:ind w:firstLine="560" w:firstLineChars="200"/>
        <w:rPr>
          <w:rFonts w:ascii="仿宋" w:hAnsi="仿宋" w:eastAsia="仿宋"/>
          <w:b/>
          <w:color w:val="auto"/>
          <w:kern w:val="0"/>
          <w:sz w:val="28"/>
          <w:szCs w:val="28"/>
        </w:rPr>
      </w:pPr>
      <w:r>
        <w:rPr>
          <w:rFonts w:hint="eastAsia" w:ascii="仿宋" w:hAnsi="仿宋" w:eastAsia="仿宋"/>
          <w:b/>
          <w:snapToGrid w:val="0"/>
          <w:color w:val="auto"/>
          <w:sz w:val="28"/>
          <w:szCs w:val="28"/>
        </w:rPr>
        <w:t>29.13</w:t>
      </w:r>
      <w:r>
        <w:rPr>
          <w:rFonts w:hint="eastAsia" w:ascii="仿宋" w:hAnsi="仿宋" w:eastAsia="仿宋"/>
          <w:b/>
          <w:color w:val="auto"/>
          <w:kern w:val="0"/>
          <w:sz w:val="28"/>
          <w:szCs w:val="28"/>
        </w:rPr>
        <w:t>提供不真实资料的；</w:t>
      </w:r>
    </w:p>
    <w:p>
      <w:pPr>
        <w:spacing w:line="440" w:lineRule="exact"/>
        <w:ind w:firstLine="560" w:firstLineChars="200"/>
        <w:rPr>
          <w:rFonts w:ascii="仿宋" w:hAnsi="仿宋" w:eastAsia="仿宋"/>
          <w:b/>
          <w:color w:val="auto"/>
          <w:sz w:val="28"/>
          <w:szCs w:val="28"/>
        </w:rPr>
      </w:pPr>
      <w:r>
        <w:rPr>
          <w:rFonts w:hint="eastAsia" w:ascii="仿宋" w:hAnsi="仿宋" w:eastAsia="仿宋"/>
          <w:b/>
          <w:snapToGrid w:val="0"/>
          <w:color w:val="auto"/>
          <w:sz w:val="28"/>
          <w:szCs w:val="28"/>
        </w:rPr>
        <w:t>29.14</w:t>
      </w:r>
      <w:r>
        <w:rPr>
          <w:rFonts w:hint="eastAsia" w:ascii="仿宋" w:hAnsi="仿宋" w:eastAsia="仿宋"/>
          <w:b/>
          <w:color w:val="auto"/>
          <w:sz w:val="28"/>
          <w:szCs w:val="28"/>
        </w:rPr>
        <w:t>投标货物的</w:t>
      </w:r>
      <w:r>
        <w:rPr>
          <w:rFonts w:hint="eastAsia" w:ascii="仿宋" w:hAnsi="仿宋" w:eastAsia="仿宋"/>
          <w:b/>
          <w:snapToGrid w:val="0"/>
          <w:color w:val="auto"/>
          <w:sz w:val="28"/>
          <w:szCs w:val="28"/>
        </w:rPr>
        <w:t>技术指标、参数等存在实质性偏离</w:t>
      </w:r>
      <w:r>
        <w:rPr>
          <w:rFonts w:hint="eastAsia" w:ascii="仿宋" w:hAnsi="仿宋" w:eastAsia="仿宋"/>
          <w:b/>
          <w:color w:val="auto"/>
          <w:sz w:val="28"/>
          <w:szCs w:val="28"/>
        </w:rPr>
        <w:t>（评标委员会一致认定）</w:t>
      </w:r>
      <w:r>
        <w:rPr>
          <w:rFonts w:hint="eastAsia" w:ascii="仿宋" w:hAnsi="仿宋" w:eastAsia="仿宋"/>
          <w:b/>
          <w:snapToGrid w:val="0"/>
          <w:color w:val="auto"/>
          <w:sz w:val="28"/>
          <w:szCs w:val="28"/>
        </w:rPr>
        <w:t>的；</w:t>
      </w:r>
    </w:p>
    <w:p>
      <w:pPr>
        <w:spacing w:line="440" w:lineRule="exact"/>
        <w:ind w:firstLine="560" w:firstLineChars="200"/>
        <w:rPr>
          <w:rFonts w:ascii="仿宋" w:hAnsi="仿宋" w:eastAsia="仿宋"/>
          <w:b/>
          <w:snapToGrid w:val="0"/>
          <w:color w:val="auto"/>
          <w:sz w:val="28"/>
          <w:szCs w:val="28"/>
        </w:rPr>
      </w:pPr>
      <w:r>
        <w:rPr>
          <w:rFonts w:hint="eastAsia" w:ascii="仿宋" w:hAnsi="仿宋" w:eastAsia="仿宋"/>
          <w:b/>
          <w:snapToGrid w:val="0"/>
          <w:color w:val="auto"/>
          <w:sz w:val="28"/>
          <w:szCs w:val="28"/>
        </w:rPr>
        <w:t>29.15未满足招标文件中打“</w:t>
      </w:r>
      <w:r>
        <w:rPr>
          <w:rFonts w:hint="eastAsia" w:ascii="仿宋" w:hAnsi="仿宋" w:eastAsia="仿宋" w:cs="宋体"/>
          <w:color w:val="auto"/>
          <w:kern w:val="0"/>
          <w:sz w:val="24"/>
        </w:rPr>
        <w:t>★</w:t>
      </w:r>
      <w:r>
        <w:rPr>
          <w:rFonts w:hint="eastAsia" w:ascii="仿宋" w:hAnsi="仿宋" w:eastAsia="仿宋"/>
          <w:b/>
          <w:snapToGrid w:val="0"/>
          <w:color w:val="auto"/>
          <w:sz w:val="28"/>
          <w:szCs w:val="28"/>
        </w:rPr>
        <w:t>”条款的；</w:t>
      </w:r>
    </w:p>
    <w:p>
      <w:pPr>
        <w:spacing w:line="440" w:lineRule="exact"/>
        <w:ind w:firstLine="560" w:firstLineChars="200"/>
        <w:rPr>
          <w:rFonts w:ascii="仿宋" w:hAnsi="仿宋" w:eastAsia="仿宋"/>
          <w:b/>
          <w:snapToGrid w:val="0"/>
          <w:color w:val="auto"/>
          <w:sz w:val="28"/>
          <w:szCs w:val="28"/>
        </w:rPr>
      </w:pPr>
      <w:r>
        <w:rPr>
          <w:rFonts w:hint="eastAsia" w:ascii="仿宋" w:hAnsi="仿宋" w:eastAsia="仿宋"/>
          <w:b/>
          <w:snapToGrid w:val="0"/>
          <w:color w:val="auto"/>
          <w:sz w:val="28"/>
          <w:szCs w:val="28"/>
        </w:rPr>
        <w:t>29.16</w:t>
      </w:r>
      <w:r>
        <w:rPr>
          <w:rFonts w:hint="eastAsia" w:ascii="仿宋" w:hAnsi="仿宋" w:eastAsia="仿宋"/>
          <w:b/>
          <w:snapToGrid w:val="0"/>
          <w:color w:val="auto"/>
          <w:kern w:val="0"/>
          <w:sz w:val="28"/>
          <w:szCs w:val="28"/>
        </w:rPr>
        <w:t>不符合法律、法规和招标文件规定的其他实质</w:t>
      </w:r>
      <w:r>
        <w:rPr>
          <w:rFonts w:hint="eastAsia" w:ascii="仿宋" w:hAnsi="仿宋" w:eastAsia="仿宋"/>
          <w:b/>
          <w:snapToGrid w:val="0"/>
          <w:color w:val="auto"/>
          <w:sz w:val="28"/>
          <w:szCs w:val="28"/>
        </w:rPr>
        <w:t>性要求</w:t>
      </w:r>
      <w:r>
        <w:rPr>
          <w:rFonts w:hint="eastAsia" w:ascii="仿宋" w:hAnsi="仿宋" w:eastAsia="仿宋"/>
          <w:b/>
          <w:color w:val="auto"/>
          <w:sz w:val="28"/>
          <w:szCs w:val="28"/>
        </w:rPr>
        <w:t>（评标委员会一致认定）</w:t>
      </w:r>
      <w:r>
        <w:rPr>
          <w:rFonts w:hint="eastAsia" w:ascii="仿宋" w:hAnsi="仿宋" w:eastAsia="仿宋"/>
          <w:b/>
          <w:snapToGrid w:val="0"/>
          <w:color w:val="auto"/>
          <w:sz w:val="28"/>
          <w:szCs w:val="28"/>
        </w:rPr>
        <w:t>的；</w:t>
      </w:r>
    </w:p>
    <w:p>
      <w:pPr>
        <w:spacing w:line="440" w:lineRule="exact"/>
        <w:ind w:firstLine="548" w:firstLineChars="196"/>
        <w:rPr>
          <w:rFonts w:ascii="仿宋" w:hAnsi="仿宋" w:eastAsia="仿宋"/>
          <w:b/>
          <w:snapToGrid w:val="0"/>
          <w:color w:val="auto"/>
          <w:sz w:val="28"/>
          <w:szCs w:val="28"/>
        </w:rPr>
      </w:pPr>
      <w:r>
        <w:rPr>
          <w:rFonts w:hint="eastAsia" w:ascii="仿宋" w:hAnsi="仿宋" w:eastAsia="仿宋"/>
          <w:b/>
          <w:snapToGrid w:val="0"/>
          <w:color w:val="auto"/>
          <w:sz w:val="28"/>
          <w:szCs w:val="28"/>
        </w:rPr>
        <w:t>29.17二分之一以上的评委认为供应商报价明显高于市场平均价的；</w:t>
      </w:r>
    </w:p>
    <w:p>
      <w:pPr>
        <w:snapToGrid w:val="0"/>
        <w:spacing w:line="460" w:lineRule="exact"/>
        <w:ind w:firstLine="560" w:firstLineChars="200"/>
        <w:rPr>
          <w:rFonts w:ascii="仿宋" w:hAnsi="仿宋" w:eastAsia="仿宋"/>
          <w:b/>
          <w:color w:val="auto"/>
          <w:sz w:val="28"/>
          <w:szCs w:val="28"/>
        </w:rPr>
      </w:pPr>
      <w:r>
        <w:rPr>
          <w:rFonts w:hint="eastAsia" w:ascii="仿宋" w:hAnsi="仿宋" w:eastAsia="仿宋"/>
          <w:b/>
          <w:snapToGrid w:val="0"/>
          <w:color w:val="auto"/>
          <w:sz w:val="28"/>
          <w:szCs w:val="28"/>
        </w:rPr>
        <w:t>29.18</w:t>
      </w:r>
      <w:r>
        <w:rPr>
          <w:rFonts w:hint="eastAsia" w:ascii="仿宋" w:hAnsi="仿宋" w:eastAsia="仿宋"/>
          <w:b/>
          <w:color w:val="auto"/>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b/>
          <w:color w:val="auto"/>
          <w:sz w:val="28"/>
          <w:szCs w:val="28"/>
        </w:rPr>
      </w:pPr>
      <w:r>
        <w:rPr>
          <w:rFonts w:hint="eastAsia" w:ascii="仿宋" w:hAnsi="仿宋" w:eastAsia="仿宋"/>
          <w:b/>
          <w:snapToGrid w:val="0"/>
          <w:color w:val="auto"/>
          <w:sz w:val="28"/>
          <w:szCs w:val="28"/>
        </w:rPr>
        <w:t>29.19</w:t>
      </w:r>
      <w:r>
        <w:rPr>
          <w:rFonts w:hint="eastAsia" w:ascii="仿宋" w:hAnsi="仿宋" w:eastAsia="仿宋"/>
          <w:b/>
          <w:color w:val="auto"/>
          <w:sz w:val="28"/>
          <w:szCs w:val="28"/>
        </w:rPr>
        <w:t>投标文件含有采购人不能接受的附加条件的；</w:t>
      </w:r>
    </w:p>
    <w:p>
      <w:pPr>
        <w:snapToGrid w:val="0"/>
        <w:spacing w:line="460" w:lineRule="exact"/>
        <w:ind w:firstLine="560" w:firstLineChars="200"/>
        <w:rPr>
          <w:rFonts w:ascii="仿宋" w:hAnsi="仿宋" w:eastAsia="仿宋"/>
          <w:b/>
          <w:snapToGrid w:val="0"/>
          <w:color w:val="auto"/>
          <w:sz w:val="28"/>
          <w:szCs w:val="28"/>
        </w:rPr>
      </w:pPr>
      <w:r>
        <w:rPr>
          <w:rFonts w:hint="eastAsia" w:ascii="仿宋" w:hAnsi="仿宋" w:eastAsia="仿宋"/>
          <w:b/>
          <w:snapToGrid w:val="0"/>
          <w:color w:val="auto"/>
          <w:sz w:val="28"/>
          <w:szCs w:val="28"/>
        </w:rPr>
        <w:t>29.20</w:t>
      </w:r>
      <w:r>
        <w:rPr>
          <w:rFonts w:hint="eastAsia" w:ascii="仿宋" w:hAnsi="仿宋" w:eastAsia="仿宋"/>
          <w:b/>
          <w:color w:val="auto"/>
          <w:sz w:val="28"/>
          <w:szCs w:val="28"/>
        </w:rPr>
        <w:t>投标人被视为串通投标的；</w:t>
      </w:r>
    </w:p>
    <w:p>
      <w:pPr>
        <w:spacing w:line="440" w:lineRule="exact"/>
        <w:ind w:firstLine="560" w:firstLineChars="200"/>
        <w:rPr>
          <w:rFonts w:ascii="仿宋_GB2312" w:hAnsi="宋体" w:eastAsia="仿宋_GB2312"/>
          <w:b/>
          <w:snapToGrid w:val="0"/>
          <w:color w:val="auto"/>
          <w:sz w:val="28"/>
          <w:szCs w:val="28"/>
        </w:rPr>
      </w:pPr>
      <w:r>
        <w:rPr>
          <w:rFonts w:hint="eastAsia" w:ascii="仿宋" w:hAnsi="仿宋" w:eastAsia="仿宋"/>
          <w:b/>
          <w:snapToGrid w:val="0"/>
          <w:color w:val="auto"/>
          <w:sz w:val="28"/>
          <w:szCs w:val="28"/>
        </w:rPr>
        <w:t>29.21</w:t>
      </w:r>
      <w:r>
        <w:rPr>
          <w:rFonts w:hint="eastAsia" w:ascii="仿宋_GB2312" w:hAnsi="宋体" w:eastAsia="仿宋_GB2312"/>
          <w:b/>
          <w:snapToGrid w:val="0"/>
          <w:color w:val="auto"/>
          <w:sz w:val="28"/>
          <w:szCs w:val="28"/>
        </w:rPr>
        <w:t>投标产品为进口产品且未经</w:t>
      </w:r>
      <w:r>
        <w:rPr>
          <w:rFonts w:hint="eastAsia" w:ascii="仿宋_GB2312" w:hAnsi="宋体" w:eastAsia="仿宋_GB2312"/>
          <w:b/>
          <w:color w:val="auto"/>
          <w:sz w:val="28"/>
          <w:szCs w:val="28"/>
        </w:rPr>
        <w:t>批准</w:t>
      </w:r>
      <w:r>
        <w:rPr>
          <w:rFonts w:hint="eastAsia" w:ascii="仿宋_GB2312" w:hAnsi="宋体" w:eastAsia="仿宋_GB2312"/>
          <w:b/>
          <w:snapToGrid w:val="0"/>
          <w:color w:val="auto"/>
          <w:sz w:val="28"/>
          <w:szCs w:val="28"/>
        </w:rPr>
        <w:t>的；</w:t>
      </w:r>
    </w:p>
    <w:p>
      <w:pPr>
        <w:spacing w:line="440" w:lineRule="exact"/>
        <w:ind w:firstLine="560" w:firstLineChars="200"/>
        <w:rPr>
          <w:rFonts w:ascii="仿宋_GB2312" w:hAnsi="宋体" w:eastAsia="仿宋_GB2312"/>
          <w:b/>
          <w:snapToGrid w:val="0"/>
          <w:color w:val="auto"/>
          <w:sz w:val="28"/>
          <w:szCs w:val="28"/>
        </w:rPr>
      </w:pPr>
      <w:r>
        <w:rPr>
          <w:rFonts w:hint="eastAsia" w:ascii="仿宋" w:hAnsi="仿宋" w:eastAsia="仿宋"/>
          <w:b/>
          <w:snapToGrid w:val="0"/>
          <w:color w:val="auto"/>
          <w:sz w:val="28"/>
          <w:szCs w:val="28"/>
        </w:rPr>
        <w:t>29.22</w:t>
      </w:r>
      <w:r>
        <w:rPr>
          <w:rFonts w:hint="eastAsia" w:ascii="仿宋_GB2312" w:hAnsi="宋体" w:eastAsia="仿宋_GB2312"/>
          <w:b/>
          <w:snapToGrid w:val="0"/>
          <w:color w:val="auto"/>
          <w:sz w:val="28"/>
          <w:szCs w:val="28"/>
        </w:rPr>
        <w:t>评标委员会按照规定对投标文件的计算错误进行修正后的报价，投标人不予确认的；</w:t>
      </w:r>
    </w:p>
    <w:p>
      <w:pPr>
        <w:spacing w:line="440" w:lineRule="exact"/>
        <w:ind w:firstLine="560" w:firstLineChars="200"/>
        <w:rPr>
          <w:rFonts w:ascii="仿宋_GB2312" w:hAnsi="宋体" w:eastAsia="仿宋_GB2312"/>
          <w:b/>
          <w:snapToGrid w:val="0"/>
          <w:color w:val="auto"/>
          <w:sz w:val="28"/>
          <w:szCs w:val="28"/>
        </w:rPr>
      </w:pPr>
      <w:r>
        <w:rPr>
          <w:rFonts w:hint="eastAsia" w:ascii="仿宋_GB2312" w:hAnsi="宋体" w:eastAsia="仿宋_GB2312"/>
          <w:b/>
          <w:snapToGrid w:val="0"/>
          <w:color w:val="auto"/>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b/>
          <w:snapToGrid w:val="0"/>
          <w:color w:val="auto"/>
          <w:sz w:val="28"/>
          <w:szCs w:val="28"/>
        </w:rPr>
      </w:pPr>
      <w:r>
        <w:rPr>
          <w:rFonts w:hint="eastAsia" w:ascii="仿宋_GB2312" w:hAnsi="宋体" w:eastAsia="仿宋_GB2312"/>
          <w:b/>
          <w:snapToGrid w:val="0"/>
          <w:color w:val="auto"/>
          <w:sz w:val="28"/>
          <w:szCs w:val="28"/>
        </w:rPr>
        <w:t>29.24</w:t>
      </w:r>
      <w:r>
        <w:rPr>
          <w:rFonts w:hint="eastAsia" w:ascii="仿宋" w:hAnsi="仿宋" w:eastAsia="仿宋"/>
          <w:b/>
          <w:snapToGrid w:val="0"/>
          <w:color w:val="auto"/>
          <w:sz w:val="28"/>
          <w:szCs w:val="28"/>
        </w:rPr>
        <w:t>法律、法规、规章及省级以上规范性文件等规定的其他情形；</w:t>
      </w:r>
    </w:p>
    <w:p>
      <w:pPr>
        <w:pStyle w:val="4"/>
        <w:spacing w:line="400" w:lineRule="exact"/>
        <w:jc w:val="center"/>
        <w:rPr>
          <w:rFonts w:ascii="仿宋" w:hAnsi="仿宋" w:eastAsia="仿宋"/>
          <w:bCs w:val="0"/>
          <w:color w:val="auto"/>
          <w:sz w:val="28"/>
          <w:szCs w:val="28"/>
        </w:rPr>
      </w:pPr>
      <w:bookmarkStart w:id="47" w:name="_Toc36454321"/>
      <w:r>
        <w:rPr>
          <w:rFonts w:hint="eastAsia" w:ascii="仿宋" w:hAnsi="仿宋" w:eastAsia="仿宋"/>
          <w:bCs w:val="0"/>
          <w:color w:val="auto"/>
          <w:sz w:val="28"/>
          <w:szCs w:val="28"/>
        </w:rPr>
        <w:t>八、合同的授予</w:t>
      </w:r>
      <w:bookmarkEnd w:id="47"/>
    </w:p>
    <w:p>
      <w:pPr>
        <w:spacing w:line="400" w:lineRule="exact"/>
        <w:rPr>
          <w:rFonts w:ascii="仿宋" w:hAnsi="仿宋" w:eastAsia="仿宋"/>
          <w:b/>
          <w:bCs/>
          <w:color w:val="auto"/>
          <w:sz w:val="28"/>
          <w:szCs w:val="28"/>
        </w:rPr>
      </w:pPr>
      <w:r>
        <w:rPr>
          <w:rFonts w:hint="eastAsia" w:ascii="仿宋" w:hAnsi="仿宋" w:eastAsia="仿宋"/>
          <w:b/>
          <w:bCs/>
          <w:color w:val="auto"/>
          <w:sz w:val="28"/>
          <w:szCs w:val="28"/>
        </w:rPr>
        <w:t>30.授予合同的依据</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30.1采购人和集中采购机构签发的中标通知书；</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30.2招标文件、招标文件的修改及补充文件；</w:t>
      </w:r>
    </w:p>
    <w:p>
      <w:pPr>
        <w:pStyle w:val="13"/>
        <w:spacing w:line="400" w:lineRule="exact"/>
        <w:ind w:firstLine="560"/>
        <w:rPr>
          <w:rFonts w:ascii="仿宋" w:hAnsi="仿宋" w:eastAsia="仿宋"/>
          <w:color w:val="auto"/>
          <w:sz w:val="28"/>
          <w:szCs w:val="28"/>
        </w:rPr>
      </w:pPr>
      <w:r>
        <w:rPr>
          <w:rFonts w:hint="eastAsia" w:ascii="仿宋" w:hAnsi="仿宋" w:eastAsia="仿宋"/>
          <w:color w:val="auto"/>
          <w:sz w:val="28"/>
          <w:szCs w:val="28"/>
        </w:rPr>
        <w:t>30.3投标文件和询标时投标人做出的澄清、说明、纠正、承诺；</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30.4《中华人民共和国合同法》的规定。</w:t>
      </w:r>
    </w:p>
    <w:p>
      <w:pPr>
        <w:spacing w:line="400" w:lineRule="exact"/>
        <w:rPr>
          <w:rFonts w:ascii="仿宋" w:hAnsi="仿宋" w:eastAsia="仿宋"/>
          <w:b/>
          <w:bCs/>
          <w:color w:val="auto"/>
          <w:sz w:val="28"/>
          <w:szCs w:val="28"/>
        </w:rPr>
      </w:pPr>
      <w:r>
        <w:rPr>
          <w:rFonts w:hint="eastAsia" w:ascii="仿宋" w:hAnsi="仿宋" w:eastAsia="仿宋"/>
          <w:b/>
          <w:bCs/>
          <w:color w:val="auto"/>
          <w:sz w:val="28"/>
          <w:szCs w:val="28"/>
        </w:rPr>
        <w:t>31.签署合同的要求</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31.1采购人与中标供应商按照中标通知书的规定时间、地点签订书面合同；</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31.2签订合同的时间必须在自中标通知书发出之日起三十日内；</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color w:val="auto"/>
          <w:spacing w:val="-4"/>
          <w:sz w:val="28"/>
          <w:szCs w:val="28"/>
        </w:rPr>
      </w:pPr>
      <w:r>
        <w:rPr>
          <w:rFonts w:hint="eastAsia" w:ascii="仿宋" w:hAnsi="仿宋" w:eastAsia="仿宋"/>
          <w:color w:val="auto"/>
          <w:sz w:val="28"/>
          <w:szCs w:val="28"/>
        </w:rPr>
        <w:t>31.4采</w:t>
      </w:r>
      <w:r>
        <w:rPr>
          <w:rFonts w:hint="eastAsia" w:ascii="仿宋" w:hAnsi="仿宋" w:eastAsia="仿宋"/>
          <w:color w:val="auto"/>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31.5自采购合同签订之日起七个工作日内，将采购合同副本分别送集中采购机构、同级人民政府财政部门各一份备案。</w:t>
      </w:r>
    </w:p>
    <w:p>
      <w:pPr>
        <w:spacing w:line="400" w:lineRule="exact"/>
        <w:rPr>
          <w:rFonts w:ascii="仿宋" w:hAnsi="仿宋" w:eastAsia="仿宋"/>
          <w:b/>
          <w:bCs/>
          <w:color w:val="auto"/>
          <w:sz w:val="28"/>
          <w:szCs w:val="28"/>
        </w:rPr>
      </w:pPr>
      <w:r>
        <w:rPr>
          <w:rFonts w:hint="eastAsia" w:ascii="仿宋" w:hAnsi="仿宋" w:eastAsia="仿宋"/>
          <w:b/>
          <w:bCs/>
          <w:color w:val="auto"/>
          <w:sz w:val="28"/>
          <w:szCs w:val="28"/>
        </w:rPr>
        <w:t>32.中标通知书</w:t>
      </w:r>
    </w:p>
    <w:p>
      <w:pPr>
        <w:spacing w:line="400" w:lineRule="exact"/>
        <w:ind w:firstLine="560" w:firstLineChars="200"/>
        <w:rPr>
          <w:rFonts w:ascii="仿宋" w:hAnsi="仿宋" w:eastAsia="仿宋"/>
          <w:b/>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2</w:t>
      </w:r>
      <w:r>
        <w:rPr>
          <w:rFonts w:ascii="仿宋" w:hAnsi="仿宋" w:eastAsia="仿宋"/>
          <w:color w:val="auto"/>
          <w:sz w:val="28"/>
          <w:szCs w:val="28"/>
        </w:rPr>
        <w:t>.1</w:t>
      </w:r>
      <w:r>
        <w:rPr>
          <w:rFonts w:hint="eastAsia" w:ascii="仿宋" w:hAnsi="仿宋" w:eastAsia="仿宋"/>
          <w:color w:val="auto"/>
          <w:sz w:val="28"/>
          <w:szCs w:val="28"/>
        </w:rPr>
        <w:t>确定中标供应商后，采购人和集中采购机构将发出中标通知书，通知中标的投标人其投标被接受;</w:t>
      </w:r>
    </w:p>
    <w:p>
      <w:pPr>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2中标通知书为双方签订合同的依据；</w:t>
      </w:r>
    </w:p>
    <w:p>
      <w:pPr>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3中标供应商应根据中标通知书中规定的时间内，由法定代表人或其授权代理人与采购人签订合同。</w:t>
      </w:r>
    </w:p>
    <w:p>
      <w:pPr>
        <w:spacing w:line="400" w:lineRule="exact"/>
        <w:rPr>
          <w:rFonts w:ascii="仿宋" w:hAnsi="仿宋" w:eastAsia="仿宋"/>
          <w:b/>
          <w:bCs/>
          <w:color w:val="auto"/>
          <w:sz w:val="28"/>
          <w:szCs w:val="28"/>
        </w:rPr>
      </w:pPr>
      <w:r>
        <w:rPr>
          <w:rFonts w:hint="eastAsia" w:ascii="仿宋" w:hAnsi="仿宋" w:eastAsia="仿宋"/>
          <w:b/>
          <w:bCs/>
          <w:color w:val="auto"/>
          <w:sz w:val="28"/>
          <w:szCs w:val="28"/>
        </w:rPr>
        <w:t>33.履约保证金</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中标供应商在领取中标通知书的同时，应按本须知前附表第</w:t>
      </w:r>
      <w:r>
        <w:rPr>
          <w:rFonts w:ascii="仿宋" w:hAnsi="仿宋" w:eastAsia="仿宋"/>
          <w:color w:val="auto"/>
          <w:sz w:val="28"/>
          <w:szCs w:val="28"/>
        </w:rPr>
        <w:t>15</w:t>
      </w:r>
      <w:r>
        <w:rPr>
          <w:rFonts w:hint="eastAsia" w:ascii="仿宋" w:hAnsi="仿宋" w:eastAsia="仿宋"/>
          <w:color w:val="auto"/>
          <w:sz w:val="28"/>
          <w:szCs w:val="28"/>
        </w:rPr>
        <w:t>项的规定，向采购人提交履约保证金；</w:t>
      </w:r>
    </w:p>
    <w:p>
      <w:pPr>
        <w:spacing w:line="400" w:lineRule="exact"/>
        <w:rPr>
          <w:rFonts w:ascii="仿宋" w:hAnsi="仿宋" w:eastAsia="仿宋"/>
          <w:b/>
          <w:bCs/>
          <w:color w:val="auto"/>
          <w:sz w:val="28"/>
          <w:szCs w:val="28"/>
        </w:rPr>
      </w:pPr>
      <w:r>
        <w:rPr>
          <w:rFonts w:hint="eastAsia" w:ascii="仿宋" w:hAnsi="仿宋" w:eastAsia="仿宋"/>
          <w:b/>
          <w:bCs/>
          <w:color w:val="auto"/>
          <w:sz w:val="28"/>
          <w:szCs w:val="28"/>
        </w:rPr>
        <w:t>34.合同签订</w:t>
      </w:r>
    </w:p>
    <w:p>
      <w:pPr>
        <w:spacing w:line="400" w:lineRule="exact"/>
        <w:ind w:firstLine="500"/>
        <w:rPr>
          <w:rFonts w:ascii="仿宋" w:hAnsi="仿宋" w:eastAsia="仿宋"/>
          <w:color w:val="auto"/>
          <w:sz w:val="28"/>
          <w:szCs w:val="28"/>
        </w:rPr>
      </w:pPr>
      <w:r>
        <w:rPr>
          <w:rFonts w:hint="eastAsia" w:ascii="仿宋" w:hAnsi="仿宋" w:eastAsia="仿宋"/>
          <w:color w:val="auto"/>
          <w:sz w:val="28"/>
          <w:szCs w:val="28"/>
        </w:rPr>
        <w:t>34.1</w:t>
      </w:r>
      <w:r>
        <w:rPr>
          <w:rFonts w:hint="eastAsia" w:ascii="仿宋" w:hAnsi="仿宋" w:eastAsia="仿宋"/>
          <w:snapToGrid w:val="0"/>
          <w:color w:val="auto"/>
          <w:sz w:val="28"/>
          <w:szCs w:val="28"/>
        </w:rPr>
        <w:t>采购人与中标供应商将根据《中华人民共和国合同法》的规定，依据招标文件和中标供应商的投标文件签订书面合同。</w:t>
      </w:r>
    </w:p>
    <w:p>
      <w:pPr>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4</w:t>
      </w:r>
      <w:r>
        <w:rPr>
          <w:rFonts w:ascii="仿宋" w:hAnsi="仿宋" w:eastAsia="仿宋"/>
          <w:color w:val="auto"/>
          <w:sz w:val="28"/>
          <w:szCs w:val="28"/>
        </w:rPr>
        <w:t xml:space="preserve">.2 </w:t>
      </w:r>
      <w:r>
        <w:rPr>
          <w:rFonts w:hint="eastAsia" w:ascii="仿宋" w:hAnsi="仿宋" w:eastAsia="仿宋"/>
          <w:color w:val="auto"/>
          <w:sz w:val="28"/>
          <w:szCs w:val="28"/>
        </w:rPr>
        <w:t>采购人</w:t>
      </w:r>
      <w:r>
        <w:rPr>
          <w:rFonts w:ascii="仿宋" w:hAnsi="仿宋" w:eastAsia="仿宋"/>
          <w:color w:val="auto"/>
          <w:sz w:val="28"/>
          <w:szCs w:val="28"/>
        </w:rPr>
        <w:t>如不与中标供应商订立合同，或者</w:t>
      </w:r>
      <w:r>
        <w:rPr>
          <w:rFonts w:hint="eastAsia" w:ascii="仿宋" w:hAnsi="仿宋" w:eastAsia="仿宋"/>
          <w:color w:val="auto"/>
          <w:sz w:val="28"/>
          <w:szCs w:val="28"/>
        </w:rPr>
        <w:t>采购</w:t>
      </w:r>
      <w:r>
        <w:rPr>
          <w:rFonts w:ascii="仿宋" w:hAnsi="仿宋" w:eastAsia="仿宋"/>
          <w:color w:val="auto"/>
          <w:sz w:val="28"/>
          <w:szCs w:val="28"/>
        </w:rPr>
        <w:t>人、中标供应商订立背离合同实质性内容的协议，</w:t>
      </w:r>
      <w:r>
        <w:rPr>
          <w:rFonts w:hint="eastAsia" w:ascii="仿宋" w:hAnsi="仿宋" w:eastAsia="仿宋"/>
          <w:color w:val="auto"/>
          <w:sz w:val="28"/>
          <w:szCs w:val="28"/>
        </w:rPr>
        <w:t>由政府有关部门责令改正，</w:t>
      </w:r>
      <w:r>
        <w:rPr>
          <w:rFonts w:ascii="仿宋" w:hAnsi="仿宋" w:eastAsia="仿宋"/>
          <w:color w:val="auto"/>
          <w:sz w:val="28"/>
          <w:szCs w:val="28"/>
        </w:rPr>
        <w:t>同时依法承担相应法律责任</w:t>
      </w:r>
      <w:r>
        <w:rPr>
          <w:rFonts w:hint="eastAsia" w:ascii="仿宋" w:hAnsi="仿宋" w:eastAsia="仿宋"/>
          <w:color w:val="auto"/>
          <w:sz w:val="28"/>
          <w:szCs w:val="28"/>
        </w:rPr>
        <w:t>；</w:t>
      </w:r>
    </w:p>
    <w:p>
      <w:pPr>
        <w:spacing w:line="400" w:lineRule="exact"/>
        <w:ind w:firstLine="56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4</w:t>
      </w:r>
      <w:r>
        <w:rPr>
          <w:rFonts w:ascii="仿宋" w:hAnsi="仿宋" w:eastAsia="仿宋"/>
          <w:color w:val="auto"/>
          <w:sz w:val="28"/>
          <w:szCs w:val="28"/>
        </w:rPr>
        <w:t>.3中标供应商如不按规定与</w:t>
      </w:r>
      <w:r>
        <w:rPr>
          <w:rFonts w:hint="eastAsia" w:ascii="仿宋" w:hAnsi="仿宋" w:eastAsia="仿宋"/>
          <w:color w:val="auto"/>
          <w:sz w:val="28"/>
          <w:szCs w:val="28"/>
        </w:rPr>
        <w:t>采购</w:t>
      </w:r>
      <w:r>
        <w:rPr>
          <w:rFonts w:ascii="仿宋" w:hAnsi="仿宋" w:eastAsia="仿宋"/>
          <w:color w:val="auto"/>
          <w:sz w:val="28"/>
          <w:szCs w:val="28"/>
        </w:rPr>
        <w:t>人订立合同，则</w:t>
      </w:r>
      <w:r>
        <w:rPr>
          <w:rFonts w:hint="eastAsia" w:ascii="仿宋" w:hAnsi="仿宋" w:eastAsia="仿宋"/>
          <w:color w:val="auto"/>
          <w:sz w:val="28"/>
          <w:szCs w:val="28"/>
        </w:rPr>
        <w:t>采购人</w:t>
      </w:r>
      <w:r>
        <w:rPr>
          <w:rFonts w:ascii="仿宋" w:hAnsi="仿宋" w:eastAsia="仿宋"/>
          <w:color w:val="auto"/>
          <w:sz w:val="28"/>
          <w:szCs w:val="28"/>
        </w:rPr>
        <w:t>废除授标，给</w:t>
      </w:r>
      <w:r>
        <w:rPr>
          <w:rFonts w:hint="eastAsia" w:ascii="仿宋" w:hAnsi="仿宋" w:eastAsia="仿宋"/>
          <w:color w:val="auto"/>
          <w:sz w:val="28"/>
          <w:szCs w:val="28"/>
        </w:rPr>
        <w:t>采购人</w:t>
      </w:r>
      <w:r>
        <w:rPr>
          <w:rFonts w:ascii="仿宋" w:hAnsi="仿宋" w:eastAsia="仿宋"/>
          <w:color w:val="auto"/>
          <w:sz w:val="28"/>
          <w:szCs w:val="28"/>
        </w:rPr>
        <w:t>造成损失的还应当予以赔偿，同时依法承担相应法律责任。</w:t>
      </w:r>
    </w:p>
    <w:p>
      <w:pPr>
        <w:spacing w:line="400" w:lineRule="exact"/>
        <w:ind w:firstLine="5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4</w:t>
      </w:r>
      <w:r>
        <w:rPr>
          <w:rFonts w:ascii="仿宋" w:hAnsi="仿宋" w:eastAsia="仿宋"/>
          <w:color w:val="auto"/>
          <w:sz w:val="28"/>
          <w:szCs w:val="28"/>
        </w:rPr>
        <w:t>.4 中标供应商应当按照合同约定履行义务，完成中标项目</w:t>
      </w:r>
      <w:r>
        <w:rPr>
          <w:rFonts w:hint="eastAsia" w:ascii="仿宋" w:hAnsi="仿宋" w:eastAsia="仿宋"/>
          <w:color w:val="auto"/>
          <w:sz w:val="28"/>
          <w:szCs w:val="28"/>
        </w:rPr>
        <w:t>各项工作</w:t>
      </w:r>
      <w:r>
        <w:rPr>
          <w:rFonts w:ascii="仿宋" w:hAnsi="仿宋" w:eastAsia="仿宋"/>
          <w:color w:val="auto"/>
          <w:sz w:val="28"/>
          <w:szCs w:val="28"/>
        </w:rPr>
        <w:t>，不得将中标项目</w:t>
      </w:r>
      <w:r>
        <w:rPr>
          <w:rFonts w:hint="eastAsia" w:ascii="仿宋" w:hAnsi="仿宋" w:eastAsia="仿宋"/>
          <w:color w:val="auto"/>
          <w:sz w:val="28"/>
          <w:szCs w:val="28"/>
        </w:rPr>
        <w:t>违法</w:t>
      </w:r>
      <w:r>
        <w:rPr>
          <w:rFonts w:ascii="仿宋" w:hAnsi="仿宋" w:eastAsia="仿宋"/>
          <w:color w:val="auto"/>
          <w:sz w:val="28"/>
          <w:szCs w:val="28"/>
        </w:rPr>
        <w:t>转让（转包）给他人</w:t>
      </w:r>
      <w:r>
        <w:rPr>
          <w:rFonts w:hint="eastAsia" w:ascii="仿宋" w:hAnsi="仿宋" w:eastAsia="仿宋"/>
          <w:color w:val="auto"/>
          <w:sz w:val="28"/>
          <w:szCs w:val="28"/>
        </w:rPr>
        <w:t>；</w:t>
      </w:r>
    </w:p>
    <w:p>
      <w:pPr>
        <w:spacing w:line="400" w:lineRule="exact"/>
        <w:ind w:firstLine="500"/>
        <w:rPr>
          <w:rFonts w:ascii="仿宋" w:hAnsi="仿宋" w:eastAsia="仿宋"/>
          <w:color w:val="auto"/>
          <w:sz w:val="28"/>
          <w:szCs w:val="28"/>
        </w:rPr>
      </w:pPr>
      <w:r>
        <w:rPr>
          <w:rFonts w:hint="eastAsia" w:ascii="仿宋" w:hAnsi="仿宋" w:eastAsia="仿宋"/>
          <w:color w:val="auto"/>
          <w:sz w:val="28"/>
          <w:szCs w:val="28"/>
        </w:rPr>
        <w:t>34.5</w:t>
      </w:r>
      <w:r>
        <w:rPr>
          <w:rFonts w:ascii="仿宋" w:hAnsi="仿宋" w:eastAsia="仿宋"/>
          <w:color w:val="auto"/>
          <w:sz w:val="28"/>
          <w:szCs w:val="28"/>
        </w:rPr>
        <w:t>如果</w:t>
      </w:r>
      <w:r>
        <w:rPr>
          <w:rFonts w:hint="eastAsia" w:ascii="仿宋" w:hAnsi="仿宋" w:eastAsia="仿宋"/>
          <w:color w:val="auto"/>
          <w:sz w:val="28"/>
          <w:szCs w:val="28"/>
        </w:rPr>
        <w:t>中标供应商</w:t>
      </w:r>
      <w:r>
        <w:rPr>
          <w:rFonts w:ascii="仿宋" w:hAnsi="仿宋" w:eastAsia="仿宋"/>
          <w:color w:val="auto"/>
          <w:sz w:val="28"/>
          <w:szCs w:val="28"/>
        </w:rPr>
        <w:t>未能遵守本须知第</w:t>
      </w:r>
      <w:r>
        <w:rPr>
          <w:rFonts w:hint="eastAsia" w:ascii="仿宋" w:hAnsi="仿宋" w:eastAsia="仿宋"/>
          <w:color w:val="auto"/>
          <w:sz w:val="28"/>
          <w:szCs w:val="28"/>
        </w:rPr>
        <w:t>33.3</w:t>
      </w:r>
      <w:r>
        <w:rPr>
          <w:rFonts w:ascii="仿宋" w:hAnsi="仿宋" w:eastAsia="仿宋"/>
          <w:color w:val="auto"/>
          <w:sz w:val="28"/>
          <w:szCs w:val="28"/>
        </w:rPr>
        <w:t>条的规定，则可取消其中标资格。</w:t>
      </w:r>
    </w:p>
    <w:p>
      <w:pPr>
        <w:spacing w:line="400" w:lineRule="exact"/>
        <w:rPr>
          <w:rFonts w:ascii="仿宋" w:hAnsi="仿宋" w:eastAsia="仿宋"/>
          <w:b/>
          <w:bCs/>
          <w:color w:val="auto"/>
          <w:sz w:val="30"/>
          <w:szCs w:val="30"/>
        </w:rPr>
      </w:pPr>
      <w:r>
        <w:rPr>
          <w:rFonts w:hint="eastAsia" w:ascii="仿宋" w:hAnsi="仿宋" w:eastAsia="仿宋"/>
          <w:b/>
          <w:bCs/>
          <w:color w:val="auto"/>
          <w:sz w:val="30"/>
          <w:szCs w:val="30"/>
        </w:rPr>
        <w:t>35.“绿贷通”、“政采贷”</w:t>
      </w:r>
    </w:p>
    <w:p>
      <w:pPr>
        <w:spacing w:line="400" w:lineRule="exact"/>
        <w:ind w:firstLine="600" w:firstLineChars="200"/>
        <w:rPr>
          <w:rFonts w:ascii="仿宋" w:hAnsi="仿宋" w:eastAsia="仿宋"/>
          <w:b/>
          <w:bCs/>
          <w:color w:val="auto"/>
          <w:sz w:val="30"/>
          <w:szCs w:val="30"/>
        </w:rPr>
      </w:pPr>
      <w:r>
        <w:rPr>
          <w:rFonts w:ascii="仿宋" w:hAnsi="仿宋" w:eastAsia="仿宋"/>
          <w:color w:val="auto"/>
          <w:sz w:val="30"/>
          <w:szCs w:val="30"/>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color w:val="auto"/>
          <w:kern w:val="0"/>
          <w:sz w:val="30"/>
          <w:szCs w:val="30"/>
        </w:rPr>
        <w:t>https://</w:t>
      </w:r>
      <w:r>
        <w:rPr>
          <w:rFonts w:ascii="仿宋" w:hAnsi="仿宋" w:eastAsia="仿宋" w:cs="宋体"/>
          <w:color w:val="auto"/>
          <w:kern w:val="0"/>
          <w:sz w:val="30"/>
          <w:szCs w:val="30"/>
        </w:rPr>
        <w:t>lvdt.huzldt.com</w:t>
      </w:r>
      <w:r>
        <w:rPr>
          <w:rFonts w:ascii="仿宋" w:hAnsi="仿宋" w:eastAsia="仿宋"/>
          <w:color w:val="auto"/>
          <w:sz w:val="30"/>
          <w:szCs w:val="30"/>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4"/>
        <w:jc w:val="center"/>
        <w:rPr>
          <w:rFonts w:ascii="仿宋" w:hAnsi="仿宋" w:eastAsia="仿宋"/>
          <w:color w:val="auto"/>
          <w:sz w:val="28"/>
          <w:szCs w:val="28"/>
        </w:rPr>
      </w:pPr>
      <w:bookmarkStart w:id="48" w:name="_Toc36454322"/>
      <w:r>
        <w:rPr>
          <w:rFonts w:hint="eastAsia" w:ascii="仿宋" w:hAnsi="仿宋" w:eastAsia="仿宋"/>
          <w:color w:val="auto"/>
          <w:sz w:val="28"/>
          <w:szCs w:val="28"/>
        </w:rPr>
        <w:t>九、质疑</w:t>
      </w:r>
      <w:bookmarkEnd w:id="48"/>
    </w:p>
    <w:p>
      <w:pPr>
        <w:spacing w:line="400" w:lineRule="exact"/>
        <w:rPr>
          <w:rFonts w:ascii="仿宋" w:hAnsi="仿宋" w:eastAsia="仿宋"/>
          <w:b/>
          <w:color w:val="auto"/>
          <w:sz w:val="28"/>
          <w:szCs w:val="28"/>
        </w:rPr>
      </w:pPr>
      <w:r>
        <w:rPr>
          <w:rFonts w:hint="eastAsia" w:ascii="仿宋" w:hAnsi="仿宋" w:eastAsia="仿宋"/>
          <w:b/>
          <w:color w:val="auto"/>
          <w:sz w:val="28"/>
          <w:szCs w:val="28"/>
        </w:rPr>
        <w:t>36.质疑</w:t>
      </w:r>
    </w:p>
    <w:p>
      <w:pPr>
        <w:spacing w:line="400" w:lineRule="exact"/>
        <w:ind w:firstLine="499"/>
        <w:rPr>
          <w:rFonts w:ascii="仿宋" w:hAnsi="仿宋" w:eastAsia="仿宋"/>
          <w:color w:val="auto"/>
          <w:sz w:val="28"/>
          <w:szCs w:val="28"/>
        </w:rPr>
      </w:pPr>
      <w:r>
        <w:rPr>
          <w:rFonts w:hint="eastAsia" w:ascii="仿宋" w:hAnsi="仿宋" w:eastAsia="仿宋"/>
          <w:color w:val="auto"/>
          <w:sz w:val="28"/>
          <w:szCs w:val="28"/>
        </w:rPr>
        <w:t xml:space="preserve">36.1 </w:t>
      </w:r>
      <w:r>
        <w:rPr>
          <w:rFonts w:ascii="仿宋" w:hAnsi="仿宋" w:eastAsia="仿宋"/>
          <w:color w:val="auto"/>
          <w:sz w:val="28"/>
          <w:szCs w:val="28"/>
        </w:rPr>
        <w:t>供应商认为招标文件、采购过程、中标或者成交结果使自己的权益受到损害的，可以在知道或者应知其权益受到损害之日起7个工作日内，以书面形式向</w:t>
      </w:r>
      <w:r>
        <w:rPr>
          <w:rFonts w:hint="eastAsia" w:ascii="仿宋" w:hAnsi="仿宋" w:eastAsia="仿宋"/>
          <w:color w:val="auto"/>
          <w:sz w:val="28"/>
          <w:szCs w:val="28"/>
        </w:rPr>
        <w:t>采购人或集中采购机构</w:t>
      </w:r>
      <w:r>
        <w:rPr>
          <w:rFonts w:ascii="仿宋" w:hAnsi="仿宋" w:eastAsia="仿宋"/>
          <w:color w:val="auto"/>
          <w:sz w:val="28"/>
          <w:szCs w:val="28"/>
        </w:rPr>
        <w:t>提出质疑。</w:t>
      </w:r>
    </w:p>
    <w:p>
      <w:pPr>
        <w:spacing w:line="400" w:lineRule="exact"/>
        <w:ind w:firstLine="500"/>
        <w:rPr>
          <w:rFonts w:ascii="仿宋" w:hAnsi="仿宋" w:eastAsia="仿宋"/>
          <w:color w:val="auto"/>
          <w:sz w:val="28"/>
          <w:szCs w:val="28"/>
        </w:rPr>
      </w:pPr>
      <w:r>
        <w:rPr>
          <w:rFonts w:hint="eastAsia" w:ascii="仿宋" w:hAnsi="仿宋" w:eastAsia="仿宋"/>
          <w:color w:val="auto"/>
          <w:sz w:val="28"/>
          <w:szCs w:val="28"/>
        </w:rPr>
        <w:t>36.2对招标文件第二章招标需求</w:t>
      </w:r>
      <w:r>
        <w:rPr>
          <w:rFonts w:hint="eastAsia" w:ascii="仿宋" w:hAnsi="仿宋" w:eastAsia="仿宋"/>
          <w:color w:val="auto"/>
          <w:sz w:val="28"/>
          <w:szCs w:val="28"/>
          <w:lang w:eastAsia="zh-CN"/>
        </w:rPr>
        <w:t>及第五章评标办法及标准</w:t>
      </w:r>
      <w:r>
        <w:rPr>
          <w:rFonts w:hint="eastAsia" w:ascii="仿宋" w:hAnsi="仿宋" w:eastAsia="仿宋"/>
          <w:color w:val="auto"/>
          <w:sz w:val="28"/>
          <w:szCs w:val="28"/>
        </w:rPr>
        <w:t>的质疑由采购人接收并负责答复，其他质疑由集中采购机构接收并负责答复。</w:t>
      </w:r>
    </w:p>
    <w:p>
      <w:pPr>
        <w:spacing w:line="400" w:lineRule="exact"/>
        <w:ind w:firstLine="500"/>
        <w:rPr>
          <w:rFonts w:ascii="仿宋" w:hAnsi="仿宋" w:eastAsia="仿宋"/>
          <w:color w:val="auto"/>
          <w:sz w:val="28"/>
          <w:szCs w:val="28"/>
        </w:rPr>
      </w:pPr>
      <w:r>
        <w:rPr>
          <w:rFonts w:hint="eastAsia" w:ascii="仿宋" w:hAnsi="仿宋" w:eastAsia="仿宋"/>
          <w:color w:val="auto"/>
          <w:sz w:val="28"/>
          <w:szCs w:val="28"/>
        </w:rPr>
        <w:t xml:space="preserve">36.3 </w:t>
      </w:r>
      <w:r>
        <w:rPr>
          <w:rFonts w:ascii="仿宋" w:hAnsi="仿宋" w:eastAsia="仿宋"/>
          <w:color w:val="auto"/>
          <w:sz w:val="28"/>
          <w:szCs w:val="28"/>
        </w:rPr>
        <w:t>供应商</w:t>
      </w:r>
      <w:r>
        <w:rPr>
          <w:rFonts w:hint="eastAsia" w:ascii="仿宋" w:hAnsi="仿宋" w:eastAsia="仿宋"/>
          <w:color w:val="auto"/>
          <w:sz w:val="28"/>
          <w:szCs w:val="28"/>
        </w:rPr>
        <w:t>须</w:t>
      </w:r>
      <w:r>
        <w:rPr>
          <w:rFonts w:ascii="仿宋" w:hAnsi="仿宋" w:eastAsia="仿宋"/>
          <w:color w:val="auto"/>
          <w:sz w:val="28"/>
          <w:szCs w:val="28"/>
        </w:rPr>
        <w:t>在法定质疑期内一次性提出针对同一采购程序环节的质疑</w:t>
      </w:r>
      <w:r>
        <w:rPr>
          <w:rFonts w:hint="eastAsia" w:ascii="仿宋" w:hAnsi="仿宋" w:eastAsia="仿宋"/>
          <w:color w:val="auto"/>
          <w:sz w:val="28"/>
          <w:szCs w:val="28"/>
        </w:rPr>
        <w:t>，否则采购人或集中采购机构有权拒绝第一次质疑以外其他所有质疑。</w:t>
      </w:r>
    </w:p>
    <w:p>
      <w:pPr>
        <w:spacing w:line="400" w:lineRule="exact"/>
        <w:ind w:firstLine="500"/>
        <w:rPr>
          <w:rFonts w:ascii="仿宋" w:hAnsi="仿宋" w:eastAsia="仿宋"/>
          <w:color w:val="auto"/>
          <w:sz w:val="28"/>
          <w:szCs w:val="28"/>
        </w:rPr>
      </w:pPr>
      <w:r>
        <w:rPr>
          <w:rFonts w:hint="eastAsia" w:ascii="仿宋" w:hAnsi="仿宋" w:eastAsia="仿宋"/>
          <w:color w:val="auto"/>
          <w:sz w:val="28"/>
          <w:szCs w:val="28"/>
        </w:rPr>
        <w:t>36.4</w:t>
      </w:r>
      <w:r>
        <w:rPr>
          <w:rFonts w:ascii="仿宋" w:hAnsi="仿宋" w:eastAsia="仿宋"/>
          <w:color w:val="auto"/>
          <w:sz w:val="28"/>
          <w:szCs w:val="28"/>
        </w:rPr>
        <w:t>质疑人可以采取直接递交、邮寄方式提交</w:t>
      </w:r>
      <w:r>
        <w:rPr>
          <w:rFonts w:hint="eastAsia" w:ascii="仿宋" w:hAnsi="仿宋" w:eastAsia="仿宋"/>
          <w:color w:val="auto"/>
          <w:sz w:val="28"/>
          <w:szCs w:val="28"/>
        </w:rPr>
        <w:t>纸质</w:t>
      </w:r>
      <w:r>
        <w:rPr>
          <w:rFonts w:ascii="仿宋" w:hAnsi="仿宋" w:eastAsia="仿宋"/>
          <w:color w:val="auto"/>
          <w:sz w:val="28"/>
          <w:szCs w:val="28"/>
        </w:rPr>
        <w:t>质疑</w:t>
      </w:r>
      <w:r>
        <w:rPr>
          <w:rFonts w:hint="eastAsia" w:ascii="仿宋" w:hAnsi="仿宋" w:eastAsia="仿宋"/>
          <w:color w:val="auto"/>
          <w:sz w:val="28"/>
          <w:szCs w:val="28"/>
        </w:rPr>
        <w:t>函</w:t>
      </w:r>
      <w:r>
        <w:rPr>
          <w:rFonts w:ascii="仿宋" w:hAnsi="仿宋" w:eastAsia="仿宋"/>
          <w:color w:val="auto"/>
          <w:sz w:val="28"/>
          <w:szCs w:val="28"/>
        </w:rPr>
        <w:t>。以</w:t>
      </w:r>
      <w:r>
        <w:rPr>
          <w:rFonts w:hint="eastAsia" w:ascii="仿宋" w:hAnsi="仿宋" w:eastAsia="仿宋"/>
          <w:color w:val="auto"/>
          <w:sz w:val="28"/>
          <w:szCs w:val="28"/>
        </w:rPr>
        <w:t>电子邮件、传真或</w:t>
      </w:r>
      <w:r>
        <w:rPr>
          <w:rFonts w:ascii="仿宋" w:hAnsi="仿宋" w:eastAsia="仿宋"/>
          <w:color w:val="auto"/>
          <w:sz w:val="28"/>
          <w:szCs w:val="28"/>
        </w:rPr>
        <w:t>其他方式提出的质疑</w:t>
      </w:r>
      <w:r>
        <w:rPr>
          <w:rFonts w:hint="eastAsia" w:ascii="仿宋" w:hAnsi="仿宋" w:eastAsia="仿宋"/>
          <w:color w:val="auto"/>
          <w:sz w:val="28"/>
          <w:szCs w:val="28"/>
        </w:rPr>
        <w:t>，以及以非纸质方式提出的质疑，采购人或集中采购机构将</w:t>
      </w:r>
      <w:r>
        <w:rPr>
          <w:rFonts w:ascii="仿宋" w:hAnsi="仿宋" w:eastAsia="仿宋"/>
          <w:color w:val="auto"/>
          <w:sz w:val="28"/>
          <w:szCs w:val="28"/>
        </w:rPr>
        <w:t>不予接受。</w:t>
      </w:r>
    </w:p>
    <w:p>
      <w:pPr>
        <w:spacing w:line="400" w:lineRule="exact"/>
        <w:ind w:firstLine="500"/>
        <w:rPr>
          <w:rFonts w:ascii="仿宋" w:hAnsi="仿宋" w:eastAsia="仿宋"/>
          <w:color w:val="auto"/>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pgBorders>
            <w:top w:val="none" w:sz="0" w:space="0"/>
            <w:left w:val="none" w:sz="0" w:space="0"/>
            <w:bottom w:val="none" w:sz="0" w:space="0"/>
            <w:right w:val="none" w:sz="0" w:space="0"/>
          </w:pgBorders>
          <w:cols w:space="425" w:num="1"/>
          <w:titlePg/>
          <w:docGrid w:type="linesAndChars" w:linePitch="312" w:charSpace="0"/>
        </w:sectPr>
      </w:pPr>
      <w:r>
        <w:rPr>
          <w:rFonts w:hint="eastAsia" w:ascii="仿宋" w:hAnsi="仿宋" w:eastAsia="仿宋"/>
          <w:color w:val="auto"/>
          <w:sz w:val="28"/>
          <w:szCs w:val="28"/>
        </w:rPr>
        <w:t>36.5质疑函须采用财政部发布的政府采购供应商质疑函范本</w:t>
      </w:r>
      <w:r>
        <w:rPr>
          <w:rFonts w:hint="eastAsia" w:ascii="仿宋" w:hAnsi="仿宋" w:eastAsia="仿宋"/>
          <w:snapToGrid w:val="0"/>
          <w:color w:val="auto"/>
          <w:sz w:val="28"/>
          <w:szCs w:val="28"/>
        </w:rPr>
        <w:t>（参考样式可从</w:t>
      </w:r>
      <w:r>
        <w:rPr>
          <w:rFonts w:hint="eastAsia" w:ascii="仿宋" w:hAnsi="仿宋" w:eastAsia="仿宋" w:cs="宋体"/>
          <w:color w:val="auto"/>
          <w:kern w:val="0"/>
          <w:sz w:val="28"/>
          <w:szCs w:val="28"/>
        </w:rPr>
        <w:t>“湖州市公共资源交易信息网</w:t>
      </w:r>
      <w:r>
        <w:rPr>
          <w:rFonts w:ascii="仿宋" w:hAnsi="仿宋" w:eastAsia="仿宋" w:cs="宋体"/>
          <w:color w:val="auto"/>
          <w:kern w:val="0"/>
          <w:sz w:val="28"/>
          <w:szCs w:val="28"/>
        </w:rPr>
        <w:t>-&gt;</w:t>
      </w:r>
      <w:r>
        <w:rPr>
          <w:rFonts w:hint="eastAsia" w:ascii="仿宋" w:hAnsi="仿宋" w:eastAsia="仿宋" w:cs="宋体"/>
          <w:color w:val="auto"/>
          <w:kern w:val="0"/>
          <w:sz w:val="28"/>
          <w:szCs w:val="28"/>
        </w:rPr>
        <w:t>资料下载</w:t>
      </w:r>
      <w:r>
        <w:rPr>
          <w:rFonts w:ascii="仿宋" w:hAnsi="仿宋" w:eastAsia="仿宋" w:cs="宋体"/>
          <w:color w:val="auto"/>
          <w:kern w:val="0"/>
          <w:sz w:val="28"/>
          <w:szCs w:val="28"/>
        </w:rPr>
        <w:t>-&gt;</w:t>
      </w:r>
      <w:r>
        <w:rPr>
          <w:rFonts w:hint="eastAsia" w:ascii="仿宋" w:hAnsi="仿宋" w:eastAsia="仿宋" w:cs="宋体"/>
          <w:color w:val="auto"/>
          <w:kern w:val="0"/>
          <w:sz w:val="28"/>
          <w:szCs w:val="28"/>
        </w:rPr>
        <w:t>采购资料下载”栏目下载）</w:t>
      </w:r>
      <w:r>
        <w:rPr>
          <w:rFonts w:hint="eastAsia" w:ascii="仿宋" w:hAnsi="仿宋" w:eastAsia="仿宋"/>
          <w:color w:val="auto"/>
          <w:sz w:val="28"/>
          <w:szCs w:val="28"/>
        </w:rPr>
        <w:t>，否则采购人或集中采购机构有权要求质疑人修改正后重新提出。</w:t>
      </w:r>
    </w:p>
    <w:p>
      <w:pPr>
        <w:pStyle w:val="3"/>
        <w:spacing w:line="340" w:lineRule="exact"/>
        <w:jc w:val="center"/>
        <w:rPr>
          <w:rFonts w:ascii="方正小标宋简体" w:eastAsia="方正小标宋简体"/>
          <w:color w:val="auto"/>
          <w:sz w:val="32"/>
          <w:szCs w:val="32"/>
        </w:rPr>
      </w:pPr>
      <w:bookmarkStart w:id="49" w:name="_Toc36454323"/>
      <w:r>
        <w:rPr>
          <w:rFonts w:hint="eastAsia" w:ascii="方正小标宋简体" w:eastAsia="方正小标宋简体"/>
          <w:color w:val="auto"/>
          <w:sz w:val="32"/>
          <w:szCs w:val="32"/>
        </w:rPr>
        <w:t>第二章  招标需求</w:t>
      </w:r>
      <w:bookmarkEnd w:id="49"/>
    </w:p>
    <w:p>
      <w:pPr>
        <w:widowControl/>
        <w:spacing w:before="100" w:beforeAutospacing="1" w:after="240" w:line="420" w:lineRule="exact"/>
        <w:jc w:val="left"/>
        <w:rPr>
          <w:rFonts w:hint="eastAsia" w:ascii="仿宋_GB2312" w:eastAsia="仿宋_GB2312"/>
          <w:b/>
          <w:color w:val="auto"/>
          <w:sz w:val="28"/>
          <w:szCs w:val="28"/>
          <w:lang w:eastAsia="zh-CN"/>
        </w:rPr>
      </w:pPr>
      <w:r>
        <w:rPr>
          <w:rFonts w:hint="eastAsia" w:ascii="仿宋_GB2312" w:eastAsia="仿宋_GB2312"/>
          <w:b/>
          <w:color w:val="auto"/>
          <w:sz w:val="28"/>
          <w:szCs w:val="28"/>
          <w:lang w:eastAsia="zh-CN"/>
        </w:rPr>
        <w:t>第一标项：办公计算机等设备</w:t>
      </w:r>
    </w:p>
    <w:p>
      <w:pPr>
        <w:widowControl/>
        <w:spacing w:before="100" w:beforeAutospacing="1" w:after="240" w:line="420" w:lineRule="exact"/>
        <w:jc w:val="left"/>
        <w:rPr>
          <w:rFonts w:hint="eastAsia" w:ascii="仿宋" w:hAnsi="仿宋" w:eastAsia="仿宋"/>
          <w:b/>
          <w:color w:val="auto"/>
          <w:sz w:val="28"/>
          <w:szCs w:val="28"/>
        </w:rPr>
      </w:pPr>
      <w:r>
        <w:rPr>
          <w:rFonts w:hint="eastAsia" w:ascii="仿宋_GB2312" w:eastAsia="仿宋_GB2312"/>
          <w:b/>
          <w:color w:val="auto"/>
          <w:sz w:val="28"/>
          <w:szCs w:val="28"/>
        </w:rPr>
        <w:t>一、设备清单</w:t>
      </w:r>
    </w:p>
    <w:tbl>
      <w:tblPr>
        <w:tblStyle w:val="32"/>
        <w:tblW w:w="9173"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7"/>
        <w:gridCol w:w="1303"/>
        <w:gridCol w:w="5735"/>
        <w:gridCol w:w="804"/>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计算机教室</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学生计算机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★CPU:Intel Core I5-12500处理器 (3.0GHz 主频、18M 缓存)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★主板:Intel Q670及以上芯片组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内存:8G DDR4 2666MHz 内存，大于等于</w:t>
            </w:r>
            <w:r>
              <w:rPr>
                <w:rFonts w:hint="eastAsia" w:ascii="宋体" w:hAnsi="宋体" w:cs="宋体"/>
                <w:i w:val="0"/>
                <w:iCs w:val="0"/>
                <w:color w:val="auto"/>
                <w:kern w:val="0"/>
                <w:sz w:val="21"/>
                <w:szCs w:val="21"/>
                <w:u w:val="none"/>
                <w:lang w:val="en-US" w:eastAsia="zh-CN" w:bidi="ar"/>
              </w:rPr>
              <w:t>2个</w:t>
            </w:r>
            <w:r>
              <w:rPr>
                <w:rFonts w:hint="eastAsia" w:ascii="宋体" w:hAnsi="宋体" w:eastAsia="宋体" w:cs="宋体"/>
                <w:i w:val="0"/>
                <w:iCs w:val="0"/>
                <w:color w:val="auto"/>
                <w:kern w:val="0"/>
                <w:sz w:val="21"/>
                <w:szCs w:val="21"/>
                <w:u w:val="none"/>
                <w:lang w:val="en-US" w:eastAsia="zh-CN" w:bidi="ar"/>
              </w:rPr>
              <w:t>内存槽位</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显卡:集成显卡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声卡:集成声卡，支持5.1声道（提供前2后3共5个音频接口，其中前置包含1个2和1接口）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硬盘:256 M.2 NVME 固态硬盘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网卡:集成10/100/1000M以太网卡+主板集成无线WIFI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扩展槽:</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 xml:space="preserve">个以上PCIE槽位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键盘、鼠标:原厂防水键盘、抗菌鼠标；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接口:</w:t>
            </w:r>
            <w:r>
              <w:rPr>
                <w:rFonts w:hint="eastAsia" w:ascii="宋体" w:hAnsi="宋体" w:cs="宋体"/>
                <w:i w:val="0"/>
                <w:iCs w:val="0"/>
                <w:color w:val="auto"/>
                <w:kern w:val="0"/>
                <w:sz w:val="21"/>
                <w:szCs w:val="21"/>
                <w:u w:val="none"/>
                <w:lang w:val="en-US" w:eastAsia="zh-CN" w:bidi="ar"/>
              </w:rPr>
              <w:t>9</w:t>
            </w:r>
            <w:r>
              <w:rPr>
                <w:rFonts w:hint="eastAsia" w:ascii="宋体" w:hAnsi="宋体" w:eastAsia="宋体" w:cs="宋体"/>
                <w:i w:val="0"/>
                <w:iCs w:val="0"/>
                <w:color w:val="auto"/>
                <w:kern w:val="0"/>
                <w:sz w:val="21"/>
                <w:szCs w:val="21"/>
                <w:u w:val="none"/>
                <w:lang w:val="en-US" w:eastAsia="zh-CN" w:bidi="ar"/>
              </w:rPr>
              <w:t xml:space="preserve">个USB接口(前置4个USBType-A，1个USBType-C ，后置4个USB接口)、1组PS/2接口、1个串口、DP+HDMI+VGA接口（VGA非转接）；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电源:110/220V 180W 节能电源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显示器:</w:t>
            </w:r>
            <w:r>
              <w:rPr>
                <w:rFonts w:hint="eastAsia" w:ascii="宋体" w:hAnsi="宋体" w:cs="宋体"/>
                <w:i w:val="0"/>
                <w:iCs w:val="0"/>
                <w:color w:val="auto"/>
                <w:kern w:val="0"/>
                <w:sz w:val="21"/>
                <w:szCs w:val="21"/>
                <w:u w:val="none"/>
                <w:lang w:val="en-US" w:eastAsia="zh-CN" w:bidi="ar"/>
              </w:rPr>
              <w:t>不小于</w:t>
            </w:r>
            <w:r>
              <w:rPr>
                <w:rFonts w:hint="eastAsia" w:ascii="宋体" w:hAnsi="宋体" w:eastAsia="宋体" w:cs="宋体"/>
                <w:i w:val="0"/>
                <w:iCs w:val="0"/>
                <w:color w:val="auto"/>
                <w:kern w:val="0"/>
                <w:sz w:val="21"/>
                <w:szCs w:val="21"/>
                <w:u w:val="none"/>
                <w:lang w:val="en-US" w:eastAsia="zh-CN" w:bidi="ar"/>
              </w:rPr>
              <w:t>21</w:t>
            </w:r>
            <w:r>
              <w:rPr>
                <w:rFonts w:hint="eastAsia" w:ascii="宋体" w:hAnsi="宋体" w:cs="宋体"/>
                <w:i w:val="0"/>
                <w:iCs w:val="0"/>
                <w:color w:val="auto"/>
                <w:kern w:val="0"/>
                <w:sz w:val="21"/>
                <w:szCs w:val="21"/>
                <w:u w:val="none"/>
                <w:lang w:val="en-US" w:eastAsia="zh-CN" w:bidi="ar"/>
              </w:rPr>
              <w:t>寸</w:t>
            </w:r>
            <w:r>
              <w:rPr>
                <w:rFonts w:hint="eastAsia" w:ascii="宋体" w:hAnsi="宋体" w:eastAsia="宋体" w:cs="宋体"/>
                <w:i w:val="0"/>
                <w:iCs w:val="0"/>
                <w:color w:val="auto"/>
                <w:kern w:val="0"/>
                <w:sz w:val="21"/>
                <w:szCs w:val="21"/>
                <w:u w:val="none"/>
                <w:lang w:val="en-US" w:eastAsia="zh-CN" w:bidi="ar"/>
              </w:rPr>
              <w:t>低蓝光显示器 （提供低蓝光证明</w:t>
            </w:r>
            <w:r>
              <w:rPr>
                <w:rFonts w:hint="eastAsia" w:ascii="宋体" w:hAnsi="宋体" w:cs="宋体"/>
                <w:i w:val="0"/>
                <w:iCs w:val="0"/>
                <w:color w:val="auto"/>
                <w:kern w:val="0"/>
                <w:sz w:val="21"/>
                <w:szCs w:val="21"/>
                <w:u w:val="none"/>
                <w:lang w:val="en-US" w:eastAsia="zh-CN" w:bidi="ar"/>
              </w:rPr>
              <w:t>复印件</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主机质保管理软件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主机质保管理软件： 同一品牌电脑管理软件（提供功能性截图）：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1、软件上能够实时查看到主机编号以及保修信息，能够实时检测 CPU 温度、内存使用情况、网速使用情况；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2、能够对计算机进行软硬件一体化综合体检，主动发现电脑中存在的问题，并提供一键的自动化解决方案；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3、能够在线对计算机提供自动解决、人工服务等多种解决方案， 可快捷方便解决在电脑使用过程中遇到的常见问题；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4、能够智能驱动功能，快捷完成驱动程序的检测、下载、安装全流程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USB屏蔽技术，仅识别USB键盘、鼠标，无法识别USB读取设备，有效防止数据泄露（提供功能性截屏）；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标准MATX立式机箱，采用蜂窝结构，散热更为有效；强力散热风扇，能够达到有效去除细菌、降解甲醛、净化空气的效果（提供第三方检测机构的证明文件）顶置提手，方便搬运，顶置电源开关键，方便使用；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制造厂商原厂售后服务通过客户联络中心标准体系（CCCS）钻石五星级认证</w:t>
            </w:r>
            <w:r>
              <w:rPr>
                <w:rFonts w:hint="eastAsia" w:ascii="宋体" w:hAnsi="宋体" w:cs="宋体"/>
                <w:i w:val="0"/>
                <w:iCs w:val="0"/>
                <w:color w:val="auto"/>
                <w:kern w:val="0"/>
                <w:sz w:val="21"/>
                <w:szCs w:val="21"/>
                <w:u w:val="none"/>
                <w:lang w:val="en-US" w:eastAsia="zh-CN" w:bidi="ar"/>
              </w:rPr>
              <w:t>提供证书复印件</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制造厂商国家信息安全测评信息安全服务资质证书</w:t>
            </w:r>
            <w:r>
              <w:rPr>
                <w:rFonts w:hint="eastAsia" w:ascii="宋体" w:hAnsi="宋体" w:cs="宋体"/>
                <w:i w:val="0"/>
                <w:iCs w:val="0"/>
                <w:color w:val="auto"/>
                <w:kern w:val="0"/>
                <w:sz w:val="21"/>
                <w:szCs w:val="21"/>
                <w:u w:val="none"/>
                <w:lang w:val="en-US" w:eastAsia="zh-CN" w:bidi="ar"/>
              </w:rPr>
              <w:t>提供证书复印件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原厂商3年上门保修，365天无休，第二个自然日上门服务（能实时查看到主机编号以及保修信息）</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以上服务信息原厂400/800售后电话或官网可查</w:t>
            </w:r>
            <w:r>
              <w:rPr>
                <w:rFonts w:hint="eastAsia" w:ascii="宋体" w:hAnsi="宋体" w:cs="宋体"/>
                <w:i w:val="0"/>
                <w:iCs w:val="0"/>
                <w:color w:val="auto"/>
                <w:kern w:val="0"/>
                <w:sz w:val="21"/>
                <w:szCs w:val="21"/>
                <w:u w:val="none"/>
                <w:lang w:val="en-US" w:eastAsia="zh-CN" w:bidi="ar"/>
              </w:rPr>
              <w:t>（提供官网截图）；</w:t>
            </w:r>
            <w:r>
              <w:rPr>
                <w:rFonts w:hint="eastAsia" w:ascii="宋体" w:hAnsi="宋体" w:eastAsia="宋体" w:cs="宋体"/>
                <w:i w:val="0"/>
                <w:iCs w:val="0"/>
                <w:color w:val="auto"/>
                <w:kern w:val="0"/>
                <w:sz w:val="21"/>
                <w:szCs w:val="21"/>
                <w:u w:val="none"/>
                <w:lang w:val="en-US" w:eastAsia="zh-CN" w:bidi="ar"/>
              </w:rPr>
              <w:t>厂商需提供一诺闪修及数据拯救服务；一诺闪修：当日下午4点钱报修，下一自然日24点前修复，若没有完成修复，则为客户免费赠送延迟日数对应的月度延保服务；数据拯救服务：3年之内，面向HDD/SSD，针对其软件原因或硬件原因导致数据丢失的情况，提供1次免费的尝试性故障硬盘（单盘）数据拯救服务，若未恢复则不计次数</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中标后签订合同时需提供原厂商服务承诺函原件。</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5</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教师计算机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★CPU:Intel Core I7-12700处理器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★主板:Intel Q670及以上芯片组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内存:16G DDR4 2666MHz 内存，大于等于</w:t>
            </w:r>
            <w:r>
              <w:rPr>
                <w:rFonts w:hint="eastAsia" w:ascii="宋体" w:hAnsi="宋体" w:cs="宋体"/>
                <w:i w:val="0"/>
                <w:iCs w:val="0"/>
                <w:color w:val="auto"/>
                <w:kern w:val="0"/>
                <w:sz w:val="21"/>
                <w:szCs w:val="21"/>
                <w:u w:val="none"/>
                <w:lang w:val="en-US" w:eastAsia="zh-CN" w:bidi="ar"/>
              </w:rPr>
              <w:t>2个</w:t>
            </w:r>
            <w:r>
              <w:rPr>
                <w:rFonts w:hint="eastAsia" w:ascii="宋体" w:hAnsi="宋体" w:eastAsia="宋体" w:cs="宋体"/>
                <w:i w:val="0"/>
                <w:iCs w:val="0"/>
                <w:color w:val="auto"/>
                <w:kern w:val="0"/>
                <w:sz w:val="21"/>
                <w:szCs w:val="21"/>
                <w:u w:val="none"/>
                <w:lang w:val="en-US" w:eastAsia="zh-CN" w:bidi="ar"/>
              </w:rPr>
              <w:t>内存槽位</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显卡:集成显卡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声卡:集成声卡，支持5.1声道（提供前2后3共5个音频接口，其中前置包含1个2和1接口）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硬盘:256 M.2 NVME 固态硬盘+1TBG SATA3 7200rpm 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网卡:集成10/100/1000M以太网卡+主板集成无线WIFI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扩展槽:</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 xml:space="preserve">个以上PCIE槽位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键盘、鼠标:原厂防水键盘、抗菌鼠标；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接口:9个USB接口(前置4个USBType-A，1个USBType-C ，后置4个USB接口)、1组PS/2接口、1个串口、DP+HDMI+VGA接口（VGA非转接）；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电源:110/220V 180W 节能电源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显示器:</w:t>
            </w:r>
            <w:r>
              <w:rPr>
                <w:rFonts w:hint="eastAsia" w:ascii="宋体" w:hAnsi="宋体" w:cs="宋体"/>
                <w:i w:val="0"/>
                <w:iCs w:val="0"/>
                <w:color w:val="auto"/>
                <w:kern w:val="0"/>
                <w:sz w:val="21"/>
                <w:szCs w:val="21"/>
                <w:u w:val="none"/>
                <w:lang w:val="en-US" w:eastAsia="zh-CN" w:bidi="ar"/>
              </w:rPr>
              <w:t>不小于</w:t>
            </w: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3寸</w:t>
            </w:r>
            <w:r>
              <w:rPr>
                <w:rFonts w:hint="eastAsia" w:ascii="宋体" w:hAnsi="宋体" w:eastAsia="宋体" w:cs="宋体"/>
                <w:i w:val="0"/>
                <w:iCs w:val="0"/>
                <w:color w:val="auto"/>
                <w:kern w:val="0"/>
                <w:sz w:val="21"/>
                <w:szCs w:val="21"/>
                <w:u w:val="none"/>
                <w:lang w:val="en-US" w:eastAsia="zh-CN" w:bidi="ar"/>
              </w:rPr>
              <w:t>低蓝光显示器 （投标时提供低蓝光证明）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主机质保管理软件： 同一品牌电脑管理软件（提供投标提供功能性截图）：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1、软件上能够实时查看到主机编号以及保修信息，能够实时检测 CPU 温度、内存使用情况、网速使用情况；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2、能够对计算机进行软硬件一体化综合体检，主动发现电脑中存在的问题，并提供一键的自动化解决方案；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3、能够在线对计算机提供自动解决、人工服务等多种解决方案， 可快捷方便解决在电脑使用过程中遇到的常见问题；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4、能够智能驱动功能，快捷完成驱动程序的检测、下载、安装全流程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USB屏蔽技术，仅识别USB键盘、鼠标，无法识别USB读取设备，有效防止数据泄露（提供功能性截屏）；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标准MATX立式机箱，采用蜂窝结构，散热更为有效；强力散热风扇，能够达到有效去除细菌、降解甲醛、净化空气的效果（提供第三方检测机构的证明文件）顶置提手，方便搬运，顶置电源开关键，方便使用；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制造厂商原厂售后服务通过客户联络中心标准体系（CCCS）钻石五星级认证</w:t>
            </w:r>
            <w:r>
              <w:rPr>
                <w:rFonts w:hint="eastAsia" w:ascii="宋体" w:hAnsi="宋体" w:cs="宋体"/>
                <w:i w:val="0"/>
                <w:iCs w:val="0"/>
                <w:color w:val="auto"/>
                <w:kern w:val="0"/>
                <w:sz w:val="21"/>
                <w:szCs w:val="21"/>
                <w:u w:val="none"/>
                <w:lang w:val="en-US" w:eastAsia="zh-CN" w:bidi="ar"/>
              </w:rPr>
              <w:t>提供证书复印件</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制造厂商国家信息安全测评信息安全服务资质证书</w:t>
            </w:r>
            <w:r>
              <w:rPr>
                <w:rFonts w:hint="eastAsia" w:ascii="宋体" w:hAnsi="宋体" w:cs="宋体"/>
                <w:i w:val="0"/>
                <w:iCs w:val="0"/>
                <w:color w:val="auto"/>
                <w:kern w:val="0"/>
                <w:sz w:val="21"/>
                <w:szCs w:val="21"/>
                <w:u w:val="none"/>
                <w:lang w:val="en-US" w:eastAsia="zh-CN" w:bidi="ar"/>
              </w:rPr>
              <w:t>提供证书复印件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原厂商3年上门保修，365天无休，第二个自然日上门服务（能实时查看到主机编号以及保修信息）</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以上服务信息原厂400/800售后电话或官网可查</w:t>
            </w:r>
            <w:r>
              <w:rPr>
                <w:rFonts w:hint="eastAsia" w:ascii="宋体" w:hAnsi="宋体" w:cs="宋体"/>
                <w:i w:val="0"/>
                <w:iCs w:val="0"/>
                <w:color w:val="auto"/>
                <w:kern w:val="0"/>
                <w:sz w:val="21"/>
                <w:szCs w:val="21"/>
                <w:u w:val="none"/>
                <w:lang w:val="en-US" w:eastAsia="zh-CN" w:bidi="ar"/>
              </w:rPr>
              <w:t>（提供官网截图）；</w:t>
            </w:r>
            <w:r>
              <w:rPr>
                <w:rFonts w:hint="eastAsia" w:ascii="宋体" w:hAnsi="宋体" w:eastAsia="宋体" w:cs="宋体"/>
                <w:i w:val="0"/>
                <w:iCs w:val="0"/>
                <w:color w:val="auto"/>
                <w:kern w:val="0"/>
                <w:sz w:val="21"/>
                <w:szCs w:val="21"/>
                <w:u w:val="none"/>
                <w:lang w:val="en-US" w:eastAsia="zh-CN" w:bidi="ar"/>
              </w:rPr>
              <w:t>厂商需提供一诺闪修及数据拯救服务；一诺闪修：当日下午4点钱报修，下一自然日24点前修复，若没有完成修复，则为客户免费赠送延迟日数对应的月度延保服务；数据拯救服务：3年之内，面向HDD/SSD，针对其软件原因或硬件原因导致数据丢失的情况，提供1次免费的尝试性故障硬盘（单盘）数据拯救服务，若未恢复则不计次数</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中标后签订合同时需提供原厂商服务承诺函原件</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48口接入千兆交换机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color w:val="auto"/>
              </w:rPr>
              <w:t>▲</w:t>
            </w:r>
            <w:r>
              <w:rPr>
                <w:rFonts w:hint="eastAsia" w:ascii="宋体" w:hAnsi="宋体" w:eastAsia="宋体" w:cs="宋体"/>
                <w:i w:val="0"/>
                <w:iCs w:val="0"/>
                <w:color w:val="auto"/>
                <w:kern w:val="0"/>
                <w:sz w:val="21"/>
                <w:szCs w:val="21"/>
                <w:u w:val="none"/>
                <w:lang w:val="en-US" w:eastAsia="zh-CN" w:bidi="ar"/>
              </w:rPr>
              <w:t>硬件规格：交换容量≥4</w:t>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Tbps、包转发性能≥16</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 xml:space="preserve">Mpps，千兆电口≥48个、千兆光口≥4个；                                                                                                         2、支持SFP口堆叠且堆叠带宽（单向）≥2G；                                     </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学生桌凳</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1.机房电脑桌尺寸：(长) 1300 ×(宽)600× (高)750MM，整体钢木结构，可组合并排放。可坐2个学生。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2.桌面采用18mm厚度木纹色E</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级环保板，防静电。下支架采用40*40mm镀锌方管，颜色为电脑灰，焊接拼接而成。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3.桌面下方左右放电脑机箱，电源线隐藏式，线槽可活动，方便维修。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4.桌体三边为镀锌钢板折弯和电焊加工而成，为了主机有更好的散热正面冲压星星孔。表面酸洗磷化处理防生锈，经典喷塑灰白粉末。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5学生凳：面板：座板340*240*18mm橡胶木指接板面板颜色为原木色。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椅架：全部采用25*25mm方管焊接而成，表面酸洗磷化处理防生锈。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6.生产厂家通过ISO14001环境管理体系认证、ISO19001质量管理体系认证、电脑桌检测报告。</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教师桌凳</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1.机房电脑桌尺寸：(长) 1300 ×(宽)600× (高)750MM，整体钢木结构，可组合并排放。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2.桌面采用18mm厚度木纹色E</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级环保板，防静电。下支架采用40*40mm镀锌方管，颜色为电脑灰，焊接拼接而成。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3.桌面下方左右放电脑机箱，电源线隐藏式，线槽可活动，方便维修。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4.桌体三边为镀锌钢板折弯和电焊加工而成，为了主机有更好的散热正面冲压星星孔。表面酸洗磷化处理防生锈，经典喷塑灰白粉末。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5凳子：面板：座板340*240*18mm橡胶木指接板面板颜色为原木色。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椅架：全部采用25*25mm方管焊接而成，表面酸洗磷化处理防生锈。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6.生产厂家通过ISO14001环境管理体系认证、ISO19001质量管理体系认证、电脑桌检测报告。</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电脑教室教学控制软件</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需满足的功能：屏幕教学演示、屏幕监视、遥控辅导、黑屏肃静、屏幕录制、屏幕回放、支持常见的音视频媒体格式的网络播放、在线考试、试卷管理和共享、网上语音广播、两人对讲和多方讨论、联机讨论、同步文件传输、提交作业、远程命令、电子教鞭、电子黑板与白板、电子抢答、电子点名、网上消息、电子举手、获取远端信息、学生上线情况即时监测、锁定学生机房电脑的键盘和鼠标、上网限制、断线保护、远程开关机和重启。兼容Windows XP、Windows 7、Windows 10等操作系统，支持32位和64位系统。</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综合布线</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六类双绞线、电源线、强电插座等</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设备安装调试费</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设备安装施工调试</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小计</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计算机语言机房</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云教学控制主机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rPr>
            </w:pPr>
            <w:r>
              <w:rPr>
                <w:color w:val="auto"/>
              </w:rPr>
              <w:t>1</w:t>
            </w:r>
            <w:r>
              <w:rPr>
                <w:rFonts w:hint="eastAsia"/>
                <w:color w:val="auto"/>
              </w:rPr>
              <w:t>、</w:t>
            </w:r>
            <w:r>
              <w:rPr>
                <w:rFonts w:hint="eastAsia" w:ascii="宋体" w:hAnsi="宋体" w:eastAsia="宋体" w:cs="宋体"/>
                <w:i w:val="0"/>
                <w:iCs w:val="0"/>
                <w:color w:val="auto"/>
                <w:kern w:val="0"/>
                <w:sz w:val="21"/>
                <w:szCs w:val="21"/>
                <w:u w:val="none"/>
                <w:lang w:val="en-US" w:eastAsia="zh-CN" w:bidi="ar"/>
              </w:rPr>
              <w:t>★</w:t>
            </w:r>
            <w:r>
              <w:rPr>
                <w:color w:val="auto"/>
              </w:rPr>
              <w:t>配置：CPU：配置≥Intel第10代四核八线程处理器（处理器主频≥3.6GHz）</w:t>
            </w:r>
            <w:r>
              <w:rPr>
                <w:rFonts w:hint="eastAsia"/>
                <w:color w:val="auto"/>
              </w:rPr>
              <w:t>，</w:t>
            </w:r>
            <w:r>
              <w:rPr>
                <w:color w:val="auto"/>
              </w:rPr>
              <w:t>内存：≥16GB</w:t>
            </w:r>
            <w:r>
              <w:rPr>
                <w:rFonts w:hint="eastAsia"/>
                <w:color w:val="auto"/>
              </w:rPr>
              <w:t>，</w:t>
            </w:r>
            <w:r>
              <w:rPr>
                <w:color w:val="auto"/>
              </w:rPr>
              <w:t>存储：≥512 GB SSD</w:t>
            </w:r>
            <w:r>
              <w:rPr>
                <w:rFonts w:hint="eastAsia"/>
                <w:color w:val="auto"/>
              </w:rPr>
              <w:t>，</w:t>
            </w:r>
            <w:r>
              <w:rPr>
                <w:color w:val="auto"/>
              </w:rPr>
              <w:t>网口：不少于1个千兆网口</w:t>
            </w:r>
            <w:r>
              <w:rPr>
                <w:rFonts w:hint="eastAsia"/>
                <w:color w:val="auto"/>
              </w:rPr>
              <w:t>，</w:t>
            </w:r>
            <w:r>
              <w:rPr>
                <w:color w:val="auto"/>
              </w:rPr>
              <w:t>额外配置≥1个内存扩展槽</w:t>
            </w:r>
            <w:r>
              <w:rPr>
                <w:rFonts w:hint="eastAsia"/>
                <w:color w:val="auto"/>
              </w:rPr>
              <w:t>，</w:t>
            </w:r>
            <w:r>
              <w:rPr>
                <w:color w:val="auto"/>
              </w:rPr>
              <w:t>额外配置≥1个硬盘扩展槽</w:t>
            </w:r>
            <w:r>
              <w:rPr>
                <w:rFonts w:hint="eastAsia"/>
                <w:color w:val="auto"/>
              </w:rPr>
              <w:t>，</w:t>
            </w:r>
            <w:r>
              <w:rPr>
                <w:color w:val="auto"/>
              </w:rPr>
              <w:t>单台控制器可以同时支持至少180点云终端的连接、管理和配置，以满足学校后期的扩容需求</w:t>
            </w:r>
            <w:r>
              <w:rPr>
                <w:rFonts w:hint="eastAsia"/>
                <w:color w:val="auto"/>
              </w:rPr>
              <w:t>.</w:t>
            </w:r>
          </w:p>
          <w:p>
            <w:pPr>
              <w:rPr>
                <w:color w:val="auto"/>
              </w:rPr>
            </w:pPr>
            <w:r>
              <w:rPr>
                <w:rFonts w:hint="eastAsia"/>
                <w:color w:val="auto"/>
                <w:lang w:val="en-US" w:eastAsia="zh-CN"/>
              </w:rPr>
              <w:t>2</w:t>
            </w:r>
            <w:r>
              <w:rPr>
                <w:color w:val="auto"/>
              </w:rPr>
              <w:t>. 管理平台采用B/S架构，支持中文图形化操作界面，同一管理界面中可实现对计算、存储、网络等功能的配置和操作</w:t>
            </w:r>
          </w:p>
          <w:p>
            <w:pPr>
              <w:rPr>
                <w:color w:val="auto"/>
              </w:rPr>
            </w:pPr>
            <w:r>
              <w:rPr>
                <w:rFonts w:hint="eastAsia"/>
                <w:color w:val="auto"/>
                <w:lang w:val="en-US" w:eastAsia="zh-CN"/>
              </w:rPr>
              <w:t>3</w:t>
            </w:r>
            <w:r>
              <w:rPr>
                <w:color w:val="auto"/>
              </w:rPr>
              <w:t>. 为降低部署难度缩短业务上线时间，支持向导式添加主机节点，为降低部署难度，支持精简纳管主机节点，仅需输入主机节点名称、主机IP地址即可完成主机节点添加</w:t>
            </w:r>
          </w:p>
          <w:p>
            <w:pPr>
              <w:rPr>
                <w:color w:val="auto"/>
              </w:rPr>
            </w:pPr>
            <w:r>
              <w:rPr>
                <w:rFonts w:hint="eastAsia"/>
                <w:color w:val="auto"/>
                <w:lang w:val="en-US" w:eastAsia="zh-CN"/>
              </w:rPr>
              <w:t>4</w:t>
            </w:r>
            <w:r>
              <w:rPr>
                <w:color w:val="auto"/>
              </w:rPr>
              <w:t>. 支持主机性能状态监控，能以小时、天、周、月、季度、半年、一年或自定义时间维度，对主机CPU使用率、内存使用率、磁盘速率、磁盘IOPS、网卡错误数、丢包率、网卡带宽等性能进行监控记录</w:t>
            </w:r>
          </w:p>
          <w:p>
            <w:pPr>
              <w:rPr>
                <w:color w:val="auto"/>
              </w:rPr>
            </w:pPr>
            <w:r>
              <w:rPr>
                <w:rFonts w:hint="eastAsia"/>
                <w:color w:val="auto"/>
                <w:lang w:val="en-US" w:eastAsia="zh-CN"/>
              </w:rPr>
              <w:t>5</w:t>
            </w:r>
            <w:r>
              <w:rPr>
                <w:color w:val="auto"/>
              </w:rPr>
              <w:t>. 支持虚拟机性能状态监控，能以小时、天、周、月、季度、半年、一年或自定义时间维度，对主机CPU使用率、内存使用率、磁盘IOPS等性能进行监控记录</w:t>
            </w:r>
          </w:p>
          <w:p>
            <w:pPr>
              <w:rPr>
                <w:color w:val="auto"/>
              </w:rPr>
            </w:pPr>
            <w:r>
              <w:rPr>
                <w:rFonts w:hint="eastAsia"/>
                <w:color w:val="auto"/>
                <w:lang w:val="en-US" w:eastAsia="zh-CN"/>
              </w:rPr>
              <w:t>6</w:t>
            </w:r>
            <w:r>
              <w:rPr>
                <w:color w:val="auto"/>
              </w:rPr>
              <w:t>. 支持多级缓存技术，可以智能化地预先将热点数据从机械盘缓存到SSD和内存中，从而让这些热点数据的IO更加高效</w:t>
            </w:r>
          </w:p>
          <w:p>
            <w:pPr>
              <w:rPr>
                <w:color w:val="auto"/>
              </w:rPr>
            </w:pPr>
            <w:r>
              <w:rPr>
                <w:rFonts w:hint="eastAsia"/>
                <w:color w:val="auto"/>
                <w:lang w:val="en-US" w:eastAsia="zh-CN"/>
              </w:rPr>
              <w:t>7</w:t>
            </w:r>
            <w:r>
              <w:rPr>
                <w:color w:val="auto"/>
              </w:rPr>
              <w:t>. 支持数据均衡负载策略，当存储池扩容或者节点/容量盘出现故障时可以触发数据重分布，数据均衡的过程不会导致业务中断、也无需人工干预</w:t>
            </w:r>
          </w:p>
          <w:p>
            <w:pPr>
              <w:rPr>
                <w:color w:val="auto"/>
              </w:rPr>
            </w:pPr>
            <w:r>
              <w:rPr>
                <w:rFonts w:hint="eastAsia"/>
                <w:color w:val="auto"/>
                <w:lang w:val="en-US" w:eastAsia="zh-CN"/>
              </w:rPr>
              <w:t>8</w:t>
            </w:r>
            <w:r>
              <w:rPr>
                <w:color w:val="auto"/>
              </w:rPr>
              <w:t>. 要求满足服务器高可靠</w:t>
            </w:r>
            <w:r>
              <w:rPr>
                <w:rFonts w:hint="eastAsia"/>
                <w:color w:val="auto"/>
              </w:rPr>
              <w:t>，</w:t>
            </w:r>
            <w:r>
              <w:rPr>
                <w:color w:val="auto"/>
              </w:rPr>
              <w:t>当服务器数量为3台时，支持任意1台服务器故障，可自动恢复并继续提供服务；当服务器数量为7台时，支持任意3台服务器故障，可自动恢复并继续提供服务</w:t>
            </w:r>
          </w:p>
          <w:p>
            <w:pPr>
              <w:rPr>
                <w:color w:val="auto"/>
              </w:rPr>
            </w:pPr>
            <w:r>
              <w:rPr>
                <w:rFonts w:hint="eastAsia"/>
                <w:color w:val="auto"/>
                <w:lang w:val="en-US" w:eastAsia="zh-CN"/>
              </w:rPr>
              <w:t>9.</w:t>
            </w:r>
            <w:r>
              <w:rPr>
                <w:color w:val="auto"/>
              </w:rPr>
              <w:t>在硬盘故障维修等需要交出硬盘的场景，为避免用户数据外泄，要求分布式存储采用块虚拟化技术</w:t>
            </w:r>
            <w:r>
              <w:rPr>
                <w:rFonts w:hint="eastAsia"/>
                <w:color w:val="auto"/>
              </w:rPr>
              <w:t>，</w:t>
            </w:r>
            <w:r>
              <w:rPr>
                <w:color w:val="auto"/>
              </w:rPr>
              <w:t>需要提供产品功能截图</w:t>
            </w:r>
          </w:p>
          <w:p>
            <w:pPr>
              <w:rPr>
                <w:color w:val="auto"/>
              </w:rPr>
            </w:pPr>
            <w:r>
              <w:rPr>
                <w:rFonts w:hint="eastAsia"/>
                <w:color w:val="auto"/>
                <w:lang w:val="en-US" w:eastAsia="zh-CN"/>
              </w:rPr>
              <w:t>10</w:t>
            </w:r>
            <w:r>
              <w:rPr>
                <w:color w:val="auto"/>
              </w:rPr>
              <w:t>.支持查询、下载系统管理员的操作日志，日志包括：管理员账号、IP地址，操作时间、操作内容</w:t>
            </w:r>
          </w:p>
          <w:p>
            <w:pPr>
              <w:rPr>
                <w:rFonts w:hint="eastAsia" w:ascii="宋体" w:hAnsi="宋体" w:eastAsia="宋体" w:cs="宋体"/>
                <w:i w:val="0"/>
                <w:iCs w:val="0"/>
                <w:color w:val="auto"/>
                <w:sz w:val="21"/>
                <w:szCs w:val="21"/>
                <w:u w:val="none"/>
              </w:rPr>
            </w:pPr>
            <w:r>
              <w:rPr>
                <w:color w:val="auto"/>
              </w:rPr>
              <w:t>1</w:t>
            </w:r>
            <w:r>
              <w:rPr>
                <w:rFonts w:hint="eastAsia"/>
                <w:color w:val="auto"/>
                <w:lang w:val="en-US" w:eastAsia="zh-CN"/>
              </w:rPr>
              <w:t>1</w:t>
            </w:r>
            <w:r>
              <w:rPr>
                <w:rFonts w:hint="eastAsia"/>
                <w:color w:val="auto"/>
              </w:rPr>
              <w:t>、</w:t>
            </w:r>
            <w:r>
              <w:rPr>
                <w:color w:val="auto"/>
              </w:rPr>
              <w:t>▲</w:t>
            </w:r>
            <w:r>
              <w:rPr>
                <w:rFonts w:hint="eastAsia"/>
                <w:color w:val="auto"/>
              </w:rPr>
              <w:t>考虑到整套系统兼容性</w:t>
            </w:r>
            <w:r>
              <w:rPr>
                <w:color w:val="auto"/>
              </w:rPr>
              <w:t>，要求</w:t>
            </w:r>
            <w:r>
              <w:rPr>
                <w:rFonts w:hint="eastAsia"/>
                <w:color w:val="auto"/>
              </w:rPr>
              <w:t>与云办公控制主机、云终端、教学管理软件均为</w:t>
            </w:r>
            <w:r>
              <w:rPr>
                <w:color w:val="auto"/>
              </w:rPr>
              <w:t>同一品牌</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学生云终端（一体机）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r>
              <w:rPr>
                <w:color w:val="auto"/>
              </w:rPr>
              <w:t>1. 为保证云桌面软件系统的兼容效果和稳定运行，所有终端均需采用x86架构，且为国内自主品牌</w:t>
            </w:r>
          </w:p>
          <w:p>
            <w:pPr>
              <w:rPr>
                <w:rFonts w:hint="eastAsia"/>
                <w:color w:val="auto"/>
              </w:rPr>
            </w:pPr>
            <w:r>
              <w:rPr>
                <w:color w:val="auto"/>
              </w:rPr>
              <w:t>2.★配置处理器性能不低于Intel第十代i3四核八线程处理器</w:t>
            </w:r>
            <w:r>
              <w:rPr>
                <w:rFonts w:hint="eastAsia"/>
                <w:color w:val="auto"/>
              </w:rPr>
              <w:t>；</w:t>
            </w:r>
            <w:r>
              <w:rPr>
                <w:color w:val="auto"/>
              </w:rPr>
              <w:t>内存容量≥8GB；显卡性能不低于Intel UHD 630；本地存储容量≥256 GB SSD</w:t>
            </w:r>
            <w:r>
              <w:rPr>
                <w:rFonts w:hint="eastAsia"/>
                <w:color w:val="auto"/>
              </w:rPr>
              <w:t>；内置</w:t>
            </w:r>
            <w:r>
              <w:rPr>
                <w:color w:val="auto"/>
              </w:rPr>
              <w:t>无线网卡</w:t>
            </w:r>
            <w:r>
              <w:rPr>
                <w:rFonts w:hint="eastAsia"/>
                <w:color w:val="auto"/>
              </w:rPr>
              <w:t>，一体式</w:t>
            </w:r>
            <w:r>
              <w:rPr>
                <w:color w:val="auto"/>
              </w:rPr>
              <w:t>显示器尺寸≥23英寸，分辨率≥1920×1080</w:t>
            </w:r>
            <w:r>
              <w:rPr>
                <w:rFonts w:hint="eastAsia"/>
                <w:color w:val="auto"/>
              </w:rPr>
              <w:t>，</w:t>
            </w:r>
            <w:r>
              <w:rPr>
                <w:color w:val="auto"/>
              </w:rPr>
              <w:t>USB接口≥5个（包含USB 3.0接口≥3个），千兆网口≥1个，HDMI接口≥1个，音频输入输出接口≥1对，且支持4段式耳机音频输入及输出，保留</w:t>
            </w:r>
            <w:r>
              <w:rPr>
                <w:rFonts w:hint="eastAsia"/>
                <w:color w:val="auto"/>
              </w:rPr>
              <w:t>中标后</w:t>
            </w:r>
            <w:r>
              <w:rPr>
                <w:color w:val="auto"/>
              </w:rPr>
              <w:t>测试权利</w:t>
            </w:r>
          </w:p>
          <w:p>
            <w:pPr>
              <w:rPr>
                <w:color w:val="auto"/>
              </w:rPr>
            </w:pPr>
            <w:r>
              <w:rPr>
                <w:color w:val="auto"/>
              </w:rPr>
              <w:t>3. 额外配置≥1个内存扩展槽</w:t>
            </w:r>
            <w:r>
              <w:rPr>
                <w:rFonts w:hint="eastAsia"/>
                <w:color w:val="auto"/>
              </w:rPr>
              <w:t>，</w:t>
            </w:r>
            <w:r>
              <w:rPr>
                <w:color w:val="auto"/>
              </w:rPr>
              <w:t>额外配置≥1个硬盘扩展槽，提供产品图片证明</w:t>
            </w:r>
          </w:p>
          <w:p>
            <w:pPr>
              <w:rPr>
                <w:color w:val="auto"/>
              </w:rPr>
            </w:pPr>
            <w:r>
              <w:rPr>
                <w:color w:val="auto"/>
              </w:rPr>
              <w:t>4. 为用户提供更优质的屏幕使用体验，提供三面无边框屏幕，屏占比≥90%，提供官网链接</w:t>
            </w:r>
            <w:r>
              <w:rPr>
                <w:rFonts w:hint="eastAsia"/>
                <w:color w:val="auto"/>
              </w:rPr>
              <w:t>及截图证明</w:t>
            </w:r>
            <w:r>
              <w:rPr>
                <w:color w:val="auto"/>
              </w:rPr>
              <w:t>。</w:t>
            </w:r>
          </w:p>
          <w:p>
            <w:pPr>
              <w:rPr>
                <w:rFonts w:hint="eastAsia"/>
                <w:color w:val="auto"/>
              </w:rPr>
            </w:pPr>
            <w:r>
              <w:rPr>
                <w:rFonts w:hint="eastAsia"/>
                <w:color w:val="auto"/>
              </w:rPr>
              <w:t>5</w:t>
            </w:r>
            <w:r>
              <w:rPr>
                <w:color w:val="auto"/>
              </w:rPr>
              <w:t>. 配置铝合金一体化压铸底座，提供官网链接</w:t>
            </w:r>
            <w:r>
              <w:rPr>
                <w:rFonts w:hint="eastAsia"/>
                <w:color w:val="auto"/>
              </w:rPr>
              <w:t>及截图证明</w:t>
            </w:r>
            <w:r>
              <w:rPr>
                <w:color w:val="auto"/>
              </w:rPr>
              <w:t>。</w:t>
            </w:r>
          </w:p>
          <w:p>
            <w:pPr>
              <w:rPr>
                <w:color w:val="auto"/>
              </w:rPr>
            </w:pPr>
            <w:r>
              <w:rPr>
                <w:rFonts w:hint="eastAsia"/>
                <w:color w:val="auto"/>
                <w:lang w:val="en-US" w:eastAsia="zh-CN"/>
              </w:rPr>
              <w:t>6</w:t>
            </w:r>
            <w:r>
              <w:rPr>
                <w:color w:val="auto"/>
              </w:rPr>
              <w:t>.为了便于终端部署在讲桌或办公桌面底部，终端需提供外延电源开关接口，方便开关机。</w:t>
            </w:r>
          </w:p>
          <w:p>
            <w:pPr>
              <w:rPr>
                <w:color w:val="auto"/>
              </w:rPr>
            </w:pPr>
            <w:r>
              <w:rPr>
                <w:rFonts w:hint="eastAsia"/>
                <w:color w:val="auto"/>
                <w:lang w:val="en-US" w:eastAsia="zh-CN"/>
              </w:rPr>
              <w:t>7</w:t>
            </w:r>
            <w:r>
              <w:rPr>
                <w:color w:val="auto"/>
              </w:rPr>
              <w:t>.为了降低部署难度，终端首次上电后支持终端配置向导，自动接入云办公系统，无需管理员账号即可实现终端配置，降低配置难度</w:t>
            </w:r>
          </w:p>
          <w:p>
            <w:pPr>
              <w:rPr>
                <w:color w:val="auto"/>
              </w:rPr>
            </w:pPr>
            <w:r>
              <w:rPr>
                <w:rFonts w:hint="eastAsia"/>
                <w:color w:val="auto"/>
                <w:lang w:val="en-US" w:eastAsia="zh-CN"/>
              </w:rPr>
              <w:t>8</w:t>
            </w:r>
            <w:r>
              <w:rPr>
                <w:color w:val="auto"/>
              </w:rPr>
              <w:t>.为了适用不同的业务应用场景，终端支持多种模式切换，包含但不限于个人桌面使用的个性化模式、公共桌面使用的还原模式、公共查询端使用的无账号公用模式，提供实际操作截图</w:t>
            </w:r>
          </w:p>
          <w:p>
            <w:pPr>
              <w:rPr>
                <w:color w:val="auto"/>
              </w:rPr>
            </w:pPr>
            <w:r>
              <w:rPr>
                <w:rFonts w:hint="eastAsia"/>
                <w:color w:val="auto"/>
                <w:lang w:val="en-US" w:eastAsia="zh-CN"/>
              </w:rPr>
              <w:t>9</w:t>
            </w:r>
            <w:r>
              <w:rPr>
                <w:color w:val="auto"/>
              </w:rPr>
              <w:t>.支持终端自身及虚拟桌面IP地址设置，为了便于管理，能够通过web管理端进行IP地址修改与维护，提供实际操作截图</w:t>
            </w:r>
          </w:p>
          <w:p>
            <w:pPr>
              <w:rPr>
                <w:color w:val="auto"/>
              </w:rPr>
            </w:pPr>
            <w:r>
              <w:rPr>
                <w:rFonts w:hint="eastAsia"/>
                <w:color w:val="auto"/>
                <w:lang w:val="en-US" w:eastAsia="zh-CN"/>
              </w:rPr>
              <w:t>10</w:t>
            </w:r>
            <w:r>
              <w:rPr>
                <w:color w:val="auto"/>
              </w:rPr>
              <w:t>.支持在第八代CPU下运行XP及win7等老系统，提供实际操作截图</w:t>
            </w:r>
          </w:p>
          <w:p>
            <w:pPr>
              <w:rPr>
                <w:color w:val="auto"/>
              </w:rPr>
            </w:pPr>
            <w:r>
              <w:rPr>
                <w:rFonts w:hint="eastAsia"/>
                <w:color w:val="auto"/>
                <w:lang w:val="en-US" w:eastAsia="zh-CN"/>
              </w:rPr>
              <w:t>11</w:t>
            </w:r>
            <w:r>
              <w:rPr>
                <w:color w:val="auto"/>
              </w:rPr>
              <w:t>.支持上电自启动功能，并能够根据实际使用情况选择关闭或开启，提供实际操作截图</w:t>
            </w:r>
          </w:p>
          <w:p>
            <w:pPr>
              <w:rPr>
                <w:color w:val="auto"/>
              </w:rPr>
            </w:pPr>
            <w:r>
              <w:rPr>
                <w:rFonts w:hint="eastAsia"/>
                <w:color w:val="auto"/>
                <w:lang w:val="en-US" w:eastAsia="zh-CN"/>
              </w:rPr>
              <w:t>12</w:t>
            </w:r>
            <w:r>
              <w:rPr>
                <w:color w:val="auto"/>
              </w:rPr>
              <w:t>.保障业务连续性，在网络中断的情况下，依然支持离线使用虚拟云桌面，确保教学、办公高可靠性</w:t>
            </w:r>
          </w:p>
          <w:p>
            <w:pPr>
              <w:rPr>
                <w:color w:val="auto"/>
              </w:rPr>
            </w:pPr>
            <w:r>
              <w:rPr>
                <w:rFonts w:hint="eastAsia"/>
                <w:color w:val="auto"/>
                <w:lang w:val="en-US" w:eastAsia="zh-CN"/>
              </w:rPr>
              <w:t>13</w:t>
            </w:r>
            <w:r>
              <w:rPr>
                <w:color w:val="auto"/>
              </w:rPr>
              <w:t>.支持终端显卡透传，能够将终端物理显卡透传至虚拟机中，支持部分对物理显卡有要求场景，如基础3D软件的运行</w:t>
            </w:r>
          </w:p>
          <w:p>
            <w:pPr>
              <w:rPr>
                <w:color w:val="auto"/>
              </w:rPr>
            </w:pPr>
            <w:r>
              <w:rPr>
                <w:rFonts w:hint="eastAsia"/>
                <w:color w:val="auto"/>
                <w:lang w:val="en-US" w:eastAsia="zh-CN"/>
              </w:rPr>
              <w:t>14.</w:t>
            </w:r>
            <w:r>
              <w:rPr>
                <w:color w:val="auto"/>
              </w:rPr>
              <w:t>支持U盘传输镜像，并可将终端转化为镜像分发服务端，对外快速分发镜像，提供实际操作截图</w:t>
            </w:r>
          </w:p>
          <w:p>
            <w:pPr>
              <w:rPr>
                <w:color w:val="auto"/>
              </w:rPr>
            </w:pPr>
            <w:r>
              <w:rPr>
                <w:rFonts w:hint="eastAsia"/>
                <w:color w:val="auto"/>
                <w:lang w:val="en-US" w:eastAsia="zh-CN"/>
              </w:rPr>
              <w:t>15</w:t>
            </w:r>
            <w:r>
              <w:rPr>
                <w:color w:val="auto"/>
              </w:rPr>
              <w:t>.支持802.1x认证</w:t>
            </w:r>
          </w:p>
          <w:p>
            <w:pPr>
              <w:rPr>
                <w:color w:val="auto"/>
              </w:rPr>
            </w:pPr>
            <w:r>
              <w:rPr>
                <w:rFonts w:hint="eastAsia"/>
                <w:color w:val="auto"/>
                <w:lang w:val="en-US" w:eastAsia="zh-CN"/>
              </w:rPr>
              <w:t>16</w:t>
            </w:r>
            <w:r>
              <w:rPr>
                <w:color w:val="auto"/>
              </w:rPr>
              <w:t>.为满足不同教师教学办公需要，支持双屏扩展显示，双屏异显（扩展屏）、双屏同显（复制屏）</w:t>
            </w:r>
          </w:p>
          <w:p>
            <w:pPr>
              <w:rPr>
                <w:color w:val="auto"/>
              </w:rPr>
            </w:pPr>
            <w:r>
              <w:rPr>
                <w:rFonts w:hint="eastAsia"/>
                <w:color w:val="auto"/>
                <w:lang w:val="en-US" w:eastAsia="zh-CN"/>
              </w:rPr>
              <w:t>17</w:t>
            </w:r>
            <w:r>
              <w:rPr>
                <w:color w:val="auto"/>
              </w:rPr>
              <w:t>. 为满足不同教师对于不同操作系统的使用需求，云终端需在第八代CPU下运行XP及win7（32位）系统，用户登录XP及Win7（32）后，自动挂载网盘无需二次认证，进入网盘客户端界面，在个人云盘下直接双击Word或Excel文件进行编辑无需下载到本地操作，签订合同前进行实际测试，如发现投标与实际情况不符的做无效标处理，并由投标方承担一切责任</w:t>
            </w:r>
          </w:p>
          <w:p>
            <w:pPr>
              <w:rPr>
                <w:color w:val="auto"/>
              </w:rPr>
            </w:pPr>
            <w:r>
              <w:rPr>
                <w:color w:val="auto"/>
              </w:rPr>
              <w:t>1</w:t>
            </w:r>
            <w:r>
              <w:rPr>
                <w:rFonts w:hint="eastAsia"/>
                <w:color w:val="auto"/>
                <w:lang w:val="en-US" w:eastAsia="zh-CN"/>
              </w:rPr>
              <w:t>8</w:t>
            </w:r>
            <w:r>
              <w:rPr>
                <w:color w:val="auto"/>
              </w:rPr>
              <w:t>.▲为保障所投设备质量优异，可靠性高，要求所投设备平均故障间隔时间（MTBF）≥2</w:t>
            </w:r>
            <w:r>
              <w:rPr>
                <w:rFonts w:hint="eastAsia"/>
                <w:color w:val="auto"/>
                <w:lang w:val="en-US" w:eastAsia="zh-CN"/>
              </w:rPr>
              <w:t>0</w:t>
            </w:r>
            <w:r>
              <w:rPr>
                <w:color w:val="auto"/>
              </w:rPr>
              <w:t>0000小时，并提供第三方权威证书和测试报告复印件，测试报告需具备CNAS标识</w:t>
            </w:r>
          </w:p>
          <w:p>
            <w:pPr>
              <w:rPr>
                <w:color w:val="auto"/>
              </w:rPr>
            </w:pPr>
            <w:r>
              <w:rPr>
                <w:rFonts w:hint="eastAsia"/>
                <w:color w:val="auto"/>
                <w:lang w:val="en-US" w:eastAsia="zh-CN"/>
              </w:rPr>
              <w:t>19</w:t>
            </w:r>
            <w:r>
              <w:rPr>
                <w:color w:val="auto"/>
              </w:rPr>
              <w:t>.投标产品需提供3C证书及节能证书，提供证书复印件</w:t>
            </w:r>
          </w:p>
          <w:p>
            <w:pPr>
              <w:rPr>
                <w:color w:val="auto"/>
              </w:rPr>
            </w:pPr>
            <w:r>
              <w:rPr>
                <w:rFonts w:hint="eastAsia"/>
                <w:color w:val="auto"/>
                <w:lang w:val="en-US" w:eastAsia="zh-CN"/>
              </w:rPr>
              <w:t>20</w:t>
            </w:r>
            <w:r>
              <w:rPr>
                <w:color w:val="auto"/>
              </w:rPr>
              <w:t>. 为防止人体触电，要求所投终端产品满足抗电强度要求：（1）电源初级与地之间施加AC1500V产品无击穿现象；（2）电源初级与次级之间施加AC3000V产品无击穿现象；（3）电源初级与机壳之间施加AC3000V产品无击穿现象，针对此功能需提供国家级权威测试机构出具的证书复印件，要求证书具有 CMA或 CNAS认证。（为保证所提供证书的真实性，需出具该证书所对应检测报告的查询链接及截图）</w:t>
            </w:r>
          </w:p>
          <w:p>
            <w:pPr>
              <w:rPr>
                <w:color w:val="auto"/>
              </w:rPr>
            </w:pPr>
            <w:r>
              <w:rPr>
                <w:rFonts w:hint="eastAsia"/>
                <w:color w:val="auto"/>
                <w:lang w:val="en-US" w:eastAsia="zh-CN"/>
              </w:rPr>
              <w:t>21</w:t>
            </w:r>
            <w:r>
              <w:rPr>
                <w:color w:val="auto"/>
              </w:rPr>
              <w:t>. 夏季为雷雨季，常因雷电影响而导致设备损坏，为防止类似情况出现, 要求对所投设备施加电源端口试验电压4kV后，设备不出现故障，针对此功能需提供国家级权威测试机构出具的证书复印件，要求证书具有 CMA或 CNAS认证。（为保证所提供证书的真实性，需出具该证书所对应检测报告的查询链接及截图）</w:t>
            </w:r>
          </w:p>
          <w:p>
            <w:pPr>
              <w:rPr>
                <w:color w:val="auto"/>
                <w:highlight w:val="none"/>
              </w:rPr>
            </w:pPr>
            <w:r>
              <w:rPr>
                <w:rFonts w:hint="eastAsia"/>
                <w:color w:val="auto"/>
                <w:highlight w:val="none"/>
                <w:lang w:val="en-US" w:eastAsia="zh-CN"/>
              </w:rPr>
              <w:t>22</w:t>
            </w:r>
            <w:r>
              <w:rPr>
                <w:color w:val="auto"/>
                <w:highlight w:val="none"/>
              </w:rPr>
              <w:t>. 为避免设备运行时产生噪声污染，干扰办公、学习人员，要求设备噪声指标≤</w:t>
            </w:r>
            <w:r>
              <w:rPr>
                <w:rFonts w:hint="eastAsia"/>
                <w:color w:val="auto"/>
                <w:highlight w:val="none"/>
                <w:lang w:val="en-US" w:eastAsia="zh-CN"/>
              </w:rPr>
              <w:t>20</w:t>
            </w:r>
            <w:r>
              <w:rPr>
                <w:color w:val="auto"/>
                <w:highlight w:val="none"/>
              </w:rPr>
              <w:t>dB，针对此功能需提供国家级权威测试机构出具的证书复印件，要求证书具有 CMA或 CNAS认证。（为保证所提供证书的真实性，需出具该证书所对应检测报告的查询链接及截图）</w:t>
            </w:r>
          </w:p>
          <w:p>
            <w:pPr>
              <w:rPr>
                <w:rFonts w:hint="eastAsia"/>
                <w:color w:val="auto"/>
              </w:rPr>
            </w:pPr>
            <w:r>
              <w:rPr>
                <w:rFonts w:hint="eastAsia"/>
                <w:color w:val="auto"/>
                <w:lang w:val="en-US" w:eastAsia="zh-CN"/>
              </w:rPr>
              <w:t>23</w:t>
            </w:r>
            <w:r>
              <w:rPr>
                <w:color w:val="auto"/>
              </w:rPr>
              <w:t>. 为缓解视觉疲劳，要求所投云一体机产品为蓝光危害“0类危害（无危害）”产品，并提供第三方检测报告，报告需官方可查并提供官方查询链接和截图。</w:t>
            </w:r>
          </w:p>
          <w:p>
            <w:pPr>
              <w:rPr>
                <w:rFonts w:hint="eastAsia" w:ascii="宋体" w:hAnsi="宋体" w:eastAsia="宋体" w:cs="宋体"/>
                <w:i w:val="0"/>
                <w:iCs w:val="0"/>
                <w:color w:val="auto"/>
                <w:sz w:val="21"/>
                <w:szCs w:val="21"/>
                <w:u w:val="none"/>
              </w:rPr>
            </w:pPr>
            <w:r>
              <w:rPr>
                <w:rFonts w:hint="eastAsia"/>
                <w:color w:val="auto"/>
                <w:lang w:val="en-US" w:eastAsia="zh-CN"/>
              </w:rPr>
              <w:t>24</w:t>
            </w:r>
            <w:r>
              <w:rPr>
                <w:color w:val="auto"/>
              </w:rPr>
              <w:t>. ▲与云办公控制主机</w:t>
            </w:r>
            <w:r>
              <w:rPr>
                <w:rFonts w:hint="eastAsia"/>
                <w:color w:val="auto"/>
              </w:rPr>
              <w:t>、云机房控制主机、教学管理软件均为同</w:t>
            </w:r>
            <w:r>
              <w:rPr>
                <w:color w:val="auto"/>
              </w:rPr>
              <w:t>一品牌</w:t>
            </w:r>
            <w:r>
              <w:rPr>
                <w:rFonts w:hint="eastAsia"/>
                <w:color w:val="auto"/>
              </w:rPr>
              <w:t>。</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教学管理软件</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auto"/>
              </w:rPr>
            </w:pPr>
            <w:r>
              <w:rPr>
                <w:color w:val="auto"/>
              </w:rPr>
              <w:t>1、要求提供多种教学模式以应对不同的教学需求，老师可以通过教学管理软件对学生一键切换不同的教学镜像，切换模式时，终端硬件无需重新启动，要求提供功能截图。</w:t>
            </w:r>
          </w:p>
          <w:p>
            <w:pPr>
              <w:jc w:val="left"/>
              <w:rPr>
                <w:color w:val="auto"/>
              </w:rPr>
            </w:pPr>
            <w:r>
              <w:rPr>
                <w:color w:val="auto"/>
              </w:rPr>
              <w:t>2、支持通过教学管理软件一键开启所有云终端，终端启动后进入对应的课程镜像桌面</w:t>
            </w:r>
            <w:r>
              <w:rPr>
                <w:rFonts w:hint="eastAsia"/>
                <w:color w:val="auto"/>
              </w:rPr>
              <w:t>，</w:t>
            </w:r>
            <w:r>
              <w:rPr>
                <w:color w:val="auto"/>
              </w:rPr>
              <w:t>要求提供具有 CMA或 CNAS认证章的第三方权威机构检验报告证明的测试报告证明复印件</w:t>
            </w:r>
            <w:r>
              <w:rPr>
                <w:rFonts w:hint="eastAsia"/>
                <w:color w:val="auto"/>
              </w:rPr>
              <w:t>。</w:t>
            </w:r>
          </w:p>
          <w:p>
            <w:pPr>
              <w:jc w:val="left"/>
              <w:rPr>
                <w:color w:val="auto"/>
              </w:rPr>
            </w:pPr>
            <w:r>
              <w:rPr>
                <w:color w:val="auto"/>
              </w:rPr>
              <w:t>3、为简化教学、方便上课前的学生点名，教学管理软件远程终端编号功能，并与云桌面编号一一对应，提供产品功能截图证明，并要求提供具有 CMA或 CNAS认证章的第三方权威机构检验报告证明的测试报告证明复印件</w:t>
            </w:r>
            <w:r>
              <w:rPr>
                <w:rFonts w:hint="eastAsia"/>
                <w:color w:val="auto"/>
              </w:rPr>
              <w:t>。</w:t>
            </w:r>
          </w:p>
          <w:p>
            <w:pPr>
              <w:jc w:val="left"/>
              <w:rPr>
                <w:color w:val="auto"/>
              </w:rPr>
            </w:pPr>
            <w:r>
              <w:rPr>
                <w:color w:val="auto"/>
              </w:rPr>
              <w:t>4、支持老师对单一、部分、全体学生进行黑屏操作，黑屏状态下，学生的机器被锁定。</w:t>
            </w:r>
          </w:p>
          <w:p>
            <w:pPr>
              <w:jc w:val="left"/>
              <w:rPr>
                <w:color w:val="auto"/>
              </w:rPr>
            </w:pPr>
            <w:r>
              <w:rPr>
                <w:color w:val="auto"/>
              </w:rPr>
              <w:t>5、为保证正常教学使用，在教师机可以实现屏幕广播；学生可以调整老师广播屏幕大小；老师可以选择是否广播声音给学生；以上功能提供产品功能截图证明，并要求提供具有 CMA或 CNAS认证章的第三方权威机构检验报告证明的测试报告证明复印件。</w:t>
            </w:r>
          </w:p>
          <w:p>
            <w:pPr>
              <w:jc w:val="left"/>
              <w:rPr>
                <w:color w:val="auto"/>
              </w:rPr>
            </w:pPr>
            <w:r>
              <w:rPr>
                <w:color w:val="auto"/>
              </w:rPr>
              <w:t>6、为方便教学控制，支持通过教学管理软件实现一键禁止任意学生上网，禁网同时需要支持屏幕广播、屏幕查看等正常教学应用，针对此功能需提供功能截图。</w:t>
            </w:r>
          </w:p>
          <w:p>
            <w:pPr>
              <w:jc w:val="left"/>
              <w:rPr>
                <w:color w:val="auto"/>
              </w:rPr>
            </w:pPr>
            <w:r>
              <w:rPr>
                <w:color w:val="auto"/>
              </w:rPr>
              <w:t>7</w:t>
            </w:r>
            <w:r>
              <w:rPr>
                <w:rFonts w:hint="eastAsia"/>
                <w:color w:val="auto"/>
              </w:rPr>
              <w:t>、</w:t>
            </w:r>
            <w:r>
              <w:rPr>
                <w:color w:val="auto"/>
              </w:rPr>
              <w:t>支持老师对学生分组功能；支持根据学生姓名手动分组或随机分组；支持老师和组长对组名重命名功能；支持小组总得分记录、支持各学生组员对小组贡献值记录；支持组内文件互传功能；提供产品功能截图证明。</w:t>
            </w:r>
          </w:p>
          <w:p>
            <w:pPr>
              <w:jc w:val="left"/>
              <w:rPr>
                <w:color w:val="auto"/>
              </w:rPr>
            </w:pPr>
            <w:r>
              <w:rPr>
                <w:color w:val="auto"/>
              </w:rPr>
              <w:t>8</w:t>
            </w:r>
            <w:r>
              <w:rPr>
                <w:rFonts w:hint="eastAsia"/>
                <w:color w:val="auto"/>
              </w:rPr>
              <w:t>、</w:t>
            </w:r>
            <w:r>
              <w:rPr>
                <w:color w:val="auto"/>
              </w:rPr>
              <w:t>支持自主注册账号、支持管理员统一账号导入；老师账号仅支持密码登陆个人空间；学生账号支持密码登陆和无密码登陆；提供产品功能截图证明。</w:t>
            </w:r>
          </w:p>
          <w:p>
            <w:pPr>
              <w:jc w:val="left"/>
              <w:rPr>
                <w:color w:val="auto"/>
              </w:rPr>
            </w:pPr>
            <w:r>
              <w:rPr>
                <w:color w:val="auto"/>
              </w:rPr>
              <w:t>9</w:t>
            </w:r>
            <w:r>
              <w:rPr>
                <w:rFonts w:hint="eastAsia"/>
                <w:color w:val="auto"/>
              </w:rPr>
              <w:t>、</w:t>
            </w:r>
            <w:r>
              <w:rPr>
                <w:color w:val="auto"/>
              </w:rPr>
              <w:t>为简化班级管理维护工作，支持通过标识码邀请方式来创建班级，即老师通过唯一的标识码邀请学生加入，针对此功能需提供产品功能截图证明。</w:t>
            </w:r>
          </w:p>
          <w:p>
            <w:pPr>
              <w:jc w:val="left"/>
              <w:rPr>
                <w:color w:val="auto"/>
              </w:rPr>
            </w:pPr>
            <w:r>
              <w:rPr>
                <w:color w:val="auto"/>
              </w:rPr>
              <w:t>10、互动游戏：为促进课堂互动效果，提升课堂活跃度，需提供实用课堂互动小游戏，为保证后续使用效果需提供功能截图</w:t>
            </w:r>
            <w:r>
              <w:rPr>
                <w:rFonts w:hint="eastAsia"/>
                <w:color w:val="auto"/>
              </w:rPr>
              <w:t>。</w:t>
            </w:r>
          </w:p>
          <w:p>
            <w:pPr>
              <w:jc w:val="left"/>
              <w:rPr>
                <w:color w:val="auto"/>
              </w:rPr>
            </w:pPr>
            <w:r>
              <w:rPr>
                <w:color w:val="auto"/>
              </w:rPr>
              <w:t>11、班级模型自动创建，为简化班级管理维护工作，支持通过标识码邀请方式来创建班级，老师可以通过唯一的标识码邀请学生加入，针对此功能需提供功能截图。</w:t>
            </w:r>
          </w:p>
          <w:p>
            <w:pPr>
              <w:jc w:val="left"/>
              <w:rPr>
                <w:color w:val="auto"/>
              </w:rPr>
            </w:pPr>
            <w:r>
              <w:rPr>
                <w:color w:val="auto"/>
              </w:rPr>
              <w:t>12、为避免U-Key丢失和兼容性以及安全性问题，授权方式必须为文件授权方式，而非U-Key授权的方式</w:t>
            </w:r>
            <w:r>
              <w:rPr>
                <w:rFonts w:hint="eastAsia"/>
                <w:color w:val="auto"/>
              </w:rPr>
              <w:t>，</w:t>
            </w:r>
            <w:r>
              <w:rPr>
                <w:color w:val="auto"/>
              </w:rPr>
              <w:t>需要提供服务器文件授权界面截图。</w:t>
            </w:r>
          </w:p>
          <w:p>
            <w:pPr>
              <w:jc w:val="left"/>
              <w:rPr>
                <w:color w:val="auto"/>
              </w:rPr>
            </w:pPr>
            <w:r>
              <w:rPr>
                <w:color w:val="auto"/>
              </w:rPr>
              <w:t>13、学生奖励机制：学生在教学活动中可以获得虚拟积分，学生和老师端可以查看积分排名；为保证后续使用效果需提供上述功能截图。</w:t>
            </w:r>
          </w:p>
          <w:p>
            <w:pPr>
              <w:jc w:val="left"/>
              <w:rPr>
                <w:color w:val="auto"/>
              </w:rPr>
            </w:pPr>
            <w:r>
              <w:rPr>
                <w:color w:val="auto"/>
              </w:rPr>
              <w:t>14、教学管理软件必须为自主研发，非OEM 产品，要求提供中华人民共和国国家版权局颁发的软件著作权登记证证书复印件。</w:t>
            </w:r>
          </w:p>
          <w:p>
            <w:pPr>
              <w:jc w:val="left"/>
              <w:rPr>
                <w:color w:val="auto"/>
              </w:rPr>
            </w:pPr>
            <w:r>
              <w:rPr>
                <w:color w:val="auto"/>
              </w:rPr>
              <w:t>15、支持同时多教室使用，教学管理软件服务端需支持集中部署，同时应具备分级分权管理能力，在教学管理软件服务端可以配置多机构模式。</w:t>
            </w:r>
          </w:p>
          <w:p>
            <w:pPr>
              <w:jc w:val="left"/>
              <w:rPr>
                <w:rFonts w:hint="eastAsia" w:ascii="宋体" w:hAnsi="宋体" w:eastAsia="宋体" w:cs="宋体"/>
                <w:i w:val="0"/>
                <w:iCs w:val="0"/>
                <w:color w:val="auto"/>
                <w:sz w:val="21"/>
                <w:szCs w:val="21"/>
                <w:u w:val="none"/>
              </w:rPr>
            </w:pPr>
            <w:r>
              <w:rPr>
                <w:color w:val="auto"/>
              </w:rPr>
              <w:t>16、▲要求与</w:t>
            </w:r>
            <w:r>
              <w:rPr>
                <w:rFonts w:hint="eastAsia"/>
                <w:color w:val="auto"/>
              </w:rPr>
              <w:t>云机房控制主机</w:t>
            </w:r>
            <w:r>
              <w:rPr>
                <w:color w:val="auto"/>
              </w:rPr>
              <w:t>、</w:t>
            </w:r>
            <w:r>
              <w:rPr>
                <w:rFonts w:hint="eastAsia"/>
                <w:color w:val="auto"/>
              </w:rPr>
              <w:t>云</w:t>
            </w:r>
            <w:r>
              <w:rPr>
                <w:color w:val="auto"/>
              </w:rPr>
              <w:t>终端为同一品牌，本次</w:t>
            </w:r>
            <w:r>
              <w:rPr>
                <w:rFonts w:hint="eastAsia"/>
                <w:color w:val="auto"/>
              </w:rPr>
              <w:t>单套软件</w:t>
            </w:r>
            <w:r>
              <w:rPr>
                <w:color w:val="auto"/>
              </w:rPr>
              <w:t>配置不少于</w:t>
            </w:r>
            <w:r>
              <w:rPr>
                <w:rFonts w:hint="eastAsia"/>
                <w:color w:val="auto"/>
                <w:lang w:val="en-US" w:eastAsia="zh-CN"/>
              </w:rPr>
              <w:t>60</w:t>
            </w:r>
            <w:r>
              <w:rPr>
                <w:color w:val="auto"/>
              </w:rPr>
              <w:t>个教学</w:t>
            </w:r>
            <w:r>
              <w:rPr>
                <w:rFonts w:hint="eastAsia"/>
                <w:color w:val="auto"/>
              </w:rPr>
              <w:t>管理</w:t>
            </w:r>
            <w:r>
              <w:rPr>
                <w:color w:val="auto"/>
              </w:rPr>
              <w:t>授权。</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教师云终端（一体机）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r>
              <w:rPr>
                <w:color w:val="auto"/>
              </w:rPr>
              <w:t>1. 为保证云桌面软件系统的兼容效果和稳定运行，所有终端均需采用x86架构，且为国内自主品牌</w:t>
            </w:r>
          </w:p>
          <w:p>
            <w:pPr>
              <w:rPr>
                <w:rFonts w:hint="eastAsia"/>
                <w:color w:val="auto"/>
              </w:rPr>
            </w:pPr>
            <w:r>
              <w:rPr>
                <w:color w:val="auto"/>
              </w:rPr>
              <w:t>2.★配置处理器性能不低于Intel第十代i5六核十二线程处理器；内存容量≥8GB；显卡性能不低于Intel UHD 630；本地存储容量≥256 GB SSD；</w:t>
            </w:r>
            <w:r>
              <w:rPr>
                <w:rFonts w:hint="eastAsia"/>
                <w:color w:val="auto"/>
              </w:rPr>
              <w:t>内置</w:t>
            </w:r>
            <w:r>
              <w:rPr>
                <w:color w:val="auto"/>
              </w:rPr>
              <w:t>无线网卡</w:t>
            </w:r>
            <w:r>
              <w:rPr>
                <w:rFonts w:hint="eastAsia"/>
                <w:color w:val="auto"/>
              </w:rPr>
              <w:t>，一体式</w:t>
            </w:r>
            <w:r>
              <w:rPr>
                <w:color w:val="auto"/>
              </w:rPr>
              <w:t>显示器尺寸≥23英寸，分辨率≥1920×1080</w:t>
            </w:r>
            <w:r>
              <w:rPr>
                <w:rFonts w:hint="eastAsia"/>
                <w:color w:val="auto"/>
              </w:rPr>
              <w:t>，</w:t>
            </w:r>
            <w:r>
              <w:rPr>
                <w:color w:val="auto"/>
              </w:rPr>
              <w:t>USB接口≥5个（包含USB 3.0接口≥3个），千兆网口≥1个，HDMI接口≥1个，音频输入输出接口≥1对，且支持4段式耳机音频输入及输出，保留</w:t>
            </w:r>
            <w:r>
              <w:rPr>
                <w:rFonts w:hint="eastAsia"/>
                <w:color w:val="auto"/>
              </w:rPr>
              <w:t>中标后</w:t>
            </w:r>
            <w:r>
              <w:rPr>
                <w:color w:val="auto"/>
              </w:rPr>
              <w:t>测试权利</w:t>
            </w:r>
          </w:p>
          <w:p>
            <w:pPr>
              <w:rPr>
                <w:color w:val="auto"/>
              </w:rPr>
            </w:pPr>
            <w:r>
              <w:rPr>
                <w:color w:val="auto"/>
              </w:rPr>
              <w:t>3. 额外配置≥1个内存扩展槽</w:t>
            </w:r>
            <w:r>
              <w:rPr>
                <w:rFonts w:hint="eastAsia"/>
                <w:color w:val="auto"/>
              </w:rPr>
              <w:t>，</w:t>
            </w:r>
            <w:r>
              <w:rPr>
                <w:color w:val="auto"/>
              </w:rPr>
              <w:t>额外配置≥1个硬盘扩展槽，提供产品图片证明</w:t>
            </w:r>
          </w:p>
          <w:p>
            <w:pPr>
              <w:rPr>
                <w:rFonts w:hint="eastAsia"/>
                <w:color w:val="auto"/>
              </w:rPr>
            </w:pPr>
            <w:r>
              <w:rPr>
                <w:color w:val="auto"/>
              </w:rPr>
              <w:t>4. 为用户提供更优质的屏幕使用体验，提供三面无边框屏幕，屏占比≥90%，提供官网链接</w:t>
            </w:r>
            <w:r>
              <w:rPr>
                <w:rFonts w:hint="eastAsia"/>
                <w:color w:val="auto"/>
              </w:rPr>
              <w:t>及截图证明</w:t>
            </w:r>
            <w:r>
              <w:rPr>
                <w:color w:val="auto"/>
              </w:rPr>
              <w:t>。</w:t>
            </w:r>
          </w:p>
          <w:p>
            <w:pPr>
              <w:rPr>
                <w:rFonts w:hint="eastAsia"/>
                <w:color w:val="auto"/>
              </w:rPr>
            </w:pPr>
            <w:r>
              <w:rPr>
                <w:rFonts w:hint="eastAsia"/>
                <w:color w:val="auto"/>
              </w:rPr>
              <w:t>5</w:t>
            </w:r>
            <w:r>
              <w:rPr>
                <w:color w:val="auto"/>
              </w:rPr>
              <w:t>. 配置铝合金一体化压铸底座，提供官网链接</w:t>
            </w:r>
            <w:r>
              <w:rPr>
                <w:rFonts w:hint="eastAsia"/>
                <w:color w:val="auto"/>
              </w:rPr>
              <w:t>及截图证明</w:t>
            </w:r>
            <w:r>
              <w:rPr>
                <w:color w:val="auto"/>
              </w:rPr>
              <w:t>。</w:t>
            </w:r>
          </w:p>
          <w:p>
            <w:pPr>
              <w:rPr>
                <w:color w:val="auto"/>
              </w:rPr>
            </w:pPr>
            <w:r>
              <w:rPr>
                <w:rFonts w:hint="eastAsia"/>
                <w:color w:val="auto"/>
                <w:lang w:val="en-US" w:eastAsia="zh-CN"/>
              </w:rPr>
              <w:t>6</w:t>
            </w:r>
            <w:r>
              <w:rPr>
                <w:color w:val="auto"/>
              </w:rPr>
              <w:t>.为了便于终端部署在讲桌或办公桌面底部，终端需提供外延电源开关接口，方便开关机。</w:t>
            </w:r>
          </w:p>
          <w:p>
            <w:pPr>
              <w:rPr>
                <w:color w:val="auto"/>
              </w:rPr>
            </w:pPr>
            <w:r>
              <w:rPr>
                <w:rFonts w:hint="eastAsia"/>
                <w:color w:val="auto"/>
                <w:lang w:val="en-US" w:eastAsia="zh-CN"/>
              </w:rPr>
              <w:t>7</w:t>
            </w:r>
            <w:r>
              <w:rPr>
                <w:color w:val="auto"/>
              </w:rPr>
              <w:t>.为了降低部署难度，终端首次上电后支持终端配置向导，自动接入云办公系统，无需管理员账号即可实现终端配置，降低配置难度</w:t>
            </w:r>
          </w:p>
          <w:p>
            <w:pPr>
              <w:rPr>
                <w:color w:val="auto"/>
              </w:rPr>
            </w:pPr>
            <w:r>
              <w:rPr>
                <w:rFonts w:hint="eastAsia"/>
                <w:color w:val="auto"/>
                <w:lang w:val="en-US" w:eastAsia="zh-CN"/>
              </w:rPr>
              <w:t>8</w:t>
            </w:r>
            <w:r>
              <w:rPr>
                <w:color w:val="auto"/>
              </w:rPr>
              <w:t>.为了适用不同的业务应用场景，终端支持多种模式切换，包含但不限于个人桌面使用的个性化模式、公共桌面使用的还原模式、公共查询端使用的无账号公用模式，提供实际操作截图</w:t>
            </w:r>
          </w:p>
          <w:p>
            <w:pPr>
              <w:rPr>
                <w:color w:val="auto"/>
              </w:rPr>
            </w:pPr>
            <w:r>
              <w:rPr>
                <w:rFonts w:hint="eastAsia"/>
                <w:color w:val="auto"/>
                <w:lang w:val="en-US" w:eastAsia="zh-CN"/>
              </w:rPr>
              <w:t>9</w:t>
            </w:r>
            <w:r>
              <w:rPr>
                <w:color w:val="auto"/>
              </w:rPr>
              <w:t>.支持终端自身及虚拟桌面IP地址设置，为了便于管理，能够通过web管理端进行IP地址修改与维护，提供实际操作截图</w:t>
            </w:r>
          </w:p>
          <w:p>
            <w:pPr>
              <w:rPr>
                <w:color w:val="auto"/>
              </w:rPr>
            </w:pPr>
            <w:r>
              <w:rPr>
                <w:rFonts w:hint="eastAsia"/>
                <w:color w:val="auto"/>
                <w:lang w:val="en-US" w:eastAsia="zh-CN"/>
              </w:rPr>
              <w:t>10</w:t>
            </w:r>
            <w:r>
              <w:rPr>
                <w:color w:val="auto"/>
              </w:rPr>
              <w:t>.支持在第八代CPU下运行XP及win7等老系统，提供实际操作截图</w:t>
            </w:r>
          </w:p>
          <w:p>
            <w:pPr>
              <w:rPr>
                <w:color w:val="auto"/>
              </w:rPr>
            </w:pPr>
            <w:r>
              <w:rPr>
                <w:rFonts w:hint="eastAsia"/>
                <w:color w:val="auto"/>
                <w:lang w:val="en-US" w:eastAsia="zh-CN"/>
              </w:rPr>
              <w:t>11</w:t>
            </w:r>
            <w:r>
              <w:rPr>
                <w:color w:val="auto"/>
              </w:rPr>
              <w:t>.支持上电自启动功能，并能够根据实际使用情况选择关闭或开启，提供实际操作截图</w:t>
            </w:r>
          </w:p>
          <w:p>
            <w:pPr>
              <w:rPr>
                <w:color w:val="auto"/>
              </w:rPr>
            </w:pPr>
            <w:r>
              <w:rPr>
                <w:rFonts w:hint="eastAsia"/>
                <w:color w:val="auto"/>
                <w:lang w:val="en-US" w:eastAsia="zh-CN"/>
              </w:rPr>
              <w:t>12</w:t>
            </w:r>
            <w:r>
              <w:rPr>
                <w:color w:val="auto"/>
              </w:rPr>
              <w:t>.保障业务连续性，在网络中断的情况下，依然支持离线使用虚拟云桌面，确保教学、办公高可靠性</w:t>
            </w:r>
          </w:p>
          <w:p>
            <w:pPr>
              <w:rPr>
                <w:color w:val="auto"/>
              </w:rPr>
            </w:pPr>
            <w:r>
              <w:rPr>
                <w:rFonts w:hint="eastAsia"/>
                <w:color w:val="auto"/>
                <w:lang w:val="en-US" w:eastAsia="zh-CN"/>
              </w:rPr>
              <w:t>13</w:t>
            </w:r>
            <w:r>
              <w:rPr>
                <w:color w:val="auto"/>
              </w:rPr>
              <w:t>.支持终端显卡透传，能够将终端物理显卡透传至虚拟机中，支持部分对物理显卡有要求场景，如基础3D软件的运行</w:t>
            </w:r>
          </w:p>
          <w:p>
            <w:pPr>
              <w:rPr>
                <w:color w:val="auto"/>
              </w:rPr>
            </w:pPr>
            <w:r>
              <w:rPr>
                <w:rFonts w:hint="eastAsia"/>
                <w:color w:val="auto"/>
                <w:lang w:val="en-US" w:eastAsia="zh-CN"/>
              </w:rPr>
              <w:t>14</w:t>
            </w:r>
            <w:r>
              <w:rPr>
                <w:color w:val="auto"/>
              </w:rPr>
              <w:t>．支持U盘传输镜像，并可将终端转化为镜像分发服务端，对外快速分发镜像，提供实际操作截图</w:t>
            </w:r>
          </w:p>
          <w:p>
            <w:pPr>
              <w:rPr>
                <w:color w:val="auto"/>
              </w:rPr>
            </w:pPr>
            <w:r>
              <w:rPr>
                <w:color w:val="auto"/>
              </w:rPr>
              <w:t>10.支持802.1x认证</w:t>
            </w:r>
          </w:p>
          <w:p>
            <w:pPr>
              <w:rPr>
                <w:color w:val="auto"/>
              </w:rPr>
            </w:pPr>
            <w:r>
              <w:rPr>
                <w:color w:val="auto"/>
              </w:rPr>
              <w:t>1</w:t>
            </w:r>
            <w:r>
              <w:rPr>
                <w:rFonts w:hint="eastAsia"/>
                <w:color w:val="auto"/>
                <w:lang w:val="en-US" w:eastAsia="zh-CN"/>
              </w:rPr>
              <w:t>5</w:t>
            </w:r>
            <w:r>
              <w:rPr>
                <w:color w:val="auto"/>
              </w:rPr>
              <w:t>.为满足不同教师教学办公需要，支持双屏扩展显示，双屏异显（扩展屏）、双屏同显（复制屏）</w:t>
            </w:r>
          </w:p>
          <w:p>
            <w:pPr>
              <w:rPr>
                <w:color w:val="auto"/>
              </w:rPr>
            </w:pPr>
            <w:r>
              <w:rPr>
                <w:color w:val="auto"/>
              </w:rPr>
              <w:t>1</w:t>
            </w:r>
            <w:r>
              <w:rPr>
                <w:rFonts w:hint="eastAsia"/>
                <w:color w:val="auto"/>
                <w:lang w:val="en-US" w:eastAsia="zh-CN"/>
              </w:rPr>
              <w:t>6</w:t>
            </w:r>
            <w:r>
              <w:rPr>
                <w:color w:val="auto"/>
              </w:rPr>
              <w:t>. 为满足不同教师对于不同操作系统的使用需求，云终端需在第八代CPU下运行XP及win7（32位）系统，用户登录XP及Win7（32）后，自动挂载网盘无需二次认证，进入网盘客户端界面，在个人云盘下直接双击Word或Excel文件进行编辑无需下载到本地操作，签订合同前进行实际测试，如发现投标与实际情况不符的做无效标处理，并由投标方承担一切责任</w:t>
            </w:r>
          </w:p>
          <w:p>
            <w:pPr>
              <w:rPr>
                <w:color w:val="auto"/>
              </w:rPr>
            </w:pPr>
            <w:r>
              <w:rPr>
                <w:rFonts w:hint="eastAsia"/>
                <w:color w:val="auto"/>
                <w:lang w:val="en-US" w:eastAsia="zh-CN"/>
              </w:rPr>
              <w:t>17</w:t>
            </w:r>
            <w:r>
              <w:rPr>
                <w:color w:val="auto"/>
              </w:rPr>
              <w:t>.▲为保障所投设备质量优异，可靠性高，要求所投设备平均故障间隔时间（MTBF）≥2</w:t>
            </w:r>
            <w:r>
              <w:rPr>
                <w:rFonts w:hint="eastAsia"/>
                <w:color w:val="auto"/>
                <w:lang w:val="en-US" w:eastAsia="zh-CN"/>
              </w:rPr>
              <w:t>0</w:t>
            </w:r>
            <w:r>
              <w:rPr>
                <w:color w:val="auto"/>
              </w:rPr>
              <w:t>0000小时，并提供第三方权威证书和测试报告复印件，测试报告需具备CNAS标识</w:t>
            </w:r>
          </w:p>
          <w:p>
            <w:pPr>
              <w:rPr>
                <w:color w:val="auto"/>
              </w:rPr>
            </w:pPr>
            <w:r>
              <w:rPr>
                <w:rFonts w:hint="eastAsia"/>
                <w:color w:val="auto"/>
                <w:lang w:val="en-US" w:eastAsia="zh-CN"/>
              </w:rPr>
              <w:t>18</w:t>
            </w:r>
            <w:r>
              <w:rPr>
                <w:color w:val="auto"/>
              </w:rPr>
              <w:t>.投标产品需提供3C证书及节能证书，提供证书复印件</w:t>
            </w:r>
          </w:p>
          <w:p>
            <w:pPr>
              <w:rPr>
                <w:color w:val="auto"/>
              </w:rPr>
            </w:pPr>
            <w:r>
              <w:rPr>
                <w:rFonts w:hint="eastAsia"/>
                <w:color w:val="auto"/>
                <w:lang w:val="en-US" w:eastAsia="zh-CN"/>
              </w:rPr>
              <w:t>19</w:t>
            </w:r>
            <w:r>
              <w:rPr>
                <w:color w:val="auto"/>
              </w:rPr>
              <w:t>. 为防止人体触电，要求所投终端产品满足抗电强度要求：（1）电源初级与地之间施加AC1500V产品无击穿现象；（2）电源初级与次级之间施加AC3000V产品无击穿现象；（3）电源初级与机壳之间施加AC3000V产品无击穿现象，针对此功能需提供国家级权威测试机构出具的证书复印件，要求证书具有 CMA或 CNAS认证。（为保证所提供证书的真实性，需出具该证书所对应检测报告的查询链接及截图）</w:t>
            </w:r>
          </w:p>
          <w:p>
            <w:pPr>
              <w:rPr>
                <w:color w:val="auto"/>
              </w:rPr>
            </w:pPr>
            <w:r>
              <w:rPr>
                <w:rFonts w:hint="eastAsia"/>
                <w:color w:val="auto"/>
                <w:lang w:val="en-US" w:eastAsia="zh-CN"/>
              </w:rPr>
              <w:t>20</w:t>
            </w:r>
            <w:r>
              <w:rPr>
                <w:color w:val="auto"/>
              </w:rPr>
              <w:t>. 夏季为雷雨季，常因雷电影响而导致设备损坏，为防止类似情况出现, 要求对所投设备施加电源端口试验电压4kV后，设备不出现故障，针对此功能需提供国家级权威测试机构出具的证书复印件，要求证书具有 CMA或 CNAS认证。（为保证所提供证书的真实性，需出具该证书所对应检测报告的查询链接及截图）</w:t>
            </w:r>
          </w:p>
          <w:p>
            <w:pPr>
              <w:rPr>
                <w:color w:val="auto"/>
              </w:rPr>
            </w:pPr>
            <w:r>
              <w:rPr>
                <w:rFonts w:hint="eastAsia"/>
                <w:color w:val="auto"/>
                <w:lang w:val="en-US" w:eastAsia="zh-CN"/>
              </w:rPr>
              <w:t>21</w:t>
            </w:r>
            <w:r>
              <w:rPr>
                <w:color w:val="auto"/>
              </w:rPr>
              <w:t>. 为避免设备运行时产生噪声污染，干扰办公、学习人员，要求设备噪声指标≤</w:t>
            </w:r>
            <w:r>
              <w:rPr>
                <w:rFonts w:hint="eastAsia"/>
                <w:color w:val="auto"/>
                <w:lang w:val="en-US" w:eastAsia="zh-CN"/>
              </w:rPr>
              <w:t>20</w:t>
            </w:r>
            <w:r>
              <w:rPr>
                <w:color w:val="auto"/>
              </w:rPr>
              <w:t>dB，针对此功能需提供国家级权威测试机构出具的证书复印件，要求证书具有 CMA或 CNAS认证。（为保证所提供证书的真实性，需出具该证书所对应检测报告的查询链接及截图）</w:t>
            </w:r>
          </w:p>
          <w:p>
            <w:pPr>
              <w:rPr>
                <w:rFonts w:hint="eastAsia"/>
                <w:color w:val="auto"/>
              </w:rPr>
            </w:pPr>
            <w:r>
              <w:rPr>
                <w:rFonts w:hint="eastAsia"/>
                <w:color w:val="auto"/>
                <w:lang w:val="en-US" w:eastAsia="zh-CN"/>
              </w:rPr>
              <w:t>22</w:t>
            </w:r>
            <w:r>
              <w:rPr>
                <w:color w:val="auto"/>
              </w:rPr>
              <w:t>. 为缓解视觉疲劳，要求所投云一体机产品为蓝光危害“0类危害（无危害）”产品，并提供第三方检测报告，报告需官方可查并提供官方查询链接和截图。</w:t>
            </w:r>
          </w:p>
          <w:p>
            <w:pPr>
              <w:rPr>
                <w:rFonts w:hint="eastAsia" w:ascii="宋体" w:hAnsi="宋体" w:eastAsia="宋体" w:cs="宋体"/>
                <w:i w:val="0"/>
                <w:iCs w:val="0"/>
                <w:color w:val="auto"/>
                <w:sz w:val="21"/>
                <w:szCs w:val="21"/>
                <w:u w:val="none"/>
              </w:rPr>
            </w:pPr>
            <w:r>
              <w:rPr>
                <w:rFonts w:hint="eastAsia"/>
                <w:color w:val="auto"/>
                <w:lang w:val="en-US" w:eastAsia="zh-CN"/>
              </w:rPr>
              <w:t>23</w:t>
            </w:r>
            <w:r>
              <w:rPr>
                <w:color w:val="auto"/>
              </w:rPr>
              <w:t>. ▲与云办公控制主机</w:t>
            </w:r>
            <w:r>
              <w:rPr>
                <w:rFonts w:hint="eastAsia"/>
                <w:color w:val="auto"/>
              </w:rPr>
              <w:t>、云机房控制主机、教学管理软件均为同</w:t>
            </w:r>
            <w:r>
              <w:rPr>
                <w:color w:val="auto"/>
              </w:rPr>
              <w:t>一品牌</w:t>
            </w:r>
            <w:r>
              <w:rPr>
                <w:rFonts w:hint="eastAsia"/>
                <w:color w:val="auto"/>
              </w:rPr>
              <w:t>。</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键鼠套装</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云桌面有线键鼠套装，内含有线键盘、鼠标、带有logo的鼠标垫。</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48口接入千兆交换机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color w:val="auto"/>
              </w:rPr>
              <w:t>▲</w:t>
            </w:r>
            <w:r>
              <w:rPr>
                <w:rFonts w:hint="eastAsia" w:ascii="宋体" w:hAnsi="宋体" w:eastAsia="宋体" w:cs="宋体"/>
                <w:i w:val="0"/>
                <w:iCs w:val="0"/>
                <w:color w:val="auto"/>
                <w:kern w:val="0"/>
                <w:sz w:val="21"/>
                <w:szCs w:val="21"/>
                <w:u w:val="none"/>
                <w:lang w:val="en-US" w:eastAsia="zh-CN" w:bidi="ar"/>
              </w:rPr>
              <w:t>硬件规格：交换容量≥4</w:t>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Tbps、包转发性能≥16</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 xml:space="preserve">Mpps，千兆电口≥48个、千兆光口≥4个；                                                                                                         2、支持SFP口堆叠且堆叠带宽（单向）≥2G；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lang w:val="en-US" w:eastAsia="zh-CN"/>
              </w:rPr>
              <w:t>4</w:t>
            </w:r>
            <w:r>
              <w:rPr>
                <w:color w:val="auto"/>
              </w:rPr>
              <w:t>.▲与云办公控制主机</w:t>
            </w:r>
            <w:r>
              <w:rPr>
                <w:rFonts w:hint="eastAsia"/>
                <w:color w:val="auto"/>
              </w:rPr>
              <w:t>、云机房控制主机、教学管理软件均为同</w:t>
            </w:r>
            <w:r>
              <w:rPr>
                <w:color w:val="auto"/>
              </w:rPr>
              <w:t>一品牌</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朗读云录播软件</w:t>
            </w:r>
            <w:r>
              <w:rPr>
                <w:rStyle w:val="70"/>
                <w:rFonts w:hint="eastAsia" w:ascii="宋体" w:hAnsi="宋体" w:eastAsia="宋体" w:cs="宋体"/>
                <w:color w:val="auto"/>
                <w:sz w:val="21"/>
                <w:szCs w:val="21"/>
                <w:lang w:val="en-US" w:eastAsia="zh-CN" w:bidi="ar"/>
              </w:rPr>
              <w:t>-教师端</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1.配备不少于 20 个独立账号，提供使用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2.登陆方式：支持微信登陆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3.选择班级：支持老师选择自己负责的班级进行上课；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4.教学建议：分级朗读课、快乐配音、有声悦读、背诵闯关、无纸测评等功能模块支持老师查看教学建议，帮助老师了解课程如何开展；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5.分级朗读课功能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1）支持按初级、中级、高级选择朗读课程；支持选择朗读课程具体章节，查看章节详情；支持查看范文拼音；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2）支持展示课文教学建议，配备不少于 5 个教学环节的教学建议，帮助老师了解课程如何开展；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3）支持播放口部操视频；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4）支持试听绕口令范读；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5）支持播放章节配套微课；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6）支持播放章节示范音频；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6.小学语文同步朗读指导功能：支持展示部编版 1-6 年级小学语文课文；课文内容支持与教材同步展示拼音；支持播放课文示范音频；支持播放课文朗读讲解音频；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7.晨诵暮读功能：支持展示晨诵暮读 1-6 年级小学语文课文；课文内容支持与教材同步展示拼音；支持播放课文示范音频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8.名家示范功能：支持展示和播放 2</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00+ 中华古诗文经典诵读、名家读老舍等专业音频；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9.快乐配音功能：配备绘本和电影配音素材，支持播放和预览素材；支持老师查看和播放配音素材的参考作品；支持老师给学生发送星星作为奖励；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10.有声悦读功能：配备民间故事、历史故事、成语故事、语言故事等素材和示范音频；支持老师查看和播放素材的示范音频；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11.搜索功能：①支持按素材名称（拼音首字母）、作者名称（拼音首字母）两种分类进行搜索；②支持关键字首字母模糊搜索；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朗读云录播软件</w:t>
            </w:r>
            <w:r>
              <w:rPr>
                <w:rStyle w:val="70"/>
                <w:rFonts w:hint="eastAsia" w:ascii="宋体" w:hAnsi="宋体" w:eastAsia="宋体" w:cs="宋体"/>
                <w:color w:val="auto"/>
                <w:sz w:val="21"/>
                <w:szCs w:val="21"/>
                <w:lang w:val="en-US" w:eastAsia="zh-CN" w:bidi="ar"/>
              </w:rPr>
              <w:t>-学生端</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1.登陆方式：支持学号登陆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2.上课模式：支持接收老师端指令，进入上课模式；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3.课堂练习：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1)在课堂模式下，支持接收老师布置的练习；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2)支持进行练习，练习完成后可点击【再试一次】，继续进行练习；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3)完成练习后，系统自动生成测评报告；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4)支持试听练习素材的范读；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4.朗读：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1)支持学生选择素材和配乐，进行朗读练习；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2)朗读完成后系统会对作品生成评分，评分维度包含：①完整度 ②准确度 ③流利度 ④声调 ⑤发音；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3)在个人中心【我的作品】，可查看所有的作品记录，朗读报告、得分、重新朗读等功能；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5.配音：①素材包含绘本素材和电影素材，学生可选择素材进行配音；②配音完成后，可在个人中心的配音记录，查看所有的配音作品；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6.背诵闯关：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1)文章内容：根据语文教学大纲要求，包含小学、初中、高中所需全部背诵文章（必背文章）；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2)背诵时会自动屏蔽字幕，待学生背诵该句之后才会显示出来；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3)背诵文章报告：包含背诵得分、错字数、漏字数；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4)背诵排行榜：根据机构用户的背诵得分进行排名，在排行榜能试听其他用户的背诵音频；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5)个人中心：可查看所有的背诵记录、背诵报告、得分和进行重新背诵；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7.搜索功能：①支持按素材名称（拼音首字母）、作者名称（拼音首字母）两种分类进行搜索；②支持关键字首字母模糊搜索；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8.个人中心：个人中心需包括①我的作品（草稿箱、已发布、参赛作品）②点赞记录 ③朗读档案④朗读报告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9.自助功能：可在此功能下进行如下操作①音量调节，显示当前音量值 ②故障申报③FAQ（常见问题及解答）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10.活动模块：①终端活动轮播展示 ②活动介绍 ③全国排行榜 ④本机构排行榜 ⑤支持活动作品后台导出 ⑥支持试听、投票功能</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朗读专用耳机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连接方式: USB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发声原理:动圈耳机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单元直径:40mm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频响范围:20-20000Hz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产品阻抗:40欧姆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灵敏度:101dB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输入:麦克风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耳机线:</w:t>
            </w:r>
            <w:r>
              <w:rPr>
                <w:rFonts w:hint="eastAsia" w:ascii="宋体" w:hAnsi="宋体" w:cs="宋体"/>
                <w:i w:val="0"/>
                <w:iCs w:val="0"/>
                <w:color w:val="auto"/>
                <w:kern w:val="0"/>
                <w:sz w:val="21"/>
                <w:szCs w:val="21"/>
                <w:u w:val="none"/>
                <w:lang w:val="en-US" w:eastAsia="zh-CN" w:bidi="ar"/>
              </w:rPr>
              <w:t>不小于1.5</w:t>
            </w:r>
            <w:r>
              <w:rPr>
                <w:rFonts w:hint="eastAsia" w:ascii="宋体" w:hAnsi="宋体" w:eastAsia="宋体" w:cs="宋体"/>
                <w:i w:val="0"/>
                <w:iCs w:val="0"/>
                <w:color w:val="auto"/>
                <w:kern w:val="0"/>
                <w:sz w:val="21"/>
                <w:szCs w:val="21"/>
                <w:u w:val="none"/>
                <w:lang w:val="en-US" w:eastAsia="zh-CN" w:bidi="ar"/>
              </w:rPr>
              <w:t>m</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学生桌凳</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机房电脑桌尺寸：(长) 1300 ×(宽)600× (高)750MM，整体钢木结构，可组合并排放。可坐2个学生。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2.桌面采用18mm厚度木纹色E</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级环保板，防静电。下支架采用40*40mm镀锌方管，颜色为电脑灰，焊接拼接而成。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3.桌面下方左右放电脑机箱，电源线隐藏式，线槽可活动，方便维修。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4.桌体三边为镀锌钢板折弯和电焊加工而成，为了主机有更好的散热正面冲压星星孔。表面酸洗磷化处理防生锈，经典喷塑灰白粉末。</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5.桌面三面采用18mm厚度同等板材，三面环抱设计，高度40CM左右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学生凳：面板：座板340*240*18mm橡胶木指接板面板颜色为原木色。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椅架：全部采用25*25mm方管焊接而成，表面酸洗磷化处理防生锈。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.生产厂家通过ISO14001环境管理体系认证、ISO19001质量管理体系认证、电脑桌检测报告。</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教师桌凳</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1.机房电脑桌尺寸：(长) 1300 ×(宽)600× (高)750MM，整体钢木结构，可组合并排放。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2.桌面采用18mm厚度木纹色E</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级环保板，防静电。下支架采用40*40mm镀锌方管，颜色为电脑灰，焊接拼接而成。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3.桌面下方左右放电脑机箱，电源线隐藏式，线槽可活动，方便维修。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4.桌体三边为镀锌钢板折弯和电焊加工而成，为了主机有更好的散热正面冲压星星孔。表面酸洗磷化处理防生锈，经典喷塑灰白粉末。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5凳子：面板：座板340*240*18mm橡胶木指接板面板颜色为原木色。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椅架：全部采用25*25mm方管焊接而成，表面酸洗磷化处理防生锈。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6.生产厂家通过ISO14001环境管理体系认证、ISO19001质量管理体系认证、电脑桌检测报告。</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综合布线</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六类双绞线、电源线、强电插座等</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设备安装调试费</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设备安装施工调试</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小计</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教师云办公计算机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云办公控制主机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r>
              <w:rPr>
                <w:color w:val="auto"/>
              </w:rPr>
              <w:t>一、 硬件规格：</w:t>
            </w:r>
          </w:p>
          <w:p>
            <w:pPr>
              <w:rPr>
                <w:color w:val="auto"/>
              </w:rPr>
            </w:pPr>
            <w:r>
              <w:rPr>
                <w:color w:val="auto"/>
              </w:rPr>
              <w:t>1</w:t>
            </w:r>
            <w:r>
              <w:rPr>
                <w:rFonts w:hint="eastAsia"/>
                <w:color w:val="auto"/>
              </w:rPr>
              <w:t>、</w:t>
            </w:r>
            <w:r>
              <w:rPr>
                <w:rFonts w:hint="eastAsia" w:ascii="宋体" w:hAnsi="宋体" w:eastAsia="宋体" w:cs="宋体"/>
                <w:i w:val="0"/>
                <w:iCs w:val="0"/>
                <w:color w:val="auto"/>
                <w:kern w:val="0"/>
                <w:sz w:val="21"/>
                <w:szCs w:val="21"/>
                <w:u w:val="none"/>
                <w:lang w:val="en-US" w:eastAsia="zh-CN" w:bidi="ar"/>
              </w:rPr>
              <w:t>★</w:t>
            </w:r>
            <w:r>
              <w:rPr>
                <w:color w:val="auto"/>
              </w:rPr>
              <w:t>配置：CPU：不低于1颗处理器，每颗CPU≥8核心16线程，主频≥3.0Ghz；内存：配置≥32G内存，且提供≥4个内存插槽；硬盘：集成SATA硬盘控制器，配置硬盘≥3块8TB硬盘</w:t>
            </w:r>
            <w:r>
              <w:rPr>
                <w:rFonts w:hint="eastAsia"/>
                <w:color w:val="auto"/>
              </w:rPr>
              <w:t>；</w:t>
            </w:r>
            <w:r>
              <w:rPr>
                <w:color w:val="auto"/>
              </w:rPr>
              <w:t>实配固态硬盘容量≥480G，M.2 SSD容量≥240G；网口：配置≥3个千兆网口；电源：配置≥1个300W电源</w:t>
            </w:r>
            <w:r>
              <w:rPr>
                <w:rFonts w:hint="eastAsia"/>
                <w:color w:val="auto"/>
              </w:rPr>
              <w:t>，</w:t>
            </w:r>
            <w:r>
              <w:rPr>
                <w:color w:val="auto"/>
              </w:rPr>
              <w:t>以上参数均保留</w:t>
            </w:r>
            <w:r>
              <w:rPr>
                <w:rFonts w:hint="eastAsia"/>
                <w:color w:val="auto"/>
              </w:rPr>
              <w:t>中标后</w:t>
            </w:r>
            <w:r>
              <w:rPr>
                <w:color w:val="auto"/>
              </w:rPr>
              <w:t>测试权利。</w:t>
            </w:r>
          </w:p>
          <w:p>
            <w:pPr>
              <w:rPr>
                <w:color w:val="auto"/>
              </w:rPr>
            </w:pPr>
            <w:r>
              <w:rPr>
                <w:color w:val="auto"/>
              </w:rPr>
              <w:t>二、功能要求：</w:t>
            </w:r>
          </w:p>
          <w:p>
            <w:pPr>
              <w:rPr>
                <w:color w:val="auto"/>
              </w:rPr>
            </w:pPr>
            <w:r>
              <w:rPr>
                <w:color w:val="auto"/>
              </w:rPr>
              <w:t>1. 管理平台采用B/S架构，支持中文图形化操作界面，同一管理界面中可实现对计算、存储、网络等功能的配置和操作</w:t>
            </w:r>
          </w:p>
          <w:p>
            <w:pPr>
              <w:rPr>
                <w:color w:val="auto"/>
              </w:rPr>
            </w:pPr>
            <w:r>
              <w:rPr>
                <w:color w:val="auto"/>
              </w:rPr>
              <w:t>2.</w:t>
            </w:r>
            <w:r>
              <w:rPr>
                <w:rFonts w:hint="eastAsia" w:ascii="宋体" w:hAnsi="宋体" w:eastAsia="宋体" w:cs="宋体"/>
                <w:i w:val="0"/>
                <w:iCs w:val="0"/>
                <w:color w:val="auto"/>
                <w:kern w:val="0"/>
                <w:sz w:val="21"/>
                <w:szCs w:val="21"/>
                <w:u w:val="none"/>
                <w:lang w:val="en-US" w:eastAsia="zh-CN" w:bidi="ar"/>
              </w:rPr>
              <w:t>★</w:t>
            </w:r>
            <w:r>
              <w:rPr>
                <w:color w:val="auto"/>
              </w:rPr>
              <w:t>要求采用超融合架构，在同一管理平台内至少包含计算资源、存储资源、网络资源等功能管理模块。所有功能模块需要通过一个厂家的一套软件实现超融合部署，不可以使用多套软件或产品叠加实现，保留</w:t>
            </w:r>
            <w:r>
              <w:rPr>
                <w:rFonts w:hint="eastAsia"/>
                <w:color w:val="auto"/>
              </w:rPr>
              <w:t>中标后</w:t>
            </w:r>
            <w:r>
              <w:rPr>
                <w:color w:val="auto"/>
              </w:rPr>
              <w:t>测试权利</w:t>
            </w:r>
          </w:p>
          <w:p>
            <w:pPr>
              <w:rPr>
                <w:color w:val="auto"/>
              </w:rPr>
            </w:pPr>
            <w:r>
              <w:rPr>
                <w:color w:val="auto"/>
              </w:rPr>
              <w:t>3.软件平台支持添加、移除服务器主机节点，最多可支持添加≥42个主机节点</w:t>
            </w:r>
          </w:p>
          <w:p>
            <w:pPr>
              <w:rPr>
                <w:color w:val="auto"/>
              </w:rPr>
            </w:pPr>
            <w:r>
              <w:rPr>
                <w:color w:val="auto"/>
              </w:rPr>
              <w:t>4. 为降低部署难度缩短业务上线时间，支持向导式添加主机节点，为降低部署难度，支持精简纳管主机节点，仅需输入主机节点名称、主机IP地址即可完成主机节点添加</w:t>
            </w:r>
          </w:p>
          <w:p>
            <w:pPr>
              <w:rPr>
                <w:color w:val="auto"/>
              </w:rPr>
            </w:pPr>
            <w:r>
              <w:rPr>
                <w:color w:val="auto"/>
              </w:rPr>
              <w:t>5. 支持主机性能状态监控，能以小时、天、周、月、季度、半年、一年或自定义时间维度，对主机CPU使用率、内存使用率、磁盘速率、磁盘IOPS、网卡错误数、丢包率、网卡带宽等性能进行监控记录</w:t>
            </w:r>
          </w:p>
          <w:p>
            <w:pPr>
              <w:rPr>
                <w:color w:val="auto"/>
              </w:rPr>
            </w:pPr>
            <w:r>
              <w:rPr>
                <w:color w:val="auto"/>
              </w:rPr>
              <w:t>6. 为提供强大的横向扩展能力，需支持在集群中添加、移除服务器主机节点</w:t>
            </w:r>
          </w:p>
          <w:p>
            <w:pPr>
              <w:rPr>
                <w:color w:val="auto"/>
              </w:rPr>
            </w:pPr>
            <w:r>
              <w:rPr>
                <w:color w:val="auto"/>
              </w:rPr>
              <w:t>7. 支持虚拟机性能状态监控，能以小时、天、周、月、季度、半年、一年或自定义时间维度，对主机CPU使用率、内存使用率、磁盘IOPS等性能进行监控记录</w:t>
            </w:r>
          </w:p>
          <w:p>
            <w:pPr>
              <w:rPr>
                <w:color w:val="auto"/>
              </w:rPr>
            </w:pPr>
            <w:r>
              <w:rPr>
                <w:color w:val="auto"/>
              </w:rPr>
              <w:t>8.支持将服务器主机节点添加为计算集群，为上层业务平台提供统一的计算、存储、网络资源调度，形成基础计算平台支撑</w:t>
            </w:r>
          </w:p>
          <w:p>
            <w:pPr>
              <w:rPr>
                <w:color w:val="auto"/>
              </w:rPr>
            </w:pPr>
            <w:r>
              <w:rPr>
                <w:color w:val="auto"/>
              </w:rPr>
              <w:t>9.支持虚拟机热迁移功能</w:t>
            </w:r>
          </w:p>
          <w:p>
            <w:pPr>
              <w:rPr>
                <w:color w:val="auto"/>
              </w:rPr>
            </w:pPr>
            <w:r>
              <w:rPr>
                <w:color w:val="auto"/>
              </w:rPr>
              <w:t>10. 为提供更高的得盘率及更优的访问速度，需采用分布式存储架构，可以将服务器集群中多个节点的本地磁盘融合为统一存储资源空间；具备在线横向扩展能力，任一节点故障，都不会影响数据的正常访问</w:t>
            </w:r>
          </w:p>
          <w:p>
            <w:pPr>
              <w:rPr>
                <w:color w:val="auto"/>
              </w:rPr>
            </w:pPr>
            <w:r>
              <w:rPr>
                <w:rFonts w:hint="eastAsia"/>
                <w:color w:val="auto"/>
              </w:rPr>
              <w:t>1</w:t>
            </w:r>
            <w:r>
              <w:rPr>
                <w:color w:val="auto"/>
              </w:rPr>
              <w:t>1</w:t>
            </w:r>
            <w:r>
              <w:rPr>
                <w:rFonts w:hint="eastAsia"/>
                <w:color w:val="auto"/>
              </w:rPr>
              <w:t>.</w:t>
            </w:r>
            <w:r>
              <w:rPr>
                <w:color w:val="auto"/>
              </w:rPr>
              <w:t xml:space="preserve"> 支持按需创建多个存储池，支持配置每个存储池所需使用的冗余策略，每个存储池的容量盘可从服务器集群中任意几个节点中的一块或多块磁盘中选择，要求提供实际界面截图证明。</w:t>
            </w:r>
          </w:p>
          <w:p>
            <w:pPr>
              <w:rPr>
                <w:color w:val="auto"/>
              </w:rPr>
            </w:pPr>
            <w:r>
              <w:rPr>
                <w:color w:val="auto"/>
              </w:rPr>
              <w:t>12. 支持多级缓存技术，可以智能化地预先将热点数据从机械盘缓存到SSD和内存中，从而让这些热点数据的IO更加高效</w:t>
            </w:r>
          </w:p>
          <w:p>
            <w:pPr>
              <w:rPr>
                <w:color w:val="auto"/>
              </w:rPr>
            </w:pPr>
            <w:r>
              <w:rPr>
                <w:color w:val="auto"/>
              </w:rPr>
              <w:t>13. 存储池可以设置的冗余策略至少包括：单副本、2副本、3副本、纠删码等冗余策略，纠删码可以按照2数据1校验的方案部署并实际使用，磁盘空间的利用率≥66%，提供实际界面截图证明</w:t>
            </w:r>
          </w:p>
          <w:p>
            <w:pPr>
              <w:rPr>
                <w:color w:val="auto"/>
              </w:rPr>
            </w:pPr>
            <w:r>
              <w:rPr>
                <w:color w:val="auto"/>
              </w:rPr>
              <w:t>14. 支持数据均衡负载策略，当存储池扩容或者节点/容量盘出现故障时可以触发数据重分布，数据均衡的过程不会导致业务中断、也无需人工干预</w:t>
            </w:r>
          </w:p>
          <w:p>
            <w:pPr>
              <w:rPr>
                <w:color w:val="auto"/>
              </w:rPr>
            </w:pPr>
            <w:r>
              <w:rPr>
                <w:color w:val="auto"/>
              </w:rPr>
              <w:t>15. 为保证云桌面的使用体验，要求三节点集群模式下4KB块大小全随机100%读IOPS&gt;170万。提供具有 CMA或 CNAS认证的第三方权威机构检验报告证明关于性能测试报告证明。</w:t>
            </w:r>
          </w:p>
          <w:p>
            <w:pPr>
              <w:rPr>
                <w:color w:val="auto"/>
              </w:rPr>
            </w:pPr>
            <w:r>
              <w:rPr>
                <w:color w:val="auto"/>
              </w:rPr>
              <w:t>16. 要求满足服务器高可靠</w:t>
            </w:r>
            <w:r>
              <w:rPr>
                <w:rFonts w:hint="eastAsia"/>
                <w:color w:val="auto"/>
              </w:rPr>
              <w:t>，</w:t>
            </w:r>
            <w:r>
              <w:rPr>
                <w:color w:val="auto"/>
              </w:rPr>
              <w:t>当服务器数量为3台时，支持任意1台服务器故障，可自动恢复并继续提供服务；当服务器数量为7台时，支持任意3台服务器故障，可自动恢复并继续提供服务</w:t>
            </w:r>
          </w:p>
          <w:p>
            <w:pPr>
              <w:rPr>
                <w:color w:val="auto"/>
              </w:rPr>
            </w:pPr>
            <w:r>
              <w:rPr>
                <w:color w:val="auto"/>
              </w:rPr>
              <w:t>17. 为保证硬盘故障后，数据可以快速重构，要求所投产品在分布式存储的方案下，1T数据重构时间≤18分钟，需提供具有 CMA或 CNAS认证的第三方权威机构检验报告证明数据重构的性能测试报告。</w:t>
            </w:r>
          </w:p>
          <w:p>
            <w:pPr>
              <w:rPr>
                <w:color w:val="auto"/>
              </w:rPr>
            </w:pPr>
            <w:r>
              <w:rPr>
                <w:color w:val="auto"/>
              </w:rPr>
              <w:t>18. 在硬盘故障维修等需要交出硬盘的场景，为避免用户数据外泄，要求分布式存储采用块虚拟化技术</w:t>
            </w:r>
            <w:r>
              <w:rPr>
                <w:rFonts w:hint="eastAsia"/>
                <w:color w:val="auto"/>
              </w:rPr>
              <w:t>，</w:t>
            </w:r>
            <w:r>
              <w:rPr>
                <w:color w:val="auto"/>
              </w:rPr>
              <w:t>需要提供产品功能截图</w:t>
            </w:r>
          </w:p>
          <w:p>
            <w:pPr>
              <w:rPr>
                <w:color w:val="auto"/>
              </w:rPr>
            </w:pPr>
            <w:r>
              <w:rPr>
                <w:color w:val="auto"/>
              </w:rPr>
              <w:t>19支持创建虚拟交换机，支持FLAT虚拟机交换机，支持VLAN虚拟交换机，单个数据中心可创建≥62个虚拟机交换机，单个虚拟交换机可创建≥</w:t>
            </w:r>
            <w:r>
              <w:rPr>
                <w:rFonts w:hint="eastAsia"/>
                <w:color w:val="auto"/>
                <w:lang w:val="en-US" w:eastAsia="zh-CN"/>
              </w:rPr>
              <w:t>1800</w:t>
            </w:r>
            <w:r>
              <w:rPr>
                <w:color w:val="auto"/>
              </w:rPr>
              <w:t>个端口</w:t>
            </w:r>
          </w:p>
          <w:p>
            <w:pPr>
              <w:rPr>
                <w:color w:val="auto"/>
              </w:rPr>
            </w:pPr>
            <w:r>
              <w:rPr>
                <w:color w:val="auto"/>
              </w:rPr>
              <w:t>20.支持查询、下载系统管理员的操作日志，日志包括：管理员账号、IP地址，操作时间、操作内容</w:t>
            </w:r>
          </w:p>
          <w:p>
            <w:pPr>
              <w:rPr>
                <w:color w:val="auto"/>
              </w:rPr>
            </w:pPr>
            <w:r>
              <w:rPr>
                <w:rFonts w:hint="eastAsia"/>
                <w:color w:val="auto"/>
                <w:lang w:val="en-US" w:eastAsia="zh-CN"/>
              </w:rPr>
              <w:t>21.</w:t>
            </w:r>
            <w:r>
              <w:rPr>
                <w:color w:val="auto"/>
              </w:rPr>
              <w:t>为了保证产品质量，所投云服务器需要具备国家检测中心出具的节能认证</w:t>
            </w:r>
            <w:r>
              <w:rPr>
                <w:rFonts w:hint="eastAsia"/>
                <w:color w:val="auto"/>
              </w:rPr>
              <w:t>并提供证书</w:t>
            </w:r>
          </w:p>
          <w:p>
            <w:pPr>
              <w:rPr>
                <w:color w:val="auto"/>
              </w:rPr>
            </w:pPr>
            <w:r>
              <w:rPr>
                <w:rFonts w:hint="eastAsia"/>
                <w:color w:val="auto"/>
                <w:lang w:val="en-US" w:eastAsia="zh-CN"/>
              </w:rPr>
              <w:t>22.</w:t>
            </w:r>
            <w:r>
              <w:rPr>
                <w:color w:val="auto"/>
              </w:rPr>
              <w:t>为保障所投设备质量优异，可靠性高，要求所投设备平均故障间隔时间（MTBF）≥200000小时，针对此功能提供第三方权威测试报告复印件，测试报告需具备CNAS或CMA标识，并提供官方查询链接和截图。</w:t>
            </w:r>
          </w:p>
          <w:p>
            <w:pPr>
              <w:rPr>
                <w:color w:val="auto"/>
              </w:rPr>
            </w:pPr>
            <w:r>
              <w:rPr>
                <w:rFonts w:hint="eastAsia"/>
                <w:color w:val="auto"/>
                <w:lang w:val="en-US" w:eastAsia="zh-CN"/>
              </w:rPr>
              <w:t>2</w:t>
            </w:r>
            <w:r>
              <w:rPr>
                <w:rFonts w:hint="eastAsia"/>
                <w:color w:val="auto"/>
              </w:rPr>
              <w:t>3</w:t>
            </w:r>
            <w:r>
              <w:rPr>
                <w:rFonts w:hint="eastAsia"/>
                <w:color w:val="auto"/>
                <w:lang w:val="en-US" w:eastAsia="zh-CN"/>
              </w:rPr>
              <w:t>.</w:t>
            </w:r>
            <w:r>
              <w:rPr>
                <w:color w:val="auto"/>
              </w:rPr>
              <w:t>为防止人体遭受辐射，要求所投产品在30MHz~1GHz和1GHz~6GHz频率范围内的辐射骚扰符合国家GB/T 9254的相关标准且测试结果为在生活环境中使用不会造成辐射以及无线电干扰，针对此功能提供第三方权威测试报告复印件，其中测试报告需具备CNAS或CMA标识，并提供官方查询链接和截图。</w:t>
            </w:r>
          </w:p>
          <w:p>
            <w:pPr>
              <w:rPr>
                <w:rFonts w:hint="eastAsia" w:ascii="宋体" w:hAnsi="宋体" w:eastAsia="宋体" w:cs="宋体"/>
                <w:i w:val="0"/>
                <w:iCs w:val="0"/>
                <w:color w:val="auto"/>
                <w:sz w:val="21"/>
                <w:szCs w:val="21"/>
                <w:u w:val="none"/>
              </w:rPr>
            </w:pPr>
            <w:r>
              <w:rPr>
                <w:rFonts w:hint="eastAsia"/>
                <w:color w:val="auto"/>
                <w:lang w:val="en-US" w:eastAsia="zh-CN"/>
              </w:rPr>
              <w:t>24.</w:t>
            </w:r>
            <w:r>
              <w:rPr>
                <w:color w:val="auto"/>
              </w:rPr>
              <w:t>▲</w:t>
            </w:r>
            <w:r>
              <w:rPr>
                <w:rFonts w:hint="eastAsia"/>
                <w:color w:val="auto"/>
              </w:rPr>
              <w:t>考虑到整套系统兼容性</w:t>
            </w:r>
            <w:r>
              <w:rPr>
                <w:color w:val="auto"/>
              </w:rPr>
              <w:t>，要求</w:t>
            </w:r>
            <w:r>
              <w:rPr>
                <w:rFonts w:hint="eastAsia"/>
                <w:color w:val="auto"/>
              </w:rPr>
              <w:t>与云机房控制主机、教师云终端、学生云终端、教学管理软件均为</w:t>
            </w:r>
            <w:r>
              <w:rPr>
                <w:color w:val="auto"/>
              </w:rPr>
              <w:t>同一品牌</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教师云终端（一体机）</w:t>
            </w:r>
            <w:r>
              <w:rPr>
                <w:rFonts w:hint="eastAsia" w:ascii="宋体" w:hAnsi="宋体" w:cs="宋体"/>
                <w:i w:val="0"/>
                <w:iCs w:val="0"/>
                <w:color w:val="auto"/>
                <w:kern w:val="0"/>
                <w:sz w:val="21"/>
                <w:szCs w:val="21"/>
                <w:u w:val="none"/>
                <w:lang w:val="en-US" w:eastAsia="zh-CN" w:bidi="ar"/>
              </w:rPr>
              <w:t>（核心产品）</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r>
              <w:rPr>
                <w:color w:val="auto"/>
              </w:rPr>
              <w:t>一、硬件规格：</w:t>
            </w:r>
          </w:p>
          <w:p>
            <w:pPr>
              <w:rPr>
                <w:color w:val="auto"/>
              </w:rPr>
            </w:pPr>
            <w:r>
              <w:rPr>
                <w:color w:val="auto"/>
              </w:rPr>
              <w:t>1. 为保证云桌面软件系统的兼容效果和稳定运行，所有终端均需采用x86架构，且为国内自主品牌</w:t>
            </w:r>
          </w:p>
          <w:p>
            <w:pPr>
              <w:rPr>
                <w:rFonts w:hint="eastAsia"/>
                <w:color w:val="auto"/>
              </w:rPr>
            </w:pPr>
            <w:r>
              <w:rPr>
                <w:color w:val="auto"/>
              </w:rPr>
              <w:t>2.★配置处理器性能不低于Intel第十代i5六核十二线程处理器；内存容量≥8GB；显卡性能不低于Intel UHD 630；本地存储容量≥256 GB SSD；</w:t>
            </w:r>
            <w:r>
              <w:rPr>
                <w:rFonts w:hint="eastAsia"/>
                <w:color w:val="auto"/>
              </w:rPr>
              <w:t>内置</w:t>
            </w:r>
            <w:r>
              <w:rPr>
                <w:color w:val="auto"/>
              </w:rPr>
              <w:t>无线网卡</w:t>
            </w:r>
            <w:r>
              <w:rPr>
                <w:rFonts w:hint="eastAsia"/>
                <w:color w:val="auto"/>
              </w:rPr>
              <w:t>，一体式</w:t>
            </w:r>
            <w:r>
              <w:rPr>
                <w:color w:val="auto"/>
              </w:rPr>
              <w:t>显示器尺寸≥23英寸，分辨率≥1920×1080</w:t>
            </w:r>
            <w:r>
              <w:rPr>
                <w:rFonts w:hint="eastAsia"/>
                <w:color w:val="auto"/>
              </w:rPr>
              <w:t>，</w:t>
            </w:r>
            <w:r>
              <w:rPr>
                <w:color w:val="auto"/>
              </w:rPr>
              <w:t>USB接口≥5个（包含USB 3.0接口≥3个），千兆网口≥1个，HDMI接口≥1个，音频输入输出接口≥1对，且支持4段式耳机音频输入及输出，保留</w:t>
            </w:r>
            <w:r>
              <w:rPr>
                <w:rFonts w:hint="eastAsia"/>
                <w:color w:val="auto"/>
              </w:rPr>
              <w:t>中标后</w:t>
            </w:r>
            <w:r>
              <w:rPr>
                <w:color w:val="auto"/>
              </w:rPr>
              <w:t>测试权利</w:t>
            </w:r>
          </w:p>
          <w:p>
            <w:pPr>
              <w:rPr>
                <w:color w:val="auto"/>
              </w:rPr>
            </w:pPr>
            <w:r>
              <w:rPr>
                <w:color w:val="auto"/>
              </w:rPr>
              <w:t>3. 额外配置≥1个内存扩展槽</w:t>
            </w:r>
            <w:r>
              <w:rPr>
                <w:rFonts w:hint="eastAsia"/>
                <w:color w:val="auto"/>
              </w:rPr>
              <w:t>，</w:t>
            </w:r>
            <w:r>
              <w:rPr>
                <w:color w:val="auto"/>
              </w:rPr>
              <w:t>额外配置≥1个硬盘扩展槽，提供产品图片证明</w:t>
            </w:r>
          </w:p>
          <w:p>
            <w:pPr>
              <w:rPr>
                <w:color w:val="auto"/>
              </w:rPr>
            </w:pPr>
            <w:r>
              <w:rPr>
                <w:color w:val="auto"/>
              </w:rPr>
              <w:t>4. 为用户提供更优质的屏幕使用体验，提供三面无边框屏幕，屏占比≥90%，提供官网链接</w:t>
            </w:r>
            <w:r>
              <w:rPr>
                <w:rFonts w:hint="eastAsia"/>
                <w:color w:val="auto"/>
              </w:rPr>
              <w:t>及截图证明</w:t>
            </w:r>
            <w:r>
              <w:rPr>
                <w:color w:val="auto"/>
              </w:rPr>
              <w:t>。</w:t>
            </w:r>
          </w:p>
          <w:p>
            <w:pPr>
              <w:rPr>
                <w:rFonts w:hint="eastAsia"/>
                <w:color w:val="auto"/>
              </w:rPr>
            </w:pPr>
            <w:r>
              <w:rPr>
                <w:rFonts w:hint="eastAsia"/>
                <w:color w:val="auto"/>
              </w:rPr>
              <w:t>5</w:t>
            </w:r>
            <w:r>
              <w:rPr>
                <w:color w:val="auto"/>
              </w:rPr>
              <w:t>. 配置铝合金一体化压铸底座，提供官网链接</w:t>
            </w:r>
            <w:r>
              <w:rPr>
                <w:rFonts w:hint="eastAsia"/>
                <w:color w:val="auto"/>
              </w:rPr>
              <w:t>及截图证明</w:t>
            </w:r>
            <w:r>
              <w:rPr>
                <w:color w:val="auto"/>
              </w:rPr>
              <w:t>。</w:t>
            </w:r>
          </w:p>
          <w:p>
            <w:pPr>
              <w:rPr>
                <w:color w:val="auto"/>
              </w:rPr>
            </w:pPr>
            <w:r>
              <w:rPr>
                <w:color w:val="auto"/>
              </w:rPr>
              <w:t>二、功能要求：</w:t>
            </w:r>
          </w:p>
          <w:p>
            <w:pPr>
              <w:rPr>
                <w:color w:val="auto"/>
              </w:rPr>
            </w:pPr>
            <w:r>
              <w:rPr>
                <w:color w:val="auto"/>
              </w:rPr>
              <w:t>1.为了便于终端部署在讲桌或办公桌面底部，终端需提供外延电源开关接口，方便开关机。</w:t>
            </w:r>
          </w:p>
          <w:p>
            <w:pPr>
              <w:rPr>
                <w:color w:val="auto"/>
              </w:rPr>
            </w:pPr>
            <w:r>
              <w:rPr>
                <w:color w:val="auto"/>
              </w:rPr>
              <w:t>2.为了降低部署难度，终端首次上电后支持终端配置向导，自动接入云办公系统，无需管理员账号即可实现终端配置，降低配置难度</w:t>
            </w:r>
          </w:p>
          <w:p>
            <w:pPr>
              <w:rPr>
                <w:color w:val="auto"/>
              </w:rPr>
            </w:pPr>
            <w:r>
              <w:rPr>
                <w:color w:val="auto"/>
              </w:rPr>
              <w:t>3.为了适用不同的业务应用场景，终端支持多种模式切换，包含但不限于个人桌面使用的个性化模式、公共桌面使用的还原模式、公共查询端使用的无账号公用模式，提供实际操作截图</w:t>
            </w:r>
          </w:p>
          <w:p>
            <w:pPr>
              <w:rPr>
                <w:color w:val="auto"/>
              </w:rPr>
            </w:pPr>
            <w:r>
              <w:rPr>
                <w:color w:val="auto"/>
              </w:rPr>
              <w:t>4.支持终端自身及虚拟桌面IP地址设置，为了便于管理，能够通过web管理端进行IP地址修改与维护，提供实际操作截图</w:t>
            </w:r>
          </w:p>
          <w:p>
            <w:pPr>
              <w:rPr>
                <w:color w:val="auto"/>
              </w:rPr>
            </w:pPr>
            <w:r>
              <w:rPr>
                <w:color w:val="auto"/>
              </w:rPr>
              <w:t>5.支持在第八代CPU下运行XP及win7等老系统，提供实际操作截图</w:t>
            </w:r>
          </w:p>
          <w:p>
            <w:pPr>
              <w:rPr>
                <w:color w:val="auto"/>
              </w:rPr>
            </w:pPr>
            <w:r>
              <w:rPr>
                <w:color w:val="auto"/>
              </w:rPr>
              <w:t>6.支持上电自启动功能，并能够根据实际使用情况选择关闭或开启，提供实际操作截图</w:t>
            </w:r>
          </w:p>
          <w:p>
            <w:pPr>
              <w:rPr>
                <w:color w:val="auto"/>
              </w:rPr>
            </w:pPr>
            <w:r>
              <w:rPr>
                <w:color w:val="auto"/>
              </w:rPr>
              <w:t>7.保障业务连续性，在网络中断的情况下，依然支持离线使用虚拟云桌面，确保教学、办公高可靠性</w:t>
            </w:r>
          </w:p>
          <w:p>
            <w:pPr>
              <w:rPr>
                <w:color w:val="auto"/>
              </w:rPr>
            </w:pPr>
            <w:r>
              <w:rPr>
                <w:color w:val="auto"/>
              </w:rPr>
              <w:t>8.支持终端显卡透传，能够将终端物理显卡透传至虚拟机中，支持部分对物理显卡有要求场景，如基础3D软件的运行</w:t>
            </w:r>
          </w:p>
          <w:p>
            <w:pPr>
              <w:rPr>
                <w:color w:val="auto"/>
              </w:rPr>
            </w:pPr>
            <w:r>
              <w:rPr>
                <w:color w:val="auto"/>
              </w:rPr>
              <w:t>9．支持U盘传输镜像，并可将终端转化为镜像分发服务端，对外快速分发镜像，提供实际操作截图</w:t>
            </w:r>
          </w:p>
          <w:p>
            <w:pPr>
              <w:rPr>
                <w:color w:val="auto"/>
              </w:rPr>
            </w:pPr>
            <w:r>
              <w:rPr>
                <w:color w:val="auto"/>
              </w:rPr>
              <w:t>10.支持802.1x认证</w:t>
            </w:r>
          </w:p>
          <w:p>
            <w:pPr>
              <w:rPr>
                <w:color w:val="auto"/>
              </w:rPr>
            </w:pPr>
            <w:r>
              <w:rPr>
                <w:color w:val="auto"/>
              </w:rPr>
              <w:t>11.为满足不同教师教学办公需要，支持双屏扩展显示，双屏异显（扩展屏）、双屏同显（复制屏）</w:t>
            </w:r>
          </w:p>
          <w:p>
            <w:pPr>
              <w:rPr>
                <w:color w:val="auto"/>
              </w:rPr>
            </w:pPr>
            <w:r>
              <w:rPr>
                <w:color w:val="auto"/>
              </w:rPr>
              <w:t>12. 为满足不同教师对于不同操作系统的使用需求，云终端需在第八代CPU下运行XP及win7（32位）系统，用户登录XP及Win7（32）后，自动挂载网盘无需二次认证，进入网盘客户端界面，在个人云盘下直接双击Word或Excel文件进行编辑无需下载到本地操作，签订合同前进行实际测试，如发现投标与实际情况不符的做无效标处理，并由投标方承担一切责任</w:t>
            </w:r>
          </w:p>
          <w:p>
            <w:pPr>
              <w:rPr>
                <w:color w:val="auto"/>
              </w:rPr>
            </w:pPr>
            <w:r>
              <w:rPr>
                <w:color w:val="auto"/>
              </w:rPr>
              <w:t>1</w:t>
            </w:r>
            <w:r>
              <w:rPr>
                <w:rFonts w:hint="eastAsia"/>
                <w:color w:val="auto"/>
                <w:lang w:val="en-US" w:eastAsia="zh-CN"/>
              </w:rPr>
              <w:t>3</w:t>
            </w:r>
            <w:r>
              <w:rPr>
                <w:color w:val="auto"/>
              </w:rPr>
              <w:t>.▲为保障所投设备质量优异，可靠性高，要求所投设备平均故障间隔时间（MTBF）≥2</w:t>
            </w:r>
            <w:r>
              <w:rPr>
                <w:rFonts w:hint="eastAsia"/>
                <w:color w:val="auto"/>
                <w:lang w:val="en-US" w:eastAsia="zh-CN"/>
              </w:rPr>
              <w:t>0</w:t>
            </w:r>
            <w:r>
              <w:rPr>
                <w:color w:val="auto"/>
              </w:rPr>
              <w:t>0000小时，并提供第三方权威证书和测试报告复印件，其中证书需官方可查并提供官方查询链接，测试报告需具备CNAS标识</w:t>
            </w:r>
          </w:p>
          <w:p>
            <w:pPr>
              <w:rPr>
                <w:color w:val="auto"/>
              </w:rPr>
            </w:pPr>
            <w:r>
              <w:rPr>
                <w:rFonts w:hint="eastAsia"/>
                <w:color w:val="auto"/>
                <w:lang w:val="en-US" w:eastAsia="zh-CN"/>
              </w:rPr>
              <w:t>14</w:t>
            </w:r>
            <w:r>
              <w:rPr>
                <w:color w:val="auto"/>
              </w:rPr>
              <w:t>.投标产品需提供3C证书及节能证书，提供证书复印件</w:t>
            </w:r>
          </w:p>
          <w:p>
            <w:pPr>
              <w:rPr>
                <w:color w:val="auto"/>
              </w:rPr>
            </w:pPr>
            <w:r>
              <w:rPr>
                <w:rFonts w:hint="eastAsia"/>
                <w:color w:val="auto"/>
                <w:lang w:val="en-US" w:eastAsia="zh-CN"/>
              </w:rPr>
              <w:t>15</w:t>
            </w:r>
            <w:r>
              <w:rPr>
                <w:color w:val="auto"/>
              </w:rPr>
              <w:t>. 为防止人体触电，要求所投终端产品满足抗电强度要求：（1）电源初级与地之间施加AC1500V产品无击穿现象；（2）电源初级与次级之间施加AC3000V产品无击穿现象；（3）电源初级与机壳之间施加AC3000V产品无击穿现象，针对此功能需提供国家级权威测试机构出具的证书复印件，要求证书具有 CMA或 CNAS认证。（为保证所提供证书的真实性，需出具该证书所对应检测报告的查询链接及截图）</w:t>
            </w:r>
          </w:p>
          <w:p>
            <w:pPr>
              <w:rPr>
                <w:color w:val="auto"/>
              </w:rPr>
            </w:pPr>
            <w:r>
              <w:rPr>
                <w:rFonts w:hint="eastAsia"/>
                <w:color w:val="auto"/>
                <w:lang w:val="en-US" w:eastAsia="zh-CN"/>
              </w:rPr>
              <w:t>16.</w:t>
            </w:r>
            <w:r>
              <w:rPr>
                <w:color w:val="auto"/>
              </w:rPr>
              <w:t xml:space="preserve"> 夏季为雷雨季，常因雷电影响而导致设备损坏，为防止类似情况出现, 要求对所投设备施加电源端口试验电压4kV后，设备不出现故障，针对此功能需提供国家级权威测试机构出具的证书复印件，要求证书具有 CMA或 CNAS认证。（为保证所提供证书的真实性，需出具该证书所对应检测报告的查询链接及截图）</w:t>
            </w:r>
          </w:p>
          <w:p>
            <w:pPr>
              <w:rPr>
                <w:color w:val="auto"/>
              </w:rPr>
            </w:pPr>
            <w:r>
              <w:rPr>
                <w:rFonts w:hint="eastAsia"/>
                <w:color w:val="auto"/>
                <w:lang w:val="en-US" w:eastAsia="zh-CN"/>
              </w:rPr>
              <w:t>17</w:t>
            </w:r>
            <w:r>
              <w:rPr>
                <w:color w:val="auto"/>
              </w:rPr>
              <w:t>. 为避免设备运行时产生噪声污染，干扰办公、学习人员，要求设备噪声指标≤</w:t>
            </w:r>
            <w:r>
              <w:rPr>
                <w:rFonts w:hint="eastAsia"/>
                <w:color w:val="auto"/>
                <w:lang w:val="en-US" w:eastAsia="zh-CN"/>
              </w:rPr>
              <w:t>20</w:t>
            </w:r>
            <w:r>
              <w:rPr>
                <w:color w:val="auto"/>
              </w:rPr>
              <w:t>dB，针对此功能需提供国家级权威测试机构出具的证书复印件，要求证书具有 CMA或 CNAS认证。（为保证所提供证书的真实性，需出具该证书所对应检测报告的查询链接及截图）</w:t>
            </w:r>
          </w:p>
          <w:p>
            <w:pPr>
              <w:rPr>
                <w:rFonts w:hint="eastAsia"/>
                <w:color w:val="auto"/>
              </w:rPr>
            </w:pPr>
            <w:r>
              <w:rPr>
                <w:rFonts w:hint="eastAsia"/>
                <w:color w:val="auto"/>
                <w:lang w:val="en-US" w:eastAsia="zh-CN"/>
              </w:rPr>
              <w:t>18</w:t>
            </w:r>
            <w:r>
              <w:rPr>
                <w:color w:val="auto"/>
              </w:rPr>
              <w:t>. 为缓解视觉疲劳，要求所投云一体机产品为蓝光危害“0类危害（无危害）”产品，并提供第三方检测报告，报告需官方可查并提供官方查询链接和截图。</w:t>
            </w:r>
          </w:p>
          <w:p>
            <w:pPr>
              <w:rPr>
                <w:rFonts w:hint="eastAsia" w:ascii="宋体" w:hAnsi="宋体" w:eastAsia="宋体" w:cs="宋体"/>
                <w:i w:val="0"/>
                <w:iCs w:val="0"/>
                <w:color w:val="auto"/>
                <w:sz w:val="21"/>
                <w:szCs w:val="21"/>
                <w:u w:val="none"/>
              </w:rPr>
            </w:pPr>
            <w:r>
              <w:rPr>
                <w:rFonts w:hint="eastAsia"/>
                <w:color w:val="auto"/>
                <w:lang w:val="en-US" w:eastAsia="zh-CN"/>
              </w:rPr>
              <w:t>19</w:t>
            </w:r>
            <w:r>
              <w:rPr>
                <w:color w:val="auto"/>
              </w:rPr>
              <w:t>. ▲与云办公控制主机</w:t>
            </w:r>
            <w:r>
              <w:rPr>
                <w:rFonts w:hint="eastAsia"/>
                <w:color w:val="auto"/>
              </w:rPr>
              <w:t>、云机房控制主机、教学管理软件均为同</w:t>
            </w:r>
            <w:r>
              <w:rPr>
                <w:color w:val="auto"/>
              </w:rPr>
              <w:t>一品牌</w:t>
            </w:r>
            <w:r>
              <w:rPr>
                <w:rFonts w:hint="eastAsia"/>
                <w:color w:val="auto"/>
              </w:rPr>
              <w:t>。</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云办公及统一工作空间系统授权</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r>
              <w:rPr>
                <w:color w:val="auto"/>
              </w:rPr>
              <w:t>1、★为方便在公司外远程办公，办公空间软件必须提供手机端、PC端能够访问公司内网的办公桌面，支持访问的内网桌面类型至少包含VDI桌面、IDV桌面和PC，保留</w:t>
            </w:r>
            <w:r>
              <w:rPr>
                <w:rFonts w:hint="eastAsia"/>
                <w:color w:val="auto"/>
              </w:rPr>
              <w:t>中标后</w:t>
            </w:r>
            <w:r>
              <w:rPr>
                <w:color w:val="auto"/>
              </w:rPr>
              <w:t>测试权利。</w:t>
            </w:r>
          </w:p>
          <w:p>
            <w:pPr>
              <w:rPr>
                <w:color w:val="auto"/>
              </w:rPr>
            </w:pPr>
            <w:r>
              <w:rPr>
                <w:rFonts w:hint="eastAsia"/>
                <w:color w:val="auto"/>
              </w:rPr>
              <w:t>2、</w:t>
            </w:r>
            <w:r>
              <w:rPr>
                <w:color w:val="auto"/>
              </w:rPr>
              <w:t>可以将当前公共桌面绑定到个人帐号下，以便在异地访问已绑定的公共桌面，并且支持随时解除绑定，针对此功能需提供功能截图。</w:t>
            </w:r>
          </w:p>
          <w:p>
            <w:pPr>
              <w:rPr>
                <w:color w:val="auto"/>
              </w:rPr>
            </w:pPr>
            <w:r>
              <w:rPr>
                <w:color w:val="auto"/>
              </w:rPr>
              <w:t>3、为方便帐号的一致性，办公空间软件与云桌面用户使用同一套帐号进行管理。同时可以支持使用办公空间手机端扫码登录云桌面和办公空间桌面端，针对扫码功能需提供功能截图。</w:t>
            </w:r>
          </w:p>
          <w:p>
            <w:pPr>
              <w:rPr>
                <w:color w:val="auto"/>
              </w:rPr>
            </w:pPr>
            <w:r>
              <w:rPr>
                <w:color w:val="auto"/>
              </w:rPr>
              <w:t>4、为方便快速查找到所在</w:t>
            </w:r>
            <w:r>
              <w:rPr>
                <w:rFonts w:hint="eastAsia"/>
                <w:color w:val="auto"/>
              </w:rPr>
              <w:t>学校校区</w:t>
            </w:r>
            <w:r>
              <w:rPr>
                <w:color w:val="auto"/>
              </w:rPr>
              <w:t>，支持以下2种方式连接到</w:t>
            </w:r>
            <w:r>
              <w:rPr>
                <w:rFonts w:hint="eastAsia"/>
                <w:color w:val="auto"/>
              </w:rPr>
              <w:t>校区</w:t>
            </w:r>
            <w:r>
              <w:rPr>
                <w:color w:val="auto"/>
              </w:rPr>
              <w:t>服务器：1、通过IP地址链接；2、通过</w:t>
            </w:r>
            <w:r>
              <w:rPr>
                <w:rFonts w:hint="eastAsia"/>
                <w:color w:val="auto"/>
              </w:rPr>
              <w:t>校区</w:t>
            </w:r>
            <w:r>
              <w:rPr>
                <w:color w:val="auto"/>
              </w:rPr>
              <w:t>名称匹配，针对此功能需提供功能截图。</w:t>
            </w:r>
          </w:p>
          <w:p>
            <w:pPr>
              <w:rPr>
                <w:color w:val="auto"/>
              </w:rPr>
            </w:pPr>
            <w:r>
              <w:rPr>
                <w:color w:val="auto"/>
              </w:rPr>
              <w:t>5</w:t>
            </w:r>
            <w:r>
              <w:rPr>
                <w:rFonts w:hint="eastAsia"/>
                <w:color w:val="auto"/>
              </w:rPr>
              <w:t>、</w:t>
            </w:r>
            <w:r>
              <w:rPr>
                <w:color w:val="auto"/>
              </w:rPr>
              <w:t>★远程访问时可对已关机的IDV桌面进行远程开机，不借助第三方外设，保留</w:t>
            </w:r>
            <w:r>
              <w:rPr>
                <w:rFonts w:hint="eastAsia"/>
                <w:color w:val="auto"/>
              </w:rPr>
              <w:t>中标后</w:t>
            </w:r>
            <w:r>
              <w:rPr>
                <w:color w:val="auto"/>
              </w:rPr>
              <w:t>测试权利。</w:t>
            </w:r>
          </w:p>
          <w:p>
            <w:pPr>
              <w:rPr>
                <w:color w:val="auto"/>
              </w:rPr>
            </w:pPr>
            <w:r>
              <w:rPr>
                <w:color w:val="auto"/>
              </w:rPr>
              <w:t>6、支持用户在家中通过办公空间软件以远程桌面方式访问公司内桌面，同时为增强远程办公体验，支持对远程桌面设置画质、防窥屏、USB策略、分辨率等操作，针对此功能需提供功能截图。</w:t>
            </w:r>
          </w:p>
          <w:p>
            <w:pPr>
              <w:rPr>
                <w:color w:val="auto"/>
              </w:rPr>
            </w:pPr>
            <w:r>
              <w:rPr>
                <w:color w:val="auto"/>
              </w:rPr>
              <w:t>7、支持通过办公空间软件以文件方式来访问桌面内资源，对远程桌面内的文件进行全局搜索，并且支持对文件打开、上传、下载、预览、重命名等操作，以上功能需要支持手机端和PC端，针对此功能需提供功能截图。</w:t>
            </w:r>
          </w:p>
          <w:p>
            <w:pPr>
              <w:rPr>
                <w:color w:val="auto"/>
              </w:rPr>
            </w:pPr>
            <w:r>
              <w:rPr>
                <w:color w:val="auto"/>
              </w:rPr>
              <w:t>8、支持查看实时在线用户数和用户帐号，同时可以在管理端看到历史在线数趋势，针对此功能需提供功能截图。</w:t>
            </w:r>
          </w:p>
          <w:p>
            <w:pPr>
              <w:rPr>
                <w:color w:val="auto"/>
              </w:rPr>
            </w:pPr>
            <w:r>
              <w:rPr>
                <w:color w:val="auto"/>
              </w:rPr>
              <w:t>9、支持管理端设置安全及接入策略，包括但不限于设置最大带宽限制、传输文件限制、远程桌面限制、防截屏策略、开启动态口令认证，针对以上功能需提供功能截图。</w:t>
            </w:r>
          </w:p>
          <w:p>
            <w:pPr>
              <w:rPr>
                <w:color w:val="auto"/>
              </w:rPr>
            </w:pPr>
            <w:r>
              <w:rPr>
                <w:color w:val="auto"/>
              </w:rPr>
              <w:t>10、为方便回溯，管理端需要提供精细化的日志审计，包括记录用户帐号、使用设备信息、操作文件信息、操作行为、操作时间、操作时长，针对以上功能需提供功能截图。</w:t>
            </w:r>
          </w:p>
          <w:p>
            <w:pPr>
              <w:rPr>
                <w:color w:val="auto"/>
              </w:rPr>
            </w:pPr>
            <w:r>
              <w:rPr>
                <w:color w:val="auto"/>
              </w:rPr>
              <w:t>11、办公空间软件必须为自主研发，非OEM 产品，要求提供中华人民共和国国家版权局颁发的软件著作权登记证证书复印件。</w:t>
            </w:r>
          </w:p>
          <w:p>
            <w:pPr>
              <w:rPr>
                <w:rFonts w:hint="eastAsia" w:ascii="宋体" w:hAnsi="宋体" w:eastAsia="宋体" w:cs="宋体"/>
                <w:i w:val="0"/>
                <w:iCs w:val="0"/>
                <w:color w:val="auto"/>
                <w:sz w:val="21"/>
                <w:szCs w:val="21"/>
                <w:u w:val="none"/>
                <w:lang w:val="en-US" w:eastAsia="zh-CN"/>
              </w:rPr>
            </w:pPr>
            <w:r>
              <w:rPr>
                <w:color w:val="auto"/>
              </w:rPr>
              <w:t>12、★本次共配置不少于150个云办公工作协同授权，与云办公控制</w:t>
            </w:r>
            <w:r>
              <w:rPr>
                <w:rFonts w:hint="eastAsia"/>
                <w:color w:val="auto"/>
              </w:rPr>
              <w:t>主机</w:t>
            </w:r>
            <w:r>
              <w:rPr>
                <w:color w:val="auto"/>
              </w:rPr>
              <w:t>、</w:t>
            </w:r>
            <w:r>
              <w:rPr>
                <w:rFonts w:hint="eastAsia"/>
                <w:color w:val="auto"/>
              </w:rPr>
              <w:t>云机房控制主机、所有</w:t>
            </w:r>
            <w:r>
              <w:rPr>
                <w:color w:val="auto"/>
              </w:rPr>
              <w:t>云终端</w:t>
            </w:r>
            <w:r>
              <w:rPr>
                <w:rFonts w:hint="eastAsia"/>
                <w:color w:val="auto"/>
              </w:rPr>
              <w:t>均为</w:t>
            </w:r>
            <w:r>
              <w:rPr>
                <w:color w:val="auto"/>
              </w:rPr>
              <w:t>同一品牌</w:t>
            </w:r>
            <w:r>
              <w:rPr>
                <w:rFonts w:hint="eastAsia"/>
                <w:color w:val="auto"/>
                <w:lang w:eastAsia="zh-CN"/>
              </w:rPr>
              <w:t>。</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键鼠套装</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云桌面有线键鼠套装，内含有线键盘、鼠标、带有</w:t>
            </w:r>
            <w:r>
              <w:rPr>
                <w:rStyle w:val="71"/>
                <w:rFonts w:hint="eastAsia" w:ascii="宋体" w:hAnsi="宋体" w:eastAsia="宋体" w:cs="宋体"/>
                <w:color w:val="auto"/>
                <w:sz w:val="21"/>
                <w:szCs w:val="21"/>
                <w:lang w:val="en-US" w:eastAsia="zh-CN" w:bidi="ar"/>
              </w:rPr>
              <w:t>logo</w:t>
            </w:r>
            <w:r>
              <w:rPr>
                <w:rStyle w:val="72"/>
                <w:rFonts w:hint="eastAsia" w:ascii="宋体" w:hAnsi="宋体" w:eastAsia="宋体" w:cs="宋体"/>
                <w:color w:val="auto"/>
                <w:sz w:val="21"/>
                <w:szCs w:val="21"/>
                <w:lang w:val="en-US" w:eastAsia="zh-CN" w:bidi="ar"/>
              </w:rPr>
              <w:t>的鼠标垫。</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音响</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机身高端质感，一体式拓展坞双USB接口，炫酷蓝光调节旋钮，大功率内磁喇叭震撼音效，线长:不小于1.5m，蓝牙版本：蓝牙5.0，理论功率：不小于20w，扬声器数量：2个，有源音箱，无线连接方式：蓝牙，接口:USB+3.5毫米音频接口，电源类型：USB供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小计</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自动化办公设备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校园魔方一体机</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一、硬件要求：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品牌商用电脑,拒绝OEM产品，通过3C安全、节能认证。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1、CPU采用Xeon W-1350 3.3G 6C及以上，根据处理器温度闭环控制冷却风扇转速。投标文件中需提供国家知识产权局颁发认证证书扫描件或国家知识产权局的官方网站查询截图（证书所载明所属品牌需与投标品牌相符）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2、内存：≥32GB。 DDR4 3200 ECC UDIMM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3、硬盘：≥4TB HD 7200RPM 3.5*2，支持不少于4个硬盘拓展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4、网卡：≥1000M以太网卡*2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5、显卡：集成显卡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6、电源：≥300W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7、键鼠：有线键盘、鼠标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8、PCI-E： 1个PCI-E*16、1个PCI-E*1、1个PCI-E*4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9、预装系统：CentOS 8.5 x86_64及以上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10、安全特性：配置BIOS底层集成智能USB技术(非软件实现)，实现阻止使用者从电脑复制数据至USB存储设备或使用者无法使用USB存储设备，有效防止数据泄露，（投标时提供该功能截屏作为依据）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11、免费提供电脑管理软件，可实现：1-硬件主要参数检测；优化加速； 2-系统垃圾清理；3-病毒查杀；4-原厂驱动更新；5-网络测速；网络诊断，6-自动识别品牌型号，自动识别序列号，自动识别保修开始至截止信息（投标文件中提供1-6项功能截图及该软件的软著登记证书扫描件，证书所载品牌与投标产品品牌相符，或投标品牌获得软著所有人的使用授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12、具有硬盘数据备份及恢复认证，硬盘减震装置功能，投标文件中需提供国家知识产权局颁发认证证书扫描件或国家知识产权局的官方网站查询截图（证书所载明所属品牌需与投标品牌相符）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二、软件要求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▲需采用“教育魔方”统一组织及用户体系，实现统一身份认证，提供“教育魔方”对接证明。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文件管理功能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1、个人空间：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支持200及以上授权用户数；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存放个人文件，仅自己可见。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2、文件操作：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支持文件上传、新建文件夹、下载、删除、移动等；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上传：上传文件至个人空间；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新建文件夹：新建文件夹，可将文件归类到文件夹中；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下载：可下载文件至本地；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删除：可删除文件并释放空间；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移动：移动文件至空间（本地存储）中别的位置。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3、钉盘个人文件转存：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个人空间页面新增【钉盘转存】按钮；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支持将钉盘中的个人文件，转存至个人空间-本地存储中；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转存后自动删除钉盘原文件（用户可选）；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选择钉盘文件时，支持切换组织，支持全选；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支持在“本地存储”中，选择具体的文件存放位置。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4、批量操作：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可对同一目录下的文件进行批量操作，勾选多个文件后，可进行转发、下载、删除等。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5、查看容量：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可查看个人空间的已使用容量和总容量。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6、空间扩容：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支持申请空间扩容，填写扩容量、申请理由等，审批通过后自动扩容。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7、共享空间：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支持管理员创建团队共享空间，可设置该空间的共享者、名称、简介等；支持在魔方组织通讯录内搜索，或按组织架构、角色等批量选择共享者。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8、共享权限：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创建人可向共享者指定权限，包含查看、查看/下载、编辑、管理四级权限。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查看：仅可查看；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查看/下载：可查看和下载文件；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编辑：可查看、下载、上传、编辑文件；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管理：可查看、下载、上传、编辑、删除、移动文件。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9、教学资源库：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支持按教材版本、章节目录保存教学资源，沉淀优质校本资源。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10、回收站：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从个人空间与共享空间中删除的文件，自动进入回收站；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回收站中的文件支持恢复、清除等。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11、收藏夹：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支持对个人空间或组织空间的文件进行收藏，收藏后的文件可在“收藏夹”中预览、进入文件所在位置、取消收藏。收藏功能仅对文件进行标记，方便快速查找文件，对文件本身不产生影响。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12、最近浏览：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支持展示最近预览过的文件（包含个人空间与共享空间），按照查看的时间顺序倒序。支持对文件进行预览、进入文件所在位置等操作。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13、管理平台功能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1、权限管理：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可在魔方后台设置管理员权限，仅管理员可进入管理平台操作。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2、本地存储服务器设置：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首次使用时，需要输入服务器设备信息，绑定存储服务器，绑定成功后即可使用；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绑定后，可查看设备串码、型号、容量等信息；可解绑该存储服务器，解绑后所有老师无法再调用该服务器中的文件，直至重新绑定。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3、空间容量分布：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可查看当前空间的使用情况，包含总空间、已使用空间；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并通过环形图呈现待使用容量、个人空间已使用容量、共享空间已使用容量的比例关系。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4、扩容申请：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管理平台展示扩容申请的审批入口，在入口处展示待审批数量；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点击进入后，可查看全部申请，并查看申请利用，原容量、申请容量、提交时间等信息；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支持同意、拒绝等操作，同意扩容后，申请的空间即自动扩容。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5、个人空间管理：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可查看组织内所有成员的个人空间已用容量、上限容量等；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可调整某位成员的空间容量上限，也可勾选多人批量调整；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支持按姓名搜索成员。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6、共享空间管理：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可查看组织内所有共享空间的名称、创建者、已用容量、上限容量等；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可调整某个文件夹容量上限，也可勾选多个文件夹批量调整；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支持按共享文件夹名称搜索。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教学资源库：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支持教师按照教材章节进行文件存储、检索、下载，支持校本资源库库沉淀。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可实现外网访问学校内网存储资源，具备内网穿透功能；</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访客测温一体机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测温、访客</w:t>
            </w:r>
            <w:r>
              <w:rPr>
                <w:rFonts w:hint="eastAsia" w:ascii="宋体" w:hAnsi="宋体" w:eastAsia="宋体" w:cs="宋体"/>
                <w:i w:val="0"/>
                <w:iCs w:val="0"/>
                <w:color w:val="auto"/>
                <w:kern w:val="0"/>
                <w:sz w:val="21"/>
                <w:szCs w:val="21"/>
                <w:u w:val="none"/>
                <w:lang w:val="en-US" w:eastAsia="zh-CN" w:bidi="ar"/>
              </w:rPr>
              <w:br w:type="textWrapping"/>
            </w:r>
            <w:r>
              <w:rPr>
                <w:color w:val="auto"/>
              </w:rPr>
              <w:t>▲</w:t>
            </w:r>
            <w:r>
              <w:rPr>
                <w:rFonts w:hint="eastAsia" w:ascii="宋体" w:hAnsi="宋体" w:eastAsia="宋体" w:cs="宋体"/>
                <w:i w:val="0"/>
                <w:iCs w:val="0"/>
                <w:color w:val="auto"/>
                <w:kern w:val="0"/>
                <w:sz w:val="21"/>
                <w:szCs w:val="21"/>
                <w:u w:val="none"/>
                <w:lang w:val="en-US" w:eastAsia="zh-CN" w:bidi="ar"/>
              </w:rPr>
              <w:t>设备采用安卓系统，版本7.1以上，内存≥2G，闪存≥</w:t>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G，双LCD屏，屏幕尺寸10.1英寸，分辨率1280*800，采用双目相机，1路可见光摄像头，1路红外摄像头，支持摄像头人脸监测，唤醒设备。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支持体温检测：非接触式体温检测，温度检测距离在0.5m~1.0m之间，测温精度±0.5℃；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支持访客登记：人证比对通过，并测温后完成身份信息填充及温度登记，或手动输入身份证号码并测温后完成访客登记；"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支持以太网和WiFi双网络，且支持同时连接；支持1个RS-485接口；支持1个RS232接口；支持2个USB接口；支持1个喇叭扬声器；支持1路门锁I/O输出接口；支持1路报警I/O输出接口；支持1个SIM卡接口；支持红绿双色LED指示灯；支持1个开关机按键；</w:t>
            </w:r>
            <w:r>
              <w:rPr>
                <w:rFonts w:hint="eastAsia" w:ascii="宋体" w:hAnsi="宋体" w:eastAsia="宋体" w:cs="宋体"/>
                <w:i w:val="0"/>
                <w:iCs w:val="0"/>
                <w:color w:val="auto"/>
                <w:kern w:val="0"/>
                <w:sz w:val="21"/>
                <w:szCs w:val="21"/>
                <w:u w:val="none"/>
                <w:lang w:val="en-US" w:eastAsia="zh-CN" w:bidi="ar"/>
              </w:rPr>
              <w:br w:type="textWrapping"/>
            </w:r>
            <w:r>
              <w:rPr>
                <w:color w:val="auto"/>
              </w:rPr>
              <w:t>▲</w:t>
            </w:r>
            <w:r>
              <w:rPr>
                <w:rFonts w:hint="eastAsia" w:ascii="宋体" w:hAnsi="宋体" w:eastAsia="宋体" w:cs="宋体"/>
                <w:i w:val="0"/>
                <w:iCs w:val="0"/>
                <w:color w:val="auto"/>
                <w:kern w:val="0"/>
                <w:sz w:val="21"/>
                <w:szCs w:val="21"/>
                <w:u w:val="none"/>
                <w:lang w:val="en-US" w:eastAsia="zh-CN" w:bidi="ar"/>
              </w:rPr>
              <w:t>设备支持本地保存的访客记录≥1</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万条，支持本地保存的抓拍照片≥1万张，支持本地导入黑名单，导出黑名单模板功能；设备最大支持10万个黑名单。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支持人工登记和访客自主登记功能，内置身份证阅读器，支持读取身份证信息，将身份证信息自动填充到访客登记信息列表中，设备与平台连接中断时，仍可进行离线登记和签离，联网后离线事件应能上传至管理平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支持访客通过预约码、手机号（后四位）或刷身份证登记；预约访客登记时支持自动填写已预约的信息，非预约访客支持未带身份证的访客登记，通过客户端或者云平台进行访客预约；支持预约访客信息包括：姓名、性别、手机号码、证件类型、证件号码、车牌号、访客单位、来访事由、来访时间、离开时间、来访区域、被访人、备注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设备支持通过身份证内照片与现场抓拍人员照片比对进行身份核验，支持低照度且无外部补光环境下可以完成人证比对，人脸识别距离：0.2m-1m，人证比对时间＜1s。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设备支持读取IC卡或访客二维码作为访客凭证，支持发放访客IC卡或二维码在授权门禁上开门，支持扫描访客二维码进行访客签离。</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设备支持外接打印机打印访客凭条，打印内容包括：二维码、访客图像、访客姓名、证件号、来访时间、接待部门、接待人员等信息；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设备支持在登记时可查看访客对应的访客权限组，并支持变更，可在访客登记时进行体温检测；可设置体温报警阈值，超出体温阈值时设备有报警提示功能。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支持访客使用身份证或访客凭条二维码或临时卡在访客机进行签离，支持自助签离。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支持按照到访时间、签离时间、到访人姓名、被访人、到访状态等信息查询访客记录，支持本地导出抓拍照片及访客记录。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支持鼠标或键盘等外接设备。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支持用户更换界面商标、播放图片或视频广告，可设置图片播放顺序及图片停留时间。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支持设备本地U盘升级和网络在线升级功能。</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便携式计算机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★处理器 英特尔i7同档次AMDR7 核心≥8核；主频≥1.8GHz;缓存≥8MB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内存</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16G DDR4 3200MHz 内存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★硬盘</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512G M.2 PCIe NVME SSD硬盘，支持固态加机械双硬盘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显示屏  14” LED雾面防眩光液晶显示屏（1920x1080）， 配置合金转轴，屏幕180度平放，更加牢固、美观、耐用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显卡 集成显卡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网卡 配置802.11 2x2无线网卡（集成蓝牙功能）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键盘 防泼溅背光键盘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定位设备 多点触控触摸板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摄像头 720P高清摄像头 ，支持物理防窥功能，保护个人隐私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接口 2 个USB3.2 Gen1（含1个PowerUSB）、2个USB TYPE-C（含1个USB3.2 Gen2全功能)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；HDMI接口、耳麦二合一接口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主机质保管理软件： 同一品牌电脑管理软件（提供功能性截图）：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1、软件上能够实时查看到主机编号以及保修信息，能够实时检测 CPU 温度、内存使用情况、网速使用情况；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2、能够对计算机进行软硬件一体化综合体检，主动发现电脑中存在的问题，并提供一键的自动化解决方案；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3、能够在线对计算机提供自动解决、人工服务等多种解决方案， 可快捷方便解决在电脑使用过程中遇到的常见问题；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4、能够智能驱动功能，快捷完成驱动程序的检测、下载、安装全流程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电池 内置60WHr以上锂电池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color w:val="auto"/>
              </w:rPr>
              <w:t>▲</w:t>
            </w:r>
            <w:r>
              <w:rPr>
                <w:rFonts w:hint="eastAsia" w:ascii="宋体" w:hAnsi="宋体" w:eastAsia="宋体" w:cs="宋体"/>
                <w:i w:val="0"/>
                <w:iCs w:val="0"/>
                <w:color w:val="auto"/>
                <w:kern w:val="0"/>
                <w:sz w:val="21"/>
                <w:szCs w:val="21"/>
                <w:u w:val="none"/>
                <w:lang w:val="en-US" w:eastAsia="zh-CN" w:bidi="ar"/>
              </w:rPr>
              <w:t xml:space="preserve">体积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重量≤1.</w:t>
            </w: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KG（含电池），厚度≤</w:t>
            </w:r>
            <w:r>
              <w:rPr>
                <w:rFonts w:hint="eastAsia" w:ascii="宋体" w:hAnsi="宋体" w:cs="宋体"/>
                <w:i w:val="0"/>
                <w:iCs w:val="0"/>
                <w:color w:val="auto"/>
                <w:kern w:val="0"/>
                <w:sz w:val="21"/>
                <w:szCs w:val="21"/>
                <w:u w:val="none"/>
                <w:lang w:val="en-US" w:eastAsia="zh-CN" w:bidi="ar"/>
              </w:rPr>
              <w:t>20</w:t>
            </w:r>
            <w:r>
              <w:rPr>
                <w:rFonts w:hint="eastAsia" w:ascii="宋体" w:hAnsi="宋体" w:eastAsia="宋体" w:cs="宋体"/>
                <w:i w:val="0"/>
                <w:iCs w:val="0"/>
                <w:color w:val="auto"/>
                <w:kern w:val="0"/>
                <w:sz w:val="21"/>
                <w:szCs w:val="21"/>
                <w:u w:val="none"/>
                <w:lang w:val="en-US" w:eastAsia="zh-CN" w:bidi="ar"/>
              </w:rPr>
              <w:t>mm</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16</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数码摄像机</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传感器类型:CMOS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音效模式:内置麦克风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影像防抖： 5轴防抖(平稳光学防抖智能增强模式)*12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取景器:光学取景器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传感器尺寸:1/3.13 英寸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影像传感器尺寸 1/2.5英寸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总像素 约857万像素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动态有效像素 约829万像素（16:9）*1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静态有效像素 约829万像素（16:9）/ 约662万像素（4:3）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影像处理器:背照式Exmor R CMOS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光学变焦： 20x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镜头:滤镜直径55mm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液晶屏尺寸:3.0英寸(16:9)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原装摄像机包、高速128G存储卡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原装电池*2</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单反相机</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约3250万有效像素APS-C画幅全像素双核CMOS图像感应器；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具有高速度、高精度计算处理能力的DIGIC X数字影像处理器；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连拍速度在电子快门下达到最高约30张/秒，机械快门下最高约15张/秒；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深度学习技术，能够提高被摄体识别能力，具备强大的被摄体追踪能力；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支持无裁切4K 60P、7K超采样4K 30P高画质以及裁切4K 60P多种记录模式；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支持全高清119.88P/100.00P高帧频短片；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基于APS-C画幅，机型轻量的设计美观机动性；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在照片及短片拍摄上具备可与专业机型相媲美的高性能，支持摄影/摄像爱好者的多种拍摄需求；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为用户提供更多的拍摄灵活性，助力捕捉精彩瞬间；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本次需配备128G高速卡内存卡，相机包，三脚架，18-150镜头,原装电池2块。</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微单</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曝光控制:标准ISO感光度,ISO 100-25600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镜头参数:最大光圈3.5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电池类型:锂离子电池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拍摄性能:连拍速度最高约6.1张/秒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接口:HDMI；Wi-Fi；蓝牙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对焦系统:全像素双核对焦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有效像素:2410万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传感器类型:CMOS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液晶屏像素:104万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本次需配备128G高速卡内存卡，相机包，三脚架，镜头,原装电池2块</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油印机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扫描对比度调整、网点处理、二合一功能、书本阴影消除、节省油墨、快速制版、印刷浓度调整、编程功能、均墨操作、机密排版、计数显示、计数器报表输出、试印、直接印刷、PC-I/F电脑连接打印、自动休眠设定、自动关机设定、节能模式、RISO iQuality系统</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A3彩色复印机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35页A3彩色数码复合机，复印/网络打印/扫描；双面打印/复印 10.1英寸彩色触摸LCD面板；CPU:1024双核1.0GHz;  内存：4GB；SSD固态硬盘32G硬盘320G（选配）；缩放倍率：25百分比～400百分比；纸张容量：标准2x500张，纸盒+150张，手送，上限7150张；纸张尺寸：纸盒最小A5R至最大A3，手动纸盘最小A6R至最大A3；纸张重量：纸盒52至300g/m²，手送52至300g/m²，500张出纸容量，打印/复印速度：32页/分钟，黑白彩色同速；复印分辨率：1200×1200dpi；首页复印时间：黑白5.3秒，彩色7.0秒，首页打印黑白5.9秒，彩色7.7秒；预热时间18秒</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A3复印机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复印速度：40cpm；网络打印、复印，彩色网扫，U盘打印功能；标配1G内存；标配自动双面翻转输稿器；CPU:ARM Cortex-A9(双核)1.2GHz  ；功耗：复印打印模式575W/待机模式75W/低功耗45W；缩放：25%--400%；供纸能力：标配500页*1纸盒；手送进纸100页，上限标配600页+PF-4200(500页*1纸盒）；7英寸彩色LCD触摸滑屏面板；首张复印输出4.9秒，复印尺寸A6R-A3；首张打印时间4.5秒内，分辨率1200dpi,打印语言PRESCRIBE,PCL6,KPDL3,XPS.接口：usb2.0高速*1；以太网10BASE-TX/1000BASE-T,USB主机接口（USB主机）*2，NFC TAG*1;。USB打印格式：TIFF;JPEG;PDF;XPS;OPEN XPS;高压缩PDF。移动打印：AIR PRINT ,MOPTIA,KYOCERA MOBILE PRINT,NFC。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自带纸盒加热组件；自动纸张选择，原稿模式选择；自动放大倍率选择模式；缩放模式；分割复印，页边留白，边框宽度，多合一模式；分页复印，省粉打印，程序复印，部门管理；可选IC卡验证组件，安全水印功能；采用特别耐用长寿命部件以确保顺畅和可靠的操作；产品设计的硬件维护周期极长：感光鼓的设计寿命为60万印张；</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针式打印机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打印方式:单、双向逻辑选距；可编程选择单、双向打印、图形双向打印光栅定位打印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打印速度:超高速 450（字/秒）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打印头：24针 寿命：4亿次／针   针直径：0.2mm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纸张类型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单页纸，链式纸，标签纸，支票，卡片和信封纸。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打印厚度≥1.0mm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送纸方式：推/拉链式送纸（链式纸）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平均无故障时间为20,000小时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光电式（高精密反射式纸张检测装置）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送纸速度：8英寸/秒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为了办公信息自动化，需支持无线WIFI、蓝牙4.0在windows、安卓、ios系统下的双向通讯协议（提供盖章的证明文件）；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左边界自动定位；击打力度自动调节；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针补偿专利技术、针轮换专利技术；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赠送智能小助手，方面客户联机参数设置，支持定制化服务版本。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安规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投标产品具备自主知识产权的SOC控制芯片，能有效保障信息安全，防止泄密。需现场提供国家知识产权局证书证明。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1、纸斜自动退出功能；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2、任意位进纸功能。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3、具备色带脱落保护功能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可选接口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网络接口；WIFI；蓝牙；串口；并口</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A4黑白激光打印机</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打印、复印、扫描/自动双面/支持无线/有线网络/单面：29ppm 双面：18ppm/ 内存64MB/USB2.0 x1,以太网 10/100 base-TX x1,低功耗蓝牙的双频(2.4/5.0 GHz) 无线 802.11b/ 150页纸容量/预热时间≤7秒</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A4激光彩色打印机</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彩色打印 16ppm/ 内存128MB DDR，128MB NAND闪存/ USB2.0，支持网络打印/ 纸张 150页纸容量/ 鼓粉一体 /600x600dpi </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碎纸机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容量：30L；碎纸能力：单次最大A4纸（70克）15张/分钟以上；入纸宽度：225mm；盘碎能力：6段；过热保护：20分钟持续碎；机器尺寸：380x598x290mm</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高拍仪</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1、折叠直立，全金属外观，便携可移动。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2、800万（3264*2448），动态视频预览15帧/秒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3、采用USB接口5V电源直接供电，环保无辐射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4、内置信号增强功能，支持5米USB数据线连接，性能稳定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5、拍摄幅面：A4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6、自动+触摸对焦，支持数码变焦，物体无论高低，都可清晰可见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7、顶端内置超亮LED灯，可触摸式三级灯光调节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软件参数：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1、界面与功能图标内嵌中文，清晰易用，老师不用查阅帮助就能使用，减少误操作。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2、软件基础功能：可预设画笔批注的粗细及颜色，支持对展台画面进行移动、缩放。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故障检测：软件支持故障自检功能，帮助用户检测“无画面”的原因，并给出引导性的修复和解决方案，可判断硬件连接、解码器、显卡驱动、摄像头通道占用等问题，同时也有显示微信和技术电话提供协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4、二维码扫码功能：打开扫一扫功能后，将书本上的二维码放入扫描框内即可自动扫描，并进入系统浏览器获取二维码的链接内容，帮助老师快速获取电子教学资源。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5、软件自带虚拟黑板功能，截取实物展示的某一重点内容在虚拟黑板模式下进行单独批注讲解，板书支持保存和二次打开、编辑，使授课变得简单轻松。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6、图像特技：延时拍照、聚光灯、负片、镜像、黑白、自动曝光、视频冻结、同屏对比、旋转、屏幕录制。</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装订机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激光定位自动型500页会计财务凭证装订机，热熔胶铆管，装订机支持电动档案文件打孔。</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塑封机</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A3/A4通用办公塑封机带切刀 切纸裁纸过塑机 含圆角器 照片文件耐用覆膜机封塑机压膜机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对讲机</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纯模拟，199个信道，超大功率，持久待机，独立调频，超强加密，有效使用范围1-10公里，电池：6800MA锂离子电池</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51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拉杆音箱</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功能：USB/SD直接播放，高低音独立调节，超长播放，一键录音，收音，蓝牙，数字选曲，话筒优先功能，全功能遥控，最大功率100W，超大容易电池</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保险柜</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大型全钢防盗1.2米指纹密码保险柜</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bl>
    <w:p>
      <w:pPr>
        <w:pStyle w:val="12"/>
        <w:rPr>
          <w:rFonts w:hint="eastAsia"/>
          <w:color w:val="auto"/>
          <w:sz w:val="21"/>
          <w:szCs w:val="21"/>
        </w:rPr>
      </w:pPr>
    </w:p>
    <w:p>
      <w:pPr>
        <w:rPr>
          <w:rFonts w:hint="eastAsia" w:ascii="仿宋" w:hAnsi="仿宋" w:eastAsia="仿宋"/>
          <w:b/>
          <w:color w:val="auto"/>
          <w:sz w:val="28"/>
          <w:szCs w:val="28"/>
          <w:lang w:eastAsia="zh-CN"/>
        </w:rPr>
      </w:pPr>
      <w:r>
        <w:rPr>
          <w:rFonts w:hint="eastAsia" w:ascii="仿宋" w:hAnsi="仿宋" w:eastAsia="仿宋"/>
          <w:b/>
          <w:color w:val="auto"/>
          <w:sz w:val="28"/>
          <w:szCs w:val="28"/>
          <w:lang w:eastAsia="zh-CN"/>
        </w:rPr>
        <w:t>第二标项：多媒体等设备</w:t>
      </w:r>
    </w:p>
    <w:p>
      <w:pPr>
        <w:rPr>
          <w:rFonts w:hint="eastAsia" w:ascii="仿宋" w:hAnsi="仿宋" w:eastAsia="仿宋"/>
          <w:b/>
          <w:color w:val="auto"/>
          <w:sz w:val="28"/>
          <w:szCs w:val="28"/>
          <w:lang w:eastAsia="zh-CN"/>
        </w:rPr>
      </w:pPr>
      <w:r>
        <w:rPr>
          <w:rFonts w:hint="eastAsia" w:ascii="仿宋" w:hAnsi="仿宋" w:eastAsia="仿宋"/>
          <w:b/>
          <w:color w:val="auto"/>
          <w:sz w:val="28"/>
          <w:szCs w:val="28"/>
          <w:lang w:eastAsia="zh-CN"/>
        </w:rPr>
        <w:t>一、设备清单</w:t>
      </w:r>
    </w:p>
    <w:p>
      <w:pPr>
        <w:keepNext w:val="0"/>
        <w:keepLines w:val="0"/>
        <w:widowControl/>
        <w:suppressLineNumbers w:val="0"/>
        <w:jc w:val="both"/>
        <w:rPr>
          <w:rFonts w:hint="default"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1、教室多媒体系统</w:t>
      </w:r>
    </w:p>
    <w:tbl>
      <w:tblPr>
        <w:tblStyle w:val="32"/>
        <w:tblW w:w="94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758"/>
        <w:gridCol w:w="6999"/>
        <w:gridCol w:w="555"/>
        <w:gridCol w:w="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序号</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设备名称</w:t>
            </w:r>
          </w:p>
        </w:tc>
        <w:tc>
          <w:tcPr>
            <w:tcW w:w="69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招标技术参数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数量</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智慧黑板</w:t>
            </w:r>
          </w:p>
          <w:p>
            <w:pPr>
              <w:keepNext w:val="0"/>
              <w:keepLines w:val="0"/>
              <w:widowControl/>
              <w:suppressLineNumbers w:val="0"/>
              <w:jc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（三接屏）</w:t>
            </w:r>
            <w:r>
              <w:rPr>
                <w:rFonts w:hint="eastAsia" w:ascii="宋体" w:hAnsi="宋体" w:cs="宋体"/>
                <w:b/>
                <w:bCs/>
                <w:i w:val="0"/>
                <w:iCs w:val="0"/>
                <w:color w:val="auto"/>
                <w:kern w:val="0"/>
                <w:sz w:val="20"/>
                <w:szCs w:val="20"/>
                <w:u w:val="none"/>
                <w:lang w:val="en-US" w:eastAsia="zh-CN" w:bidi="ar"/>
              </w:rPr>
              <w:t>（核心产品）</w:t>
            </w:r>
          </w:p>
        </w:tc>
        <w:tc>
          <w:tcPr>
            <w:tcW w:w="6999"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numPr>
                <w:ilvl w:val="0"/>
                <w:numId w:val="3"/>
              </w:numPr>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整体设计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一体化整体外观尺寸：宽≥4200mm，高≥1200mm，厚≤95mm。整机采用三拼平面一体化设计，无推拉式结构及外露连接线，外观简洁。整机屏幕边缘采用金属圆角包边防护，整机背板采用金属材质，有效屏蔽内部电路器件辐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2、主屏支持普通粉笔直接书写。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3、整机两侧副屏可支持以下媒介（普通粉笔、液体粉笔、成膜笔）进行板书书写。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4、整机设备副屏自带防眩光、防腐蚀功能，甲醛释放限量应不大于1.5mg/L，符合GB 28231-2011《书写板安全卫生要求》。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5、整机设备副屏支持磁吸附功能，可以满足带有磁吸的板擦等教具进行吸附在副屏上。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6、整机采用UHD超高清LED液晶屏，显示比例16:9，分辨率3840*2160。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7、触控一体机表面使用钢化玻璃，表面硬度达到9H，接近钻石硬度，有效保护教师及学生授课安全。（</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8、玻璃表面采用纳米材料镀膜环保工艺，书写更加顺滑，防眩光效果更加优异，需提供专利文件证书证明。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9、整机采用硬件低蓝光背光技术，还原真实教学色彩的同时有效降低蓝光同时保护教师、学生视力。（</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二、整机设计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1、整机内置音箱顶置朝前发声，2.2声道扬声器，额定总功率60W。（</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2、整机支持高级音效设置、左右声道平衡、可根据实际需要设置不同频段调节功能，以满足不同课程授课声音还原需求。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3、整机内置非独立外扩展的4阵列麦克风，可用于对教室环境音频进行采集，拾音距离≥12m。（</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、整机无需外接无线网卡，在Windows系统下可实现Wi-Fi无线上网连接、AP无线热点发射和BT蓝牙连接功能。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、Wi-Fi和AP热点工作距离≥12m。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、▲智慧黑板支持NFC投屏功能：可搭配具有NFC功能的手机、平板，无需通过软件手机或平板可投屏至一体机，支持至少4台同步显示和连接。（</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7、整机支持蓝牙Bluetooth 5.2标准（</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、整机无需外接无线网卡，在Windows系统下接入无线网络，切换到嵌入式Android系统下可直接实现无线上网功能，不需手动重复设置。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、▲为提升传输速率和降低能耗，整机支持Wi-Fi6；Wi-Fi及AP热点支持频段2.4GHz/5GHz。（</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、同一电源物理按键完成开机、节能熄屏、关机操作。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、整机具备前置按键，可实现老师开关机、调出中控菜单、音量+/-、护眼、录屏的操作。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、支持护眼模式，可通过前置面板物理功能按键一键启用护眼模式。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、支持录课模式，可通过前置面板物理功能按键一键启用录课模式（屏幕及人声需同步采集）。（</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、侧置输入接口具备2路HDMI、1路RS232；侧置输出接口具备1路音频、1路触控USB；前置输入接口3路USB接口（包含1路Type-C、2路USB）。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、整机具备前置Type-C接口，通过Type-C接口可实现与外部电脑的触摸信号及音视频输入。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、整机具备抗振动、防跌落特性，保证整机运输或使用过程中不易受损。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17</w:t>
            </w:r>
            <w:r>
              <w:rPr>
                <w:rFonts w:hint="eastAsia" w:ascii="宋体" w:hAnsi="宋体" w:eastAsia="宋体" w:cs="宋体"/>
                <w:i w:val="0"/>
                <w:iCs w:val="0"/>
                <w:color w:val="auto"/>
                <w:kern w:val="0"/>
                <w:sz w:val="20"/>
                <w:szCs w:val="20"/>
                <w:u w:val="none"/>
                <w:lang w:val="en-US" w:eastAsia="zh-CN" w:bidi="ar"/>
              </w:rPr>
              <w:t>、整机书写面板采用防眩光全钢化防爆玻璃面板，面板的碎片状态、抗冲击性、霰弹袋冲击性能、耐热冲击性能均通过国家强制玻璃标准，表面应力≥100Mpa,适应学校复杂环境，保障教学安全。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18</w:t>
            </w:r>
            <w:r>
              <w:rPr>
                <w:rFonts w:hint="eastAsia" w:ascii="宋体" w:hAnsi="宋体" w:eastAsia="宋体" w:cs="宋体"/>
                <w:i w:val="0"/>
                <w:iCs w:val="0"/>
                <w:color w:val="auto"/>
                <w:kern w:val="0"/>
                <w:sz w:val="20"/>
                <w:szCs w:val="20"/>
                <w:u w:val="none"/>
                <w:lang w:val="en-US" w:eastAsia="zh-CN" w:bidi="ar"/>
              </w:rPr>
              <w:t>、整机可做到高色准△E≤1.5，还原真实教学色彩。（</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19</w:t>
            </w:r>
            <w:r>
              <w:rPr>
                <w:rFonts w:hint="eastAsia" w:ascii="宋体" w:hAnsi="宋体" w:eastAsia="宋体" w:cs="宋体"/>
                <w:i w:val="0"/>
                <w:iCs w:val="0"/>
                <w:color w:val="auto"/>
                <w:kern w:val="0"/>
                <w:sz w:val="20"/>
                <w:szCs w:val="20"/>
                <w:u w:val="none"/>
                <w:lang w:val="en-US" w:eastAsia="zh-CN" w:bidi="ar"/>
              </w:rPr>
              <w:t>、▲整机支持透明度、色温调节及阅读模式的调节，为保证观看文字类教学资源有更好的视觉体验，提高观看舒适度，可通过切换纸质模型或其他方式实现显示内容的纹理实时调整，包括但不限于水纹纸、牛皮纸、宣纸、素描纸等多种纸类（</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、前置 USB 接口具备防撞挡板设计，防撞挡板采用转轴式翻转。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21</w:t>
            </w:r>
            <w:r>
              <w:rPr>
                <w:rFonts w:hint="eastAsia" w:ascii="宋体" w:hAnsi="宋体" w:eastAsia="宋体" w:cs="宋体"/>
                <w:i w:val="0"/>
                <w:iCs w:val="0"/>
                <w:color w:val="auto"/>
                <w:kern w:val="0"/>
                <w:sz w:val="20"/>
                <w:szCs w:val="20"/>
                <w:u w:val="none"/>
                <w:lang w:val="en-US" w:eastAsia="zh-CN" w:bidi="ar"/>
              </w:rPr>
              <w:t>、▲设备需提供自定义功能按键，可通过自定义按键实现通过前置面板按键一键启用多功能，包括但不限于护眼、录屏、批注、截屏、计时、降半屏、放大镜、倒数日、日历等功能，快速帮助教师实现功能切换。（</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22</w:t>
            </w:r>
            <w:r>
              <w:rPr>
                <w:rFonts w:hint="eastAsia" w:ascii="宋体" w:hAnsi="宋体" w:eastAsia="宋体" w:cs="宋体"/>
                <w:i w:val="0"/>
                <w:iCs w:val="0"/>
                <w:color w:val="auto"/>
                <w:kern w:val="0"/>
                <w:sz w:val="20"/>
                <w:szCs w:val="20"/>
                <w:u w:val="none"/>
                <w:lang w:val="en-US" w:eastAsia="zh-CN" w:bidi="ar"/>
              </w:rPr>
              <w:t>、整机内置摄像头（非外扩），PC通道下支持通过视频展台软件调用摄像头进行二维码扫码识别。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23</w:t>
            </w:r>
            <w:r>
              <w:rPr>
                <w:rFonts w:hint="eastAsia" w:ascii="宋体" w:hAnsi="宋体" w:eastAsia="宋体" w:cs="宋体"/>
                <w:i w:val="0"/>
                <w:iCs w:val="0"/>
                <w:color w:val="auto"/>
                <w:kern w:val="0"/>
                <w:sz w:val="20"/>
                <w:szCs w:val="20"/>
                <w:u w:val="none"/>
                <w:lang w:val="en-US" w:eastAsia="zh-CN" w:bidi="ar"/>
              </w:rPr>
              <w:t>、▲整机内置非独立摄像头，拍摄像素数≥1300万，摄像头视场角≥135度。（</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、整机内置非独立的高清摄像头，可用于远程巡课，并且可通过摄像头进行人数统计、随机抽选、环境色温判断等功能。（</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三、主要功能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1、部署单根网线可实现Android、Windows双系统有线网络连通。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2、整机可通过前置物理按键快捷进行系统还原，无需额外工具辅助。（</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3、支持降半屏功能，降半屏后依然可以正常触控操作Windows系统；可一键退出该模式。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5、整机内置专业硬件自检维护工具（非第三方工具），支持对触摸框和PC模块进行检测，并针对不同模块给出问题代码提示。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6、当整机处于黑暗环境中并无人操作，一分钟后整机将可以自动进入熄屏模式。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7、支持将自定义图片设置为开机画面。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8、整机具备供电保护模块，能够检测内置电脑是否插好在位，在内置电脑未在位的情况下，内置电脑无法上电工作。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9、支持云端在线系统固件升级。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10、支持标准、听力、观影三种音效模式调节。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11、支持标准、多媒体和节能三种图像模式调节。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12、整机内置触摸中控菜单，支持信号源通道切换、护眼、声音调节等功能，在任意显示通道下均可通过手势在屏幕上调取该触摸菜单。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整机在任意信号源通道下均可识别智能手势功能，包括但不限于五指上、下、左、右方向手势，五指画O、画~、左右晃动、缩/放方向等手势滑动并调用相应功能。支持将多种手势识别自定义设置为包括但不限于无操作、熄屏、批注、桌面、半屏、聚光灯、录屏等模式。（</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14、整机处于非内置PC通道下，支持调用屏幕快捷键一键回到PC通道。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四、触摸系统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1、采用全贴合电容触控技术，支持Windows系统中进行20点或以上触控。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2、Windows 7、Windows 8、Windows 10、Linux、Mac Os系统外置电脑操作系统接入时，无需安装触摸驱动。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3、整机屏幕触摸有效识别高度不超过3.5mm,，即触摸物体距离玻璃外表面高度不超过3.5mm时，触摸屏识别为点击操作。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4、触摸屏具有防遮挡功能，触摸接收器在单点或多点遮挡后仍能正常书写。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五、安卓系统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1、▲嵌入式系统版本≥Android 11，内存≥2GB，存储空间≥8GB。（</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2、无PC状态下，嵌入式Android操作系统下可实现windows系统中常用的教学应用功能，如白板书写、WPS软件使用和网页浏览。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3、在嵌入式Android操作系统下，能对TV多媒体USB所读取到的文件进行自动归类，可分类查找文档、板书、图片、音视频，检索后可直接在界面中打开。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4、嵌入式Android操作系统下，提供学科背景，如：五线谱、信纸、田字格、英文格、篮球和足球场地平面图。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触控一体机具备全通道侧边栏，可显示多项基本信息，包括但不限于实时显示工具、快捷设置、应用软件、亮度/音量调节、教室物联入口等，并可以随时调起切换智能息屏、阅读模式，支持快捷调节音量、亮度，方便教师应用不同教学场景。（</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、整机全通道侧边栏支持在任意通道、页面使用批注小工具进行批注讲解，可切换书写笔颜色、截屏保存批注内容并可自动保存、快速清屏，可根据手与屏幕的接触面积自动调整板擦工具的大小。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、整机全通道侧边栏提供包括但不限于秒表、计时、半屏、聚光灯、倒数日、日历、节拍器等小工具，方便教师随时调用使用。（</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整机任意通道（包括但不限于Windows、安卓、HDMI、type-c等）下侧边栏支持通过扫码入班，老师设置题型，学生回答后提交，教师查看正确率比例及详细讲解；支持随机抽选、实时弹幕；支持管理当前班级成员；支持导出学生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整机设备开机启动后，自动进入教学桌面，支持多种身份识别方式登录，包括但不限于账号登录、手机扫码登录，登录后自动获取教师个人空间的课件列表、并可进入校本资源库获取资源；登录后进入原厂软件无需再次输入账号密码重复登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、教学桌面支持教学常用的教学白板软件、文件管理软件、学生行为评价软件、随机抽选软件的快捷入口，方便教师快速授课。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11</w:t>
            </w:r>
            <w:r>
              <w:rPr>
                <w:rFonts w:hint="eastAsia" w:ascii="宋体" w:hAnsi="宋体" w:eastAsia="宋体" w:cs="宋体"/>
                <w:i w:val="0"/>
                <w:iCs w:val="0"/>
                <w:color w:val="auto"/>
                <w:kern w:val="0"/>
                <w:sz w:val="20"/>
                <w:szCs w:val="20"/>
                <w:u w:val="none"/>
                <w:lang w:val="en-US" w:eastAsia="zh-CN" w:bidi="ar"/>
              </w:rPr>
              <w:t>、整机设备教学桌面中的文件管理，支持同时显示本地磁盘、移动类存储设备、学校资源库、教师个人云空间的文件资源，方便教师快速调用资源。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六、电脑模块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1、主板搭载Intel第</w:t>
            </w:r>
            <w:r>
              <w:rPr>
                <w:rFonts w:hint="eastAsia" w:ascii="宋体" w:hAnsi="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代或以上酷睿系列 i5 CPU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2、内存：8GB DDR4笔记本内存或以上配置。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3、硬盘：256GB或以上SSD固态硬盘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4、机身采用热浸镀锌金属材质，采用智能风扇低噪音散热设计以预留足够散热空间，确保封闭空间内有效散热。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5、PC模块可抽拉式插入整机，可实现无单独接线的插拔。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6、和整机的连接接口针脚数≤80pin。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7、采用按压式卡扣，无需工具就可快速拆卸电脑模块。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8、具有独立非外扩展的视频输出接口：≥1路HDMI ；具有独立非外扩展的电脑USB接口：≥3路USB。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9、具有标准PC防盗锁孔。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10、PC模块支持不断电情况下热插拔，以便快速维护或替换模块。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11、PC模块的USB接口须为冗余备份接口，在正常使用整机的内置摄像头、内置麦克风功能时，USB接口不被占用，确保教师有足够的接口外接存储设备及显示设备。</w:t>
            </w:r>
          </w:p>
          <w:p>
            <w:pPr>
              <w:keepNext w:val="0"/>
              <w:keepLines w:val="0"/>
              <w:widowControl/>
              <w:numPr>
                <w:ilvl w:val="0"/>
                <w:numId w:val="0"/>
              </w:numPr>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七、其他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1、原厂保修三年，签订合同前提供原厂质保函。</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智慧黑板</w:t>
            </w:r>
          </w:p>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（双接屏）</w:t>
            </w:r>
          </w:p>
        </w:tc>
        <w:tc>
          <w:tcPr>
            <w:tcW w:w="6999"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numPr>
                <w:ilvl w:val="0"/>
                <w:numId w:val="4"/>
              </w:numPr>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整体设计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一体化整体外观尺寸：宽≥4200mm，高≥1200mm，厚≤95mm。整机采用左右双拼平面一体化设计，无推拉式结构及外露连接线，外观简洁。整机屏幕边缘采用金属圆角包边防护，整机背板采用金属材质，有效屏蔽内部电路器件辐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2、主屏支持普通粉笔直接书写。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3、整机副屏可支持以下媒介（普通粉笔、液体粉笔、成膜笔）进行板书书写。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4、整机设备副屏自带防眩光、防腐蚀功能，甲醛释放限量应不大于1.5mg/L，符合GB 28231-2011《书写板安全卫生要求》。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5、整机设备副屏支持磁吸附功能，可以满足带有磁吸的板擦等教具进行吸附在副屏上。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6、整机采用UHD超高清LED液晶屏，显示比例16:9，分辨率3840*2160。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7、触控一体机表面使用钢化玻璃，表面硬度达到9H，接近钻石硬度，有效保护教师及学生授课安全。（</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8、玻璃表面采用纳米材料镀膜环保工艺，书写更加顺滑，防眩光效果更加优异，需提供专利文件证书证明。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9、整机采用硬件低蓝光背光技术，还原真实教学色彩的同时有效降低蓝光同时保护教师、学生视力。（</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二、整机设计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1、整机内置音箱顶置朝前发声，2.2声道扬声器，额定总功率60W。（</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2、整机支持高级音效设置、左右声道平衡、可根据实际需要设置不同频段调节功能，以满足不同课程授课声音还原需求。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3、整机内置非独立外扩展的4阵列麦克风，可用于对教室环境音频进行采集，拾音距离≥12m。（</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、整机无需外接无线网卡，在Windows系统下可实现Wi-Fi无线上网连接、AP无线热点发射和BT蓝牙连接功能。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、Wi-Fi和AP热点工作距离≥12m。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、▲智慧黑板支持NFC投屏功能：可搭配具有NFC功能的手机、平板，无需通过软件手机或平板可投屏至一体机，支持至少4台同步显示和连接。（</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7、整机支持蓝牙Bluetooth 5.2标准（</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、整机无需外接无线网卡，在Windows系统下接入无线网络，切换到嵌入式Android系统下可直接实现无线上网功能，不需手动重复设置。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、▲为提升传输速率和降低能耗，整机支持Wi-Fi6；Wi-Fi及AP热点支持频段2.4GHz/5GHz。（</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、同一电源物理按键完成开机、节能熄屏、关机操作。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、整机具备前置按键，可实现老师开关机、调出中控菜单、音量+/-、护眼、录屏的操作。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、支持护眼模式，可通过前置面板物理功能按键一键启用护眼模式。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、支持录课模式，可通过前置面板物理功能按键一键启用录课模式（屏幕及人声需同步采集）。（</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、侧置输入接口具备2路HDMI、1路RS232；侧置输出接口具备1路音频、1路触控USB；前置输入接口3路USB接口（包含1路Type-C、2路USB）。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、整机具备前置Type-C接口，通过Type-C接口可实现与外部电脑的触摸信号及音视频输入。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、整机具备抗振动、防跌落特性，保证整机运输或使用过程中不易受损。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17</w:t>
            </w:r>
            <w:r>
              <w:rPr>
                <w:rFonts w:hint="eastAsia" w:ascii="宋体" w:hAnsi="宋体" w:eastAsia="宋体" w:cs="宋体"/>
                <w:i w:val="0"/>
                <w:iCs w:val="0"/>
                <w:color w:val="auto"/>
                <w:kern w:val="0"/>
                <w:sz w:val="20"/>
                <w:szCs w:val="20"/>
                <w:u w:val="none"/>
                <w:lang w:val="en-US" w:eastAsia="zh-CN" w:bidi="ar"/>
              </w:rPr>
              <w:t>、整机书写面板采用防眩光全钢化防爆玻璃面板，面板的碎片状态、抗冲击性、霰弹袋冲击性能、耐热冲击性能均通过国家强制玻璃标准，表面应力≥100Mpa,适应学校复杂环境，保障教学安全。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18</w:t>
            </w:r>
            <w:r>
              <w:rPr>
                <w:rFonts w:hint="eastAsia" w:ascii="宋体" w:hAnsi="宋体" w:eastAsia="宋体" w:cs="宋体"/>
                <w:i w:val="0"/>
                <w:iCs w:val="0"/>
                <w:color w:val="auto"/>
                <w:kern w:val="0"/>
                <w:sz w:val="20"/>
                <w:szCs w:val="20"/>
                <w:u w:val="none"/>
                <w:lang w:val="en-US" w:eastAsia="zh-CN" w:bidi="ar"/>
              </w:rPr>
              <w:t>、整机可做到高色准△E≤1.5，还原真实教学色彩。（</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19</w:t>
            </w:r>
            <w:r>
              <w:rPr>
                <w:rFonts w:hint="eastAsia" w:ascii="宋体" w:hAnsi="宋体" w:eastAsia="宋体" w:cs="宋体"/>
                <w:i w:val="0"/>
                <w:iCs w:val="0"/>
                <w:color w:val="auto"/>
                <w:kern w:val="0"/>
                <w:sz w:val="20"/>
                <w:szCs w:val="20"/>
                <w:u w:val="none"/>
                <w:lang w:val="en-US" w:eastAsia="zh-CN" w:bidi="ar"/>
              </w:rPr>
              <w:t>、▲整机支持透明度、色温调节及阅读模式的调节，为保证观看文字类教学资源有更好的视觉体验，提高观看舒适度，可通过切换纸质模型或其他方式实现显示内容的纹理实时调整，包括但不限于水纹纸、牛皮纸、宣纸、素描纸等多种纸类（</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、前置 USB 接口具备防撞挡板设计，防撞挡板采用转轴式翻转。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21</w:t>
            </w:r>
            <w:r>
              <w:rPr>
                <w:rFonts w:hint="eastAsia" w:ascii="宋体" w:hAnsi="宋体" w:eastAsia="宋体" w:cs="宋体"/>
                <w:i w:val="0"/>
                <w:iCs w:val="0"/>
                <w:color w:val="auto"/>
                <w:kern w:val="0"/>
                <w:sz w:val="20"/>
                <w:szCs w:val="20"/>
                <w:u w:val="none"/>
                <w:lang w:val="en-US" w:eastAsia="zh-CN" w:bidi="ar"/>
              </w:rPr>
              <w:t>、▲设备需提供自定义功能按键，可通过自定义按键实现通过前置面板按键一键启用多功能，包括但不限于护眼、录屏、批注、截屏、计时、降半屏、放大镜、倒数日、日历等功能，快速帮助教师实现功能切换。（</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22</w:t>
            </w:r>
            <w:r>
              <w:rPr>
                <w:rFonts w:hint="eastAsia" w:ascii="宋体" w:hAnsi="宋体" w:eastAsia="宋体" w:cs="宋体"/>
                <w:i w:val="0"/>
                <w:iCs w:val="0"/>
                <w:color w:val="auto"/>
                <w:kern w:val="0"/>
                <w:sz w:val="20"/>
                <w:szCs w:val="20"/>
                <w:u w:val="none"/>
                <w:lang w:val="en-US" w:eastAsia="zh-CN" w:bidi="ar"/>
              </w:rPr>
              <w:t>、整机内置摄像头（非外扩），PC通道下支持通过视频展台软件调用摄像头进行二维码扫码识别。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23</w:t>
            </w:r>
            <w:r>
              <w:rPr>
                <w:rFonts w:hint="eastAsia" w:ascii="宋体" w:hAnsi="宋体" w:eastAsia="宋体" w:cs="宋体"/>
                <w:i w:val="0"/>
                <w:iCs w:val="0"/>
                <w:color w:val="auto"/>
                <w:kern w:val="0"/>
                <w:sz w:val="20"/>
                <w:szCs w:val="20"/>
                <w:u w:val="none"/>
                <w:lang w:val="en-US" w:eastAsia="zh-CN" w:bidi="ar"/>
              </w:rPr>
              <w:t>、▲整机内置非独立摄像头，拍摄像素数≥1300万，摄像头视场角≥135度。（</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、整机内置非独立的高清摄像头，可用于远程巡课，并且可通过摄像头进行人数统计、随机抽选、环境色温判断等功能。（</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三、主要功能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1、部署单根网线可实现Android、Windows双系统有线网络连通。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2、整机可通过前置物理按键快捷进行系统还原，无需额外工具辅助。（</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3、支持降半屏功能，降半屏后依然可以正常触控操作Windows系统；可一键退出该模式。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5、整机内置专业硬件自检维护工具（非第三方工具），支持对触摸框和PC模块进行检测，并针对不同模块给出问题代码提示。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6、当整机处于黑暗环境中并无人操作，一分钟后整机将可以自动进入熄屏模式。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7、支持将自定义图片设置为开机画面。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8、整机具备供电保护模块，能够检测内置电脑是否插好在位，在内置电脑未在位的情况下，内置电脑无法上电工作。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9、支持云端在线系统固件升级。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10、支持标准、听力、观影三种音效模式调节。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11、支持标准、多媒体和节能三种图像模式调节。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12、整机内置触摸中控菜单，支持信号源通道切换、护眼、声音调节等功能，在任意显示通道下均可通过手势在屏幕上调取该触摸菜单。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整机在任意信号源通道下均可识别智能手势功能，包括但不限于五指上、下、左、右方向手势，五指画O、画~、左右晃动、缩/放方向等手势滑动并调用相应功能。支持将多种手势识别自定义设置为包括但不限于无操作、熄屏、批注、桌面、半屏、聚光灯、录屏等模式。（</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14、整机处于非内置PC通道下，支持调用屏幕快捷键一键回到PC通道。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四、触摸系统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1、采用全贴合电容触控技术，支持Windows系统中进行20点或以上触控。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2、Windows 7、Windows 8、Windows 10、Linux、Mac Os系统外置电脑操作系统接入时，无需安装触摸驱动。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3、整机屏幕触摸有效识别高度不超过3.5mm,，即触摸物体距离玻璃外表面高度不超过3.5mm时，触摸屏识别为点击操作。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4、触摸屏具有防遮挡功能，触摸接收器在单点或多点遮挡后仍能正常书写。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五、安卓系统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1、▲嵌入式系统版本≥Android 11，内存≥2GB，存储空间≥8GB。（</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2、无PC状态下，嵌入式Android操作系统下可实现windows系统中常用的教学应用功能，如白板书写、WPS软件使用和网页浏览。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3、在嵌入式Android操作系统下，能对TV多媒体USB所读取到的文件进行自动归类，可分类查找文档、板书、图片、音视频，检索后可直接在界面中打开。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4、嵌入式Android操作系统下，提供学科背景，如：五线谱、信纸、田字格、英文格、篮球和足球场地平面图。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触控一体机具备全通道侧边栏，可显示多项基本信息，包括但不限于实时显示工具、快捷设置、应用软件、亮度/音量调节、教室物联入口等，并可以随时调起切换智能息屏、阅读模式，支持快捷调节音量、亮度，方便教师应用不同教学场景。（</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、整机全通道侧边栏支持在任意通道、页面使用批注小工具进行批注讲解，可切换书写笔颜色、截屏保存批注内容并可自动保存、快速清屏，可根据手与屏幕的接触面积自动调整板擦工具的大小。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、整机全通道侧边栏提供包括但不限于秒表、计时、半屏、聚光灯、倒数日、日历、节拍器等小工具，方便教师随时调用使用。（</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整机任意通道（包括但不限于Windows、安卓、HDMI、type-c等）下侧边栏支持通过扫码入班，老师设置题型，学生回答后提交，教师查看正确率比例及详细讲解；支持随机抽选、实时弹幕；支持管理当前班级成员；支持导出学生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整机设备开机启动后，自动进入教学桌面，支持多种身份识别方式登录，包括但不限于账号登录、手机扫码登录，登录后自动获取教师个人空间的课件列表、并可进入校本资源库获取资源；登录后进入原厂软件无需再次输入账号密码重复登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、教学桌面支持教学常用的教学白板软件、文件管理软件、学生行为评价软件、随机抽选软件的快捷入口，方便教师快速授课。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11</w:t>
            </w:r>
            <w:r>
              <w:rPr>
                <w:rFonts w:hint="eastAsia" w:ascii="宋体" w:hAnsi="宋体" w:eastAsia="宋体" w:cs="宋体"/>
                <w:i w:val="0"/>
                <w:iCs w:val="0"/>
                <w:color w:val="auto"/>
                <w:kern w:val="0"/>
                <w:sz w:val="20"/>
                <w:szCs w:val="20"/>
                <w:u w:val="none"/>
                <w:lang w:val="en-US" w:eastAsia="zh-CN" w:bidi="ar"/>
              </w:rPr>
              <w:t>、整机设备教学桌面中的文件管理，支持同时显示本地磁盘、移动类存储设备、学校资源库、教师个人云空间的文件资源，方便教师快速调用资源。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六、电脑模块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1、主板搭载Intel第</w:t>
            </w:r>
            <w:r>
              <w:rPr>
                <w:rFonts w:hint="eastAsia" w:ascii="宋体" w:hAnsi="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代或以上酷睿系列 i5 CPU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2、内存：8GB DDR4笔记本内存或以上配置。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3、硬盘：256GB或以上SSD固态硬盘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4、机身采用热浸镀锌金属材质，采用智能风扇低噪音散热设计以预留足够散热空间，确保封闭空间内有效散热。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5、PC模块可抽拉式插入整机，可实现无单独接线的插拔。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6、和整机的连接接口针脚数≤80pin。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7、采用按压式卡扣，无需工具就可快速拆卸电脑模块。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8、具有独立非外扩展的视频输出接口：≥1路HDMI ；具有独立非外扩展的电脑USB接口：≥3路USB。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9、具有标准PC防盗锁孔。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10、PC模块支持不断电情况下热插拔，以便快速维护或替换模块。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11、PC模块的USB接口须为冗余备份接口，在正常使用整机的内置摄像头、内置麦克风功能时，USB接口不被占用，确保教师有足够的接口外接存储设备及显示设备。</w:t>
            </w:r>
          </w:p>
          <w:p>
            <w:pPr>
              <w:keepNext w:val="0"/>
              <w:keepLines w:val="0"/>
              <w:widowControl/>
              <w:numPr>
                <w:ilvl w:val="0"/>
                <w:numId w:val="0"/>
              </w:numPr>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七、其他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1、原厂保修三年，签订合同前提供原厂质保函。</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教学一体机</w:t>
            </w:r>
          </w:p>
        </w:tc>
        <w:tc>
          <w:tcPr>
            <w:tcW w:w="6999"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numPr>
                <w:ilvl w:val="0"/>
                <w:numId w:val="3"/>
              </w:numPr>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整体设计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1、整机采用一体化设计，外部无任何可见内部功能模块连接线。整机采用全金属外壳设计，边角采用弧形设计，表面无尖锐边缘或凸起。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2、整机屏幕边缘采用金属圆角包边防护，整机背板采用金属材质，有效屏蔽内部电路器件辐射；防潮耐盐雾蚀锈，适应多种教学环境。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3、整机屏幕采用86英寸液晶显示器。（</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4、整机采用UHD超高清LED液晶屏，显示比例16:9，分辨率3840*2160。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5、灰度等级≥256级。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6、触控一体机表面使用钢化玻璃，表面硬度达到9H，接近钻石硬度，有效保护教师及学生授课安全。（</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7、玻璃表面采用纳米材料镀膜环保工艺，书写更加顺滑，防眩光效果更加优异，专利文件证书证明。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8、整机采用硬件低蓝光背光技术，还原真实教学色彩的同时有效降低蓝光同时保护教师、学生视力。（</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二、整机设计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1、整机内置音箱顶置朝前发声，2.2声道扬声器，额定总功率60W。（</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2、整机支持高级音效设置、左右声道平衡、可根据实际需要设置不同频段调节功能，以满足不同课程授课声音还原需求。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3、整机内置非独立外扩展的4阵列麦克风，可用于对教室环境音频进行采集，拾音距离≥12m。（</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、整机无需外接无线网卡，在Windows系统下可实现Wi-Fi无线上网连接、AP无线热点发射和BT蓝牙连接功能。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、Wi-Fi和AP热点工作距离≥12m。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、触控一体机支持NFC投屏功能：可搭配具有NFC功能的手机、平板，无需通过软件手机或平板可投屏至一体机，支持至少4台同步显示和连接。（</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7、整机支持蓝牙Bluetooth 5.2标准（</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、整机无需外接无线网卡，在Windows系统下接入无线网络，切换到嵌入式Android系统下可直接实现无线上网功能，不需手动重复设置。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、为提升传输速率和降低能耗，整机支持Wi-Fi6；Wi-Fi及AP热点支持频段2.4GHz/5GHz（</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、同一电源物理按键完成开机、节能熄屏、关机操作。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、整机具备前置按键，可实现老师开关机、调出中控菜单、音量+/-、护眼、录屏的操作。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、支持护眼模式，可通过前置面板物理功能按键一键启用护眼模式。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、支持录课模式，可通过前置面板物理功能按键一键启用录课模式（屏幕及人声需同步采集）。（</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、侧置输入接口具备2路HDMI、1路RS232；侧置输出接口具备1路音频、1路触控USB；前置输入接口3路USB接口（包含1路Type-C、2路USB）。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、整机具备前置Type-C接口，通过Type-C接口可实现与外部电脑的触摸信号及音视频输入。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、整机具备抗振动、防跌落特性，保证整机运输或使用过程中不易受损。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17</w:t>
            </w:r>
            <w:r>
              <w:rPr>
                <w:rFonts w:hint="eastAsia" w:ascii="宋体" w:hAnsi="宋体" w:eastAsia="宋体" w:cs="宋体"/>
                <w:i w:val="0"/>
                <w:iCs w:val="0"/>
                <w:color w:val="auto"/>
                <w:kern w:val="0"/>
                <w:sz w:val="20"/>
                <w:szCs w:val="20"/>
                <w:u w:val="none"/>
                <w:lang w:val="en-US" w:eastAsia="zh-CN" w:bidi="ar"/>
              </w:rPr>
              <w:t>、整机书写面板采用防眩光全钢化防爆玻璃面板，面板的碎片状态、抗冲击性、霰弹袋冲击性能、耐热冲击性能均通过国家强制玻璃标准，表面应力≥100Mpa,适应学校复杂环境，保障教学安全。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18</w:t>
            </w:r>
            <w:r>
              <w:rPr>
                <w:rFonts w:hint="eastAsia" w:ascii="宋体" w:hAnsi="宋体" w:eastAsia="宋体" w:cs="宋体"/>
                <w:i w:val="0"/>
                <w:iCs w:val="0"/>
                <w:color w:val="auto"/>
                <w:kern w:val="0"/>
                <w:sz w:val="20"/>
                <w:szCs w:val="20"/>
                <w:u w:val="none"/>
                <w:lang w:val="en-US" w:eastAsia="zh-CN" w:bidi="ar"/>
              </w:rPr>
              <w:t>、▲整机可做到高色准△E≤1.5，还原真实教学色彩。（</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19</w:t>
            </w:r>
            <w:r>
              <w:rPr>
                <w:rFonts w:hint="eastAsia" w:ascii="宋体" w:hAnsi="宋体" w:eastAsia="宋体" w:cs="宋体"/>
                <w:i w:val="0"/>
                <w:iCs w:val="0"/>
                <w:color w:val="auto"/>
                <w:kern w:val="0"/>
                <w:sz w:val="20"/>
                <w:szCs w:val="20"/>
                <w:u w:val="none"/>
                <w:lang w:val="en-US" w:eastAsia="zh-CN" w:bidi="ar"/>
              </w:rPr>
              <w:t>、整机支持透明度、色温调节及阅读模式的调节，为保证观看文字类教学资源有更好的视觉体验，提高观看舒适度，可通过切换纸质模型或其他方式实现显示内容的纹理实时调整，包括但不限于水纹纸、牛皮纸、宣纸、素描纸等多种纸类（</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、前置 USB 接口具备防撞挡板设计。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21</w:t>
            </w:r>
            <w:r>
              <w:rPr>
                <w:rFonts w:hint="eastAsia" w:ascii="宋体" w:hAnsi="宋体" w:eastAsia="宋体" w:cs="宋体"/>
                <w:i w:val="0"/>
                <w:iCs w:val="0"/>
                <w:color w:val="auto"/>
                <w:kern w:val="0"/>
                <w:sz w:val="20"/>
                <w:szCs w:val="20"/>
                <w:u w:val="none"/>
                <w:lang w:val="en-US" w:eastAsia="zh-CN" w:bidi="ar"/>
              </w:rPr>
              <w:t>、设备需提供自定义功能按键，可通过自定义按键实现通过前置面板按键一键启用多功能，包括但不限于护眼、录屏、批注、截屏、计时、降半屏、放大镜、倒数日、日历等功能，快速帮助教师实现功能切换。（</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22</w:t>
            </w:r>
            <w:r>
              <w:rPr>
                <w:rFonts w:hint="eastAsia" w:ascii="宋体" w:hAnsi="宋体" w:eastAsia="宋体" w:cs="宋体"/>
                <w:i w:val="0"/>
                <w:iCs w:val="0"/>
                <w:color w:val="auto"/>
                <w:kern w:val="0"/>
                <w:sz w:val="20"/>
                <w:szCs w:val="20"/>
                <w:u w:val="none"/>
                <w:lang w:val="en-US" w:eastAsia="zh-CN" w:bidi="ar"/>
              </w:rPr>
              <w:t>、整机内置摄像头（非外扩），PC通道下支持通过视频展台软件调用摄像头进行二维码扫码识别。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23</w:t>
            </w:r>
            <w:r>
              <w:rPr>
                <w:rFonts w:hint="eastAsia" w:ascii="宋体" w:hAnsi="宋体" w:eastAsia="宋体" w:cs="宋体"/>
                <w:i w:val="0"/>
                <w:iCs w:val="0"/>
                <w:color w:val="auto"/>
                <w:kern w:val="0"/>
                <w:sz w:val="20"/>
                <w:szCs w:val="20"/>
                <w:u w:val="none"/>
                <w:lang w:val="en-US" w:eastAsia="zh-CN" w:bidi="ar"/>
              </w:rPr>
              <w:t>、整机内置非独立摄像头，拍摄像素数≥1300万，摄像头视场角≥135度。（</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、整机内置非独立的高清摄像头，可用于远程巡课，并且可通过摄像头进行人数统计、随机抽选、环境色温判断等功能。（</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三、主要功能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1、部署单根网线可实现Android、Windows双系统有线网络连通。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2、整机可通过前置物理按键快捷进行系统还原，无需额外工具辅助。（</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3、支持降半屏功能，降半屏后依然可以正常触控操作Windows系统；可一键退出该模式。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5、整机内置专业硬件自检维护工具（非第三方工具），支持对触摸框和PC模块进行检测，并针对不同模块给出问题代码提示。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6、当整机处于黑暗环境中并无人操作，一分钟后整机将可以自动进入熄屏模式。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7、支持将自定义图片设置为开机画面。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8、整机具备供电保护模块，能够检测内置电脑是否插好在位，在内置电脑未在位的情况下，内置电脑无法上电工作。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9、支持云端在线系统固件升级。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10、支持标准、听力、观影三种音效模式调节。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11、支持标准、多媒体和节能三种图像模式调节。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12、整机内置触摸中控菜单，支持信号源通道切换、护眼、声音调节等功能，在任意显示通道下均可通过手势在屏幕上调取该触摸菜单。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整机在任意信号源通道下均可识别智能手势功能，包括但不限于五指上、下、左、右方向手势，五指画O、画~、左右晃动、缩/放方向等手势滑动并调用相应功能。支持将多种手势识别自定义设置为包括但不限于无操作、熄屏、批注、桌面、半屏、聚光灯、录屏等模式。（</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14、整机处于非内置PC通道下，支持调用屏幕快捷键一键回到PC通道。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四、触摸系统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1、采用红外触控技术，支持Windows系统中进行20点或以上触控，支持在Android系统中进行10点或以上触控。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2、从内部Android通道切换到内部PC通道后，触摸框在1s内达到可触控状态。从内部PC通道切换到外部通道后，触摸框在3s内达到可触控状态。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3、触摸屏在照度100K LUX（勒克斯）环境下仍能正常工作。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4、触摸分辨率32768×32768。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5、触摸响应时间≤4ms。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6、触摸最小识别物≤3mm。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7、Windows 7、Windows 8、Windows 10、Linux、Mac Os系统外置电脑操作系统接入时，无需安装触摸驱动。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8、整机屏幕触摸有效识别高度不超过3.5mm,，即触摸物体距离玻璃外表面高度不超过3.5mm时，触摸屏识别为点击操作。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9、触摸屏具有防遮挡功能，触摸接收器在单点或多点遮挡后仍能正常书写。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五、安卓系统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1、▲嵌入式系统版本≥Android 11，内存≥2GB，存储空间≥8GB。（</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2、无PC状态下，嵌入式Android操作系统下可实现windows系统中常用的教学应用功能，如白板书写、WPS软件使用和网页浏览。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3、在嵌入式Android操作系统下，能对TV多媒体USB所读取到的文件进行自动归类，可分类查找文档、板书、图片、音视频，检索后可直接在界面中打开。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4、嵌入式Android操作系统下，提供学科背景，如：五线谱、信纸、田字格、英文格、篮球和足球场地平面图。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触控一体机具备全通道侧边栏，可显示多项基本信息，包括但不限于实时显示工具、快捷设置、应用软件、亮度/音量调节、教室物联入口等，并可以随时调起切换智能息屏、阅读模式，支持快捷调节音量、亮度，方便教师应用不同教学场景。（</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、整机全通道侧边栏支持在任意通道、页面使用批注小工具进行批注讲解，可切换书写笔颜色、截屏保存批注内容并可自动保存、快速清屏，可根据手与屏幕的接触面积自动调整板擦工具的大小。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、整机全通道侧边栏提供包括但不限于秒表、计时、半屏、聚光灯、倒数日、日历、节拍器等小工具，方便教师随时调用使用。（</w:t>
            </w:r>
            <w:r>
              <w:rPr>
                <w:rFonts w:hint="eastAsia" w:ascii="宋体" w:hAnsi="宋体" w:cs="宋体"/>
                <w:i w:val="0"/>
                <w:iCs w:val="0"/>
                <w:color w:val="auto"/>
                <w:kern w:val="0"/>
                <w:sz w:val="20"/>
                <w:szCs w:val="20"/>
                <w:u w:val="none"/>
                <w:lang w:val="en-US" w:eastAsia="zh-CN" w:bidi="ar"/>
              </w:rPr>
              <w:t>提供CMA认证检测机构所出具的检测报告复印件</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整机任意通道（包括但不限于Windows、安卓、HDMI、type-c等）下侧边栏支持通过扫码入班，老师设置题型，学生回答后提交，教师查看正确率比例及详细讲解；支持随机抽选、实时弹幕；支持管理当前班级成员；支持导出学生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整机设备开机启动后，自动进入教学桌面，支持多种身份识别方式登录，包括但不限于账号登录、手机扫码登录，登录后自动获取教师个人空间的课件列表、并可进入校本资源库获取资源；登录后进入原厂软件无需再次输入账号密码重复登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、教学桌面支持教学常用的教学白板软件、文件管理软件、学生行为评价软件、随机抽选软件的快捷入口，方便教师快速授课。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11</w:t>
            </w:r>
            <w:r>
              <w:rPr>
                <w:rFonts w:hint="eastAsia" w:ascii="宋体" w:hAnsi="宋体" w:eastAsia="宋体" w:cs="宋体"/>
                <w:i w:val="0"/>
                <w:iCs w:val="0"/>
                <w:color w:val="auto"/>
                <w:kern w:val="0"/>
                <w:sz w:val="20"/>
                <w:szCs w:val="20"/>
                <w:u w:val="none"/>
                <w:lang w:val="en-US" w:eastAsia="zh-CN" w:bidi="ar"/>
              </w:rPr>
              <w:t>、整机设备教学桌面中的文件管理，支持同时显示本地磁盘、移动类存储设备、学校资源库、教师个人云空间的文件资源，方便教师快速调用资源。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六、内置OPS电脑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、主板搭载Intel第</w:t>
            </w:r>
            <w:r>
              <w:rPr>
                <w:rFonts w:hint="eastAsia" w:ascii="宋体" w:hAnsi="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代或以上酷睿系列 i5 CPU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2、内存：8GB DDR4笔记本内存或以上配置。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3、硬盘：256GB或以上SSD固态硬盘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4、机身采用热浸镀锌金属材质，采用智能风扇低噪音散热设计以预留足够散热空间，确保封闭空间内有效散热。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5、PC模块可抽拉式插入整机，可实现无单独接线的插拔。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6、和整机的连接接口针脚数≤80pin。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7、采用按压式卡扣，无需工具就可快速拆卸电脑模块。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8、具有独立非外扩展的视频输出接口：≥1路HDMI ；具有独立非外扩展的电脑USB接口：≥3路USB。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9、具有标准PC防盗锁孔。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10、PC模块支持不断电情况下热插拔，以便快速维护或替换模块。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11、PC模块的USB接口须为冗余备份接口，在正常使用整机的内置摄像头、内置麦克风功能时，USB接口不被占用，确保教师有足够的接口外接存储设备及显示设备。</w:t>
            </w:r>
          </w:p>
          <w:p>
            <w:pPr>
              <w:keepNext w:val="0"/>
              <w:keepLines w:val="0"/>
              <w:widowControl/>
              <w:numPr>
                <w:ilvl w:val="0"/>
                <w:numId w:val="5"/>
              </w:numPr>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七、其他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1、原厂保修三年，签订合同前提供原厂质保函。</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高清壁挂展台</w:t>
            </w:r>
          </w:p>
        </w:tc>
        <w:tc>
          <w:tcPr>
            <w:tcW w:w="6999"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硬件参数：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互动展台可挂墙和教室里移动使用，通过WIFI 5G无线连接电脑，</w:t>
            </w:r>
          </w:p>
          <w:p>
            <w:pPr>
              <w:keepNext w:val="0"/>
              <w:keepLines w:val="0"/>
              <w:widowControl/>
              <w:suppressLineNumbers w:val="0"/>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800万像素流畅不掉线；也可放入壁挂箱中使用和充电；放入壁挂箱后，互动展台通过底部的磁吸方式连接usb接口，智能切换成usb传输模式。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壁挂箱四周无锐角无利边设计，电源线插口和usb线插口均放在壁挂箱底部；互动展台主体采用铝合金材质，折叠后可以放置在壁挂箱内。16倍以上光学变焦,具有补光灯。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 ★展台像素：800 万像素，影像展示范围：A3幅面。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▲有线和无线快速切换，根据老师的教学场景，壁挂切换至移动桌面教学时，应用软件无须关闭，在同一界面中实现智能识别，自动切换出图像。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内置高容量聚合物锂电池，产品上可显示数字的百分比电池电量。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6.移动授课时，老师无需返回讲台，也能一键拍照和连续拍照。带图像放大、缩小的旋钮开关，老师在移动教学时，无需返回讲台，也能通过旋钮控制大屏软件的图像进行放大和缩小。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7.原厂三年保修，提供原厂质保函。</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教学音箱</w:t>
            </w:r>
          </w:p>
        </w:tc>
        <w:tc>
          <w:tcPr>
            <w:tcW w:w="6999"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numPr>
                <w:ilvl w:val="0"/>
                <w:numId w:val="6"/>
              </w:numPr>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主要功能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1、▲扬声器指向性：360度等声压均匀全指向覆盖。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2、▲室内声场不均匀度：室内各学生座位测量点的稳态声压级最大值与最小值差值范围为4dB之内。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3、▲扩声系统语言传输指数STIPA：调制传递函数MTF测量值为0.6-0.7。</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4、▲相邻教室声波干涉：相邻教室在1m等高线以上的空间，其NR≤50dB。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蓝牙功能：支持蓝牙无线接收，方便老师分享移动设备（手机/电脑）上的音频。蓝牙支持密码模式，防止学生连接。支持手机通过蓝牙无线连接音箱，实现控制有源音箱的音量、设置蓝牙密码等功能，方便教师对音箱的管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U段无线头戴式麦克风/无线手持麦集音频发射处理器、天线、电池、拾音麦克风于一体，配合一体化有源音箱，无需任何外接辅助设备即可实现本地扩声功能，传送、播放语音信息。麦克风音频采集单元距离讲话人嘴边距离保持在2cm，保证拾音效果。采用轻量化设计，长时间佩戴无疲劳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7、▲可通过手机上的微信小程序操控音响各种功能。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8、可通过音频输入端设备连接多种外部音源。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9、提供外观专利证书复印件。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二、电声部分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1、扬声器单元：4*4英寸25芯Y35性能磁体。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2、阻抗： 4*8Ω；灵敏度：89dB；失真度：＜0.1%。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3、谐振频率（Fo）：75Hz；频率响应：75Hz-17KHz(±3dB)。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三、电子部分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1、功率通道：4*60W（独立通道）。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2、DSP芯片：两进四出音频DSP处理。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3、输入通道：3.5/Bluetooth。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4、▲支持微信小程序调节设备音量，可单独调节四个喇叭音量。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四、音箱部分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1、箱体：高强度工程塑料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2、重量≥7.5kg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原厂保修三年，签订合同前提供原厂质保函。</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无线耳麦</w:t>
            </w:r>
          </w:p>
        </w:tc>
        <w:tc>
          <w:tcPr>
            <w:tcW w:w="6999"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numPr>
                <w:ilvl w:val="0"/>
                <w:numId w:val="7"/>
              </w:numPr>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技术特点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1、Sub 1GHz；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2、同一话筒可在任意教室使用,且互不干扰。真正做到一师一麦，干净卫生环保;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3、红外对频方式：开机自动搜索干净信道并自动配对，保证产品不串频、抗干扰性强以及传输的稳定性；通过红外对频，确保配对设备的唯一性，杜绝串频；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4、采用24kHz 采样率，保证人声音质质量，传输前后经过独有技术处理，确保接收到的信号保持高保真效果；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5、采用内置驻极体拾音器，设计独立拾音腔体，能有效抑制啸叫，提高拾音距离，腔体内置声学海绵垫，最大程度减少杂音；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6、支持音量调节：可调节麦克风音量的大小，并具有记忆功能；支持一键静音功能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7、支持内置麦克风和外置麦克风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8、支持PPT翻页和一键黑屏/恢复功能，可配合投影仪或者电脑展示讲解使用。PPT 翻页模块支持热插拔，无需装驱动软件,支持不开主机使用PPT 翻页功能；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9、支持3.5MM音频输入和麦克风输入；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10、全新噪声消除电路设计，可杜绝开关机冲击声；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11、OLED高清液晶显示，显示信号强度，电量（充电显示），工作频道，音量， PPT功能等，可定制logo品牌等显示内容；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12、内置可充式高性能3.7V聚合物锂电池。电池容量：750mA，带保护电路，安全可靠，MICRO USB接口充电,2小时充足电可持续续航时间≥8h；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13、智能低能耗设计，无信号输入时60分种内自动关机，节能环保；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14、笔形麦身设计，抓握舒适，符合人体工程学，按键分区设计，操作简洁。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二、技术指标：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（一）数字音频部分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1、采样精度：24Bit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2、采样率：24KHz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3、频率响应：50Hz-17KHz@±1.5dB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4、动态范围：85dB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5、失真：≤0.2%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6、信噪比：≥85dB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7、系统延时：≤10ms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8、满幅输入：≥169 mVrms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9、满幅输出：≥715 mVrms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10、输出/输入增益：14.6:1dB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（二）射频部分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1、频率范围：Sub1G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2、选频方式：自动选频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3、数据速率：≥2 Mbps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4、发射功率：＞10dBm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5、最大工作距离：室内≤30M。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多媒体集成</w:t>
            </w:r>
          </w:p>
        </w:tc>
        <w:tc>
          <w:tcPr>
            <w:tcW w:w="6999"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要求全部设备打包配送到校，按用户统一要求的规范进行安装及调试，阻燃PVC槽板各种插件、各种安装中所需要的所有线缆等按省标准所需的安装施工过程中所需的一切材料。（投标时需投标人根据施工方案需明确各类辅材品牌、型号、规格，电线、六类网线≥1条、HDMI线≥1条、音频线≥1条、品牌电源插座、正泰漏电保护器、配电盒等要求，中标后提供相关的原厂3C证书），弱电类线材用品牌成品线。以上技术参数应符合2020年修订的浙江省教育技术装备标准和农远工程中小学校多媒体教室建设规范中第3.5条的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移动直播盒</w:t>
            </w:r>
          </w:p>
        </w:tc>
        <w:tc>
          <w:tcPr>
            <w:tcW w:w="6999"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一、硬件配置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不低于高通八核处理器。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运行内存≥4G RAM，存储容量≥ 64G ROM。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屏幕尺寸≥8寸，分辨率≥1920x1200，电容触摸。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内置Android 9.0或以上。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视频输入：2路HDMI 4KP30输入，2路USB输入。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视频输出：1路HDMI PGM输出。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音频接口：1个3.5mm线路输入、1个3.5mm MIC输入、1个3.5mm监听输出。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USB接口：2个USB3.0（可扩展接入USB3.0采集卡、USB 4G dongle等）。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网络：内置1个4G全网通卡槽；内置1路wifi，支持2.4G+5.8G，内置一路有线网络千兆RJ45接口。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二、软件功能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▲1.支持第三方应用APP安装，如阿里钉钉、腾讯会议、抖音、快手等，无缝对接有终端APP的直播互动应用。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▲2.可进行</w:t>
            </w:r>
            <w:r>
              <w:rPr>
                <w:rFonts w:hint="eastAsia" w:ascii="东文宋体" w:hAnsi="东文宋体" w:eastAsia="东文宋体" w:cs="东文宋体"/>
                <w:b/>
                <w:bCs/>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6路画面导播制作，物理接口包括2路HDMI（最高支持4KP30）和最大2路USB3.0 UVC视频源采集，以及众多主流格式流信号加载以及LIVE+手机连线接入，通过多样的切换样式，完成专业的多机位节目制作。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3.视频接入支持标清PAL/NTSC、720P50/59.94/60、1080I50/59.94/60、1080P25/30/50/59.94/60、4KP25/30。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4.流媒体支持RTMP/RTSP/UDP TS/HTTP M3U8/HTTP TS/HTTP FLV/SRT等主流协议。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5.视频解码支持H.264/H.265硬解码，音频解码支持AAC/MP3。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6.录制文件格式支持MP4格式，视频编码支持H.264/H.265方式，视频帧率支持1~60FPS可调/50KBPS~60MBPS可调，音频编码支持AAC/8~320KBPS可调/48KHZ。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7.直播支持横屏（16:9）或竖屏(9:16)模式，最高支持4KP30。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8.内置调音台、切换转场特效、画中画、图片快传、在线OTC更新。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9.支持虚拟抠像功能，可自定义背景颜色选择进行一键抠像，可进行相似度、平滑度、饱和度等亮度调节，可更换抠像后的背景，背景可以是图片、视频等。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10.支持安卓、苹果、鸿蒙系统移动终端扫码或输入6位数字通过互联网接入本导播系统，延时时间低于1秒，移动终端APP支持美颜、Tally灯显示、画中画互动、自定义设备名称、码流、显示实时的直播推流状态。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11.支持同屏输入，无需逐个字幕输入，手机微信扫描二维码即可将直播推流地址填写到推流设置中，方便操作。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12.支持简体中文、繁体中文、English及跟随系统多语言应用，方便多语种用户快捷使用。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13.支持导播机之间无缝对接，可进行互联网视音频传输，延时时间小于1秒，支持视音频互动、Tally显示功能、画中画互动、自定义设备名称、码流、显示实时的直播推流状态。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三、其他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1.原厂商通过ISO9001、ISO14001、ISO 45001认证，提供证明材料扫描。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2.原厂商通过ISO20000信息技术服务管理体系认证，提供证明材料扫描。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3.通过ISO27001信息安全管理体系认证，提供证明材料。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4.▲提供智慧教育信息发布综合管理系统软著扫描件。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四</w:t>
            </w:r>
            <w:r>
              <w:rPr>
                <w:rFonts w:hint="eastAsia" w:ascii="宋体" w:hAnsi="宋体" w:eastAsia="宋体" w:cs="宋体"/>
                <w:i w:val="0"/>
                <w:iCs w:val="0"/>
                <w:color w:val="auto"/>
                <w:kern w:val="0"/>
                <w:sz w:val="20"/>
                <w:szCs w:val="20"/>
                <w:u w:val="none"/>
                <w:lang w:val="en-US" w:eastAsia="zh-CN" w:bidi="ar"/>
              </w:rPr>
              <w:t>、配件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1.摄像头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感光元件：CMOS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动态分辨率：≥1920×1080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最大帧频：≥30FPS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接口类型：≥USB2.0（支持USB3.0）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系统支持：Windows 8，Windows 7，Windows Vista，Windows XP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性能参数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数码变焦倍数：≥4倍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对焦方式：自动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曝光控制：自动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白平衡：自动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麦克风：内置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产品尺寸：≥94×43.3×71mm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产品重量：≥162g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2.三角架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管径：14~26mm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升高：≥150cm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最低高度：12~15cm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收合高度：≤45cm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载重：≥5kg</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集中控制系统</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整体设计：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管理平台采用B/S混合云架构设计，无需本地额外部署服务器等设备即可实现对教学信息化设备运行数据的监测。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平台支持对全校智慧教室的教学信息化设备进行集中运维管理和策略部署，支持与交互智能教学设备、学生智能终端、常态化录播等教学设备的底层系统无缝对接。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智能教学设备管理：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管理平台实时监控已连接的交互智能设备状态，支持不少于10台设备的略缩预览以及单设备全屏查看；可远程监控交互智能设备开关机状态、CPU温度、CPU使用率、硬盘空间、硬盘使用状况、内存容量、内存使用率、受控端系统版本、设备ID等设备数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管理平台可对广域网内的交互智能终端进行远程实时控制，能够监控设备当前运行界面，并远程对设备操作界面进行控制。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管理平台可控制连接广域网的交互智能设备整机关机、开机和重启；可批量设定智能设备开关机的执行时间，并支持自定义日循环执行，预约定时执行。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管理平台可远程对选定的交互智能设备推送动态文字滚动公告，可对公告文字的颜色、粗体以及播放次数、推送时间进行设置。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管理平台可远程开启指定交互智能设备倒计日功能并设定倒计日截止日期，便于重大教学安排的提醒提示。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管理平台支持批量对交互智能设备进行软件远程部署，配套专用教学软件批量部署支持静默安装。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管理平台提供巡课值守模式，自动轮循显示处于运行状态的交互智能设备使用界面。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管理平台实时显示交互智能设备异常的告警提示，并同步将异常信息推送至管理员移动端工作平台。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安全应用防护数据分析：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 管理平台可远程对运行状态下的交互智能设备批量进行本地系统启动盘的冻结、解冻（冰点保护）。被冻结后本地系统启动盘的数据及系统更改等均会自动恢复至冻结前状态。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 管理平台可实时监控开启冰点保护设备数量、安装冰点保护设备数量、磁盘冰冻状态等，并提示冰点风险，方便用户管理一体机系统环境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管理平台可开启或关闭指定交互智能设备的任意磁盘分区数据还原（冰点）保护。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 管理平台显示设备使用情况数据报表，包括实时在线设备数、今日活跃人数、使用学科数、异常条数、设备使用时段、设备使用时长分布、软件使用次数、用户活跃数、不同学科使用频次占比等，方便管理员检查设备使用情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 管理操作日志实时反馈远程控制及信息发布等指令状态，便于检验操作结果。操作日志支持按照指令类型筛选查看。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 管理平台支持多层级权限管理，可将多类型的设备管理权限分配给多个管理员，由多个管理员共同管理；顶级管理员可添加普通管理员并修改普通管理员的权限。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移动管理平台：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 提供免安装且兼容Android、IOS等主流移动终端的移动管理平台，无需反复登录移动浏览器，可实时查看开机设备数、锁屏设备数、关机设备数等信息化运行数据。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移动管理平台可对已连接的交互智能设备进行实时关机、开机和重启操作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 移动管理平台可实时监控已连接的交互智能设备，远程查看设备的开关机状态、CPU温度、CPU使用率、开机时间等设备详情。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 移动管理平台可查看已连接设备运行异常数据，异常类型包含温度过高、CPU占用率过高、待机时间过长等，支持按年级筛选查看设备异常数据并对异常设备进行管控。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 交互智能设备发生异常时，移动管理平台自动发送异常信息提醒管理员。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 远程控制相关操作均可获得实时反馈，方便用户及时获取操作情况。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智能教学设备端：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 管理平台为学校提供专属识别代码，广域网环境下的交互智能设备输入专属代码接入管理平台即可在通过管理平台对设备进行远程管理。支持按照年级、班级自定义交互智能设备名称，方便管理员对应管理。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 交互智能设备支持磁盘级系统还原保护，可根据教学需要自由选择磁盘分区冻结、解冻还原保护。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 可在交互智能设备查看设备基本信息，如：系统、CPU、内存、硬盘、MCU、TV、触摸框等信息，方便老师管理设备。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 提供教学专用广告屏蔽工具。支持高强度屏蔽拦截，对全部软件应用弹窗进行无差别拦截；支持自定义应用广告弹窗过滤屏蔽，可屏蔽拦截指定应用的弹窗,保障互联网教育信息安全及内容安全。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26.要求接入学校现有</w:t>
            </w:r>
            <w:r>
              <w:rPr>
                <w:rFonts w:hint="eastAsia" w:ascii="宋体" w:hAnsi="宋体" w:cs="宋体"/>
                <w:i w:val="0"/>
                <w:iCs w:val="0"/>
                <w:color w:val="auto"/>
                <w:kern w:val="0"/>
                <w:sz w:val="20"/>
                <w:szCs w:val="20"/>
                <w:u w:val="none"/>
                <w:lang w:val="en-US" w:eastAsia="zh-CN" w:bidi="ar"/>
              </w:rPr>
              <w:t>智慧</w:t>
            </w:r>
            <w:r>
              <w:rPr>
                <w:rFonts w:hint="eastAsia" w:ascii="宋体" w:hAnsi="宋体" w:eastAsia="宋体" w:cs="宋体"/>
                <w:i w:val="0"/>
                <w:iCs w:val="0"/>
                <w:color w:val="auto"/>
                <w:kern w:val="0"/>
                <w:sz w:val="20"/>
                <w:szCs w:val="20"/>
                <w:u w:val="none"/>
                <w:lang w:val="en-US" w:eastAsia="zh-CN" w:bidi="ar"/>
              </w:rPr>
              <w:t>黑板实现以上全部功能。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▲提供集中控制系统软件著作权证书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★软件具备信息安全等级保护二级认证,提供证明文件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要求智慧黑板、集中控制系统同一品牌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签订合同前提供原厂质保函。</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r>
    </w:tbl>
    <w:p>
      <w:pPr>
        <w:jc w:val="both"/>
        <w:rPr>
          <w:color w:val="auto"/>
          <w:u w:val="none"/>
        </w:rPr>
      </w:pPr>
    </w:p>
    <w:p>
      <w:pPr>
        <w:keepNext w:val="0"/>
        <w:keepLines w:val="0"/>
        <w:widowControl/>
        <w:suppressLineNumbers w:val="0"/>
        <w:jc w:val="both"/>
        <w:rPr>
          <w:color w:val="auto"/>
          <w:u w:val="none"/>
        </w:rPr>
      </w:pPr>
      <w:r>
        <w:rPr>
          <w:rFonts w:hint="eastAsia" w:ascii="宋体" w:hAnsi="宋体" w:eastAsia="宋体" w:cs="宋体"/>
          <w:b/>
          <w:bCs/>
          <w:i w:val="0"/>
          <w:iCs w:val="0"/>
          <w:color w:val="auto"/>
          <w:kern w:val="0"/>
          <w:sz w:val="28"/>
          <w:szCs w:val="28"/>
          <w:u w:val="none"/>
          <w:lang w:val="en-US" w:eastAsia="zh-CN" w:bidi="ar"/>
        </w:rPr>
        <w:t>2、移动多媒体系统</w:t>
      </w:r>
    </w:p>
    <w:tbl>
      <w:tblPr>
        <w:tblStyle w:val="32"/>
        <w:tblW w:w="9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626"/>
        <w:gridCol w:w="6788"/>
        <w:gridCol w:w="571"/>
        <w:gridCol w:w="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序号</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设备名称</w:t>
            </w:r>
          </w:p>
        </w:tc>
        <w:tc>
          <w:tcPr>
            <w:tcW w:w="67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招标技术参数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数量</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移动一体机</w:t>
            </w:r>
          </w:p>
        </w:tc>
        <w:tc>
          <w:tcPr>
            <w:tcW w:w="6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3"/>
              </w:numPr>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一、整体设计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1、整机采用一体化设计，外部无任何可见内部功能模块连接线。整机采用全金属外壳设计，边角采用弧形设计，表面无尖锐边缘或凸起。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2、整机屏幕边缘采用金属圆角包边防护，整机背板采用金属材质，有效屏蔽内部电路器件辐射；防潮耐盐雾蚀锈，适应多种教学环境。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3、整机屏幕采用86英寸液晶显示器。（提供国家认可的具备CMA认证的检测机构所出具的权威检测报告复印件）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4、整机采用UHD超高清LED液晶屏，显示比例16:9，分辨率3840*2160。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5、灰度等级≥256级。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6、触控一体机表面使用钢化玻璃，表面硬度达到9H，接近钻石硬度，有效保护教师及学生授课安全。（提供国家认可的具备CMA认证的检测机构所出具的权威检测报告复印件）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7、玻璃表面采用纳米材料镀膜环保工艺，书写更加顺滑，防眩光效果更加优异，专利文件证书证明。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8、整机采用硬件低蓝光背光技术，还原真实教学色彩的同时有效降低蓝光同时保护教师、学生视力。（提供国家认可的具备CMA认证的检测机构所出具的权威检测报告复印件）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二、整机设计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1、整机内置音箱顶置朝前发声，2.2声道扬声器，额定总功率60W。（提供国家认可的具备CMA认证的检测机构所出具的权威检测报告复印件）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2、整机支持高级音效设置、左右声道平衡、可根据实际需要设置不同频段调节功能，以满足不同课程授课声音还原需求。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3、整机内置非独立外扩展的4阵列麦克风，可用于对教室环境音频进行采集，拾音距离≥12m。（提供国家认可的具备CMA认证的检测机构所出具的权威检测报告复印件）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、整机无需外接无线网卡，在Windows系统下可实现Wi-Fi无线上网连接、AP无线热点发射和BT蓝牙连接功能。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、Wi-Fi和AP热点工作距离≥12m。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触控一体机支持NFC投屏功能：可搭配具有NFC功能的手机、平板，无需通过软件手机或平板可投屏至一体机，支持至少4台同步显示和连接。（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7、▲整机支持蓝牙Bluetooth 5.2标准（提供国家认可的具备CMA认证的检测机构所出具的权威检测报告复印件）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、整机无需外接无线网卡，在Windows系统下接入无线网络，切换到嵌入式Android系统下可直接实现无线上网功能，不需手动重复设置。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、▲为提升传输速率和降低能耗，整机支持Wi-Fi6；Wi-Fi及AP热点支持频段2.4GHz/5GHz（提供国家认可的具备CMA认证的检测机构所出具的权威检测报告复印件）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、同一电源物理按键完成开机、节能熄屏、关机操作。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、整机具备前置按键，可实现老师开关机、调出中控菜单、音量+/-、护眼、录屏的操作。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、支持护眼模式，可通过前置面板物理功能按键一键启用护眼模式。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、支持录课模式，可通过前置面板物理功能按键一键启用录课模式（屏幕及人声需同步采集）。（提供国家认可的具备CMA认证的检测机构所出具的权威检测报告复印件）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、侧置输入接口具备2路HDMI、1路RS232；侧置输出接口具备1路音频、1路触控USB；前置输入接口3路USB接口（包含1路Type-C、2路USB）。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、整机具备前置Type-C接口，通过Type-C接口可实现与外部电脑的触摸信号及音视频输入。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、整机具备抗振动、防跌落特性，保证整机运输或使用过程中不易受损。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17</w:t>
            </w:r>
            <w:r>
              <w:rPr>
                <w:rFonts w:hint="eastAsia" w:ascii="宋体" w:hAnsi="宋体" w:eastAsia="宋体" w:cs="宋体"/>
                <w:i w:val="0"/>
                <w:iCs w:val="0"/>
                <w:color w:val="auto"/>
                <w:kern w:val="0"/>
                <w:sz w:val="20"/>
                <w:szCs w:val="20"/>
                <w:u w:val="none"/>
                <w:lang w:val="en-US" w:eastAsia="zh-CN" w:bidi="ar"/>
              </w:rPr>
              <w:t>、整机书写面板采用防眩光全钢化防爆玻璃面板，面板的碎片状态、抗冲击性、霰弹袋冲击性能、耐热冲击性能均通过国家强制玻璃标准，表面应力≥100Mpa,适应学校复杂环境，保障教学安全。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18</w:t>
            </w:r>
            <w:r>
              <w:rPr>
                <w:rFonts w:hint="eastAsia" w:ascii="宋体" w:hAnsi="宋体" w:eastAsia="宋体" w:cs="宋体"/>
                <w:i w:val="0"/>
                <w:iCs w:val="0"/>
                <w:color w:val="auto"/>
                <w:kern w:val="0"/>
                <w:sz w:val="20"/>
                <w:szCs w:val="20"/>
                <w:u w:val="none"/>
                <w:lang w:val="en-US" w:eastAsia="zh-CN" w:bidi="ar"/>
              </w:rPr>
              <w:t>、▲整机可做到高色准△E≤1.5，还原真实教学色彩。（提供国家认可的具备CMA认证的检测机构所出具的权威检测报告复印件）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19</w:t>
            </w:r>
            <w:r>
              <w:rPr>
                <w:rFonts w:hint="eastAsia" w:ascii="宋体" w:hAnsi="宋体" w:eastAsia="宋体" w:cs="宋体"/>
                <w:i w:val="0"/>
                <w:iCs w:val="0"/>
                <w:color w:val="auto"/>
                <w:kern w:val="0"/>
                <w:sz w:val="20"/>
                <w:szCs w:val="20"/>
                <w:u w:val="none"/>
                <w:lang w:val="en-US" w:eastAsia="zh-CN" w:bidi="ar"/>
              </w:rPr>
              <w:t>、▲整机支持透明度、色温调节及阅读模式的调节，为保证观看文字类教学资源有更好的视觉体验，提高观看舒适度，可通过切换纸质模型或其他方式实现显示内容的纹理实时调整，包括但不限于水纹纸、牛皮纸、宣纸、素描纸等多种纸类（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、前置 USB 接口具备防撞挡板设计。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21</w:t>
            </w:r>
            <w:r>
              <w:rPr>
                <w:rFonts w:hint="eastAsia" w:ascii="宋体" w:hAnsi="宋体" w:eastAsia="宋体" w:cs="宋体"/>
                <w:i w:val="0"/>
                <w:iCs w:val="0"/>
                <w:color w:val="auto"/>
                <w:kern w:val="0"/>
                <w:sz w:val="20"/>
                <w:szCs w:val="20"/>
                <w:u w:val="none"/>
                <w:lang w:val="en-US" w:eastAsia="zh-CN" w:bidi="ar"/>
              </w:rPr>
              <w:t>、设备需提供自定义功能按键，可通过自定义按键实现通过前置面板按键一键启用多功能，包括但不限于护眼、录屏、批注、截屏、计时、降半屏、放大镜、倒数日、日历等功能，快速帮助教师实现功能切换。（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22</w:t>
            </w:r>
            <w:r>
              <w:rPr>
                <w:rFonts w:hint="eastAsia" w:ascii="宋体" w:hAnsi="宋体" w:eastAsia="宋体" w:cs="宋体"/>
                <w:i w:val="0"/>
                <w:iCs w:val="0"/>
                <w:color w:val="auto"/>
                <w:kern w:val="0"/>
                <w:sz w:val="20"/>
                <w:szCs w:val="20"/>
                <w:u w:val="none"/>
                <w:lang w:val="en-US" w:eastAsia="zh-CN" w:bidi="ar"/>
              </w:rPr>
              <w:t>、整机内置摄像头（非外扩），PC通道下支持通过视频展台软件调用摄像头进行二维码扫码识别。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23</w:t>
            </w:r>
            <w:r>
              <w:rPr>
                <w:rFonts w:hint="eastAsia" w:ascii="宋体" w:hAnsi="宋体" w:eastAsia="宋体" w:cs="宋体"/>
                <w:i w:val="0"/>
                <w:iCs w:val="0"/>
                <w:color w:val="auto"/>
                <w:kern w:val="0"/>
                <w:sz w:val="20"/>
                <w:szCs w:val="20"/>
                <w:u w:val="none"/>
                <w:lang w:val="en-US" w:eastAsia="zh-CN" w:bidi="ar"/>
              </w:rPr>
              <w:t>、整机内置非独立摄像头，拍摄像素数≥1300万，摄像头视场角≥135度。（提供国家认可的具备CMA认证的检测机构所出具的权威检测报告复印件）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、整机内置非独立的高清摄像头，可用于远程巡课，并且可通过摄像头进行人数统计、随机抽选、环境色温判断等功能。（提供国家认可的具备CMA认证的检测机构所出具的权威检测报告复印件）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三、主要功能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1、部署单根网线可实现Android、Windows双系统有线网络连通。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2、整机可通过前置物理按键快捷进行系统还原，无需额外工具辅助。（提供国家认可的具备CMA认证的检测机构所出具的权威检测报告复印件）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3、支持降半屏功能，降半屏后依然可以正常触控操作Windows系统；可一键退出该模式。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5、整机内置专业硬件自检维护工具（非第三方工具），支持对触摸框和PC模块进行检测，并针对不同模块给出问题代码提示。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6、当整机处于黑暗环境中并无人操作，一分钟后整机将可以自动进入熄屏模式。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7、支持将自定义图片设置为开机画面。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8、整机具备供电保护模块，能够检测内置电脑是否插好在位，在内置电脑未在位的情况下，内置电脑无法上电工作。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9、支持云端在线系统固件升级。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10、支持标准、听力、观影三种音效模式调节。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11、支持标准、多媒体和节能三种图像模式调节。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12、整机内置触摸中控菜单，支持信号源通道切换、护眼、声音调节等功能，在任意显示通道下均可通过手势在屏幕上调取该触摸菜单。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整机在任意信号源通道下均可识别智能手势功能，包括但不限于五指上、下、左、右方向手势，五指画O、画~、左右晃动、缩/放方向等手势滑动并调用相应功能。支持将多种手势识别自定义设置为包括但不限于无操作、熄屏、批注、桌面、半屏、聚光灯、录屏等模式。（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14、整机处于非内置PC通道下，支持调用屏幕快捷键一键回到PC通道。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四、触摸系统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1、采用红外触控技术，支持Windows系统中进行20点或以上触控，支持在Android系统中进行10点或以上触控。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2、从内部Android通道切换到内部PC通道后，触摸框在1s内达到可触控状态。从内部PC通道切换到外部通道后，触摸框在3s内达到可触控状态。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3、触摸屏在照度100K LUX（勒克斯）环境下仍能正常工作。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4、触摸分辨率32768×32768。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5、触摸响应时间≤4ms。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6、触摸最小识别物≤3mm。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7、Windows 7、Windows 8、Windows 10、Linux、Mac Os系统外置电脑操作系统接入时，无需安装触摸驱动。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8、整机屏幕触摸有效识别高度不超过3.5mm,，即触摸物体距离玻璃外表面高度不超过3.5mm时，触摸屏识别为点击操作。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9、触摸屏具有防遮挡功能，触摸接收器在单点或多点遮挡后仍能正常书写。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五、安卓系统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1、▲嵌入式系统版本≥Android 11，内存≥2GB，存储空间≥8GB。（提供国家认可的具备CMA认证的检测机构所出具的权威检测报告复印件）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2、无PC状态下，嵌入式Android操作系统下可实现windows系统中常用的教学应用功能，如白板书写、WPS软件使用和网页浏览。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3、在嵌入式Android操作系统下，能对TV多媒体USB所读取到的文件进行自动归类，可分类查找文档、板书、图片、音视频，检索后可直接在界面中打开。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4、嵌入式Android操作系统下，提供学科背景，如：五线谱、信纸、田字格、英文格、篮球和足球场地平面图。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触控一体机具备全通道侧边栏，可显示多项基本信息，包括但不限于实时显示工具、快捷设置、应用软件、亮度/音量调节、教室物联入口等，并可以随时调起切换智能息屏、阅读模式，支持快捷调节音量、亮度，方便教师应用不同教学场景。（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、整机全通道侧边栏支持在任意通道、页面使用批注小工具进行批注讲解，可切换书写笔颜色、截屏保存批注内容并可自动保存、快速清屏，可根据手与屏幕的接触面积自动调整板擦工具的大小。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、整机全通道侧边栏提供包括但不限于秒表、计时、半屏、聚光灯、倒数日、日历、节拍器等小工具，方便教师随时调用使用。（提供国家认可的具备CMA认证的检测机构所出具的权威检测报告复印件）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整机任意通道（包括但不限于Windows、安卓、HDMI、type-c等）下侧边栏支持通过扫码入班，老师设置题型，学生回答后提交，教师查看正确率比例及详细讲解；支持随机抽选、实时弹幕；支持管理当前班级成员；支持导出学生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整机设备开机启动后，自动进入教学桌面，支持多种身份识别方式登录，包括但不限于账号登录、手机扫码登录，登录后自动获取教师个人空间的课件列表、并可进入校本资源库获取资源；登录后进入原厂软件无需再次输入账号密码重复登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、教学桌面支持教学常用的教学白板软件、文件管理软件、学生行为评价软件、随机抽选软件的快捷入口，方便教师快速授课。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11</w:t>
            </w:r>
            <w:r>
              <w:rPr>
                <w:rFonts w:hint="eastAsia" w:ascii="宋体" w:hAnsi="宋体" w:eastAsia="宋体" w:cs="宋体"/>
                <w:i w:val="0"/>
                <w:iCs w:val="0"/>
                <w:color w:val="auto"/>
                <w:kern w:val="0"/>
                <w:sz w:val="20"/>
                <w:szCs w:val="20"/>
                <w:u w:val="none"/>
                <w:lang w:val="en-US" w:eastAsia="zh-CN" w:bidi="ar"/>
              </w:rPr>
              <w:t>、整机设备教学桌面中的文件管理，支持同时显示本地磁盘、移动类存储设备、学校资源库、教师个人云空间的文件资源，方便教师快速调用资源。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六、内置OPS电脑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、主板搭载Intel第</w:t>
            </w:r>
            <w:r>
              <w:rPr>
                <w:rFonts w:hint="eastAsia" w:ascii="宋体" w:hAnsi="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代或以上酷睿系列 i5 CPU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2、内存：8GB DDR4笔记本内存或以上配置。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3、硬盘：256GB或以上SSD固态硬盘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4、机身采用热浸镀锌金属材质，采用智能风扇低噪音散热设计以预留足够散热空间，确保封闭空间内有效散热。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5、PC模块可抽拉式插入整机，可实现无单独接线的插拔。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6、和整机的连接接口针脚数≤80pin。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7、采用按压式卡扣，无需工具就可快速拆卸电脑模块。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8、具有独立非外扩展的视频输出接口：≥1路HDMI ；具有独立非外扩展的电脑USB接口：≥3路USB。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9、具有标准PC防盗锁孔。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10、PC模块支持不断电情况下热插拔，以便快速维护或替换模块。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11、PC模块的USB接口须为冗余备份接口，在正常使用整机的内置摄像头、内置麦克风功能时，USB接口不被占用，确保教师有足够的接口外接存储设备及显示设备。</w:t>
            </w:r>
          </w:p>
          <w:p>
            <w:pP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七、其他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1、配置原厂移动支架。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2、原厂保修三年，签订合同前提供原厂质保函。</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有源音箱</w:t>
            </w:r>
          </w:p>
        </w:tc>
        <w:tc>
          <w:tcPr>
            <w:tcW w:w="6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音箱系统 两路四阶倒相式音箱系统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产品系列 DSP有源立体声音响系列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有源无源 有源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调节方式 旋钮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音源输入 蓝牙，光纤，同轴，平衡输入，线路输入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蓝牙版本 5.0+EDR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输出功率 高音功率：30W×2 RMS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低音功率：120W×2 RMS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频率响应 38Hz-20KHz，±3dB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高低音调节 低音调节:±3dB ，高音调节:±3dB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单元类型 专业6.5英寸低音，等磁场带式高音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信噪比 ＞102dB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分离度 &gt;87dB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其它特点 DSP有源电子分频点：3.0kHz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供电方式 电源：220V/50Hz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配套提供壁挂支架。</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无线头戴式</w:t>
            </w:r>
          </w:p>
          <w:p>
            <w:pPr>
              <w:keepNext w:val="0"/>
              <w:keepLines w:val="0"/>
              <w:widowControl/>
              <w:suppressLineNumbers w:val="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话筒套装</w:t>
            </w:r>
          </w:p>
        </w:tc>
        <w:tc>
          <w:tcPr>
            <w:tcW w:w="6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接受机技术参数：通道组数单通道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频率稳定性  ± 0.005% ，PLL 鎖相回路頻率控制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载波频段  UHF 470 – 960MHz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预设数位音频等化器  可模拟各种音头的音质特性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调制方式：FM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工作有效距离： 一般80米（空阔地方）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振荡方式： PLL相位锁定频率合成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 ：&gt;90dB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输入1K(MOD) 25mV时,S/N&gt;50dB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频带宽度  50MHz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最大偏移度±50KHz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综合S/N比 ＞108dB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综合T.H.D.＜0.4 % @ 1KHz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输出插座 6.35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合频率响应  55Hz～16KHz ± 3dB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供电100-240V AC50/60 Hz, 10W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持咪参数：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载波频段 UHF 470 – 960MHz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振荡方式 PLL相位锁定频率合成；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谐波辐射 ＜-63dBm；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频带宽度 50MHz；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大偏移度 ±75KHz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音头；动圈式, 心型指向性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电容式，心型指向性；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RF 功率输出  10mW；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电池  AA X 2；</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r>
    </w:tbl>
    <w:p>
      <w:pPr>
        <w:rPr>
          <w:rFonts w:ascii="仿宋" w:hAnsi="仿宋" w:eastAsia="仿宋"/>
          <w:b/>
          <w:color w:val="auto"/>
          <w:spacing w:val="40"/>
          <w:kern w:val="0"/>
          <w:sz w:val="28"/>
          <w:szCs w:val="28"/>
        </w:rPr>
      </w:pPr>
      <w:r>
        <w:rPr>
          <w:rFonts w:hint="eastAsia" w:ascii="仿宋" w:hAnsi="仿宋" w:eastAsia="仿宋"/>
          <w:b/>
          <w:color w:val="auto"/>
          <w:sz w:val="28"/>
          <w:szCs w:val="28"/>
          <w:lang w:eastAsia="zh-CN"/>
        </w:rPr>
        <w:t>二</w:t>
      </w:r>
      <w:r>
        <w:rPr>
          <w:rFonts w:hint="eastAsia" w:ascii="仿宋" w:hAnsi="仿宋" w:eastAsia="仿宋"/>
          <w:b/>
          <w:color w:val="auto"/>
          <w:sz w:val="28"/>
          <w:szCs w:val="28"/>
        </w:rPr>
        <w:t>、商务条款</w:t>
      </w:r>
    </w:p>
    <w:tbl>
      <w:tblPr>
        <w:tblStyle w:val="32"/>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仿宋" w:hAnsi="仿宋" w:eastAsia="仿宋"/>
                <w:b/>
                <w:color w:val="auto"/>
                <w:sz w:val="28"/>
                <w:szCs w:val="28"/>
              </w:rPr>
            </w:pPr>
            <w:r>
              <w:rPr>
                <w:rFonts w:hint="eastAsia" w:ascii="仿宋" w:hAnsi="仿宋" w:eastAsia="仿宋"/>
                <w:b/>
                <w:color w:val="auto"/>
                <w:sz w:val="28"/>
                <w:szCs w:val="28"/>
                <w:lang w:eastAsia="zh-CN"/>
              </w:rPr>
              <w:t>质保</w:t>
            </w:r>
            <w:r>
              <w:rPr>
                <w:rFonts w:hint="eastAsia" w:ascii="仿宋" w:hAnsi="仿宋" w:eastAsia="仿宋"/>
                <w:b/>
                <w:color w:val="auto"/>
                <w:sz w:val="28"/>
                <w:szCs w:val="28"/>
              </w:rPr>
              <w:t>期</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_GB2312"/>
                <w:b/>
                <w:color w:val="auto"/>
                <w:sz w:val="28"/>
                <w:szCs w:val="28"/>
                <w:lang w:eastAsia="zh-CN"/>
              </w:rPr>
            </w:pPr>
            <w:r>
              <w:rPr>
                <w:rFonts w:hint="eastAsia" w:ascii="仿宋" w:hAnsi="仿宋" w:eastAsia="仿宋"/>
                <w:b/>
                <w:color w:val="auto"/>
                <w:sz w:val="28"/>
                <w:szCs w:val="28"/>
                <w:lang w:eastAsia="zh-CN"/>
              </w:rPr>
              <w:t>三年保修三年上门服务。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仿宋" w:hAnsi="仿宋" w:eastAsia="仿宋"/>
                <w:b/>
                <w:color w:val="auto"/>
                <w:sz w:val="28"/>
                <w:szCs w:val="28"/>
              </w:rPr>
            </w:pPr>
            <w:r>
              <w:rPr>
                <w:rFonts w:hint="eastAsia" w:ascii="仿宋" w:hAnsi="仿宋" w:eastAsia="仿宋"/>
                <w:b/>
                <w:color w:val="auto"/>
                <w:sz w:val="28"/>
                <w:szCs w:val="28"/>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_GB2312" w:hAnsi="仿宋" w:eastAsia="仿宋_GB2312"/>
                <w:b/>
                <w:color w:val="auto"/>
                <w:sz w:val="28"/>
                <w:szCs w:val="28"/>
                <w:lang w:eastAsia="zh-CN"/>
              </w:rPr>
            </w:pPr>
            <w:r>
              <w:rPr>
                <w:rFonts w:hint="eastAsia" w:ascii="仿宋_GB2312" w:hAnsi="仿宋" w:eastAsia="仿宋_GB2312"/>
                <w:b/>
                <w:color w:val="auto"/>
                <w:sz w:val="28"/>
                <w:szCs w:val="28"/>
              </w:rPr>
              <w:t>合同履行期限：</w:t>
            </w:r>
            <w:r>
              <w:rPr>
                <w:rFonts w:hint="eastAsia" w:ascii="仿宋_GB2312" w:hAnsi="仿宋" w:eastAsia="仿宋_GB2312"/>
                <w:b/>
                <w:color w:val="auto"/>
                <w:sz w:val="28"/>
                <w:szCs w:val="28"/>
                <w:lang w:val="en-US" w:eastAsia="zh-CN"/>
              </w:rPr>
              <w:t>签订合同后20个工作日供货并完成安装调试</w:t>
            </w:r>
          </w:p>
          <w:p>
            <w:pPr>
              <w:snapToGrid w:val="0"/>
              <w:spacing w:line="360" w:lineRule="exact"/>
              <w:rPr>
                <w:rFonts w:hint="eastAsia" w:ascii="仿宋_GB2312" w:hAnsi="仿宋" w:eastAsia="仿宋_GB2312"/>
                <w:b/>
                <w:color w:val="auto"/>
                <w:sz w:val="28"/>
                <w:szCs w:val="28"/>
              </w:rPr>
            </w:pPr>
            <w:r>
              <w:rPr>
                <w:rFonts w:hint="eastAsia" w:ascii="仿宋_GB2312" w:hAnsi="仿宋" w:eastAsia="仿宋_GB2312"/>
                <w:b/>
                <w:color w:val="auto"/>
                <w:sz w:val="28"/>
                <w:szCs w:val="28"/>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1" w:hRule="atLeast"/>
          <w:jc w:val="center"/>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付款方式</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_GB2312" w:hAnsi="仿宋" w:eastAsia="仿宋_GB2312"/>
                <w:b/>
                <w:color w:val="auto"/>
                <w:sz w:val="28"/>
                <w:szCs w:val="28"/>
              </w:rPr>
            </w:pPr>
            <w:r>
              <w:rPr>
                <w:rFonts w:hint="eastAsia" w:ascii="仿宋_GB2312" w:hAnsi="仿宋" w:eastAsia="仿宋_GB2312"/>
                <w:b/>
                <w:color w:val="auto"/>
                <w:sz w:val="28"/>
                <w:szCs w:val="28"/>
              </w:rPr>
              <w:t>根据省财政厅《关于进一步发挥政府采购政策功能全力推动经济稳进提质的通知》（浙财采监【2022】3号）要求，制定如下付款方式：</w:t>
            </w:r>
          </w:p>
          <w:p>
            <w:pPr>
              <w:snapToGrid w:val="0"/>
              <w:spacing w:line="360" w:lineRule="exact"/>
              <w:rPr>
                <w:rFonts w:hint="eastAsia" w:ascii="仿宋_GB2312" w:hAnsi="仿宋" w:eastAsia="仿宋_GB2312"/>
                <w:b/>
                <w:color w:val="auto"/>
                <w:sz w:val="28"/>
                <w:szCs w:val="28"/>
              </w:rPr>
            </w:pPr>
            <w:r>
              <w:rPr>
                <w:rFonts w:hint="eastAsia" w:ascii="仿宋_GB2312" w:hAnsi="仿宋" w:eastAsia="仿宋_GB2312"/>
                <w:b/>
                <w:color w:val="auto"/>
                <w:sz w:val="28"/>
                <w:szCs w:val="28"/>
              </w:rPr>
              <w:t>合同生效及具备实施条件之后15日内支付合同金额的40%，系统试运行正常并验收合格后，30日内支付合同金额的60%。</w:t>
            </w:r>
          </w:p>
        </w:tc>
      </w:tr>
    </w:tbl>
    <w:p>
      <w:pPr>
        <w:rPr>
          <w:rFonts w:ascii="仿宋" w:hAnsi="仿宋" w:eastAsia="仿宋"/>
          <w:b/>
          <w:color w:val="auto"/>
          <w:sz w:val="28"/>
          <w:szCs w:val="28"/>
        </w:rPr>
      </w:pPr>
      <w:r>
        <w:rPr>
          <w:rFonts w:hint="eastAsia" w:ascii="仿宋" w:hAnsi="仿宋" w:eastAsia="仿宋"/>
          <w:b/>
          <w:color w:val="auto"/>
          <w:sz w:val="28"/>
          <w:szCs w:val="28"/>
        </w:rPr>
        <w:t>特别说明：</w:t>
      </w:r>
    </w:p>
    <w:p>
      <w:pPr>
        <w:ind w:firstLine="562" w:firstLineChars="200"/>
        <w:rPr>
          <w:rFonts w:ascii="仿宋" w:hAnsi="仿宋" w:eastAsia="仿宋"/>
          <w:b/>
          <w:color w:val="auto"/>
          <w:sz w:val="28"/>
          <w:szCs w:val="28"/>
        </w:rPr>
      </w:pPr>
      <w:r>
        <w:rPr>
          <w:rFonts w:hint="eastAsia" w:ascii="仿宋" w:hAnsi="仿宋" w:eastAsia="仿宋"/>
          <w:b/>
          <w:color w:val="auto"/>
          <w:sz w:val="28"/>
          <w:szCs w:val="28"/>
        </w:rPr>
        <w:t>1、根据浙财采监字[2007]2号文件规定：除招标文件明确的品牌外，欢迎其他能满足本项目技术需求且性能与所明确品牌相当的产品参加。</w:t>
      </w:r>
    </w:p>
    <w:p>
      <w:pPr>
        <w:ind w:firstLine="562" w:firstLineChars="200"/>
        <w:rPr>
          <w:rFonts w:ascii="仿宋" w:hAnsi="仿宋" w:eastAsia="仿宋"/>
          <w:b/>
          <w:color w:val="auto"/>
          <w:sz w:val="28"/>
          <w:szCs w:val="28"/>
        </w:rPr>
      </w:pPr>
      <w:r>
        <w:rPr>
          <w:rFonts w:hint="eastAsia" w:ascii="仿宋" w:hAnsi="仿宋" w:eastAsia="仿宋"/>
          <w:b/>
          <w:color w:val="auto"/>
          <w:sz w:val="28"/>
          <w:szCs w:val="28"/>
        </w:rPr>
        <w:t>2、需求中不允许负偏离的实质性要求和条件，以“★”号标明，如投标人未响应的，将被视为无效。</w:t>
      </w:r>
    </w:p>
    <w:p>
      <w:pPr>
        <w:ind w:firstLine="562" w:firstLineChars="200"/>
        <w:rPr>
          <w:rFonts w:hint="eastAsia" w:ascii="仿宋" w:hAnsi="仿宋" w:eastAsia="仿宋"/>
          <w:b/>
          <w:color w:val="auto"/>
          <w:sz w:val="28"/>
          <w:szCs w:val="28"/>
          <w:lang w:eastAsia="zh-CN"/>
        </w:rPr>
      </w:pPr>
      <w:r>
        <w:rPr>
          <w:rFonts w:hint="eastAsia" w:ascii="仿宋" w:hAnsi="仿宋" w:eastAsia="仿宋"/>
          <w:b/>
          <w:color w:val="auto"/>
          <w:sz w:val="28"/>
          <w:szCs w:val="28"/>
        </w:rPr>
        <w:t>3、核心产品在各标项内容中明确，如出现同品牌情况的，评标委员会根据《政府采购货物和服务招标投标管理办法》（财政部令第87号）第三十一条规定执</w:t>
      </w:r>
      <w:r>
        <w:rPr>
          <w:rFonts w:hint="eastAsia" w:ascii="仿宋" w:hAnsi="仿宋" w:eastAsia="仿宋"/>
          <w:b/>
          <w:color w:val="auto"/>
          <w:sz w:val="28"/>
          <w:szCs w:val="28"/>
          <w:lang w:eastAsia="zh-CN"/>
        </w:rPr>
        <w:t>行。</w:t>
      </w:r>
    </w:p>
    <w:p>
      <w:pPr>
        <w:ind w:firstLine="562" w:firstLineChars="200"/>
        <w:rPr>
          <w:rFonts w:hint="eastAsia" w:ascii="仿宋" w:hAnsi="仿宋" w:eastAsia="仿宋"/>
          <w:b/>
          <w:color w:val="auto"/>
          <w:sz w:val="28"/>
          <w:szCs w:val="28"/>
        </w:rPr>
      </w:pPr>
      <w:bookmarkStart w:id="50" w:name="_Toc36454324"/>
      <w:r>
        <w:rPr>
          <w:rFonts w:hint="eastAsia" w:ascii="仿宋" w:hAnsi="仿宋" w:eastAsia="仿宋"/>
          <w:b/>
          <w:color w:val="auto"/>
          <w:sz w:val="28"/>
          <w:szCs w:val="28"/>
        </w:rPr>
        <w:t>4、本项目所属行业</w:t>
      </w: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 xml:space="preserve">软件和信息技术服务业。从业人员300人以下或营业收入10000万元以 下的为中小微型企业。其中，从业人员100人及以上，且营业收入1000万元及以上的 为中型企业；从业人员10人及以上，且营业收入50万元及以上的为小型企业；从业 人员10人以下或营业收入50万元以下的为微型企业。 </w:t>
      </w:r>
    </w:p>
    <w:bookmarkEnd w:id="50"/>
    <w:p>
      <w:pPr>
        <w:spacing w:line="400" w:lineRule="exact"/>
        <w:jc w:val="center"/>
        <w:rPr>
          <w:rFonts w:hint="eastAsia" w:ascii="方正小标宋简体" w:hAnsi="方正小标宋简体" w:eastAsia="方正小标宋简体" w:cs="方正小标宋简体"/>
          <w:b/>
          <w:bCs/>
          <w:color w:val="auto"/>
          <w:spacing w:val="-20"/>
          <w:sz w:val="32"/>
          <w:szCs w:val="32"/>
          <w:lang w:val="en-US" w:eastAsia="zh-CN"/>
        </w:rPr>
      </w:pPr>
      <w:r>
        <w:rPr>
          <w:rFonts w:hint="eastAsia" w:ascii="方正小标宋简体" w:hAnsi="方正小标宋简体" w:eastAsia="方正小标宋简体" w:cs="方正小标宋简体"/>
          <w:b/>
          <w:bCs/>
          <w:color w:val="auto"/>
          <w:spacing w:val="-20"/>
          <w:sz w:val="32"/>
          <w:szCs w:val="32"/>
          <w:lang w:eastAsia="zh-CN"/>
        </w:rPr>
        <w:t>第三章</w:t>
      </w:r>
      <w:r>
        <w:rPr>
          <w:rFonts w:hint="eastAsia" w:ascii="方正小标宋简体" w:hAnsi="方正小标宋简体" w:eastAsia="方正小标宋简体" w:cs="方正小标宋简体"/>
          <w:b/>
          <w:bCs/>
          <w:color w:val="auto"/>
          <w:spacing w:val="-20"/>
          <w:sz w:val="32"/>
          <w:szCs w:val="32"/>
          <w:lang w:val="en-US" w:eastAsia="zh-CN"/>
        </w:rPr>
        <w:t xml:space="preserve">    合同主要条款</w:t>
      </w:r>
    </w:p>
    <w:p>
      <w:pPr>
        <w:spacing w:line="400" w:lineRule="exact"/>
        <w:ind w:firstLine="482" w:firstLineChars="200"/>
        <w:jc w:val="center"/>
        <w:rPr>
          <w:rFonts w:ascii="仿宋" w:hAnsi="仿宋" w:eastAsia="仿宋"/>
          <w:b/>
          <w:color w:val="auto"/>
          <w:spacing w:val="-20"/>
          <w:sz w:val="28"/>
          <w:szCs w:val="28"/>
        </w:rPr>
      </w:pPr>
      <w:r>
        <w:rPr>
          <w:rFonts w:hint="eastAsia" w:ascii="仿宋" w:hAnsi="仿宋" w:eastAsia="仿宋"/>
          <w:b/>
          <w:bCs/>
          <w:color w:val="auto"/>
          <w:spacing w:val="-20"/>
          <w:sz w:val="28"/>
          <w:szCs w:val="28"/>
        </w:rPr>
        <w:t>财政审批编号</w:t>
      </w:r>
      <w:r>
        <w:rPr>
          <w:rFonts w:ascii="仿宋" w:hAnsi="仿宋" w:eastAsia="仿宋"/>
          <w:b/>
          <w:bCs/>
          <w:color w:val="auto"/>
          <w:spacing w:val="-20"/>
          <w:sz w:val="28"/>
          <w:szCs w:val="28"/>
        </w:rPr>
        <w:t>:</w:t>
      </w:r>
      <w:r>
        <w:rPr>
          <w:rFonts w:hint="eastAsia" w:ascii="仿宋" w:hAnsi="仿宋" w:eastAsia="仿宋"/>
          <w:b/>
          <w:bCs/>
          <w:color w:val="auto"/>
          <w:spacing w:val="-20"/>
          <w:sz w:val="28"/>
          <w:szCs w:val="28"/>
        </w:rPr>
        <w:t xml:space="preserve">     </w:t>
      </w:r>
      <w:r>
        <w:rPr>
          <w:rFonts w:ascii="仿宋" w:hAnsi="仿宋" w:eastAsia="仿宋"/>
          <w:b/>
          <w:bCs/>
          <w:color w:val="auto"/>
          <w:spacing w:val="-20"/>
          <w:sz w:val="28"/>
          <w:szCs w:val="28"/>
        </w:rPr>
        <w:t xml:space="preserve">; </w:t>
      </w:r>
      <w:r>
        <w:rPr>
          <w:rFonts w:hint="eastAsia" w:ascii="仿宋" w:hAnsi="仿宋" w:eastAsia="仿宋"/>
          <w:b/>
          <w:bCs/>
          <w:color w:val="auto"/>
          <w:spacing w:val="-20"/>
          <w:sz w:val="28"/>
          <w:szCs w:val="28"/>
        </w:rPr>
        <w:t>招标文件编号</w:t>
      </w:r>
      <w:r>
        <w:rPr>
          <w:rFonts w:ascii="仿宋" w:hAnsi="仿宋" w:eastAsia="仿宋"/>
          <w:b/>
          <w:bCs/>
          <w:color w:val="auto"/>
          <w:spacing w:val="-20"/>
          <w:sz w:val="28"/>
          <w:szCs w:val="28"/>
        </w:rPr>
        <w:t>:</w:t>
      </w:r>
    </w:p>
    <w:p>
      <w:pPr>
        <w:spacing w:line="440" w:lineRule="exact"/>
        <w:rPr>
          <w:rFonts w:ascii="仿宋" w:hAnsi="仿宋" w:eastAsia="仿宋"/>
          <w:b/>
          <w:bCs/>
          <w:color w:val="auto"/>
          <w:sz w:val="28"/>
          <w:szCs w:val="28"/>
        </w:rPr>
      </w:pPr>
      <w:r>
        <w:rPr>
          <w:rFonts w:ascii="仿宋" w:hAnsi="仿宋" w:eastAsia="仿宋"/>
          <w:b/>
          <w:bCs/>
          <w:color w:val="auto"/>
          <w:sz w:val="28"/>
          <w:szCs w:val="28"/>
        </w:rPr>
        <w:t>1.</w:t>
      </w:r>
      <w:r>
        <w:rPr>
          <w:rFonts w:hint="eastAsia" w:ascii="仿宋" w:hAnsi="仿宋" w:eastAsia="仿宋"/>
          <w:b/>
          <w:bCs/>
          <w:color w:val="auto"/>
          <w:sz w:val="28"/>
          <w:szCs w:val="28"/>
        </w:rPr>
        <w:t>定义</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本合同中的下列术语应解释为：</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1.1</w:t>
      </w:r>
      <w:r>
        <w:rPr>
          <w:rFonts w:hint="eastAsia" w:ascii="仿宋" w:hAnsi="仿宋" w:eastAsia="仿宋"/>
          <w:color w:val="auto"/>
          <w:sz w:val="28"/>
          <w:szCs w:val="28"/>
        </w:rPr>
        <w:t>“合同”系指供需双方签署的、合同格式中载明的供需双方所达成的协议，包括所有的附件、附录和构成合同的所有文件；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1.2</w:t>
      </w:r>
      <w:r>
        <w:rPr>
          <w:rFonts w:hint="eastAsia" w:ascii="仿宋" w:hAnsi="仿宋" w:eastAsia="仿宋"/>
          <w:color w:val="auto"/>
          <w:sz w:val="28"/>
          <w:szCs w:val="28"/>
        </w:rPr>
        <w:t>“合同价”系指根据合同规定，需方在供方完全履行合同义务后应付给的价格；</w:t>
      </w:r>
    </w:p>
    <w:p>
      <w:pPr>
        <w:spacing w:line="440" w:lineRule="exact"/>
        <w:ind w:firstLine="560" w:firstLineChars="200"/>
        <w:jc w:val="left"/>
        <w:rPr>
          <w:rFonts w:ascii="仿宋" w:hAnsi="仿宋" w:eastAsia="仿宋"/>
          <w:color w:val="auto"/>
          <w:sz w:val="28"/>
          <w:szCs w:val="28"/>
        </w:rPr>
      </w:pPr>
      <w:r>
        <w:rPr>
          <w:rFonts w:ascii="仿宋" w:hAnsi="仿宋" w:eastAsia="仿宋"/>
          <w:color w:val="auto"/>
          <w:sz w:val="28"/>
          <w:szCs w:val="28"/>
        </w:rPr>
        <w:t>1.3</w:t>
      </w:r>
      <w:r>
        <w:rPr>
          <w:rFonts w:hint="eastAsia" w:ascii="仿宋" w:hAnsi="仿宋" w:eastAsia="仿宋"/>
          <w:color w:val="auto"/>
          <w:sz w:val="28"/>
          <w:szCs w:val="28"/>
        </w:rPr>
        <w:t>“货物”系指供方根据合同规定向需方提供的一切货物、质量保证书和其他技术资料及技术参数；</w:t>
      </w:r>
    </w:p>
    <w:p>
      <w:pPr>
        <w:spacing w:line="440" w:lineRule="exact"/>
        <w:ind w:firstLine="560" w:firstLineChars="200"/>
        <w:jc w:val="left"/>
        <w:rPr>
          <w:rFonts w:ascii="仿宋" w:hAnsi="仿宋" w:eastAsia="仿宋"/>
          <w:color w:val="auto"/>
          <w:sz w:val="28"/>
          <w:szCs w:val="28"/>
        </w:rPr>
      </w:pPr>
      <w:r>
        <w:rPr>
          <w:rFonts w:ascii="仿宋" w:hAnsi="仿宋" w:eastAsia="仿宋"/>
          <w:color w:val="auto"/>
          <w:sz w:val="28"/>
          <w:szCs w:val="28"/>
        </w:rPr>
        <w:t>1.4</w:t>
      </w:r>
      <w:r>
        <w:rPr>
          <w:rFonts w:hint="eastAsia" w:ascii="仿宋" w:hAnsi="仿宋" w:eastAsia="仿宋"/>
          <w:color w:val="auto"/>
          <w:sz w:val="28"/>
          <w:szCs w:val="28"/>
        </w:rPr>
        <w:t>“服务”系指根据合同规定供方承担与供货有关的辅助服务，如运输、装卸、安装、保险以及其他的服务，例如安装、调试提供技术援助、培训和其他类似的义务；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1.5</w:t>
      </w:r>
      <w:r>
        <w:rPr>
          <w:rFonts w:hint="eastAsia" w:ascii="仿宋" w:hAnsi="仿宋" w:eastAsia="仿宋"/>
          <w:color w:val="auto"/>
          <w:sz w:val="28"/>
          <w:szCs w:val="28"/>
        </w:rPr>
        <w:t>“需方”系指</w:t>
      </w:r>
      <w:r>
        <w:rPr>
          <w:rFonts w:hint="eastAsia" w:ascii="仿宋" w:hAnsi="仿宋" w:eastAsia="仿宋"/>
          <w:bCs/>
          <w:color w:val="auto"/>
          <w:sz w:val="28"/>
          <w:szCs w:val="28"/>
        </w:rPr>
        <w:t>具体使用货物和接受服务的使用单位（即采购人）；</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1.6</w:t>
      </w:r>
      <w:r>
        <w:rPr>
          <w:rFonts w:hint="eastAsia" w:ascii="仿宋" w:hAnsi="仿宋" w:eastAsia="仿宋"/>
          <w:color w:val="auto"/>
          <w:sz w:val="28"/>
          <w:szCs w:val="28"/>
        </w:rPr>
        <w:t>“供方”系指根据合同规定提供采购项目货物和服务的具有法人资格的公司、企业或实体（即供应商）；</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1.7</w:t>
      </w:r>
      <w:r>
        <w:rPr>
          <w:rFonts w:hint="eastAsia" w:ascii="仿宋" w:hAnsi="仿宋" w:eastAsia="仿宋"/>
          <w:color w:val="auto"/>
          <w:sz w:val="28"/>
          <w:szCs w:val="28"/>
        </w:rPr>
        <w:t>“财政审批编号”系指湖州市（区）财政局审批编号。</w:t>
      </w:r>
    </w:p>
    <w:p>
      <w:pPr>
        <w:spacing w:line="440" w:lineRule="exact"/>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合同项目与内容</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湖州市教育局仁西小学办公计算机及多媒体设备采购项目</w:t>
      </w:r>
    </w:p>
    <w:p>
      <w:pPr>
        <w:spacing w:line="440" w:lineRule="exact"/>
        <w:rPr>
          <w:rFonts w:ascii="仿宋" w:hAnsi="仿宋" w:eastAsia="仿宋"/>
          <w:b/>
          <w:bCs/>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供货时间与交货地点</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供货时间：详见招标文件第二章商务条款要求；</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供货地点：由采购单位指定。</w:t>
      </w:r>
    </w:p>
    <w:p>
      <w:pPr>
        <w:spacing w:line="440" w:lineRule="exact"/>
        <w:rPr>
          <w:rFonts w:ascii="仿宋" w:hAnsi="仿宋" w:eastAsia="仿宋"/>
          <w:b/>
          <w:bCs/>
          <w:color w:val="auto"/>
          <w:sz w:val="28"/>
          <w:szCs w:val="28"/>
        </w:rPr>
      </w:pPr>
      <w:r>
        <w:rPr>
          <w:rFonts w:ascii="仿宋" w:hAnsi="仿宋" w:eastAsia="仿宋"/>
          <w:b/>
          <w:bCs/>
          <w:color w:val="auto"/>
          <w:sz w:val="28"/>
          <w:szCs w:val="28"/>
        </w:rPr>
        <w:t>4.</w:t>
      </w:r>
      <w:r>
        <w:rPr>
          <w:rFonts w:hint="eastAsia" w:ascii="仿宋" w:hAnsi="仿宋" w:eastAsia="仿宋"/>
          <w:b/>
          <w:bCs/>
          <w:color w:val="auto"/>
          <w:sz w:val="28"/>
          <w:szCs w:val="28"/>
        </w:rPr>
        <w:t>标准</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4.1</w:t>
      </w:r>
      <w:r>
        <w:rPr>
          <w:rFonts w:hint="eastAsia" w:ascii="仿宋" w:hAnsi="仿宋" w:eastAsia="仿宋"/>
          <w:color w:val="auto"/>
          <w:sz w:val="28"/>
          <w:szCs w:val="28"/>
        </w:rPr>
        <w:t>国家有强制性标准的，执行国家强制性标准。</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4.2</w:t>
      </w:r>
      <w:r>
        <w:rPr>
          <w:rFonts w:hint="eastAsia" w:ascii="仿宋" w:hAnsi="仿宋" w:eastAsia="仿宋"/>
          <w:color w:val="auto"/>
          <w:sz w:val="28"/>
          <w:szCs w:val="28"/>
        </w:rPr>
        <w:t>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ascii="仿宋" w:hAnsi="仿宋" w:eastAsia="仿宋"/>
          <w:b/>
          <w:bCs/>
          <w:color w:val="auto"/>
          <w:sz w:val="28"/>
          <w:szCs w:val="28"/>
        </w:rPr>
      </w:pPr>
      <w:r>
        <w:rPr>
          <w:rFonts w:ascii="仿宋" w:hAnsi="仿宋" w:eastAsia="仿宋"/>
          <w:b/>
          <w:bCs/>
          <w:color w:val="auto"/>
          <w:sz w:val="28"/>
          <w:szCs w:val="28"/>
        </w:rPr>
        <w:t>5.</w:t>
      </w:r>
      <w:r>
        <w:rPr>
          <w:rFonts w:hint="eastAsia" w:ascii="仿宋" w:hAnsi="仿宋" w:eastAsia="仿宋"/>
          <w:b/>
          <w:bCs/>
          <w:color w:val="auto"/>
          <w:sz w:val="28"/>
          <w:szCs w:val="28"/>
        </w:rPr>
        <w:t>技术规范</w:t>
      </w:r>
    </w:p>
    <w:p>
      <w:pPr>
        <w:pStyle w:val="8"/>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本合同执行国家及本省、市现行施工及验收规范及有关条例、实施办法等。</w:t>
      </w:r>
    </w:p>
    <w:p>
      <w:pPr>
        <w:pStyle w:val="13"/>
        <w:spacing w:line="440" w:lineRule="exact"/>
        <w:ind w:firstLine="560"/>
        <w:rPr>
          <w:rFonts w:ascii="仿宋" w:hAnsi="仿宋" w:eastAsia="仿宋"/>
          <w:color w:val="auto"/>
          <w:sz w:val="28"/>
          <w:szCs w:val="28"/>
        </w:rPr>
      </w:pPr>
      <w:r>
        <w:rPr>
          <w:rFonts w:hint="eastAsia" w:ascii="仿宋" w:hAnsi="仿宋" w:eastAsia="仿宋"/>
          <w:color w:val="auto"/>
          <w:sz w:val="28"/>
          <w:szCs w:val="28"/>
        </w:rPr>
        <w:t>提供和交付的货物及相关服务的技术规范应与招标文件规定的技术规范相一致。</w:t>
      </w:r>
    </w:p>
    <w:p>
      <w:pPr>
        <w:spacing w:line="440" w:lineRule="exact"/>
        <w:rPr>
          <w:rFonts w:ascii="仿宋" w:hAnsi="仿宋" w:eastAsia="仿宋"/>
          <w:b/>
          <w:bCs/>
          <w:color w:val="auto"/>
          <w:sz w:val="28"/>
          <w:szCs w:val="28"/>
        </w:rPr>
      </w:pPr>
      <w:r>
        <w:rPr>
          <w:rFonts w:ascii="仿宋" w:hAnsi="仿宋" w:eastAsia="仿宋"/>
          <w:b/>
          <w:bCs/>
          <w:color w:val="auto"/>
          <w:sz w:val="28"/>
          <w:szCs w:val="28"/>
        </w:rPr>
        <w:t>6.</w:t>
      </w:r>
      <w:r>
        <w:rPr>
          <w:rFonts w:hint="eastAsia" w:ascii="仿宋" w:hAnsi="仿宋" w:eastAsia="仿宋"/>
          <w:b/>
          <w:bCs/>
          <w:color w:val="auto"/>
          <w:sz w:val="28"/>
          <w:szCs w:val="28"/>
        </w:rPr>
        <w:t>专利权</w:t>
      </w:r>
    </w:p>
    <w:p>
      <w:pPr>
        <w:pStyle w:val="13"/>
        <w:spacing w:line="440" w:lineRule="exact"/>
        <w:ind w:firstLine="560"/>
        <w:rPr>
          <w:rFonts w:ascii="仿宋" w:hAnsi="仿宋" w:eastAsia="仿宋"/>
          <w:color w:val="auto"/>
          <w:sz w:val="28"/>
          <w:szCs w:val="28"/>
        </w:rPr>
      </w:pPr>
      <w:r>
        <w:rPr>
          <w:rFonts w:hint="eastAsia" w:ascii="仿宋" w:hAnsi="仿宋" w:eastAsia="仿宋"/>
          <w:color w:val="auto"/>
          <w:sz w:val="28"/>
          <w:szCs w:val="28"/>
        </w:rPr>
        <w:t>供方应保证需方在使用时不受第三方提出侵犯其专利权、商标权等知识产权的起诉。</w:t>
      </w:r>
    </w:p>
    <w:p>
      <w:pPr>
        <w:spacing w:line="440" w:lineRule="exact"/>
        <w:rPr>
          <w:rFonts w:ascii="仿宋" w:hAnsi="仿宋" w:eastAsia="仿宋"/>
          <w:b/>
          <w:bCs/>
          <w:color w:val="auto"/>
          <w:sz w:val="28"/>
          <w:szCs w:val="28"/>
        </w:rPr>
      </w:pPr>
      <w:r>
        <w:rPr>
          <w:rFonts w:ascii="仿宋" w:hAnsi="仿宋" w:eastAsia="仿宋"/>
          <w:b/>
          <w:bCs/>
          <w:color w:val="auto"/>
          <w:sz w:val="28"/>
          <w:szCs w:val="28"/>
        </w:rPr>
        <w:t>7.</w:t>
      </w:r>
      <w:r>
        <w:rPr>
          <w:rFonts w:hint="eastAsia" w:ascii="仿宋" w:hAnsi="仿宋" w:eastAsia="仿宋"/>
          <w:b/>
          <w:bCs/>
          <w:color w:val="auto"/>
          <w:sz w:val="28"/>
          <w:szCs w:val="28"/>
        </w:rPr>
        <w:t>包装</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ascii="仿宋" w:hAnsi="仿宋" w:eastAsia="仿宋"/>
          <w:b/>
          <w:bCs/>
          <w:color w:val="auto"/>
          <w:sz w:val="28"/>
          <w:szCs w:val="28"/>
        </w:rPr>
      </w:pPr>
      <w:r>
        <w:rPr>
          <w:rFonts w:ascii="仿宋" w:hAnsi="仿宋" w:eastAsia="仿宋"/>
          <w:b/>
          <w:bCs/>
          <w:color w:val="auto"/>
          <w:sz w:val="28"/>
          <w:szCs w:val="28"/>
        </w:rPr>
        <w:t>8.</w:t>
      </w:r>
      <w:r>
        <w:rPr>
          <w:rFonts w:hint="eastAsia" w:ascii="仿宋" w:hAnsi="仿宋" w:eastAsia="仿宋"/>
          <w:b/>
          <w:bCs/>
          <w:color w:val="auto"/>
          <w:sz w:val="28"/>
          <w:szCs w:val="28"/>
        </w:rPr>
        <w:t>装运标记</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8.1</w:t>
      </w:r>
      <w:r>
        <w:rPr>
          <w:rFonts w:hint="eastAsia" w:ascii="仿宋" w:hAnsi="仿宋" w:eastAsia="仿宋"/>
          <w:color w:val="auto"/>
          <w:sz w:val="28"/>
          <w:szCs w:val="28"/>
        </w:rPr>
        <w:t>供方应在每一包装箱的四面用不可擦除的油漆和明显的中文字样做出以下标记：</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8.1.1</w:t>
      </w:r>
      <w:r>
        <w:rPr>
          <w:rFonts w:hint="eastAsia" w:ascii="仿宋" w:hAnsi="仿宋" w:eastAsia="仿宋"/>
          <w:color w:val="auto"/>
          <w:sz w:val="28"/>
          <w:szCs w:val="28"/>
        </w:rPr>
        <w:t>收货人；</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8.1.2</w:t>
      </w:r>
      <w:r>
        <w:rPr>
          <w:rFonts w:hint="eastAsia" w:ascii="仿宋" w:hAnsi="仿宋" w:eastAsia="仿宋"/>
          <w:color w:val="auto"/>
          <w:sz w:val="28"/>
          <w:szCs w:val="28"/>
        </w:rPr>
        <w:t>合同号；</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8.1.3</w:t>
      </w:r>
      <w:r>
        <w:rPr>
          <w:rFonts w:hint="eastAsia" w:ascii="仿宋" w:hAnsi="仿宋" w:eastAsia="仿宋"/>
          <w:color w:val="auto"/>
          <w:sz w:val="28"/>
          <w:szCs w:val="28"/>
        </w:rPr>
        <w:t>发货标记（唛头）；</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8.1.4</w:t>
      </w:r>
      <w:r>
        <w:rPr>
          <w:rFonts w:hint="eastAsia" w:ascii="仿宋" w:hAnsi="仿宋" w:eastAsia="仿宋"/>
          <w:color w:val="auto"/>
          <w:sz w:val="28"/>
          <w:szCs w:val="28"/>
        </w:rPr>
        <w:t>收货人编号；</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8.1.5</w:t>
      </w:r>
      <w:r>
        <w:rPr>
          <w:rFonts w:hint="eastAsia" w:ascii="仿宋" w:hAnsi="仿宋" w:eastAsia="仿宋"/>
          <w:color w:val="auto"/>
          <w:sz w:val="28"/>
          <w:szCs w:val="28"/>
        </w:rPr>
        <w:t>目的港；</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8.1.6</w:t>
      </w:r>
      <w:r>
        <w:rPr>
          <w:rFonts w:hint="eastAsia" w:ascii="仿宋" w:hAnsi="仿宋" w:eastAsia="仿宋"/>
          <w:color w:val="auto"/>
          <w:sz w:val="28"/>
          <w:szCs w:val="28"/>
        </w:rPr>
        <w:t>货物名称、品目号和箱号；</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8.1.7</w:t>
      </w:r>
      <w:r>
        <w:rPr>
          <w:rFonts w:hint="eastAsia" w:ascii="仿宋" w:hAnsi="仿宋" w:eastAsia="仿宋"/>
          <w:color w:val="auto"/>
          <w:sz w:val="28"/>
          <w:szCs w:val="28"/>
        </w:rPr>
        <w:t>毛重</w:t>
      </w:r>
      <w:r>
        <w:rPr>
          <w:rFonts w:ascii="仿宋" w:hAnsi="仿宋" w:eastAsia="仿宋"/>
          <w:color w:val="auto"/>
          <w:sz w:val="28"/>
          <w:szCs w:val="28"/>
        </w:rPr>
        <w:t>/</w:t>
      </w:r>
      <w:r>
        <w:rPr>
          <w:rFonts w:hint="eastAsia" w:ascii="仿宋" w:hAnsi="仿宋" w:eastAsia="仿宋"/>
          <w:color w:val="auto"/>
          <w:sz w:val="28"/>
          <w:szCs w:val="28"/>
        </w:rPr>
        <w:t>净重（用</w:t>
      </w:r>
      <w:r>
        <w:rPr>
          <w:rFonts w:ascii="仿宋" w:hAnsi="仿宋" w:eastAsia="仿宋"/>
          <w:color w:val="auto"/>
          <w:sz w:val="28"/>
          <w:szCs w:val="28"/>
        </w:rPr>
        <w:t>kg</w:t>
      </w:r>
      <w:r>
        <w:rPr>
          <w:rFonts w:hint="eastAsia" w:ascii="仿宋" w:hAnsi="仿宋" w:eastAsia="仿宋"/>
          <w:color w:val="auto"/>
          <w:sz w:val="28"/>
          <w:szCs w:val="28"/>
        </w:rPr>
        <w:t>表示）；</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8.1.8</w:t>
      </w:r>
      <w:r>
        <w:rPr>
          <w:rFonts w:hint="eastAsia" w:ascii="仿宋" w:hAnsi="仿宋" w:eastAsia="仿宋"/>
          <w:color w:val="auto"/>
          <w:sz w:val="28"/>
          <w:szCs w:val="28"/>
        </w:rPr>
        <w:t>尺寸（长×宽×高用</w:t>
      </w:r>
      <w:r>
        <w:rPr>
          <w:rFonts w:ascii="仿宋" w:hAnsi="仿宋" w:eastAsia="仿宋"/>
          <w:color w:val="auto"/>
          <w:sz w:val="28"/>
          <w:szCs w:val="28"/>
        </w:rPr>
        <w:t>cm</w:t>
      </w:r>
      <w:r>
        <w:rPr>
          <w:rFonts w:hint="eastAsia" w:ascii="仿宋" w:hAnsi="仿宋" w:eastAsia="仿宋"/>
          <w:color w:val="auto"/>
          <w:sz w:val="28"/>
          <w:szCs w:val="28"/>
        </w:rPr>
        <w:t>表示）。</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8.2</w:t>
      </w:r>
      <w:r>
        <w:rPr>
          <w:rFonts w:hint="eastAsia" w:ascii="仿宋" w:hAnsi="仿宋" w:eastAsia="仿宋"/>
          <w:color w:val="auto"/>
          <w:sz w:val="28"/>
          <w:szCs w:val="28"/>
        </w:rPr>
        <w:t>如果单件包装箱的重量在</w:t>
      </w:r>
      <w:r>
        <w:rPr>
          <w:rFonts w:ascii="仿宋" w:hAnsi="仿宋" w:eastAsia="仿宋"/>
          <w:color w:val="auto"/>
          <w:sz w:val="28"/>
          <w:szCs w:val="28"/>
        </w:rPr>
        <w:t>2</w:t>
      </w:r>
      <w:r>
        <w:rPr>
          <w:rFonts w:hint="eastAsia" w:ascii="仿宋" w:hAnsi="仿宋" w:eastAsia="仿宋"/>
          <w:color w:val="auto"/>
          <w:sz w:val="28"/>
          <w:szCs w:val="28"/>
        </w:rPr>
        <w:t>吨或</w:t>
      </w:r>
      <w:r>
        <w:rPr>
          <w:rFonts w:ascii="仿宋" w:hAnsi="仿宋" w:eastAsia="仿宋"/>
          <w:color w:val="auto"/>
          <w:sz w:val="28"/>
          <w:szCs w:val="28"/>
        </w:rPr>
        <w:t>2</w:t>
      </w:r>
      <w:r>
        <w:rPr>
          <w:rFonts w:hint="eastAsia" w:ascii="仿宋" w:hAnsi="仿宋" w:eastAsia="仿宋"/>
          <w:color w:val="auto"/>
          <w:sz w:val="28"/>
          <w:szCs w:val="28"/>
        </w:rPr>
        <w:t>吨以上，供方应在包装箱两侧用通用的运输标记标准“重心”和“起吊点”以便装卸和搬运。</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根据货物的特点和运输的不同要求，供方应在包装箱上清楚地标注“小心轻放”，“此端朝上，请勿倒置”、“保持干燥”等标记。</w:t>
      </w:r>
    </w:p>
    <w:p>
      <w:pPr>
        <w:spacing w:line="440" w:lineRule="exact"/>
        <w:rPr>
          <w:rFonts w:ascii="仿宋" w:hAnsi="仿宋" w:eastAsia="仿宋"/>
          <w:b/>
          <w:bCs/>
          <w:color w:val="auto"/>
          <w:sz w:val="28"/>
          <w:szCs w:val="28"/>
        </w:rPr>
      </w:pPr>
      <w:r>
        <w:rPr>
          <w:rFonts w:ascii="仿宋" w:hAnsi="仿宋" w:eastAsia="仿宋"/>
          <w:b/>
          <w:bCs/>
          <w:color w:val="auto"/>
          <w:sz w:val="28"/>
          <w:szCs w:val="28"/>
        </w:rPr>
        <w:t>9.</w:t>
      </w:r>
      <w:r>
        <w:rPr>
          <w:rFonts w:hint="eastAsia" w:ascii="仿宋" w:hAnsi="仿宋" w:eastAsia="仿宋"/>
          <w:b/>
          <w:bCs/>
          <w:color w:val="auto"/>
          <w:sz w:val="28"/>
          <w:szCs w:val="28"/>
        </w:rPr>
        <w:t>装卸要求</w:t>
      </w:r>
    </w:p>
    <w:p>
      <w:pPr>
        <w:pStyle w:val="13"/>
        <w:spacing w:line="440" w:lineRule="exact"/>
        <w:ind w:firstLine="560"/>
        <w:rPr>
          <w:rFonts w:ascii="仿宋" w:hAnsi="仿宋" w:eastAsia="仿宋"/>
          <w:color w:val="auto"/>
          <w:sz w:val="28"/>
          <w:szCs w:val="28"/>
        </w:rPr>
      </w:pPr>
      <w:r>
        <w:rPr>
          <w:rFonts w:hint="eastAsia" w:ascii="仿宋" w:hAnsi="仿宋" w:eastAsia="仿宋"/>
          <w:color w:val="auto"/>
          <w:sz w:val="28"/>
          <w:szCs w:val="28"/>
        </w:rPr>
        <w:t>除合同另有规定外，供方提供的全部货物，均应按标准采取保护措施，确保货物安全无损运抵现场。由于装卸或运输途中一切不善所造成的损失均由供方承担。</w:t>
      </w:r>
    </w:p>
    <w:p>
      <w:pPr>
        <w:spacing w:line="440" w:lineRule="exact"/>
        <w:rPr>
          <w:rFonts w:ascii="仿宋" w:hAnsi="仿宋" w:eastAsia="仿宋"/>
          <w:b/>
          <w:bCs/>
          <w:color w:val="auto"/>
          <w:sz w:val="28"/>
          <w:szCs w:val="28"/>
        </w:rPr>
      </w:pPr>
      <w:r>
        <w:rPr>
          <w:rFonts w:ascii="仿宋" w:hAnsi="仿宋" w:eastAsia="仿宋"/>
          <w:b/>
          <w:bCs/>
          <w:color w:val="auto"/>
          <w:sz w:val="28"/>
          <w:szCs w:val="28"/>
        </w:rPr>
        <w:t>10.</w:t>
      </w:r>
      <w:r>
        <w:rPr>
          <w:rFonts w:hint="eastAsia" w:ascii="仿宋" w:hAnsi="仿宋" w:eastAsia="仿宋"/>
          <w:b/>
          <w:bCs/>
          <w:color w:val="auto"/>
          <w:sz w:val="28"/>
          <w:szCs w:val="28"/>
        </w:rPr>
        <w:t>装运条件</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供方负责安排运输，运输中的一切费用由供方承担；</w:t>
      </w:r>
    </w:p>
    <w:p>
      <w:pPr>
        <w:spacing w:line="440" w:lineRule="exact"/>
        <w:rPr>
          <w:rFonts w:ascii="仿宋" w:hAnsi="仿宋" w:eastAsia="仿宋"/>
          <w:b/>
          <w:bCs/>
          <w:color w:val="auto"/>
          <w:sz w:val="28"/>
          <w:szCs w:val="28"/>
        </w:rPr>
      </w:pPr>
      <w:r>
        <w:rPr>
          <w:rFonts w:ascii="仿宋" w:hAnsi="仿宋" w:eastAsia="仿宋"/>
          <w:b/>
          <w:bCs/>
          <w:color w:val="auto"/>
          <w:sz w:val="28"/>
          <w:szCs w:val="28"/>
        </w:rPr>
        <w:t>11.</w:t>
      </w:r>
      <w:r>
        <w:rPr>
          <w:rFonts w:hint="eastAsia" w:ascii="仿宋" w:hAnsi="仿宋" w:eastAsia="仿宋"/>
          <w:b/>
          <w:bCs/>
          <w:color w:val="auto"/>
          <w:sz w:val="28"/>
          <w:szCs w:val="28"/>
        </w:rPr>
        <w:t>装运通知</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供方应在合同规定的装运日期之前，将合同号、货物名称、数量、箱数、总毛重、总体积（用</w:t>
      </w:r>
      <w:r>
        <w:rPr>
          <w:rFonts w:ascii="仿宋" w:hAnsi="仿宋" w:eastAsia="仿宋"/>
          <w:color w:val="auto"/>
          <w:sz w:val="28"/>
          <w:szCs w:val="28"/>
        </w:rPr>
        <w:t>m</w:t>
      </w:r>
      <w:r>
        <w:rPr>
          <w:rFonts w:ascii="仿宋" w:hAnsi="仿宋" w:eastAsia="仿宋"/>
          <w:color w:val="auto"/>
          <w:sz w:val="28"/>
          <w:szCs w:val="28"/>
          <w:vertAlign w:val="superscript"/>
        </w:rPr>
        <w:t>3</w:t>
      </w:r>
      <w:r>
        <w:rPr>
          <w:rFonts w:hint="eastAsia" w:ascii="仿宋" w:hAnsi="仿宋" w:eastAsia="仿宋"/>
          <w:color w:val="auto"/>
          <w:sz w:val="28"/>
          <w:szCs w:val="28"/>
        </w:rPr>
        <w:t>表示）运输工具以传真形式通知需方。具体安装时间以需方通知为准。</w:t>
      </w:r>
    </w:p>
    <w:p>
      <w:pPr>
        <w:spacing w:line="440" w:lineRule="exact"/>
        <w:rPr>
          <w:rFonts w:ascii="仿宋" w:hAnsi="仿宋" w:eastAsia="仿宋"/>
          <w:b/>
          <w:bCs/>
          <w:color w:val="auto"/>
          <w:sz w:val="28"/>
          <w:szCs w:val="28"/>
        </w:rPr>
      </w:pPr>
      <w:r>
        <w:rPr>
          <w:rFonts w:ascii="仿宋" w:hAnsi="仿宋" w:eastAsia="仿宋"/>
          <w:b/>
          <w:bCs/>
          <w:color w:val="auto"/>
          <w:sz w:val="28"/>
          <w:szCs w:val="28"/>
        </w:rPr>
        <w:t>12.</w:t>
      </w:r>
      <w:r>
        <w:rPr>
          <w:rFonts w:hint="eastAsia" w:ascii="仿宋" w:hAnsi="仿宋" w:eastAsia="仿宋"/>
          <w:b/>
          <w:bCs/>
          <w:color w:val="auto"/>
          <w:sz w:val="28"/>
          <w:szCs w:val="28"/>
        </w:rPr>
        <w:t>货物就位</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供方负责所供货物就位，如受条件影响就位，供方负责货物拆装，就位一切费用供方负责。</w:t>
      </w:r>
    </w:p>
    <w:p>
      <w:pPr>
        <w:spacing w:line="440" w:lineRule="exact"/>
        <w:rPr>
          <w:rFonts w:ascii="仿宋" w:hAnsi="仿宋" w:eastAsia="仿宋"/>
          <w:b/>
          <w:bCs/>
          <w:color w:val="auto"/>
          <w:sz w:val="28"/>
          <w:szCs w:val="28"/>
        </w:rPr>
      </w:pPr>
      <w:r>
        <w:rPr>
          <w:rFonts w:ascii="仿宋" w:hAnsi="仿宋" w:eastAsia="仿宋"/>
          <w:b/>
          <w:bCs/>
          <w:color w:val="auto"/>
          <w:sz w:val="28"/>
          <w:szCs w:val="28"/>
        </w:rPr>
        <w:t>13.</w:t>
      </w:r>
      <w:r>
        <w:rPr>
          <w:rFonts w:hint="eastAsia" w:ascii="仿宋" w:hAnsi="仿宋" w:eastAsia="仿宋"/>
          <w:b/>
          <w:bCs/>
          <w:color w:val="auto"/>
          <w:sz w:val="28"/>
          <w:szCs w:val="28"/>
        </w:rPr>
        <w:t>付款方法和条件</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根据省财政厅《关于进一步</w:t>
      </w:r>
      <w:r>
        <w:rPr>
          <w:rFonts w:hint="eastAsia" w:ascii="仿宋" w:hAnsi="仿宋" w:eastAsia="仿宋"/>
          <w:color w:val="auto"/>
          <w:sz w:val="28"/>
          <w:szCs w:val="28"/>
          <w:lang w:eastAsia="zh-CN"/>
        </w:rPr>
        <w:t>发挥政府采购政策功能全力推动经济稳进提质</w:t>
      </w:r>
      <w:r>
        <w:rPr>
          <w:rFonts w:hint="eastAsia" w:ascii="仿宋" w:hAnsi="仿宋" w:eastAsia="仿宋"/>
          <w:color w:val="auto"/>
          <w:sz w:val="28"/>
          <w:szCs w:val="28"/>
        </w:rPr>
        <w:t>的通知》（浙财采监【202</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】3号）要求，制定如下付款方式：</w:t>
      </w:r>
    </w:p>
    <w:p>
      <w:pPr>
        <w:spacing w:line="440" w:lineRule="exact"/>
        <w:ind w:firstLine="562" w:firstLineChars="200"/>
        <w:rPr>
          <w:rFonts w:hint="eastAsia" w:ascii="仿宋" w:hAnsi="仿宋" w:eastAsia="仿宋"/>
          <w:b/>
          <w:bCs/>
          <w:color w:val="auto"/>
          <w:sz w:val="28"/>
          <w:szCs w:val="28"/>
          <w:highlight w:val="none"/>
          <w:u w:val="single"/>
          <w:lang w:val="en-US" w:eastAsia="zh-CN"/>
        </w:rPr>
      </w:pPr>
      <w:r>
        <w:rPr>
          <w:rFonts w:hint="eastAsia" w:ascii="仿宋" w:hAnsi="仿宋" w:eastAsia="仿宋"/>
          <w:b/>
          <w:bCs/>
          <w:color w:val="auto"/>
          <w:sz w:val="28"/>
          <w:szCs w:val="28"/>
          <w:highlight w:val="none"/>
          <w:u w:val="single"/>
          <w:lang w:val="en-US" w:eastAsia="zh-CN"/>
        </w:rPr>
        <w:t>合同生效及具备实施条件之后15日内支付合同金额的40%，系统试运行正常并验收合格后，30日内支付合同金额的60%。</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若中标供应商明确表示无需预付款或者主动要求降低预付款比例的，采购人可不适用前述规定。</w:t>
      </w:r>
    </w:p>
    <w:p>
      <w:pPr>
        <w:spacing w:line="440" w:lineRule="exact"/>
        <w:rPr>
          <w:rFonts w:ascii="仿宋" w:hAnsi="仿宋" w:eastAsia="仿宋"/>
          <w:b/>
          <w:bCs/>
          <w:color w:val="auto"/>
          <w:sz w:val="28"/>
          <w:szCs w:val="28"/>
        </w:rPr>
      </w:pPr>
      <w:r>
        <w:rPr>
          <w:rFonts w:ascii="仿宋" w:hAnsi="仿宋" w:eastAsia="仿宋"/>
          <w:b/>
          <w:bCs/>
          <w:color w:val="auto"/>
          <w:sz w:val="28"/>
          <w:szCs w:val="28"/>
        </w:rPr>
        <w:t>14.</w:t>
      </w:r>
      <w:r>
        <w:rPr>
          <w:rFonts w:hint="eastAsia" w:ascii="仿宋" w:hAnsi="仿宋" w:eastAsia="仿宋"/>
          <w:b/>
          <w:bCs/>
          <w:color w:val="auto"/>
          <w:sz w:val="28"/>
          <w:szCs w:val="28"/>
        </w:rPr>
        <w:t>支付</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14.1</w:t>
      </w:r>
      <w:r>
        <w:rPr>
          <w:rFonts w:hint="eastAsia" w:ascii="仿宋" w:hAnsi="仿宋" w:eastAsia="仿宋"/>
          <w:color w:val="auto"/>
          <w:sz w:val="28"/>
          <w:szCs w:val="28"/>
        </w:rPr>
        <w:t>支付应使用人民币；</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14.2</w:t>
      </w:r>
      <w:r>
        <w:rPr>
          <w:rFonts w:hint="eastAsia" w:ascii="仿宋" w:hAnsi="仿宋" w:eastAsia="仿宋"/>
          <w:color w:val="auto"/>
          <w:sz w:val="28"/>
          <w:szCs w:val="28"/>
        </w:rPr>
        <w:t>提交下列单据后结算：</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14.2.1</w:t>
      </w:r>
      <w:r>
        <w:rPr>
          <w:rFonts w:hint="eastAsia" w:ascii="仿宋" w:hAnsi="仿宋" w:eastAsia="仿宋"/>
          <w:color w:val="auto"/>
          <w:sz w:val="28"/>
          <w:szCs w:val="28"/>
        </w:rPr>
        <w:t>生产厂家出具的出厂合格证书和质量检验报告；</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14.2.2</w:t>
      </w:r>
      <w:r>
        <w:rPr>
          <w:rFonts w:hint="eastAsia" w:ascii="仿宋" w:hAnsi="仿宋" w:eastAsia="仿宋"/>
          <w:color w:val="auto"/>
          <w:sz w:val="28"/>
          <w:szCs w:val="28"/>
        </w:rPr>
        <w:t>商业发票一份，其金额为所签合同的相应金额；</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14.2.3</w:t>
      </w:r>
      <w:r>
        <w:rPr>
          <w:rFonts w:hint="eastAsia" w:ascii="仿宋" w:hAnsi="仿宋" w:eastAsia="仿宋"/>
          <w:color w:val="auto"/>
          <w:sz w:val="28"/>
          <w:szCs w:val="28"/>
        </w:rPr>
        <w:t>双方签字验收的验收证书一份。</w:t>
      </w:r>
    </w:p>
    <w:p>
      <w:pPr>
        <w:spacing w:line="440" w:lineRule="exact"/>
        <w:rPr>
          <w:rFonts w:ascii="仿宋" w:hAnsi="仿宋" w:eastAsia="仿宋"/>
          <w:b/>
          <w:bCs/>
          <w:color w:val="auto"/>
          <w:sz w:val="28"/>
          <w:szCs w:val="28"/>
        </w:rPr>
      </w:pPr>
      <w:r>
        <w:rPr>
          <w:rFonts w:ascii="仿宋" w:hAnsi="仿宋" w:eastAsia="仿宋"/>
          <w:b/>
          <w:bCs/>
          <w:color w:val="auto"/>
          <w:sz w:val="28"/>
          <w:szCs w:val="28"/>
        </w:rPr>
        <w:t>15.</w:t>
      </w:r>
      <w:r>
        <w:rPr>
          <w:rFonts w:hint="eastAsia" w:ascii="仿宋" w:hAnsi="仿宋" w:eastAsia="仿宋"/>
          <w:b/>
          <w:bCs/>
          <w:color w:val="auto"/>
          <w:sz w:val="28"/>
          <w:szCs w:val="28"/>
        </w:rPr>
        <w:t>技术服务及货物的安装、调试</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15.1</w:t>
      </w:r>
      <w:r>
        <w:rPr>
          <w:rFonts w:hint="eastAsia" w:ascii="仿宋" w:hAnsi="仿宋" w:eastAsia="仿宋"/>
          <w:color w:val="auto"/>
          <w:sz w:val="28"/>
          <w:szCs w:val="28"/>
        </w:rPr>
        <w:t>供方应负责安排需方相关人员进行操作、维修的培训。具体时间及培训内容在投标时由供方提出建议；</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15.2</w:t>
      </w:r>
      <w:r>
        <w:rPr>
          <w:rFonts w:hint="eastAsia" w:ascii="仿宋" w:hAnsi="仿宋" w:eastAsia="仿宋"/>
          <w:color w:val="auto"/>
          <w:sz w:val="28"/>
          <w:szCs w:val="28"/>
        </w:rPr>
        <w:t>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15.3</w:t>
      </w:r>
      <w:r>
        <w:rPr>
          <w:rFonts w:hint="eastAsia" w:ascii="仿宋" w:hAnsi="仿宋" w:eastAsia="仿宋"/>
          <w:color w:val="auto"/>
          <w:sz w:val="28"/>
          <w:szCs w:val="28"/>
        </w:rPr>
        <w:t>安装调试期间的一切费用由供方自理。</w:t>
      </w:r>
    </w:p>
    <w:p>
      <w:pPr>
        <w:spacing w:line="440" w:lineRule="exact"/>
        <w:rPr>
          <w:rFonts w:ascii="仿宋" w:hAnsi="仿宋" w:eastAsia="仿宋"/>
          <w:b/>
          <w:bCs/>
          <w:color w:val="auto"/>
          <w:sz w:val="28"/>
          <w:szCs w:val="28"/>
        </w:rPr>
      </w:pPr>
      <w:r>
        <w:rPr>
          <w:rFonts w:ascii="仿宋" w:hAnsi="仿宋" w:eastAsia="仿宋"/>
          <w:b/>
          <w:bCs/>
          <w:color w:val="auto"/>
          <w:sz w:val="28"/>
          <w:szCs w:val="28"/>
        </w:rPr>
        <w:t>16.</w:t>
      </w:r>
      <w:r>
        <w:rPr>
          <w:rFonts w:hint="eastAsia" w:ascii="仿宋" w:hAnsi="仿宋" w:eastAsia="仿宋"/>
          <w:b/>
          <w:bCs/>
          <w:color w:val="auto"/>
          <w:sz w:val="28"/>
          <w:szCs w:val="28"/>
        </w:rPr>
        <w:t>售后服务及承诺</w:t>
      </w:r>
    </w:p>
    <w:p>
      <w:pPr>
        <w:spacing w:line="440" w:lineRule="exact"/>
        <w:ind w:firstLine="560" w:firstLineChars="200"/>
        <w:rPr>
          <w:rFonts w:ascii="仿宋" w:hAnsi="仿宋" w:eastAsia="仿宋"/>
          <w:bCs/>
          <w:color w:val="auto"/>
          <w:sz w:val="28"/>
          <w:szCs w:val="28"/>
        </w:rPr>
      </w:pPr>
      <w:r>
        <w:rPr>
          <w:rFonts w:ascii="仿宋" w:hAnsi="仿宋" w:eastAsia="仿宋"/>
          <w:bCs/>
          <w:color w:val="auto"/>
          <w:sz w:val="28"/>
          <w:szCs w:val="28"/>
        </w:rPr>
        <w:t>16.1</w:t>
      </w:r>
      <w:r>
        <w:rPr>
          <w:rFonts w:hint="eastAsia" w:ascii="仿宋" w:hAnsi="仿宋" w:eastAsia="仿宋"/>
          <w:bCs/>
          <w:color w:val="auto"/>
          <w:sz w:val="28"/>
          <w:szCs w:val="28"/>
        </w:rPr>
        <w:t>供方应明确承诺售后服务各项内容和措施，提供详细的服务地点、联系人、电话等有关资料；</w:t>
      </w:r>
    </w:p>
    <w:p>
      <w:pPr>
        <w:spacing w:line="440" w:lineRule="exact"/>
        <w:ind w:firstLine="560" w:firstLineChars="200"/>
        <w:rPr>
          <w:rFonts w:ascii="仿宋" w:hAnsi="仿宋" w:eastAsia="仿宋"/>
          <w:bCs/>
          <w:color w:val="auto"/>
          <w:sz w:val="28"/>
          <w:szCs w:val="28"/>
        </w:rPr>
      </w:pPr>
      <w:r>
        <w:rPr>
          <w:rFonts w:ascii="仿宋" w:hAnsi="仿宋" w:eastAsia="仿宋"/>
          <w:bCs/>
          <w:color w:val="auto"/>
          <w:sz w:val="28"/>
          <w:szCs w:val="28"/>
        </w:rPr>
        <w:t>16.2</w:t>
      </w:r>
      <w:r>
        <w:rPr>
          <w:rFonts w:hint="eastAsia" w:ascii="仿宋" w:hAnsi="仿宋" w:eastAsia="仿宋"/>
          <w:bCs/>
          <w:color w:val="auto"/>
          <w:sz w:val="28"/>
          <w:szCs w:val="28"/>
        </w:rPr>
        <w:t>质保期：</w:t>
      </w:r>
      <w:r>
        <w:rPr>
          <w:rFonts w:hint="eastAsia" w:ascii="仿宋" w:hAnsi="仿宋" w:eastAsia="仿宋"/>
          <w:b/>
          <w:color w:val="auto"/>
          <w:sz w:val="28"/>
          <w:szCs w:val="28"/>
        </w:rPr>
        <w:t>详见招标文件第二章商务条款要求</w:t>
      </w:r>
      <w:r>
        <w:rPr>
          <w:rFonts w:hint="eastAsia" w:ascii="仿宋" w:hAnsi="仿宋" w:eastAsia="仿宋"/>
          <w:bCs/>
          <w:color w:val="auto"/>
          <w:sz w:val="28"/>
          <w:szCs w:val="28"/>
        </w:rPr>
        <w:t>。在质保期内，因货物的维修和保养所发生的一切费用均由供方承担；</w:t>
      </w:r>
    </w:p>
    <w:p>
      <w:pPr>
        <w:spacing w:line="440" w:lineRule="exact"/>
        <w:ind w:firstLine="560" w:firstLineChars="200"/>
        <w:rPr>
          <w:rFonts w:ascii="仿宋" w:hAnsi="仿宋" w:eastAsia="仿宋"/>
          <w:bCs/>
          <w:color w:val="auto"/>
          <w:sz w:val="28"/>
          <w:szCs w:val="28"/>
        </w:rPr>
      </w:pPr>
      <w:r>
        <w:rPr>
          <w:rFonts w:ascii="仿宋" w:hAnsi="仿宋" w:eastAsia="仿宋"/>
          <w:bCs/>
          <w:color w:val="auto"/>
          <w:sz w:val="28"/>
          <w:szCs w:val="28"/>
        </w:rPr>
        <w:t>16.3</w:t>
      </w:r>
      <w:r>
        <w:rPr>
          <w:rFonts w:hint="eastAsia" w:ascii="仿宋" w:hAnsi="仿宋" w:eastAsia="仿宋"/>
          <w:bCs/>
          <w:color w:val="auto"/>
          <w:sz w:val="28"/>
          <w:szCs w:val="28"/>
        </w:rPr>
        <w:t>货物签约的同时，双方可签订质保修期满后的维修保养协议或合同</w:t>
      </w:r>
      <w:r>
        <w:rPr>
          <w:rFonts w:ascii="仿宋" w:hAnsi="仿宋" w:eastAsia="仿宋"/>
          <w:bCs/>
          <w:color w:val="auto"/>
          <w:sz w:val="28"/>
          <w:szCs w:val="28"/>
        </w:rPr>
        <w:t>;</w:t>
      </w:r>
    </w:p>
    <w:p>
      <w:pPr>
        <w:spacing w:line="440" w:lineRule="exact"/>
        <w:ind w:firstLine="560" w:firstLineChars="200"/>
        <w:rPr>
          <w:rFonts w:ascii="仿宋" w:hAnsi="仿宋" w:eastAsia="仿宋"/>
          <w:color w:val="auto"/>
          <w:sz w:val="28"/>
          <w:szCs w:val="28"/>
        </w:rPr>
      </w:pPr>
      <w:r>
        <w:rPr>
          <w:rFonts w:ascii="仿宋" w:hAnsi="仿宋" w:eastAsia="仿宋"/>
          <w:bCs/>
          <w:color w:val="auto"/>
          <w:sz w:val="28"/>
          <w:szCs w:val="28"/>
        </w:rPr>
        <w:t>16.4</w:t>
      </w:r>
      <w:r>
        <w:rPr>
          <w:rFonts w:hint="eastAsia" w:ascii="仿宋" w:hAnsi="仿宋" w:eastAsia="仿宋"/>
          <w:bCs/>
          <w:color w:val="auto"/>
          <w:sz w:val="28"/>
          <w:szCs w:val="28"/>
        </w:rPr>
        <w:t>供方在收到需方维修通知后须按投标文件的承诺及时进行现场响应。</w:t>
      </w:r>
    </w:p>
    <w:p>
      <w:pPr>
        <w:spacing w:line="440" w:lineRule="exact"/>
        <w:rPr>
          <w:rFonts w:ascii="仿宋" w:hAnsi="仿宋" w:eastAsia="仿宋"/>
          <w:b/>
          <w:bCs/>
          <w:color w:val="auto"/>
          <w:sz w:val="28"/>
          <w:szCs w:val="28"/>
        </w:rPr>
      </w:pPr>
      <w:r>
        <w:rPr>
          <w:rFonts w:ascii="仿宋" w:hAnsi="仿宋" w:eastAsia="仿宋"/>
          <w:b/>
          <w:bCs/>
          <w:color w:val="auto"/>
          <w:sz w:val="28"/>
          <w:szCs w:val="28"/>
        </w:rPr>
        <w:t>17.</w:t>
      </w:r>
      <w:r>
        <w:rPr>
          <w:rFonts w:hint="eastAsia" w:ascii="仿宋" w:hAnsi="仿宋" w:eastAsia="仿宋"/>
          <w:b/>
          <w:bCs/>
          <w:color w:val="auto"/>
          <w:sz w:val="28"/>
          <w:szCs w:val="28"/>
        </w:rPr>
        <w:t>备件</w:t>
      </w:r>
    </w:p>
    <w:p>
      <w:pPr>
        <w:spacing w:line="44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正如合同条款所规定，供方可能被要求提供下列与备件有关的材料、通知和资料：</w:t>
      </w:r>
    </w:p>
    <w:p>
      <w:pPr>
        <w:spacing w:line="440" w:lineRule="exact"/>
        <w:ind w:firstLine="560" w:firstLineChars="200"/>
        <w:rPr>
          <w:rFonts w:ascii="仿宋" w:hAnsi="仿宋" w:eastAsia="仿宋"/>
          <w:bCs/>
          <w:color w:val="auto"/>
          <w:sz w:val="28"/>
          <w:szCs w:val="28"/>
        </w:rPr>
      </w:pPr>
      <w:r>
        <w:rPr>
          <w:rFonts w:ascii="仿宋" w:hAnsi="仿宋" w:eastAsia="仿宋"/>
          <w:bCs/>
          <w:color w:val="auto"/>
          <w:sz w:val="28"/>
          <w:szCs w:val="28"/>
        </w:rPr>
        <w:t>17.1</w:t>
      </w:r>
      <w:r>
        <w:rPr>
          <w:rFonts w:hint="eastAsia" w:ascii="仿宋" w:hAnsi="仿宋" w:eastAsia="仿宋"/>
          <w:bCs/>
          <w:color w:val="auto"/>
          <w:sz w:val="28"/>
          <w:szCs w:val="28"/>
        </w:rPr>
        <w:t>需方从供方选购备件，但前提条件是该选择并不能免除供方在合同保证期内所承担的义务；</w:t>
      </w:r>
    </w:p>
    <w:p>
      <w:pPr>
        <w:spacing w:line="440" w:lineRule="exact"/>
        <w:ind w:firstLine="560" w:firstLineChars="200"/>
        <w:rPr>
          <w:rFonts w:ascii="仿宋" w:hAnsi="仿宋" w:eastAsia="仿宋"/>
          <w:bCs/>
          <w:color w:val="auto"/>
          <w:sz w:val="28"/>
          <w:szCs w:val="28"/>
        </w:rPr>
      </w:pPr>
      <w:r>
        <w:rPr>
          <w:rFonts w:ascii="仿宋" w:hAnsi="仿宋" w:eastAsia="仿宋"/>
          <w:bCs/>
          <w:color w:val="auto"/>
          <w:sz w:val="28"/>
          <w:szCs w:val="28"/>
        </w:rPr>
        <w:t>17.2</w:t>
      </w:r>
      <w:r>
        <w:rPr>
          <w:rFonts w:hint="eastAsia" w:ascii="仿宋" w:hAnsi="仿宋" w:eastAsia="仿宋"/>
          <w:bCs/>
          <w:color w:val="auto"/>
          <w:sz w:val="28"/>
          <w:szCs w:val="28"/>
        </w:rPr>
        <w:t>在备件停产的情况下，供方应事先将要停止生产的计划通知需方使需方有足够的时间采购所需的备件；</w:t>
      </w:r>
    </w:p>
    <w:p>
      <w:pPr>
        <w:spacing w:line="440" w:lineRule="exact"/>
        <w:ind w:firstLine="560" w:firstLineChars="200"/>
        <w:rPr>
          <w:rFonts w:ascii="仿宋" w:hAnsi="仿宋" w:eastAsia="仿宋"/>
          <w:color w:val="auto"/>
          <w:sz w:val="28"/>
          <w:szCs w:val="28"/>
        </w:rPr>
      </w:pPr>
      <w:r>
        <w:rPr>
          <w:rFonts w:ascii="仿宋" w:hAnsi="仿宋" w:eastAsia="仿宋"/>
          <w:bCs/>
          <w:color w:val="auto"/>
          <w:sz w:val="28"/>
          <w:szCs w:val="28"/>
        </w:rPr>
        <w:t>17.3</w:t>
      </w:r>
      <w:r>
        <w:rPr>
          <w:rFonts w:hint="eastAsia" w:ascii="仿宋" w:hAnsi="仿宋" w:eastAsia="仿宋"/>
          <w:bCs/>
          <w:color w:val="auto"/>
          <w:sz w:val="28"/>
          <w:szCs w:val="28"/>
        </w:rPr>
        <w:t>在备件停产后，如果需方要求，供方应免费向需方提供备件的蓝图等相关技术资料。</w:t>
      </w:r>
    </w:p>
    <w:p>
      <w:pPr>
        <w:spacing w:line="440" w:lineRule="exact"/>
        <w:rPr>
          <w:rFonts w:ascii="仿宋" w:hAnsi="仿宋" w:eastAsia="仿宋"/>
          <w:b/>
          <w:bCs/>
          <w:color w:val="auto"/>
          <w:sz w:val="28"/>
          <w:szCs w:val="28"/>
        </w:rPr>
      </w:pPr>
      <w:r>
        <w:rPr>
          <w:rFonts w:ascii="仿宋" w:hAnsi="仿宋" w:eastAsia="仿宋"/>
          <w:b/>
          <w:bCs/>
          <w:color w:val="auto"/>
          <w:sz w:val="28"/>
          <w:szCs w:val="28"/>
        </w:rPr>
        <w:t>18.</w:t>
      </w:r>
      <w:r>
        <w:rPr>
          <w:rFonts w:hint="eastAsia" w:ascii="仿宋" w:hAnsi="仿宋" w:eastAsia="仿宋"/>
          <w:b/>
          <w:bCs/>
          <w:color w:val="auto"/>
          <w:sz w:val="28"/>
          <w:szCs w:val="28"/>
        </w:rPr>
        <w:t>技术质量保证</w:t>
      </w:r>
    </w:p>
    <w:p>
      <w:pPr>
        <w:spacing w:line="440" w:lineRule="exact"/>
        <w:ind w:firstLine="560" w:firstLineChars="200"/>
        <w:rPr>
          <w:rFonts w:ascii="仿宋" w:hAnsi="仿宋" w:eastAsia="仿宋"/>
          <w:color w:val="auto"/>
          <w:spacing w:val="-4"/>
          <w:sz w:val="28"/>
          <w:szCs w:val="28"/>
        </w:rPr>
      </w:pPr>
      <w:r>
        <w:rPr>
          <w:rFonts w:ascii="仿宋" w:hAnsi="仿宋" w:eastAsia="仿宋"/>
          <w:color w:val="auto"/>
          <w:sz w:val="28"/>
          <w:szCs w:val="28"/>
        </w:rPr>
        <w:t>18.1</w:t>
      </w:r>
      <w:r>
        <w:rPr>
          <w:rFonts w:hint="eastAsia" w:ascii="仿宋" w:hAnsi="仿宋" w:eastAsia="仿宋"/>
          <w:color w:val="auto"/>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18.2</w:t>
      </w:r>
      <w:r>
        <w:rPr>
          <w:rFonts w:hint="eastAsia" w:ascii="仿宋" w:hAnsi="仿宋" w:eastAsia="仿宋"/>
          <w:color w:val="auto"/>
          <w:sz w:val="28"/>
          <w:szCs w:val="28"/>
        </w:rPr>
        <w:t>合同货物提交前，供方应将其有关技术资料一套，如使用指南或服务手册和示意图提交给需方；</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18.3</w:t>
      </w:r>
      <w:r>
        <w:rPr>
          <w:rFonts w:hint="eastAsia" w:ascii="仿宋" w:hAnsi="仿宋" w:eastAsia="仿宋"/>
          <w:color w:val="auto"/>
          <w:sz w:val="28"/>
          <w:szCs w:val="28"/>
        </w:rPr>
        <w:t>质保期以项目安装完毕并经采购人组织验收合格起计算；</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18.4</w:t>
      </w:r>
      <w:r>
        <w:rPr>
          <w:rFonts w:hint="eastAsia" w:ascii="仿宋" w:hAnsi="仿宋" w:eastAsia="仿宋"/>
          <w:color w:val="auto"/>
          <w:sz w:val="28"/>
          <w:szCs w:val="28"/>
        </w:rPr>
        <w:t>供方对提供的货物执行一定的保质期限，供方应对保质期内由于货物的缺陷（非人为因素）而引发的任何不足负责，费用由供方承担；</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18.5</w:t>
      </w:r>
      <w:r>
        <w:rPr>
          <w:rFonts w:hint="eastAsia" w:ascii="仿宋" w:hAnsi="仿宋" w:eastAsia="仿宋"/>
          <w:color w:val="auto"/>
          <w:sz w:val="28"/>
          <w:szCs w:val="28"/>
        </w:rPr>
        <w:t>需方应尽快以书面形式通知供方由于货物缺陷而发生的索赔；</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18.6</w:t>
      </w:r>
      <w:r>
        <w:rPr>
          <w:rFonts w:hint="eastAsia" w:ascii="仿宋" w:hAnsi="仿宋" w:eastAsia="仿宋"/>
          <w:color w:val="auto"/>
          <w:sz w:val="28"/>
          <w:szCs w:val="28"/>
        </w:rPr>
        <w:t>供方在收到通知后</w:t>
      </w:r>
      <w:r>
        <w:rPr>
          <w:rFonts w:ascii="仿宋" w:hAnsi="仿宋" w:eastAsia="仿宋"/>
          <w:color w:val="auto"/>
          <w:sz w:val="28"/>
          <w:szCs w:val="28"/>
        </w:rPr>
        <w:t>3</w:t>
      </w:r>
      <w:r>
        <w:rPr>
          <w:rFonts w:hint="eastAsia" w:ascii="仿宋" w:hAnsi="仿宋" w:eastAsia="仿宋"/>
          <w:color w:val="auto"/>
          <w:sz w:val="28"/>
          <w:szCs w:val="28"/>
        </w:rPr>
        <w:t>天内应免费更换有缺陷的材料；</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18.7</w:t>
      </w:r>
      <w:r>
        <w:rPr>
          <w:rFonts w:hint="eastAsia" w:ascii="仿宋" w:hAnsi="仿宋" w:eastAsia="仿宋"/>
          <w:color w:val="auto"/>
          <w:sz w:val="28"/>
          <w:szCs w:val="28"/>
        </w:rPr>
        <w:t>如果供方在收到通知后</w:t>
      </w:r>
      <w:r>
        <w:rPr>
          <w:rFonts w:ascii="仿宋" w:hAnsi="仿宋" w:eastAsia="仿宋"/>
          <w:color w:val="auto"/>
          <w:sz w:val="28"/>
          <w:szCs w:val="28"/>
        </w:rPr>
        <w:t>3</w:t>
      </w:r>
      <w:r>
        <w:rPr>
          <w:rFonts w:hint="eastAsia" w:ascii="仿宋" w:hAnsi="仿宋" w:eastAsia="仿宋"/>
          <w:color w:val="auto"/>
          <w:sz w:val="28"/>
          <w:szCs w:val="28"/>
        </w:rPr>
        <w:t>天内没有弥补缺陷，需方可采取必要的补救措施，但风险和费用将由供方负责。</w:t>
      </w:r>
    </w:p>
    <w:p>
      <w:pPr>
        <w:spacing w:line="440" w:lineRule="exact"/>
        <w:rPr>
          <w:rFonts w:ascii="仿宋" w:hAnsi="仿宋" w:eastAsia="仿宋"/>
          <w:b/>
          <w:bCs/>
          <w:color w:val="auto"/>
          <w:sz w:val="28"/>
          <w:szCs w:val="28"/>
        </w:rPr>
      </w:pPr>
      <w:r>
        <w:rPr>
          <w:rFonts w:ascii="仿宋" w:hAnsi="仿宋" w:eastAsia="仿宋"/>
          <w:b/>
          <w:bCs/>
          <w:color w:val="auto"/>
          <w:sz w:val="28"/>
          <w:szCs w:val="28"/>
        </w:rPr>
        <w:t>19.</w:t>
      </w:r>
      <w:r>
        <w:rPr>
          <w:rFonts w:hint="eastAsia" w:ascii="仿宋" w:hAnsi="仿宋" w:eastAsia="仿宋"/>
          <w:b/>
          <w:bCs/>
          <w:color w:val="auto"/>
          <w:sz w:val="28"/>
          <w:szCs w:val="28"/>
        </w:rPr>
        <w:t>检验和测试</w:t>
      </w:r>
    </w:p>
    <w:p>
      <w:pPr>
        <w:widowControl/>
        <w:autoSpaceDE w:val="0"/>
        <w:autoSpaceDN w:val="0"/>
        <w:spacing w:line="440" w:lineRule="exact"/>
        <w:ind w:firstLine="560" w:firstLineChars="200"/>
        <w:textAlignment w:val="bottom"/>
        <w:rPr>
          <w:rFonts w:ascii="仿宋" w:hAnsi="仿宋" w:eastAsia="仿宋"/>
          <w:color w:val="auto"/>
          <w:sz w:val="28"/>
          <w:szCs w:val="28"/>
        </w:rPr>
      </w:pPr>
      <w:r>
        <w:rPr>
          <w:rFonts w:ascii="仿宋" w:hAnsi="仿宋" w:eastAsia="仿宋"/>
          <w:color w:val="auto"/>
          <w:sz w:val="28"/>
          <w:szCs w:val="28"/>
        </w:rPr>
        <w:t>19.1</w:t>
      </w:r>
      <w:r>
        <w:rPr>
          <w:rFonts w:hint="eastAsia" w:ascii="仿宋" w:hAnsi="仿宋" w:eastAsia="仿宋"/>
          <w:color w:val="auto"/>
          <w:sz w:val="28"/>
          <w:szCs w:val="28"/>
        </w:rPr>
        <w:t>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19.2</w:t>
      </w:r>
      <w:r>
        <w:rPr>
          <w:rFonts w:hint="eastAsia" w:ascii="仿宋" w:hAnsi="仿宋" w:eastAsia="仿宋"/>
          <w:color w:val="auto"/>
          <w:sz w:val="28"/>
          <w:szCs w:val="28"/>
        </w:rPr>
        <w:t>检验和测试应在货物的最终目的地进行；</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19.3</w:t>
      </w:r>
      <w:r>
        <w:rPr>
          <w:rFonts w:hint="eastAsia" w:ascii="仿宋" w:hAnsi="仿宋" w:eastAsia="仿宋"/>
          <w:color w:val="auto"/>
          <w:sz w:val="28"/>
          <w:szCs w:val="28"/>
        </w:rPr>
        <w:t>如果任何被检验或测试的货物不能满足规定要求，需方可以拒绝接受该货物，供方应更换被拒绝的货物，或者免费进行必要的修改以满足规定的要求；</w:t>
      </w:r>
    </w:p>
    <w:p>
      <w:pPr>
        <w:widowControl/>
        <w:autoSpaceDE w:val="0"/>
        <w:autoSpaceDN w:val="0"/>
        <w:spacing w:line="440" w:lineRule="exact"/>
        <w:ind w:firstLine="560" w:firstLineChars="200"/>
        <w:textAlignment w:val="bottom"/>
        <w:rPr>
          <w:rFonts w:ascii="仿宋" w:hAnsi="仿宋" w:eastAsia="仿宋"/>
          <w:color w:val="auto"/>
          <w:sz w:val="28"/>
          <w:szCs w:val="28"/>
        </w:rPr>
      </w:pPr>
      <w:r>
        <w:rPr>
          <w:rFonts w:ascii="仿宋" w:hAnsi="仿宋" w:eastAsia="仿宋"/>
          <w:color w:val="auto"/>
          <w:sz w:val="28"/>
          <w:szCs w:val="28"/>
        </w:rPr>
        <w:t xml:space="preserve">19.4 </w:t>
      </w:r>
      <w:r>
        <w:rPr>
          <w:rFonts w:hint="eastAsia" w:ascii="仿宋" w:hAnsi="仿宋" w:eastAsia="仿宋"/>
          <w:color w:val="auto"/>
          <w:sz w:val="28"/>
          <w:szCs w:val="28"/>
        </w:rPr>
        <w:t>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ascii="仿宋" w:hAnsi="仿宋" w:eastAsia="仿宋"/>
          <w:b/>
          <w:bCs/>
          <w:color w:val="auto"/>
          <w:sz w:val="28"/>
          <w:szCs w:val="28"/>
        </w:rPr>
      </w:pPr>
      <w:r>
        <w:rPr>
          <w:rFonts w:ascii="仿宋" w:hAnsi="仿宋" w:eastAsia="仿宋"/>
          <w:b/>
          <w:bCs/>
          <w:color w:val="auto"/>
          <w:sz w:val="28"/>
          <w:szCs w:val="28"/>
        </w:rPr>
        <w:t>20.</w:t>
      </w:r>
      <w:r>
        <w:rPr>
          <w:rFonts w:hint="eastAsia" w:ascii="仿宋" w:hAnsi="仿宋" w:eastAsia="仿宋"/>
          <w:b/>
          <w:bCs/>
          <w:color w:val="auto"/>
          <w:sz w:val="28"/>
          <w:szCs w:val="28"/>
        </w:rPr>
        <w:t>验收</w:t>
      </w:r>
    </w:p>
    <w:p>
      <w:pPr>
        <w:spacing w:line="440" w:lineRule="exact"/>
        <w:ind w:firstLine="560" w:firstLineChars="200"/>
        <w:rPr>
          <w:rFonts w:ascii="仿宋" w:hAnsi="仿宋" w:eastAsia="仿宋"/>
          <w:color w:val="auto"/>
          <w:sz w:val="28"/>
        </w:rPr>
      </w:pPr>
      <w:r>
        <w:rPr>
          <w:rFonts w:ascii="仿宋" w:hAnsi="仿宋" w:eastAsia="仿宋"/>
          <w:color w:val="auto"/>
          <w:sz w:val="28"/>
          <w:szCs w:val="28"/>
        </w:rPr>
        <w:t>20.1</w:t>
      </w:r>
      <w:r>
        <w:rPr>
          <w:rFonts w:hint="eastAsia" w:ascii="仿宋" w:hAnsi="仿宋" w:eastAsia="仿宋"/>
          <w:color w:val="auto"/>
          <w:sz w:val="28"/>
          <w:szCs w:val="28"/>
        </w:rPr>
        <w:t>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560" w:firstLineChars="200"/>
        <w:textAlignment w:val="bottom"/>
        <w:rPr>
          <w:rFonts w:ascii="仿宋" w:hAnsi="仿宋" w:eastAsia="仿宋"/>
          <w:color w:val="auto"/>
          <w:sz w:val="28"/>
        </w:rPr>
      </w:pPr>
      <w:r>
        <w:rPr>
          <w:rFonts w:ascii="仿宋" w:hAnsi="仿宋" w:eastAsia="仿宋"/>
          <w:color w:val="auto"/>
          <w:sz w:val="28"/>
        </w:rPr>
        <w:t xml:space="preserve">20.2 </w:t>
      </w:r>
      <w:r>
        <w:rPr>
          <w:rFonts w:hint="eastAsia" w:ascii="仿宋" w:hAnsi="仿宋" w:eastAsia="仿宋"/>
          <w:color w:val="auto"/>
          <w:sz w:val="28"/>
        </w:rPr>
        <w:t>验收费用由供方承担。</w:t>
      </w:r>
    </w:p>
    <w:p>
      <w:pPr>
        <w:spacing w:line="440" w:lineRule="exact"/>
        <w:rPr>
          <w:rFonts w:ascii="仿宋" w:hAnsi="仿宋" w:eastAsia="仿宋"/>
          <w:b/>
          <w:bCs/>
          <w:color w:val="auto"/>
          <w:sz w:val="28"/>
          <w:szCs w:val="28"/>
        </w:rPr>
      </w:pPr>
      <w:r>
        <w:rPr>
          <w:rFonts w:ascii="仿宋" w:hAnsi="仿宋" w:eastAsia="仿宋"/>
          <w:b/>
          <w:bCs/>
          <w:color w:val="auto"/>
          <w:sz w:val="28"/>
          <w:szCs w:val="28"/>
        </w:rPr>
        <w:t>21.</w:t>
      </w:r>
      <w:r>
        <w:rPr>
          <w:rFonts w:hint="eastAsia" w:ascii="仿宋" w:hAnsi="仿宋" w:eastAsia="仿宋"/>
          <w:b/>
          <w:bCs/>
          <w:color w:val="auto"/>
          <w:sz w:val="28"/>
          <w:szCs w:val="28"/>
        </w:rPr>
        <w:t>索赔</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21.1</w:t>
      </w:r>
      <w:r>
        <w:rPr>
          <w:rFonts w:hint="eastAsia" w:ascii="仿宋" w:hAnsi="仿宋" w:eastAsia="仿宋"/>
          <w:color w:val="auto"/>
          <w:sz w:val="28"/>
          <w:szCs w:val="28"/>
        </w:rPr>
        <w:t>如果供方对偏差负有责任而需方在合同条款规定的检验、安装、调试、验收和质量保证期内提出了索赔，供方应按照需方同意的下列一种或几种方式结合起来解决索赔事宜：</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21.1.1</w:t>
      </w:r>
      <w:r>
        <w:rPr>
          <w:rFonts w:hint="eastAsia" w:ascii="仿宋" w:hAnsi="仿宋" w:eastAsia="仿宋"/>
          <w:color w:val="auto"/>
          <w:sz w:val="28"/>
          <w:szCs w:val="28"/>
        </w:rPr>
        <w:t>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21.1.2</w:t>
      </w:r>
      <w:r>
        <w:rPr>
          <w:rFonts w:hint="eastAsia" w:ascii="仿宋" w:hAnsi="仿宋" w:eastAsia="仿宋"/>
          <w:color w:val="auto"/>
          <w:sz w:val="28"/>
          <w:szCs w:val="28"/>
        </w:rPr>
        <w:t>根据货物的偏差情况、损坏程度以及需方所遭受损失的金额，经供需双方商定降低货物的价格；</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21.1.3</w:t>
      </w:r>
      <w:r>
        <w:rPr>
          <w:rFonts w:hint="eastAsia" w:ascii="仿宋" w:hAnsi="仿宋" w:eastAsia="仿宋"/>
          <w:color w:val="auto"/>
          <w:sz w:val="28"/>
          <w:szCs w:val="28"/>
        </w:rPr>
        <w:t>用符合合同规定的规格、质量和性能要求的新零件、部件和</w:t>
      </w:r>
      <w:r>
        <w:rPr>
          <w:rFonts w:ascii="仿宋" w:hAnsi="仿宋" w:eastAsia="仿宋"/>
          <w:color w:val="auto"/>
          <w:sz w:val="28"/>
          <w:szCs w:val="28"/>
        </w:rPr>
        <w:t>/</w:t>
      </w:r>
      <w:r>
        <w:rPr>
          <w:rFonts w:hint="eastAsia" w:ascii="仿宋" w:hAnsi="仿宋" w:eastAsia="仿宋"/>
          <w:color w:val="auto"/>
          <w:sz w:val="28"/>
          <w:szCs w:val="28"/>
        </w:rPr>
        <w:t>或货物来更换有缺陷的部分和</w:t>
      </w:r>
      <w:r>
        <w:rPr>
          <w:rFonts w:ascii="仿宋" w:hAnsi="仿宋" w:eastAsia="仿宋"/>
          <w:color w:val="auto"/>
          <w:sz w:val="28"/>
          <w:szCs w:val="28"/>
        </w:rPr>
        <w:t>/</w:t>
      </w:r>
      <w:r>
        <w:rPr>
          <w:rFonts w:hint="eastAsia" w:ascii="仿宋" w:hAnsi="仿宋" w:eastAsia="仿宋"/>
          <w:color w:val="auto"/>
          <w:sz w:val="28"/>
          <w:szCs w:val="28"/>
        </w:rPr>
        <w:t>或修补缺陷部分，供方应承担一切费用和风险并负担需方蒙受的全部直接损失费用，同时，供方应按合同规定，相应延长所更换货物的质量保证期。</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21.1.4</w:t>
      </w:r>
      <w:r>
        <w:rPr>
          <w:rFonts w:hint="eastAsia" w:ascii="仿宋" w:hAnsi="仿宋" w:eastAsia="仿宋"/>
          <w:color w:val="auto"/>
          <w:sz w:val="28"/>
          <w:szCs w:val="28"/>
        </w:rPr>
        <w:t>如果在需方发出索赔通知后三十（</w:t>
      </w:r>
      <w:r>
        <w:rPr>
          <w:rFonts w:ascii="仿宋" w:hAnsi="仿宋" w:eastAsia="仿宋"/>
          <w:color w:val="auto"/>
          <w:sz w:val="28"/>
          <w:szCs w:val="28"/>
        </w:rPr>
        <w:t>30</w:t>
      </w:r>
      <w:r>
        <w:rPr>
          <w:rFonts w:hint="eastAsia" w:ascii="仿宋" w:hAnsi="仿宋" w:eastAsia="仿宋"/>
          <w:color w:val="auto"/>
          <w:sz w:val="28"/>
          <w:szCs w:val="28"/>
        </w:rPr>
        <w:t>）天内，供方未作答复，上述索赔应视为已被供方接受，如供方未能在需方发出索赔通知后三十（</w:t>
      </w:r>
      <w:r>
        <w:rPr>
          <w:rFonts w:ascii="仿宋" w:hAnsi="仿宋" w:eastAsia="仿宋"/>
          <w:color w:val="auto"/>
          <w:sz w:val="28"/>
          <w:szCs w:val="28"/>
        </w:rPr>
        <w:t>30</w:t>
      </w:r>
      <w:r>
        <w:rPr>
          <w:rFonts w:hint="eastAsia" w:ascii="仿宋" w:hAnsi="仿宋" w:eastAsia="仿宋"/>
          <w:color w:val="auto"/>
          <w:sz w:val="28"/>
          <w:szCs w:val="28"/>
        </w:rPr>
        <w:t>）天内或需方同意的延长期限内，按照需方同意的上述规定的任何一种方法解决索赔事宜，需方将以合同付款或从供方开具的履约保证金中扣回索赔金额。</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21.1.5</w:t>
      </w:r>
      <w:r>
        <w:rPr>
          <w:rFonts w:hint="eastAsia" w:ascii="仿宋" w:hAnsi="仿宋" w:eastAsia="仿宋"/>
          <w:color w:val="auto"/>
          <w:sz w:val="28"/>
          <w:szCs w:val="28"/>
        </w:rPr>
        <w:t>如果在合同条款规定的保质期内，根据质量检验机构的检验结果，发现货物的质量或规格与合同要求不符，或货物被证实有缺陷、包括潜在的缺陷或使用不合适的材料，需方应向供方提出索赔；</w:t>
      </w:r>
      <w:r>
        <w:rPr>
          <w:rFonts w:ascii="仿宋" w:hAnsi="仿宋" w:eastAsia="仿宋"/>
          <w:color w:val="auto"/>
          <w:sz w:val="28"/>
          <w:szCs w:val="28"/>
        </w:rPr>
        <w:t xml:space="preserve"> </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21.1.6</w:t>
      </w:r>
      <w:r>
        <w:rPr>
          <w:rFonts w:hint="eastAsia" w:ascii="仿宋" w:hAnsi="仿宋" w:eastAsia="仿宋"/>
          <w:color w:val="auto"/>
          <w:sz w:val="28"/>
          <w:szCs w:val="28"/>
        </w:rPr>
        <w:t>合同条款的规定不能免除供方在本合同项下的保证义务或其他义务。</w:t>
      </w:r>
    </w:p>
    <w:p>
      <w:pPr>
        <w:spacing w:line="440" w:lineRule="exact"/>
        <w:rPr>
          <w:rFonts w:ascii="仿宋" w:hAnsi="仿宋" w:eastAsia="仿宋"/>
          <w:b/>
          <w:bCs/>
          <w:color w:val="auto"/>
          <w:sz w:val="28"/>
          <w:szCs w:val="28"/>
        </w:rPr>
      </w:pPr>
      <w:r>
        <w:rPr>
          <w:rFonts w:ascii="仿宋" w:hAnsi="仿宋" w:eastAsia="仿宋"/>
          <w:b/>
          <w:bCs/>
          <w:color w:val="auto"/>
          <w:sz w:val="28"/>
          <w:szCs w:val="28"/>
        </w:rPr>
        <w:t>22.</w:t>
      </w:r>
      <w:r>
        <w:rPr>
          <w:rFonts w:hint="eastAsia" w:ascii="仿宋" w:hAnsi="仿宋" w:eastAsia="仿宋"/>
          <w:b/>
          <w:bCs/>
          <w:color w:val="auto"/>
          <w:sz w:val="28"/>
          <w:szCs w:val="28"/>
        </w:rPr>
        <w:t>迟交货</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22.1</w:t>
      </w:r>
      <w:r>
        <w:rPr>
          <w:rFonts w:hint="eastAsia" w:ascii="仿宋" w:hAnsi="仿宋" w:eastAsia="仿宋"/>
          <w:color w:val="auto"/>
          <w:sz w:val="28"/>
          <w:szCs w:val="28"/>
        </w:rPr>
        <w:t>需方的“供货计划一览表”在合同签订的同时提交给供方。供方需按照需方提供的“供货计划一览表”中规定的时间、数量交货和提供服务；</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22.2</w:t>
      </w:r>
      <w:r>
        <w:rPr>
          <w:rFonts w:hint="eastAsia" w:ascii="仿宋" w:hAnsi="仿宋" w:eastAsia="仿宋"/>
          <w:color w:val="auto"/>
          <w:sz w:val="28"/>
          <w:szCs w:val="28"/>
        </w:rPr>
        <w:t>在供货期间，如遇中标货物型号停产或市场断货，供方可在不改变品牌并获取需方书面同意后提供相当于（或优于）中标货物技术性能、档次的替代产品；</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22.3</w:t>
      </w:r>
      <w:r>
        <w:rPr>
          <w:rFonts w:hint="eastAsia" w:ascii="仿宋" w:hAnsi="仿宋" w:eastAsia="仿宋"/>
          <w:color w:val="auto"/>
          <w:sz w:val="28"/>
          <w:szCs w:val="28"/>
        </w:rPr>
        <w:t>如果供方毫无理由地拖延交货，将受到以下制裁：赔偿损失或终止合同；</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22.4</w:t>
      </w:r>
      <w:r>
        <w:rPr>
          <w:rFonts w:hint="eastAsia" w:ascii="仿宋" w:hAnsi="仿宋" w:eastAsia="仿宋"/>
          <w:color w:val="auto"/>
          <w:sz w:val="28"/>
          <w:szCs w:val="28"/>
        </w:rPr>
        <w:t>在履行合同过程中，如果供方遇到不能按时交货和提供服务的情况，应及时以书面形式将不能按时交货的理由、延误时间通知需方，并承担由此造成的法律和经济责任；</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22.5</w:t>
      </w:r>
      <w:r>
        <w:rPr>
          <w:rFonts w:hint="eastAsia" w:ascii="仿宋" w:hAnsi="仿宋" w:eastAsia="仿宋"/>
          <w:color w:val="auto"/>
          <w:sz w:val="28"/>
          <w:szCs w:val="28"/>
        </w:rPr>
        <w:t>供方按照“供货计划一览表”中规定的时间、数量如期供货，需方由于自身原因无法及时验收，造成货物积压，需方应赔偿由此给供方所造成的直接损失费用。</w:t>
      </w:r>
    </w:p>
    <w:p>
      <w:pPr>
        <w:spacing w:line="440" w:lineRule="exact"/>
        <w:rPr>
          <w:rFonts w:ascii="仿宋" w:hAnsi="仿宋" w:eastAsia="仿宋"/>
          <w:b/>
          <w:bCs/>
          <w:color w:val="auto"/>
          <w:sz w:val="28"/>
          <w:szCs w:val="28"/>
        </w:rPr>
      </w:pPr>
      <w:r>
        <w:rPr>
          <w:rFonts w:ascii="仿宋" w:hAnsi="仿宋" w:eastAsia="仿宋"/>
          <w:b/>
          <w:bCs/>
          <w:color w:val="auto"/>
          <w:sz w:val="28"/>
          <w:szCs w:val="28"/>
        </w:rPr>
        <w:t>23.</w:t>
      </w:r>
      <w:r>
        <w:rPr>
          <w:rFonts w:hint="eastAsia" w:ascii="仿宋" w:hAnsi="仿宋" w:eastAsia="仿宋"/>
          <w:b/>
          <w:bCs/>
          <w:color w:val="auto"/>
          <w:sz w:val="28"/>
          <w:szCs w:val="28"/>
        </w:rPr>
        <w:t>不可抗力</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23.1</w:t>
      </w:r>
      <w:r>
        <w:rPr>
          <w:rFonts w:hint="eastAsia" w:ascii="仿宋" w:hAnsi="仿宋" w:eastAsia="仿宋"/>
          <w:color w:val="auto"/>
          <w:sz w:val="28"/>
          <w:szCs w:val="28"/>
        </w:rPr>
        <w:t>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23.2</w:t>
      </w:r>
      <w:r>
        <w:rPr>
          <w:rFonts w:hint="eastAsia" w:ascii="仿宋" w:hAnsi="仿宋" w:eastAsia="仿宋"/>
          <w:color w:val="auto"/>
          <w:sz w:val="28"/>
          <w:szCs w:val="28"/>
        </w:rPr>
        <w:t>受事故影响的一方应在不可抗力发生后</w:t>
      </w:r>
      <w:r>
        <w:rPr>
          <w:rFonts w:ascii="仿宋" w:hAnsi="仿宋" w:eastAsia="仿宋"/>
          <w:color w:val="auto"/>
          <w:sz w:val="28"/>
          <w:szCs w:val="28"/>
        </w:rPr>
        <w:t>3</w:t>
      </w:r>
      <w:r>
        <w:rPr>
          <w:rFonts w:hint="eastAsia" w:ascii="仿宋" w:hAnsi="仿宋" w:eastAsia="仿宋"/>
          <w:color w:val="auto"/>
          <w:sz w:val="28"/>
          <w:szCs w:val="28"/>
        </w:rPr>
        <w:t>天内以电报或电传通知另一方，并在事故发生后</w:t>
      </w:r>
      <w:r>
        <w:rPr>
          <w:rFonts w:ascii="仿宋" w:hAnsi="仿宋" w:eastAsia="仿宋"/>
          <w:color w:val="auto"/>
          <w:sz w:val="28"/>
          <w:szCs w:val="28"/>
        </w:rPr>
        <w:t>14</w:t>
      </w:r>
      <w:r>
        <w:rPr>
          <w:rFonts w:hint="eastAsia" w:ascii="仿宋" w:hAnsi="仿宋" w:eastAsia="仿宋"/>
          <w:color w:val="auto"/>
          <w:sz w:val="28"/>
          <w:szCs w:val="28"/>
        </w:rPr>
        <w:t>天内，将有关部门出具的证明文件寄给另一方。</w:t>
      </w:r>
    </w:p>
    <w:p>
      <w:pPr>
        <w:spacing w:line="440" w:lineRule="exact"/>
        <w:rPr>
          <w:rFonts w:ascii="仿宋" w:hAnsi="仿宋" w:eastAsia="仿宋"/>
          <w:b/>
          <w:bCs/>
          <w:color w:val="auto"/>
          <w:sz w:val="28"/>
          <w:szCs w:val="28"/>
        </w:rPr>
      </w:pPr>
      <w:r>
        <w:rPr>
          <w:rFonts w:ascii="仿宋" w:hAnsi="仿宋" w:eastAsia="仿宋"/>
          <w:b/>
          <w:bCs/>
          <w:color w:val="auto"/>
          <w:sz w:val="28"/>
          <w:szCs w:val="28"/>
        </w:rPr>
        <w:t>24.</w:t>
      </w:r>
      <w:r>
        <w:rPr>
          <w:rFonts w:hint="eastAsia" w:ascii="仿宋" w:hAnsi="仿宋" w:eastAsia="仿宋"/>
          <w:b/>
          <w:bCs/>
          <w:color w:val="auto"/>
          <w:sz w:val="28"/>
          <w:szCs w:val="28"/>
        </w:rPr>
        <w:t>税</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本合同执行中相关的一切税费均由供方负担。</w:t>
      </w:r>
    </w:p>
    <w:p>
      <w:pPr>
        <w:spacing w:line="440" w:lineRule="exact"/>
        <w:rPr>
          <w:rFonts w:ascii="仿宋" w:hAnsi="仿宋" w:eastAsia="仿宋"/>
          <w:b/>
          <w:bCs/>
          <w:color w:val="auto"/>
          <w:sz w:val="28"/>
          <w:szCs w:val="28"/>
        </w:rPr>
      </w:pPr>
      <w:r>
        <w:rPr>
          <w:rFonts w:ascii="仿宋" w:hAnsi="仿宋" w:eastAsia="仿宋"/>
          <w:b/>
          <w:bCs/>
          <w:color w:val="auto"/>
          <w:sz w:val="28"/>
          <w:szCs w:val="28"/>
        </w:rPr>
        <w:t>25.</w:t>
      </w:r>
      <w:r>
        <w:rPr>
          <w:rFonts w:hint="eastAsia" w:ascii="仿宋" w:hAnsi="仿宋" w:eastAsia="仿宋"/>
          <w:b/>
          <w:bCs/>
          <w:color w:val="auto"/>
          <w:sz w:val="28"/>
          <w:szCs w:val="28"/>
        </w:rPr>
        <w:t>供方履约延误</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25.1</w:t>
      </w:r>
      <w:r>
        <w:rPr>
          <w:rFonts w:hint="eastAsia" w:ascii="仿宋" w:hAnsi="仿宋" w:eastAsia="仿宋"/>
          <w:color w:val="auto"/>
          <w:sz w:val="28"/>
          <w:szCs w:val="28"/>
        </w:rPr>
        <w:t>供方应按照“供货计划一览表”中需方规定的时间表交货和提供服务；</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25.2</w:t>
      </w:r>
      <w:r>
        <w:rPr>
          <w:rFonts w:hint="eastAsia" w:ascii="仿宋" w:hAnsi="仿宋" w:eastAsia="仿宋"/>
          <w:color w:val="auto"/>
          <w:sz w:val="28"/>
          <w:szCs w:val="28"/>
        </w:rPr>
        <w:t>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25.3</w:t>
      </w:r>
      <w:r>
        <w:rPr>
          <w:rFonts w:hint="eastAsia" w:ascii="仿宋" w:hAnsi="仿宋" w:eastAsia="仿宋"/>
          <w:color w:val="auto"/>
          <w:sz w:val="28"/>
          <w:szCs w:val="28"/>
        </w:rPr>
        <w:t>除了合同条款规定的情况外，除非拖延是根据合同条款的规定并取得双方同意而不收取误期赔偿费之外，供方延误交货将按合同条款的规定被收取误期赔偿费。</w:t>
      </w:r>
    </w:p>
    <w:p>
      <w:pPr>
        <w:spacing w:line="440" w:lineRule="exact"/>
        <w:rPr>
          <w:rFonts w:ascii="仿宋" w:hAnsi="仿宋" w:eastAsia="仿宋"/>
          <w:b/>
          <w:bCs/>
          <w:color w:val="auto"/>
          <w:sz w:val="28"/>
          <w:szCs w:val="28"/>
        </w:rPr>
      </w:pPr>
      <w:r>
        <w:rPr>
          <w:rFonts w:ascii="仿宋" w:hAnsi="仿宋" w:eastAsia="仿宋"/>
          <w:b/>
          <w:bCs/>
          <w:color w:val="auto"/>
          <w:sz w:val="28"/>
          <w:szCs w:val="28"/>
        </w:rPr>
        <w:t>26.</w:t>
      </w:r>
      <w:r>
        <w:rPr>
          <w:rFonts w:hint="eastAsia" w:ascii="仿宋" w:hAnsi="仿宋" w:eastAsia="仿宋"/>
          <w:b/>
          <w:bCs/>
          <w:color w:val="auto"/>
          <w:sz w:val="28"/>
          <w:szCs w:val="28"/>
        </w:rPr>
        <w:t>误期赔偿费</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除了合同条款规定的情况外，如果供方没有按照合同规定的时间交货和提供服务，需方应在不影响合同项下的其他补救措施的情况下，以合同价款中扣除误期赔偿费。延期</w:t>
      </w:r>
      <w:r>
        <w:rPr>
          <w:rFonts w:ascii="仿宋" w:hAnsi="仿宋" w:eastAsia="仿宋"/>
          <w:color w:val="auto"/>
          <w:sz w:val="28"/>
          <w:szCs w:val="28"/>
        </w:rPr>
        <w:t>10</w:t>
      </w:r>
      <w:r>
        <w:rPr>
          <w:rFonts w:hint="eastAsia" w:ascii="仿宋" w:hAnsi="仿宋" w:eastAsia="仿宋"/>
          <w:color w:val="auto"/>
          <w:sz w:val="28"/>
          <w:szCs w:val="28"/>
        </w:rPr>
        <w:t>天以内每延期一天扣罚合同价款的百分之零点五（</w:t>
      </w:r>
      <w:r>
        <w:rPr>
          <w:rFonts w:ascii="仿宋" w:hAnsi="仿宋" w:eastAsia="仿宋"/>
          <w:color w:val="auto"/>
          <w:sz w:val="28"/>
          <w:szCs w:val="28"/>
        </w:rPr>
        <w:t>0.5%</w:t>
      </w:r>
      <w:r>
        <w:rPr>
          <w:rFonts w:hint="eastAsia" w:ascii="仿宋" w:hAnsi="仿宋" w:eastAsia="仿宋"/>
          <w:color w:val="auto"/>
          <w:sz w:val="28"/>
          <w:szCs w:val="28"/>
        </w:rPr>
        <w:t>），延期</w:t>
      </w:r>
      <w:r>
        <w:rPr>
          <w:rFonts w:ascii="仿宋" w:hAnsi="仿宋" w:eastAsia="仿宋"/>
          <w:color w:val="auto"/>
          <w:sz w:val="28"/>
          <w:szCs w:val="28"/>
        </w:rPr>
        <w:t>10</w:t>
      </w:r>
      <w:r>
        <w:rPr>
          <w:rFonts w:hint="eastAsia" w:ascii="仿宋" w:hAnsi="仿宋" w:eastAsia="仿宋"/>
          <w:color w:val="auto"/>
          <w:sz w:val="28"/>
          <w:szCs w:val="28"/>
        </w:rPr>
        <w:t>天以上每延期一天扣罚合同价款的百分之一（</w:t>
      </w:r>
      <w:r>
        <w:rPr>
          <w:rFonts w:ascii="仿宋" w:hAnsi="仿宋" w:eastAsia="仿宋"/>
          <w:color w:val="auto"/>
          <w:sz w:val="28"/>
          <w:szCs w:val="28"/>
        </w:rPr>
        <w:t>1%</w:t>
      </w:r>
      <w:r>
        <w:rPr>
          <w:rFonts w:hint="eastAsia" w:ascii="仿宋" w:hAnsi="仿宋" w:eastAsia="仿宋"/>
          <w:color w:val="auto"/>
          <w:sz w:val="28"/>
          <w:szCs w:val="28"/>
        </w:rPr>
        <w:t>），累计在履约保证金中扣除，若履约保证金扣完不够，继续从合同价款中扣除。</w:t>
      </w:r>
    </w:p>
    <w:p>
      <w:pPr>
        <w:spacing w:line="440" w:lineRule="exact"/>
        <w:rPr>
          <w:rFonts w:ascii="仿宋" w:hAnsi="仿宋" w:eastAsia="仿宋"/>
          <w:b/>
          <w:bCs/>
          <w:color w:val="auto"/>
          <w:sz w:val="28"/>
          <w:szCs w:val="28"/>
        </w:rPr>
      </w:pPr>
      <w:r>
        <w:rPr>
          <w:rFonts w:ascii="仿宋" w:hAnsi="仿宋" w:eastAsia="仿宋"/>
          <w:b/>
          <w:bCs/>
          <w:color w:val="auto"/>
          <w:sz w:val="28"/>
          <w:szCs w:val="28"/>
        </w:rPr>
        <w:t>27.</w:t>
      </w:r>
      <w:r>
        <w:rPr>
          <w:rFonts w:hint="eastAsia" w:ascii="仿宋" w:hAnsi="仿宋" w:eastAsia="仿宋"/>
          <w:b/>
          <w:bCs/>
          <w:color w:val="auto"/>
          <w:sz w:val="28"/>
          <w:szCs w:val="28"/>
        </w:rPr>
        <w:t>违约终止合同</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27.1</w:t>
      </w:r>
      <w:r>
        <w:rPr>
          <w:rFonts w:hint="eastAsia" w:ascii="仿宋" w:hAnsi="仿宋" w:eastAsia="仿宋"/>
          <w:color w:val="auto"/>
          <w:sz w:val="28"/>
          <w:szCs w:val="28"/>
        </w:rPr>
        <w:t>在需方对供方违约而采取的任何补救措施不受影响的情况下，需方可向供方发出书面违约通知书，提出终止部分或全部合同；</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27.2</w:t>
      </w:r>
      <w:r>
        <w:rPr>
          <w:rFonts w:hint="eastAsia" w:ascii="仿宋" w:hAnsi="仿宋" w:eastAsia="仿宋"/>
          <w:color w:val="auto"/>
          <w:sz w:val="28"/>
          <w:szCs w:val="28"/>
        </w:rPr>
        <w:t>如果供方未能在合同规定的期限内或需方根据合同条款的规定同意延长的期限内提供部分或全部货物；</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27.3</w:t>
      </w:r>
      <w:r>
        <w:rPr>
          <w:rFonts w:hint="eastAsia" w:ascii="仿宋" w:hAnsi="仿宋" w:eastAsia="仿宋"/>
          <w:color w:val="auto"/>
          <w:sz w:val="28"/>
          <w:szCs w:val="28"/>
        </w:rPr>
        <w:t>如果供方未能履行合同规定的其它任何义务；</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27.4</w:t>
      </w:r>
      <w:r>
        <w:rPr>
          <w:rFonts w:hint="eastAsia" w:ascii="仿宋" w:hAnsi="仿宋" w:eastAsia="仿宋"/>
          <w:color w:val="auto"/>
          <w:sz w:val="28"/>
          <w:szCs w:val="28"/>
        </w:rPr>
        <w:t>如果需方认为供方在本招投标竞争和合同实施过程中有腐败和欺诈行为。为此目的，定义下述条件：</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27.4.1</w:t>
      </w:r>
      <w:r>
        <w:rPr>
          <w:rFonts w:hint="eastAsia" w:ascii="仿宋" w:hAnsi="仿宋" w:eastAsia="仿宋"/>
          <w:color w:val="auto"/>
          <w:sz w:val="28"/>
          <w:szCs w:val="28"/>
        </w:rPr>
        <w:t>“腐败行为”是指提供、给予、接受或索取任何有价值的物品来影响公共官员在采购过程或合同实施过程中的行为；</w:t>
      </w:r>
    </w:p>
    <w:p>
      <w:pPr>
        <w:spacing w:line="440" w:lineRule="exact"/>
        <w:ind w:firstLine="560" w:firstLineChars="200"/>
        <w:rPr>
          <w:rFonts w:ascii="仿宋" w:hAnsi="仿宋" w:eastAsia="仿宋"/>
          <w:color w:val="auto"/>
          <w:sz w:val="28"/>
          <w:szCs w:val="28"/>
        </w:rPr>
      </w:pPr>
      <w:r>
        <w:rPr>
          <w:rFonts w:ascii="仿宋" w:hAnsi="仿宋" w:eastAsia="仿宋"/>
          <w:color w:val="auto"/>
          <w:sz w:val="28"/>
          <w:szCs w:val="28"/>
        </w:rPr>
        <w:t>27.4.2</w:t>
      </w:r>
      <w:r>
        <w:rPr>
          <w:rFonts w:hint="eastAsia" w:ascii="仿宋" w:hAnsi="仿宋" w:eastAsia="仿宋"/>
          <w:color w:val="auto"/>
          <w:sz w:val="28"/>
          <w:szCs w:val="28"/>
        </w:rPr>
        <w:t>“欺诈行为”是指为了影响采购过程或合同实施过程而谎报事实，损害需方利益的行为。</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27.5</w:t>
      </w:r>
      <w:r>
        <w:rPr>
          <w:rFonts w:hint="eastAsia" w:ascii="仿宋" w:hAnsi="仿宋" w:eastAsia="仿宋"/>
          <w:color w:val="auto"/>
          <w:sz w:val="28"/>
          <w:szCs w:val="28"/>
        </w:rPr>
        <w:t>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20" w:lineRule="exact"/>
        <w:rPr>
          <w:rFonts w:ascii="仿宋" w:hAnsi="仿宋" w:eastAsia="仿宋"/>
          <w:b/>
          <w:bCs/>
          <w:color w:val="auto"/>
          <w:sz w:val="28"/>
          <w:szCs w:val="28"/>
        </w:rPr>
      </w:pPr>
      <w:r>
        <w:rPr>
          <w:rFonts w:ascii="仿宋" w:hAnsi="仿宋" w:eastAsia="仿宋"/>
          <w:b/>
          <w:bCs/>
          <w:color w:val="auto"/>
          <w:sz w:val="28"/>
          <w:szCs w:val="28"/>
        </w:rPr>
        <w:t>28.</w:t>
      </w:r>
      <w:r>
        <w:rPr>
          <w:rFonts w:hint="eastAsia" w:ascii="仿宋" w:hAnsi="仿宋" w:eastAsia="仿宋"/>
          <w:b/>
          <w:bCs/>
          <w:color w:val="auto"/>
          <w:sz w:val="28"/>
          <w:szCs w:val="28"/>
        </w:rPr>
        <w:t>仲裁</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28.1</w:t>
      </w:r>
      <w:r>
        <w:rPr>
          <w:rFonts w:hint="eastAsia" w:ascii="仿宋" w:hAnsi="仿宋" w:eastAsia="仿宋"/>
          <w:color w:val="auto"/>
          <w:sz w:val="28"/>
          <w:szCs w:val="28"/>
        </w:rPr>
        <w:t>在执行本合同中所发生的或与本合同有关的一切争端，供需双方应通过友好协商解决，如从协商开始</w:t>
      </w:r>
      <w:r>
        <w:rPr>
          <w:rFonts w:ascii="仿宋" w:hAnsi="仿宋" w:eastAsia="仿宋"/>
          <w:color w:val="auto"/>
          <w:sz w:val="28"/>
          <w:szCs w:val="28"/>
        </w:rPr>
        <w:t>15</w:t>
      </w:r>
      <w:r>
        <w:rPr>
          <w:rFonts w:hint="eastAsia" w:ascii="仿宋" w:hAnsi="仿宋" w:eastAsia="仿宋"/>
          <w:color w:val="auto"/>
          <w:sz w:val="28"/>
          <w:szCs w:val="28"/>
        </w:rPr>
        <w:t>天内仍不能解决，双方应将争端提交湖州市仲裁委员会仲裁或直接向需方所在地的人民法院起诉；</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28.2</w:t>
      </w:r>
      <w:r>
        <w:rPr>
          <w:rFonts w:hint="eastAsia" w:ascii="仿宋" w:hAnsi="仿宋" w:eastAsia="仿宋"/>
          <w:color w:val="auto"/>
          <w:sz w:val="28"/>
          <w:szCs w:val="28"/>
        </w:rPr>
        <w:t>如果提请仲裁，仲裁裁决书应为终局裁决，对双方均有约束力；</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28.3</w:t>
      </w:r>
      <w:r>
        <w:rPr>
          <w:rFonts w:hint="eastAsia" w:ascii="仿宋" w:hAnsi="仿宋" w:eastAsia="仿宋"/>
          <w:color w:val="auto"/>
          <w:sz w:val="28"/>
          <w:szCs w:val="28"/>
        </w:rPr>
        <w:t>仲裁费用应由败诉方负担；</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28.4</w:t>
      </w:r>
      <w:r>
        <w:rPr>
          <w:rFonts w:hint="eastAsia" w:ascii="仿宋" w:hAnsi="仿宋" w:eastAsia="仿宋"/>
          <w:color w:val="auto"/>
          <w:sz w:val="28"/>
          <w:szCs w:val="28"/>
        </w:rPr>
        <w:t>如果向人民法院起诉，在收到判决书后，如有异议，有异议方应在收到判决书后在法定时间内提出上诉，逾期未提出的，判决有法律效力，双方应遵照执行；</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28.5</w:t>
      </w:r>
      <w:r>
        <w:rPr>
          <w:rFonts w:hint="eastAsia" w:ascii="仿宋" w:hAnsi="仿宋" w:eastAsia="仿宋"/>
          <w:color w:val="auto"/>
          <w:sz w:val="28"/>
          <w:szCs w:val="28"/>
        </w:rPr>
        <w:t>在仲裁或起诉期间，除进行仲裁或起诉的部分外，本合同其它部分应继续执行。</w:t>
      </w:r>
    </w:p>
    <w:p>
      <w:pPr>
        <w:spacing w:line="420" w:lineRule="exact"/>
        <w:rPr>
          <w:rFonts w:ascii="仿宋" w:hAnsi="仿宋" w:eastAsia="仿宋"/>
          <w:b/>
          <w:bCs/>
          <w:color w:val="auto"/>
          <w:sz w:val="28"/>
          <w:szCs w:val="28"/>
        </w:rPr>
      </w:pPr>
      <w:r>
        <w:rPr>
          <w:rFonts w:ascii="仿宋" w:hAnsi="仿宋" w:eastAsia="仿宋"/>
          <w:b/>
          <w:bCs/>
          <w:color w:val="auto"/>
          <w:sz w:val="28"/>
          <w:szCs w:val="28"/>
        </w:rPr>
        <w:t>29.</w:t>
      </w:r>
      <w:r>
        <w:rPr>
          <w:rFonts w:hint="eastAsia" w:ascii="仿宋" w:hAnsi="仿宋" w:eastAsia="仿宋"/>
          <w:b/>
          <w:bCs/>
          <w:color w:val="auto"/>
          <w:sz w:val="28"/>
          <w:szCs w:val="28"/>
        </w:rPr>
        <w:t>转让或分包</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29.1</w:t>
      </w:r>
      <w:r>
        <w:rPr>
          <w:rFonts w:hint="eastAsia" w:ascii="仿宋" w:hAnsi="仿宋" w:eastAsia="仿宋"/>
          <w:color w:val="auto"/>
          <w:sz w:val="28"/>
          <w:szCs w:val="28"/>
        </w:rPr>
        <w:t>本合同范围的货物，应由供方直接供应，不得转让他人供应；</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29.2</w:t>
      </w:r>
      <w:r>
        <w:rPr>
          <w:rFonts w:hint="eastAsia" w:ascii="仿宋" w:hAnsi="仿宋" w:eastAsia="仿宋"/>
          <w:color w:val="auto"/>
          <w:sz w:val="28"/>
          <w:szCs w:val="28"/>
        </w:rPr>
        <w:t>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29.3</w:t>
      </w:r>
      <w:r>
        <w:rPr>
          <w:rFonts w:hint="eastAsia" w:ascii="仿宋" w:hAnsi="仿宋" w:eastAsia="仿宋"/>
          <w:color w:val="auto"/>
          <w:sz w:val="28"/>
          <w:szCs w:val="28"/>
        </w:rPr>
        <w:t>本合同全部或部分的分包不能减轻供方承担的责任，供方仍须将分包人的任何行动、错误或疏忽当作是自己完成的并负全责；</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29.4</w:t>
      </w:r>
      <w:r>
        <w:rPr>
          <w:rFonts w:hint="eastAsia" w:ascii="仿宋" w:hAnsi="仿宋" w:eastAsia="仿宋"/>
          <w:color w:val="auto"/>
          <w:sz w:val="28"/>
          <w:szCs w:val="28"/>
        </w:rPr>
        <w:t>在任何分包合同中，须注明分包人按分包合同的范围履行，在供方按本合同的履行终止时（不论任何原因），亦同时一并终止；</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29.5</w:t>
      </w:r>
      <w:r>
        <w:rPr>
          <w:rFonts w:hint="eastAsia" w:ascii="仿宋" w:hAnsi="仿宋" w:eastAsia="仿宋"/>
          <w:color w:val="auto"/>
          <w:sz w:val="28"/>
          <w:szCs w:val="28"/>
        </w:rPr>
        <w:t>如有转让和未经需方同意的分包行为，需方有权给予终止合同。</w:t>
      </w:r>
    </w:p>
    <w:p>
      <w:pPr>
        <w:spacing w:line="420" w:lineRule="exact"/>
        <w:rPr>
          <w:rFonts w:ascii="仿宋" w:hAnsi="仿宋" w:eastAsia="仿宋"/>
          <w:b/>
          <w:bCs/>
          <w:color w:val="auto"/>
          <w:sz w:val="28"/>
          <w:szCs w:val="28"/>
        </w:rPr>
      </w:pPr>
      <w:r>
        <w:rPr>
          <w:rFonts w:ascii="仿宋" w:hAnsi="仿宋" w:eastAsia="仿宋"/>
          <w:b/>
          <w:bCs/>
          <w:color w:val="auto"/>
          <w:sz w:val="28"/>
          <w:szCs w:val="28"/>
        </w:rPr>
        <w:t>30.</w:t>
      </w:r>
      <w:r>
        <w:rPr>
          <w:rFonts w:hint="eastAsia" w:ascii="仿宋" w:hAnsi="仿宋" w:eastAsia="仿宋"/>
          <w:b/>
          <w:bCs/>
          <w:color w:val="auto"/>
          <w:sz w:val="28"/>
          <w:szCs w:val="28"/>
        </w:rPr>
        <w:t>适用法律</w:t>
      </w:r>
    </w:p>
    <w:p>
      <w:pPr>
        <w:pStyle w:val="26"/>
        <w:spacing w:line="420" w:lineRule="exact"/>
        <w:ind w:firstLine="528"/>
        <w:rPr>
          <w:rFonts w:ascii="仿宋" w:hAnsi="仿宋" w:eastAsia="仿宋"/>
          <w:color w:val="auto"/>
          <w:sz w:val="28"/>
          <w:szCs w:val="28"/>
        </w:rPr>
      </w:pPr>
      <w:r>
        <w:rPr>
          <w:rFonts w:hint="eastAsia" w:ascii="仿宋" w:hAnsi="仿宋" w:eastAsia="仿宋"/>
          <w:color w:val="auto"/>
          <w:sz w:val="28"/>
          <w:szCs w:val="28"/>
        </w:rPr>
        <w:t>合同适用法律有《中华人民共和国政府采购法》、《中华人民共和国合同法》、《中华人民共和国产品质量法》和浙江省有关条例等。</w:t>
      </w:r>
    </w:p>
    <w:p>
      <w:pPr>
        <w:spacing w:line="420" w:lineRule="exact"/>
        <w:rPr>
          <w:rFonts w:ascii="仿宋" w:hAnsi="仿宋" w:eastAsia="仿宋"/>
          <w:b/>
          <w:bCs/>
          <w:color w:val="auto"/>
          <w:sz w:val="28"/>
          <w:szCs w:val="28"/>
        </w:rPr>
      </w:pPr>
      <w:r>
        <w:rPr>
          <w:rFonts w:ascii="仿宋" w:hAnsi="仿宋" w:eastAsia="仿宋"/>
          <w:b/>
          <w:bCs/>
          <w:color w:val="auto"/>
          <w:sz w:val="28"/>
          <w:szCs w:val="28"/>
        </w:rPr>
        <w:t>31.</w:t>
      </w:r>
      <w:r>
        <w:rPr>
          <w:rFonts w:hint="eastAsia" w:ascii="仿宋" w:hAnsi="仿宋" w:eastAsia="仿宋"/>
          <w:b/>
          <w:bCs/>
          <w:color w:val="auto"/>
          <w:sz w:val="28"/>
          <w:szCs w:val="28"/>
        </w:rPr>
        <w:t>合同生效及其他</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31.1</w:t>
      </w:r>
      <w:r>
        <w:rPr>
          <w:rFonts w:hint="eastAsia" w:ascii="仿宋" w:hAnsi="仿宋" w:eastAsia="仿宋"/>
          <w:color w:val="auto"/>
          <w:sz w:val="28"/>
          <w:szCs w:val="28"/>
        </w:rPr>
        <w:t>本合同经双方法人及法定代表人签字盖章生效；</w:t>
      </w:r>
    </w:p>
    <w:p>
      <w:pPr>
        <w:spacing w:line="420" w:lineRule="exact"/>
        <w:ind w:firstLine="560" w:firstLineChars="200"/>
        <w:rPr>
          <w:rFonts w:ascii="仿宋" w:hAnsi="仿宋" w:eastAsia="仿宋"/>
          <w:color w:val="auto"/>
          <w:sz w:val="28"/>
          <w:szCs w:val="28"/>
        </w:rPr>
      </w:pPr>
      <w:r>
        <w:rPr>
          <w:rFonts w:ascii="仿宋" w:hAnsi="仿宋" w:eastAsia="仿宋"/>
          <w:color w:val="auto"/>
          <w:sz w:val="28"/>
          <w:szCs w:val="28"/>
        </w:rPr>
        <w:t>31.2</w:t>
      </w:r>
      <w:r>
        <w:rPr>
          <w:rFonts w:hint="eastAsia" w:ascii="仿宋" w:hAnsi="仿宋" w:eastAsia="仿宋"/>
          <w:color w:val="auto"/>
          <w:sz w:val="28"/>
          <w:szCs w:val="28"/>
        </w:rPr>
        <w:t>本合同一式四份，供、需方各执一份；</w:t>
      </w:r>
      <w:r>
        <w:rPr>
          <w:rFonts w:hint="eastAsia" w:ascii="仿宋" w:hAnsi="仿宋" w:eastAsia="仿宋"/>
          <w:color w:val="auto"/>
          <w:sz w:val="28"/>
          <w:szCs w:val="28"/>
          <w:lang w:eastAsia="zh-CN"/>
        </w:rPr>
        <w:t>湖州市南浔区财政局</w:t>
      </w:r>
      <w:r>
        <w:rPr>
          <w:rFonts w:hint="eastAsia" w:ascii="仿宋" w:hAnsi="仿宋" w:eastAsia="仿宋"/>
          <w:color w:val="auto"/>
          <w:sz w:val="28"/>
          <w:szCs w:val="28"/>
        </w:rPr>
        <w:t>（市政府采购办）、集中采购机构各一份。</w:t>
      </w:r>
    </w:p>
    <w:p>
      <w:pPr>
        <w:spacing w:line="400" w:lineRule="exact"/>
        <w:rPr>
          <w:rFonts w:ascii="仿宋" w:hAnsi="仿宋" w:eastAsia="仿宋"/>
          <w:color w:val="auto"/>
          <w:sz w:val="28"/>
          <w:szCs w:val="28"/>
        </w:rPr>
      </w:pPr>
    </w:p>
    <w:p>
      <w:pPr>
        <w:pStyle w:val="3"/>
        <w:spacing w:line="240" w:lineRule="auto"/>
        <w:jc w:val="center"/>
        <w:rPr>
          <w:rFonts w:hint="eastAsia" w:ascii="方正小标宋简体" w:hAnsi="仿宋" w:eastAsia="方正小标宋简体"/>
          <w:color w:val="auto"/>
          <w:sz w:val="32"/>
          <w:szCs w:val="32"/>
        </w:rPr>
      </w:pPr>
      <w:bookmarkStart w:id="51" w:name="_Toc36454325"/>
    </w:p>
    <w:p>
      <w:pPr>
        <w:pStyle w:val="3"/>
        <w:spacing w:line="240" w:lineRule="auto"/>
        <w:jc w:val="center"/>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p>
      <w:pPr>
        <w:pStyle w:val="3"/>
        <w:spacing w:line="240" w:lineRule="auto"/>
        <w:jc w:val="both"/>
        <w:rPr>
          <w:rFonts w:hint="eastAsia" w:ascii="方正小标宋简体" w:hAnsi="仿宋" w:eastAsia="方正小标宋简体"/>
          <w:color w:val="auto"/>
          <w:sz w:val="32"/>
          <w:szCs w:val="32"/>
        </w:rPr>
      </w:pPr>
    </w:p>
    <w:bookmarkEnd w:id="51"/>
    <w:p>
      <w:pPr>
        <w:snapToGrid w:val="0"/>
        <w:spacing w:beforeLines="50" w:after="50"/>
        <w:ind w:firstLine="413" w:firstLineChars="196"/>
        <w:rPr>
          <w:rFonts w:hint="eastAsia" w:ascii="宋体" w:hAnsi="宋体"/>
          <w:b/>
          <w:bCs/>
          <w:color w:val="auto"/>
          <w:kern w:val="44"/>
          <w:szCs w:val="21"/>
        </w:rPr>
      </w:pPr>
    </w:p>
    <w:p>
      <w:pPr>
        <w:snapToGrid w:val="0"/>
        <w:spacing w:beforeLines="50" w:after="50"/>
        <w:jc w:val="center"/>
        <w:rPr>
          <w:rFonts w:hint="eastAsia" w:ascii="方正小标宋简体" w:hAnsi="方正小标宋简体" w:eastAsia="方正小标宋简体" w:cs="方正小标宋简体"/>
          <w:b/>
          <w:bCs/>
          <w:color w:val="auto"/>
          <w:kern w:val="44"/>
          <w:sz w:val="32"/>
          <w:szCs w:val="32"/>
          <w:lang w:eastAsia="zh-CN"/>
        </w:rPr>
      </w:pPr>
      <w:r>
        <w:rPr>
          <w:rFonts w:hint="eastAsia" w:ascii="方正小标宋简体" w:hAnsi="方正小标宋简体" w:eastAsia="方正小标宋简体" w:cs="方正小标宋简体"/>
          <w:b/>
          <w:bCs/>
          <w:color w:val="auto"/>
          <w:kern w:val="44"/>
          <w:sz w:val="32"/>
          <w:szCs w:val="32"/>
          <w:lang w:eastAsia="zh-CN"/>
        </w:rPr>
        <w:t>第四章</w:t>
      </w:r>
      <w:r>
        <w:rPr>
          <w:rFonts w:hint="eastAsia" w:ascii="方正小标宋简体" w:hAnsi="方正小标宋简体" w:eastAsia="方正小标宋简体" w:cs="方正小标宋简体"/>
          <w:b/>
          <w:bCs/>
          <w:color w:val="auto"/>
          <w:kern w:val="44"/>
          <w:sz w:val="32"/>
          <w:szCs w:val="32"/>
          <w:lang w:val="en-US" w:eastAsia="zh-CN"/>
        </w:rPr>
        <w:t xml:space="preserve">   </w:t>
      </w:r>
      <w:r>
        <w:rPr>
          <w:rFonts w:hint="eastAsia" w:ascii="方正小标宋简体" w:hAnsi="方正小标宋简体" w:eastAsia="方正小标宋简体" w:cs="方正小标宋简体"/>
          <w:b/>
          <w:bCs/>
          <w:color w:val="auto"/>
          <w:kern w:val="44"/>
          <w:sz w:val="32"/>
          <w:szCs w:val="32"/>
          <w:lang w:eastAsia="zh-CN"/>
        </w:rPr>
        <w:t>投标文件的附件格式</w:t>
      </w:r>
    </w:p>
    <w:p>
      <w:pPr>
        <w:snapToGrid w:val="0"/>
        <w:spacing w:beforeLines="50" w:after="50"/>
        <w:ind w:firstLine="413" w:firstLineChars="196"/>
        <w:rPr>
          <w:rFonts w:ascii="宋体" w:hAnsi="宋体"/>
          <w:color w:val="auto"/>
          <w:sz w:val="24"/>
          <w:szCs w:val="20"/>
        </w:rPr>
      </w:pPr>
      <w:r>
        <w:rPr>
          <w:rFonts w:hint="eastAsia" w:ascii="宋体" w:hAnsi="宋体"/>
          <w:b/>
          <w:bCs/>
          <w:color w:val="auto"/>
          <w:kern w:val="44"/>
          <w:szCs w:val="21"/>
        </w:rPr>
        <w:t>注：本章节内容提供部分投标文件格式，招标文件中有要求但未提供格式的，须由投标人根据招标文件的要求自行制作。</w:t>
      </w:r>
    </w:p>
    <w:p>
      <w:pPr>
        <w:snapToGrid w:val="0"/>
        <w:spacing w:before="50" w:afterLines="50"/>
        <w:jc w:val="left"/>
        <w:rPr>
          <w:rFonts w:ascii="仿宋" w:hAnsi="仿宋" w:eastAsia="仿宋"/>
          <w:b/>
          <w:color w:val="auto"/>
          <w:sz w:val="30"/>
          <w:szCs w:val="30"/>
        </w:rPr>
      </w:pPr>
      <w:r>
        <w:rPr>
          <w:rFonts w:hint="eastAsia" w:ascii="仿宋" w:hAnsi="仿宋" w:eastAsia="仿宋"/>
          <w:b/>
          <w:color w:val="auto"/>
          <w:sz w:val="30"/>
          <w:szCs w:val="30"/>
        </w:rPr>
        <w:t>附件1：</w:t>
      </w: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投 标 声 明 书</w:t>
      </w:r>
    </w:p>
    <w:p>
      <w:pPr>
        <w:snapToGrid w:val="0"/>
        <w:spacing w:before="50" w:after="50"/>
        <w:jc w:val="center"/>
        <w:rPr>
          <w:rFonts w:ascii="仿宋" w:hAnsi="仿宋" w:eastAsia="仿宋"/>
          <w:b/>
          <w:color w:val="auto"/>
          <w:sz w:val="28"/>
          <w:szCs w:val="28"/>
        </w:rPr>
      </w:pPr>
    </w:p>
    <w:p>
      <w:pPr>
        <w:snapToGrid w:val="0"/>
        <w:spacing w:line="360" w:lineRule="auto"/>
        <w:rPr>
          <w:rFonts w:ascii="仿宋" w:hAnsi="仿宋" w:eastAsia="仿宋"/>
          <w:snapToGrid w:val="0"/>
          <w:color w:val="auto"/>
          <w:kern w:val="0"/>
          <w:sz w:val="28"/>
          <w:szCs w:val="28"/>
        </w:rPr>
      </w:pPr>
      <w:r>
        <w:rPr>
          <w:rFonts w:hint="eastAsia" w:ascii="仿宋" w:hAnsi="仿宋" w:eastAsia="仿宋"/>
          <w:snapToGrid w:val="0"/>
          <w:color w:val="auto"/>
          <w:kern w:val="0"/>
          <w:sz w:val="28"/>
          <w:szCs w:val="28"/>
        </w:rPr>
        <w:t>致湖州市政府采购中心：</w:t>
      </w:r>
    </w:p>
    <w:p>
      <w:pPr>
        <w:snapToGrid w:val="0"/>
        <w:spacing w:line="360" w:lineRule="auto"/>
        <w:ind w:firstLine="560" w:firstLineChars="200"/>
        <w:jc w:val="left"/>
        <w:rPr>
          <w:rFonts w:ascii="仿宋" w:hAnsi="仿宋" w:eastAsia="仿宋"/>
          <w:snapToGrid w:val="0"/>
          <w:color w:val="auto"/>
          <w:kern w:val="0"/>
          <w:sz w:val="28"/>
          <w:szCs w:val="28"/>
        </w:rPr>
      </w:pPr>
      <w:r>
        <w:rPr>
          <w:rFonts w:hint="eastAsia" w:ascii="仿宋" w:hAnsi="仿宋" w:eastAsia="仿宋"/>
          <w:snapToGrid w:val="0"/>
          <w:color w:val="auto"/>
          <w:kern w:val="0"/>
          <w:sz w:val="28"/>
          <w:szCs w:val="28"/>
          <w:u w:val="single"/>
        </w:rPr>
        <w:t xml:space="preserve">（投标人名称）               </w:t>
      </w:r>
      <w:r>
        <w:rPr>
          <w:rFonts w:hint="eastAsia" w:ascii="仿宋" w:hAnsi="仿宋" w:eastAsia="仿宋"/>
          <w:snapToGrid w:val="0"/>
          <w:color w:val="auto"/>
          <w:kern w:val="0"/>
          <w:sz w:val="28"/>
          <w:szCs w:val="28"/>
        </w:rPr>
        <w:t>系中华人民共和国合法企业，经营地址</w:t>
      </w:r>
      <w:r>
        <w:rPr>
          <w:rFonts w:hint="eastAsia" w:ascii="仿宋" w:hAnsi="仿宋" w:eastAsia="仿宋"/>
          <w:snapToGrid w:val="0"/>
          <w:color w:val="auto"/>
          <w:kern w:val="0"/>
          <w:sz w:val="28"/>
          <w:szCs w:val="28"/>
          <w:u w:val="single"/>
        </w:rPr>
        <w:t xml:space="preserve">                            </w:t>
      </w:r>
      <w:r>
        <w:rPr>
          <w:rFonts w:hint="eastAsia" w:ascii="仿宋" w:hAnsi="仿宋" w:eastAsia="仿宋"/>
          <w:snapToGrid w:val="0"/>
          <w:color w:val="auto"/>
          <w:kern w:val="0"/>
          <w:sz w:val="28"/>
          <w:szCs w:val="28"/>
        </w:rPr>
        <w:t>。</w:t>
      </w:r>
    </w:p>
    <w:p>
      <w:pPr>
        <w:snapToGrid w:val="0"/>
        <w:spacing w:line="360" w:lineRule="auto"/>
        <w:ind w:firstLine="560" w:firstLineChars="200"/>
        <w:rPr>
          <w:rFonts w:ascii="仿宋" w:hAnsi="仿宋" w:eastAsia="仿宋"/>
          <w:snapToGrid w:val="0"/>
          <w:color w:val="auto"/>
          <w:kern w:val="0"/>
          <w:sz w:val="28"/>
          <w:szCs w:val="28"/>
        </w:rPr>
      </w:pPr>
      <w:r>
        <w:rPr>
          <w:rFonts w:hint="eastAsia" w:ascii="仿宋" w:hAnsi="仿宋" w:eastAsia="仿宋"/>
          <w:snapToGrid w:val="0"/>
          <w:color w:val="auto"/>
          <w:kern w:val="0"/>
          <w:sz w:val="28"/>
          <w:szCs w:val="28"/>
        </w:rPr>
        <w:t>我</w:t>
      </w:r>
      <w:r>
        <w:rPr>
          <w:rFonts w:hint="eastAsia" w:ascii="仿宋" w:hAnsi="仿宋" w:eastAsia="仿宋"/>
          <w:snapToGrid w:val="0"/>
          <w:color w:val="auto"/>
          <w:kern w:val="0"/>
          <w:sz w:val="28"/>
          <w:szCs w:val="28"/>
          <w:u w:val="single"/>
        </w:rPr>
        <w:t>（姓名）</w:t>
      </w:r>
      <w:r>
        <w:rPr>
          <w:rFonts w:hint="eastAsia" w:ascii="仿宋" w:hAnsi="仿宋" w:eastAsia="仿宋"/>
          <w:snapToGrid w:val="0"/>
          <w:color w:val="auto"/>
          <w:kern w:val="0"/>
          <w:sz w:val="28"/>
          <w:szCs w:val="28"/>
        </w:rPr>
        <w:t>系</w:t>
      </w:r>
      <w:r>
        <w:rPr>
          <w:rFonts w:hint="eastAsia" w:ascii="仿宋" w:hAnsi="仿宋" w:eastAsia="仿宋"/>
          <w:snapToGrid w:val="0"/>
          <w:color w:val="auto"/>
          <w:kern w:val="0"/>
          <w:sz w:val="28"/>
          <w:szCs w:val="28"/>
          <w:u w:val="single"/>
        </w:rPr>
        <w:t>（投标人名称）</w:t>
      </w:r>
      <w:r>
        <w:rPr>
          <w:rFonts w:hint="eastAsia" w:ascii="仿宋" w:hAnsi="仿宋" w:eastAsia="仿宋"/>
          <w:snapToGrid w:val="0"/>
          <w:color w:val="auto"/>
          <w:kern w:val="0"/>
          <w:sz w:val="28"/>
          <w:szCs w:val="28"/>
        </w:rPr>
        <w:t>的法定代表人，我方愿意参加贵方组织的</w:t>
      </w:r>
      <w:r>
        <w:rPr>
          <w:rFonts w:hint="eastAsia" w:ascii="仿宋" w:hAnsi="仿宋" w:eastAsia="仿宋"/>
          <w:snapToGrid w:val="0"/>
          <w:color w:val="auto"/>
          <w:kern w:val="0"/>
          <w:sz w:val="28"/>
          <w:szCs w:val="28"/>
          <w:u w:val="single"/>
        </w:rPr>
        <w:t>（招标项目名称）（编号：</w:t>
      </w:r>
      <w:r>
        <w:rPr>
          <w:rFonts w:hint="eastAsia" w:ascii="仿宋" w:hAnsi="仿宋" w:eastAsia="仿宋"/>
          <w:snapToGrid w:val="0"/>
          <w:color w:val="auto"/>
          <w:kern w:val="0"/>
          <w:sz w:val="28"/>
          <w:szCs w:val="28"/>
          <w:u w:val="single"/>
          <w:lang w:eastAsia="zh-CN"/>
        </w:rPr>
        <w:t>HZGZ2023-12</w:t>
      </w:r>
      <w:r>
        <w:rPr>
          <w:rFonts w:hint="eastAsia" w:ascii="仿宋" w:hAnsi="仿宋" w:eastAsia="仿宋"/>
          <w:snapToGrid w:val="0"/>
          <w:color w:val="auto"/>
          <w:kern w:val="0"/>
          <w:sz w:val="28"/>
          <w:szCs w:val="28"/>
          <w:u w:val="single"/>
        </w:rPr>
        <w:t>）</w:t>
      </w:r>
      <w:r>
        <w:rPr>
          <w:rFonts w:hint="eastAsia" w:ascii="仿宋" w:hAnsi="仿宋" w:eastAsia="仿宋"/>
          <w:snapToGrid w:val="0"/>
          <w:color w:val="auto"/>
          <w:kern w:val="0"/>
          <w:sz w:val="28"/>
          <w:szCs w:val="28"/>
        </w:rPr>
        <w:t>的投标，为此，我方就本次投标有关事项郑重声明如下：</w:t>
      </w:r>
    </w:p>
    <w:p>
      <w:pPr>
        <w:snapToGrid w:val="0"/>
        <w:spacing w:line="360" w:lineRule="auto"/>
        <w:ind w:firstLine="560" w:firstLineChars="200"/>
        <w:rPr>
          <w:rFonts w:ascii="仿宋" w:hAnsi="仿宋" w:eastAsia="仿宋"/>
          <w:snapToGrid w:val="0"/>
          <w:color w:val="auto"/>
          <w:kern w:val="0"/>
          <w:sz w:val="28"/>
          <w:szCs w:val="28"/>
        </w:rPr>
      </w:pPr>
      <w:r>
        <w:rPr>
          <w:rFonts w:hint="eastAsia" w:ascii="仿宋" w:hAnsi="仿宋" w:eastAsia="仿宋"/>
          <w:snapToGrid w:val="0"/>
          <w:color w:val="auto"/>
          <w:kern w:val="0"/>
          <w:sz w:val="28"/>
          <w:szCs w:val="28"/>
        </w:rPr>
        <w:t>1、我方已详细审查全部招标文件，同意招标文件的各项要求。</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2、我方向贵方提交的所有投标文件、资料都是准确的和真实的。</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3、若中标，我方将按招标文件规定履行合同责任和义务。</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5、投标文件自开标日起有效期为120天。</w:t>
      </w:r>
    </w:p>
    <w:p>
      <w:pPr>
        <w:snapToGrid w:val="0"/>
        <w:spacing w:line="360" w:lineRule="auto"/>
        <w:ind w:firstLine="551" w:firstLineChars="196"/>
        <w:jc w:val="left"/>
        <w:rPr>
          <w:rFonts w:ascii="仿宋" w:hAnsi="仿宋" w:eastAsia="仿宋"/>
          <w:b/>
          <w:color w:val="auto"/>
          <w:sz w:val="28"/>
          <w:szCs w:val="28"/>
        </w:rPr>
      </w:pPr>
      <w:r>
        <w:rPr>
          <w:rFonts w:hint="eastAsia" w:ascii="仿宋" w:hAnsi="仿宋" w:eastAsia="仿宋"/>
          <w:b/>
          <w:color w:val="auto"/>
          <w:sz w:val="28"/>
          <w:szCs w:val="28"/>
        </w:rPr>
        <w:t>6、我方参与本项目前3年内的经营活动中没有重大违法记录；</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8、以上事项如有虚假或隐瞒，我方愿意承担一切后果，并不再寻求任何旨在减轻或免除法律责任的辩解。</w:t>
      </w:r>
    </w:p>
    <w:p>
      <w:pPr>
        <w:snapToGrid w:val="0"/>
        <w:ind w:right="600" w:firstLine="140" w:firstLineChars="50"/>
        <w:rPr>
          <w:rFonts w:ascii="仿宋" w:hAnsi="仿宋" w:eastAsia="仿宋"/>
          <w:color w:val="auto"/>
          <w:sz w:val="28"/>
          <w:szCs w:val="28"/>
        </w:rPr>
      </w:pPr>
    </w:p>
    <w:p>
      <w:pPr>
        <w:snapToGrid w:val="0"/>
        <w:ind w:right="600" w:firstLine="140" w:firstLineChars="50"/>
        <w:rPr>
          <w:rFonts w:ascii="仿宋" w:hAnsi="仿宋" w:eastAsia="仿宋"/>
          <w:color w:val="auto"/>
          <w:sz w:val="28"/>
          <w:szCs w:val="28"/>
          <w:u w:val="single"/>
        </w:rPr>
      </w:pPr>
      <w:r>
        <w:rPr>
          <w:rFonts w:hint="eastAsia" w:ascii="仿宋" w:hAnsi="仿宋" w:eastAsia="仿宋"/>
          <w:color w:val="auto"/>
          <w:sz w:val="28"/>
          <w:szCs w:val="28"/>
        </w:rPr>
        <w:t>法定代表人签名（或签名章）：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napToGrid w:val="0"/>
        <w:ind w:firstLine="140" w:firstLineChars="50"/>
        <w:rPr>
          <w:rFonts w:ascii="仿宋" w:hAnsi="仿宋" w:eastAsia="仿宋"/>
          <w:color w:val="auto"/>
          <w:sz w:val="30"/>
          <w:szCs w:val="30"/>
        </w:rPr>
      </w:pPr>
      <w:r>
        <w:rPr>
          <w:rFonts w:hint="eastAsia" w:ascii="仿宋" w:hAnsi="仿宋" w:eastAsia="仿宋"/>
          <w:color w:val="auto"/>
          <w:sz w:val="28"/>
          <w:szCs w:val="28"/>
        </w:rPr>
        <w:t>投标人全称（电子签章）：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r>
        <w:rPr>
          <w:rFonts w:hint="eastAsia" w:ascii="仿宋" w:hAnsi="仿宋" w:eastAsia="仿宋"/>
          <w:color w:val="auto"/>
          <w:sz w:val="30"/>
          <w:szCs w:val="30"/>
        </w:rPr>
        <w:br w:type="page"/>
      </w:r>
    </w:p>
    <w:p>
      <w:pPr>
        <w:pStyle w:val="8"/>
        <w:spacing w:line="500" w:lineRule="exact"/>
        <w:ind w:firstLine="0"/>
        <w:rPr>
          <w:rFonts w:ascii="仿宋" w:hAnsi="仿宋" w:eastAsia="仿宋"/>
          <w:b/>
          <w:bCs/>
          <w:color w:val="auto"/>
          <w:spacing w:val="24"/>
          <w:sz w:val="28"/>
          <w:szCs w:val="28"/>
        </w:rPr>
      </w:pPr>
      <w:r>
        <w:rPr>
          <w:rFonts w:hint="eastAsia" w:ascii="仿宋" w:hAnsi="仿宋" w:eastAsia="仿宋"/>
          <w:b/>
          <w:bCs/>
          <w:color w:val="auto"/>
          <w:spacing w:val="24"/>
          <w:sz w:val="28"/>
          <w:szCs w:val="28"/>
        </w:rPr>
        <w:t>附件2：</w:t>
      </w: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法定代表人有效身份证明书</w:t>
      </w:r>
    </w:p>
    <w:p>
      <w:pPr>
        <w:pStyle w:val="8"/>
        <w:spacing w:line="500" w:lineRule="exact"/>
        <w:ind w:firstLine="513" w:firstLineChars="156"/>
        <w:jc w:val="center"/>
        <w:rPr>
          <w:rFonts w:ascii="仿宋" w:hAnsi="仿宋" w:eastAsia="仿宋"/>
          <w:b/>
          <w:bCs/>
          <w:color w:val="auto"/>
          <w:spacing w:val="24"/>
          <w:sz w:val="28"/>
          <w:szCs w:val="28"/>
        </w:rPr>
      </w:pPr>
    </w:p>
    <w:p>
      <w:pPr>
        <w:pStyle w:val="8"/>
        <w:spacing w:line="500" w:lineRule="exact"/>
        <w:ind w:firstLine="513" w:firstLineChars="156"/>
        <w:jc w:val="center"/>
        <w:rPr>
          <w:rFonts w:ascii="仿宋" w:hAnsi="仿宋" w:eastAsia="仿宋"/>
          <w:b/>
          <w:bCs/>
          <w:color w:val="auto"/>
          <w:spacing w:val="24"/>
          <w:sz w:val="28"/>
          <w:szCs w:val="28"/>
        </w:rPr>
      </w:pPr>
    </w:p>
    <w:p>
      <w:pPr>
        <w:pStyle w:val="8"/>
        <w:spacing w:line="500" w:lineRule="exact"/>
        <w:ind w:firstLine="1400" w:firstLineChars="500"/>
        <w:rPr>
          <w:rFonts w:ascii="仿宋" w:hAnsi="仿宋" w:eastAsia="仿宋"/>
          <w:color w:val="auto"/>
          <w:sz w:val="28"/>
          <w:szCs w:val="28"/>
        </w:rPr>
      </w:pPr>
      <w:r>
        <w:rPr>
          <w:rFonts w:hint="eastAsia" w:ascii="仿宋" w:hAnsi="仿宋" w:eastAsia="仿宋"/>
          <w:color w:val="auto"/>
          <w:sz w:val="28"/>
          <w:szCs w:val="28"/>
          <w:u w:val="single"/>
        </w:rPr>
        <w:t>（姓名）</w:t>
      </w:r>
      <w:r>
        <w:rPr>
          <w:rFonts w:hint="eastAsia" w:ascii="仿宋" w:hAnsi="仿宋" w:eastAsia="仿宋"/>
          <w:color w:val="auto"/>
          <w:sz w:val="28"/>
          <w:szCs w:val="28"/>
        </w:rPr>
        <w:t xml:space="preserve">是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（单位全称）</w:t>
      </w:r>
    </w:p>
    <w:p>
      <w:pPr>
        <w:pStyle w:val="8"/>
        <w:spacing w:line="500" w:lineRule="exact"/>
        <w:ind w:firstLine="436" w:firstLineChars="156"/>
        <w:rPr>
          <w:rFonts w:ascii="仿宋" w:hAnsi="仿宋" w:eastAsia="仿宋"/>
          <w:color w:val="auto"/>
          <w:sz w:val="28"/>
          <w:szCs w:val="28"/>
        </w:rPr>
      </w:pPr>
      <w:r>
        <w:rPr>
          <w:rFonts w:hint="eastAsia" w:ascii="仿宋" w:hAnsi="仿宋" w:eastAsia="仿宋"/>
          <w:color w:val="auto"/>
          <w:sz w:val="28"/>
          <w:szCs w:val="28"/>
        </w:rPr>
        <w:t xml:space="preserve">的法定代表人，身份证号码为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pStyle w:val="8"/>
        <w:spacing w:line="500" w:lineRule="exact"/>
        <w:ind w:firstLine="436" w:firstLineChars="156"/>
        <w:rPr>
          <w:rFonts w:ascii="仿宋" w:hAnsi="仿宋" w:eastAsia="仿宋"/>
          <w:color w:val="auto"/>
          <w:sz w:val="28"/>
          <w:szCs w:val="28"/>
        </w:rPr>
      </w:pPr>
    </w:p>
    <w:p>
      <w:pPr>
        <w:pStyle w:val="8"/>
        <w:spacing w:line="500" w:lineRule="exact"/>
        <w:ind w:firstLine="436" w:firstLineChars="156"/>
        <w:rPr>
          <w:rFonts w:ascii="仿宋" w:hAnsi="仿宋" w:eastAsia="仿宋"/>
          <w:color w:val="auto"/>
          <w:sz w:val="28"/>
          <w:szCs w:val="28"/>
        </w:rPr>
      </w:pPr>
    </w:p>
    <w:p>
      <w:pPr>
        <w:pStyle w:val="8"/>
        <w:spacing w:line="500" w:lineRule="exact"/>
        <w:ind w:firstLine="436" w:firstLineChars="156"/>
        <w:rPr>
          <w:rFonts w:ascii="仿宋" w:hAnsi="仿宋" w:eastAsia="仿宋"/>
          <w:color w:val="auto"/>
          <w:sz w:val="28"/>
          <w:szCs w:val="28"/>
        </w:rPr>
      </w:pPr>
      <w:r>
        <w:rPr>
          <w:rFonts w:hint="eastAsia" w:ascii="仿宋" w:hAnsi="仿宋" w:eastAsia="仿宋"/>
          <w:color w:val="auto"/>
          <w:sz w:val="28"/>
          <w:szCs w:val="28"/>
        </w:rPr>
        <w:t xml:space="preserve">    特此证明</w:t>
      </w:r>
    </w:p>
    <w:p>
      <w:pPr>
        <w:pStyle w:val="8"/>
        <w:spacing w:line="500" w:lineRule="exact"/>
        <w:ind w:firstLine="436" w:firstLineChars="156"/>
        <w:rPr>
          <w:rFonts w:ascii="仿宋" w:hAnsi="仿宋" w:eastAsia="仿宋"/>
          <w:color w:val="auto"/>
          <w:sz w:val="28"/>
          <w:szCs w:val="28"/>
        </w:rPr>
      </w:pPr>
    </w:p>
    <w:p>
      <w:pPr>
        <w:pStyle w:val="8"/>
        <w:spacing w:line="500" w:lineRule="exact"/>
        <w:ind w:firstLine="436" w:firstLineChars="156"/>
        <w:rPr>
          <w:rFonts w:ascii="仿宋" w:hAnsi="仿宋" w:eastAsia="仿宋"/>
          <w:color w:val="auto"/>
          <w:sz w:val="28"/>
          <w:szCs w:val="28"/>
        </w:rPr>
      </w:pPr>
    </w:p>
    <w:p>
      <w:pPr>
        <w:pStyle w:val="8"/>
        <w:spacing w:line="500" w:lineRule="exact"/>
        <w:ind w:firstLine="436" w:firstLineChars="156"/>
        <w:rPr>
          <w:rFonts w:ascii="仿宋" w:hAnsi="仿宋" w:eastAsia="仿宋"/>
          <w:color w:val="auto"/>
          <w:sz w:val="28"/>
          <w:szCs w:val="28"/>
        </w:rPr>
      </w:pPr>
    </w:p>
    <w:p>
      <w:pPr>
        <w:pStyle w:val="8"/>
        <w:spacing w:line="500" w:lineRule="exact"/>
        <w:ind w:firstLine="436" w:firstLineChars="156"/>
        <w:rPr>
          <w:rFonts w:ascii="仿宋" w:hAnsi="仿宋" w:eastAsia="仿宋"/>
          <w:color w:val="auto"/>
          <w:sz w:val="28"/>
          <w:szCs w:val="28"/>
        </w:rPr>
      </w:pPr>
    </w:p>
    <w:p>
      <w:pPr>
        <w:pStyle w:val="8"/>
        <w:spacing w:line="500" w:lineRule="exact"/>
        <w:ind w:firstLine="436" w:firstLineChars="156"/>
        <w:rPr>
          <w:rFonts w:ascii="仿宋" w:hAnsi="仿宋" w:eastAsia="仿宋"/>
          <w:color w:val="auto"/>
          <w:sz w:val="28"/>
          <w:szCs w:val="28"/>
        </w:rPr>
      </w:pPr>
      <w:r>
        <w:rPr>
          <w:rFonts w:hint="eastAsia" w:ascii="仿宋" w:hAnsi="仿宋" w:eastAsia="仿宋"/>
          <w:color w:val="auto"/>
          <w:sz w:val="28"/>
          <w:szCs w:val="28"/>
        </w:rPr>
        <w:t xml:space="preserve">          投标人（电子签章）：</w:t>
      </w:r>
    </w:p>
    <w:p>
      <w:pPr>
        <w:pStyle w:val="8"/>
        <w:spacing w:line="500" w:lineRule="exact"/>
        <w:ind w:firstLine="436" w:firstLineChars="156"/>
        <w:rPr>
          <w:rFonts w:ascii="仿宋" w:hAnsi="仿宋" w:eastAsia="仿宋"/>
          <w:color w:val="auto"/>
          <w:sz w:val="28"/>
          <w:szCs w:val="28"/>
        </w:rPr>
      </w:pPr>
    </w:p>
    <w:p>
      <w:pPr>
        <w:pStyle w:val="8"/>
        <w:spacing w:line="500" w:lineRule="exact"/>
        <w:ind w:firstLine="1696" w:firstLineChars="606"/>
        <w:rPr>
          <w:rFonts w:ascii="仿宋" w:hAnsi="仿宋" w:eastAsia="仿宋"/>
          <w:color w:val="auto"/>
          <w:sz w:val="28"/>
          <w:szCs w:val="28"/>
        </w:rPr>
      </w:pPr>
      <w:r>
        <w:rPr>
          <w:rFonts w:hint="eastAsia" w:ascii="仿宋" w:hAnsi="仿宋" w:eastAsia="仿宋"/>
          <w:color w:val="auto"/>
          <w:sz w:val="28"/>
          <w:szCs w:val="28"/>
        </w:rPr>
        <w:t>法定代表人或其授权代理人（签名或盖章）</w:t>
      </w:r>
    </w:p>
    <w:p>
      <w:pPr>
        <w:pStyle w:val="8"/>
        <w:spacing w:line="500" w:lineRule="exact"/>
        <w:ind w:firstLine="436" w:firstLineChars="156"/>
        <w:jc w:val="center"/>
        <w:rPr>
          <w:rFonts w:ascii="仿宋" w:hAnsi="仿宋" w:eastAsia="仿宋"/>
          <w:color w:val="auto"/>
          <w:sz w:val="28"/>
          <w:szCs w:val="28"/>
        </w:rPr>
      </w:pPr>
    </w:p>
    <w:p>
      <w:pPr>
        <w:pStyle w:val="8"/>
        <w:spacing w:line="500" w:lineRule="exact"/>
        <w:ind w:firstLine="436" w:firstLineChars="156"/>
        <w:rPr>
          <w:rFonts w:ascii="仿宋" w:hAnsi="仿宋" w:eastAsia="仿宋"/>
          <w:color w:val="auto"/>
          <w:sz w:val="28"/>
          <w:szCs w:val="28"/>
        </w:rPr>
      </w:pPr>
      <w:r>
        <w:rPr>
          <w:rFonts w:hint="eastAsia" w:ascii="仿宋" w:hAnsi="仿宋" w:eastAsia="仿宋"/>
          <w:color w:val="auto"/>
          <w:sz w:val="28"/>
          <w:szCs w:val="28"/>
        </w:rPr>
        <w:t xml:space="preserve">              日期：    年   月   日</w:t>
      </w:r>
    </w:p>
    <w:p>
      <w:pPr>
        <w:pStyle w:val="8"/>
        <w:spacing w:line="500" w:lineRule="exact"/>
        <w:ind w:firstLine="436" w:firstLineChars="156"/>
        <w:jc w:val="center"/>
        <w:rPr>
          <w:rFonts w:ascii="仿宋" w:hAnsi="仿宋" w:eastAsia="仿宋"/>
          <w:color w:val="auto"/>
          <w:sz w:val="28"/>
          <w:szCs w:val="28"/>
        </w:rPr>
      </w:pPr>
    </w:p>
    <w:p>
      <w:pPr>
        <w:pStyle w:val="8"/>
        <w:spacing w:line="500" w:lineRule="exact"/>
        <w:ind w:firstLine="436" w:firstLineChars="156"/>
        <w:rPr>
          <w:rFonts w:ascii="仿宋" w:hAnsi="仿宋" w:eastAsia="仿宋"/>
          <w:color w:val="auto"/>
          <w:sz w:val="28"/>
          <w:szCs w:val="28"/>
        </w:rPr>
      </w:pPr>
      <w:r>
        <w:rPr>
          <w:rFonts w:hint="eastAsia" w:ascii="仿宋" w:hAnsi="仿宋" w:eastAsia="仿宋"/>
          <w:color w:val="auto"/>
          <w:sz w:val="28"/>
          <w:szCs w:val="28"/>
        </w:rPr>
        <w:t>————————————————————-----------</w:t>
      </w:r>
    </w:p>
    <w:p>
      <w:pPr>
        <w:pStyle w:val="8"/>
        <w:spacing w:line="500" w:lineRule="exact"/>
        <w:ind w:firstLine="0"/>
        <w:rPr>
          <w:rFonts w:ascii="仿宋" w:hAnsi="仿宋" w:eastAsia="仿宋"/>
          <w:color w:val="auto"/>
          <w:sz w:val="28"/>
          <w:szCs w:val="28"/>
        </w:rPr>
      </w:pPr>
    </w:p>
    <w:p>
      <w:pPr>
        <w:pStyle w:val="8"/>
        <w:spacing w:line="500" w:lineRule="exact"/>
        <w:ind w:firstLine="436" w:firstLineChars="156"/>
        <w:jc w:val="center"/>
        <w:rPr>
          <w:rFonts w:ascii="仿宋" w:hAnsi="仿宋" w:eastAsia="仿宋"/>
          <w:color w:val="auto"/>
          <w:sz w:val="28"/>
          <w:szCs w:val="28"/>
        </w:rPr>
      </w:pPr>
      <w:r>
        <w:rPr>
          <w:rFonts w:hint="eastAsia" w:ascii="仿宋" w:hAnsi="仿宋" w:eastAsia="仿宋"/>
          <w:color w:val="auto"/>
          <w:sz w:val="28"/>
          <w:szCs w:val="28"/>
        </w:rPr>
        <w:t>有效身份证明复印件粘贴处</w:t>
      </w:r>
    </w:p>
    <w:p>
      <w:pPr>
        <w:pStyle w:val="8"/>
        <w:spacing w:line="500" w:lineRule="exact"/>
        <w:ind w:firstLine="468" w:firstLineChars="156"/>
        <w:jc w:val="center"/>
        <w:rPr>
          <w:rFonts w:ascii="仿宋" w:hAnsi="仿宋" w:eastAsia="仿宋"/>
          <w:color w:val="auto"/>
          <w:sz w:val="30"/>
          <w:szCs w:val="24"/>
        </w:rPr>
      </w:pPr>
    </w:p>
    <w:p>
      <w:pPr>
        <w:pStyle w:val="8"/>
        <w:spacing w:line="500" w:lineRule="exact"/>
        <w:ind w:firstLine="468" w:firstLineChars="156"/>
        <w:jc w:val="center"/>
        <w:rPr>
          <w:rFonts w:ascii="仿宋" w:hAnsi="仿宋" w:eastAsia="仿宋"/>
          <w:color w:val="auto"/>
          <w:sz w:val="30"/>
          <w:szCs w:val="24"/>
        </w:rPr>
      </w:pPr>
    </w:p>
    <w:p>
      <w:pPr>
        <w:pStyle w:val="8"/>
        <w:spacing w:line="500" w:lineRule="exact"/>
        <w:ind w:firstLine="545" w:firstLineChars="156"/>
        <w:jc w:val="center"/>
        <w:rPr>
          <w:rFonts w:ascii="仿宋" w:hAnsi="仿宋" w:eastAsia="仿宋"/>
          <w:b/>
          <w:bCs/>
          <w:color w:val="auto"/>
          <w:spacing w:val="24"/>
          <w:sz w:val="30"/>
        </w:rPr>
      </w:pPr>
    </w:p>
    <w:p>
      <w:pPr>
        <w:pStyle w:val="8"/>
        <w:spacing w:line="500" w:lineRule="exact"/>
        <w:ind w:firstLine="545" w:firstLineChars="156"/>
        <w:jc w:val="center"/>
        <w:rPr>
          <w:rFonts w:ascii="仿宋" w:hAnsi="仿宋" w:eastAsia="仿宋"/>
          <w:b/>
          <w:bCs/>
          <w:color w:val="auto"/>
          <w:spacing w:val="24"/>
          <w:sz w:val="30"/>
        </w:rPr>
      </w:pPr>
    </w:p>
    <w:p>
      <w:pPr>
        <w:snapToGrid w:val="0"/>
        <w:spacing w:beforeLines="50" w:after="50" w:line="460" w:lineRule="exact"/>
        <w:rPr>
          <w:rFonts w:ascii="仿宋" w:hAnsi="仿宋" w:eastAsia="仿宋"/>
          <w:color w:val="auto"/>
          <w:sz w:val="30"/>
          <w:szCs w:val="30"/>
        </w:rPr>
      </w:pPr>
    </w:p>
    <w:p>
      <w:pPr>
        <w:snapToGrid w:val="0"/>
        <w:spacing w:beforeLines="50" w:after="50" w:line="460" w:lineRule="exact"/>
        <w:rPr>
          <w:rFonts w:ascii="仿宋" w:hAnsi="仿宋" w:eastAsia="仿宋"/>
          <w:b/>
          <w:color w:val="auto"/>
          <w:sz w:val="30"/>
          <w:szCs w:val="30"/>
        </w:rPr>
      </w:pPr>
      <w:r>
        <w:rPr>
          <w:rFonts w:hint="eastAsia" w:ascii="仿宋" w:hAnsi="仿宋" w:eastAsia="仿宋"/>
          <w:b/>
          <w:color w:val="auto"/>
          <w:sz w:val="30"/>
          <w:szCs w:val="30"/>
        </w:rPr>
        <w:t>附件3：</w:t>
      </w: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法定代表人授权委托书</w:t>
      </w:r>
    </w:p>
    <w:p>
      <w:pPr>
        <w:snapToGrid w:val="0"/>
        <w:spacing w:beforeLines="50" w:after="50"/>
        <w:jc w:val="center"/>
        <w:rPr>
          <w:rFonts w:ascii="仿宋" w:hAnsi="仿宋" w:eastAsia="仿宋"/>
          <w:b/>
          <w:color w:val="auto"/>
          <w:sz w:val="30"/>
          <w:szCs w:val="30"/>
        </w:rPr>
      </w:pPr>
    </w:p>
    <w:p>
      <w:pPr>
        <w:snapToGrid w:val="0"/>
        <w:spacing w:line="360" w:lineRule="auto"/>
        <w:rPr>
          <w:rFonts w:ascii="仿宋" w:hAnsi="仿宋" w:eastAsia="仿宋"/>
          <w:b/>
          <w:bCs/>
          <w:color w:val="auto"/>
          <w:sz w:val="28"/>
          <w:szCs w:val="28"/>
        </w:rPr>
      </w:pPr>
      <w:r>
        <w:rPr>
          <w:rFonts w:hint="eastAsia" w:ascii="仿宋" w:hAnsi="仿宋" w:eastAsia="仿宋"/>
          <w:bCs/>
          <w:color w:val="auto"/>
          <w:sz w:val="28"/>
          <w:szCs w:val="28"/>
        </w:rPr>
        <w:t>湖州市政府采购中心：</w:t>
      </w:r>
    </w:p>
    <w:p>
      <w:pPr>
        <w:snapToGrid w:val="0"/>
        <w:spacing w:line="360" w:lineRule="auto"/>
        <w:ind w:firstLine="840" w:firstLineChars="300"/>
        <w:rPr>
          <w:rFonts w:ascii="仿宋" w:hAnsi="仿宋" w:eastAsia="仿宋"/>
          <w:color w:val="auto"/>
          <w:sz w:val="28"/>
          <w:szCs w:val="28"/>
          <w:u w:val="single"/>
        </w:rPr>
      </w:pPr>
      <w:r>
        <w:rPr>
          <w:rFonts w:hint="eastAsia" w:ascii="仿宋" w:hAnsi="仿宋" w:eastAsia="仿宋"/>
          <w:color w:val="auto"/>
          <w:sz w:val="28"/>
          <w:szCs w:val="28"/>
        </w:rPr>
        <w:t>我</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（姓名）系</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（投标人名称）的法定代表人，现授权委托本单位在职职工 </w:t>
      </w:r>
      <w:r>
        <w:rPr>
          <w:rFonts w:hint="eastAsia" w:ascii="仿宋" w:hAnsi="仿宋" w:eastAsia="仿宋"/>
          <w:b/>
          <w:color w:val="auto"/>
          <w:sz w:val="28"/>
          <w:szCs w:val="28"/>
        </w:rPr>
        <w:t xml:space="preserve">(提供个人在本单位缴纳社保的证明) </w:t>
      </w:r>
      <w:r>
        <w:rPr>
          <w:rFonts w:hint="eastAsia" w:ascii="仿宋" w:hAnsi="仿宋" w:eastAsia="仿宋"/>
          <w:b/>
          <w:color w:val="auto"/>
          <w:sz w:val="28"/>
          <w:szCs w:val="28"/>
          <w:u w:val="single"/>
        </w:rPr>
        <w:t xml:space="preserve">   </w:t>
      </w:r>
      <w:r>
        <w:rPr>
          <w:rFonts w:hint="eastAsia" w:ascii="仿宋" w:hAnsi="仿宋" w:eastAsia="仿宋"/>
          <w:color w:val="auto"/>
          <w:sz w:val="28"/>
          <w:szCs w:val="28"/>
          <w:u w:val="single"/>
        </w:rPr>
        <w:t xml:space="preserve"> </w:t>
      </w:r>
    </w:p>
    <w:p>
      <w:pPr>
        <w:snapToGrid w:val="0"/>
        <w:spacing w:line="360" w:lineRule="auto"/>
        <w:rPr>
          <w:rFonts w:ascii="仿宋" w:hAnsi="仿宋" w:eastAsia="仿宋"/>
          <w:color w:val="auto"/>
          <w:sz w:val="28"/>
          <w:szCs w:val="28"/>
          <w:u w:val="single"/>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（姓名）为授权代表，以我方的名义参加项目编号：</w:t>
      </w:r>
      <w:r>
        <w:rPr>
          <w:rFonts w:hint="eastAsia" w:ascii="仿宋" w:hAnsi="仿宋" w:eastAsia="仿宋"/>
          <w:color w:val="auto"/>
          <w:sz w:val="28"/>
          <w:szCs w:val="28"/>
          <w:u w:val="single"/>
        </w:rPr>
        <w:t xml:space="preserve">           </w:t>
      </w: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color w:val="auto"/>
          <w:sz w:val="28"/>
          <w:szCs w:val="28"/>
        </w:rPr>
      </w:pPr>
      <w:r>
        <w:rPr>
          <w:rFonts w:hint="eastAsia" w:ascii="仿宋" w:hAnsi="仿宋" w:eastAsia="仿宋"/>
          <w:color w:val="auto"/>
          <w:sz w:val="28"/>
          <w:szCs w:val="28"/>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color w:val="auto"/>
          <w:sz w:val="28"/>
          <w:szCs w:val="28"/>
        </w:rPr>
      </w:pPr>
      <w:r>
        <w:rPr>
          <w:rFonts w:hint="eastAsia" w:ascii="仿宋" w:hAnsi="仿宋" w:eastAsia="仿宋"/>
          <w:color w:val="auto"/>
          <w:sz w:val="28"/>
          <w:szCs w:val="28"/>
        </w:rPr>
        <w:t>授权代表无转委托权，特此委托。</w:t>
      </w:r>
    </w:p>
    <w:p>
      <w:pPr>
        <w:snapToGrid w:val="0"/>
        <w:spacing w:line="360" w:lineRule="auto"/>
        <w:ind w:firstLine="480"/>
        <w:rPr>
          <w:rFonts w:ascii="仿宋" w:hAnsi="仿宋" w:eastAsia="仿宋"/>
          <w:color w:val="auto"/>
          <w:sz w:val="28"/>
          <w:szCs w:val="28"/>
        </w:rPr>
      </w:pPr>
    </w:p>
    <w:p>
      <w:pPr>
        <w:snapToGrid w:val="0"/>
        <w:spacing w:beforeLines="50" w:after="50" w:line="460" w:lineRule="exact"/>
        <w:rPr>
          <w:rFonts w:ascii="仿宋" w:hAnsi="仿宋" w:eastAsia="仿宋"/>
          <w:color w:val="auto"/>
          <w:sz w:val="28"/>
          <w:szCs w:val="28"/>
        </w:rPr>
      </w:pPr>
      <w:r>
        <w:rPr>
          <w:rFonts w:hint="eastAsia" w:ascii="仿宋" w:hAnsi="仿宋" w:eastAsia="仿宋"/>
          <w:color w:val="auto"/>
          <w:sz w:val="28"/>
          <w:szCs w:val="28"/>
        </w:rPr>
        <w:t>授权代表签名：</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职务：</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napToGrid w:val="0"/>
        <w:spacing w:beforeLines="50" w:after="50" w:line="460" w:lineRule="exact"/>
        <w:rPr>
          <w:rFonts w:ascii="仿宋" w:hAnsi="仿宋" w:eastAsia="仿宋"/>
          <w:color w:val="auto"/>
          <w:sz w:val="28"/>
          <w:szCs w:val="28"/>
        </w:rPr>
      </w:pPr>
      <w:r>
        <w:rPr>
          <w:rFonts w:hint="eastAsia" w:ascii="仿宋" w:hAnsi="仿宋" w:eastAsia="仿宋"/>
          <w:color w:val="auto"/>
          <w:sz w:val="28"/>
          <w:szCs w:val="28"/>
        </w:rPr>
        <w:t>联系手机：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（开评标期间务必保持通畅，用以询标联系）</w:t>
      </w:r>
    </w:p>
    <w:p>
      <w:pPr>
        <w:snapToGrid w:val="0"/>
        <w:spacing w:beforeLines="50" w:after="50" w:line="460" w:lineRule="exact"/>
        <w:rPr>
          <w:rFonts w:ascii="仿宋" w:hAnsi="仿宋" w:eastAsia="仿宋"/>
          <w:color w:val="auto"/>
          <w:sz w:val="28"/>
          <w:szCs w:val="28"/>
        </w:rPr>
      </w:pPr>
      <w:r>
        <w:rPr>
          <w:rFonts w:hint="eastAsia" w:ascii="仿宋" w:hAnsi="仿宋" w:eastAsia="仿宋"/>
          <w:color w:val="auto"/>
          <w:sz w:val="28"/>
          <w:szCs w:val="28"/>
        </w:rPr>
        <w:t>授权代表身份证号码：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napToGrid w:val="0"/>
        <w:spacing w:beforeLines="50" w:after="50" w:line="460" w:lineRule="exact"/>
        <w:rPr>
          <w:rFonts w:ascii="仿宋" w:hAnsi="仿宋" w:eastAsia="仿宋"/>
          <w:color w:val="auto"/>
          <w:sz w:val="28"/>
          <w:szCs w:val="28"/>
        </w:rPr>
      </w:pPr>
      <w:r>
        <w:rPr>
          <w:rFonts w:hint="eastAsia" w:ascii="仿宋" w:hAnsi="仿宋" w:eastAsia="仿宋"/>
          <w:color w:val="auto"/>
          <w:sz w:val="28"/>
          <w:szCs w:val="28"/>
        </w:rPr>
        <w:t>法定代表人签名（或签名章）：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职务：</w:t>
      </w:r>
      <w:r>
        <w:rPr>
          <w:rFonts w:hint="eastAsia" w:ascii="仿宋" w:hAnsi="仿宋" w:eastAsia="仿宋"/>
          <w:color w:val="auto"/>
          <w:sz w:val="28"/>
          <w:szCs w:val="28"/>
          <w:u w:val="single"/>
        </w:rPr>
        <w:t xml:space="preserve">           </w:t>
      </w:r>
    </w:p>
    <w:p>
      <w:pPr>
        <w:snapToGrid w:val="0"/>
        <w:spacing w:beforeLines="50" w:after="50" w:line="460" w:lineRule="exact"/>
        <w:rPr>
          <w:rFonts w:ascii="仿宋" w:hAnsi="仿宋" w:eastAsia="仿宋"/>
          <w:color w:val="auto"/>
          <w:sz w:val="28"/>
          <w:szCs w:val="28"/>
        </w:rPr>
      </w:pPr>
    </w:p>
    <w:p>
      <w:pPr>
        <w:snapToGrid w:val="0"/>
        <w:spacing w:beforeLines="50" w:after="50" w:line="460" w:lineRule="exact"/>
        <w:rPr>
          <w:rFonts w:ascii="仿宋" w:hAnsi="仿宋" w:eastAsia="仿宋"/>
          <w:color w:val="auto"/>
          <w:sz w:val="28"/>
          <w:szCs w:val="28"/>
          <w:u w:val="single"/>
        </w:rPr>
      </w:pPr>
      <w:r>
        <w:rPr>
          <w:rFonts w:hint="eastAsia" w:ascii="仿宋" w:hAnsi="仿宋" w:eastAsia="仿宋"/>
          <w:color w:val="auto"/>
          <w:sz w:val="28"/>
          <w:szCs w:val="28"/>
        </w:rPr>
        <w:t>投标人全称（电子签章）：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pStyle w:val="8"/>
        <w:spacing w:line="500" w:lineRule="exact"/>
        <w:ind w:firstLine="436" w:firstLineChars="156"/>
        <w:rPr>
          <w:rFonts w:ascii="仿宋" w:hAnsi="仿宋" w:eastAsia="仿宋"/>
          <w:color w:val="auto"/>
          <w:sz w:val="28"/>
          <w:szCs w:val="28"/>
        </w:rPr>
      </w:pPr>
    </w:p>
    <w:p>
      <w:pPr>
        <w:pStyle w:val="8"/>
        <w:spacing w:line="500" w:lineRule="exact"/>
        <w:ind w:firstLine="436" w:firstLineChars="156"/>
        <w:rPr>
          <w:rFonts w:ascii="仿宋" w:hAnsi="仿宋" w:eastAsia="仿宋"/>
          <w:color w:val="auto"/>
          <w:sz w:val="28"/>
          <w:szCs w:val="28"/>
        </w:rPr>
      </w:pPr>
      <w:r>
        <w:rPr>
          <w:rFonts w:hint="eastAsia" w:ascii="仿宋" w:hAnsi="仿宋" w:eastAsia="仿宋"/>
          <w:color w:val="auto"/>
          <w:sz w:val="28"/>
          <w:szCs w:val="28"/>
        </w:rPr>
        <w:t>————————————————————-----------</w:t>
      </w:r>
    </w:p>
    <w:p>
      <w:pPr>
        <w:snapToGrid w:val="0"/>
        <w:spacing w:beforeLines="50" w:after="50" w:line="460" w:lineRule="exact"/>
        <w:jc w:val="center"/>
        <w:rPr>
          <w:rFonts w:ascii="仿宋" w:hAnsi="仿宋" w:eastAsia="仿宋"/>
          <w:color w:val="auto"/>
          <w:sz w:val="28"/>
          <w:szCs w:val="28"/>
          <w:u w:val="single"/>
        </w:rPr>
      </w:pPr>
      <w:r>
        <w:rPr>
          <w:rFonts w:hint="eastAsia" w:ascii="仿宋" w:hAnsi="仿宋" w:eastAsia="仿宋"/>
          <w:color w:val="auto"/>
          <w:sz w:val="28"/>
          <w:szCs w:val="28"/>
        </w:rPr>
        <w:t>有效身份证明复印件粘贴处</w:t>
      </w:r>
    </w:p>
    <w:p>
      <w:pPr>
        <w:snapToGrid w:val="0"/>
        <w:spacing w:beforeLines="50" w:after="50" w:line="460" w:lineRule="exact"/>
        <w:rPr>
          <w:rFonts w:ascii="仿宋" w:hAnsi="仿宋" w:eastAsia="仿宋"/>
          <w:color w:val="auto"/>
          <w:sz w:val="28"/>
          <w:szCs w:val="28"/>
          <w:u w:val="single"/>
        </w:rPr>
      </w:pPr>
    </w:p>
    <w:p>
      <w:pPr>
        <w:snapToGrid w:val="0"/>
        <w:spacing w:before="50" w:after="50"/>
        <w:rPr>
          <w:rFonts w:ascii="仿宋" w:hAnsi="仿宋" w:eastAsia="仿宋"/>
          <w:b/>
          <w:color w:val="auto"/>
          <w:sz w:val="30"/>
          <w:szCs w:val="30"/>
        </w:rPr>
      </w:pPr>
      <w:r>
        <w:rPr>
          <w:rFonts w:hint="eastAsia" w:ascii="仿宋" w:hAnsi="仿宋" w:eastAsia="仿宋"/>
          <w:b/>
          <w:color w:val="auto"/>
          <w:sz w:val="30"/>
          <w:szCs w:val="30"/>
        </w:rPr>
        <w:t>附件4：</w:t>
      </w: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评分索引表</w:t>
      </w:r>
    </w:p>
    <w:p>
      <w:pPr>
        <w:snapToGrid w:val="0"/>
        <w:spacing w:before="50"/>
        <w:jc w:val="center"/>
        <w:rPr>
          <w:rFonts w:ascii="仿宋" w:hAnsi="仿宋" w:eastAsia="仿宋"/>
          <w:b/>
          <w:color w:val="auto"/>
          <w:sz w:val="32"/>
          <w:szCs w:val="32"/>
        </w:rPr>
      </w:pPr>
    </w:p>
    <w:p>
      <w:pPr>
        <w:pStyle w:val="9"/>
        <w:snapToGrid w:val="0"/>
        <w:rPr>
          <w:rFonts w:ascii="仿宋" w:hAnsi="仿宋" w:eastAsia="仿宋"/>
          <w:color w:val="auto"/>
          <w:sz w:val="30"/>
          <w:szCs w:val="30"/>
          <w:u w:val="single"/>
        </w:rPr>
      </w:pPr>
      <w:r>
        <w:rPr>
          <w:rFonts w:hint="eastAsia" w:ascii="仿宋" w:hAnsi="仿宋" w:eastAsia="仿宋"/>
          <w:color w:val="auto"/>
          <w:sz w:val="30"/>
          <w:szCs w:val="30"/>
        </w:rPr>
        <w:t>投标人全称（电子签章）：</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标项：</w:t>
      </w:r>
      <w:r>
        <w:rPr>
          <w:rFonts w:hint="eastAsia" w:ascii="仿宋" w:hAnsi="仿宋" w:eastAsia="仿宋"/>
          <w:color w:val="auto"/>
          <w:sz w:val="30"/>
          <w:szCs w:val="30"/>
          <w:u w:val="single"/>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auto"/>
                <w:sz w:val="30"/>
                <w:szCs w:val="30"/>
              </w:rPr>
            </w:pPr>
            <w:r>
              <w:rPr>
                <w:rFonts w:hint="eastAsia" w:ascii="仿宋" w:hAnsi="仿宋" w:eastAsia="仿宋"/>
                <w:color w:val="auto"/>
                <w:sz w:val="30"/>
                <w:szCs w:val="30"/>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auto"/>
                <w:sz w:val="30"/>
                <w:szCs w:val="30"/>
              </w:rPr>
            </w:pPr>
            <w:r>
              <w:rPr>
                <w:rFonts w:hint="eastAsia" w:ascii="仿宋" w:hAnsi="仿宋" w:eastAsia="仿宋"/>
                <w:color w:val="auto"/>
                <w:sz w:val="30"/>
                <w:szCs w:val="30"/>
              </w:rPr>
              <w:t>投标文件对应资料</w:t>
            </w:r>
          </w:p>
          <w:p>
            <w:pPr>
              <w:snapToGrid w:val="0"/>
              <w:spacing w:beforeLines="50"/>
              <w:jc w:val="center"/>
              <w:rPr>
                <w:rFonts w:ascii="仿宋" w:hAnsi="仿宋" w:eastAsia="仿宋"/>
                <w:color w:val="auto"/>
                <w:sz w:val="30"/>
                <w:szCs w:val="30"/>
              </w:rPr>
            </w:pPr>
            <w:r>
              <w:rPr>
                <w:rFonts w:hint="eastAsia" w:ascii="仿宋" w:hAnsi="仿宋" w:eastAsia="仿宋"/>
                <w:b/>
                <w:color w:val="auto"/>
                <w:sz w:val="28"/>
                <w:szCs w:val="28"/>
              </w:rPr>
              <w:t>（</w:t>
            </w:r>
            <w:r>
              <w:rPr>
                <w:rFonts w:hint="eastAsia" w:ascii="仿宋" w:hAnsi="仿宋" w:eastAsia="仿宋"/>
                <w:b/>
                <w:color w:val="auto"/>
                <w:sz w:val="24"/>
              </w:rPr>
              <w:t>请详细列明评分项中各小项</w:t>
            </w:r>
            <w:r>
              <w:rPr>
                <w:rFonts w:hint="eastAsia" w:ascii="仿宋" w:hAnsi="仿宋" w:eastAsia="仿宋"/>
                <w:b/>
                <w:color w:val="auto"/>
                <w:sz w:val="28"/>
                <w:szCs w:val="28"/>
              </w:rPr>
              <w:t>）</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olor w:val="auto"/>
                <w:sz w:val="30"/>
                <w:szCs w:val="30"/>
              </w:rPr>
            </w:pPr>
            <w:r>
              <w:rPr>
                <w:rFonts w:hint="eastAsia" w:ascii="仿宋" w:hAnsi="仿宋" w:eastAsia="仿宋"/>
                <w:color w:val="auto"/>
                <w:sz w:val="30"/>
                <w:szCs w:val="30"/>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auto"/>
                <w:sz w:val="30"/>
                <w:szCs w:val="30"/>
              </w:rPr>
            </w:pPr>
            <w:r>
              <w:rPr>
                <w:rFonts w:hint="eastAsia" w:ascii="仿宋" w:hAnsi="仿宋" w:eastAsia="仿宋"/>
                <w:color w:val="auto"/>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r>
              <w:rPr>
                <w:rFonts w:hint="eastAsia" w:ascii="仿宋" w:hAnsi="仿宋" w:eastAsia="仿宋"/>
                <w:color w:val="auto"/>
                <w:sz w:val="30"/>
                <w:szCs w:val="30"/>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r>
              <w:rPr>
                <w:rFonts w:ascii="仿宋" w:hAnsi="仿宋" w:eastAsia="仿宋"/>
                <w:color w:val="auto"/>
                <w:sz w:val="30"/>
                <w:szCs w:val="30"/>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auto"/>
                <w:sz w:val="30"/>
                <w:szCs w:val="30"/>
              </w:rPr>
            </w:pPr>
          </w:p>
        </w:tc>
      </w:tr>
    </w:tbl>
    <w:p>
      <w:pPr>
        <w:snapToGrid w:val="0"/>
        <w:spacing w:beforeLines="50"/>
        <w:jc w:val="left"/>
        <w:rPr>
          <w:rFonts w:ascii="仿宋" w:hAnsi="仿宋" w:eastAsia="仿宋"/>
          <w:color w:val="auto"/>
          <w:sz w:val="30"/>
          <w:szCs w:val="30"/>
          <w:u w:val="single"/>
        </w:rPr>
      </w:pPr>
      <w:r>
        <w:rPr>
          <w:rFonts w:hint="eastAsia" w:ascii="仿宋" w:hAnsi="仿宋" w:eastAsia="仿宋"/>
          <w:color w:val="auto"/>
          <w:sz w:val="30"/>
          <w:szCs w:val="30"/>
        </w:rPr>
        <w:t xml:space="preserve">           日期：</w:t>
      </w:r>
      <w:r>
        <w:rPr>
          <w:rFonts w:hint="eastAsia" w:ascii="仿宋" w:hAnsi="仿宋" w:eastAsia="仿宋"/>
          <w:color w:val="auto"/>
          <w:sz w:val="30"/>
          <w:szCs w:val="30"/>
          <w:u w:val="single"/>
        </w:rPr>
        <w:t xml:space="preserve">         </w:t>
      </w:r>
    </w:p>
    <w:p>
      <w:pPr>
        <w:snapToGrid w:val="0"/>
        <w:spacing w:before="50" w:afterLines="50"/>
        <w:jc w:val="left"/>
        <w:rPr>
          <w:rFonts w:ascii="仿宋" w:hAnsi="仿宋" w:eastAsia="仿宋"/>
          <w:color w:val="auto"/>
          <w:sz w:val="30"/>
          <w:szCs w:val="30"/>
        </w:rPr>
      </w:pPr>
    </w:p>
    <w:p>
      <w:pPr>
        <w:snapToGrid w:val="0"/>
        <w:spacing w:before="50" w:afterLines="50"/>
        <w:jc w:val="left"/>
        <w:rPr>
          <w:rFonts w:ascii="仿宋" w:hAnsi="仿宋" w:eastAsia="仿宋"/>
          <w:color w:val="auto"/>
          <w:sz w:val="30"/>
          <w:szCs w:val="30"/>
        </w:rPr>
      </w:pPr>
    </w:p>
    <w:p>
      <w:pPr>
        <w:snapToGrid w:val="0"/>
        <w:spacing w:beforeLines="50" w:after="50" w:line="460" w:lineRule="exact"/>
        <w:rPr>
          <w:rFonts w:ascii="仿宋" w:hAnsi="仿宋" w:eastAsia="仿宋"/>
          <w:color w:val="auto"/>
          <w:sz w:val="28"/>
          <w:szCs w:val="28"/>
          <w:u w:val="single"/>
        </w:rPr>
      </w:pPr>
    </w:p>
    <w:p>
      <w:pPr>
        <w:snapToGrid w:val="0"/>
        <w:spacing w:beforeLines="50" w:after="50" w:line="460" w:lineRule="exact"/>
        <w:rPr>
          <w:rFonts w:ascii="仿宋" w:hAnsi="仿宋" w:eastAsia="仿宋"/>
          <w:color w:val="auto"/>
          <w:sz w:val="28"/>
          <w:szCs w:val="28"/>
          <w:u w:val="single"/>
        </w:rPr>
      </w:pPr>
    </w:p>
    <w:p>
      <w:pPr>
        <w:snapToGrid w:val="0"/>
        <w:spacing w:beforeLines="50" w:after="50" w:line="460" w:lineRule="exact"/>
        <w:rPr>
          <w:rFonts w:ascii="仿宋" w:hAnsi="仿宋" w:eastAsia="仿宋"/>
          <w:color w:val="auto"/>
          <w:sz w:val="28"/>
          <w:szCs w:val="28"/>
          <w:u w:val="single"/>
        </w:rPr>
        <w:sectPr>
          <w:headerReference r:id="rId8" w:type="default"/>
          <w:footerReference r:id="rId9" w:type="default"/>
          <w:footerReference r:id="rId10" w:type="even"/>
          <w:pgSz w:w="11906" w:h="16838"/>
          <w:pgMar w:top="1559" w:right="1531" w:bottom="471" w:left="1531" w:header="851" w:footer="851" w:gutter="0"/>
          <w:pgBorders>
            <w:top w:val="none" w:sz="0" w:space="0"/>
            <w:left w:val="none" w:sz="0" w:space="0"/>
            <w:bottom w:val="none" w:sz="0" w:space="0"/>
            <w:right w:val="none" w:sz="0" w:space="0"/>
          </w:pgBorders>
          <w:pgNumType w:chapStyle="1" w:chapSep="colon"/>
          <w:cols w:space="720" w:num="1"/>
          <w:docGrid w:linePitch="312" w:charSpace="0"/>
        </w:sectPr>
      </w:pPr>
    </w:p>
    <w:p>
      <w:pPr>
        <w:spacing w:line="360" w:lineRule="auto"/>
        <w:rPr>
          <w:rFonts w:ascii="仿宋" w:hAnsi="仿宋" w:eastAsia="仿宋"/>
          <w:b/>
          <w:bCs/>
          <w:color w:val="auto"/>
          <w:sz w:val="30"/>
          <w:szCs w:val="30"/>
        </w:rPr>
      </w:pPr>
      <w:r>
        <w:rPr>
          <w:rFonts w:hint="eastAsia" w:ascii="仿宋" w:hAnsi="仿宋" w:eastAsia="仿宋"/>
          <w:b/>
          <w:bCs/>
          <w:color w:val="auto"/>
          <w:sz w:val="30"/>
          <w:szCs w:val="30"/>
        </w:rPr>
        <w:t>附件5：</w:t>
      </w: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企业荣誉</w:t>
      </w:r>
    </w:p>
    <w:p>
      <w:pPr>
        <w:spacing w:line="360" w:lineRule="auto"/>
        <w:jc w:val="center"/>
        <w:rPr>
          <w:rFonts w:ascii="仿宋" w:hAnsi="仿宋" w:eastAsia="仿宋"/>
          <w:color w:val="auto"/>
          <w:spacing w:val="14"/>
          <w:sz w:val="28"/>
          <w:szCs w:val="28"/>
        </w:rPr>
      </w:pPr>
    </w:p>
    <w:p>
      <w:pPr>
        <w:spacing w:line="360" w:lineRule="auto"/>
        <w:rPr>
          <w:rFonts w:hint="default" w:ascii="仿宋" w:hAnsi="仿宋" w:eastAsia="仿宋"/>
          <w:color w:val="auto"/>
          <w:sz w:val="28"/>
          <w:szCs w:val="28"/>
          <w:lang w:val="en-US" w:eastAsia="zh-CN"/>
        </w:rPr>
      </w:pPr>
      <w:r>
        <w:rPr>
          <w:rFonts w:hint="eastAsia" w:ascii="仿宋" w:hAnsi="仿宋" w:eastAsia="仿宋"/>
          <w:color w:val="auto"/>
          <w:sz w:val="28"/>
          <w:szCs w:val="28"/>
        </w:rPr>
        <w:t xml:space="preserve">投标人全称（电子签章）：        </w:t>
      </w:r>
      <w:r>
        <w:rPr>
          <w:rFonts w:ascii="仿宋" w:hAnsi="仿宋" w:eastAsia="仿宋"/>
          <w:color w:val="auto"/>
          <w:sz w:val="28"/>
          <w:szCs w:val="28"/>
        </w:rPr>
        <w:t>招标</w:t>
      </w:r>
      <w:r>
        <w:rPr>
          <w:rFonts w:hint="eastAsia" w:ascii="仿宋" w:hAnsi="仿宋" w:eastAsia="仿宋"/>
          <w:color w:val="auto"/>
          <w:sz w:val="28"/>
          <w:szCs w:val="28"/>
        </w:rPr>
        <w:t>文件</w:t>
      </w:r>
      <w:r>
        <w:rPr>
          <w:rFonts w:ascii="仿宋" w:hAnsi="仿宋" w:eastAsia="仿宋"/>
          <w:color w:val="auto"/>
          <w:sz w:val="28"/>
          <w:szCs w:val="28"/>
        </w:rPr>
        <w:t>编号：</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eastAsia="zh-CN"/>
        </w:rPr>
        <w:t>标项：</w:t>
      </w:r>
    </w:p>
    <w:tbl>
      <w:tblPr>
        <w:tblStyle w:val="32"/>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仿宋" w:hAnsi="仿宋" w:eastAsia="仿宋"/>
                <w:bCs/>
                <w:color w:val="auto"/>
                <w:sz w:val="28"/>
                <w:szCs w:val="28"/>
              </w:rPr>
            </w:pPr>
            <w:r>
              <w:rPr>
                <w:rFonts w:hint="eastAsia" w:ascii="仿宋" w:hAnsi="仿宋" w:eastAsia="仿宋"/>
                <w:bCs/>
                <w:color w:val="auto"/>
                <w:sz w:val="28"/>
                <w:szCs w:val="28"/>
              </w:rPr>
              <w:t>序号</w:t>
            </w:r>
          </w:p>
        </w:tc>
        <w:tc>
          <w:tcPr>
            <w:tcW w:w="1980" w:type="dxa"/>
            <w:vAlign w:val="center"/>
          </w:tcPr>
          <w:p>
            <w:pPr>
              <w:spacing w:line="360" w:lineRule="auto"/>
              <w:jc w:val="center"/>
              <w:rPr>
                <w:rFonts w:ascii="仿宋" w:hAnsi="仿宋" w:eastAsia="仿宋"/>
                <w:bCs/>
                <w:color w:val="auto"/>
                <w:sz w:val="28"/>
                <w:szCs w:val="28"/>
              </w:rPr>
            </w:pPr>
            <w:r>
              <w:rPr>
                <w:rFonts w:hint="eastAsia" w:ascii="仿宋" w:hAnsi="仿宋" w:eastAsia="仿宋"/>
                <w:bCs/>
                <w:color w:val="auto"/>
                <w:sz w:val="28"/>
                <w:szCs w:val="28"/>
              </w:rPr>
              <w:t>证书名称</w:t>
            </w:r>
          </w:p>
        </w:tc>
        <w:tc>
          <w:tcPr>
            <w:tcW w:w="1596" w:type="dxa"/>
            <w:vAlign w:val="center"/>
          </w:tcPr>
          <w:p>
            <w:pPr>
              <w:spacing w:line="360" w:lineRule="auto"/>
              <w:jc w:val="center"/>
              <w:rPr>
                <w:rFonts w:ascii="仿宋" w:hAnsi="仿宋" w:eastAsia="仿宋"/>
                <w:bCs/>
                <w:color w:val="auto"/>
                <w:sz w:val="28"/>
                <w:szCs w:val="28"/>
              </w:rPr>
            </w:pPr>
            <w:r>
              <w:rPr>
                <w:rFonts w:hint="eastAsia" w:ascii="仿宋" w:hAnsi="仿宋" w:eastAsia="仿宋"/>
                <w:bCs/>
                <w:color w:val="auto"/>
                <w:sz w:val="28"/>
                <w:szCs w:val="28"/>
              </w:rPr>
              <w:t>颁发机构</w:t>
            </w:r>
          </w:p>
        </w:tc>
        <w:tc>
          <w:tcPr>
            <w:tcW w:w="1980" w:type="dxa"/>
            <w:vAlign w:val="center"/>
          </w:tcPr>
          <w:p>
            <w:pPr>
              <w:spacing w:line="360" w:lineRule="auto"/>
              <w:jc w:val="center"/>
              <w:rPr>
                <w:rFonts w:ascii="仿宋" w:hAnsi="仿宋" w:eastAsia="仿宋"/>
                <w:bCs/>
                <w:color w:val="auto"/>
                <w:sz w:val="28"/>
                <w:szCs w:val="28"/>
              </w:rPr>
            </w:pPr>
            <w:r>
              <w:rPr>
                <w:rFonts w:hint="eastAsia" w:ascii="仿宋" w:hAnsi="仿宋" w:eastAsia="仿宋"/>
                <w:bCs/>
                <w:color w:val="auto"/>
                <w:sz w:val="28"/>
                <w:szCs w:val="28"/>
              </w:rPr>
              <w:t>颁发时间</w:t>
            </w:r>
          </w:p>
        </w:tc>
        <w:tc>
          <w:tcPr>
            <w:tcW w:w="2474" w:type="dxa"/>
            <w:vAlign w:val="center"/>
          </w:tcPr>
          <w:p>
            <w:pPr>
              <w:spacing w:line="360" w:lineRule="auto"/>
              <w:jc w:val="center"/>
              <w:rPr>
                <w:rFonts w:ascii="仿宋" w:hAnsi="仿宋" w:eastAsia="仿宋"/>
                <w:bCs/>
                <w:color w:val="auto"/>
                <w:sz w:val="28"/>
                <w:szCs w:val="28"/>
              </w:rPr>
            </w:pPr>
            <w:r>
              <w:rPr>
                <w:rFonts w:hint="eastAsia" w:ascii="仿宋" w:hAnsi="仿宋" w:eastAsia="仿宋"/>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596"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24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596"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24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596"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24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596"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24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596"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24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596"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24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596"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24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596"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24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596"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2474" w:type="dxa"/>
          </w:tcPr>
          <w:p>
            <w:pPr>
              <w:spacing w:line="360" w:lineRule="auto"/>
              <w:rPr>
                <w:rFonts w:ascii="仿宋" w:hAnsi="仿宋" w:eastAsia="仿宋"/>
                <w:bCs/>
                <w:color w:val="auto"/>
                <w:sz w:val="30"/>
              </w:rPr>
            </w:pPr>
          </w:p>
        </w:tc>
      </w:tr>
    </w:tbl>
    <w:p>
      <w:pPr>
        <w:rPr>
          <w:rFonts w:ascii="仿宋" w:hAnsi="仿宋" w:eastAsia="仿宋"/>
          <w:color w:val="auto"/>
          <w:sz w:val="28"/>
          <w:szCs w:val="28"/>
        </w:rPr>
      </w:pPr>
    </w:p>
    <w:p>
      <w:pPr>
        <w:spacing w:line="360" w:lineRule="auto"/>
        <w:rPr>
          <w:rFonts w:ascii="仿宋" w:hAnsi="仿宋" w:eastAsia="仿宋"/>
          <w:color w:val="auto"/>
          <w:sz w:val="28"/>
          <w:szCs w:val="28"/>
        </w:rPr>
      </w:pPr>
    </w:p>
    <w:p>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日期：     年  月  日</w:t>
      </w:r>
    </w:p>
    <w:p>
      <w:pPr>
        <w:spacing w:line="360" w:lineRule="auto"/>
        <w:ind w:left="840" w:hanging="840" w:hangingChars="350"/>
        <w:rPr>
          <w:rFonts w:ascii="仿宋" w:hAnsi="仿宋" w:eastAsia="仿宋"/>
          <w:bCs/>
          <w:color w:val="auto"/>
          <w:sz w:val="24"/>
        </w:rPr>
      </w:pPr>
      <w:r>
        <w:rPr>
          <w:rFonts w:hint="eastAsia" w:ascii="仿宋" w:hAnsi="仿宋" w:eastAsia="仿宋"/>
          <w:bCs/>
          <w:color w:val="auto"/>
          <w:sz w:val="24"/>
        </w:rPr>
        <w:t>注：</w:t>
      </w:r>
      <w:r>
        <w:rPr>
          <w:rFonts w:hint="eastAsia" w:ascii="仿宋" w:hAnsi="仿宋" w:eastAsia="仿宋"/>
          <w:color w:val="auto"/>
          <w:sz w:val="24"/>
        </w:rPr>
        <w:t>1、投标</w:t>
      </w:r>
      <w:r>
        <w:rPr>
          <w:rFonts w:hint="eastAsia" w:ascii="仿宋" w:hAnsi="仿宋" w:eastAsia="仿宋"/>
          <w:bCs/>
          <w:color w:val="auto"/>
          <w:sz w:val="24"/>
        </w:rPr>
        <w:t>企业获得的荣誉证书是指20</w:t>
      </w:r>
      <w:r>
        <w:rPr>
          <w:rFonts w:hint="eastAsia" w:ascii="仿宋" w:hAnsi="仿宋" w:eastAsia="仿宋"/>
          <w:bCs/>
          <w:color w:val="auto"/>
          <w:sz w:val="24"/>
          <w:lang w:val="en-US" w:eastAsia="zh-CN"/>
        </w:rPr>
        <w:t>21</w:t>
      </w:r>
      <w:r>
        <w:rPr>
          <w:rFonts w:hint="eastAsia" w:ascii="仿宋" w:hAnsi="仿宋" w:eastAsia="仿宋"/>
          <w:bCs/>
          <w:color w:val="auto"/>
          <w:sz w:val="24"/>
        </w:rPr>
        <w:t>年1月1日至今获得的荣誉证书(附荣誉证书复印件并加盖电子签章）；</w:t>
      </w:r>
    </w:p>
    <w:p>
      <w:pPr>
        <w:spacing w:line="360" w:lineRule="auto"/>
        <w:ind w:firstLine="480" w:firstLineChars="200"/>
        <w:rPr>
          <w:rFonts w:ascii="仿宋" w:hAnsi="仿宋" w:eastAsia="仿宋"/>
          <w:bCs/>
          <w:color w:val="auto"/>
          <w:sz w:val="30"/>
        </w:rPr>
      </w:pPr>
      <w:r>
        <w:rPr>
          <w:rFonts w:hint="eastAsia" w:ascii="仿宋" w:hAnsi="仿宋" w:eastAsia="仿宋"/>
          <w:color w:val="auto"/>
          <w:sz w:val="24"/>
        </w:rPr>
        <w:t>2、此表仅提供了表格形式，投标人应根据需要准备足够数量的表格来填写。</w:t>
      </w:r>
    </w:p>
    <w:p>
      <w:pPr>
        <w:spacing w:line="360" w:lineRule="auto"/>
        <w:rPr>
          <w:rFonts w:ascii="仿宋" w:hAnsi="仿宋" w:eastAsia="仿宋"/>
          <w:b/>
          <w:bCs/>
          <w:color w:val="auto"/>
          <w:spacing w:val="14"/>
          <w:sz w:val="28"/>
          <w:szCs w:val="28"/>
        </w:rPr>
      </w:pPr>
    </w:p>
    <w:p>
      <w:pPr>
        <w:spacing w:line="360" w:lineRule="auto"/>
        <w:rPr>
          <w:rFonts w:ascii="仿宋" w:hAnsi="仿宋" w:eastAsia="仿宋"/>
          <w:b/>
          <w:bCs/>
          <w:color w:val="auto"/>
          <w:spacing w:val="14"/>
          <w:sz w:val="28"/>
          <w:szCs w:val="28"/>
        </w:rPr>
      </w:pPr>
    </w:p>
    <w:p>
      <w:pPr>
        <w:spacing w:line="360" w:lineRule="auto"/>
        <w:rPr>
          <w:rFonts w:ascii="仿宋" w:hAnsi="仿宋" w:eastAsia="仿宋"/>
          <w:b/>
          <w:bCs/>
          <w:color w:val="auto"/>
          <w:spacing w:val="14"/>
          <w:sz w:val="28"/>
          <w:szCs w:val="28"/>
        </w:rPr>
      </w:pPr>
      <w:r>
        <w:rPr>
          <w:rFonts w:hint="eastAsia" w:ascii="仿宋" w:hAnsi="仿宋" w:eastAsia="仿宋"/>
          <w:b/>
          <w:bCs/>
          <w:color w:val="auto"/>
          <w:spacing w:val="14"/>
          <w:sz w:val="28"/>
          <w:szCs w:val="28"/>
        </w:rPr>
        <w:t>附件6：</w:t>
      </w: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企业业绩</w:t>
      </w:r>
    </w:p>
    <w:p>
      <w:pPr>
        <w:spacing w:line="360" w:lineRule="auto"/>
        <w:jc w:val="right"/>
        <w:rPr>
          <w:rFonts w:ascii="仿宋" w:hAnsi="仿宋" w:eastAsia="仿宋"/>
          <w:color w:val="auto"/>
          <w:sz w:val="28"/>
          <w:szCs w:val="28"/>
        </w:rPr>
      </w:pPr>
    </w:p>
    <w:p>
      <w:pPr>
        <w:spacing w:line="360" w:lineRule="auto"/>
        <w:rPr>
          <w:rFonts w:hint="default" w:ascii="仿宋" w:hAnsi="仿宋" w:eastAsia="仿宋"/>
          <w:color w:val="auto"/>
          <w:sz w:val="28"/>
          <w:szCs w:val="28"/>
          <w:lang w:val="en-US" w:eastAsia="zh-CN"/>
        </w:rPr>
      </w:pPr>
      <w:r>
        <w:rPr>
          <w:rFonts w:hint="eastAsia" w:ascii="仿宋" w:hAnsi="仿宋" w:eastAsia="仿宋"/>
          <w:color w:val="auto"/>
          <w:sz w:val="28"/>
          <w:szCs w:val="28"/>
        </w:rPr>
        <w:t xml:space="preserve">投标人全称（电子签章）：        </w:t>
      </w:r>
      <w:r>
        <w:rPr>
          <w:rFonts w:ascii="仿宋" w:hAnsi="仿宋" w:eastAsia="仿宋"/>
          <w:color w:val="auto"/>
          <w:sz w:val="28"/>
          <w:szCs w:val="28"/>
        </w:rPr>
        <w:t>招标</w:t>
      </w:r>
      <w:r>
        <w:rPr>
          <w:rFonts w:hint="eastAsia" w:ascii="仿宋" w:hAnsi="仿宋" w:eastAsia="仿宋"/>
          <w:color w:val="auto"/>
          <w:sz w:val="28"/>
          <w:szCs w:val="28"/>
        </w:rPr>
        <w:t>文件</w:t>
      </w:r>
      <w:r>
        <w:rPr>
          <w:rFonts w:ascii="仿宋" w:hAnsi="仿宋" w:eastAsia="仿宋"/>
          <w:color w:val="auto"/>
          <w:sz w:val="28"/>
          <w:szCs w:val="28"/>
        </w:rPr>
        <w:t>编号：</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eastAsia="zh-CN"/>
        </w:rPr>
        <w:t>标项：</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序号</w:t>
            </w:r>
          </w:p>
        </w:tc>
        <w:tc>
          <w:tcPr>
            <w:tcW w:w="1980" w:type="dxa"/>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使用方</w:t>
            </w:r>
          </w:p>
        </w:tc>
        <w:tc>
          <w:tcPr>
            <w:tcW w:w="1440" w:type="dxa"/>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合同金额</w:t>
            </w:r>
          </w:p>
          <w:p>
            <w:pPr>
              <w:jc w:val="center"/>
              <w:rPr>
                <w:rFonts w:ascii="仿宋" w:hAnsi="仿宋" w:eastAsia="仿宋"/>
                <w:bCs/>
                <w:color w:val="auto"/>
                <w:sz w:val="28"/>
                <w:szCs w:val="28"/>
              </w:rPr>
            </w:pPr>
            <w:r>
              <w:rPr>
                <w:rFonts w:hint="eastAsia" w:ascii="仿宋" w:hAnsi="仿宋" w:eastAsia="仿宋"/>
                <w:bCs/>
                <w:color w:val="auto"/>
                <w:sz w:val="28"/>
                <w:szCs w:val="28"/>
              </w:rPr>
              <w:t>(人民币)</w:t>
            </w:r>
          </w:p>
        </w:tc>
        <w:tc>
          <w:tcPr>
            <w:tcW w:w="1440" w:type="dxa"/>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签订时间</w:t>
            </w:r>
          </w:p>
        </w:tc>
        <w:tc>
          <w:tcPr>
            <w:tcW w:w="1440" w:type="dxa"/>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使用方联系人</w:t>
            </w:r>
          </w:p>
        </w:tc>
        <w:tc>
          <w:tcPr>
            <w:tcW w:w="1574" w:type="dxa"/>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auto"/>
                <w:sz w:val="30"/>
              </w:rPr>
            </w:pPr>
          </w:p>
        </w:tc>
        <w:tc>
          <w:tcPr>
            <w:tcW w:w="198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440" w:type="dxa"/>
          </w:tcPr>
          <w:p>
            <w:pPr>
              <w:spacing w:line="360" w:lineRule="auto"/>
              <w:rPr>
                <w:rFonts w:ascii="仿宋" w:hAnsi="仿宋" w:eastAsia="仿宋"/>
                <w:bCs/>
                <w:color w:val="auto"/>
                <w:sz w:val="30"/>
              </w:rPr>
            </w:pPr>
          </w:p>
        </w:tc>
        <w:tc>
          <w:tcPr>
            <w:tcW w:w="1574" w:type="dxa"/>
          </w:tcPr>
          <w:p>
            <w:pPr>
              <w:spacing w:line="360" w:lineRule="auto"/>
              <w:rPr>
                <w:rFonts w:ascii="仿宋" w:hAnsi="仿宋" w:eastAsia="仿宋"/>
                <w:bCs/>
                <w:color w:val="auto"/>
                <w:sz w:val="30"/>
              </w:rPr>
            </w:pPr>
          </w:p>
        </w:tc>
      </w:tr>
    </w:tbl>
    <w:p>
      <w:pPr>
        <w:spacing w:line="360" w:lineRule="auto"/>
        <w:rPr>
          <w:rFonts w:ascii="仿宋" w:hAnsi="仿宋" w:eastAsia="仿宋"/>
          <w:color w:val="auto"/>
          <w:sz w:val="28"/>
          <w:szCs w:val="28"/>
        </w:rPr>
      </w:pPr>
    </w:p>
    <w:p>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日期：    年   月  日</w:t>
      </w:r>
    </w:p>
    <w:p>
      <w:pPr>
        <w:spacing w:line="360" w:lineRule="auto"/>
        <w:ind w:left="720" w:hanging="720" w:hangingChars="300"/>
        <w:rPr>
          <w:rFonts w:ascii="仿宋" w:hAnsi="仿宋" w:eastAsia="仿宋"/>
          <w:bCs/>
          <w:color w:val="auto"/>
          <w:sz w:val="24"/>
        </w:rPr>
      </w:pPr>
      <w:r>
        <w:rPr>
          <w:rFonts w:hint="eastAsia" w:ascii="仿宋" w:hAnsi="仿宋" w:eastAsia="仿宋"/>
          <w:color w:val="auto"/>
          <w:sz w:val="24"/>
        </w:rPr>
        <w:t>注：1、</w:t>
      </w:r>
      <w:r>
        <w:rPr>
          <w:rFonts w:hint="eastAsia" w:ascii="仿宋" w:hAnsi="仿宋" w:eastAsia="仿宋"/>
          <w:bCs/>
          <w:color w:val="auto"/>
          <w:sz w:val="24"/>
        </w:rPr>
        <w:t>企业业绩是指投标人20</w:t>
      </w:r>
      <w:r>
        <w:rPr>
          <w:rFonts w:hint="eastAsia" w:ascii="仿宋" w:hAnsi="仿宋" w:eastAsia="仿宋"/>
          <w:bCs/>
          <w:color w:val="auto"/>
          <w:sz w:val="24"/>
          <w:lang w:val="en-US" w:eastAsia="zh-CN"/>
        </w:rPr>
        <w:t>21</w:t>
      </w:r>
      <w:r>
        <w:rPr>
          <w:rFonts w:hint="eastAsia" w:ascii="仿宋" w:hAnsi="仿宋" w:eastAsia="仿宋"/>
          <w:bCs/>
          <w:color w:val="auto"/>
          <w:sz w:val="24"/>
        </w:rPr>
        <w:t>年1月1日至今采购货物（设备）已签署的项目合同(附合同复印件并加盖电子签章）；</w:t>
      </w:r>
    </w:p>
    <w:p>
      <w:pPr>
        <w:spacing w:line="360" w:lineRule="auto"/>
        <w:ind w:firstLine="360" w:firstLineChars="150"/>
        <w:rPr>
          <w:rFonts w:ascii="仿宋" w:hAnsi="仿宋" w:eastAsia="仿宋"/>
          <w:color w:val="auto"/>
          <w:sz w:val="24"/>
        </w:rPr>
      </w:pPr>
      <w:r>
        <w:rPr>
          <w:rFonts w:hint="eastAsia" w:ascii="仿宋" w:hAnsi="仿宋" w:eastAsia="仿宋"/>
          <w:color w:val="auto"/>
          <w:sz w:val="24"/>
        </w:rPr>
        <w:t>2、此表仅提供了表格形式，投标人应根据需要准备足够数量的表格来填写。</w:t>
      </w:r>
    </w:p>
    <w:p>
      <w:pPr>
        <w:pStyle w:val="8"/>
        <w:spacing w:line="500" w:lineRule="exact"/>
        <w:ind w:firstLine="0"/>
        <w:rPr>
          <w:rFonts w:ascii="仿宋" w:hAnsi="仿宋" w:eastAsia="仿宋"/>
          <w:b/>
          <w:bCs/>
          <w:color w:val="auto"/>
          <w:sz w:val="28"/>
          <w:szCs w:val="28"/>
        </w:rPr>
      </w:pPr>
      <w:r>
        <w:rPr>
          <w:rFonts w:hint="eastAsia" w:ascii="仿宋" w:hAnsi="仿宋" w:eastAsia="仿宋"/>
          <w:b/>
          <w:color w:val="auto"/>
          <w:sz w:val="28"/>
          <w:szCs w:val="28"/>
        </w:rPr>
        <w:t>附件7：</w:t>
      </w:r>
      <w:r>
        <w:rPr>
          <w:rFonts w:ascii="仿宋" w:hAnsi="仿宋" w:eastAsia="仿宋"/>
          <w:color w:val="auto"/>
          <w:sz w:val="28"/>
          <w:szCs w:val="28"/>
        </w:rPr>
        <w:t xml:space="preserve"> </w:t>
      </w: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商务条款偏离表</w:t>
      </w:r>
    </w:p>
    <w:p>
      <w:pPr>
        <w:spacing w:line="360" w:lineRule="auto"/>
        <w:rPr>
          <w:rFonts w:hint="default" w:ascii="仿宋" w:hAnsi="仿宋" w:eastAsia="仿宋"/>
          <w:color w:val="auto"/>
          <w:sz w:val="28"/>
          <w:szCs w:val="28"/>
          <w:lang w:val="en-US" w:eastAsia="zh-CN"/>
        </w:rPr>
      </w:pPr>
      <w:r>
        <w:rPr>
          <w:rFonts w:hint="eastAsia" w:ascii="仿宋" w:hAnsi="仿宋" w:eastAsia="仿宋"/>
          <w:color w:val="auto"/>
          <w:sz w:val="28"/>
          <w:szCs w:val="28"/>
        </w:rPr>
        <w:t xml:space="preserve">投标人全称（电子签章）：           </w:t>
      </w:r>
      <w:r>
        <w:rPr>
          <w:rFonts w:ascii="仿宋" w:hAnsi="仿宋" w:eastAsia="仿宋"/>
          <w:color w:val="auto"/>
          <w:sz w:val="28"/>
          <w:szCs w:val="28"/>
        </w:rPr>
        <w:t>招标</w:t>
      </w:r>
      <w:r>
        <w:rPr>
          <w:rFonts w:hint="eastAsia" w:ascii="仿宋" w:hAnsi="仿宋" w:eastAsia="仿宋"/>
          <w:color w:val="auto"/>
          <w:sz w:val="28"/>
          <w:szCs w:val="28"/>
        </w:rPr>
        <w:t>文件</w:t>
      </w:r>
      <w:r>
        <w:rPr>
          <w:rFonts w:ascii="仿宋" w:hAnsi="仿宋" w:eastAsia="仿宋"/>
          <w:color w:val="auto"/>
          <w:sz w:val="28"/>
          <w:szCs w:val="28"/>
        </w:rPr>
        <w:t>编号：</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eastAsia="zh-CN"/>
        </w:rPr>
        <w:t>标项：</w:t>
      </w:r>
    </w:p>
    <w:tbl>
      <w:tblPr>
        <w:tblStyle w:val="32"/>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8"/>
                <w:szCs w:val="28"/>
              </w:rPr>
            </w:pPr>
            <w:r>
              <w:rPr>
                <w:rFonts w:hint="eastAsia" w:ascii="仿宋" w:hAnsi="仿宋" w:eastAsia="仿宋"/>
                <w:color w:val="auto"/>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8"/>
                <w:szCs w:val="28"/>
              </w:rPr>
            </w:pPr>
            <w:r>
              <w:rPr>
                <w:rFonts w:hint="eastAsia" w:ascii="仿宋" w:hAnsi="仿宋" w:eastAsia="仿宋"/>
                <w:color w:val="auto"/>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8"/>
                <w:szCs w:val="28"/>
              </w:rPr>
            </w:pPr>
            <w:r>
              <w:rPr>
                <w:rFonts w:hint="eastAsia" w:ascii="仿宋" w:hAnsi="仿宋" w:eastAsia="仿宋"/>
                <w:color w:val="auto"/>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sz w:val="28"/>
                <w:szCs w:val="28"/>
              </w:rPr>
            </w:pPr>
            <w:r>
              <w:rPr>
                <w:rFonts w:hint="eastAsia" w:ascii="仿宋" w:hAnsi="仿宋" w:eastAsia="仿宋"/>
                <w:color w:val="auto"/>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auto"/>
                <w:sz w:val="30"/>
              </w:rPr>
            </w:pPr>
          </w:p>
        </w:tc>
      </w:tr>
    </w:tbl>
    <w:p>
      <w:pPr>
        <w:rPr>
          <w:rFonts w:ascii="仿宋" w:hAnsi="仿宋" w:eastAsia="仿宋"/>
          <w:color w:val="auto"/>
          <w:sz w:val="28"/>
          <w:szCs w:val="28"/>
        </w:rPr>
      </w:pPr>
    </w:p>
    <w:p>
      <w:pPr>
        <w:spacing w:line="360" w:lineRule="auto"/>
        <w:rPr>
          <w:rFonts w:ascii="仿宋" w:hAnsi="仿宋" w:eastAsia="仿宋"/>
          <w:color w:val="auto"/>
          <w:sz w:val="28"/>
          <w:szCs w:val="28"/>
        </w:rPr>
      </w:pPr>
    </w:p>
    <w:p>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日期：    年  月  日</w:t>
      </w:r>
    </w:p>
    <w:p>
      <w:pPr>
        <w:rPr>
          <w:rFonts w:ascii="仿宋" w:hAnsi="仿宋" w:eastAsia="仿宋"/>
          <w:color w:val="auto"/>
          <w:sz w:val="28"/>
          <w:szCs w:val="28"/>
        </w:rPr>
      </w:pPr>
    </w:p>
    <w:p>
      <w:pPr>
        <w:spacing w:line="360" w:lineRule="auto"/>
        <w:jc w:val="center"/>
        <w:rPr>
          <w:rFonts w:ascii="仿宋" w:hAnsi="仿宋" w:eastAsia="仿宋"/>
          <w:color w:val="auto"/>
          <w:sz w:val="24"/>
        </w:rPr>
      </w:pPr>
      <w:r>
        <w:rPr>
          <w:rFonts w:hint="eastAsia" w:ascii="仿宋" w:hAnsi="仿宋" w:eastAsia="仿宋"/>
          <w:color w:val="auto"/>
          <w:sz w:val="24"/>
        </w:rPr>
        <w:t>注：此表仅提供了表格形式，投标人应根据需要准备足够数量的表格来填写。</w:t>
      </w:r>
    </w:p>
    <w:p>
      <w:pPr>
        <w:tabs>
          <w:tab w:val="left" w:pos="465"/>
        </w:tabs>
        <w:rPr>
          <w:rFonts w:ascii="仿宋" w:hAnsi="仿宋" w:eastAsia="仿宋"/>
          <w:color w:val="auto"/>
          <w:sz w:val="28"/>
          <w:szCs w:val="28"/>
        </w:rPr>
      </w:pPr>
      <w:r>
        <w:rPr>
          <w:rFonts w:hint="eastAsia" w:ascii="仿宋" w:hAnsi="仿宋" w:eastAsia="仿宋"/>
          <w:b/>
          <w:bCs/>
          <w:color w:val="auto"/>
          <w:sz w:val="28"/>
          <w:szCs w:val="28"/>
        </w:rPr>
        <w:t>附件8：</w:t>
      </w:r>
      <w:r>
        <w:rPr>
          <w:rFonts w:ascii="仿宋" w:hAnsi="仿宋" w:eastAsia="仿宋"/>
          <w:color w:val="auto"/>
          <w:sz w:val="28"/>
          <w:szCs w:val="28"/>
        </w:rPr>
        <w:t xml:space="preserve"> </w:t>
      </w:r>
    </w:p>
    <w:p>
      <w:pPr>
        <w:snapToGrid w:val="0"/>
        <w:spacing w:before="50" w:after="50"/>
        <w:jc w:val="center"/>
        <w:rPr>
          <w:rFonts w:ascii="仿宋" w:hAnsi="仿宋" w:eastAsia="仿宋"/>
          <w:b/>
          <w:color w:val="auto"/>
          <w:sz w:val="30"/>
          <w:szCs w:val="30"/>
        </w:rPr>
      </w:pP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投标货物(设备)技术指标参数偏离表</w:t>
      </w:r>
    </w:p>
    <w:p>
      <w:pPr>
        <w:spacing w:line="360" w:lineRule="auto"/>
        <w:rPr>
          <w:rFonts w:hint="default" w:ascii="仿宋" w:hAnsi="仿宋" w:eastAsia="仿宋"/>
          <w:color w:val="auto"/>
          <w:sz w:val="28"/>
          <w:szCs w:val="28"/>
          <w:lang w:val="en-US" w:eastAsia="zh-CN"/>
        </w:rPr>
      </w:pPr>
      <w:r>
        <w:rPr>
          <w:rFonts w:hint="eastAsia" w:ascii="仿宋" w:hAnsi="仿宋" w:eastAsia="仿宋"/>
          <w:color w:val="auto"/>
          <w:sz w:val="28"/>
          <w:szCs w:val="28"/>
        </w:rPr>
        <w:t xml:space="preserve">投标人全称（电子签章）：      </w:t>
      </w:r>
      <w:r>
        <w:rPr>
          <w:rFonts w:ascii="仿宋" w:hAnsi="仿宋" w:eastAsia="仿宋"/>
          <w:color w:val="auto"/>
          <w:sz w:val="28"/>
          <w:szCs w:val="28"/>
        </w:rPr>
        <w:t>招标</w:t>
      </w:r>
      <w:r>
        <w:rPr>
          <w:rFonts w:hint="eastAsia" w:ascii="仿宋" w:hAnsi="仿宋" w:eastAsia="仿宋"/>
          <w:color w:val="auto"/>
          <w:sz w:val="28"/>
          <w:szCs w:val="28"/>
        </w:rPr>
        <w:t>文件</w:t>
      </w:r>
      <w:r>
        <w:rPr>
          <w:rFonts w:ascii="仿宋" w:hAnsi="仿宋" w:eastAsia="仿宋"/>
          <w:color w:val="auto"/>
          <w:sz w:val="28"/>
          <w:szCs w:val="28"/>
        </w:rPr>
        <w:t>编号：</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eastAsia="zh-CN"/>
        </w:rPr>
        <w:t>标项：</w:t>
      </w:r>
    </w:p>
    <w:tbl>
      <w:tblPr>
        <w:tblStyle w:val="3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400" w:lineRule="exact"/>
              <w:jc w:val="center"/>
              <w:rPr>
                <w:rFonts w:ascii="仿宋" w:hAnsi="仿宋" w:eastAsia="仿宋"/>
                <w:color w:val="auto"/>
                <w:sz w:val="28"/>
                <w:szCs w:val="28"/>
              </w:rPr>
            </w:pPr>
            <w:r>
              <w:rPr>
                <w:rFonts w:hint="eastAsia" w:ascii="仿宋" w:hAnsi="仿宋" w:eastAsia="仿宋"/>
                <w:color w:val="auto"/>
                <w:sz w:val="28"/>
                <w:szCs w:val="28"/>
              </w:rPr>
              <w:t>序号</w:t>
            </w:r>
          </w:p>
        </w:tc>
        <w:tc>
          <w:tcPr>
            <w:tcW w:w="2160" w:type="dxa"/>
            <w:vAlign w:val="center"/>
          </w:tcPr>
          <w:p>
            <w:pPr>
              <w:spacing w:line="400" w:lineRule="exact"/>
              <w:jc w:val="center"/>
              <w:rPr>
                <w:rFonts w:ascii="仿宋" w:hAnsi="仿宋" w:eastAsia="仿宋"/>
                <w:color w:val="auto"/>
                <w:sz w:val="28"/>
                <w:szCs w:val="28"/>
              </w:rPr>
            </w:pPr>
            <w:r>
              <w:rPr>
                <w:rFonts w:hint="eastAsia" w:ascii="仿宋" w:hAnsi="仿宋" w:eastAsia="仿宋"/>
                <w:color w:val="auto"/>
                <w:sz w:val="28"/>
                <w:szCs w:val="28"/>
              </w:rPr>
              <w:t>招标文件要求</w:t>
            </w:r>
            <w:r>
              <w:rPr>
                <w:rFonts w:hint="eastAsia" w:ascii="仿宋" w:hAnsi="仿宋" w:eastAsia="仿宋"/>
                <w:bCs/>
                <w:color w:val="auto"/>
                <w:sz w:val="28"/>
                <w:szCs w:val="28"/>
              </w:rPr>
              <w:t>指标</w:t>
            </w:r>
            <w:r>
              <w:rPr>
                <w:rFonts w:hint="eastAsia" w:ascii="仿宋" w:hAnsi="仿宋" w:eastAsia="仿宋"/>
                <w:color w:val="auto"/>
                <w:sz w:val="28"/>
                <w:szCs w:val="28"/>
              </w:rPr>
              <w:t>参数</w:t>
            </w:r>
          </w:p>
        </w:tc>
        <w:tc>
          <w:tcPr>
            <w:tcW w:w="1980" w:type="dxa"/>
            <w:vAlign w:val="center"/>
          </w:tcPr>
          <w:p>
            <w:pPr>
              <w:spacing w:line="400" w:lineRule="exact"/>
              <w:jc w:val="center"/>
              <w:rPr>
                <w:rFonts w:ascii="仿宋" w:hAnsi="仿宋" w:eastAsia="仿宋"/>
                <w:color w:val="auto"/>
                <w:sz w:val="28"/>
                <w:szCs w:val="28"/>
              </w:rPr>
            </w:pPr>
            <w:r>
              <w:rPr>
                <w:rFonts w:hint="eastAsia" w:ascii="仿宋" w:hAnsi="仿宋" w:eastAsia="仿宋"/>
                <w:color w:val="auto"/>
                <w:sz w:val="28"/>
                <w:szCs w:val="28"/>
              </w:rPr>
              <w:t>投标货物</w:t>
            </w:r>
          </w:p>
          <w:p>
            <w:pPr>
              <w:spacing w:line="400" w:lineRule="exact"/>
              <w:rPr>
                <w:rFonts w:ascii="仿宋" w:hAnsi="仿宋" w:eastAsia="仿宋"/>
                <w:color w:val="auto"/>
                <w:sz w:val="28"/>
                <w:szCs w:val="28"/>
              </w:rPr>
            </w:pPr>
            <w:r>
              <w:rPr>
                <w:rFonts w:hint="eastAsia" w:ascii="仿宋" w:hAnsi="仿宋" w:eastAsia="仿宋"/>
                <w:color w:val="auto"/>
                <w:sz w:val="28"/>
                <w:szCs w:val="28"/>
              </w:rPr>
              <w:t>实际</w:t>
            </w:r>
            <w:r>
              <w:rPr>
                <w:rFonts w:hint="eastAsia" w:ascii="仿宋" w:hAnsi="仿宋" w:eastAsia="仿宋"/>
                <w:bCs/>
                <w:color w:val="auto"/>
                <w:sz w:val="28"/>
                <w:szCs w:val="28"/>
              </w:rPr>
              <w:t>指标</w:t>
            </w:r>
            <w:r>
              <w:rPr>
                <w:rFonts w:hint="eastAsia" w:ascii="仿宋" w:hAnsi="仿宋" w:eastAsia="仿宋"/>
                <w:color w:val="auto"/>
                <w:sz w:val="28"/>
                <w:szCs w:val="28"/>
              </w:rPr>
              <w:t>参数</w:t>
            </w:r>
          </w:p>
        </w:tc>
        <w:tc>
          <w:tcPr>
            <w:tcW w:w="1800" w:type="dxa"/>
            <w:vAlign w:val="center"/>
          </w:tcPr>
          <w:p>
            <w:pPr>
              <w:spacing w:line="400" w:lineRule="exact"/>
              <w:jc w:val="center"/>
              <w:rPr>
                <w:rFonts w:ascii="仿宋" w:hAnsi="仿宋" w:eastAsia="仿宋"/>
                <w:color w:val="auto"/>
                <w:sz w:val="28"/>
                <w:szCs w:val="28"/>
              </w:rPr>
            </w:pPr>
            <w:r>
              <w:rPr>
                <w:rFonts w:hint="eastAsia" w:ascii="仿宋" w:hAnsi="仿宋" w:eastAsia="仿宋"/>
                <w:color w:val="auto"/>
                <w:sz w:val="28"/>
                <w:szCs w:val="28"/>
              </w:rPr>
              <w:t>偏离情况</w:t>
            </w:r>
          </w:p>
        </w:tc>
        <w:tc>
          <w:tcPr>
            <w:tcW w:w="1620" w:type="dxa"/>
            <w:vAlign w:val="center"/>
          </w:tcPr>
          <w:p>
            <w:pPr>
              <w:spacing w:line="400" w:lineRule="exact"/>
              <w:jc w:val="center"/>
              <w:rPr>
                <w:rFonts w:ascii="仿宋" w:hAnsi="仿宋" w:eastAsia="仿宋"/>
                <w:color w:val="auto"/>
                <w:sz w:val="28"/>
                <w:szCs w:val="28"/>
              </w:rPr>
            </w:pPr>
            <w:r>
              <w:rPr>
                <w:rFonts w:hint="eastAsia" w:ascii="仿宋" w:hAnsi="仿宋" w:eastAsia="仿宋"/>
                <w:color w:val="auto"/>
                <w:sz w:val="28"/>
                <w:szCs w:val="28"/>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auto"/>
                <w:sz w:val="30"/>
              </w:rPr>
            </w:pPr>
          </w:p>
        </w:tc>
        <w:tc>
          <w:tcPr>
            <w:tcW w:w="2160" w:type="dxa"/>
          </w:tcPr>
          <w:p>
            <w:pPr>
              <w:spacing w:line="360" w:lineRule="auto"/>
              <w:jc w:val="center"/>
              <w:rPr>
                <w:rFonts w:ascii="仿宋" w:hAnsi="仿宋" w:eastAsia="仿宋"/>
                <w:b/>
                <w:bCs/>
                <w:color w:val="auto"/>
                <w:sz w:val="30"/>
              </w:rPr>
            </w:pPr>
          </w:p>
        </w:tc>
        <w:tc>
          <w:tcPr>
            <w:tcW w:w="1980" w:type="dxa"/>
          </w:tcPr>
          <w:p>
            <w:pPr>
              <w:spacing w:line="360" w:lineRule="auto"/>
              <w:jc w:val="center"/>
              <w:rPr>
                <w:rFonts w:ascii="仿宋" w:hAnsi="仿宋" w:eastAsia="仿宋"/>
                <w:b/>
                <w:bCs/>
                <w:color w:val="auto"/>
                <w:sz w:val="30"/>
              </w:rPr>
            </w:pPr>
          </w:p>
        </w:tc>
        <w:tc>
          <w:tcPr>
            <w:tcW w:w="1800" w:type="dxa"/>
          </w:tcPr>
          <w:p>
            <w:pPr>
              <w:spacing w:line="360" w:lineRule="auto"/>
              <w:jc w:val="center"/>
              <w:rPr>
                <w:rFonts w:ascii="仿宋" w:hAnsi="仿宋" w:eastAsia="仿宋"/>
                <w:b/>
                <w:bCs/>
                <w:color w:val="auto"/>
                <w:sz w:val="30"/>
              </w:rPr>
            </w:pPr>
          </w:p>
        </w:tc>
        <w:tc>
          <w:tcPr>
            <w:tcW w:w="1620" w:type="dxa"/>
          </w:tcPr>
          <w:p>
            <w:pPr>
              <w:spacing w:line="360" w:lineRule="auto"/>
              <w:jc w:val="center"/>
              <w:rPr>
                <w:rFonts w:ascii="仿宋" w:hAnsi="仿宋" w:eastAsia="仿宋"/>
                <w:b/>
                <w:bCs/>
                <w:color w:val="auto"/>
                <w:sz w:val="30"/>
              </w:rPr>
            </w:pPr>
          </w:p>
        </w:tc>
      </w:tr>
    </w:tbl>
    <w:p>
      <w:pPr>
        <w:rPr>
          <w:rFonts w:ascii="仿宋" w:hAnsi="仿宋" w:eastAsia="仿宋"/>
          <w:color w:val="auto"/>
          <w:sz w:val="28"/>
          <w:szCs w:val="28"/>
        </w:rPr>
      </w:pPr>
    </w:p>
    <w:p>
      <w:pPr>
        <w:rPr>
          <w:rFonts w:ascii="仿宋" w:hAnsi="仿宋" w:eastAsia="仿宋"/>
          <w:color w:val="auto"/>
          <w:sz w:val="24"/>
        </w:rPr>
      </w:pPr>
      <w:r>
        <w:rPr>
          <w:rFonts w:hint="eastAsia" w:ascii="仿宋" w:hAnsi="仿宋" w:eastAsia="仿宋"/>
          <w:color w:val="auto"/>
          <w:sz w:val="28"/>
          <w:szCs w:val="28"/>
        </w:rPr>
        <w:t xml:space="preserve">                                日期：     年  月   日</w:t>
      </w:r>
    </w:p>
    <w:p>
      <w:pPr>
        <w:spacing w:line="360" w:lineRule="auto"/>
        <w:ind w:left="840" w:hanging="840" w:hangingChars="350"/>
        <w:rPr>
          <w:rFonts w:ascii="仿宋" w:hAnsi="仿宋" w:eastAsia="仿宋"/>
          <w:b/>
          <w:bCs/>
          <w:color w:val="auto"/>
          <w:sz w:val="24"/>
          <w:szCs w:val="28"/>
        </w:rPr>
      </w:pPr>
      <w:r>
        <w:rPr>
          <w:rFonts w:hint="eastAsia" w:ascii="仿宋" w:hAnsi="仿宋" w:eastAsia="仿宋"/>
          <w:color w:val="auto"/>
          <w:sz w:val="24"/>
        </w:rPr>
        <w:t>注：</w:t>
      </w:r>
      <w:r>
        <w:rPr>
          <w:rFonts w:hint="eastAsia" w:ascii="仿宋" w:hAnsi="仿宋" w:eastAsia="仿宋"/>
          <w:b/>
          <w:bCs/>
          <w:color w:val="auto"/>
          <w:spacing w:val="14"/>
          <w:sz w:val="24"/>
          <w:szCs w:val="28"/>
        </w:rPr>
        <w:t>1、投标人必须按采购需求一一对应,如实填写《</w:t>
      </w:r>
      <w:r>
        <w:rPr>
          <w:rFonts w:hint="eastAsia" w:ascii="仿宋" w:hAnsi="仿宋" w:eastAsia="仿宋"/>
          <w:b/>
          <w:bCs/>
          <w:color w:val="auto"/>
          <w:sz w:val="24"/>
          <w:szCs w:val="28"/>
        </w:rPr>
        <w:t>投标货物(设备)技术指标参数偏离表》，未按要求填写的，有可能作负偏离处理；</w:t>
      </w:r>
    </w:p>
    <w:p>
      <w:pPr>
        <w:spacing w:line="360" w:lineRule="auto"/>
        <w:ind w:firstLine="480" w:firstLineChars="200"/>
        <w:rPr>
          <w:rFonts w:ascii="仿宋" w:hAnsi="仿宋" w:eastAsia="仿宋"/>
          <w:b/>
          <w:bCs/>
          <w:color w:val="auto"/>
          <w:spacing w:val="14"/>
          <w:sz w:val="28"/>
          <w:szCs w:val="28"/>
        </w:rPr>
      </w:pPr>
      <w:r>
        <w:rPr>
          <w:rFonts w:hint="eastAsia" w:ascii="仿宋" w:hAnsi="仿宋" w:eastAsia="仿宋"/>
          <w:color w:val="auto"/>
          <w:sz w:val="24"/>
        </w:rPr>
        <w:t>2、此表仅提供了表格形式，投标人应根据需要准备足够数量的表格来填写。</w:t>
      </w:r>
    </w:p>
    <w:p>
      <w:pPr>
        <w:spacing w:line="360" w:lineRule="auto"/>
        <w:rPr>
          <w:rFonts w:ascii="仿宋" w:hAnsi="仿宋" w:eastAsia="仿宋"/>
          <w:bCs/>
          <w:color w:val="auto"/>
          <w:sz w:val="28"/>
          <w:szCs w:val="28"/>
        </w:rPr>
      </w:pPr>
      <w:r>
        <w:rPr>
          <w:rFonts w:hint="eastAsia" w:ascii="仿宋" w:hAnsi="仿宋" w:eastAsia="仿宋"/>
          <w:b/>
          <w:bCs/>
          <w:color w:val="auto"/>
          <w:spacing w:val="14"/>
          <w:sz w:val="28"/>
          <w:szCs w:val="28"/>
        </w:rPr>
        <w:t>附件9：</w:t>
      </w:r>
    </w:p>
    <w:p>
      <w:pPr>
        <w:snapToGrid w:val="0"/>
        <w:spacing w:before="50" w:after="50"/>
        <w:jc w:val="center"/>
        <w:rPr>
          <w:rFonts w:ascii="仿宋" w:hAnsi="仿宋" w:eastAsia="仿宋"/>
          <w:b/>
          <w:color w:val="auto"/>
          <w:sz w:val="30"/>
          <w:szCs w:val="30"/>
        </w:rPr>
      </w:pP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投标货物（设备）组成清单</w:t>
      </w:r>
    </w:p>
    <w:p>
      <w:pPr>
        <w:spacing w:line="360" w:lineRule="auto"/>
        <w:rPr>
          <w:rFonts w:ascii="仿宋" w:hAnsi="仿宋" w:eastAsia="仿宋"/>
          <w:color w:val="auto"/>
          <w:sz w:val="28"/>
          <w:szCs w:val="28"/>
        </w:rPr>
      </w:pPr>
    </w:p>
    <w:p>
      <w:pPr>
        <w:spacing w:line="360" w:lineRule="auto"/>
        <w:rPr>
          <w:rFonts w:hint="default" w:ascii="仿宋" w:hAnsi="仿宋" w:eastAsia="仿宋"/>
          <w:color w:val="auto"/>
          <w:sz w:val="28"/>
          <w:szCs w:val="28"/>
          <w:lang w:val="en-US" w:eastAsia="zh-CN"/>
        </w:rPr>
      </w:pPr>
      <w:r>
        <w:rPr>
          <w:rFonts w:hint="eastAsia" w:ascii="仿宋" w:hAnsi="仿宋" w:eastAsia="仿宋"/>
          <w:color w:val="auto"/>
          <w:sz w:val="28"/>
          <w:szCs w:val="28"/>
        </w:rPr>
        <w:t xml:space="preserve">投标人全称（电子签章）：          </w:t>
      </w:r>
      <w:r>
        <w:rPr>
          <w:rFonts w:ascii="仿宋" w:hAnsi="仿宋" w:eastAsia="仿宋"/>
          <w:color w:val="auto"/>
          <w:sz w:val="28"/>
          <w:szCs w:val="28"/>
        </w:rPr>
        <w:t>招标</w:t>
      </w:r>
      <w:r>
        <w:rPr>
          <w:rFonts w:hint="eastAsia" w:ascii="仿宋" w:hAnsi="仿宋" w:eastAsia="仿宋"/>
          <w:color w:val="auto"/>
          <w:sz w:val="28"/>
          <w:szCs w:val="28"/>
        </w:rPr>
        <w:t>文件</w:t>
      </w:r>
      <w:r>
        <w:rPr>
          <w:rFonts w:ascii="仿宋" w:hAnsi="仿宋" w:eastAsia="仿宋"/>
          <w:color w:val="auto"/>
          <w:sz w:val="28"/>
          <w:szCs w:val="28"/>
        </w:rPr>
        <w:t>编号：</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eastAsia="zh-CN"/>
        </w:rPr>
        <w:t>标项：</w:t>
      </w:r>
    </w:p>
    <w:tbl>
      <w:tblPr>
        <w:tblStyle w:val="32"/>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48"/>
        <w:gridCol w:w="872"/>
        <w:gridCol w:w="900"/>
        <w:gridCol w:w="1496"/>
        <w:gridCol w:w="1744"/>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655" w:type="dxa"/>
          </w:tcPr>
          <w:p>
            <w:pPr>
              <w:spacing w:line="320" w:lineRule="exact"/>
              <w:jc w:val="center"/>
              <w:rPr>
                <w:rFonts w:ascii="仿宋" w:hAnsi="仿宋" w:eastAsia="仿宋"/>
                <w:bCs/>
                <w:color w:val="auto"/>
                <w:sz w:val="28"/>
                <w:szCs w:val="28"/>
              </w:rPr>
            </w:pPr>
            <w:r>
              <w:rPr>
                <w:rFonts w:hint="eastAsia" w:ascii="仿宋" w:hAnsi="仿宋" w:eastAsia="仿宋"/>
                <w:color w:val="auto"/>
                <w:sz w:val="28"/>
                <w:szCs w:val="28"/>
              </w:rPr>
              <w:t>序号</w:t>
            </w:r>
          </w:p>
        </w:tc>
        <w:tc>
          <w:tcPr>
            <w:tcW w:w="1648" w:type="dxa"/>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部件名称</w:t>
            </w:r>
          </w:p>
        </w:tc>
        <w:tc>
          <w:tcPr>
            <w:tcW w:w="872" w:type="dxa"/>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数量</w:t>
            </w:r>
          </w:p>
        </w:tc>
        <w:tc>
          <w:tcPr>
            <w:tcW w:w="900" w:type="dxa"/>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产地</w:t>
            </w:r>
          </w:p>
        </w:tc>
        <w:tc>
          <w:tcPr>
            <w:tcW w:w="1496" w:type="dxa"/>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生产厂商</w:t>
            </w:r>
          </w:p>
        </w:tc>
        <w:tc>
          <w:tcPr>
            <w:tcW w:w="1744" w:type="dxa"/>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型号、规格、参数</w:t>
            </w:r>
          </w:p>
        </w:tc>
        <w:tc>
          <w:tcPr>
            <w:tcW w:w="900" w:type="dxa"/>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品牌</w:t>
            </w:r>
          </w:p>
        </w:tc>
        <w:tc>
          <w:tcPr>
            <w:tcW w:w="1080" w:type="dxa"/>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auto"/>
              </w:rPr>
            </w:pPr>
          </w:p>
        </w:tc>
        <w:tc>
          <w:tcPr>
            <w:tcW w:w="1648" w:type="dxa"/>
            <w:vAlign w:val="center"/>
          </w:tcPr>
          <w:p>
            <w:pPr>
              <w:spacing w:line="240" w:lineRule="exact"/>
              <w:jc w:val="center"/>
              <w:rPr>
                <w:rFonts w:ascii="仿宋" w:hAnsi="仿宋" w:eastAsia="仿宋"/>
                <w:bCs/>
                <w:color w:val="auto"/>
              </w:rPr>
            </w:pPr>
          </w:p>
        </w:tc>
        <w:tc>
          <w:tcPr>
            <w:tcW w:w="872"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496" w:type="dxa"/>
            <w:vAlign w:val="center"/>
          </w:tcPr>
          <w:p>
            <w:pPr>
              <w:spacing w:line="240" w:lineRule="exact"/>
              <w:jc w:val="center"/>
              <w:rPr>
                <w:rFonts w:ascii="仿宋" w:hAnsi="仿宋" w:eastAsia="仿宋"/>
                <w:bCs/>
                <w:color w:val="auto"/>
              </w:rPr>
            </w:pPr>
          </w:p>
        </w:tc>
        <w:tc>
          <w:tcPr>
            <w:tcW w:w="1744" w:type="dxa"/>
            <w:vAlign w:val="center"/>
          </w:tcPr>
          <w:p>
            <w:pPr>
              <w:spacing w:line="240" w:lineRule="exact"/>
              <w:jc w:val="center"/>
              <w:rPr>
                <w:rFonts w:ascii="仿宋" w:hAnsi="仿宋" w:eastAsia="仿宋"/>
                <w:bCs/>
                <w:color w:val="auto"/>
              </w:rPr>
            </w:pPr>
          </w:p>
        </w:tc>
        <w:tc>
          <w:tcPr>
            <w:tcW w:w="900" w:type="dxa"/>
            <w:vAlign w:val="center"/>
          </w:tcPr>
          <w:p>
            <w:pPr>
              <w:spacing w:line="240" w:lineRule="exact"/>
              <w:jc w:val="center"/>
              <w:rPr>
                <w:rFonts w:ascii="仿宋" w:hAnsi="仿宋" w:eastAsia="仿宋"/>
                <w:bCs/>
                <w:color w:val="auto"/>
              </w:rPr>
            </w:pPr>
          </w:p>
        </w:tc>
        <w:tc>
          <w:tcPr>
            <w:tcW w:w="1080" w:type="dxa"/>
            <w:vAlign w:val="center"/>
          </w:tcPr>
          <w:p>
            <w:pPr>
              <w:spacing w:line="240" w:lineRule="exact"/>
              <w:jc w:val="center"/>
              <w:rPr>
                <w:rFonts w:ascii="仿宋" w:hAnsi="仿宋" w:eastAsia="仿宋"/>
                <w:bCs/>
                <w:color w:val="auto"/>
              </w:rPr>
            </w:pPr>
          </w:p>
        </w:tc>
      </w:tr>
    </w:tbl>
    <w:p>
      <w:pPr>
        <w:rPr>
          <w:rFonts w:ascii="仿宋" w:hAnsi="仿宋" w:eastAsia="仿宋"/>
          <w:color w:val="auto"/>
          <w:sz w:val="28"/>
          <w:szCs w:val="28"/>
        </w:rPr>
      </w:pPr>
    </w:p>
    <w:p>
      <w:pPr>
        <w:ind w:firstLine="4760" w:firstLineChars="1700"/>
        <w:rPr>
          <w:rFonts w:ascii="仿宋" w:hAnsi="仿宋" w:eastAsia="仿宋"/>
          <w:color w:val="auto"/>
          <w:sz w:val="28"/>
          <w:szCs w:val="28"/>
        </w:rPr>
      </w:pPr>
      <w:r>
        <w:rPr>
          <w:rFonts w:hint="eastAsia" w:ascii="仿宋" w:hAnsi="仿宋" w:eastAsia="仿宋"/>
          <w:color w:val="auto"/>
          <w:sz w:val="28"/>
          <w:szCs w:val="28"/>
        </w:rPr>
        <w:t>日期：     年  月   日</w:t>
      </w:r>
    </w:p>
    <w:p>
      <w:pPr>
        <w:rPr>
          <w:rFonts w:ascii="仿宋" w:hAnsi="仿宋" w:eastAsia="仿宋"/>
          <w:color w:val="auto"/>
        </w:rPr>
      </w:pPr>
    </w:p>
    <w:p>
      <w:pPr>
        <w:rPr>
          <w:rFonts w:ascii="仿宋" w:hAnsi="仿宋" w:eastAsia="仿宋"/>
          <w:color w:val="auto"/>
          <w:sz w:val="24"/>
        </w:rPr>
      </w:pPr>
      <w:r>
        <w:rPr>
          <w:rFonts w:hint="eastAsia" w:ascii="仿宋" w:hAnsi="仿宋" w:eastAsia="仿宋"/>
          <w:color w:val="auto"/>
          <w:sz w:val="24"/>
        </w:rPr>
        <w:t>注：1、本表所列项目应根据实际情况填写；</w:t>
      </w:r>
    </w:p>
    <w:p>
      <w:pPr>
        <w:spacing w:line="360" w:lineRule="auto"/>
        <w:ind w:firstLine="480"/>
        <w:jc w:val="center"/>
        <w:rPr>
          <w:rFonts w:ascii="仿宋" w:hAnsi="仿宋" w:eastAsia="仿宋"/>
          <w:color w:val="auto"/>
          <w:sz w:val="24"/>
        </w:rPr>
      </w:pPr>
      <w:r>
        <w:rPr>
          <w:rFonts w:hint="eastAsia" w:ascii="仿宋" w:hAnsi="仿宋" w:eastAsia="仿宋"/>
          <w:color w:val="auto"/>
          <w:sz w:val="24"/>
        </w:rPr>
        <w:t>2、此表仅提供了表格形式，投标人应根据需要准备足够数量的表格来填写。</w:t>
      </w:r>
    </w:p>
    <w:p>
      <w:pPr>
        <w:jc w:val="left"/>
        <w:rPr>
          <w:rFonts w:ascii="仿宋" w:hAnsi="仿宋" w:eastAsia="仿宋"/>
          <w:b/>
          <w:color w:val="auto"/>
          <w:sz w:val="30"/>
          <w:szCs w:val="30"/>
        </w:rPr>
      </w:pPr>
      <w:r>
        <w:rPr>
          <w:rFonts w:hint="eastAsia" w:ascii="仿宋" w:hAnsi="仿宋" w:eastAsia="仿宋"/>
          <w:b/>
          <w:color w:val="auto"/>
          <w:sz w:val="28"/>
          <w:szCs w:val="28"/>
        </w:rPr>
        <w:t>附件10：</w:t>
      </w:r>
    </w:p>
    <w:p>
      <w:pPr>
        <w:snapToGrid w:val="0"/>
        <w:spacing w:before="50" w:after="50"/>
        <w:jc w:val="center"/>
        <w:rPr>
          <w:rFonts w:ascii="仿宋" w:hAnsi="仿宋" w:eastAsia="仿宋"/>
          <w:b/>
          <w:color w:val="auto"/>
          <w:sz w:val="30"/>
          <w:szCs w:val="30"/>
        </w:rPr>
      </w:pP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开标一览表（报价表）</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 xml:space="preserve">投标人全称（电子签章）：       招标文件编号：   </w:t>
      </w:r>
      <w:r>
        <w:rPr>
          <w:rFonts w:hint="eastAsia" w:ascii="仿宋" w:hAnsi="仿宋" w:eastAsia="仿宋"/>
          <w:color w:val="auto"/>
          <w:sz w:val="28"/>
          <w:szCs w:val="28"/>
          <w:lang w:eastAsia="zh-CN"/>
        </w:rPr>
        <w:t>标项：</w:t>
      </w:r>
      <w:r>
        <w:rPr>
          <w:rFonts w:hint="eastAsia" w:ascii="仿宋" w:hAnsi="仿宋" w:eastAsia="仿宋"/>
          <w:color w:val="auto"/>
          <w:sz w:val="28"/>
          <w:szCs w:val="28"/>
        </w:rPr>
        <w:t xml:space="preserve">       </w:t>
      </w:r>
    </w:p>
    <w:tbl>
      <w:tblPr>
        <w:tblStyle w:val="32"/>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gridSpan w:val="2"/>
            <w:vAlign w:val="center"/>
          </w:tcPr>
          <w:p>
            <w:pPr>
              <w:jc w:val="center"/>
              <w:rPr>
                <w:rFonts w:ascii="仿宋" w:hAnsi="仿宋" w:eastAsia="仿宋"/>
                <w:color w:val="auto"/>
                <w:sz w:val="28"/>
                <w:szCs w:val="28"/>
              </w:rPr>
            </w:pPr>
            <w:r>
              <w:rPr>
                <w:rFonts w:hint="eastAsia" w:ascii="仿宋" w:hAnsi="仿宋" w:eastAsia="仿宋"/>
                <w:color w:val="auto"/>
                <w:sz w:val="28"/>
                <w:szCs w:val="28"/>
              </w:rPr>
              <w:t>投标项目名称</w:t>
            </w:r>
          </w:p>
        </w:tc>
        <w:tc>
          <w:tcPr>
            <w:tcW w:w="5760" w:type="dxa"/>
            <w:vAlign w:val="center"/>
          </w:tcPr>
          <w:p>
            <w:pPr>
              <w:spacing w:line="500" w:lineRule="exact"/>
              <w:jc w:val="center"/>
              <w:rPr>
                <w:rFonts w:ascii="仿宋" w:hAnsi="仿宋" w:eastAsia="仿宋"/>
                <w:b/>
                <w:color w:val="auto"/>
                <w:sz w:val="30"/>
              </w:rPr>
            </w:pPr>
          </w:p>
          <w:p>
            <w:pPr>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gridSpan w:val="2"/>
            <w:vAlign w:val="center"/>
          </w:tcPr>
          <w:p>
            <w:pPr>
              <w:jc w:val="center"/>
              <w:rPr>
                <w:rFonts w:ascii="仿宋" w:hAnsi="仿宋" w:eastAsia="仿宋"/>
                <w:color w:val="auto"/>
                <w:sz w:val="28"/>
                <w:szCs w:val="28"/>
              </w:rPr>
            </w:pPr>
            <w:r>
              <w:rPr>
                <w:rFonts w:hint="eastAsia" w:ascii="仿宋" w:hAnsi="仿宋" w:eastAsia="仿宋"/>
                <w:color w:val="auto"/>
                <w:sz w:val="28"/>
                <w:szCs w:val="28"/>
              </w:rPr>
              <w:t>投标有效期</w:t>
            </w:r>
          </w:p>
        </w:tc>
        <w:tc>
          <w:tcPr>
            <w:tcW w:w="5760"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restart"/>
            <w:tcBorders>
              <w:top w:val="single" w:color="auto" w:sz="4" w:space="0"/>
            </w:tcBorders>
            <w:vAlign w:val="center"/>
          </w:tcPr>
          <w:p>
            <w:pPr>
              <w:jc w:val="center"/>
              <w:rPr>
                <w:rFonts w:ascii="仿宋" w:hAnsi="仿宋" w:eastAsia="仿宋"/>
                <w:color w:val="auto"/>
                <w:sz w:val="28"/>
                <w:szCs w:val="28"/>
              </w:rPr>
            </w:pPr>
            <w:r>
              <w:rPr>
                <w:rFonts w:hint="eastAsia" w:ascii="仿宋" w:hAnsi="仿宋" w:eastAsia="仿宋"/>
                <w:color w:val="auto"/>
                <w:sz w:val="28"/>
                <w:szCs w:val="28"/>
              </w:rPr>
              <w:t>投标报价</w:t>
            </w:r>
          </w:p>
          <w:p>
            <w:pPr>
              <w:jc w:val="center"/>
              <w:rPr>
                <w:rFonts w:ascii="仿宋" w:hAnsi="仿宋" w:eastAsia="仿宋"/>
                <w:color w:val="auto"/>
                <w:sz w:val="28"/>
                <w:szCs w:val="28"/>
              </w:rPr>
            </w:pPr>
            <w:r>
              <w:rPr>
                <w:rFonts w:hint="eastAsia" w:ascii="仿宋" w:hAnsi="仿宋" w:eastAsia="仿宋"/>
                <w:color w:val="auto"/>
                <w:sz w:val="28"/>
                <w:szCs w:val="28"/>
              </w:rPr>
              <w:t>（人民币）</w:t>
            </w:r>
          </w:p>
        </w:tc>
        <w:tc>
          <w:tcPr>
            <w:tcW w:w="542" w:type="dxa"/>
            <w:tcBorders>
              <w:top w:val="single" w:color="auto" w:sz="4" w:space="0"/>
              <w:bottom w:val="single" w:color="auto" w:sz="4" w:space="0"/>
            </w:tcBorders>
            <w:vAlign w:val="center"/>
          </w:tcPr>
          <w:p>
            <w:pPr>
              <w:widowControl/>
              <w:jc w:val="left"/>
              <w:rPr>
                <w:rFonts w:ascii="仿宋" w:hAnsi="仿宋" w:eastAsia="仿宋"/>
                <w:color w:val="auto"/>
                <w:sz w:val="28"/>
                <w:szCs w:val="28"/>
              </w:rPr>
            </w:pPr>
            <w:r>
              <w:rPr>
                <w:rFonts w:hint="eastAsia" w:ascii="仿宋" w:hAnsi="仿宋" w:eastAsia="仿宋"/>
                <w:color w:val="auto"/>
                <w:sz w:val="28"/>
                <w:szCs w:val="28"/>
              </w:rPr>
              <w:t>小</w:t>
            </w:r>
          </w:p>
          <w:p>
            <w:pPr>
              <w:jc w:val="center"/>
              <w:rPr>
                <w:rFonts w:ascii="仿宋" w:hAnsi="仿宋" w:eastAsia="仿宋"/>
                <w:color w:val="auto"/>
                <w:sz w:val="28"/>
                <w:szCs w:val="28"/>
              </w:rPr>
            </w:pPr>
            <w:r>
              <w:rPr>
                <w:rFonts w:hint="eastAsia" w:ascii="仿宋" w:hAnsi="仿宋" w:eastAsia="仿宋"/>
                <w:color w:val="auto"/>
                <w:sz w:val="28"/>
                <w:szCs w:val="28"/>
              </w:rPr>
              <w:t>写</w:t>
            </w:r>
          </w:p>
        </w:tc>
        <w:tc>
          <w:tcPr>
            <w:tcW w:w="5760" w:type="dxa"/>
            <w:vAlign w:val="center"/>
          </w:tcPr>
          <w:p>
            <w:pPr>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continue"/>
            <w:vAlign w:val="center"/>
          </w:tcPr>
          <w:p>
            <w:pPr>
              <w:jc w:val="center"/>
              <w:rPr>
                <w:rFonts w:ascii="仿宋" w:hAnsi="仿宋" w:eastAsia="仿宋"/>
                <w:color w:val="auto"/>
                <w:sz w:val="28"/>
                <w:szCs w:val="28"/>
              </w:rPr>
            </w:pPr>
          </w:p>
        </w:tc>
        <w:tc>
          <w:tcPr>
            <w:tcW w:w="542" w:type="dxa"/>
            <w:tcBorders>
              <w:top w:val="single" w:color="auto" w:sz="4" w:space="0"/>
            </w:tcBorders>
            <w:vAlign w:val="center"/>
          </w:tcPr>
          <w:p>
            <w:pPr>
              <w:jc w:val="center"/>
              <w:rPr>
                <w:rFonts w:ascii="仿宋" w:hAnsi="仿宋" w:eastAsia="仿宋"/>
                <w:color w:val="auto"/>
                <w:sz w:val="28"/>
                <w:szCs w:val="28"/>
              </w:rPr>
            </w:pPr>
            <w:r>
              <w:rPr>
                <w:rFonts w:hint="eastAsia" w:ascii="仿宋" w:hAnsi="仿宋" w:eastAsia="仿宋"/>
                <w:color w:val="auto"/>
                <w:sz w:val="28"/>
                <w:szCs w:val="28"/>
              </w:rPr>
              <w:t>大写</w:t>
            </w:r>
          </w:p>
        </w:tc>
        <w:tc>
          <w:tcPr>
            <w:tcW w:w="5760" w:type="dxa"/>
            <w:vAlign w:val="center"/>
          </w:tcPr>
          <w:p>
            <w:pPr>
              <w:jc w:val="center"/>
              <w:rPr>
                <w:rFonts w:ascii="仿宋" w:hAnsi="仿宋" w:eastAsia="仿宋"/>
                <w:color w:val="auto"/>
                <w:sz w:val="28"/>
                <w:szCs w:val="28"/>
              </w:rPr>
            </w:pPr>
          </w:p>
        </w:tc>
      </w:tr>
    </w:tbl>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spacing w:line="500" w:lineRule="exact"/>
        <w:jc w:val="center"/>
        <w:rPr>
          <w:rFonts w:ascii="仿宋" w:hAnsi="仿宋" w:eastAsia="仿宋"/>
          <w:color w:val="auto"/>
          <w:sz w:val="28"/>
          <w:szCs w:val="28"/>
        </w:rPr>
      </w:pPr>
      <w:r>
        <w:rPr>
          <w:rFonts w:hint="eastAsia" w:ascii="仿宋" w:hAnsi="仿宋" w:eastAsia="仿宋"/>
          <w:color w:val="auto"/>
          <w:sz w:val="28"/>
          <w:szCs w:val="28"/>
        </w:rPr>
        <w:t xml:space="preserve">                                日期：    年  月  日</w:t>
      </w:r>
    </w:p>
    <w:p>
      <w:pPr>
        <w:spacing w:line="500" w:lineRule="exact"/>
        <w:jc w:val="center"/>
        <w:rPr>
          <w:rFonts w:ascii="仿宋" w:hAnsi="仿宋" w:eastAsia="仿宋"/>
          <w:color w:val="auto"/>
          <w:sz w:val="28"/>
          <w:szCs w:val="28"/>
        </w:rPr>
      </w:pPr>
    </w:p>
    <w:p>
      <w:pPr>
        <w:spacing w:line="500" w:lineRule="exact"/>
        <w:jc w:val="center"/>
        <w:rPr>
          <w:rFonts w:ascii="仿宋" w:hAnsi="仿宋" w:eastAsia="仿宋"/>
          <w:color w:val="auto"/>
          <w:sz w:val="30"/>
        </w:rPr>
      </w:pPr>
    </w:p>
    <w:p>
      <w:pPr>
        <w:spacing w:line="500" w:lineRule="exact"/>
        <w:rPr>
          <w:rFonts w:ascii="仿宋" w:hAnsi="仿宋" w:eastAsia="仿宋"/>
          <w:b/>
          <w:bCs/>
          <w:color w:val="auto"/>
          <w:spacing w:val="14"/>
          <w:sz w:val="30"/>
        </w:rPr>
      </w:pPr>
    </w:p>
    <w:p>
      <w:pPr>
        <w:spacing w:line="500" w:lineRule="exact"/>
        <w:rPr>
          <w:rFonts w:ascii="仿宋" w:hAnsi="仿宋" w:eastAsia="仿宋"/>
          <w:b/>
          <w:bCs/>
          <w:color w:val="auto"/>
          <w:spacing w:val="14"/>
          <w:sz w:val="28"/>
          <w:szCs w:val="28"/>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spacing w:line="500" w:lineRule="exact"/>
        <w:rPr>
          <w:rFonts w:ascii="仿宋" w:hAnsi="仿宋" w:eastAsia="仿宋"/>
          <w:color w:val="auto"/>
          <w:sz w:val="28"/>
          <w:szCs w:val="28"/>
        </w:rPr>
      </w:pPr>
      <w:r>
        <w:rPr>
          <w:rFonts w:hint="eastAsia" w:ascii="仿宋" w:hAnsi="仿宋" w:eastAsia="仿宋"/>
          <w:b/>
          <w:bCs/>
          <w:color w:val="auto"/>
          <w:spacing w:val="14"/>
          <w:sz w:val="28"/>
          <w:szCs w:val="28"/>
        </w:rPr>
        <w:t>附件11：</w:t>
      </w: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投标项目报价明细表</w:t>
      </w:r>
    </w:p>
    <w:p>
      <w:pPr>
        <w:rPr>
          <w:rFonts w:ascii="仿宋" w:hAnsi="仿宋" w:eastAsia="仿宋"/>
          <w:color w:val="auto"/>
          <w:sz w:val="28"/>
          <w:szCs w:val="28"/>
        </w:rPr>
      </w:pPr>
      <w:r>
        <w:rPr>
          <w:rFonts w:hint="eastAsia" w:ascii="仿宋" w:hAnsi="仿宋" w:eastAsia="仿宋"/>
          <w:color w:val="auto"/>
          <w:sz w:val="28"/>
          <w:szCs w:val="28"/>
        </w:rPr>
        <w:t xml:space="preserve">投标人全称（电子签章）：                       </w:t>
      </w:r>
      <w:r>
        <w:rPr>
          <w:rFonts w:ascii="仿宋" w:hAnsi="仿宋" w:eastAsia="仿宋"/>
          <w:color w:val="auto"/>
          <w:sz w:val="28"/>
          <w:szCs w:val="28"/>
        </w:rPr>
        <w:t>招标</w:t>
      </w:r>
      <w:r>
        <w:rPr>
          <w:rFonts w:hint="eastAsia" w:ascii="仿宋" w:hAnsi="仿宋" w:eastAsia="仿宋"/>
          <w:color w:val="auto"/>
          <w:sz w:val="28"/>
          <w:szCs w:val="28"/>
        </w:rPr>
        <w:t>文件</w:t>
      </w:r>
      <w:r>
        <w:rPr>
          <w:rFonts w:ascii="仿宋" w:hAnsi="仿宋" w:eastAsia="仿宋"/>
          <w:color w:val="auto"/>
          <w:sz w:val="28"/>
          <w:szCs w:val="28"/>
        </w:rPr>
        <w:t>编号：</w:t>
      </w:r>
      <w:r>
        <w:rPr>
          <w:rFonts w:hint="eastAsia" w:ascii="仿宋" w:hAnsi="仿宋" w:eastAsia="仿宋"/>
          <w:color w:val="auto"/>
          <w:sz w:val="28"/>
          <w:szCs w:val="28"/>
        </w:rPr>
        <w:t xml:space="preserve">      标项：</w:t>
      </w:r>
    </w:p>
    <w:tbl>
      <w:tblPr>
        <w:tblStyle w:val="32"/>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03"/>
        <w:gridCol w:w="2503"/>
        <w:gridCol w:w="835"/>
        <w:gridCol w:w="709"/>
        <w:gridCol w:w="2395"/>
        <w:gridCol w:w="1048"/>
        <w:gridCol w:w="709"/>
        <w:gridCol w:w="708"/>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8" w:type="dxa"/>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序号</w:t>
            </w:r>
          </w:p>
        </w:tc>
        <w:tc>
          <w:tcPr>
            <w:tcW w:w="2503" w:type="dxa"/>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货物名称（部件名称）</w:t>
            </w:r>
          </w:p>
        </w:tc>
        <w:tc>
          <w:tcPr>
            <w:tcW w:w="2503" w:type="dxa"/>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规格型号（技术参数）</w:t>
            </w:r>
          </w:p>
        </w:tc>
        <w:tc>
          <w:tcPr>
            <w:tcW w:w="835" w:type="dxa"/>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品牌</w:t>
            </w:r>
          </w:p>
        </w:tc>
        <w:tc>
          <w:tcPr>
            <w:tcW w:w="709" w:type="dxa"/>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产地</w:t>
            </w:r>
          </w:p>
        </w:tc>
        <w:tc>
          <w:tcPr>
            <w:tcW w:w="2395" w:type="dxa"/>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制造商全称</w:t>
            </w:r>
          </w:p>
        </w:tc>
        <w:tc>
          <w:tcPr>
            <w:tcW w:w="1048" w:type="dxa"/>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是否小微企业</w:t>
            </w:r>
          </w:p>
        </w:tc>
        <w:tc>
          <w:tcPr>
            <w:tcW w:w="709" w:type="dxa"/>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数量</w:t>
            </w:r>
          </w:p>
        </w:tc>
        <w:tc>
          <w:tcPr>
            <w:tcW w:w="708" w:type="dxa"/>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单位</w:t>
            </w:r>
          </w:p>
        </w:tc>
        <w:tc>
          <w:tcPr>
            <w:tcW w:w="851" w:type="dxa"/>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单价</w:t>
            </w:r>
          </w:p>
        </w:tc>
        <w:tc>
          <w:tcPr>
            <w:tcW w:w="1134" w:type="dxa"/>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auto"/>
                <w:sz w:val="24"/>
              </w:rPr>
            </w:pPr>
          </w:p>
        </w:tc>
        <w:tc>
          <w:tcPr>
            <w:tcW w:w="2503" w:type="dxa"/>
            <w:vAlign w:val="center"/>
          </w:tcPr>
          <w:p>
            <w:pPr>
              <w:spacing w:line="300" w:lineRule="exact"/>
              <w:jc w:val="center"/>
              <w:rPr>
                <w:rFonts w:ascii="仿宋" w:hAnsi="仿宋" w:eastAsia="仿宋"/>
                <w:color w:val="auto"/>
                <w:sz w:val="24"/>
              </w:rPr>
            </w:pPr>
            <w:r>
              <w:rPr>
                <w:rFonts w:hint="eastAsia" w:ascii="仿宋" w:hAnsi="仿宋" w:eastAsia="仿宋"/>
                <w:color w:val="auto"/>
                <w:sz w:val="24"/>
              </w:rPr>
              <w:t>汇总金额（人民币）</w:t>
            </w:r>
          </w:p>
        </w:tc>
        <w:tc>
          <w:tcPr>
            <w:tcW w:w="2503" w:type="dxa"/>
            <w:vAlign w:val="center"/>
          </w:tcPr>
          <w:p>
            <w:pPr>
              <w:spacing w:line="300" w:lineRule="exact"/>
              <w:jc w:val="center"/>
              <w:rPr>
                <w:rFonts w:ascii="仿宋" w:hAnsi="仿宋" w:eastAsia="仿宋"/>
                <w:color w:val="auto"/>
                <w:sz w:val="24"/>
              </w:rPr>
            </w:pPr>
          </w:p>
        </w:tc>
        <w:tc>
          <w:tcPr>
            <w:tcW w:w="835"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2395" w:type="dxa"/>
            <w:vAlign w:val="center"/>
          </w:tcPr>
          <w:p>
            <w:pPr>
              <w:spacing w:line="300" w:lineRule="exact"/>
              <w:jc w:val="center"/>
              <w:rPr>
                <w:rFonts w:ascii="仿宋" w:hAnsi="仿宋" w:eastAsia="仿宋"/>
                <w:color w:val="auto"/>
                <w:sz w:val="24"/>
              </w:rPr>
            </w:pPr>
          </w:p>
        </w:tc>
        <w:tc>
          <w:tcPr>
            <w:tcW w:w="1048" w:type="dxa"/>
            <w:vAlign w:val="center"/>
          </w:tcPr>
          <w:p>
            <w:pPr>
              <w:spacing w:line="300" w:lineRule="exact"/>
              <w:jc w:val="center"/>
              <w:rPr>
                <w:rFonts w:ascii="仿宋" w:hAnsi="仿宋" w:eastAsia="仿宋"/>
                <w:color w:val="auto"/>
                <w:sz w:val="24"/>
              </w:rPr>
            </w:pPr>
          </w:p>
        </w:tc>
        <w:tc>
          <w:tcPr>
            <w:tcW w:w="709" w:type="dxa"/>
            <w:vAlign w:val="center"/>
          </w:tcPr>
          <w:p>
            <w:pPr>
              <w:spacing w:line="300" w:lineRule="exact"/>
              <w:jc w:val="center"/>
              <w:rPr>
                <w:rFonts w:ascii="仿宋" w:hAnsi="仿宋" w:eastAsia="仿宋"/>
                <w:color w:val="auto"/>
                <w:sz w:val="24"/>
              </w:rPr>
            </w:pPr>
          </w:p>
        </w:tc>
        <w:tc>
          <w:tcPr>
            <w:tcW w:w="708" w:type="dxa"/>
            <w:vAlign w:val="center"/>
          </w:tcPr>
          <w:p>
            <w:pPr>
              <w:spacing w:line="300" w:lineRule="exact"/>
              <w:jc w:val="center"/>
              <w:rPr>
                <w:rFonts w:ascii="仿宋" w:hAnsi="仿宋" w:eastAsia="仿宋"/>
                <w:color w:val="auto"/>
                <w:sz w:val="24"/>
              </w:rPr>
            </w:pPr>
          </w:p>
        </w:tc>
        <w:tc>
          <w:tcPr>
            <w:tcW w:w="851" w:type="dxa"/>
            <w:vAlign w:val="center"/>
          </w:tcPr>
          <w:p>
            <w:pPr>
              <w:spacing w:line="300" w:lineRule="exact"/>
              <w:jc w:val="center"/>
              <w:rPr>
                <w:rFonts w:ascii="仿宋" w:hAnsi="仿宋" w:eastAsia="仿宋"/>
                <w:color w:val="auto"/>
                <w:sz w:val="24"/>
              </w:rPr>
            </w:pPr>
          </w:p>
        </w:tc>
        <w:tc>
          <w:tcPr>
            <w:tcW w:w="1134" w:type="dxa"/>
            <w:vAlign w:val="center"/>
          </w:tcPr>
          <w:p>
            <w:pPr>
              <w:spacing w:line="300" w:lineRule="exact"/>
              <w:jc w:val="center"/>
              <w:rPr>
                <w:rFonts w:ascii="仿宋" w:hAnsi="仿宋" w:eastAsia="仿宋"/>
                <w:color w:val="auto"/>
                <w:sz w:val="24"/>
              </w:rPr>
            </w:pPr>
          </w:p>
        </w:tc>
      </w:tr>
    </w:tbl>
    <w:p>
      <w:pPr>
        <w:jc w:val="right"/>
        <w:rPr>
          <w:rFonts w:ascii="仿宋" w:hAnsi="仿宋" w:eastAsia="仿宋"/>
          <w:color w:val="auto"/>
          <w:sz w:val="28"/>
          <w:szCs w:val="28"/>
        </w:rPr>
      </w:pPr>
      <w:r>
        <w:rPr>
          <w:rFonts w:hint="eastAsia" w:ascii="仿宋" w:hAnsi="仿宋" w:eastAsia="仿宋"/>
          <w:color w:val="auto"/>
          <w:sz w:val="28"/>
          <w:szCs w:val="28"/>
        </w:rPr>
        <w:t xml:space="preserve">                                 日期：    年  月   日</w:t>
      </w:r>
    </w:p>
    <w:p>
      <w:pPr>
        <w:rPr>
          <w:rFonts w:ascii="仿宋" w:hAnsi="仿宋" w:eastAsia="仿宋"/>
          <w:color w:val="auto"/>
          <w:sz w:val="24"/>
        </w:rPr>
      </w:pPr>
      <w:r>
        <w:rPr>
          <w:rFonts w:hint="eastAsia" w:ascii="仿宋" w:hAnsi="仿宋" w:eastAsia="仿宋"/>
          <w:color w:val="auto"/>
          <w:sz w:val="24"/>
        </w:rPr>
        <w:t>注：1、本表所列项目应根据实际情况填写，并</w:t>
      </w:r>
      <w:r>
        <w:rPr>
          <w:rFonts w:hint="eastAsia" w:ascii="仿宋" w:hAnsi="仿宋" w:eastAsia="仿宋"/>
          <w:b/>
          <w:color w:val="auto"/>
          <w:sz w:val="24"/>
        </w:rPr>
        <w:t>计入</w:t>
      </w:r>
      <w:r>
        <w:rPr>
          <w:rFonts w:hint="eastAsia" w:ascii="仿宋" w:hAnsi="仿宋" w:eastAsia="仿宋"/>
          <w:b/>
          <w:bCs/>
          <w:color w:val="auto"/>
          <w:sz w:val="24"/>
        </w:rPr>
        <w:t>投标总价</w:t>
      </w:r>
      <w:r>
        <w:rPr>
          <w:rFonts w:hint="eastAsia" w:ascii="仿宋" w:hAnsi="仿宋" w:eastAsia="仿宋"/>
          <w:color w:val="auto"/>
          <w:sz w:val="24"/>
        </w:rPr>
        <w:t>；</w:t>
      </w:r>
    </w:p>
    <w:p>
      <w:pPr>
        <w:ind w:firstLine="480" w:firstLineChars="200"/>
        <w:rPr>
          <w:rFonts w:ascii="仿宋" w:hAnsi="仿宋" w:eastAsia="仿宋"/>
          <w:color w:val="auto"/>
        </w:rPr>
      </w:pPr>
      <w:r>
        <w:rPr>
          <w:rFonts w:hint="eastAsia" w:ascii="仿宋" w:hAnsi="仿宋" w:eastAsia="仿宋"/>
          <w:color w:val="auto"/>
          <w:sz w:val="24"/>
        </w:rPr>
        <w:t>2、此表仅提供了表格形式，投标人应根据需要准备足够数量的表格来填写；</w:t>
      </w:r>
    </w:p>
    <w:p>
      <w:pPr>
        <w:ind w:firstLine="360" w:firstLineChars="150"/>
        <w:rPr>
          <w:color w:val="auto"/>
        </w:rPr>
      </w:pPr>
      <w:r>
        <w:rPr>
          <w:rFonts w:hint="eastAsia" w:ascii="仿宋" w:hAnsi="仿宋" w:eastAsia="仿宋"/>
          <w:color w:val="auto"/>
          <w:sz w:val="24"/>
        </w:rPr>
        <w:t xml:space="preserve"> 3、</w:t>
      </w:r>
      <w:r>
        <w:rPr>
          <w:rFonts w:hint="eastAsia" w:ascii="仿宋" w:hAnsi="仿宋" w:eastAsia="仿宋"/>
          <w:b/>
          <w:color w:val="auto"/>
          <w:sz w:val="24"/>
        </w:rPr>
        <w:t>报价明细表最终汇总金额应与开标一览表一致。</w:t>
      </w:r>
    </w:p>
    <w:p>
      <w:pPr>
        <w:spacing w:line="360" w:lineRule="auto"/>
        <w:rPr>
          <w:rFonts w:ascii="仿宋" w:hAnsi="仿宋" w:eastAsia="仿宋"/>
          <w:b/>
          <w:bCs/>
          <w:color w:val="auto"/>
          <w:spacing w:val="14"/>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p>
    <w:p>
      <w:pPr>
        <w:rPr>
          <w:rFonts w:ascii="仿宋" w:hAnsi="仿宋" w:eastAsia="仿宋"/>
          <w:b/>
          <w:color w:val="auto"/>
          <w:sz w:val="30"/>
          <w:szCs w:val="30"/>
        </w:rPr>
      </w:pPr>
      <w:r>
        <w:rPr>
          <w:rFonts w:hint="eastAsia" w:ascii="仿宋" w:hAnsi="仿宋" w:eastAsia="仿宋"/>
          <w:b/>
          <w:color w:val="auto"/>
          <w:sz w:val="30"/>
          <w:szCs w:val="30"/>
        </w:rPr>
        <w:t>附件12：</w:t>
      </w:r>
    </w:p>
    <w:p>
      <w:pPr>
        <w:jc w:val="center"/>
        <w:rPr>
          <w:rFonts w:ascii="仿宋" w:hAnsi="仿宋" w:eastAsia="仿宋"/>
          <w:b/>
          <w:color w:val="auto"/>
          <w:sz w:val="30"/>
          <w:szCs w:val="30"/>
        </w:rPr>
      </w:pPr>
      <w:r>
        <w:rPr>
          <w:rFonts w:hint="eastAsia" w:ascii="仿宋" w:hAnsi="仿宋" w:eastAsia="仿宋"/>
          <w:b/>
          <w:color w:val="auto"/>
          <w:sz w:val="30"/>
          <w:szCs w:val="30"/>
        </w:rPr>
        <w:t>中小企业声明函(货物)</w:t>
      </w:r>
    </w:p>
    <w:p>
      <w:pPr>
        <w:jc w:val="center"/>
        <w:rPr>
          <w:rFonts w:ascii="仿宋" w:hAnsi="仿宋" w:eastAsia="仿宋"/>
          <w:color w:val="auto"/>
          <w:sz w:val="28"/>
          <w:szCs w:val="28"/>
        </w:rPr>
      </w:pPr>
    </w:p>
    <w:p>
      <w:pPr>
        <w:spacing w:line="480" w:lineRule="exact"/>
        <w:ind w:firstLine="555"/>
        <w:jc w:val="center"/>
        <w:rPr>
          <w:rFonts w:ascii="仿宋" w:hAnsi="仿宋" w:eastAsia="仿宋"/>
          <w:color w:val="auto"/>
          <w:sz w:val="28"/>
          <w:szCs w:val="28"/>
        </w:rPr>
      </w:pPr>
      <w:r>
        <w:rPr>
          <w:rFonts w:hint="eastAsia" w:ascii="仿宋" w:hAnsi="仿宋" w:eastAsia="仿宋"/>
          <w:color w:val="auto"/>
          <w:sz w:val="28"/>
          <w:szCs w:val="28"/>
        </w:rPr>
        <w:t>本公司（联合体）郑重声明，根据《政府采购促进中小企业发展管理办法》（财库（2020)46号)的规定，本公司（联合体)参加</w:t>
      </w:r>
      <w:r>
        <w:rPr>
          <w:rFonts w:hint="eastAsia" w:ascii="仿宋" w:hAnsi="仿宋" w:eastAsia="仿宋"/>
          <w:color w:val="auto"/>
          <w:sz w:val="28"/>
          <w:szCs w:val="28"/>
          <w:u w:val="single"/>
        </w:rPr>
        <w:t>(单位名称）</w:t>
      </w:r>
      <w:r>
        <w:rPr>
          <w:rFonts w:hint="eastAsia" w:ascii="仿宋" w:hAnsi="仿宋" w:eastAsia="仿宋"/>
          <w:color w:val="auto"/>
          <w:sz w:val="28"/>
          <w:szCs w:val="28"/>
        </w:rPr>
        <w:t>的</w:t>
      </w:r>
      <w:r>
        <w:rPr>
          <w:rFonts w:hint="eastAsia" w:ascii="仿宋" w:hAnsi="仿宋" w:eastAsia="仿宋"/>
          <w:color w:val="auto"/>
          <w:sz w:val="28"/>
          <w:szCs w:val="28"/>
          <w:u w:val="single"/>
        </w:rPr>
        <w:t>（项目名称）</w:t>
      </w:r>
      <w:r>
        <w:rPr>
          <w:rFonts w:hint="eastAsia" w:ascii="仿宋" w:hAnsi="仿宋" w:eastAsia="仿宋"/>
          <w:color w:val="auto"/>
          <w:sz w:val="28"/>
          <w:szCs w:val="28"/>
        </w:rPr>
        <w:t>采购活动，提供的货物全部由符合政策要求的中小企业制造。相关企业（含联合体中的中小企业、签订分包意向</w:t>
      </w:r>
    </w:p>
    <w:p>
      <w:pPr>
        <w:spacing w:line="480" w:lineRule="exact"/>
        <w:rPr>
          <w:rFonts w:ascii="仿宋" w:hAnsi="仿宋" w:eastAsia="仿宋"/>
          <w:color w:val="auto"/>
          <w:sz w:val="28"/>
          <w:szCs w:val="28"/>
        </w:rPr>
      </w:pPr>
      <w:r>
        <w:rPr>
          <w:rFonts w:hint="eastAsia" w:ascii="仿宋" w:hAnsi="仿宋" w:eastAsia="仿宋"/>
          <w:color w:val="auto"/>
          <w:sz w:val="28"/>
          <w:szCs w:val="28"/>
        </w:rPr>
        <w:t>协议的中小企业）的具体情况如下：</w:t>
      </w:r>
    </w:p>
    <w:p>
      <w:pPr>
        <w:spacing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u w:val="single"/>
        </w:rPr>
        <w:t>（标的名称）</w:t>
      </w:r>
      <w:r>
        <w:rPr>
          <w:rFonts w:hint="eastAsia" w:ascii="仿宋" w:hAnsi="仿宋" w:eastAsia="仿宋"/>
          <w:color w:val="auto"/>
          <w:sz w:val="28"/>
          <w:szCs w:val="28"/>
        </w:rPr>
        <w:t>，属于</w:t>
      </w:r>
      <w:r>
        <w:rPr>
          <w:rFonts w:hint="eastAsia" w:ascii="仿宋" w:hAnsi="仿宋" w:eastAsia="仿宋"/>
          <w:color w:val="auto"/>
          <w:sz w:val="28"/>
          <w:szCs w:val="28"/>
          <w:u w:val="single"/>
        </w:rPr>
        <w:t>（采购文件中明确的所属行业）</w:t>
      </w:r>
      <w:r>
        <w:rPr>
          <w:rFonts w:hint="eastAsia" w:ascii="仿宋" w:hAnsi="仿宋" w:eastAsia="仿宋"/>
          <w:color w:val="auto"/>
          <w:sz w:val="28"/>
          <w:szCs w:val="28"/>
        </w:rPr>
        <w:t>行业；制造商为</w:t>
      </w:r>
      <w:r>
        <w:rPr>
          <w:rFonts w:hint="eastAsia" w:ascii="仿宋" w:hAnsi="仿宋" w:eastAsia="仿宋"/>
          <w:color w:val="auto"/>
          <w:sz w:val="28"/>
          <w:szCs w:val="28"/>
          <w:u w:val="single"/>
        </w:rPr>
        <w:t>（企业名称)</w:t>
      </w:r>
      <w:r>
        <w:rPr>
          <w:rFonts w:hint="eastAsia" w:ascii="仿宋" w:hAnsi="仿宋" w:eastAsia="仿宋"/>
          <w:color w:val="auto"/>
          <w:sz w:val="28"/>
          <w:szCs w:val="28"/>
        </w:rPr>
        <w:t>，从业人员</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人，营业收入为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万元，资产总额为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万元，属于</w:t>
      </w:r>
      <w:r>
        <w:rPr>
          <w:rFonts w:hint="eastAsia" w:ascii="仿宋" w:hAnsi="仿宋" w:eastAsia="仿宋"/>
          <w:color w:val="auto"/>
          <w:sz w:val="28"/>
          <w:szCs w:val="28"/>
          <w:u w:val="single"/>
        </w:rPr>
        <w:t>（中型企业、小型企业、微型企业）</w:t>
      </w:r>
      <w:r>
        <w:rPr>
          <w:rFonts w:hint="eastAsia" w:ascii="仿宋" w:hAnsi="仿宋" w:eastAsia="仿宋"/>
          <w:color w:val="auto"/>
          <w:sz w:val="28"/>
          <w:szCs w:val="28"/>
        </w:rPr>
        <w:t>；</w:t>
      </w:r>
    </w:p>
    <w:p>
      <w:pPr>
        <w:spacing w:line="480" w:lineRule="exact"/>
        <w:ind w:firstLine="570"/>
        <w:jc w:val="center"/>
        <w:rPr>
          <w:rFonts w:ascii="仿宋" w:hAnsi="仿宋" w:eastAsia="仿宋"/>
          <w:color w:val="auto"/>
          <w:sz w:val="28"/>
          <w:szCs w:val="28"/>
          <w:u w:val="single"/>
        </w:rPr>
      </w:pPr>
      <w:r>
        <w:rPr>
          <w:rFonts w:hint="eastAsia" w:ascii="仿宋" w:hAnsi="仿宋" w:eastAsia="仿宋"/>
          <w:color w:val="auto"/>
          <w:sz w:val="28"/>
          <w:szCs w:val="28"/>
        </w:rPr>
        <w:t>2.</w:t>
      </w:r>
      <w:r>
        <w:rPr>
          <w:rFonts w:hint="eastAsia" w:ascii="仿宋" w:hAnsi="仿宋" w:eastAsia="仿宋"/>
          <w:color w:val="auto"/>
          <w:sz w:val="28"/>
          <w:szCs w:val="28"/>
          <w:u w:val="single"/>
        </w:rPr>
        <w:t xml:space="preserve"> （标的名称）</w:t>
      </w:r>
      <w:r>
        <w:rPr>
          <w:rFonts w:hint="eastAsia" w:ascii="仿宋" w:hAnsi="仿宋" w:eastAsia="仿宋"/>
          <w:color w:val="auto"/>
          <w:sz w:val="28"/>
          <w:szCs w:val="28"/>
        </w:rPr>
        <w:t>，属于</w:t>
      </w:r>
      <w:r>
        <w:rPr>
          <w:rFonts w:hint="eastAsia" w:ascii="仿宋" w:hAnsi="仿宋" w:eastAsia="仿宋"/>
          <w:color w:val="auto"/>
          <w:sz w:val="28"/>
          <w:szCs w:val="28"/>
          <w:u w:val="single"/>
        </w:rPr>
        <w:t>（采购文件中明确的所属行业）</w:t>
      </w:r>
      <w:r>
        <w:rPr>
          <w:rFonts w:hint="eastAsia" w:ascii="仿宋" w:hAnsi="仿宋" w:eastAsia="仿宋"/>
          <w:color w:val="auto"/>
          <w:sz w:val="28"/>
          <w:szCs w:val="28"/>
        </w:rPr>
        <w:t>行业；制造商为</w:t>
      </w:r>
      <w:r>
        <w:rPr>
          <w:rFonts w:hint="eastAsia" w:ascii="仿宋" w:hAnsi="仿宋" w:eastAsia="仿宋"/>
          <w:color w:val="auto"/>
          <w:sz w:val="28"/>
          <w:szCs w:val="28"/>
          <w:u w:val="single"/>
        </w:rPr>
        <w:t>（企业名称)</w:t>
      </w:r>
      <w:r>
        <w:rPr>
          <w:rFonts w:hint="eastAsia" w:ascii="仿宋" w:hAnsi="仿宋" w:eastAsia="仿宋"/>
          <w:color w:val="auto"/>
          <w:sz w:val="28"/>
          <w:szCs w:val="28"/>
        </w:rPr>
        <w:t>，从业人员</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人，营业收入为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万元，资产总额为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万元，属于</w:t>
      </w:r>
      <w:r>
        <w:rPr>
          <w:rFonts w:hint="eastAsia" w:ascii="仿宋" w:hAnsi="仿宋" w:eastAsia="仿宋"/>
          <w:color w:val="auto"/>
          <w:sz w:val="28"/>
          <w:szCs w:val="28"/>
          <w:u w:val="single"/>
        </w:rPr>
        <w:t>（中型企业、小型企业、微型企</w:t>
      </w:r>
    </w:p>
    <w:p>
      <w:pPr>
        <w:spacing w:line="480" w:lineRule="exact"/>
        <w:rPr>
          <w:rFonts w:ascii="仿宋" w:hAnsi="仿宋" w:eastAsia="仿宋"/>
          <w:color w:val="auto"/>
          <w:sz w:val="28"/>
          <w:szCs w:val="28"/>
        </w:rPr>
      </w:pPr>
      <w:r>
        <w:rPr>
          <w:rFonts w:hint="eastAsia" w:ascii="仿宋" w:hAnsi="仿宋" w:eastAsia="仿宋"/>
          <w:color w:val="auto"/>
          <w:sz w:val="28"/>
          <w:szCs w:val="28"/>
          <w:u w:val="single"/>
        </w:rPr>
        <w:t>业）</w:t>
      </w:r>
      <w:r>
        <w:rPr>
          <w:rFonts w:hint="eastAsia" w:ascii="仿宋" w:hAnsi="仿宋" w:eastAsia="仿宋"/>
          <w:color w:val="auto"/>
          <w:sz w:val="28"/>
          <w:szCs w:val="28"/>
        </w:rPr>
        <w:t>；</w:t>
      </w:r>
    </w:p>
    <w:p>
      <w:pPr>
        <w:spacing w:line="480" w:lineRule="exact"/>
        <w:rPr>
          <w:rFonts w:ascii="仿宋" w:hAnsi="仿宋" w:eastAsia="仿宋"/>
          <w:color w:val="auto"/>
          <w:sz w:val="28"/>
          <w:szCs w:val="28"/>
        </w:rPr>
      </w:pPr>
      <w:r>
        <w:rPr>
          <w:rFonts w:hint="eastAsia" w:ascii="仿宋" w:hAnsi="仿宋" w:eastAsia="仿宋"/>
          <w:color w:val="auto"/>
          <w:sz w:val="28"/>
          <w:szCs w:val="28"/>
        </w:rPr>
        <w:t xml:space="preserve">    ……</w:t>
      </w:r>
    </w:p>
    <w:p>
      <w:pPr>
        <w:spacing w:line="480" w:lineRule="exact"/>
        <w:ind w:firstLine="555"/>
        <w:jc w:val="center"/>
        <w:rPr>
          <w:rFonts w:ascii="仿宋" w:hAnsi="仿宋" w:eastAsia="仿宋"/>
          <w:color w:val="auto"/>
          <w:sz w:val="28"/>
          <w:szCs w:val="28"/>
        </w:rPr>
      </w:pPr>
      <w:r>
        <w:rPr>
          <w:rFonts w:hint="eastAsia" w:ascii="仿宋" w:hAnsi="仿宋" w:eastAsia="仿宋"/>
          <w:color w:val="auto"/>
          <w:sz w:val="28"/>
          <w:szCs w:val="28"/>
        </w:rPr>
        <w:t>以上企业，不属于大企业的分支机构，不存在控股股东为大企业</w:t>
      </w:r>
    </w:p>
    <w:p>
      <w:pPr>
        <w:spacing w:line="480" w:lineRule="exact"/>
        <w:rPr>
          <w:rFonts w:ascii="仿宋" w:hAnsi="仿宋" w:eastAsia="仿宋"/>
          <w:color w:val="auto"/>
          <w:sz w:val="28"/>
          <w:szCs w:val="28"/>
        </w:rPr>
      </w:pPr>
      <w:r>
        <w:rPr>
          <w:rFonts w:hint="eastAsia" w:ascii="仿宋" w:hAnsi="仿宋" w:eastAsia="仿宋"/>
          <w:color w:val="auto"/>
          <w:sz w:val="28"/>
          <w:szCs w:val="28"/>
        </w:rPr>
        <w:t>的情形，也不存在与大企业的负贵人为同一人的情形。</w:t>
      </w:r>
    </w:p>
    <w:p>
      <w:pPr>
        <w:spacing w:line="480" w:lineRule="exact"/>
        <w:ind w:firstLine="360"/>
        <w:rPr>
          <w:rFonts w:ascii="仿宋" w:hAnsi="仿宋" w:eastAsia="仿宋"/>
          <w:color w:val="auto"/>
          <w:sz w:val="28"/>
          <w:szCs w:val="28"/>
        </w:rPr>
      </w:pPr>
      <w:r>
        <w:rPr>
          <w:rFonts w:hint="eastAsia" w:ascii="仿宋" w:hAnsi="仿宋" w:eastAsia="仿宋"/>
          <w:color w:val="auto"/>
          <w:sz w:val="28"/>
          <w:szCs w:val="28"/>
        </w:rPr>
        <w:t>本企业对上述声明内容的真实性负责，如有虚假，将依法承担相应责任。</w:t>
      </w:r>
    </w:p>
    <w:p>
      <w:pPr>
        <w:spacing w:line="480" w:lineRule="exact"/>
        <w:ind w:firstLine="360"/>
        <w:rPr>
          <w:rFonts w:ascii="仿宋" w:hAnsi="仿宋" w:eastAsia="仿宋"/>
          <w:color w:val="auto"/>
          <w:sz w:val="28"/>
          <w:szCs w:val="28"/>
        </w:rPr>
      </w:pPr>
    </w:p>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企业名称</w:t>
      </w:r>
      <w:r>
        <w:rPr>
          <w:rFonts w:hint="eastAsia" w:ascii="仿宋" w:hAnsi="仿宋" w:eastAsia="仿宋"/>
          <w:color w:val="auto"/>
          <w:sz w:val="28"/>
          <w:szCs w:val="28"/>
        </w:rPr>
        <w:t>（电子签章）</w:t>
      </w:r>
      <w:r>
        <w:rPr>
          <w:rFonts w:ascii="仿宋" w:hAnsi="仿宋" w:eastAsia="仿宋"/>
          <w:color w:val="auto"/>
          <w:sz w:val="28"/>
          <w:szCs w:val="28"/>
        </w:rPr>
        <w:t>：</w:t>
      </w:r>
    </w:p>
    <w:p>
      <w:pPr>
        <w:jc w:val="center"/>
        <w:rPr>
          <w:rFonts w:ascii="仿宋" w:hAnsi="仿宋" w:eastAsia="仿宋"/>
          <w:b/>
          <w:color w:val="auto"/>
          <w:sz w:val="36"/>
          <w:szCs w:val="36"/>
        </w:rPr>
      </w:pPr>
      <w:r>
        <w:rPr>
          <w:rFonts w:hint="eastAsia" w:ascii="仿宋" w:hAnsi="仿宋" w:eastAsia="仿宋"/>
          <w:color w:val="auto"/>
          <w:sz w:val="28"/>
          <w:szCs w:val="28"/>
        </w:rPr>
        <w:t xml:space="preserve">               </w:t>
      </w:r>
      <w:r>
        <w:rPr>
          <w:rFonts w:ascii="仿宋" w:hAnsi="仿宋" w:eastAsia="仿宋"/>
          <w:color w:val="auto"/>
          <w:sz w:val="28"/>
          <w:szCs w:val="28"/>
        </w:rPr>
        <w:t>日期：</w:t>
      </w:r>
    </w:p>
    <w:p>
      <w:pPr>
        <w:jc w:val="center"/>
        <w:rPr>
          <w:rFonts w:ascii="仿宋" w:hAnsi="仿宋" w:eastAsia="仿宋"/>
          <w:b/>
          <w:color w:val="auto"/>
          <w:sz w:val="30"/>
          <w:szCs w:val="30"/>
        </w:rPr>
      </w:pPr>
    </w:p>
    <w:p>
      <w:pPr>
        <w:jc w:val="left"/>
        <w:rPr>
          <w:rFonts w:ascii="仿宋" w:hAnsi="仿宋" w:eastAsia="仿宋"/>
          <w:b/>
          <w:color w:val="auto"/>
          <w:sz w:val="30"/>
          <w:szCs w:val="30"/>
        </w:rPr>
      </w:pPr>
      <w:r>
        <w:rPr>
          <w:rFonts w:hint="eastAsia" w:ascii="仿宋" w:hAnsi="仿宋" w:eastAsia="仿宋"/>
          <w:b/>
          <w:color w:val="auto"/>
          <w:sz w:val="30"/>
          <w:szCs w:val="30"/>
        </w:rPr>
        <w:t>注：1、中小企业划型标准详见</w:t>
      </w:r>
      <w:r>
        <w:rPr>
          <w:rFonts w:hint="eastAsia" w:ascii="仿宋" w:hAnsi="仿宋" w:eastAsia="仿宋"/>
          <w:b/>
          <w:color w:val="auto"/>
          <w:sz w:val="28"/>
          <w:szCs w:val="28"/>
        </w:rPr>
        <w:t>《关于印发中小企业划型标准规定的通知》工信部联企业[2011]300号文件。</w:t>
      </w:r>
    </w:p>
    <w:p>
      <w:pPr>
        <w:jc w:val="left"/>
        <w:rPr>
          <w:rFonts w:ascii="仿宋" w:hAnsi="仿宋" w:eastAsia="仿宋"/>
          <w:b/>
          <w:color w:val="auto"/>
          <w:sz w:val="30"/>
          <w:szCs w:val="30"/>
        </w:rPr>
      </w:pPr>
      <w:r>
        <w:rPr>
          <w:rFonts w:hint="eastAsia" w:ascii="仿宋" w:hAnsi="仿宋" w:eastAsia="仿宋"/>
          <w:b/>
          <w:color w:val="auto"/>
          <w:sz w:val="30"/>
          <w:szCs w:val="30"/>
        </w:rPr>
        <w:t>2、本声明函必须填写完整，</w:t>
      </w:r>
      <w:r>
        <w:rPr>
          <w:rFonts w:hint="eastAsia" w:ascii="仿宋" w:hAnsi="仿宋" w:eastAsia="仿宋"/>
          <w:b/>
          <w:color w:val="auto"/>
          <w:sz w:val="30"/>
          <w:szCs w:val="30"/>
          <w:lang w:eastAsia="zh-CN"/>
        </w:rPr>
        <w:t>若存在二家或二家以上制造商须清晰标注，</w:t>
      </w:r>
      <w:r>
        <w:rPr>
          <w:rFonts w:hint="eastAsia" w:ascii="仿宋" w:hAnsi="仿宋" w:eastAsia="仿宋"/>
          <w:b/>
          <w:color w:val="auto"/>
          <w:sz w:val="30"/>
          <w:szCs w:val="30"/>
        </w:rPr>
        <w:t>有缺项漏项的，不予认可。</w:t>
      </w: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snapToGrid w:val="0"/>
        <w:spacing w:before="50" w:after="50"/>
        <w:rPr>
          <w:rFonts w:ascii="仿宋" w:hAnsi="仿宋" w:eastAsia="仿宋"/>
          <w:b/>
          <w:color w:val="auto"/>
          <w:sz w:val="30"/>
          <w:szCs w:val="30"/>
        </w:rPr>
      </w:pPr>
      <w:bookmarkStart w:id="52" w:name="OLE_LINK13"/>
      <w:bookmarkStart w:id="53" w:name="OLE_LINK14"/>
      <w:r>
        <w:rPr>
          <w:rFonts w:hint="eastAsia" w:ascii="仿宋" w:hAnsi="仿宋" w:eastAsia="仿宋"/>
          <w:b/>
          <w:color w:val="auto"/>
          <w:sz w:val="30"/>
          <w:szCs w:val="30"/>
        </w:rPr>
        <w:t>附件13：</w:t>
      </w:r>
    </w:p>
    <w:p>
      <w:pPr>
        <w:snapToGrid w:val="0"/>
        <w:spacing w:before="50" w:after="50"/>
        <w:jc w:val="center"/>
        <w:rPr>
          <w:rFonts w:ascii="仿宋" w:hAnsi="仿宋" w:eastAsia="仿宋"/>
          <w:b/>
          <w:color w:val="auto"/>
          <w:sz w:val="30"/>
          <w:szCs w:val="30"/>
        </w:rPr>
      </w:pPr>
    </w:p>
    <w:p>
      <w:pPr>
        <w:snapToGrid w:val="0"/>
        <w:spacing w:before="50" w:after="50"/>
        <w:jc w:val="center"/>
        <w:rPr>
          <w:rFonts w:ascii="仿宋" w:hAnsi="仿宋" w:eastAsia="仿宋"/>
          <w:b/>
          <w:color w:val="auto"/>
          <w:sz w:val="30"/>
          <w:szCs w:val="30"/>
        </w:rPr>
      </w:pPr>
      <w:r>
        <w:rPr>
          <w:rFonts w:hint="eastAsia" w:ascii="仿宋" w:hAnsi="仿宋" w:eastAsia="仿宋"/>
          <w:b/>
          <w:color w:val="auto"/>
          <w:sz w:val="30"/>
          <w:szCs w:val="30"/>
        </w:rPr>
        <w:t>残疾人福利性单位声明函</w:t>
      </w:r>
    </w:p>
    <w:bookmarkEnd w:id="52"/>
    <w:bookmarkEnd w:id="53"/>
    <w:p>
      <w:pPr>
        <w:spacing w:line="588" w:lineRule="exact"/>
        <w:rPr>
          <w:rFonts w:ascii="仿宋_GB2312" w:eastAsia="仿宋_GB2312"/>
          <w:b/>
          <w:color w:val="auto"/>
          <w:spacing w:val="6"/>
          <w:sz w:val="30"/>
          <w:szCs w:val="30"/>
        </w:rPr>
      </w:pP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本单位郑重声明，根据《财政部</w:t>
      </w:r>
      <w:r>
        <w:rPr>
          <w:rFonts w:ascii="仿宋" w:hAnsi="仿宋" w:eastAsia="仿宋"/>
          <w:color w:val="auto"/>
          <w:sz w:val="28"/>
          <w:szCs w:val="28"/>
        </w:rPr>
        <w:t xml:space="preserve"> </w:t>
      </w:r>
      <w:r>
        <w:rPr>
          <w:rFonts w:hint="eastAsia" w:ascii="仿宋" w:hAnsi="仿宋" w:eastAsia="仿宋"/>
          <w:color w:val="auto"/>
          <w:sz w:val="28"/>
          <w:szCs w:val="28"/>
        </w:rPr>
        <w:t>民政部</w:t>
      </w:r>
      <w:r>
        <w:rPr>
          <w:rFonts w:ascii="仿宋" w:hAnsi="仿宋" w:eastAsia="仿宋"/>
          <w:color w:val="auto"/>
          <w:sz w:val="28"/>
          <w:szCs w:val="28"/>
        </w:rPr>
        <w:t xml:space="preserve"> </w:t>
      </w:r>
      <w:r>
        <w:rPr>
          <w:rFonts w:hint="eastAsia" w:ascii="仿宋" w:hAnsi="仿宋" w:eastAsia="仿宋"/>
          <w:color w:val="auto"/>
          <w:sz w:val="28"/>
          <w:szCs w:val="28"/>
        </w:rPr>
        <w:t>中国残疾人联合会关于促进残疾人就业政府采购政策的通知》（财库〔</w:t>
      </w:r>
      <w:r>
        <w:rPr>
          <w:rFonts w:ascii="仿宋" w:hAnsi="仿宋" w:eastAsia="仿宋"/>
          <w:color w:val="auto"/>
          <w:sz w:val="28"/>
          <w:szCs w:val="28"/>
        </w:rPr>
        <w:t>2017</w:t>
      </w:r>
      <w:r>
        <w:rPr>
          <w:rFonts w:hint="eastAsia" w:ascii="仿宋" w:hAnsi="仿宋" w:eastAsia="仿宋"/>
          <w:color w:val="auto"/>
          <w:sz w:val="28"/>
          <w:szCs w:val="28"/>
        </w:rPr>
        <w:t>〕</w:t>
      </w:r>
      <w:r>
        <w:rPr>
          <w:rFonts w:ascii="仿宋" w:hAnsi="仿宋" w:eastAsia="仿宋"/>
          <w:color w:val="auto"/>
          <w:sz w:val="28"/>
          <w:szCs w:val="28"/>
        </w:rPr>
        <w:t xml:space="preserve"> 141</w:t>
      </w:r>
      <w:r>
        <w:rPr>
          <w:rFonts w:hint="eastAsia" w:ascii="仿宋" w:hAnsi="仿宋" w:eastAsia="仿宋"/>
          <w:color w:val="auto"/>
          <w:sz w:val="28"/>
          <w:szCs w:val="28"/>
        </w:rPr>
        <w:t>号）的规定，本单位为符合条件的残疾人福利性单位，且本单位参加</w:t>
      </w:r>
      <w:r>
        <w:rPr>
          <w:rFonts w:ascii="仿宋" w:hAnsi="仿宋" w:eastAsia="仿宋"/>
          <w:color w:val="auto"/>
          <w:sz w:val="28"/>
          <w:szCs w:val="28"/>
        </w:rPr>
        <w:t>______</w:t>
      </w:r>
      <w:r>
        <w:rPr>
          <w:rFonts w:hint="eastAsia" w:ascii="仿宋" w:hAnsi="仿宋" w:eastAsia="仿宋"/>
          <w:color w:val="auto"/>
          <w:sz w:val="28"/>
          <w:szCs w:val="28"/>
        </w:rPr>
        <w:t>单位的</w:t>
      </w:r>
      <w:r>
        <w:rPr>
          <w:rFonts w:ascii="仿宋" w:hAnsi="仿宋" w:eastAsia="仿宋"/>
          <w:color w:val="auto"/>
          <w:sz w:val="28"/>
          <w:szCs w:val="28"/>
        </w:rPr>
        <w:t>______</w:t>
      </w:r>
      <w:r>
        <w:rPr>
          <w:rFonts w:hint="eastAsia" w:ascii="仿宋" w:hAnsi="仿宋" w:eastAsia="仿宋"/>
          <w:color w:val="auto"/>
          <w:sz w:val="28"/>
          <w:szCs w:val="28"/>
        </w:rPr>
        <w:t>项目采购活动提供本单位制造的货物（由本单位承担工程</w:t>
      </w:r>
      <w:r>
        <w:rPr>
          <w:rFonts w:ascii="仿宋" w:hAnsi="仿宋" w:eastAsia="仿宋"/>
          <w:color w:val="auto"/>
          <w:sz w:val="28"/>
          <w:szCs w:val="28"/>
        </w:rPr>
        <w:t>/</w:t>
      </w:r>
      <w:r>
        <w:rPr>
          <w:rFonts w:hint="eastAsia" w:ascii="仿宋" w:hAnsi="仿宋" w:eastAsia="仿宋"/>
          <w:color w:val="auto"/>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本单位对上述声明的真实性负责。如有虚假，将依法承担相应责任。</w:t>
      </w:r>
    </w:p>
    <w:p>
      <w:pPr>
        <w:snapToGrid w:val="0"/>
        <w:spacing w:line="360" w:lineRule="auto"/>
        <w:ind w:firstLine="560" w:firstLineChars="200"/>
        <w:rPr>
          <w:rFonts w:ascii="仿宋" w:hAnsi="仿宋" w:eastAsia="仿宋"/>
          <w:color w:val="auto"/>
          <w:sz w:val="28"/>
          <w:szCs w:val="28"/>
        </w:rPr>
      </w:pPr>
    </w:p>
    <w:p>
      <w:pPr>
        <w:spacing w:line="588" w:lineRule="exact"/>
        <w:ind w:firstLine="624" w:firstLineChars="200"/>
        <w:rPr>
          <w:rFonts w:ascii="仿宋_GB2312" w:eastAsia="仿宋_GB2312"/>
          <w:color w:val="auto"/>
          <w:spacing w:val="6"/>
          <w:sz w:val="30"/>
          <w:szCs w:val="30"/>
        </w:rPr>
      </w:pPr>
    </w:p>
    <w:p>
      <w:pPr>
        <w:snapToGrid w:val="0"/>
        <w:spacing w:line="360" w:lineRule="auto"/>
        <w:ind w:firstLine="624" w:firstLineChars="200"/>
        <w:jc w:val="right"/>
        <w:rPr>
          <w:rFonts w:ascii="仿宋" w:hAnsi="仿宋" w:eastAsia="仿宋"/>
          <w:color w:val="auto"/>
          <w:sz w:val="28"/>
          <w:szCs w:val="28"/>
        </w:rPr>
      </w:pPr>
      <w:r>
        <w:rPr>
          <w:rFonts w:ascii="仿宋_GB2312" w:eastAsia="仿宋_GB2312"/>
          <w:color w:val="auto"/>
          <w:spacing w:val="6"/>
          <w:sz w:val="30"/>
          <w:szCs w:val="30"/>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单位名称（电子签章）：</w:t>
      </w:r>
    </w:p>
    <w:p>
      <w:pPr>
        <w:snapToGrid w:val="0"/>
        <w:spacing w:line="360" w:lineRule="auto"/>
        <w:ind w:firstLine="560" w:firstLineChars="200"/>
        <w:jc w:val="right"/>
        <w:rPr>
          <w:rFonts w:ascii="仿宋" w:hAnsi="仿宋" w:eastAsia="仿宋"/>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rPr>
        <w:t>日</w:t>
      </w:r>
      <w:r>
        <w:rPr>
          <w:rFonts w:ascii="仿宋" w:hAnsi="仿宋" w:eastAsia="仿宋"/>
          <w:color w:val="auto"/>
          <w:sz w:val="28"/>
          <w:szCs w:val="28"/>
        </w:rPr>
        <w:t xml:space="preserve">  </w:t>
      </w:r>
      <w:r>
        <w:rPr>
          <w:rFonts w:hint="eastAsia" w:ascii="仿宋" w:hAnsi="仿宋" w:eastAsia="仿宋"/>
          <w:color w:val="auto"/>
          <w:sz w:val="28"/>
          <w:szCs w:val="28"/>
        </w:rPr>
        <w:t>期：</w:t>
      </w:r>
    </w:p>
    <w:p>
      <w:pPr>
        <w:tabs>
          <w:tab w:val="left" w:pos="465"/>
        </w:tabs>
        <w:ind w:firstLine="2783" w:firstLineChars="990"/>
        <w:rPr>
          <w:rFonts w:ascii="仿宋" w:hAnsi="仿宋" w:eastAsia="仿宋"/>
          <w:b/>
          <w:bCs/>
          <w:color w:val="auto"/>
          <w:sz w:val="28"/>
          <w:szCs w:val="28"/>
        </w:rPr>
      </w:pPr>
    </w:p>
    <w:p>
      <w:pPr>
        <w:tabs>
          <w:tab w:val="left" w:pos="465"/>
        </w:tabs>
        <w:ind w:firstLine="2783" w:firstLineChars="990"/>
        <w:rPr>
          <w:rFonts w:ascii="仿宋" w:hAnsi="仿宋" w:eastAsia="仿宋"/>
          <w:b/>
          <w:bCs/>
          <w:color w:val="auto"/>
          <w:sz w:val="28"/>
          <w:szCs w:val="28"/>
        </w:rPr>
      </w:pPr>
    </w:p>
    <w:p>
      <w:pPr>
        <w:tabs>
          <w:tab w:val="left" w:pos="465"/>
        </w:tabs>
        <w:ind w:firstLine="2783" w:firstLineChars="990"/>
        <w:rPr>
          <w:rFonts w:ascii="仿宋" w:hAnsi="仿宋" w:eastAsia="仿宋"/>
          <w:b/>
          <w:bCs/>
          <w:color w:val="auto"/>
          <w:sz w:val="28"/>
          <w:szCs w:val="28"/>
        </w:rPr>
      </w:pPr>
    </w:p>
    <w:p>
      <w:pPr>
        <w:tabs>
          <w:tab w:val="left" w:pos="465"/>
        </w:tabs>
        <w:ind w:firstLine="2783" w:firstLineChars="990"/>
        <w:rPr>
          <w:rFonts w:ascii="仿宋" w:hAnsi="仿宋" w:eastAsia="仿宋"/>
          <w:b/>
          <w:bCs/>
          <w:color w:val="auto"/>
          <w:sz w:val="28"/>
          <w:szCs w:val="28"/>
        </w:rPr>
      </w:pPr>
    </w:p>
    <w:p>
      <w:pPr>
        <w:tabs>
          <w:tab w:val="left" w:pos="465"/>
        </w:tabs>
        <w:ind w:firstLine="2783" w:firstLineChars="990"/>
        <w:rPr>
          <w:rFonts w:ascii="仿宋" w:hAnsi="仿宋" w:eastAsia="仿宋"/>
          <w:b/>
          <w:bCs/>
          <w:color w:val="auto"/>
          <w:sz w:val="28"/>
          <w:szCs w:val="28"/>
        </w:rPr>
      </w:pPr>
    </w:p>
    <w:p>
      <w:pPr>
        <w:tabs>
          <w:tab w:val="left" w:pos="465"/>
        </w:tabs>
        <w:ind w:firstLine="2783" w:firstLineChars="990"/>
        <w:rPr>
          <w:rFonts w:ascii="仿宋" w:hAnsi="仿宋" w:eastAsia="仿宋"/>
          <w:b/>
          <w:bCs/>
          <w:color w:val="auto"/>
          <w:sz w:val="28"/>
          <w:szCs w:val="28"/>
        </w:rPr>
      </w:pPr>
    </w:p>
    <w:p>
      <w:pPr>
        <w:tabs>
          <w:tab w:val="left" w:pos="465"/>
        </w:tabs>
        <w:ind w:firstLine="2783" w:firstLineChars="990"/>
        <w:rPr>
          <w:rFonts w:ascii="仿宋" w:hAnsi="仿宋" w:eastAsia="仿宋"/>
          <w:b/>
          <w:bCs/>
          <w:color w:val="auto"/>
          <w:sz w:val="28"/>
          <w:szCs w:val="28"/>
        </w:rPr>
      </w:pPr>
    </w:p>
    <w:p>
      <w:pPr>
        <w:tabs>
          <w:tab w:val="left" w:pos="465"/>
        </w:tabs>
        <w:ind w:firstLine="2783" w:firstLineChars="990"/>
        <w:rPr>
          <w:rFonts w:ascii="仿宋" w:hAnsi="仿宋" w:eastAsia="仿宋"/>
          <w:b/>
          <w:bCs/>
          <w:color w:val="auto"/>
          <w:sz w:val="28"/>
          <w:szCs w:val="28"/>
        </w:rPr>
      </w:pPr>
    </w:p>
    <w:p>
      <w:pPr>
        <w:tabs>
          <w:tab w:val="left" w:pos="465"/>
        </w:tabs>
        <w:ind w:firstLine="2783" w:firstLineChars="990"/>
        <w:rPr>
          <w:rFonts w:ascii="仿宋" w:hAnsi="仿宋" w:eastAsia="仿宋"/>
          <w:b/>
          <w:bCs/>
          <w:color w:val="auto"/>
          <w:sz w:val="28"/>
          <w:szCs w:val="28"/>
        </w:rPr>
      </w:pPr>
    </w:p>
    <w:p>
      <w:pPr>
        <w:tabs>
          <w:tab w:val="left" w:pos="465"/>
        </w:tabs>
        <w:ind w:firstLine="2783" w:firstLineChars="990"/>
        <w:rPr>
          <w:rFonts w:ascii="仿宋" w:hAnsi="仿宋" w:eastAsia="仿宋"/>
          <w:b/>
          <w:bCs/>
          <w:color w:val="auto"/>
          <w:sz w:val="28"/>
          <w:szCs w:val="28"/>
        </w:rPr>
      </w:pPr>
    </w:p>
    <w:p>
      <w:pPr>
        <w:tabs>
          <w:tab w:val="left" w:pos="465"/>
        </w:tabs>
        <w:ind w:firstLine="2783" w:firstLineChars="990"/>
        <w:rPr>
          <w:rFonts w:ascii="仿宋" w:hAnsi="仿宋" w:eastAsia="仿宋"/>
          <w:b/>
          <w:bCs/>
          <w:color w:val="auto"/>
          <w:sz w:val="28"/>
          <w:szCs w:val="28"/>
        </w:rPr>
      </w:pPr>
    </w:p>
    <w:p>
      <w:pPr>
        <w:pStyle w:val="3"/>
        <w:spacing w:line="520" w:lineRule="exact"/>
        <w:jc w:val="center"/>
        <w:rPr>
          <w:rFonts w:ascii="方正小标宋简体" w:hAnsi="仿宋" w:eastAsia="方正小标宋简体"/>
          <w:b w:val="0"/>
          <w:color w:val="auto"/>
          <w:sz w:val="36"/>
          <w:szCs w:val="36"/>
        </w:rPr>
      </w:pPr>
      <w:bookmarkStart w:id="54" w:name="_Toc36454326"/>
      <w:r>
        <w:rPr>
          <w:rFonts w:hint="eastAsia" w:ascii="方正小标宋简体" w:hAnsi="仿宋" w:eastAsia="方正小标宋简体"/>
          <w:b w:val="0"/>
          <w:color w:val="auto"/>
          <w:sz w:val="36"/>
          <w:szCs w:val="36"/>
        </w:rPr>
        <w:t>第五章  评标办法及标准</w:t>
      </w:r>
      <w:bookmarkEnd w:id="54"/>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1.评标依据</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1.1《中华人民共和国政府采购法》；</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1.2《政府采购货物和服务招标投标管理办法》（财政部87号令）、《中华人民共和国政府采购法实施条例》等；</w:t>
      </w:r>
    </w:p>
    <w:p>
      <w:pPr>
        <w:spacing w:line="440" w:lineRule="exact"/>
        <w:ind w:left="600"/>
        <w:rPr>
          <w:rFonts w:ascii="仿宋" w:hAnsi="仿宋" w:eastAsia="仿宋"/>
          <w:color w:val="auto"/>
          <w:sz w:val="28"/>
          <w:szCs w:val="28"/>
        </w:rPr>
      </w:pPr>
      <w:r>
        <w:rPr>
          <w:rFonts w:hint="eastAsia" w:ascii="仿宋" w:hAnsi="仿宋" w:eastAsia="仿宋"/>
          <w:color w:val="auto"/>
          <w:sz w:val="28"/>
          <w:szCs w:val="28"/>
        </w:rPr>
        <w:t>1.3 本项目招标文件。</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2.评标原则</w:t>
      </w:r>
    </w:p>
    <w:p>
      <w:pPr>
        <w:spacing w:line="440" w:lineRule="exact"/>
        <w:rPr>
          <w:rFonts w:ascii="仿宋" w:hAnsi="仿宋" w:eastAsia="仿宋"/>
          <w:color w:val="auto"/>
          <w:sz w:val="28"/>
          <w:szCs w:val="28"/>
        </w:rPr>
      </w:pPr>
      <w:r>
        <w:rPr>
          <w:rFonts w:hint="eastAsia" w:ascii="仿宋" w:hAnsi="仿宋" w:eastAsia="仿宋"/>
          <w:color w:val="auto"/>
          <w:sz w:val="28"/>
          <w:szCs w:val="28"/>
        </w:rPr>
        <w:t xml:space="preserve">    2.1公开、公平、公正、科学合理评标；</w:t>
      </w:r>
    </w:p>
    <w:p>
      <w:pPr>
        <w:spacing w:line="440" w:lineRule="exact"/>
        <w:ind w:firstLine="600"/>
        <w:rPr>
          <w:rFonts w:ascii="仿宋" w:hAnsi="仿宋" w:eastAsia="仿宋"/>
          <w:color w:val="auto"/>
          <w:sz w:val="28"/>
          <w:szCs w:val="28"/>
        </w:rPr>
      </w:pPr>
      <w:r>
        <w:rPr>
          <w:rFonts w:hint="eastAsia" w:ascii="仿宋" w:hAnsi="仿宋" w:eastAsia="仿宋"/>
          <w:color w:val="auto"/>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40" w:lineRule="exact"/>
        <w:ind w:firstLine="600"/>
        <w:rPr>
          <w:rFonts w:ascii="仿宋" w:hAnsi="仿宋" w:eastAsia="仿宋"/>
          <w:color w:val="auto"/>
          <w:sz w:val="28"/>
          <w:szCs w:val="28"/>
        </w:rPr>
      </w:pPr>
      <w:r>
        <w:rPr>
          <w:rFonts w:hint="eastAsia" w:ascii="仿宋" w:hAnsi="仿宋" w:eastAsia="仿宋"/>
          <w:color w:val="auto"/>
          <w:sz w:val="28"/>
          <w:szCs w:val="28"/>
        </w:rPr>
        <w:t>2.3参加评标的人员应严格遵守国家有关保密的法律、法规和规定，并接受有关部门的监督；</w:t>
      </w:r>
    </w:p>
    <w:p>
      <w:pPr>
        <w:spacing w:line="440" w:lineRule="exact"/>
        <w:ind w:firstLine="600"/>
        <w:rPr>
          <w:rFonts w:ascii="仿宋" w:hAnsi="仿宋" w:eastAsia="仿宋"/>
          <w:color w:val="auto"/>
          <w:sz w:val="28"/>
          <w:szCs w:val="28"/>
        </w:rPr>
      </w:pPr>
      <w:r>
        <w:rPr>
          <w:rFonts w:hint="eastAsia" w:ascii="仿宋" w:hAnsi="仿宋" w:eastAsia="仿宋"/>
          <w:color w:val="auto"/>
          <w:sz w:val="28"/>
          <w:szCs w:val="28"/>
        </w:rPr>
        <w:t>2.4根据法律法规规定，参加评标的有关人员应对整个评标、定标过程保密，不得泄露；</w:t>
      </w:r>
    </w:p>
    <w:p>
      <w:pPr>
        <w:spacing w:line="440" w:lineRule="exact"/>
        <w:ind w:left="600"/>
        <w:rPr>
          <w:rFonts w:ascii="仿宋" w:hAnsi="仿宋" w:eastAsia="仿宋"/>
          <w:color w:val="auto"/>
          <w:sz w:val="28"/>
          <w:szCs w:val="28"/>
        </w:rPr>
      </w:pPr>
      <w:r>
        <w:rPr>
          <w:rFonts w:hint="eastAsia" w:ascii="仿宋" w:hAnsi="仿宋" w:eastAsia="仿宋"/>
          <w:color w:val="auto"/>
          <w:sz w:val="28"/>
          <w:szCs w:val="28"/>
        </w:rPr>
        <w:t>2.5评标委员会成员（以下简称评委）应按规定的程序评标；</w:t>
      </w:r>
    </w:p>
    <w:p>
      <w:pPr>
        <w:spacing w:line="440" w:lineRule="exact"/>
        <w:ind w:firstLine="570"/>
        <w:rPr>
          <w:rFonts w:ascii="仿宋" w:hAnsi="仿宋" w:eastAsia="仿宋"/>
          <w:color w:val="auto"/>
          <w:sz w:val="28"/>
          <w:szCs w:val="28"/>
        </w:rPr>
      </w:pPr>
      <w:r>
        <w:rPr>
          <w:rFonts w:hint="eastAsia" w:ascii="仿宋" w:hAnsi="仿宋" w:eastAsia="仿宋"/>
          <w:color w:val="auto"/>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40" w:lineRule="exact"/>
        <w:rPr>
          <w:rFonts w:ascii="仿宋" w:hAnsi="仿宋" w:eastAsia="仿宋"/>
          <w:color w:val="auto"/>
          <w:sz w:val="28"/>
          <w:szCs w:val="28"/>
        </w:rPr>
      </w:pPr>
      <w:r>
        <w:rPr>
          <w:rFonts w:hint="eastAsia" w:ascii="仿宋" w:hAnsi="仿宋" w:eastAsia="仿宋"/>
          <w:color w:val="auto"/>
          <w:sz w:val="28"/>
          <w:szCs w:val="28"/>
        </w:rPr>
        <w:t xml:space="preserve">    2.7评标委员会将对确定为实质上响应招标文件要求的投标文件进行比较评审。</w:t>
      </w:r>
    </w:p>
    <w:p>
      <w:pPr>
        <w:spacing w:line="440" w:lineRule="exact"/>
        <w:rPr>
          <w:rFonts w:ascii="仿宋" w:hAnsi="仿宋" w:eastAsia="仿宋"/>
          <w:color w:val="auto"/>
          <w:sz w:val="28"/>
          <w:szCs w:val="28"/>
        </w:rPr>
      </w:pPr>
      <w:r>
        <w:rPr>
          <w:rFonts w:hint="eastAsia" w:ascii="仿宋" w:hAnsi="仿宋" w:eastAsia="仿宋"/>
          <w:color w:val="auto"/>
          <w:sz w:val="28"/>
          <w:szCs w:val="28"/>
        </w:rPr>
        <w:t xml:space="preserve">    2.8投标人对评委施加影响的任何行为，都将被取消中标资格。</w:t>
      </w:r>
    </w:p>
    <w:p>
      <w:pPr>
        <w:pStyle w:val="19"/>
        <w:numPr>
          <w:ilvl w:val="0"/>
          <w:numId w:val="0"/>
        </w:numPr>
        <w:spacing w:line="440" w:lineRule="exact"/>
        <w:rPr>
          <w:rFonts w:ascii="仿宋" w:hAnsi="仿宋" w:eastAsia="仿宋"/>
          <w:b/>
          <w:bCs/>
          <w:color w:val="auto"/>
          <w:sz w:val="28"/>
          <w:szCs w:val="28"/>
        </w:rPr>
      </w:pPr>
      <w:r>
        <w:rPr>
          <w:rFonts w:hint="eastAsia" w:ascii="仿宋" w:hAnsi="仿宋" w:eastAsia="仿宋"/>
          <w:b/>
          <w:bCs/>
          <w:color w:val="auto"/>
          <w:sz w:val="28"/>
          <w:szCs w:val="28"/>
          <w:lang w:val="en-US" w:eastAsia="zh-CN"/>
        </w:rPr>
        <w:t>3.</w:t>
      </w:r>
      <w:r>
        <w:rPr>
          <w:rFonts w:hint="eastAsia" w:ascii="仿宋" w:hAnsi="仿宋" w:eastAsia="仿宋"/>
          <w:b/>
          <w:bCs/>
          <w:color w:val="auto"/>
          <w:sz w:val="28"/>
          <w:szCs w:val="28"/>
        </w:rPr>
        <w:t>评标方法：综合评分法</w:t>
      </w:r>
    </w:p>
    <w:p>
      <w:pPr>
        <w:pStyle w:val="19"/>
        <w:spacing w:line="44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本项目采用综合评分法。评标总分值由价格分、商务技术分（商务得分+技术得分）组成，总分值100分。在本项目中价格（投标报价）分为</w:t>
      </w:r>
      <w:r>
        <w:rPr>
          <w:rFonts w:hint="eastAsia" w:ascii="仿宋" w:hAnsi="仿宋" w:eastAsia="仿宋"/>
          <w:bCs/>
          <w:color w:val="auto"/>
          <w:sz w:val="28"/>
          <w:szCs w:val="28"/>
          <w:lang w:val="en-US" w:eastAsia="zh-CN"/>
        </w:rPr>
        <w:t>30</w:t>
      </w:r>
      <w:r>
        <w:rPr>
          <w:rFonts w:hint="eastAsia" w:ascii="仿宋" w:hAnsi="仿宋" w:eastAsia="仿宋"/>
          <w:b/>
          <w:bCs/>
          <w:color w:val="auto"/>
          <w:sz w:val="28"/>
          <w:szCs w:val="28"/>
        </w:rPr>
        <w:t>分</w:t>
      </w:r>
      <w:r>
        <w:rPr>
          <w:rFonts w:hint="eastAsia" w:ascii="仿宋" w:hAnsi="仿宋" w:eastAsia="仿宋"/>
          <w:bCs/>
          <w:color w:val="auto"/>
          <w:sz w:val="28"/>
          <w:szCs w:val="28"/>
        </w:rPr>
        <w:t>；商务技术分为</w:t>
      </w:r>
      <w:r>
        <w:rPr>
          <w:rFonts w:hint="eastAsia" w:ascii="仿宋" w:hAnsi="仿宋" w:eastAsia="仿宋"/>
          <w:b/>
          <w:bCs/>
          <w:color w:val="auto"/>
          <w:sz w:val="28"/>
          <w:szCs w:val="28"/>
          <w:lang w:val="en-US" w:eastAsia="zh-CN"/>
        </w:rPr>
        <w:t>70</w:t>
      </w:r>
      <w:r>
        <w:rPr>
          <w:rFonts w:hint="eastAsia" w:ascii="仿宋" w:hAnsi="仿宋" w:eastAsia="仿宋"/>
          <w:b/>
          <w:bCs/>
          <w:color w:val="auto"/>
          <w:sz w:val="28"/>
          <w:szCs w:val="28"/>
        </w:rPr>
        <w:t>分</w:t>
      </w:r>
      <w:r>
        <w:rPr>
          <w:rFonts w:hint="eastAsia" w:ascii="仿宋" w:hAnsi="仿宋" w:eastAsia="仿宋"/>
          <w:bCs/>
          <w:color w:val="auto"/>
          <w:sz w:val="28"/>
          <w:szCs w:val="28"/>
        </w:rPr>
        <w:t>。评标委员会将根据投标文件满足招标文件实质性要求前提下，按照投标报价、</w:t>
      </w:r>
      <w:r>
        <w:rPr>
          <w:rFonts w:hint="eastAsia" w:ascii="仿宋" w:hAnsi="仿宋" w:eastAsia="仿宋"/>
          <w:bCs/>
          <w:color w:val="auto"/>
          <w:spacing w:val="14"/>
          <w:sz w:val="28"/>
          <w:szCs w:val="28"/>
        </w:rPr>
        <w:t>投标文件质量</w:t>
      </w:r>
      <w:r>
        <w:rPr>
          <w:rFonts w:hint="eastAsia" w:ascii="仿宋" w:hAnsi="仿宋" w:eastAsia="仿宋"/>
          <w:bCs/>
          <w:color w:val="auto"/>
          <w:sz w:val="28"/>
          <w:szCs w:val="28"/>
        </w:rPr>
        <w:t>、企业荣誉与业绩、企业信誉、企业质量环保管理等认证证书、投标货物技术性能、投标项目实施方案、售后服务承诺、政策分等进行综合评估,</w:t>
      </w:r>
      <w:r>
        <w:rPr>
          <w:rFonts w:hint="eastAsia" w:ascii="仿宋" w:hAnsi="仿宋" w:eastAsia="仿宋"/>
          <w:b/>
          <w:bCs/>
          <w:color w:val="auto"/>
          <w:sz w:val="28"/>
          <w:szCs w:val="28"/>
        </w:rPr>
        <w:t>在对各评委分值汇总时，以算术平均值为各投标人得分,</w:t>
      </w:r>
      <w:r>
        <w:rPr>
          <w:rFonts w:hint="eastAsia" w:ascii="仿宋" w:hAnsi="仿宋" w:eastAsia="仿宋"/>
          <w:bCs/>
          <w:color w:val="auto"/>
          <w:sz w:val="28"/>
          <w:szCs w:val="28"/>
        </w:rPr>
        <w:t>以评标最终得分最高的投标人为第一中标候选供应商。</w:t>
      </w:r>
    </w:p>
    <w:p>
      <w:pPr>
        <w:spacing w:line="440" w:lineRule="exact"/>
        <w:jc w:val="left"/>
        <w:rPr>
          <w:rFonts w:ascii="仿宋" w:hAnsi="仿宋" w:eastAsia="仿宋"/>
          <w:b/>
          <w:bCs/>
          <w:color w:val="auto"/>
          <w:spacing w:val="14"/>
          <w:sz w:val="28"/>
          <w:szCs w:val="28"/>
        </w:rPr>
      </w:pPr>
      <w:r>
        <w:rPr>
          <w:rFonts w:hint="eastAsia" w:ascii="仿宋" w:hAnsi="仿宋" w:eastAsia="仿宋"/>
          <w:b/>
          <w:bCs/>
          <w:color w:val="auto"/>
          <w:spacing w:val="14"/>
          <w:sz w:val="28"/>
          <w:szCs w:val="28"/>
        </w:rPr>
        <w:t>3.1价格分：</w:t>
      </w:r>
      <w:r>
        <w:rPr>
          <w:rFonts w:hint="eastAsia" w:ascii="仿宋" w:hAnsi="仿宋" w:eastAsia="仿宋"/>
          <w:b/>
          <w:bCs/>
          <w:color w:val="auto"/>
          <w:spacing w:val="14"/>
          <w:sz w:val="28"/>
          <w:szCs w:val="28"/>
          <w:lang w:val="en-US" w:eastAsia="zh-CN"/>
        </w:rPr>
        <w:t>30</w:t>
      </w:r>
      <w:r>
        <w:rPr>
          <w:rFonts w:hint="eastAsia" w:ascii="仿宋" w:hAnsi="仿宋" w:eastAsia="仿宋"/>
          <w:b/>
          <w:bCs/>
          <w:color w:val="auto"/>
          <w:spacing w:val="14"/>
          <w:sz w:val="28"/>
          <w:szCs w:val="28"/>
        </w:rPr>
        <w:t>分</w:t>
      </w:r>
    </w:p>
    <w:p>
      <w:pPr>
        <w:spacing w:line="440" w:lineRule="exact"/>
        <w:ind w:firstLine="616" w:firstLineChars="200"/>
        <w:jc w:val="left"/>
        <w:rPr>
          <w:rFonts w:ascii="仿宋" w:hAnsi="仿宋" w:eastAsia="仿宋"/>
          <w:color w:val="auto"/>
          <w:spacing w:val="14"/>
          <w:sz w:val="28"/>
          <w:szCs w:val="28"/>
        </w:rPr>
      </w:pPr>
      <w:r>
        <w:rPr>
          <w:rFonts w:hint="eastAsia" w:ascii="仿宋" w:hAnsi="仿宋" w:eastAsia="仿宋"/>
          <w:color w:val="auto"/>
          <w:spacing w:val="14"/>
          <w:sz w:val="28"/>
          <w:szCs w:val="28"/>
        </w:rPr>
        <w:t>3.1.1 以有效投标价格最低的投标报价为评标基准价，其价格分为</w:t>
      </w:r>
      <w:r>
        <w:rPr>
          <w:rFonts w:hint="eastAsia" w:ascii="仿宋" w:hAnsi="仿宋" w:eastAsia="仿宋"/>
          <w:color w:val="auto"/>
          <w:spacing w:val="14"/>
          <w:sz w:val="28"/>
          <w:szCs w:val="28"/>
          <w:lang w:val="en-US" w:eastAsia="zh-CN"/>
        </w:rPr>
        <w:t>30</w:t>
      </w:r>
      <w:r>
        <w:rPr>
          <w:rFonts w:hint="eastAsia" w:ascii="仿宋" w:hAnsi="仿宋" w:eastAsia="仿宋"/>
          <w:color w:val="auto"/>
          <w:spacing w:val="14"/>
          <w:sz w:val="28"/>
          <w:szCs w:val="28"/>
        </w:rPr>
        <w:t>分。其他投标人的报价分按照下列公式计算：</w:t>
      </w:r>
    </w:p>
    <w:p>
      <w:pPr>
        <w:spacing w:line="440" w:lineRule="exact"/>
        <w:ind w:firstLine="616" w:firstLineChars="200"/>
        <w:jc w:val="left"/>
        <w:rPr>
          <w:rFonts w:hint="default" w:ascii="仿宋" w:hAnsi="仿宋" w:eastAsia="仿宋"/>
          <w:color w:val="auto"/>
          <w:spacing w:val="14"/>
          <w:sz w:val="28"/>
          <w:szCs w:val="28"/>
          <w:lang w:val="en-US"/>
        </w:rPr>
      </w:pPr>
      <w:r>
        <w:rPr>
          <w:rFonts w:hint="eastAsia" w:ascii="仿宋" w:hAnsi="仿宋" w:eastAsia="仿宋"/>
          <w:color w:val="auto"/>
          <w:spacing w:val="14"/>
          <w:sz w:val="28"/>
          <w:szCs w:val="28"/>
        </w:rPr>
        <w:t>投标报价得分=（评标基准价/投标报价）×</w:t>
      </w:r>
      <w:r>
        <w:rPr>
          <w:rFonts w:hint="eastAsia" w:ascii="仿宋" w:hAnsi="仿宋" w:eastAsia="仿宋"/>
          <w:color w:val="auto"/>
          <w:spacing w:val="14"/>
          <w:sz w:val="28"/>
          <w:szCs w:val="28"/>
          <w:lang w:val="en-US" w:eastAsia="zh-CN"/>
        </w:rPr>
        <w:t>30</w:t>
      </w:r>
    </w:p>
    <w:p>
      <w:pPr>
        <w:spacing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40" w:lineRule="exact"/>
        <w:ind w:firstLine="562" w:firstLineChars="200"/>
        <w:rPr>
          <w:rFonts w:ascii="仿宋" w:hAnsi="仿宋" w:eastAsia="仿宋"/>
          <w:b/>
          <w:snapToGrid w:val="0"/>
          <w:color w:val="auto"/>
          <w:sz w:val="28"/>
          <w:szCs w:val="28"/>
        </w:rPr>
      </w:pPr>
      <w:r>
        <w:rPr>
          <w:rFonts w:hint="eastAsia" w:ascii="仿宋" w:hAnsi="仿宋" w:eastAsia="仿宋"/>
          <w:b/>
          <w:snapToGrid w:val="0"/>
          <w:color w:val="auto"/>
          <w:sz w:val="28"/>
          <w:szCs w:val="28"/>
        </w:rPr>
        <w:t>二分之一以上的评委认为供应商报价明显高于市场平均价的将作为无效投标处理；</w:t>
      </w:r>
    </w:p>
    <w:p>
      <w:pPr>
        <w:spacing w:line="40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3.1.3</w:t>
      </w:r>
      <w:r>
        <w:rPr>
          <w:rFonts w:ascii="仿宋" w:hAnsi="仿宋" w:eastAsia="仿宋"/>
          <w:b/>
          <w:bCs/>
          <w:color w:val="auto"/>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3.1.4价格计算扣除：</w:t>
      </w:r>
    </w:p>
    <w:p>
      <w:pPr>
        <w:pStyle w:val="19"/>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3.1.4.1根据规定，在评审时对小型和微型企业的投标报价给予</w:t>
      </w:r>
      <w:r>
        <w:rPr>
          <w:rFonts w:hint="eastAsia" w:ascii="仿宋" w:hAnsi="仿宋" w:eastAsia="仿宋"/>
          <w:bCs/>
          <w:color w:val="auto"/>
          <w:sz w:val="28"/>
          <w:szCs w:val="28"/>
          <w:highlight w:val="none"/>
          <w:lang w:val="en-US" w:eastAsia="zh-CN"/>
        </w:rPr>
        <w:t>10</w:t>
      </w:r>
      <w:r>
        <w:rPr>
          <w:rFonts w:hint="eastAsia" w:ascii="仿宋" w:hAnsi="仿宋" w:eastAsia="仿宋"/>
          <w:bCs/>
          <w:color w:val="auto"/>
          <w:sz w:val="28"/>
          <w:szCs w:val="28"/>
          <w:highlight w:val="none"/>
        </w:rPr>
        <w:t>%的扣除，取扣除后的价格作为最终投标报价（此最终投标报价仅作为价格分计算）。属于小型和微型企业的，投标文件中投标人必须提供的《中小企业声明函》，并在报价明细表中说明制造商情况。</w:t>
      </w:r>
    </w:p>
    <w:p>
      <w:pPr>
        <w:pStyle w:val="19"/>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pPr>
        <w:pStyle w:val="19"/>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9"/>
        <w:spacing w:line="40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9"/>
        <w:spacing w:line="400" w:lineRule="exact"/>
        <w:ind w:firstLine="560" w:firstLineChars="200"/>
        <w:rPr>
          <w:rFonts w:ascii="仿宋" w:hAnsi="仿宋" w:eastAsia="仿宋"/>
          <w:b/>
          <w:bCs/>
          <w:color w:val="auto"/>
          <w:sz w:val="28"/>
          <w:szCs w:val="28"/>
        </w:rPr>
      </w:pPr>
      <w:r>
        <w:rPr>
          <w:rFonts w:hint="eastAsia" w:ascii="仿宋" w:hAnsi="仿宋" w:eastAsia="仿宋"/>
          <w:bCs/>
          <w:color w:val="auto"/>
          <w:sz w:val="28"/>
          <w:szCs w:val="28"/>
          <w:highlight w:val="none"/>
        </w:rPr>
        <w:t>上述计算扣除不累计计算，最高扣除</w:t>
      </w:r>
      <w:r>
        <w:rPr>
          <w:rFonts w:hint="eastAsia" w:ascii="仿宋" w:hAnsi="仿宋" w:eastAsia="仿宋"/>
          <w:bCs/>
          <w:color w:val="auto"/>
          <w:sz w:val="28"/>
          <w:szCs w:val="28"/>
          <w:highlight w:val="none"/>
          <w:lang w:val="en-US" w:eastAsia="zh-CN"/>
        </w:rPr>
        <w:t>10</w:t>
      </w:r>
      <w:r>
        <w:rPr>
          <w:rFonts w:hint="eastAsia" w:ascii="仿宋" w:hAnsi="仿宋" w:eastAsia="仿宋"/>
          <w:bCs/>
          <w:color w:val="auto"/>
          <w:sz w:val="28"/>
          <w:szCs w:val="28"/>
          <w:highlight w:val="none"/>
        </w:rPr>
        <w:t>%；未提供以上材料的，均不给予价格计算扣除。</w:t>
      </w:r>
    </w:p>
    <w:p>
      <w:pPr>
        <w:pStyle w:val="19"/>
        <w:spacing w:line="440" w:lineRule="exact"/>
        <w:ind w:firstLine="0" w:firstLineChars="0"/>
        <w:rPr>
          <w:rFonts w:hint="eastAsia" w:ascii="仿宋" w:hAnsi="仿宋" w:eastAsia="仿宋"/>
          <w:b/>
          <w:bCs/>
          <w:color w:val="auto"/>
          <w:sz w:val="28"/>
          <w:szCs w:val="28"/>
        </w:rPr>
      </w:pPr>
      <w:r>
        <w:rPr>
          <w:rFonts w:hint="eastAsia" w:ascii="仿宋" w:hAnsi="仿宋" w:eastAsia="仿宋"/>
          <w:b/>
          <w:bCs/>
          <w:color w:val="auto"/>
          <w:sz w:val="28"/>
          <w:szCs w:val="28"/>
        </w:rPr>
        <w:t>3.2 商务技术分：</w:t>
      </w:r>
      <w:r>
        <w:rPr>
          <w:rFonts w:hint="eastAsia" w:ascii="仿宋" w:hAnsi="仿宋" w:eastAsia="仿宋"/>
          <w:b/>
          <w:bCs/>
          <w:color w:val="auto"/>
          <w:sz w:val="28"/>
          <w:szCs w:val="28"/>
          <w:lang w:val="en-US" w:eastAsia="zh-CN"/>
        </w:rPr>
        <w:t>70</w:t>
      </w:r>
      <w:r>
        <w:rPr>
          <w:rFonts w:hint="eastAsia" w:ascii="仿宋" w:hAnsi="仿宋" w:eastAsia="仿宋"/>
          <w:b/>
          <w:bCs/>
          <w:color w:val="auto"/>
          <w:sz w:val="28"/>
          <w:szCs w:val="28"/>
        </w:rPr>
        <w:t>分</w:t>
      </w:r>
    </w:p>
    <w:p>
      <w:pPr>
        <w:pStyle w:val="19"/>
        <w:numPr>
          <w:ilvl w:val="0"/>
          <w:numId w:val="0"/>
        </w:numPr>
        <w:spacing w:line="440" w:lineRule="exact"/>
        <w:rPr>
          <w:rFonts w:hint="eastAsia" w:ascii="仿宋" w:hAnsi="仿宋" w:eastAsia="仿宋"/>
          <w:b/>
          <w:bCs/>
          <w:color w:val="auto"/>
          <w:sz w:val="28"/>
          <w:szCs w:val="28"/>
        </w:rPr>
      </w:pPr>
      <w:r>
        <w:rPr>
          <w:rFonts w:hint="eastAsia" w:ascii="仿宋" w:hAnsi="仿宋" w:eastAsia="仿宋"/>
          <w:b/>
          <w:bCs/>
          <w:color w:val="auto"/>
          <w:sz w:val="28"/>
          <w:szCs w:val="28"/>
          <w:lang w:val="en-US" w:eastAsia="zh-CN"/>
        </w:rPr>
        <w:t>第一标项：办公计算机等设备【本项目共二个标项，兼投不兼中。兼投不兼中指的是在同一个招标项目中不同的标段，可都参与投标，但在其中一个标段中标后，则其他标段将不具备中标资格。评审按标项顺序进行】</w:t>
      </w:r>
    </w:p>
    <w:tbl>
      <w:tblPr>
        <w:tblStyle w:val="33"/>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768"/>
        <w:gridCol w:w="881"/>
        <w:gridCol w:w="643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554"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序号</w:t>
            </w:r>
          </w:p>
        </w:tc>
        <w:tc>
          <w:tcPr>
            <w:tcW w:w="768"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评分</w:t>
            </w:r>
          </w:p>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因素</w:t>
            </w:r>
          </w:p>
        </w:tc>
        <w:tc>
          <w:tcPr>
            <w:tcW w:w="881"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评分项</w:t>
            </w:r>
          </w:p>
        </w:tc>
        <w:tc>
          <w:tcPr>
            <w:tcW w:w="6430" w:type="dxa"/>
            <w:noWrap w:val="0"/>
            <w:vAlign w:val="center"/>
          </w:tcPr>
          <w:p>
            <w:pPr>
              <w:pStyle w:val="19"/>
              <w:spacing w:line="40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评分细则</w:t>
            </w:r>
          </w:p>
        </w:tc>
        <w:tc>
          <w:tcPr>
            <w:tcW w:w="480" w:type="dxa"/>
            <w:noWrap w:val="0"/>
            <w:vAlign w:val="center"/>
          </w:tcPr>
          <w:p>
            <w:pPr>
              <w:pStyle w:val="19"/>
              <w:spacing w:line="400" w:lineRule="exact"/>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1</w:t>
            </w:r>
          </w:p>
        </w:tc>
        <w:tc>
          <w:tcPr>
            <w:tcW w:w="768"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color w:val="auto"/>
                <w:spacing w:val="14"/>
                <w:kern w:val="0"/>
                <w:sz w:val="24"/>
                <w:szCs w:val="24"/>
              </w:rPr>
              <w:t>客观</w:t>
            </w:r>
          </w:p>
        </w:tc>
        <w:tc>
          <w:tcPr>
            <w:tcW w:w="881"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color w:val="auto"/>
                <w:spacing w:val="14"/>
                <w:kern w:val="0"/>
                <w:sz w:val="24"/>
                <w:szCs w:val="24"/>
              </w:rPr>
              <w:t>企业业绩</w:t>
            </w:r>
          </w:p>
        </w:tc>
        <w:tc>
          <w:tcPr>
            <w:tcW w:w="6430" w:type="dxa"/>
            <w:noWrap w:val="0"/>
            <w:vAlign w:val="center"/>
          </w:tcPr>
          <w:p>
            <w:pPr>
              <w:spacing w:line="40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企业业绩:0-</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w:t>
            </w:r>
          </w:p>
          <w:p>
            <w:pPr>
              <w:spacing w:line="400" w:lineRule="exact"/>
              <w:ind w:firstLine="240" w:firstLineChars="100"/>
              <w:jc w:val="left"/>
              <w:rPr>
                <w:rFonts w:hint="eastAsia" w:ascii="仿宋" w:hAnsi="仿宋" w:eastAsia="仿宋" w:cs="仿宋"/>
                <w:b/>
                <w:color w:val="auto"/>
                <w:kern w:val="0"/>
                <w:sz w:val="24"/>
                <w:szCs w:val="24"/>
                <w:u w:val="single"/>
              </w:rPr>
            </w:pPr>
            <w:r>
              <w:rPr>
                <w:rFonts w:hint="eastAsia" w:ascii="仿宋" w:hAnsi="仿宋" w:eastAsia="仿宋" w:cs="仿宋"/>
                <w:color w:val="auto"/>
                <w:kern w:val="0"/>
                <w:sz w:val="24"/>
                <w:szCs w:val="24"/>
                <w:lang w:val="en-US" w:eastAsia="zh-CN" w:bidi="ar-SA"/>
              </w:rPr>
              <w:t>评委根据投标人2021年1月1日至今的相关业绩（数量）进行评</w:t>
            </w:r>
            <w:r>
              <w:rPr>
                <w:rFonts w:hint="eastAsia" w:ascii="仿宋" w:hAnsi="仿宋" w:eastAsia="仿宋" w:cs="仿宋"/>
                <w:color w:val="auto"/>
                <w:kern w:val="0"/>
                <w:sz w:val="24"/>
                <w:szCs w:val="24"/>
              </w:rPr>
              <w:t>定</w:t>
            </w: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u w:val="single"/>
              </w:rPr>
              <w:t>提供合同复印件并加盖投标人公章）。</w:t>
            </w:r>
          </w:p>
          <w:p>
            <w:pPr>
              <w:pStyle w:val="19"/>
              <w:spacing w:line="400" w:lineRule="exact"/>
              <w:ind w:firstLine="240" w:firstLineChars="100"/>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投标人每提供1个合同的得1分，最高得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分，未提供采购项目合同复印件的不得分。</w:t>
            </w:r>
          </w:p>
        </w:tc>
        <w:tc>
          <w:tcPr>
            <w:tcW w:w="480" w:type="dxa"/>
            <w:noWrap w:val="0"/>
            <w:vAlign w:val="center"/>
          </w:tcPr>
          <w:p>
            <w:pPr>
              <w:pStyle w:val="19"/>
              <w:spacing w:line="440" w:lineRule="exact"/>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4" w:type="dxa"/>
            <w:vMerge w:val="restart"/>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2</w:t>
            </w:r>
          </w:p>
        </w:tc>
        <w:tc>
          <w:tcPr>
            <w:tcW w:w="768" w:type="dxa"/>
            <w:vMerge w:val="restart"/>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客观</w:t>
            </w:r>
          </w:p>
        </w:tc>
        <w:tc>
          <w:tcPr>
            <w:tcW w:w="881" w:type="dxa"/>
            <w:vMerge w:val="restart"/>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企业</w:t>
            </w:r>
          </w:p>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证书</w:t>
            </w:r>
          </w:p>
        </w:tc>
        <w:tc>
          <w:tcPr>
            <w:tcW w:w="6430" w:type="dxa"/>
            <w:noWrap w:val="0"/>
            <w:vAlign w:val="center"/>
          </w:tcPr>
          <w:p>
            <w:pPr>
              <w:spacing w:line="400" w:lineRule="exact"/>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.1投标人具备有效质量体系认证证书的得1分；</w:t>
            </w:r>
          </w:p>
        </w:tc>
        <w:tc>
          <w:tcPr>
            <w:tcW w:w="480" w:type="dxa"/>
            <w:vMerge w:val="restart"/>
            <w:noWrap w:val="0"/>
            <w:vAlign w:val="center"/>
          </w:tcPr>
          <w:p>
            <w:pPr>
              <w:pStyle w:val="19"/>
              <w:spacing w:line="440" w:lineRule="exact"/>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768"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881"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6430" w:type="dxa"/>
            <w:noWrap w:val="0"/>
            <w:vAlign w:val="center"/>
          </w:tcPr>
          <w:p>
            <w:pPr>
              <w:spacing w:line="40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.2投标人具备有效环境管理体系认证证书的得1分；</w:t>
            </w:r>
          </w:p>
        </w:tc>
        <w:tc>
          <w:tcPr>
            <w:tcW w:w="480"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768"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881"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6430" w:type="dxa"/>
            <w:noWrap w:val="0"/>
            <w:vAlign w:val="center"/>
          </w:tcPr>
          <w:p>
            <w:pPr>
              <w:spacing w:line="400" w:lineRule="exact"/>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3.3</w:t>
            </w:r>
            <w:r>
              <w:rPr>
                <w:rFonts w:hint="eastAsia" w:ascii="仿宋" w:hAnsi="仿宋" w:eastAsia="仿宋" w:cs="仿宋"/>
                <w:color w:val="auto"/>
                <w:kern w:val="0"/>
                <w:sz w:val="24"/>
                <w:szCs w:val="24"/>
              </w:rPr>
              <w:t>投标人具备有效</w:t>
            </w:r>
            <w:r>
              <w:rPr>
                <w:rFonts w:hint="eastAsia" w:ascii="仿宋" w:hAnsi="仿宋" w:eastAsia="仿宋" w:cs="仿宋"/>
                <w:color w:val="auto"/>
                <w:kern w:val="0"/>
                <w:sz w:val="24"/>
                <w:szCs w:val="24"/>
                <w:lang w:val="en-US" w:eastAsia="zh-CN"/>
              </w:rPr>
              <w:t>职业健康管理体系</w:t>
            </w:r>
            <w:r>
              <w:rPr>
                <w:rFonts w:hint="eastAsia" w:ascii="仿宋" w:hAnsi="仿宋" w:eastAsia="仿宋" w:cs="仿宋"/>
                <w:color w:val="auto"/>
                <w:kern w:val="0"/>
                <w:sz w:val="24"/>
                <w:szCs w:val="24"/>
              </w:rPr>
              <w:t>证书的得1分；</w:t>
            </w:r>
          </w:p>
        </w:tc>
        <w:tc>
          <w:tcPr>
            <w:tcW w:w="480"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54" w:type="dxa"/>
            <w:vMerge w:val="continue"/>
            <w:tcBorders>
              <w:bottom w:val="single" w:color="auto" w:sz="4" w:space="0"/>
            </w:tcBorders>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768" w:type="dxa"/>
            <w:vMerge w:val="continue"/>
            <w:tcBorders>
              <w:bottom w:val="single" w:color="auto" w:sz="4" w:space="0"/>
            </w:tcBorders>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881" w:type="dxa"/>
            <w:vMerge w:val="continue"/>
            <w:tcBorders>
              <w:bottom w:val="single" w:color="auto" w:sz="4" w:space="0"/>
            </w:tcBorders>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6430" w:type="dxa"/>
            <w:tcBorders>
              <w:bottom w:val="single" w:color="auto" w:sz="4" w:space="0"/>
            </w:tcBorders>
            <w:noWrap w:val="0"/>
            <w:vAlign w:val="center"/>
          </w:tcPr>
          <w:p>
            <w:pPr>
              <w:pStyle w:val="19"/>
              <w:spacing w:line="400" w:lineRule="exact"/>
              <w:ind w:firstLine="0" w:firstLineChars="0"/>
              <w:jc w:val="left"/>
              <w:rPr>
                <w:rFonts w:hint="eastAsia" w:ascii="仿宋" w:hAnsi="仿宋" w:eastAsia="仿宋" w:cs="仿宋"/>
                <w:color w:val="auto"/>
                <w:kern w:val="0"/>
                <w:sz w:val="24"/>
                <w:szCs w:val="24"/>
              </w:rPr>
            </w:pPr>
            <w:r>
              <w:rPr>
                <w:rFonts w:hint="eastAsia" w:ascii="仿宋" w:hAnsi="仿宋" w:eastAsia="仿宋" w:cs="仿宋"/>
                <w:b/>
                <w:color w:val="auto"/>
                <w:spacing w:val="14"/>
                <w:kern w:val="0"/>
                <w:sz w:val="24"/>
                <w:szCs w:val="24"/>
                <w:u w:val="single"/>
              </w:rPr>
              <w:t>提供</w:t>
            </w:r>
            <w:r>
              <w:rPr>
                <w:rFonts w:hint="eastAsia" w:ascii="仿宋" w:hAnsi="仿宋" w:eastAsia="仿宋" w:cs="仿宋"/>
                <w:b/>
                <w:color w:val="auto"/>
                <w:spacing w:val="14"/>
                <w:kern w:val="0"/>
                <w:sz w:val="24"/>
                <w:szCs w:val="24"/>
                <w:u w:val="single"/>
                <w:lang w:val="en-US" w:eastAsia="zh-CN"/>
              </w:rPr>
              <w:t>“国家认证认可监督管理委员会官网”查询并提供查询结果界面截图</w:t>
            </w:r>
            <w:r>
              <w:rPr>
                <w:rFonts w:hint="eastAsia" w:ascii="仿宋" w:hAnsi="仿宋" w:eastAsia="仿宋" w:cs="仿宋"/>
                <w:b/>
                <w:color w:val="auto"/>
                <w:spacing w:val="14"/>
                <w:kern w:val="0"/>
                <w:sz w:val="24"/>
                <w:szCs w:val="24"/>
                <w:u w:val="single"/>
              </w:rPr>
              <w:t>，</w:t>
            </w:r>
            <w:r>
              <w:rPr>
                <w:rFonts w:hint="eastAsia" w:ascii="仿宋" w:hAnsi="仿宋" w:eastAsia="仿宋" w:cs="仿宋"/>
                <w:b/>
                <w:color w:val="auto"/>
                <w:kern w:val="0"/>
                <w:sz w:val="24"/>
                <w:szCs w:val="24"/>
                <w:u w:val="single"/>
              </w:rPr>
              <w:t>以上证书未提供不得分</w:t>
            </w:r>
            <w:r>
              <w:rPr>
                <w:rFonts w:hint="eastAsia" w:ascii="仿宋" w:hAnsi="仿宋" w:eastAsia="仿宋" w:cs="仿宋"/>
                <w:b/>
                <w:color w:val="auto"/>
                <w:spacing w:val="14"/>
                <w:kern w:val="0"/>
                <w:sz w:val="24"/>
                <w:szCs w:val="24"/>
                <w:u w:val="single"/>
              </w:rPr>
              <w:t>。</w:t>
            </w:r>
          </w:p>
        </w:tc>
        <w:tc>
          <w:tcPr>
            <w:tcW w:w="480" w:type="dxa"/>
            <w:vMerge w:val="continue"/>
            <w:tcBorders>
              <w:bottom w:val="single" w:color="auto" w:sz="4" w:space="0"/>
            </w:tcBorders>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restart"/>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3</w:t>
            </w:r>
          </w:p>
        </w:tc>
        <w:tc>
          <w:tcPr>
            <w:tcW w:w="768" w:type="dxa"/>
            <w:vMerge w:val="restart"/>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主观</w:t>
            </w:r>
          </w:p>
        </w:tc>
        <w:tc>
          <w:tcPr>
            <w:tcW w:w="881" w:type="dxa"/>
            <w:vMerge w:val="restart"/>
            <w:noWrap w:val="0"/>
            <w:vAlign w:val="center"/>
          </w:tcPr>
          <w:p>
            <w:pPr>
              <w:pStyle w:val="19"/>
              <w:spacing w:line="440" w:lineRule="exact"/>
              <w:ind w:left="0" w:leftChars="0"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color w:val="auto"/>
                <w:kern w:val="0"/>
                <w:sz w:val="24"/>
                <w:szCs w:val="24"/>
                <w:lang w:eastAsia="zh-CN"/>
              </w:rPr>
              <w:t>项目实施方案</w:t>
            </w:r>
          </w:p>
        </w:tc>
        <w:tc>
          <w:tcPr>
            <w:tcW w:w="6430" w:type="dxa"/>
            <w:noWrap w:val="0"/>
            <w:vAlign w:val="center"/>
          </w:tcPr>
          <w:p>
            <w:pPr>
              <w:spacing w:line="400" w:lineRule="exact"/>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.1总体实施方案（0-4分），方案科学、合理、实用可靠，能完全满足采购人的专业需求的得4分，方案中有不合理或不适合本项目开展的内容，每项扣1分，扣完该项得分为止，无项目实施方案不得分</w:t>
            </w:r>
            <w:r>
              <w:rPr>
                <w:rFonts w:hint="eastAsia" w:ascii="仿宋" w:hAnsi="仿宋" w:eastAsia="仿宋" w:cs="仿宋"/>
                <w:color w:val="auto"/>
                <w:kern w:val="0"/>
                <w:sz w:val="24"/>
                <w:szCs w:val="24"/>
                <w:lang w:eastAsia="zh-CN"/>
              </w:rPr>
              <w:t>；</w:t>
            </w:r>
          </w:p>
        </w:tc>
        <w:tc>
          <w:tcPr>
            <w:tcW w:w="480" w:type="dxa"/>
            <w:vMerge w:val="restart"/>
            <w:noWrap w:val="0"/>
            <w:vAlign w:val="center"/>
          </w:tcPr>
          <w:p>
            <w:pPr>
              <w:pStyle w:val="19"/>
              <w:spacing w:line="440" w:lineRule="exact"/>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768"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881"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6430" w:type="dxa"/>
            <w:noWrap w:val="0"/>
            <w:vAlign w:val="center"/>
          </w:tcPr>
          <w:p>
            <w:pPr>
              <w:spacing w:line="400" w:lineRule="exact"/>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保证工期的方案和措施（0-4分），确保项目交货期、施工组织机构和分工安排、项目过程中各阶段划分和控制等方案和措施切实可行的，得4分；方案、措施存在不严密不合理的，每项扣1分，扣完该项得分为止；无方案无措施的不得分</w:t>
            </w:r>
            <w:r>
              <w:rPr>
                <w:rFonts w:hint="eastAsia" w:ascii="仿宋" w:hAnsi="仿宋" w:eastAsia="仿宋" w:cs="仿宋"/>
                <w:color w:val="auto"/>
                <w:kern w:val="0"/>
                <w:sz w:val="24"/>
                <w:szCs w:val="24"/>
                <w:lang w:eastAsia="zh-CN"/>
              </w:rPr>
              <w:t>；</w:t>
            </w:r>
          </w:p>
        </w:tc>
        <w:tc>
          <w:tcPr>
            <w:tcW w:w="480"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768"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881"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6430" w:type="dxa"/>
            <w:noWrap w:val="0"/>
            <w:vAlign w:val="center"/>
          </w:tcPr>
          <w:p>
            <w:pPr>
              <w:spacing w:line="400" w:lineRule="exact"/>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.3确保供应货物质量的设施及措施（0-</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分），有严密的质量监控措施和先进的质量检测设施的得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分，其余的根据质量控制措施和质量检测设施全面性、严密性得</w:t>
            </w: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分，无设施措施的不得分</w:t>
            </w:r>
            <w:r>
              <w:rPr>
                <w:rFonts w:hint="eastAsia" w:ascii="仿宋" w:hAnsi="仿宋" w:eastAsia="仿宋" w:cs="仿宋"/>
                <w:color w:val="auto"/>
                <w:kern w:val="0"/>
                <w:sz w:val="24"/>
                <w:szCs w:val="24"/>
                <w:lang w:eastAsia="zh-CN"/>
              </w:rPr>
              <w:t>；</w:t>
            </w:r>
          </w:p>
        </w:tc>
        <w:tc>
          <w:tcPr>
            <w:tcW w:w="480"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768"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881"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6430" w:type="dxa"/>
            <w:noWrap w:val="0"/>
            <w:vAlign w:val="center"/>
          </w:tcPr>
          <w:p>
            <w:pPr>
              <w:spacing w:line="40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.4安装、调试、验收的方案和措施（0-</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分），安装、调试、验收的各阶段的方案和措施能结合本项目特点、切实可行的，得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分；方案措施欠佳的，每项扣</w:t>
            </w: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分，扣完该项得分为止；无方案无措施的不得分。</w:t>
            </w:r>
          </w:p>
        </w:tc>
        <w:tc>
          <w:tcPr>
            <w:tcW w:w="480"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54" w:type="dxa"/>
            <w:vMerge w:val="restart"/>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4</w:t>
            </w:r>
          </w:p>
        </w:tc>
        <w:tc>
          <w:tcPr>
            <w:tcW w:w="768" w:type="dxa"/>
            <w:vMerge w:val="restart"/>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主观</w:t>
            </w:r>
          </w:p>
        </w:tc>
        <w:tc>
          <w:tcPr>
            <w:tcW w:w="881" w:type="dxa"/>
            <w:vMerge w:val="restart"/>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投标货物技术性能</w:t>
            </w: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 w:eastAsia="zh-CN" w:bidi="ar-SA"/>
              </w:rPr>
            </w:pPr>
            <w:r>
              <w:rPr>
                <w:rFonts w:hint="eastAsia" w:ascii="仿宋" w:hAnsi="仿宋" w:eastAsia="仿宋" w:cs="仿宋"/>
                <w:color w:val="auto"/>
                <w:kern w:val="0"/>
                <w:sz w:val="24"/>
                <w:szCs w:val="24"/>
                <w:lang w:val="en-US" w:eastAsia="zh-CN" w:bidi="ar-SA"/>
              </w:rPr>
              <w:t>5.1响应招标文件要求的部件技术参数、技术规格、技术规范和技术要求的得15分</w:t>
            </w:r>
            <w:r>
              <w:rPr>
                <w:rFonts w:hint="eastAsia" w:ascii="仿宋" w:hAnsi="仿宋" w:eastAsia="仿宋" w:cs="仿宋"/>
                <w:color w:val="auto"/>
                <w:kern w:val="0"/>
                <w:sz w:val="24"/>
                <w:szCs w:val="24"/>
                <w:lang w:val="en" w:eastAsia="zh-CN" w:bidi="ar-SA"/>
              </w:rPr>
              <w:t>;</w:t>
            </w:r>
          </w:p>
        </w:tc>
        <w:tc>
          <w:tcPr>
            <w:tcW w:w="480" w:type="dxa"/>
            <w:vMerge w:val="restart"/>
            <w:noWrap w:val="0"/>
            <w:vAlign w:val="center"/>
          </w:tcPr>
          <w:p>
            <w:pPr>
              <w:pStyle w:val="19"/>
              <w:spacing w:line="440" w:lineRule="exact"/>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val="en-US" w:eastAsia="zh-CN"/>
              </w:rPr>
            </w:pPr>
          </w:p>
        </w:tc>
        <w:tc>
          <w:tcPr>
            <w:tcW w:w="768"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881"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5.2优于招标文件要求的部件技术参数、技术规格、技术规范、技术要求、检测报告和证书的给予逐项适当加分，标注“▲”的指标每优于一项加1分（最多加6分），其他项每优于一项加0.5分（最多加4分），总加分不得超过10分</w:t>
            </w:r>
            <w:r>
              <w:rPr>
                <w:rFonts w:hint="eastAsia" w:ascii="仿宋" w:hAnsi="仿宋" w:eastAsia="仿宋" w:cs="仿宋"/>
                <w:color w:val="auto"/>
                <w:kern w:val="0"/>
                <w:sz w:val="24"/>
                <w:szCs w:val="24"/>
                <w:lang w:val="en" w:eastAsia="zh-CN" w:bidi="ar-SA"/>
              </w:rPr>
              <w:t>;</w:t>
            </w:r>
          </w:p>
        </w:tc>
        <w:tc>
          <w:tcPr>
            <w:tcW w:w="480" w:type="dxa"/>
            <w:vMerge w:val="continue"/>
            <w:noWrap w:val="0"/>
            <w:vAlign w:val="center"/>
          </w:tcPr>
          <w:p>
            <w:pPr>
              <w:pStyle w:val="19"/>
              <w:spacing w:line="440" w:lineRule="exact"/>
              <w:ind w:left="0" w:leftChars="0" w:firstLine="0" w:firstLineChars="0"/>
              <w:jc w:val="center"/>
              <w:rPr>
                <w:rFonts w:hint="eastAsia" w:ascii="仿宋" w:hAnsi="仿宋" w:eastAsia="仿宋" w:cs="仿宋"/>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768"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881"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 w:eastAsia="zh-CN" w:bidi="ar-SA"/>
              </w:rPr>
            </w:pPr>
            <w:r>
              <w:rPr>
                <w:rFonts w:hint="eastAsia" w:ascii="仿宋" w:hAnsi="仿宋" w:eastAsia="仿宋" w:cs="仿宋"/>
                <w:color w:val="auto"/>
                <w:kern w:val="0"/>
                <w:sz w:val="24"/>
                <w:szCs w:val="24"/>
                <w:lang w:val="en-US" w:eastAsia="zh-CN" w:bidi="ar-SA"/>
              </w:rPr>
              <w:t>5.3低于招标文件要求的部件技术参数、技术规格、技术规范、技术要求、检测报告和证书的给予逐项适当减分，标注“▲”的指标每低于一项扣1分（最多扣6分），其他每低于一项扣0.5分；总减分不得超过15分。</w:t>
            </w:r>
          </w:p>
        </w:tc>
        <w:tc>
          <w:tcPr>
            <w:tcW w:w="480"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768"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881"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6430" w:type="dxa"/>
            <w:noWrap w:val="0"/>
            <w:vAlign w:val="center"/>
          </w:tcPr>
          <w:p>
            <w:pPr>
              <w:pStyle w:val="19"/>
              <w:spacing w:line="400" w:lineRule="exact"/>
              <w:ind w:left="0" w:leftChars="0" w:firstLine="0" w:firstLineChars="0"/>
              <w:jc w:val="left"/>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5.4评委根据所投产品进行整体性能评价（0-5分）。</w:t>
            </w:r>
          </w:p>
        </w:tc>
        <w:tc>
          <w:tcPr>
            <w:tcW w:w="480"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5</w:t>
            </w:r>
          </w:p>
        </w:tc>
        <w:tc>
          <w:tcPr>
            <w:tcW w:w="768" w:type="dxa"/>
            <w:noWrap w:val="0"/>
            <w:vAlign w:val="center"/>
          </w:tcPr>
          <w:p>
            <w:pPr>
              <w:pStyle w:val="19"/>
              <w:spacing w:line="400" w:lineRule="exact"/>
              <w:ind w:left="0" w:leftChars="0"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eastAsia="zh-CN"/>
              </w:rPr>
              <w:t>主观</w:t>
            </w:r>
          </w:p>
        </w:tc>
        <w:tc>
          <w:tcPr>
            <w:tcW w:w="881" w:type="dxa"/>
            <w:noWrap w:val="0"/>
            <w:vAlign w:val="center"/>
          </w:tcPr>
          <w:p>
            <w:pPr>
              <w:pStyle w:val="19"/>
              <w:spacing w:line="400" w:lineRule="exact"/>
              <w:ind w:left="0" w:leftChars="0"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rPr>
              <w:t>功能演示要求</w:t>
            </w: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针对项目需求，投标人需提供符合招标文件要求的样品视频（U盘邮寄地址：湖州市金盖山路66号市民服务中心2号楼2楼238室 收件人：范女士）。</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一、教师云办公计算机功能演示要求：</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1.通过内置桌面助手工具，可显示“云主机IP”、“本机IP”、“本机MAC”、“硬盘”、“CPU”、“内存”、“操作系统”等信息（满足得2分、不满足不得分）；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2.为了适用不同的业务应用场景，终端支持多种模式切换，包含但不限于个人桌面使用的个性化模式、公共桌面使用的还原模式、公共查询端使用的无账号公用模式（满足得2分、不满足不得分）；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3.远程访问时能做到对同品牌的IDV终端不借助第三方外设下，做到跨广域网远程开机，做到随用随开、节能减排（满足得1分、不满足不得分）；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4.当不方便使用完整桌面远程办公时，通过办公空间软件以文件方式来访问桌面内资源，并且对文件支持打开、上传、下载、预览、重命名等操作，以上功能需要支持手机端和PC端（满足得2分、不满足不得分）；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二、计算机语言机房朗读软件功能演示要求：</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1.登陆方式：支持学号登录、人脸登录、快捷登录（学生通过选择自己名字直接登录）（满足得1分、不满足不得分）；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2.课堂练习：在课堂模式下，支持接收老师布置的练习；练习任务分为：朗读练习、背诵练习（满足得1分、不满足不得分）；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3.支持进行练习，练习完成后可通过按钮，重复进行练习；完成练习后，系统提供作品星级评分；支持试听练习素材的范读（满足得1分、不满足不得分）；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分级朗读课功能：1)支持按低年级、中年级、高年级选择朗读课程；支持选择朗读课程具体章节，查看章节详情；支持查看范文拼音；2)支持播放章节配套微课；3）支持配乐朗读练习（满足得1分、不满足不得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5.排行榜功能：支持查看优秀作品榜、个人荣誉榜、满分背诵榜、热门文章榜（满足得1分、不满足不得分）；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背诵任务功能：支持老师选择素材，布置背诵任务给学生练习。在上课模式下，学生可即时收到背诵任务，学生进行背诵后，系统生成AI测评结果（星星奖励、背漏、背错）。支持对学生背诵作品进行试听、上留声墙、发星星等操作。支持查阅背诵任务已完成与未完成的学生清单（满足得2分、不满足不得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bidi="ar-SA"/>
              </w:rPr>
              <w:t>投标人所提供的演示产品需与投标产品品牌型号一致，否则该项不得分。</w:t>
            </w:r>
          </w:p>
        </w:tc>
        <w:tc>
          <w:tcPr>
            <w:tcW w:w="480"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54" w:type="dxa"/>
            <w:vMerge w:val="restart"/>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6</w:t>
            </w:r>
          </w:p>
        </w:tc>
        <w:tc>
          <w:tcPr>
            <w:tcW w:w="768" w:type="dxa"/>
            <w:noWrap w:val="0"/>
            <w:vAlign w:val="center"/>
          </w:tcPr>
          <w:p>
            <w:pPr>
              <w:pStyle w:val="19"/>
              <w:spacing w:line="400" w:lineRule="exact"/>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客观</w:t>
            </w:r>
          </w:p>
        </w:tc>
        <w:tc>
          <w:tcPr>
            <w:tcW w:w="881" w:type="dxa"/>
            <w:vMerge w:val="restart"/>
            <w:noWrap w:val="0"/>
            <w:vAlign w:val="center"/>
          </w:tcPr>
          <w:p>
            <w:pPr>
              <w:pStyle w:val="19"/>
              <w:spacing w:line="400" w:lineRule="exact"/>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售后服务承诺</w:t>
            </w: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7.1投标人在湖州地区配备售后服务单位的得3分或与湖州地域接壤的地区配备或承诺合同履行前设立售后服务单位得3分；投标人在湖州其他区县配备售后服务单位的，得2分；投标人在其他地区配备售后服务单位的，得1分（须提供详细的网点全称、营业执照、联系人、联系方式等相关证明材料）；</w:t>
            </w:r>
            <w:r>
              <w:rPr>
                <w:rFonts w:hint="eastAsia" w:ascii="仿宋" w:hAnsi="仿宋" w:eastAsia="仿宋" w:cs="仿宋"/>
                <w:color w:val="auto"/>
                <w:kern w:val="0"/>
                <w:sz w:val="24"/>
                <w:szCs w:val="24"/>
                <w:lang w:val="en-US" w:eastAsia="zh-CN" w:bidi="ar-SA"/>
              </w:rPr>
              <w:br w:type="textWrapping"/>
            </w:r>
            <w:r>
              <w:rPr>
                <w:rFonts w:hint="eastAsia" w:ascii="仿宋" w:hAnsi="仿宋" w:eastAsia="仿宋" w:cs="仿宋"/>
                <w:color w:val="auto"/>
                <w:kern w:val="0"/>
                <w:sz w:val="24"/>
                <w:szCs w:val="24"/>
                <w:lang w:val="en-US" w:eastAsia="zh-CN" w:bidi="ar-SA"/>
              </w:rPr>
              <w:t>投标时承诺合同履行前设立售后服务网点的，必须在合同履行前设立，否则以提供虚假材料谋取中标报同级政府采购监管部门处理；</w:t>
            </w:r>
          </w:p>
        </w:tc>
        <w:tc>
          <w:tcPr>
            <w:tcW w:w="480" w:type="dxa"/>
            <w:vMerge w:val="restart"/>
            <w:noWrap w:val="0"/>
            <w:vAlign w:val="center"/>
          </w:tcPr>
          <w:p>
            <w:pPr>
              <w:pStyle w:val="19"/>
              <w:spacing w:line="440" w:lineRule="exact"/>
              <w:ind w:left="0" w:leftChars="0"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768" w:type="dxa"/>
            <w:noWrap w:val="0"/>
            <w:vAlign w:val="center"/>
          </w:tcPr>
          <w:p>
            <w:pPr>
              <w:pStyle w:val="19"/>
              <w:spacing w:line="400" w:lineRule="exact"/>
              <w:ind w:left="0" w:leftChars="0"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eastAsia="zh-CN"/>
              </w:rPr>
              <w:t>主观</w:t>
            </w:r>
          </w:p>
        </w:tc>
        <w:tc>
          <w:tcPr>
            <w:tcW w:w="881" w:type="dxa"/>
            <w:vMerge w:val="continue"/>
            <w:noWrap w:val="0"/>
            <w:vAlign w:val="center"/>
          </w:tcPr>
          <w:p>
            <w:pPr>
              <w:pStyle w:val="19"/>
              <w:spacing w:line="400" w:lineRule="exact"/>
              <w:ind w:left="0" w:leftChars="0" w:firstLine="0" w:firstLineChars="0"/>
              <w:jc w:val="center"/>
              <w:rPr>
                <w:rFonts w:hint="eastAsia" w:ascii="仿宋" w:hAnsi="仿宋" w:eastAsia="仿宋" w:cs="仿宋"/>
                <w:bCs/>
                <w:color w:val="auto"/>
                <w:kern w:val="0"/>
                <w:sz w:val="24"/>
                <w:szCs w:val="24"/>
              </w:rPr>
            </w:pP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7.2根据投标方建议的系统培训，包含培训时间、培训课程内容、培训后续技术支持等方面综合评定,每满足一项得0-1分（0-3分）；</w:t>
            </w:r>
          </w:p>
        </w:tc>
        <w:tc>
          <w:tcPr>
            <w:tcW w:w="480"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c>
          <w:tcPr>
            <w:tcW w:w="768" w:type="dxa"/>
            <w:noWrap w:val="0"/>
            <w:vAlign w:val="center"/>
          </w:tcPr>
          <w:p>
            <w:pPr>
              <w:pStyle w:val="19"/>
              <w:spacing w:line="400" w:lineRule="exact"/>
              <w:ind w:left="0" w:leftChars="0"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eastAsia="zh-CN"/>
              </w:rPr>
              <w:t>客观</w:t>
            </w:r>
          </w:p>
        </w:tc>
        <w:tc>
          <w:tcPr>
            <w:tcW w:w="881" w:type="dxa"/>
            <w:vMerge w:val="continue"/>
            <w:noWrap w:val="0"/>
            <w:vAlign w:val="center"/>
          </w:tcPr>
          <w:p>
            <w:pPr>
              <w:pStyle w:val="19"/>
              <w:spacing w:line="400" w:lineRule="exact"/>
              <w:ind w:left="0" w:leftChars="0" w:firstLine="0" w:firstLineChars="0"/>
              <w:jc w:val="center"/>
              <w:rPr>
                <w:rFonts w:hint="eastAsia" w:ascii="仿宋" w:hAnsi="仿宋" w:eastAsia="仿宋" w:cs="仿宋"/>
                <w:bCs/>
                <w:color w:val="auto"/>
                <w:kern w:val="0"/>
                <w:sz w:val="24"/>
                <w:szCs w:val="24"/>
              </w:rPr>
            </w:pP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7.3接到采购人报修通知（电话、电传等）后</w:t>
            </w:r>
            <w:r>
              <w:rPr>
                <w:rFonts w:hint="default" w:ascii="仿宋" w:hAnsi="仿宋" w:eastAsia="仿宋" w:cs="仿宋"/>
                <w:color w:val="auto"/>
                <w:kern w:val="0"/>
                <w:sz w:val="24"/>
                <w:szCs w:val="24"/>
                <w:lang w:val="en" w:eastAsia="zh-CN" w:bidi="ar-SA"/>
              </w:rPr>
              <w:t>3</w:t>
            </w:r>
            <w:r>
              <w:rPr>
                <w:rFonts w:hint="eastAsia" w:ascii="仿宋" w:hAnsi="仿宋" w:eastAsia="仿宋" w:cs="仿宋"/>
                <w:color w:val="auto"/>
                <w:kern w:val="0"/>
                <w:sz w:val="24"/>
                <w:szCs w:val="24"/>
                <w:lang w:val="en-US" w:eastAsia="zh-CN" w:bidi="ar-SA"/>
              </w:rPr>
              <w:t>小时内现场响应得1分，每减少1小时加0.5分；每增加1小时扣0.5分，扣完为止；最高得2分。</w:t>
            </w:r>
          </w:p>
        </w:tc>
        <w:tc>
          <w:tcPr>
            <w:tcW w:w="480"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p>
        </w:tc>
      </w:tr>
    </w:tbl>
    <w:p>
      <w:pPr>
        <w:spacing w:line="440" w:lineRule="exact"/>
        <w:jc w:val="left"/>
        <w:rPr>
          <w:rFonts w:hint="eastAsia" w:ascii="仿宋" w:hAnsi="仿宋" w:eastAsia="仿宋"/>
          <w:b/>
          <w:bCs/>
          <w:color w:val="auto"/>
          <w:sz w:val="28"/>
          <w:szCs w:val="28"/>
          <w:lang w:eastAsia="zh-CN"/>
        </w:rPr>
      </w:pPr>
      <w:r>
        <w:rPr>
          <w:rFonts w:hint="eastAsia" w:ascii="仿宋" w:hAnsi="仿宋" w:eastAsia="仿宋"/>
          <w:b/>
          <w:bCs/>
          <w:color w:val="auto"/>
          <w:sz w:val="28"/>
          <w:szCs w:val="28"/>
          <w:lang w:eastAsia="zh-CN"/>
        </w:rPr>
        <w:t>第二标项：多媒体等设备</w:t>
      </w:r>
    </w:p>
    <w:tbl>
      <w:tblPr>
        <w:tblStyle w:val="33"/>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768"/>
        <w:gridCol w:w="881"/>
        <w:gridCol w:w="643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jc w:val="center"/>
        </w:trPr>
        <w:tc>
          <w:tcPr>
            <w:tcW w:w="554"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序号</w:t>
            </w:r>
          </w:p>
        </w:tc>
        <w:tc>
          <w:tcPr>
            <w:tcW w:w="768"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评分</w:t>
            </w:r>
          </w:p>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因素</w:t>
            </w:r>
          </w:p>
        </w:tc>
        <w:tc>
          <w:tcPr>
            <w:tcW w:w="881"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评分项</w:t>
            </w:r>
          </w:p>
        </w:tc>
        <w:tc>
          <w:tcPr>
            <w:tcW w:w="6430" w:type="dxa"/>
            <w:noWrap w:val="0"/>
            <w:vAlign w:val="center"/>
          </w:tcPr>
          <w:p>
            <w:pPr>
              <w:pStyle w:val="19"/>
              <w:spacing w:line="40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评分细则</w:t>
            </w:r>
          </w:p>
        </w:tc>
        <w:tc>
          <w:tcPr>
            <w:tcW w:w="480" w:type="dxa"/>
            <w:noWrap w:val="0"/>
            <w:vAlign w:val="center"/>
          </w:tcPr>
          <w:p>
            <w:pPr>
              <w:pStyle w:val="19"/>
              <w:spacing w:line="400" w:lineRule="exact"/>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1</w:t>
            </w:r>
          </w:p>
        </w:tc>
        <w:tc>
          <w:tcPr>
            <w:tcW w:w="768"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color w:val="auto"/>
                <w:spacing w:val="14"/>
                <w:kern w:val="0"/>
                <w:sz w:val="24"/>
                <w:szCs w:val="24"/>
              </w:rPr>
              <w:t>客观</w:t>
            </w:r>
          </w:p>
        </w:tc>
        <w:tc>
          <w:tcPr>
            <w:tcW w:w="881" w:type="dxa"/>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rPr>
            </w:pPr>
            <w:r>
              <w:rPr>
                <w:rFonts w:hint="eastAsia" w:ascii="仿宋" w:hAnsi="仿宋" w:eastAsia="仿宋" w:cs="仿宋"/>
                <w:color w:val="auto"/>
                <w:spacing w:val="14"/>
                <w:kern w:val="0"/>
                <w:sz w:val="24"/>
                <w:szCs w:val="24"/>
              </w:rPr>
              <w:t>企业业绩</w:t>
            </w:r>
          </w:p>
        </w:tc>
        <w:tc>
          <w:tcPr>
            <w:tcW w:w="6430" w:type="dxa"/>
            <w:noWrap w:val="0"/>
            <w:vAlign w:val="center"/>
          </w:tcPr>
          <w:p>
            <w:pPr>
              <w:spacing w:line="40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企业业绩:0-</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p>
          <w:p>
            <w:pPr>
              <w:spacing w:line="400" w:lineRule="exact"/>
              <w:ind w:firstLine="240" w:firstLineChars="100"/>
              <w:jc w:val="left"/>
              <w:rPr>
                <w:rFonts w:hint="eastAsia" w:ascii="仿宋" w:hAnsi="仿宋" w:eastAsia="仿宋" w:cs="仿宋"/>
                <w:b/>
                <w:color w:val="auto"/>
                <w:kern w:val="0"/>
                <w:sz w:val="24"/>
                <w:szCs w:val="24"/>
                <w:u w:val="single"/>
              </w:rPr>
            </w:pPr>
            <w:r>
              <w:rPr>
                <w:rFonts w:hint="eastAsia" w:ascii="仿宋" w:hAnsi="仿宋" w:eastAsia="仿宋" w:cs="仿宋"/>
                <w:color w:val="auto"/>
                <w:kern w:val="0"/>
                <w:sz w:val="24"/>
                <w:szCs w:val="24"/>
                <w:lang w:val="en-US" w:eastAsia="zh-CN" w:bidi="ar-SA"/>
              </w:rPr>
              <w:t>评委根据投标人2021年1月1日至今的相关业绩（数量）进行评</w:t>
            </w:r>
            <w:r>
              <w:rPr>
                <w:rFonts w:hint="eastAsia" w:ascii="仿宋" w:hAnsi="仿宋" w:eastAsia="仿宋" w:cs="仿宋"/>
                <w:color w:val="auto"/>
                <w:kern w:val="0"/>
                <w:sz w:val="24"/>
                <w:szCs w:val="24"/>
              </w:rPr>
              <w:t>定</w:t>
            </w: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u w:val="single"/>
              </w:rPr>
              <w:t>提供合同复印件并加盖投标人公章）。</w:t>
            </w:r>
          </w:p>
          <w:p>
            <w:pPr>
              <w:pStyle w:val="19"/>
              <w:spacing w:line="400" w:lineRule="exact"/>
              <w:ind w:firstLine="240" w:firstLineChars="100"/>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投标人每提供1个合同的得1分，最高得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分，未提供采购项目合同复印件的不得分。</w:t>
            </w:r>
          </w:p>
        </w:tc>
        <w:tc>
          <w:tcPr>
            <w:tcW w:w="480" w:type="dxa"/>
            <w:noWrap w:val="0"/>
            <w:vAlign w:val="center"/>
          </w:tcPr>
          <w:p>
            <w:pPr>
              <w:pStyle w:val="19"/>
              <w:spacing w:line="440" w:lineRule="exact"/>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pStyle w:val="19"/>
              <w:spacing w:line="440" w:lineRule="exact"/>
              <w:ind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w:t>
            </w:r>
          </w:p>
        </w:tc>
        <w:tc>
          <w:tcPr>
            <w:tcW w:w="768" w:type="dxa"/>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r>
              <w:rPr>
                <w:rFonts w:hint="eastAsia" w:ascii="仿宋" w:hAnsi="仿宋" w:eastAsia="仿宋" w:cs="仿宋"/>
                <w:color w:val="auto"/>
                <w:spacing w:val="14"/>
                <w:kern w:val="0"/>
                <w:sz w:val="24"/>
                <w:szCs w:val="24"/>
                <w:lang w:eastAsia="zh-CN"/>
              </w:rPr>
              <w:t>客观</w:t>
            </w:r>
          </w:p>
        </w:tc>
        <w:tc>
          <w:tcPr>
            <w:tcW w:w="881" w:type="dxa"/>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lang w:eastAsia="zh-CN"/>
              </w:rPr>
              <w:t>企业证书</w:t>
            </w: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1、投标人同时通过ISO9001、ISO14001、ISO 45001三个认证，且认证范围至少包括多媒体设备，音响设备、灯具得1.5分，认证未通过或者内容不符该项不得分。</w:t>
            </w:r>
          </w:p>
          <w:p>
            <w:pPr>
              <w:pStyle w:val="19"/>
              <w:spacing w:line="400" w:lineRule="exact"/>
              <w:ind w:left="0" w:leftChars="0"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2、投标人通过ISO20000信息技术服务管理体系认证、ISO27001信息安全管理体系认证得1.5分，认证未通过或者内容不符该项不得分。</w:t>
            </w:r>
          </w:p>
          <w:p>
            <w:pPr>
              <w:pStyle w:val="19"/>
              <w:spacing w:line="400" w:lineRule="exact"/>
              <w:ind w:left="0" w:leftChars="0"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3、投标人通过“国家级高新技术企业”认证得1分。</w:t>
            </w:r>
          </w:p>
          <w:p>
            <w:pPr>
              <w:pStyle w:val="19"/>
              <w:spacing w:line="400" w:lineRule="exact"/>
              <w:ind w:left="0" w:leftChars="0"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4、投标人获得自主软件著作权登记证书或专利证书，每提供一个得0.</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分，最高</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p>
        </w:tc>
        <w:tc>
          <w:tcPr>
            <w:tcW w:w="480" w:type="dxa"/>
            <w:noWrap w:val="0"/>
            <w:vAlign w:val="center"/>
          </w:tcPr>
          <w:p>
            <w:pPr>
              <w:pStyle w:val="19"/>
              <w:spacing w:line="440" w:lineRule="exact"/>
              <w:ind w:left="0" w:leftChars="0"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pStyle w:val="19"/>
              <w:spacing w:line="440" w:lineRule="exact"/>
              <w:ind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3</w:t>
            </w:r>
          </w:p>
        </w:tc>
        <w:tc>
          <w:tcPr>
            <w:tcW w:w="768" w:type="dxa"/>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r>
              <w:rPr>
                <w:rFonts w:hint="eastAsia" w:ascii="仿宋" w:hAnsi="仿宋" w:eastAsia="仿宋" w:cs="仿宋"/>
                <w:color w:val="auto"/>
                <w:spacing w:val="14"/>
                <w:kern w:val="0"/>
                <w:sz w:val="24"/>
                <w:szCs w:val="24"/>
                <w:lang w:eastAsia="zh-CN"/>
              </w:rPr>
              <w:t>主观</w:t>
            </w:r>
          </w:p>
        </w:tc>
        <w:tc>
          <w:tcPr>
            <w:tcW w:w="881" w:type="dxa"/>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r>
              <w:rPr>
                <w:rFonts w:hint="eastAsia" w:ascii="仿宋" w:hAnsi="仿宋" w:eastAsia="仿宋" w:cs="仿宋"/>
                <w:color w:val="auto"/>
                <w:spacing w:val="14"/>
                <w:kern w:val="0"/>
                <w:sz w:val="24"/>
                <w:szCs w:val="24"/>
                <w:lang w:eastAsia="zh-CN"/>
              </w:rPr>
              <w:t>项目实施方案</w:t>
            </w: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投标人针对各系统安装调试方案的科学性、合理性、规范性和可操作性，包括系统集成、产品供货、验货、安装调试、试运行、测试、调优等内容。（1-4分）</w:t>
            </w:r>
          </w:p>
          <w:p>
            <w:pPr>
              <w:pStyle w:val="19"/>
              <w:spacing w:line="400" w:lineRule="exact"/>
              <w:ind w:left="0" w:leftChars="0"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各系统的施工方案；施工机械、进场计划、材料计划及劳动力安排计划；施工工艺流程；施工总进度计划等。拟担任本项目经理和技术负责人的专业素质、技术能力、经验等情况，项目组实施人员专业人员素质、技术能力、专业分布、经验等情况，数量是否充足，配置是否合理，是否具有类似项目建设经验等。（1-3分）</w:t>
            </w:r>
          </w:p>
        </w:tc>
        <w:tc>
          <w:tcPr>
            <w:tcW w:w="480" w:type="dxa"/>
            <w:noWrap w:val="0"/>
            <w:vAlign w:val="center"/>
          </w:tcPr>
          <w:p>
            <w:pPr>
              <w:pStyle w:val="19"/>
              <w:spacing w:line="440" w:lineRule="exact"/>
              <w:ind w:left="0" w:leftChars="0"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restart"/>
            <w:noWrap w:val="0"/>
            <w:vAlign w:val="center"/>
          </w:tcPr>
          <w:p>
            <w:pPr>
              <w:pStyle w:val="19"/>
              <w:spacing w:line="440" w:lineRule="exact"/>
              <w:ind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4</w:t>
            </w:r>
          </w:p>
        </w:tc>
        <w:tc>
          <w:tcPr>
            <w:tcW w:w="768" w:type="dxa"/>
            <w:vMerge w:val="restart"/>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r>
              <w:rPr>
                <w:rFonts w:hint="eastAsia" w:ascii="仿宋" w:hAnsi="仿宋" w:eastAsia="仿宋" w:cs="仿宋"/>
                <w:color w:val="auto"/>
                <w:spacing w:val="14"/>
                <w:kern w:val="0"/>
                <w:sz w:val="24"/>
                <w:szCs w:val="24"/>
                <w:lang w:eastAsia="zh-CN"/>
              </w:rPr>
              <w:t>主观</w:t>
            </w:r>
          </w:p>
        </w:tc>
        <w:tc>
          <w:tcPr>
            <w:tcW w:w="881" w:type="dxa"/>
            <w:vMerge w:val="restart"/>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r>
              <w:rPr>
                <w:rFonts w:hint="eastAsia" w:ascii="仿宋" w:hAnsi="仿宋" w:eastAsia="仿宋" w:cs="仿宋"/>
                <w:color w:val="auto"/>
                <w:spacing w:val="14"/>
                <w:kern w:val="0"/>
                <w:sz w:val="24"/>
                <w:szCs w:val="24"/>
                <w:lang w:eastAsia="zh-CN"/>
              </w:rPr>
              <w:t>技术响应情况</w:t>
            </w: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4.1响应招标文件要求的部件技术参数、技术规格、技术规范和技术要求的得8分</w:t>
            </w:r>
            <w:r>
              <w:rPr>
                <w:rFonts w:hint="eastAsia" w:ascii="仿宋" w:hAnsi="仿宋" w:eastAsia="仿宋" w:cs="仿宋"/>
                <w:color w:val="auto"/>
                <w:kern w:val="0"/>
                <w:sz w:val="24"/>
                <w:szCs w:val="24"/>
                <w:lang w:val="en" w:eastAsia="zh-CN" w:bidi="ar-SA"/>
              </w:rPr>
              <w:t>;</w:t>
            </w:r>
          </w:p>
        </w:tc>
        <w:tc>
          <w:tcPr>
            <w:tcW w:w="480" w:type="dxa"/>
            <w:vMerge w:val="restart"/>
            <w:noWrap w:val="0"/>
            <w:vAlign w:val="center"/>
          </w:tcPr>
          <w:p>
            <w:pPr>
              <w:pStyle w:val="19"/>
              <w:spacing w:line="440" w:lineRule="exact"/>
              <w:ind w:left="0" w:leftChars="0"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val="en-US" w:eastAsia="zh-CN"/>
              </w:rPr>
            </w:pPr>
          </w:p>
        </w:tc>
        <w:tc>
          <w:tcPr>
            <w:tcW w:w="768" w:type="dxa"/>
            <w:vMerge w:val="continue"/>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p>
        </w:tc>
        <w:tc>
          <w:tcPr>
            <w:tcW w:w="881" w:type="dxa"/>
            <w:vMerge w:val="continue"/>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4.2优于招标文件要求的部件技术参数、技术规格、技术规范、技术要求、检测报告和证书的给予逐项适当加分，标注“▲”的指标每优于一项加1分，其他项每优于一项加0.5分，总加分不得超过5分</w:t>
            </w:r>
            <w:r>
              <w:rPr>
                <w:rFonts w:hint="eastAsia" w:ascii="仿宋" w:hAnsi="仿宋" w:eastAsia="仿宋" w:cs="仿宋"/>
                <w:color w:val="auto"/>
                <w:kern w:val="0"/>
                <w:sz w:val="24"/>
                <w:szCs w:val="24"/>
                <w:lang w:val="en" w:eastAsia="zh-CN" w:bidi="ar-SA"/>
              </w:rPr>
              <w:t>;</w:t>
            </w:r>
          </w:p>
        </w:tc>
        <w:tc>
          <w:tcPr>
            <w:tcW w:w="480" w:type="dxa"/>
            <w:vMerge w:val="continue"/>
            <w:noWrap w:val="0"/>
            <w:vAlign w:val="center"/>
          </w:tcPr>
          <w:p>
            <w:pPr>
              <w:pStyle w:val="19"/>
              <w:spacing w:line="440" w:lineRule="exact"/>
              <w:ind w:left="0" w:leftChars="0" w:firstLine="0" w:firstLineChars="0"/>
              <w:jc w:val="center"/>
              <w:rPr>
                <w:rFonts w:hint="eastAsia" w:ascii="仿宋" w:hAnsi="仿宋" w:eastAsia="仿宋" w:cs="仿宋"/>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val="en-US" w:eastAsia="zh-CN"/>
              </w:rPr>
            </w:pPr>
          </w:p>
        </w:tc>
        <w:tc>
          <w:tcPr>
            <w:tcW w:w="768" w:type="dxa"/>
            <w:vMerge w:val="continue"/>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p>
        </w:tc>
        <w:tc>
          <w:tcPr>
            <w:tcW w:w="881" w:type="dxa"/>
            <w:vMerge w:val="continue"/>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4.3低于招标文件要求的部件技术参数、技术规格、技术规范、技术要求、检测报告和证书的给予逐项适当减分，标注“▲”的指标每低于一项扣2分（最多扣4分），其他每低于一项扣1分；总减分不得超过5分。</w:t>
            </w:r>
          </w:p>
        </w:tc>
        <w:tc>
          <w:tcPr>
            <w:tcW w:w="480" w:type="dxa"/>
            <w:vMerge w:val="continue"/>
            <w:noWrap w:val="0"/>
            <w:vAlign w:val="center"/>
          </w:tcPr>
          <w:p>
            <w:pPr>
              <w:pStyle w:val="19"/>
              <w:spacing w:line="440" w:lineRule="exact"/>
              <w:ind w:left="0" w:leftChars="0" w:firstLine="0" w:firstLineChars="0"/>
              <w:jc w:val="center"/>
              <w:rPr>
                <w:rFonts w:hint="eastAsia" w:ascii="仿宋" w:hAnsi="仿宋" w:eastAsia="仿宋" w:cs="仿宋"/>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noWrap w:val="0"/>
            <w:vAlign w:val="center"/>
          </w:tcPr>
          <w:p>
            <w:pPr>
              <w:pStyle w:val="19"/>
              <w:spacing w:line="440" w:lineRule="exact"/>
              <w:ind w:firstLine="0" w:firstLineChars="0"/>
              <w:jc w:val="center"/>
              <w:rPr>
                <w:rFonts w:hint="eastAsia" w:ascii="仿宋" w:hAnsi="仿宋" w:eastAsia="仿宋" w:cs="仿宋"/>
                <w:bCs/>
                <w:color w:val="auto"/>
                <w:kern w:val="0"/>
                <w:sz w:val="24"/>
                <w:szCs w:val="24"/>
                <w:lang w:val="en-US" w:eastAsia="zh-CN"/>
              </w:rPr>
            </w:pPr>
          </w:p>
        </w:tc>
        <w:tc>
          <w:tcPr>
            <w:tcW w:w="768" w:type="dxa"/>
            <w:vMerge w:val="continue"/>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p>
        </w:tc>
        <w:tc>
          <w:tcPr>
            <w:tcW w:w="881" w:type="dxa"/>
            <w:vMerge w:val="continue"/>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4.4评委根据所投产品进行整体性能评价（0-2分）。</w:t>
            </w:r>
          </w:p>
        </w:tc>
        <w:tc>
          <w:tcPr>
            <w:tcW w:w="480" w:type="dxa"/>
            <w:vMerge w:val="continue"/>
            <w:noWrap w:val="0"/>
            <w:vAlign w:val="center"/>
          </w:tcPr>
          <w:p>
            <w:pPr>
              <w:pStyle w:val="19"/>
              <w:spacing w:line="440" w:lineRule="exact"/>
              <w:ind w:left="0" w:leftChars="0" w:firstLine="0" w:firstLineChars="0"/>
              <w:jc w:val="center"/>
              <w:rPr>
                <w:rFonts w:hint="eastAsia" w:ascii="仿宋" w:hAnsi="仿宋" w:eastAsia="仿宋" w:cs="仿宋"/>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pStyle w:val="19"/>
              <w:spacing w:line="440" w:lineRule="exact"/>
              <w:ind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5</w:t>
            </w:r>
          </w:p>
        </w:tc>
        <w:tc>
          <w:tcPr>
            <w:tcW w:w="768" w:type="dxa"/>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r>
              <w:rPr>
                <w:rFonts w:hint="eastAsia" w:ascii="仿宋" w:hAnsi="仿宋" w:eastAsia="仿宋" w:cs="仿宋"/>
                <w:color w:val="auto"/>
                <w:spacing w:val="14"/>
                <w:kern w:val="0"/>
                <w:sz w:val="24"/>
                <w:szCs w:val="24"/>
                <w:lang w:eastAsia="zh-CN"/>
              </w:rPr>
              <w:t>主观</w:t>
            </w:r>
          </w:p>
        </w:tc>
        <w:tc>
          <w:tcPr>
            <w:tcW w:w="881" w:type="dxa"/>
            <w:noWrap w:val="0"/>
            <w:vAlign w:val="center"/>
          </w:tcPr>
          <w:p>
            <w:pPr>
              <w:spacing w:beforeAutospacing="0" w:afterAutospacing="0"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产品质量</w:t>
            </w:r>
          </w:p>
          <w:p>
            <w:pPr>
              <w:spacing w:beforeAutospacing="0" w:afterAutospacing="0" w:line="400" w:lineRule="exact"/>
              <w:jc w:val="center"/>
              <w:rPr>
                <w:rFonts w:hint="eastAsia" w:ascii="仿宋" w:hAnsi="仿宋" w:eastAsia="仿宋" w:cs="仿宋"/>
                <w:color w:val="auto"/>
                <w:spacing w:val="14"/>
                <w:kern w:val="0"/>
                <w:sz w:val="24"/>
                <w:szCs w:val="24"/>
                <w:lang w:eastAsia="zh-CN"/>
              </w:rPr>
            </w:pPr>
            <w:r>
              <w:rPr>
                <w:rFonts w:hint="eastAsia" w:ascii="仿宋" w:hAnsi="仿宋" w:eastAsia="仿宋" w:cs="仿宋"/>
                <w:color w:val="auto"/>
                <w:kern w:val="0"/>
                <w:sz w:val="24"/>
                <w:szCs w:val="24"/>
                <w:lang w:val="en-US" w:eastAsia="zh-CN" w:bidi="ar-SA"/>
              </w:rPr>
              <w:t>（视频演示）</w:t>
            </w: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由评审委员会根据投标单位提供的演示视频进行打分：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一、智慧黑板【视频演示】</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1）为方便教师快速调用教学工具，支持任意通道下自定义设置按键为批注、截图、倒计时、答题等，重点演示Type-c信号源下互动答题功能。（2分）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2）演示对整机下课一键锁定功能：避免学生对设备的误操作，支持老师激活码解锁、微信扫码解锁。（2分）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演示便捷管理：演示管理员通过多媒体集控平台可对安装智慧黑板教室进行巡课，巡课画面包括教室全景、设备画面；可对巡视教室发布消息、远程喊话，可查看全校智慧黑板软硬件健康值、对智慧黑板的任意磁盘分区数据还原保护、可静默安装教学所需应用软件、后台能记录管理员巡课历史。（2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二、高清壁挂展台【视频演示】 </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高清壁挂展台具备WIFI 5G和USB 2种使用模式，有线、无线模式快速切换时，无需退出展台软件，可在当前展台软件界面中实现智能识别展台状态，自动快速切换出展示画面。</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高清壁挂展台在在教学展示时可展示A3纸张，横臂下降时支持任意角度悬停，展示A4或A5幅面的纸张课件，镜头水平也可上下翻转、左右90°旋转侧向拍摄。（3分）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三、教学音箱【现场演示】 </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现场播放多媒体音乐及英语口语朗读，聆听投标产品现场扩声的音质情况；通过无线话筒扩声，感受投标产品的现场扩声音质与使用便利性；3、为方便老师不同场景使用，演示微信或钉钉小程序调节不同喇叭音量。（3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四、移动直播盒【视频演示】 </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演示教学活动或家长会直播，支持3路高清视频输入（课件PPT-HDMI信号、展台USB信号、现场摄像机HDMI信号），一键开启实时虚拟抠像，可将图片、视频及其它视频信号通道当作虚拟抠像背景。支持腾讯会议、钉钉会议音视频采集、第三方直播平台推流。（3分）</w:t>
            </w:r>
          </w:p>
        </w:tc>
        <w:tc>
          <w:tcPr>
            <w:tcW w:w="480" w:type="dxa"/>
            <w:noWrap w:val="0"/>
            <w:vAlign w:val="center"/>
          </w:tcPr>
          <w:p>
            <w:pPr>
              <w:pStyle w:val="19"/>
              <w:spacing w:line="440" w:lineRule="exact"/>
              <w:ind w:left="0" w:leftChars="0"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pStyle w:val="19"/>
              <w:spacing w:line="440" w:lineRule="exact"/>
              <w:ind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6</w:t>
            </w:r>
          </w:p>
        </w:tc>
        <w:tc>
          <w:tcPr>
            <w:tcW w:w="768" w:type="dxa"/>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r>
              <w:rPr>
                <w:rFonts w:hint="eastAsia" w:ascii="仿宋" w:hAnsi="仿宋" w:eastAsia="仿宋" w:cs="仿宋"/>
                <w:color w:val="auto"/>
                <w:spacing w:val="14"/>
                <w:kern w:val="0"/>
                <w:sz w:val="24"/>
                <w:szCs w:val="24"/>
                <w:lang w:eastAsia="zh-CN"/>
              </w:rPr>
              <w:t>客观</w:t>
            </w:r>
          </w:p>
        </w:tc>
        <w:tc>
          <w:tcPr>
            <w:tcW w:w="881" w:type="dxa"/>
            <w:noWrap w:val="0"/>
            <w:vAlign w:val="center"/>
          </w:tcPr>
          <w:p>
            <w:pPr>
              <w:spacing w:beforeAutospacing="0" w:afterAutospacing="0" w:line="400" w:lineRule="exact"/>
              <w:jc w:val="center"/>
              <w:rPr>
                <w:rFonts w:hint="eastAsia" w:ascii="宋体" w:hAnsi="宋体" w:eastAsia="宋体" w:cs="宋体"/>
                <w:color w:val="auto"/>
                <w:sz w:val="21"/>
                <w:szCs w:val="21"/>
                <w:u w:val="none"/>
              </w:rPr>
            </w:pPr>
            <w:bookmarkStart w:id="55" w:name="_GoBack"/>
            <w:r>
              <w:rPr>
                <w:rFonts w:hint="eastAsia" w:ascii="仿宋" w:hAnsi="仿宋" w:eastAsia="仿宋" w:cs="仿宋"/>
                <w:color w:val="auto"/>
                <w:spacing w:val="14"/>
                <w:kern w:val="0"/>
                <w:sz w:val="24"/>
                <w:szCs w:val="24"/>
                <w:lang w:eastAsia="zh-CN"/>
              </w:rPr>
              <w:t>项目实施人员</w:t>
            </w:r>
            <w:bookmarkEnd w:id="55"/>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项目组人员情况：投标人项目组人员配置的合理性、具有系统集成项目经理或工程师相关证书（实施成员的相关资格证书和类似项目经验）；提供弱电系统、安防系统、智慧化系统集成项目经理，每提供一个得0.5分，最高得2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投标人项目组人员提供系统集成项目管理工程师（中级以上）、通信技术工程师（中级以上）、智能建造师（二级以上）、项目安全管理员，每提供一个得0.5分，最高得2分。（需提供相关证明文件以及不少于3个月的社保证明）</w:t>
            </w:r>
          </w:p>
        </w:tc>
        <w:tc>
          <w:tcPr>
            <w:tcW w:w="480" w:type="dxa"/>
            <w:noWrap w:val="0"/>
            <w:vAlign w:val="center"/>
          </w:tcPr>
          <w:p>
            <w:pPr>
              <w:pStyle w:val="19"/>
              <w:spacing w:line="440" w:lineRule="exact"/>
              <w:ind w:left="0" w:leftChars="0"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pStyle w:val="19"/>
              <w:spacing w:line="440" w:lineRule="exact"/>
              <w:ind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7</w:t>
            </w:r>
          </w:p>
        </w:tc>
        <w:tc>
          <w:tcPr>
            <w:tcW w:w="768" w:type="dxa"/>
            <w:noWrap w:val="0"/>
            <w:vAlign w:val="center"/>
          </w:tcPr>
          <w:p>
            <w:pPr>
              <w:pStyle w:val="19"/>
              <w:spacing w:line="440" w:lineRule="exact"/>
              <w:ind w:firstLine="0" w:firstLineChars="0"/>
              <w:jc w:val="center"/>
              <w:rPr>
                <w:rFonts w:hint="eastAsia" w:ascii="仿宋" w:hAnsi="仿宋" w:eastAsia="仿宋" w:cs="仿宋"/>
                <w:color w:val="auto"/>
                <w:spacing w:val="14"/>
                <w:kern w:val="0"/>
                <w:sz w:val="24"/>
                <w:szCs w:val="24"/>
                <w:lang w:eastAsia="zh-CN"/>
              </w:rPr>
            </w:pPr>
            <w:r>
              <w:rPr>
                <w:rFonts w:hint="eastAsia" w:ascii="仿宋" w:hAnsi="仿宋" w:eastAsia="仿宋" w:cs="仿宋"/>
                <w:color w:val="auto"/>
                <w:spacing w:val="14"/>
                <w:kern w:val="0"/>
                <w:sz w:val="24"/>
                <w:szCs w:val="24"/>
                <w:lang w:eastAsia="zh-CN"/>
              </w:rPr>
              <w:t>客观</w:t>
            </w:r>
          </w:p>
        </w:tc>
        <w:tc>
          <w:tcPr>
            <w:tcW w:w="881" w:type="dxa"/>
            <w:noWrap w:val="0"/>
            <w:vAlign w:val="center"/>
          </w:tcPr>
          <w:p>
            <w:pPr>
              <w:spacing w:beforeAutospacing="0" w:afterAutospacing="0" w:line="400" w:lineRule="exact"/>
              <w:jc w:val="center"/>
              <w:rPr>
                <w:rFonts w:hint="eastAsia" w:ascii="宋体" w:hAnsi="宋体" w:eastAsia="宋体" w:cs="宋体"/>
                <w:color w:val="auto"/>
                <w:sz w:val="21"/>
                <w:szCs w:val="21"/>
                <w:u w:val="none"/>
                <w:lang w:eastAsia="zh-CN"/>
              </w:rPr>
            </w:pPr>
            <w:r>
              <w:rPr>
                <w:rFonts w:hint="eastAsia" w:ascii="仿宋" w:hAnsi="仿宋" w:eastAsia="仿宋" w:cs="仿宋"/>
                <w:color w:val="auto"/>
                <w:kern w:val="0"/>
                <w:sz w:val="24"/>
                <w:szCs w:val="24"/>
                <w:lang w:val="en-US" w:eastAsia="zh-CN" w:bidi="ar-SA"/>
              </w:rPr>
              <w:t>投标产品资质</w:t>
            </w: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投标产品（教学软件、学生综合素质管理系统、校园设备运维管理系统、教学教研平台）软件具备公安部门出具的信息系统安全等级：二级认证或以上证书供证明文件，每提供一个得0.5分，满分2分。（提供相关证明材料扫描件）</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2．所投产品制造商须具备有效的CCRC信息安全服务资质（业务种类：信息安全应急处理）资质证书 2分；（提供相关证明材料扫描件）</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3．为确保后期建设的规范对接，保证建设的兼容性、前瞻性，智慧黑板产品制造商参与制定《多媒体教学工程环境建设规范》的得 2分；（提供相关证明材料扫描件）</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4．为确保教育数据托付管理能力、存储能力及信息安全能力，所投产品研发商通过GB/T36073-2018《数据管理能力成熟度评估模型》认定，得2分；（提供证书及官网截图复印件）</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5.所投产品的厂商具有ISO 27701隐私信息管理体系认证证书，提供证书且能在“国家认证认可监督管理委员会官网”查询并提供查询结果界面截图得2分；</w:t>
            </w:r>
          </w:p>
        </w:tc>
        <w:tc>
          <w:tcPr>
            <w:tcW w:w="480" w:type="dxa"/>
            <w:noWrap w:val="0"/>
            <w:vAlign w:val="center"/>
          </w:tcPr>
          <w:p>
            <w:pPr>
              <w:pStyle w:val="19"/>
              <w:spacing w:line="440" w:lineRule="exact"/>
              <w:ind w:left="0" w:leftChars="0"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restart"/>
            <w:noWrap w:val="0"/>
            <w:vAlign w:val="center"/>
          </w:tcPr>
          <w:p>
            <w:pPr>
              <w:pStyle w:val="19"/>
              <w:spacing w:line="400" w:lineRule="exact"/>
              <w:ind w:left="0" w:leftChars="0" w:firstLine="0" w:firstLineChars="0"/>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w:t>
            </w:r>
          </w:p>
        </w:tc>
        <w:tc>
          <w:tcPr>
            <w:tcW w:w="768" w:type="dxa"/>
            <w:vMerge w:val="restart"/>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主观</w:t>
            </w:r>
          </w:p>
        </w:tc>
        <w:tc>
          <w:tcPr>
            <w:tcW w:w="881" w:type="dxa"/>
            <w:vMerge w:val="restart"/>
            <w:noWrap w:val="0"/>
            <w:vAlign w:val="center"/>
          </w:tcPr>
          <w:p>
            <w:pPr>
              <w:pStyle w:val="19"/>
              <w:spacing w:line="400" w:lineRule="exact"/>
              <w:ind w:left="0" w:leftChars="0"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售后服务</w:t>
            </w: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评委根据供应商提供的售后服务方案（如培训体系及培训方案、服务体系、服务内容、故障解决方案）进行评分，售后服务方案完整，针对性强，可操作性强的得3-4分；售后服务方案较完整，针对性较强，可操作性较强的得2-3分；售后服务方案基本完整，针对性较弱，可操作性较弱的得0-1分。不提供不得分。</w:t>
            </w:r>
          </w:p>
        </w:tc>
        <w:tc>
          <w:tcPr>
            <w:tcW w:w="480" w:type="dxa"/>
            <w:vMerge w:val="restart"/>
            <w:noWrap w:val="0"/>
            <w:vAlign w:val="center"/>
          </w:tcPr>
          <w:p>
            <w:pPr>
              <w:pStyle w:val="19"/>
              <w:spacing w:line="400" w:lineRule="exact"/>
              <w:ind w:left="0" w:leftChars="0" w:firstLine="0" w:firstLineChars="0"/>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tc>
        <w:tc>
          <w:tcPr>
            <w:tcW w:w="768" w:type="dxa"/>
            <w:vMerge w:val="continue"/>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tc>
        <w:tc>
          <w:tcPr>
            <w:tcW w:w="881" w:type="dxa"/>
            <w:vMerge w:val="continue"/>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2、售后维修响应时间：接到招标人或使用单位报修通知（电话、电传等）后</w:t>
            </w:r>
            <w:r>
              <w:rPr>
                <w:rFonts w:hint="default" w:ascii="仿宋" w:hAnsi="仿宋" w:eastAsia="仿宋" w:cs="仿宋"/>
                <w:color w:val="auto"/>
                <w:kern w:val="0"/>
                <w:sz w:val="24"/>
                <w:szCs w:val="24"/>
                <w:lang w:val="en" w:eastAsia="zh-CN" w:bidi="ar-SA"/>
              </w:rPr>
              <w:t>3</w:t>
            </w:r>
            <w:r>
              <w:rPr>
                <w:rFonts w:hint="eastAsia" w:ascii="仿宋" w:hAnsi="仿宋" w:eastAsia="仿宋" w:cs="仿宋"/>
                <w:color w:val="auto"/>
                <w:kern w:val="0"/>
                <w:sz w:val="24"/>
                <w:szCs w:val="24"/>
                <w:lang w:val="en-US" w:eastAsia="zh-CN" w:bidi="ar-SA"/>
              </w:rPr>
              <w:t>小时现场响应不得分，每减少半小时加0.5分，最高得1分，扣完为止。</w:t>
            </w:r>
          </w:p>
        </w:tc>
        <w:tc>
          <w:tcPr>
            <w:tcW w:w="480" w:type="dxa"/>
            <w:vMerge w:val="continue"/>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tc>
        <w:tc>
          <w:tcPr>
            <w:tcW w:w="768" w:type="dxa"/>
            <w:vMerge w:val="continue"/>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tc>
        <w:tc>
          <w:tcPr>
            <w:tcW w:w="881" w:type="dxa"/>
            <w:vMerge w:val="continue"/>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3、根据备品备件条件承诺酌情打分，最高得1分。</w:t>
            </w:r>
          </w:p>
        </w:tc>
        <w:tc>
          <w:tcPr>
            <w:tcW w:w="480" w:type="dxa"/>
            <w:vMerge w:val="continue"/>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tc>
        <w:tc>
          <w:tcPr>
            <w:tcW w:w="768"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客观</w:t>
            </w:r>
          </w:p>
        </w:tc>
        <w:tc>
          <w:tcPr>
            <w:tcW w:w="881" w:type="dxa"/>
            <w:vMerge w:val="continue"/>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4、整体3年质保期满足招标文件规定的不得分，整体质保期每增加1年加1分,最高加2分。</w:t>
            </w:r>
            <w:r>
              <w:rPr>
                <w:rFonts w:hint="eastAsia" w:ascii="仿宋" w:hAnsi="仿宋" w:eastAsia="仿宋" w:cs="仿宋"/>
                <w:b/>
                <w:bCs/>
                <w:color w:val="auto"/>
                <w:kern w:val="0"/>
                <w:sz w:val="24"/>
                <w:szCs w:val="24"/>
                <w:lang w:val="en-US" w:eastAsia="zh-CN" w:bidi="ar-SA"/>
              </w:rPr>
              <w:t>投标单位承诺的整体质保期不足3年的按无效投标处理。</w:t>
            </w:r>
          </w:p>
        </w:tc>
        <w:tc>
          <w:tcPr>
            <w:tcW w:w="480" w:type="dxa"/>
            <w:vMerge w:val="continue"/>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pPr>
              <w:pStyle w:val="19"/>
              <w:spacing w:line="400" w:lineRule="exact"/>
              <w:ind w:left="0" w:leftChars="0" w:firstLine="0" w:firstLineChars="0"/>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w:t>
            </w:r>
          </w:p>
        </w:tc>
        <w:tc>
          <w:tcPr>
            <w:tcW w:w="768" w:type="dxa"/>
            <w:noWrap w:val="0"/>
            <w:vAlign w:val="center"/>
          </w:tcPr>
          <w:p>
            <w:pPr>
              <w:pStyle w:val="19"/>
              <w:spacing w:line="400" w:lineRule="exact"/>
              <w:ind w:left="0" w:leftChars="0"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政策分</w:t>
            </w:r>
          </w:p>
        </w:tc>
        <w:tc>
          <w:tcPr>
            <w:tcW w:w="881" w:type="dxa"/>
            <w:noWrap w:val="0"/>
            <w:vAlign w:val="center"/>
          </w:tcPr>
          <w:p>
            <w:pPr>
              <w:pStyle w:val="19"/>
              <w:spacing w:line="400" w:lineRule="exact"/>
              <w:ind w:left="0" w:leftChars="0"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节能环保</w:t>
            </w:r>
          </w:p>
        </w:tc>
        <w:tc>
          <w:tcPr>
            <w:tcW w:w="6430" w:type="dxa"/>
            <w:noWrap w:val="0"/>
            <w:vAlign w:val="center"/>
          </w:tcPr>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1、所投产品具有节能产品认证证书的，得1分；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2、所投产品具有环境标志产品认证证书的，得1分。</w:t>
            </w:r>
          </w:p>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须提供国家确定的认证机构出具的、处于有效期之内的认证证书扫描件，或者提供查询网址及查询截图。</w:t>
            </w:r>
          </w:p>
        </w:tc>
        <w:tc>
          <w:tcPr>
            <w:tcW w:w="480" w:type="dxa"/>
            <w:noWrap w:val="0"/>
            <w:vAlign w:val="center"/>
          </w:tcPr>
          <w:p>
            <w:pPr>
              <w:pStyle w:val="19"/>
              <w:spacing w:line="400" w:lineRule="exact"/>
              <w:ind w:left="0" w:leftChars="0" w:firstLine="0" w:firstLineChars="0"/>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w:t>
            </w:r>
          </w:p>
        </w:tc>
      </w:tr>
    </w:tbl>
    <w:p>
      <w:pPr>
        <w:pStyle w:val="19"/>
        <w:spacing w:line="400" w:lineRule="exact"/>
        <w:ind w:left="0" w:leftChars="0" w:firstLine="0" w:firstLineChars="0"/>
        <w:jc w:val="left"/>
        <w:rPr>
          <w:rFonts w:hint="eastAsia" w:ascii="仿宋" w:hAnsi="仿宋" w:eastAsia="仿宋" w:cs="仿宋"/>
          <w:color w:val="auto"/>
          <w:kern w:val="0"/>
          <w:sz w:val="24"/>
          <w:szCs w:val="24"/>
          <w:lang w:val="en-US" w:eastAsia="zh-CN" w:bidi="ar-SA"/>
        </w:rPr>
      </w:pPr>
    </w:p>
    <w:p>
      <w:pPr>
        <w:spacing w:line="440" w:lineRule="exact"/>
        <w:ind w:firstLine="551" w:firstLineChars="196"/>
        <w:rPr>
          <w:rFonts w:ascii="仿宋" w:hAnsi="仿宋" w:eastAsia="仿宋"/>
          <w:b/>
          <w:bCs/>
          <w:color w:val="auto"/>
          <w:sz w:val="28"/>
          <w:szCs w:val="28"/>
        </w:rPr>
      </w:pPr>
      <w:r>
        <w:rPr>
          <w:rFonts w:hint="eastAsia" w:ascii="仿宋" w:hAnsi="仿宋" w:eastAsia="仿宋"/>
          <w:b/>
          <w:bCs/>
          <w:color w:val="auto"/>
          <w:sz w:val="28"/>
          <w:szCs w:val="28"/>
        </w:rPr>
        <w:t>价格部分、商务技术部分各项得分保留小数点后二位小数，第三位四舍五入。</w:t>
      </w:r>
    </w:p>
    <w:p>
      <w:pPr>
        <w:spacing w:line="440" w:lineRule="exact"/>
        <w:rPr>
          <w:rFonts w:ascii="仿宋" w:hAnsi="仿宋" w:eastAsia="仿宋"/>
          <w:b/>
          <w:bCs/>
          <w:color w:val="auto"/>
          <w:spacing w:val="14"/>
          <w:sz w:val="28"/>
          <w:szCs w:val="28"/>
        </w:rPr>
      </w:pPr>
      <w:r>
        <w:rPr>
          <w:rFonts w:hint="eastAsia" w:ascii="仿宋" w:hAnsi="仿宋" w:eastAsia="仿宋"/>
          <w:b/>
          <w:bCs/>
          <w:color w:val="auto"/>
          <w:spacing w:val="14"/>
          <w:sz w:val="28"/>
          <w:szCs w:val="28"/>
        </w:rPr>
        <w:t>5.评标程序与方法</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5.1对通过资格性检查的投标人进行</w:t>
      </w:r>
      <w:r>
        <w:rPr>
          <w:rFonts w:hint="eastAsia" w:ascii="仿宋" w:hAnsi="仿宋" w:eastAsia="仿宋"/>
          <w:bCs/>
          <w:color w:val="auto"/>
          <w:sz w:val="28"/>
          <w:szCs w:val="28"/>
        </w:rPr>
        <w:t>符合性</w:t>
      </w:r>
      <w:r>
        <w:rPr>
          <w:rFonts w:hint="eastAsia" w:ascii="仿宋" w:hAnsi="仿宋" w:eastAsia="仿宋"/>
          <w:color w:val="auto"/>
          <w:sz w:val="28"/>
          <w:szCs w:val="28"/>
        </w:rPr>
        <w:t>检查。依据招标文件的规定，从投标文件的有效性、完整性和对招标文件的响应程度进行审查，以确定是否对招标文件的实质性要求做出响应。</w:t>
      </w:r>
    </w:p>
    <w:p>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ascii="仿宋" w:hAnsi="仿宋" w:eastAsia="仿宋"/>
          <w:color w:val="auto"/>
          <w:spacing w:val="-4"/>
          <w:sz w:val="28"/>
          <w:szCs w:val="28"/>
        </w:rPr>
      </w:pPr>
      <w:r>
        <w:rPr>
          <w:rFonts w:hint="eastAsia" w:ascii="仿宋" w:hAnsi="仿宋" w:eastAsia="仿宋"/>
          <w:color w:val="auto"/>
          <w:sz w:val="28"/>
          <w:szCs w:val="28"/>
        </w:rPr>
        <w:t>5.3</w:t>
      </w:r>
      <w:r>
        <w:rPr>
          <w:rFonts w:hint="eastAsia" w:ascii="仿宋" w:hAnsi="仿宋" w:eastAsia="仿宋"/>
          <w:color w:val="auto"/>
          <w:spacing w:val="-4"/>
          <w:sz w:val="28"/>
          <w:szCs w:val="28"/>
        </w:rPr>
        <w:t>比较与评价。评标委员会按上述规定的评标内容和标准，对资格性检查和符合性检查合格的投标文件进行综合比较与独立评分。</w:t>
      </w:r>
    </w:p>
    <w:p>
      <w:pPr>
        <w:spacing w:line="440" w:lineRule="exact"/>
        <w:ind w:firstLine="600"/>
        <w:rPr>
          <w:rFonts w:ascii="仿宋" w:hAnsi="仿宋" w:eastAsia="仿宋"/>
          <w:color w:val="auto"/>
          <w:sz w:val="28"/>
          <w:szCs w:val="28"/>
        </w:rPr>
      </w:pPr>
      <w:r>
        <w:rPr>
          <w:rFonts w:hint="eastAsia" w:ascii="仿宋" w:hAnsi="仿宋" w:eastAsia="仿宋"/>
          <w:color w:val="auto"/>
          <w:sz w:val="28"/>
          <w:szCs w:val="28"/>
        </w:rPr>
        <w:t>5.4推荐中标候选供应商名单。按各评委评出的最终得分由</w:t>
      </w:r>
      <w:r>
        <w:rPr>
          <w:rFonts w:ascii="仿宋" w:hAnsi="仿宋" w:eastAsia="仿宋"/>
          <w:color w:val="auto"/>
          <w:sz w:val="28"/>
          <w:szCs w:val="28"/>
        </w:rPr>
        <w:t>高</w:t>
      </w:r>
      <w:r>
        <w:rPr>
          <w:rFonts w:hint="eastAsia" w:ascii="仿宋" w:hAnsi="仿宋" w:eastAsia="仿宋"/>
          <w:color w:val="auto"/>
          <w:sz w:val="28"/>
          <w:szCs w:val="28"/>
        </w:rPr>
        <w:t>到低顺序排列，推荐1名</w:t>
      </w:r>
      <w:r>
        <w:rPr>
          <w:rFonts w:ascii="仿宋" w:hAnsi="仿宋" w:eastAsia="仿宋"/>
          <w:color w:val="auto"/>
          <w:sz w:val="28"/>
          <w:szCs w:val="28"/>
        </w:rPr>
        <w:t>中标</w:t>
      </w:r>
      <w:r>
        <w:rPr>
          <w:rFonts w:hint="eastAsia" w:ascii="仿宋" w:hAnsi="仿宋" w:eastAsia="仿宋"/>
          <w:color w:val="auto"/>
          <w:sz w:val="28"/>
          <w:szCs w:val="28"/>
        </w:rPr>
        <w:t>候选供应商（如最终得分相同的，按投标报价由低到高顺序排列;最终得分且投标报价相同的，按技术指标优劣顺序排列）。</w:t>
      </w:r>
    </w:p>
    <w:p>
      <w:pPr>
        <w:spacing w:line="440" w:lineRule="exact"/>
        <w:rPr>
          <w:rFonts w:ascii="仿宋" w:hAnsi="仿宋" w:eastAsia="仿宋"/>
          <w:b/>
          <w:bCs/>
          <w:color w:val="auto"/>
          <w:sz w:val="28"/>
          <w:szCs w:val="28"/>
        </w:rPr>
      </w:pPr>
      <w:r>
        <w:rPr>
          <w:rFonts w:hint="eastAsia" w:ascii="仿宋" w:hAnsi="仿宋" w:eastAsia="仿宋"/>
          <w:b/>
          <w:bCs/>
          <w:color w:val="auto"/>
          <w:sz w:val="28"/>
          <w:szCs w:val="28"/>
        </w:rPr>
        <w:t>6.监督管理</w:t>
      </w:r>
    </w:p>
    <w:p>
      <w:pPr>
        <w:spacing w:line="500" w:lineRule="exact"/>
        <w:ind w:firstLine="560" w:firstLineChars="200"/>
        <w:rPr>
          <w:rFonts w:ascii="仿宋" w:hAnsi="仿宋" w:eastAsia="仿宋"/>
          <w:color w:val="auto"/>
        </w:rPr>
      </w:pPr>
      <w:r>
        <w:rPr>
          <w:rFonts w:hint="eastAsia" w:ascii="仿宋" w:hAnsi="仿宋" w:eastAsia="仿宋"/>
          <w:color w:val="auto"/>
          <w:sz w:val="28"/>
          <w:szCs w:val="28"/>
        </w:rPr>
        <w:t>本项目在</w:t>
      </w:r>
      <w:r>
        <w:rPr>
          <w:rFonts w:hint="eastAsia" w:ascii="仿宋" w:hAnsi="仿宋" w:eastAsia="仿宋"/>
          <w:color w:val="auto"/>
          <w:sz w:val="28"/>
          <w:szCs w:val="28"/>
          <w:lang w:eastAsia="zh-CN"/>
        </w:rPr>
        <w:t>湖州市财政局</w:t>
      </w:r>
      <w:r>
        <w:rPr>
          <w:rFonts w:hint="eastAsia" w:ascii="仿宋" w:hAnsi="仿宋" w:eastAsia="仿宋"/>
          <w:color w:val="auto"/>
          <w:sz w:val="28"/>
          <w:szCs w:val="28"/>
        </w:rPr>
        <w:t>监督下进行。</w:t>
      </w:r>
    </w:p>
    <w:p>
      <w:pPr>
        <w:spacing w:line="500" w:lineRule="exact"/>
        <w:ind w:firstLine="420" w:firstLineChars="200"/>
        <w:rPr>
          <w:rFonts w:ascii="仿宋" w:hAnsi="仿宋" w:eastAsia="仿宋"/>
          <w:color w:val="auto"/>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63</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21"/>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28</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63</w:t>
            </w:r>
            <w:r>
              <w:rPr>
                <w:bCs/>
              </w:rPr>
              <w:fldChar w:fldCharType="end"/>
            </w:r>
            <w:r>
              <w:rPr>
                <w:rFonts w:hint="eastAsia"/>
                <w:bCs/>
              </w:rPr>
              <w:t xml:space="preserve"> 页</w:t>
            </w:r>
          </w:p>
        </w:sdtContent>
      </w:sdt>
    </w:sdtContent>
  </w:sdt>
  <w:p>
    <w:pPr>
      <w:pStyle w:val="2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r>
      <w:fldChar w:fldCharType="begin"/>
    </w:r>
    <w:r>
      <w:rPr>
        <w:rStyle w:val="36"/>
      </w:rPr>
      <w:instrText xml:space="preserve">PAGE  </w:instrText>
    </w:r>
    <w:r>
      <w:fldChar w:fldCharType="end"/>
    </w:r>
  </w:p>
  <w:p>
    <w:pPr>
      <w:pStyle w:val="2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CD371"/>
    <w:multiLevelType w:val="singleLevel"/>
    <w:tmpl w:val="962CD371"/>
    <w:lvl w:ilvl="0" w:tentative="0">
      <w:start w:val="1"/>
      <w:numFmt w:val="chineseCounting"/>
      <w:suff w:val="nothing"/>
      <w:lvlText w:val="%1、"/>
      <w:lvlJc w:val="left"/>
      <w:rPr>
        <w:rFonts w:hint="eastAsia"/>
      </w:rPr>
    </w:lvl>
  </w:abstractNum>
  <w:abstractNum w:abstractNumId="1">
    <w:nsid w:val="B0E51C8A"/>
    <w:multiLevelType w:val="singleLevel"/>
    <w:tmpl w:val="B0E51C8A"/>
    <w:lvl w:ilvl="0" w:tentative="0">
      <w:start w:val="1"/>
      <w:numFmt w:val="chineseCounting"/>
      <w:suff w:val="nothing"/>
      <w:lvlText w:val="%1、"/>
      <w:lvlJc w:val="left"/>
      <w:rPr>
        <w:rFonts w:hint="eastAsia"/>
      </w:rPr>
    </w:lvl>
  </w:abstractNum>
  <w:abstractNum w:abstractNumId="2">
    <w:nsid w:val="1222D93A"/>
    <w:multiLevelType w:val="singleLevel"/>
    <w:tmpl w:val="1222D93A"/>
    <w:lvl w:ilvl="0" w:tentative="0">
      <w:start w:val="1"/>
      <w:numFmt w:val="chineseCounting"/>
      <w:suff w:val="nothing"/>
      <w:lvlText w:val="%1、"/>
      <w:lvlJc w:val="left"/>
      <w:rPr>
        <w:rFonts w:hint="eastAsia"/>
      </w:rPr>
    </w:lvl>
  </w:abstractNum>
  <w:abstractNum w:abstractNumId="3">
    <w:nsid w:val="2F15E7FA"/>
    <w:multiLevelType w:val="singleLevel"/>
    <w:tmpl w:val="2F15E7FA"/>
    <w:lvl w:ilvl="0" w:tentative="0">
      <w:start w:val="1"/>
      <w:numFmt w:val="chineseCounting"/>
      <w:suff w:val="nothing"/>
      <w:lvlText w:val="%1、"/>
      <w:lvlJc w:val="left"/>
      <w:rPr>
        <w:rFonts w:hint="eastAsia"/>
      </w:rPr>
    </w:lvl>
  </w:abstractNum>
  <w:abstractNum w:abstractNumId="4">
    <w:nsid w:val="3C427F6B"/>
    <w:multiLevelType w:val="singleLevel"/>
    <w:tmpl w:val="3C427F6B"/>
    <w:lvl w:ilvl="0" w:tentative="0">
      <w:start w:val="1"/>
      <w:numFmt w:val="chineseCounting"/>
      <w:suff w:val="nothing"/>
      <w:lvlText w:val="%1、"/>
      <w:lvlJc w:val="left"/>
      <w:rPr>
        <w:rFonts w:hint="eastAsia"/>
      </w:rPr>
    </w:lvl>
  </w:abstractNum>
  <w:abstractNum w:abstractNumId="5">
    <w:nsid w:val="4EB36067"/>
    <w:multiLevelType w:val="multilevel"/>
    <w:tmpl w:val="4EB36067"/>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pStyle w:val="5"/>
      <w:isLgl/>
      <w:suff w:val="space"/>
      <w:lvlText w:val="%1.%2.%3"/>
      <w:lvlJc w:val="left"/>
      <w:pPr>
        <w:ind w:left="851"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113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6">
    <w:nsid w:val="550578EE"/>
    <w:multiLevelType w:val="singleLevel"/>
    <w:tmpl w:val="550578EE"/>
    <w:lvl w:ilvl="0" w:tentative="0">
      <w:start w:val="1"/>
      <w:numFmt w:val="decimal"/>
      <w:lvlText w:val="%1."/>
      <w:lvlJc w:val="left"/>
      <w:pPr>
        <w:tabs>
          <w:tab w:val="left" w:pos="312"/>
        </w:tabs>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OTE1NjAyMzNjOTI4NDg1YmZjMjRhMzM0ZmVkNzQifQ=="/>
  </w:docVars>
  <w:rsids>
    <w:rsidRoot w:val="00172A27"/>
    <w:rsid w:val="00000A61"/>
    <w:rsid w:val="00000E8C"/>
    <w:rsid w:val="00001CC3"/>
    <w:rsid w:val="00004C58"/>
    <w:rsid w:val="0000575F"/>
    <w:rsid w:val="00005A44"/>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CBC"/>
    <w:rsid w:val="0004066C"/>
    <w:rsid w:val="000425DC"/>
    <w:rsid w:val="00044E45"/>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47A2"/>
    <w:rsid w:val="00065CA6"/>
    <w:rsid w:val="00065DBE"/>
    <w:rsid w:val="00066E83"/>
    <w:rsid w:val="0006757E"/>
    <w:rsid w:val="00071054"/>
    <w:rsid w:val="00072DDE"/>
    <w:rsid w:val="000730C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593B"/>
    <w:rsid w:val="000B7966"/>
    <w:rsid w:val="000C13AA"/>
    <w:rsid w:val="000C150C"/>
    <w:rsid w:val="000C203F"/>
    <w:rsid w:val="000C3C20"/>
    <w:rsid w:val="000C4C55"/>
    <w:rsid w:val="000C5310"/>
    <w:rsid w:val="000C5D02"/>
    <w:rsid w:val="000C6CAC"/>
    <w:rsid w:val="000D0B69"/>
    <w:rsid w:val="000D3084"/>
    <w:rsid w:val="000D3258"/>
    <w:rsid w:val="000D3B78"/>
    <w:rsid w:val="000D454E"/>
    <w:rsid w:val="000D59B9"/>
    <w:rsid w:val="000D6A2E"/>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2001C"/>
    <w:rsid w:val="0012089D"/>
    <w:rsid w:val="00120F80"/>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46BD"/>
    <w:rsid w:val="00136677"/>
    <w:rsid w:val="0013744B"/>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9E6"/>
    <w:rsid w:val="0017290F"/>
    <w:rsid w:val="00172A27"/>
    <w:rsid w:val="0017439E"/>
    <w:rsid w:val="001753BE"/>
    <w:rsid w:val="00180761"/>
    <w:rsid w:val="001812F9"/>
    <w:rsid w:val="00184B13"/>
    <w:rsid w:val="00186799"/>
    <w:rsid w:val="001870EA"/>
    <w:rsid w:val="0018782E"/>
    <w:rsid w:val="001929B7"/>
    <w:rsid w:val="00192F52"/>
    <w:rsid w:val="0019405C"/>
    <w:rsid w:val="00194422"/>
    <w:rsid w:val="00194E3B"/>
    <w:rsid w:val="00196507"/>
    <w:rsid w:val="0019657E"/>
    <w:rsid w:val="001965C1"/>
    <w:rsid w:val="001977B5"/>
    <w:rsid w:val="001A03C5"/>
    <w:rsid w:val="001A1145"/>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5D75"/>
    <w:rsid w:val="001C6E8B"/>
    <w:rsid w:val="001D07FD"/>
    <w:rsid w:val="001D095E"/>
    <w:rsid w:val="001D1C12"/>
    <w:rsid w:val="001D1D47"/>
    <w:rsid w:val="001D3BA7"/>
    <w:rsid w:val="001D41A7"/>
    <w:rsid w:val="001D5291"/>
    <w:rsid w:val="001D6A24"/>
    <w:rsid w:val="001D6A78"/>
    <w:rsid w:val="001D6CBC"/>
    <w:rsid w:val="001D748B"/>
    <w:rsid w:val="001D7EB2"/>
    <w:rsid w:val="001E1124"/>
    <w:rsid w:val="001E1FE1"/>
    <w:rsid w:val="001E3272"/>
    <w:rsid w:val="001E3E19"/>
    <w:rsid w:val="001E4340"/>
    <w:rsid w:val="001E5DED"/>
    <w:rsid w:val="001E7B2C"/>
    <w:rsid w:val="001F2002"/>
    <w:rsid w:val="001F47FF"/>
    <w:rsid w:val="001F4AC5"/>
    <w:rsid w:val="001F52B2"/>
    <w:rsid w:val="001F63CB"/>
    <w:rsid w:val="001F6662"/>
    <w:rsid w:val="001F73C4"/>
    <w:rsid w:val="002006CE"/>
    <w:rsid w:val="002037A2"/>
    <w:rsid w:val="00203BB8"/>
    <w:rsid w:val="002046AC"/>
    <w:rsid w:val="00206677"/>
    <w:rsid w:val="002069B6"/>
    <w:rsid w:val="00206F73"/>
    <w:rsid w:val="0020731E"/>
    <w:rsid w:val="0020739C"/>
    <w:rsid w:val="0020767E"/>
    <w:rsid w:val="002079FB"/>
    <w:rsid w:val="002107D5"/>
    <w:rsid w:val="00211320"/>
    <w:rsid w:val="002117FF"/>
    <w:rsid w:val="00212A8E"/>
    <w:rsid w:val="00214C4D"/>
    <w:rsid w:val="00216870"/>
    <w:rsid w:val="002206B7"/>
    <w:rsid w:val="0022179C"/>
    <w:rsid w:val="00223114"/>
    <w:rsid w:val="00226CF6"/>
    <w:rsid w:val="00227546"/>
    <w:rsid w:val="00233E1C"/>
    <w:rsid w:val="00233F78"/>
    <w:rsid w:val="00234CE4"/>
    <w:rsid w:val="0023642F"/>
    <w:rsid w:val="00236F01"/>
    <w:rsid w:val="00240CC1"/>
    <w:rsid w:val="00242127"/>
    <w:rsid w:val="00243A08"/>
    <w:rsid w:val="002459E6"/>
    <w:rsid w:val="00245BA7"/>
    <w:rsid w:val="00246AC8"/>
    <w:rsid w:val="00246D47"/>
    <w:rsid w:val="00251444"/>
    <w:rsid w:val="002519C5"/>
    <w:rsid w:val="00252279"/>
    <w:rsid w:val="002522DC"/>
    <w:rsid w:val="00253FDD"/>
    <w:rsid w:val="00254AA2"/>
    <w:rsid w:val="002553CF"/>
    <w:rsid w:val="00255DC8"/>
    <w:rsid w:val="0026068E"/>
    <w:rsid w:val="00261BC1"/>
    <w:rsid w:val="00262506"/>
    <w:rsid w:val="00262827"/>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2BFB"/>
    <w:rsid w:val="00283E8A"/>
    <w:rsid w:val="00285638"/>
    <w:rsid w:val="00286859"/>
    <w:rsid w:val="00287C79"/>
    <w:rsid w:val="00290489"/>
    <w:rsid w:val="002911E5"/>
    <w:rsid w:val="002913D9"/>
    <w:rsid w:val="002919BD"/>
    <w:rsid w:val="002931AC"/>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2A33"/>
    <w:rsid w:val="002D39F0"/>
    <w:rsid w:val="002D3C57"/>
    <w:rsid w:val="002D3EC4"/>
    <w:rsid w:val="002D43F5"/>
    <w:rsid w:val="002D57FD"/>
    <w:rsid w:val="002D630A"/>
    <w:rsid w:val="002D6599"/>
    <w:rsid w:val="002E0535"/>
    <w:rsid w:val="002E0719"/>
    <w:rsid w:val="002E2747"/>
    <w:rsid w:val="002F0D70"/>
    <w:rsid w:val="002F129C"/>
    <w:rsid w:val="002F1621"/>
    <w:rsid w:val="002F2CF6"/>
    <w:rsid w:val="002F4161"/>
    <w:rsid w:val="002F4B1A"/>
    <w:rsid w:val="002F583C"/>
    <w:rsid w:val="002F76E9"/>
    <w:rsid w:val="003007FA"/>
    <w:rsid w:val="0030167C"/>
    <w:rsid w:val="00302294"/>
    <w:rsid w:val="00302483"/>
    <w:rsid w:val="00302609"/>
    <w:rsid w:val="00303091"/>
    <w:rsid w:val="00303C7E"/>
    <w:rsid w:val="0030545C"/>
    <w:rsid w:val="00306366"/>
    <w:rsid w:val="00306A54"/>
    <w:rsid w:val="00310FDC"/>
    <w:rsid w:val="003118D1"/>
    <w:rsid w:val="003121BA"/>
    <w:rsid w:val="00313767"/>
    <w:rsid w:val="003143B9"/>
    <w:rsid w:val="00315E96"/>
    <w:rsid w:val="00316638"/>
    <w:rsid w:val="003168D9"/>
    <w:rsid w:val="00317B3D"/>
    <w:rsid w:val="00320FC8"/>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6005"/>
    <w:rsid w:val="003466BD"/>
    <w:rsid w:val="00346A37"/>
    <w:rsid w:val="00347779"/>
    <w:rsid w:val="00354BF8"/>
    <w:rsid w:val="00355592"/>
    <w:rsid w:val="0035677A"/>
    <w:rsid w:val="0035697D"/>
    <w:rsid w:val="00356CAB"/>
    <w:rsid w:val="00356CCC"/>
    <w:rsid w:val="00356F16"/>
    <w:rsid w:val="00361172"/>
    <w:rsid w:val="00361894"/>
    <w:rsid w:val="00363A36"/>
    <w:rsid w:val="003643EA"/>
    <w:rsid w:val="00364940"/>
    <w:rsid w:val="00364A01"/>
    <w:rsid w:val="00364CF4"/>
    <w:rsid w:val="00372082"/>
    <w:rsid w:val="003728C7"/>
    <w:rsid w:val="003733D8"/>
    <w:rsid w:val="00373F8E"/>
    <w:rsid w:val="003748AB"/>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6AC8"/>
    <w:rsid w:val="003A6D34"/>
    <w:rsid w:val="003A7512"/>
    <w:rsid w:val="003B2383"/>
    <w:rsid w:val="003B2570"/>
    <w:rsid w:val="003B2972"/>
    <w:rsid w:val="003B2D91"/>
    <w:rsid w:val="003B4E90"/>
    <w:rsid w:val="003B63B4"/>
    <w:rsid w:val="003B7539"/>
    <w:rsid w:val="003C045C"/>
    <w:rsid w:val="003C0898"/>
    <w:rsid w:val="003C0B88"/>
    <w:rsid w:val="003C165E"/>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703A"/>
    <w:rsid w:val="003E11CD"/>
    <w:rsid w:val="003E380F"/>
    <w:rsid w:val="003E4555"/>
    <w:rsid w:val="003E6F3F"/>
    <w:rsid w:val="003F1572"/>
    <w:rsid w:val="003F321F"/>
    <w:rsid w:val="003F33EC"/>
    <w:rsid w:val="003F38B8"/>
    <w:rsid w:val="003F395F"/>
    <w:rsid w:val="003F3998"/>
    <w:rsid w:val="003F4EAD"/>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60101"/>
    <w:rsid w:val="00460BF1"/>
    <w:rsid w:val="00462455"/>
    <w:rsid w:val="00462637"/>
    <w:rsid w:val="0046321D"/>
    <w:rsid w:val="00463236"/>
    <w:rsid w:val="00463CE1"/>
    <w:rsid w:val="00466F8E"/>
    <w:rsid w:val="0047177E"/>
    <w:rsid w:val="00473D99"/>
    <w:rsid w:val="0047448F"/>
    <w:rsid w:val="00474893"/>
    <w:rsid w:val="00475645"/>
    <w:rsid w:val="004760A3"/>
    <w:rsid w:val="00480AA8"/>
    <w:rsid w:val="0048283C"/>
    <w:rsid w:val="00484B0F"/>
    <w:rsid w:val="00484D66"/>
    <w:rsid w:val="00484DCE"/>
    <w:rsid w:val="00485B6F"/>
    <w:rsid w:val="0048682A"/>
    <w:rsid w:val="00486B7F"/>
    <w:rsid w:val="00490797"/>
    <w:rsid w:val="0049184C"/>
    <w:rsid w:val="00492CF7"/>
    <w:rsid w:val="00492E80"/>
    <w:rsid w:val="004944F4"/>
    <w:rsid w:val="00495EAD"/>
    <w:rsid w:val="00496066"/>
    <w:rsid w:val="00497FF6"/>
    <w:rsid w:val="004A07E0"/>
    <w:rsid w:val="004A2BE2"/>
    <w:rsid w:val="004A432E"/>
    <w:rsid w:val="004A5502"/>
    <w:rsid w:val="004A5DCF"/>
    <w:rsid w:val="004A602E"/>
    <w:rsid w:val="004A62A5"/>
    <w:rsid w:val="004A6D8E"/>
    <w:rsid w:val="004B1991"/>
    <w:rsid w:val="004B221F"/>
    <w:rsid w:val="004B4ED4"/>
    <w:rsid w:val="004B5486"/>
    <w:rsid w:val="004B5A94"/>
    <w:rsid w:val="004B675F"/>
    <w:rsid w:val="004B70B4"/>
    <w:rsid w:val="004B7B30"/>
    <w:rsid w:val="004B7C55"/>
    <w:rsid w:val="004C117B"/>
    <w:rsid w:val="004C2338"/>
    <w:rsid w:val="004C25BD"/>
    <w:rsid w:val="004C2851"/>
    <w:rsid w:val="004C2A99"/>
    <w:rsid w:val="004C5083"/>
    <w:rsid w:val="004C62AB"/>
    <w:rsid w:val="004C7B99"/>
    <w:rsid w:val="004C7C5B"/>
    <w:rsid w:val="004C7FE1"/>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038"/>
    <w:rsid w:val="004E5B45"/>
    <w:rsid w:val="004E7C21"/>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631"/>
    <w:rsid w:val="00512E2A"/>
    <w:rsid w:val="00514F3C"/>
    <w:rsid w:val="005155A5"/>
    <w:rsid w:val="00516E97"/>
    <w:rsid w:val="0052036D"/>
    <w:rsid w:val="00520833"/>
    <w:rsid w:val="00520852"/>
    <w:rsid w:val="00521A78"/>
    <w:rsid w:val="0052249F"/>
    <w:rsid w:val="005231F3"/>
    <w:rsid w:val="00530F2E"/>
    <w:rsid w:val="0053189D"/>
    <w:rsid w:val="00531FA2"/>
    <w:rsid w:val="00532E23"/>
    <w:rsid w:val="00534C86"/>
    <w:rsid w:val="005354C5"/>
    <w:rsid w:val="005354F4"/>
    <w:rsid w:val="005375ED"/>
    <w:rsid w:val="00541184"/>
    <w:rsid w:val="005417F6"/>
    <w:rsid w:val="00542430"/>
    <w:rsid w:val="00542876"/>
    <w:rsid w:val="00543CC6"/>
    <w:rsid w:val="005443C5"/>
    <w:rsid w:val="00545E4C"/>
    <w:rsid w:val="00546714"/>
    <w:rsid w:val="00546F59"/>
    <w:rsid w:val="00547568"/>
    <w:rsid w:val="00547CF3"/>
    <w:rsid w:val="005507E6"/>
    <w:rsid w:val="00551A96"/>
    <w:rsid w:val="00551FF2"/>
    <w:rsid w:val="0055388E"/>
    <w:rsid w:val="005573AF"/>
    <w:rsid w:val="00561212"/>
    <w:rsid w:val="005623E4"/>
    <w:rsid w:val="00567B36"/>
    <w:rsid w:val="005704B8"/>
    <w:rsid w:val="005717F9"/>
    <w:rsid w:val="005726E7"/>
    <w:rsid w:val="00574BC3"/>
    <w:rsid w:val="00575874"/>
    <w:rsid w:val="00575AE5"/>
    <w:rsid w:val="00576282"/>
    <w:rsid w:val="0057785A"/>
    <w:rsid w:val="00577FDC"/>
    <w:rsid w:val="00580EB5"/>
    <w:rsid w:val="0058119F"/>
    <w:rsid w:val="005825B6"/>
    <w:rsid w:val="00583B4F"/>
    <w:rsid w:val="00585B2B"/>
    <w:rsid w:val="005878A5"/>
    <w:rsid w:val="005902FC"/>
    <w:rsid w:val="005918B1"/>
    <w:rsid w:val="005922C1"/>
    <w:rsid w:val="00592576"/>
    <w:rsid w:val="005927E2"/>
    <w:rsid w:val="00593369"/>
    <w:rsid w:val="0059380E"/>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C0777"/>
    <w:rsid w:val="005C20E5"/>
    <w:rsid w:val="005C235E"/>
    <w:rsid w:val="005C26FD"/>
    <w:rsid w:val="005C4C69"/>
    <w:rsid w:val="005C4D52"/>
    <w:rsid w:val="005C58D2"/>
    <w:rsid w:val="005C65DB"/>
    <w:rsid w:val="005C689A"/>
    <w:rsid w:val="005D04F0"/>
    <w:rsid w:val="005D2CE2"/>
    <w:rsid w:val="005D2DB4"/>
    <w:rsid w:val="005D442D"/>
    <w:rsid w:val="005D4837"/>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296E"/>
    <w:rsid w:val="00604159"/>
    <w:rsid w:val="00604598"/>
    <w:rsid w:val="006067B4"/>
    <w:rsid w:val="00606A1B"/>
    <w:rsid w:val="006117A0"/>
    <w:rsid w:val="00612BD5"/>
    <w:rsid w:val="0061530D"/>
    <w:rsid w:val="006160C5"/>
    <w:rsid w:val="00616BFB"/>
    <w:rsid w:val="006170FB"/>
    <w:rsid w:val="00620569"/>
    <w:rsid w:val="006211E7"/>
    <w:rsid w:val="006228E8"/>
    <w:rsid w:val="00624B91"/>
    <w:rsid w:val="00624FAF"/>
    <w:rsid w:val="00626DBE"/>
    <w:rsid w:val="00630A6F"/>
    <w:rsid w:val="00632382"/>
    <w:rsid w:val="00633A50"/>
    <w:rsid w:val="00633B07"/>
    <w:rsid w:val="006349CB"/>
    <w:rsid w:val="006368BA"/>
    <w:rsid w:val="00637489"/>
    <w:rsid w:val="00637810"/>
    <w:rsid w:val="00640E46"/>
    <w:rsid w:val="006410EF"/>
    <w:rsid w:val="0064156C"/>
    <w:rsid w:val="006422AE"/>
    <w:rsid w:val="0064233E"/>
    <w:rsid w:val="0064470C"/>
    <w:rsid w:val="00645265"/>
    <w:rsid w:val="006516BB"/>
    <w:rsid w:val="00651990"/>
    <w:rsid w:val="0065276F"/>
    <w:rsid w:val="006552A9"/>
    <w:rsid w:val="00655CE9"/>
    <w:rsid w:val="00657034"/>
    <w:rsid w:val="00657230"/>
    <w:rsid w:val="006574D6"/>
    <w:rsid w:val="00660CF0"/>
    <w:rsid w:val="00660F53"/>
    <w:rsid w:val="0066160B"/>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487"/>
    <w:rsid w:val="00676552"/>
    <w:rsid w:val="006771CD"/>
    <w:rsid w:val="006800D0"/>
    <w:rsid w:val="00682B8F"/>
    <w:rsid w:val="00682F0F"/>
    <w:rsid w:val="00683857"/>
    <w:rsid w:val="00685294"/>
    <w:rsid w:val="006852C5"/>
    <w:rsid w:val="006870B3"/>
    <w:rsid w:val="00687496"/>
    <w:rsid w:val="0068792F"/>
    <w:rsid w:val="00691640"/>
    <w:rsid w:val="0069239C"/>
    <w:rsid w:val="0069254E"/>
    <w:rsid w:val="006930E3"/>
    <w:rsid w:val="00694BB8"/>
    <w:rsid w:val="00694E04"/>
    <w:rsid w:val="00694F0C"/>
    <w:rsid w:val="00696F27"/>
    <w:rsid w:val="00697700"/>
    <w:rsid w:val="00697DEE"/>
    <w:rsid w:val="00697F50"/>
    <w:rsid w:val="006A2A19"/>
    <w:rsid w:val="006A3CC4"/>
    <w:rsid w:val="006A4ED9"/>
    <w:rsid w:val="006A66A7"/>
    <w:rsid w:val="006A7009"/>
    <w:rsid w:val="006A7418"/>
    <w:rsid w:val="006A7C90"/>
    <w:rsid w:val="006B08CA"/>
    <w:rsid w:val="006B1F7E"/>
    <w:rsid w:val="006B2E69"/>
    <w:rsid w:val="006B6B2C"/>
    <w:rsid w:val="006C0CAA"/>
    <w:rsid w:val="006C2552"/>
    <w:rsid w:val="006C27F3"/>
    <w:rsid w:val="006C2D8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21FB"/>
    <w:rsid w:val="006E3ED4"/>
    <w:rsid w:val="006E5560"/>
    <w:rsid w:val="006E628B"/>
    <w:rsid w:val="006E66CC"/>
    <w:rsid w:val="006E725C"/>
    <w:rsid w:val="006F12DE"/>
    <w:rsid w:val="006F131A"/>
    <w:rsid w:val="006F34EC"/>
    <w:rsid w:val="006F48DA"/>
    <w:rsid w:val="006F4DF3"/>
    <w:rsid w:val="006F59A1"/>
    <w:rsid w:val="006F68C8"/>
    <w:rsid w:val="006F6EB5"/>
    <w:rsid w:val="006F7DA5"/>
    <w:rsid w:val="007009C5"/>
    <w:rsid w:val="0070119A"/>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6B9B"/>
    <w:rsid w:val="007271D7"/>
    <w:rsid w:val="007314B0"/>
    <w:rsid w:val="0073158B"/>
    <w:rsid w:val="0073220B"/>
    <w:rsid w:val="00733934"/>
    <w:rsid w:val="0073724F"/>
    <w:rsid w:val="00740AA6"/>
    <w:rsid w:val="0074189D"/>
    <w:rsid w:val="00742480"/>
    <w:rsid w:val="007430D7"/>
    <w:rsid w:val="00743DD4"/>
    <w:rsid w:val="007447DE"/>
    <w:rsid w:val="00744D63"/>
    <w:rsid w:val="00745981"/>
    <w:rsid w:val="007460AF"/>
    <w:rsid w:val="00747184"/>
    <w:rsid w:val="007472C3"/>
    <w:rsid w:val="0074781A"/>
    <w:rsid w:val="007479DE"/>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2137"/>
    <w:rsid w:val="007722EC"/>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97BAC"/>
    <w:rsid w:val="007A1FB1"/>
    <w:rsid w:val="007A71A1"/>
    <w:rsid w:val="007A7B71"/>
    <w:rsid w:val="007A7E1C"/>
    <w:rsid w:val="007B0774"/>
    <w:rsid w:val="007B07E2"/>
    <w:rsid w:val="007B0EF0"/>
    <w:rsid w:val="007B11B9"/>
    <w:rsid w:val="007B210A"/>
    <w:rsid w:val="007B2124"/>
    <w:rsid w:val="007B2CB4"/>
    <w:rsid w:val="007B36D5"/>
    <w:rsid w:val="007B528F"/>
    <w:rsid w:val="007C0BE5"/>
    <w:rsid w:val="007C13B2"/>
    <w:rsid w:val="007C1BC0"/>
    <w:rsid w:val="007C3856"/>
    <w:rsid w:val="007C3C41"/>
    <w:rsid w:val="007C4130"/>
    <w:rsid w:val="007C46A9"/>
    <w:rsid w:val="007C5D5D"/>
    <w:rsid w:val="007C616F"/>
    <w:rsid w:val="007C6A68"/>
    <w:rsid w:val="007C6C89"/>
    <w:rsid w:val="007C6FE5"/>
    <w:rsid w:val="007C76F0"/>
    <w:rsid w:val="007D0398"/>
    <w:rsid w:val="007D1DE2"/>
    <w:rsid w:val="007D2E1E"/>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7422"/>
    <w:rsid w:val="00811F70"/>
    <w:rsid w:val="0081246A"/>
    <w:rsid w:val="00812A9F"/>
    <w:rsid w:val="00812FB7"/>
    <w:rsid w:val="00814704"/>
    <w:rsid w:val="00815E68"/>
    <w:rsid w:val="00816083"/>
    <w:rsid w:val="00816E1F"/>
    <w:rsid w:val="00817445"/>
    <w:rsid w:val="00817BCE"/>
    <w:rsid w:val="008203F2"/>
    <w:rsid w:val="00820434"/>
    <w:rsid w:val="00820CEE"/>
    <w:rsid w:val="00821976"/>
    <w:rsid w:val="00821C1D"/>
    <w:rsid w:val="008230BF"/>
    <w:rsid w:val="0082336C"/>
    <w:rsid w:val="008241A5"/>
    <w:rsid w:val="0082460A"/>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BF6"/>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56B"/>
    <w:rsid w:val="00864841"/>
    <w:rsid w:val="00864876"/>
    <w:rsid w:val="00864DE0"/>
    <w:rsid w:val="008658DC"/>
    <w:rsid w:val="00865C5E"/>
    <w:rsid w:val="008673A1"/>
    <w:rsid w:val="0087049A"/>
    <w:rsid w:val="00870F25"/>
    <w:rsid w:val="00871FEA"/>
    <w:rsid w:val="00872618"/>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B1E"/>
    <w:rsid w:val="008950C2"/>
    <w:rsid w:val="00896273"/>
    <w:rsid w:val="00896ADD"/>
    <w:rsid w:val="008970DE"/>
    <w:rsid w:val="008979BB"/>
    <w:rsid w:val="008A0EC2"/>
    <w:rsid w:val="008A3444"/>
    <w:rsid w:val="008A427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43E1"/>
    <w:rsid w:val="008C4503"/>
    <w:rsid w:val="008C5B62"/>
    <w:rsid w:val="008C7FA4"/>
    <w:rsid w:val="008D124B"/>
    <w:rsid w:val="008D14B5"/>
    <w:rsid w:val="008D20DC"/>
    <w:rsid w:val="008D34A9"/>
    <w:rsid w:val="008D4CDA"/>
    <w:rsid w:val="008D4F40"/>
    <w:rsid w:val="008D57FD"/>
    <w:rsid w:val="008D6357"/>
    <w:rsid w:val="008D6B04"/>
    <w:rsid w:val="008D6CDB"/>
    <w:rsid w:val="008E0F50"/>
    <w:rsid w:val="008E125D"/>
    <w:rsid w:val="008E1BDC"/>
    <w:rsid w:val="008E2590"/>
    <w:rsid w:val="008E2BF0"/>
    <w:rsid w:val="008E6055"/>
    <w:rsid w:val="008F0F31"/>
    <w:rsid w:val="008F1C25"/>
    <w:rsid w:val="008F1C6B"/>
    <w:rsid w:val="008F26B4"/>
    <w:rsid w:val="008F2AFA"/>
    <w:rsid w:val="008F64A7"/>
    <w:rsid w:val="008F7144"/>
    <w:rsid w:val="008F771A"/>
    <w:rsid w:val="008F7EC6"/>
    <w:rsid w:val="00900067"/>
    <w:rsid w:val="0090124E"/>
    <w:rsid w:val="00901E27"/>
    <w:rsid w:val="00901EBB"/>
    <w:rsid w:val="00903826"/>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0CCA"/>
    <w:rsid w:val="00933145"/>
    <w:rsid w:val="00934049"/>
    <w:rsid w:val="00934876"/>
    <w:rsid w:val="0093525D"/>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F9"/>
    <w:rsid w:val="00965001"/>
    <w:rsid w:val="00966428"/>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86CA7"/>
    <w:rsid w:val="00991857"/>
    <w:rsid w:val="00991D10"/>
    <w:rsid w:val="00996438"/>
    <w:rsid w:val="00997746"/>
    <w:rsid w:val="00997C21"/>
    <w:rsid w:val="009A0A43"/>
    <w:rsid w:val="009A1B23"/>
    <w:rsid w:val="009A2294"/>
    <w:rsid w:val="009A35C0"/>
    <w:rsid w:val="009A6301"/>
    <w:rsid w:val="009A6357"/>
    <w:rsid w:val="009A6485"/>
    <w:rsid w:val="009B06F5"/>
    <w:rsid w:val="009B172A"/>
    <w:rsid w:val="009B2936"/>
    <w:rsid w:val="009B337C"/>
    <w:rsid w:val="009B33C1"/>
    <w:rsid w:val="009B3F70"/>
    <w:rsid w:val="009B46AD"/>
    <w:rsid w:val="009C034B"/>
    <w:rsid w:val="009C20F2"/>
    <w:rsid w:val="009C24D3"/>
    <w:rsid w:val="009C316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D52"/>
    <w:rsid w:val="009E34C1"/>
    <w:rsid w:val="009E3613"/>
    <w:rsid w:val="009E58B9"/>
    <w:rsid w:val="009E6637"/>
    <w:rsid w:val="009E6E4F"/>
    <w:rsid w:val="009E70D9"/>
    <w:rsid w:val="009E7CBF"/>
    <w:rsid w:val="009F1551"/>
    <w:rsid w:val="009F1755"/>
    <w:rsid w:val="009F367A"/>
    <w:rsid w:val="009F36E5"/>
    <w:rsid w:val="009F39DA"/>
    <w:rsid w:val="009F5D65"/>
    <w:rsid w:val="00A021DF"/>
    <w:rsid w:val="00A03308"/>
    <w:rsid w:val="00A054A4"/>
    <w:rsid w:val="00A10735"/>
    <w:rsid w:val="00A10C7D"/>
    <w:rsid w:val="00A1226A"/>
    <w:rsid w:val="00A12E63"/>
    <w:rsid w:val="00A14453"/>
    <w:rsid w:val="00A154A2"/>
    <w:rsid w:val="00A16EB7"/>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1940"/>
    <w:rsid w:val="00A51E76"/>
    <w:rsid w:val="00A541CE"/>
    <w:rsid w:val="00A57BD0"/>
    <w:rsid w:val="00A6155D"/>
    <w:rsid w:val="00A64423"/>
    <w:rsid w:val="00A65098"/>
    <w:rsid w:val="00A6559F"/>
    <w:rsid w:val="00A663BE"/>
    <w:rsid w:val="00A67D00"/>
    <w:rsid w:val="00A70F2F"/>
    <w:rsid w:val="00A716C3"/>
    <w:rsid w:val="00A719FA"/>
    <w:rsid w:val="00A7209B"/>
    <w:rsid w:val="00A74136"/>
    <w:rsid w:val="00A744FA"/>
    <w:rsid w:val="00A773C5"/>
    <w:rsid w:val="00A7775B"/>
    <w:rsid w:val="00A8078C"/>
    <w:rsid w:val="00A82B1A"/>
    <w:rsid w:val="00A82DF3"/>
    <w:rsid w:val="00A848B8"/>
    <w:rsid w:val="00A84AD0"/>
    <w:rsid w:val="00A8507C"/>
    <w:rsid w:val="00A86262"/>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A9D"/>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5CA4"/>
    <w:rsid w:val="00AC5E3E"/>
    <w:rsid w:val="00AC6520"/>
    <w:rsid w:val="00AC7487"/>
    <w:rsid w:val="00AD0436"/>
    <w:rsid w:val="00AD0A67"/>
    <w:rsid w:val="00AD0DEC"/>
    <w:rsid w:val="00AD1763"/>
    <w:rsid w:val="00AD27B4"/>
    <w:rsid w:val="00AD2F22"/>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6172"/>
    <w:rsid w:val="00B20A3A"/>
    <w:rsid w:val="00B20C20"/>
    <w:rsid w:val="00B20FD0"/>
    <w:rsid w:val="00B228ED"/>
    <w:rsid w:val="00B247E3"/>
    <w:rsid w:val="00B249FA"/>
    <w:rsid w:val="00B321D8"/>
    <w:rsid w:val="00B33648"/>
    <w:rsid w:val="00B33831"/>
    <w:rsid w:val="00B35003"/>
    <w:rsid w:val="00B3563D"/>
    <w:rsid w:val="00B419EC"/>
    <w:rsid w:val="00B41E4C"/>
    <w:rsid w:val="00B42BEC"/>
    <w:rsid w:val="00B42C8C"/>
    <w:rsid w:val="00B43AB7"/>
    <w:rsid w:val="00B4532F"/>
    <w:rsid w:val="00B45DA2"/>
    <w:rsid w:val="00B4736F"/>
    <w:rsid w:val="00B501DA"/>
    <w:rsid w:val="00B51B82"/>
    <w:rsid w:val="00B52039"/>
    <w:rsid w:val="00B529D8"/>
    <w:rsid w:val="00B52C51"/>
    <w:rsid w:val="00B5347C"/>
    <w:rsid w:val="00B55237"/>
    <w:rsid w:val="00B57CFC"/>
    <w:rsid w:val="00B60593"/>
    <w:rsid w:val="00B619B7"/>
    <w:rsid w:val="00B61A43"/>
    <w:rsid w:val="00B64DF7"/>
    <w:rsid w:val="00B678C9"/>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7988"/>
    <w:rsid w:val="00B97B5A"/>
    <w:rsid w:val="00BA0535"/>
    <w:rsid w:val="00BA2364"/>
    <w:rsid w:val="00BA46D9"/>
    <w:rsid w:val="00BA5FA2"/>
    <w:rsid w:val="00BB057B"/>
    <w:rsid w:val="00BB20E8"/>
    <w:rsid w:val="00BB317C"/>
    <w:rsid w:val="00BB4FB5"/>
    <w:rsid w:val="00BB555F"/>
    <w:rsid w:val="00BB5810"/>
    <w:rsid w:val="00BB5F70"/>
    <w:rsid w:val="00BC087C"/>
    <w:rsid w:val="00BC156F"/>
    <w:rsid w:val="00BC2A53"/>
    <w:rsid w:val="00BC3716"/>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7A13"/>
    <w:rsid w:val="00BF7CF6"/>
    <w:rsid w:val="00BF7DBE"/>
    <w:rsid w:val="00C0058E"/>
    <w:rsid w:val="00C00BB7"/>
    <w:rsid w:val="00C00CF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5022"/>
    <w:rsid w:val="00C1692D"/>
    <w:rsid w:val="00C17376"/>
    <w:rsid w:val="00C20BE5"/>
    <w:rsid w:val="00C213C1"/>
    <w:rsid w:val="00C2204E"/>
    <w:rsid w:val="00C22ED9"/>
    <w:rsid w:val="00C2321A"/>
    <w:rsid w:val="00C24BBB"/>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E68"/>
    <w:rsid w:val="00C52B57"/>
    <w:rsid w:val="00C5560A"/>
    <w:rsid w:val="00C5563C"/>
    <w:rsid w:val="00C557EE"/>
    <w:rsid w:val="00C55C89"/>
    <w:rsid w:val="00C562B3"/>
    <w:rsid w:val="00C57B86"/>
    <w:rsid w:val="00C61F25"/>
    <w:rsid w:val="00C62F34"/>
    <w:rsid w:val="00C65804"/>
    <w:rsid w:val="00C66CB9"/>
    <w:rsid w:val="00C66DA4"/>
    <w:rsid w:val="00C67680"/>
    <w:rsid w:val="00C70BEC"/>
    <w:rsid w:val="00C714FC"/>
    <w:rsid w:val="00C7660A"/>
    <w:rsid w:val="00C76701"/>
    <w:rsid w:val="00C76855"/>
    <w:rsid w:val="00C774EB"/>
    <w:rsid w:val="00C81448"/>
    <w:rsid w:val="00C8186B"/>
    <w:rsid w:val="00C85B31"/>
    <w:rsid w:val="00C869B1"/>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50C9"/>
    <w:rsid w:val="00CB5186"/>
    <w:rsid w:val="00CB552C"/>
    <w:rsid w:val="00CB5EB1"/>
    <w:rsid w:val="00CB64AF"/>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E04E0"/>
    <w:rsid w:val="00CE06A9"/>
    <w:rsid w:val="00CE0E97"/>
    <w:rsid w:val="00CE175C"/>
    <w:rsid w:val="00CE571D"/>
    <w:rsid w:val="00CE6735"/>
    <w:rsid w:val="00CE6E3D"/>
    <w:rsid w:val="00CF04C4"/>
    <w:rsid w:val="00CF0A01"/>
    <w:rsid w:val="00CF10F6"/>
    <w:rsid w:val="00CF2167"/>
    <w:rsid w:val="00CF2621"/>
    <w:rsid w:val="00CF2BAF"/>
    <w:rsid w:val="00CF373D"/>
    <w:rsid w:val="00CF4002"/>
    <w:rsid w:val="00CF5437"/>
    <w:rsid w:val="00CF5F95"/>
    <w:rsid w:val="00CF68B1"/>
    <w:rsid w:val="00D002CA"/>
    <w:rsid w:val="00D00425"/>
    <w:rsid w:val="00D00B72"/>
    <w:rsid w:val="00D00D89"/>
    <w:rsid w:val="00D01839"/>
    <w:rsid w:val="00D019A8"/>
    <w:rsid w:val="00D02EC7"/>
    <w:rsid w:val="00D07021"/>
    <w:rsid w:val="00D072CB"/>
    <w:rsid w:val="00D107D7"/>
    <w:rsid w:val="00D11337"/>
    <w:rsid w:val="00D11558"/>
    <w:rsid w:val="00D11B63"/>
    <w:rsid w:val="00D129BC"/>
    <w:rsid w:val="00D1353C"/>
    <w:rsid w:val="00D162B5"/>
    <w:rsid w:val="00D1714E"/>
    <w:rsid w:val="00D174C6"/>
    <w:rsid w:val="00D23015"/>
    <w:rsid w:val="00D24AB8"/>
    <w:rsid w:val="00D26719"/>
    <w:rsid w:val="00D27701"/>
    <w:rsid w:val="00D27804"/>
    <w:rsid w:val="00D3069D"/>
    <w:rsid w:val="00D30A5C"/>
    <w:rsid w:val="00D3188E"/>
    <w:rsid w:val="00D31DC8"/>
    <w:rsid w:val="00D31EDC"/>
    <w:rsid w:val="00D32300"/>
    <w:rsid w:val="00D3291D"/>
    <w:rsid w:val="00D33EF2"/>
    <w:rsid w:val="00D35BCB"/>
    <w:rsid w:val="00D36054"/>
    <w:rsid w:val="00D40D2C"/>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5F"/>
    <w:rsid w:val="00D62155"/>
    <w:rsid w:val="00D63A43"/>
    <w:rsid w:val="00D66681"/>
    <w:rsid w:val="00D723AB"/>
    <w:rsid w:val="00D76186"/>
    <w:rsid w:val="00D76A0A"/>
    <w:rsid w:val="00D77001"/>
    <w:rsid w:val="00D77510"/>
    <w:rsid w:val="00D7798F"/>
    <w:rsid w:val="00D77CB3"/>
    <w:rsid w:val="00D82077"/>
    <w:rsid w:val="00D82209"/>
    <w:rsid w:val="00D82C98"/>
    <w:rsid w:val="00D82FC3"/>
    <w:rsid w:val="00D84B8F"/>
    <w:rsid w:val="00D8554B"/>
    <w:rsid w:val="00D87011"/>
    <w:rsid w:val="00D9076A"/>
    <w:rsid w:val="00D9270C"/>
    <w:rsid w:val="00D942D3"/>
    <w:rsid w:val="00D9433D"/>
    <w:rsid w:val="00D948D0"/>
    <w:rsid w:val="00D94AF2"/>
    <w:rsid w:val="00D94E1D"/>
    <w:rsid w:val="00D97730"/>
    <w:rsid w:val="00D978E1"/>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13"/>
    <w:rsid w:val="00DB61A2"/>
    <w:rsid w:val="00DB74E7"/>
    <w:rsid w:val="00DB775B"/>
    <w:rsid w:val="00DB7DB0"/>
    <w:rsid w:val="00DC4F01"/>
    <w:rsid w:val="00DC62D4"/>
    <w:rsid w:val="00DC6CFB"/>
    <w:rsid w:val="00DC6EAA"/>
    <w:rsid w:val="00DD1198"/>
    <w:rsid w:val="00DD24D6"/>
    <w:rsid w:val="00DD29B9"/>
    <w:rsid w:val="00DD5031"/>
    <w:rsid w:val="00DD6367"/>
    <w:rsid w:val="00DD63CD"/>
    <w:rsid w:val="00DE09A5"/>
    <w:rsid w:val="00DE0F7F"/>
    <w:rsid w:val="00DE339B"/>
    <w:rsid w:val="00DE3C15"/>
    <w:rsid w:val="00DE53EE"/>
    <w:rsid w:val="00DE6A3C"/>
    <w:rsid w:val="00DF0639"/>
    <w:rsid w:val="00DF3237"/>
    <w:rsid w:val="00DF3CCE"/>
    <w:rsid w:val="00DF3FDB"/>
    <w:rsid w:val="00DF5555"/>
    <w:rsid w:val="00DF6083"/>
    <w:rsid w:val="00DF6A9B"/>
    <w:rsid w:val="00DF78DF"/>
    <w:rsid w:val="00DF7E44"/>
    <w:rsid w:val="00E002AD"/>
    <w:rsid w:val="00E013BD"/>
    <w:rsid w:val="00E01FFB"/>
    <w:rsid w:val="00E038A7"/>
    <w:rsid w:val="00E06B0A"/>
    <w:rsid w:val="00E07ED7"/>
    <w:rsid w:val="00E07FEC"/>
    <w:rsid w:val="00E114B5"/>
    <w:rsid w:val="00E115AF"/>
    <w:rsid w:val="00E11859"/>
    <w:rsid w:val="00E118E4"/>
    <w:rsid w:val="00E11AB2"/>
    <w:rsid w:val="00E13E60"/>
    <w:rsid w:val="00E14B17"/>
    <w:rsid w:val="00E2005F"/>
    <w:rsid w:val="00E2048E"/>
    <w:rsid w:val="00E22132"/>
    <w:rsid w:val="00E24339"/>
    <w:rsid w:val="00E24669"/>
    <w:rsid w:val="00E24B52"/>
    <w:rsid w:val="00E255CA"/>
    <w:rsid w:val="00E26BFF"/>
    <w:rsid w:val="00E27832"/>
    <w:rsid w:val="00E309FE"/>
    <w:rsid w:val="00E3123D"/>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903CC"/>
    <w:rsid w:val="00E90E6A"/>
    <w:rsid w:val="00E92E44"/>
    <w:rsid w:val="00E92EB5"/>
    <w:rsid w:val="00E940B0"/>
    <w:rsid w:val="00E96D39"/>
    <w:rsid w:val="00E97C9F"/>
    <w:rsid w:val="00EA0662"/>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B3A"/>
    <w:rsid w:val="00EC11EF"/>
    <w:rsid w:val="00EC2950"/>
    <w:rsid w:val="00EC2D62"/>
    <w:rsid w:val="00EC4036"/>
    <w:rsid w:val="00EC427F"/>
    <w:rsid w:val="00EC430C"/>
    <w:rsid w:val="00EC524B"/>
    <w:rsid w:val="00ED04C6"/>
    <w:rsid w:val="00ED12B5"/>
    <w:rsid w:val="00ED15F5"/>
    <w:rsid w:val="00ED1D2B"/>
    <w:rsid w:val="00ED2C73"/>
    <w:rsid w:val="00ED2CE5"/>
    <w:rsid w:val="00ED3C60"/>
    <w:rsid w:val="00ED3FAC"/>
    <w:rsid w:val="00ED53DF"/>
    <w:rsid w:val="00ED6BAC"/>
    <w:rsid w:val="00EE42AE"/>
    <w:rsid w:val="00EE4479"/>
    <w:rsid w:val="00EE4E87"/>
    <w:rsid w:val="00EE52BF"/>
    <w:rsid w:val="00EE6878"/>
    <w:rsid w:val="00EE7E58"/>
    <w:rsid w:val="00EF1719"/>
    <w:rsid w:val="00EF2109"/>
    <w:rsid w:val="00EF24D4"/>
    <w:rsid w:val="00EF3298"/>
    <w:rsid w:val="00EF511D"/>
    <w:rsid w:val="00EF7421"/>
    <w:rsid w:val="00EF752B"/>
    <w:rsid w:val="00F007CE"/>
    <w:rsid w:val="00F00A3B"/>
    <w:rsid w:val="00F00CE3"/>
    <w:rsid w:val="00F01E3B"/>
    <w:rsid w:val="00F05DD8"/>
    <w:rsid w:val="00F10342"/>
    <w:rsid w:val="00F10541"/>
    <w:rsid w:val="00F10E72"/>
    <w:rsid w:val="00F1553C"/>
    <w:rsid w:val="00F1568C"/>
    <w:rsid w:val="00F16877"/>
    <w:rsid w:val="00F16F13"/>
    <w:rsid w:val="00F17A3F"/>
    <w:rsid w:val="00F2089B"/>
    <w:rsid w:val="00F20A35"/>
    <w:rsid w:val="00F20ACC"/>
    <w:rsid w:val="00F21398"/>
    <w:rsid w:val="00F21CE2"/>
    <w:rsid w:val="00F220B3"/>
    <w:rsid w:val="00F22E8C"/>
    <w:rsid w:val="00F2565F"/>
    <w:rsid w:val="00F2718C"/>
    <w:rsid w:val="00F27CAD"/>
    <w:rsid w:val="00F27CE2"/>
    <w:rsid w:val="00F30950"/>
    <w:rsid w:val="00F309D1"/>
    <w:rsid w:val="00F3128F"/>
    <w:rsid w:val="00F312ED"/>
    <w:rsid w:val="00F32B6C"/>
    <w:rsid w:val="00F34506"/>
    <w:rsid w:val="00F3460B"/>
    <w:rsid w:val="00F354D6"/>
    <w:rsid w:val="00F35A22"/>
    <w:rsid w:val="00F3708A"/>
    <w:rsid w:val="00F37926"/>
    <w:rsid w:val="00F4041D"/>
    <w:rsid w:val="00F40FF1"/>
    <w:rsid w:val="00F41F0F"/>
    <w:rsid w:val="00F423FA"/>
    <w:rsid w:val="00F4253A"/>
    <w:rsid w:val="00F45D37"/>
    <w:rsid w:val="00F4650D"/>
    <w:rsid w:val="00F502DA"/>
    <w:rsid w:val="00F50ED3"/>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52CC"/>
    <w:rsid w:val="00F65360"/>
    <w:rsid w:val="00F65C8D"/>
    <w:rsid w:val="00F6641E"/>
    <w:rsid w:val="00F6708A"/>
    <w:rsid w:val="00F677C6"/>
    <w:rsid w:val="00F67B77"/>
    <w:rsid w:val="00F73686"/>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3390"/>
    <w:rsid w:val="00F94647"/>
    <w:rsid w:val="00F96467"/>
    <w:rsid w:val="00F967D2"/>
    <w:rsid w:val="00F9695E"/>
    <w:rsid w:val="00FA1780"/>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634"/>
    <w:rsid w:val="00FE0789"/>
    <w:rsid w:val="00FE1741"/>
    <w:rsid w:val="00FE251E"/>
    <w:rsid w:val="00FE2831"/>
    <w:rsid w:val="00FE3640"/>
    <w:rsid w:val="00FE46D3"/>
    <w:rsid w:val="00FE60FE"/>
    <w:rsid w:val="00FE6142"/>
    <w:rsid w:val="00FE6958"/>
    <w:rsid w:val="00FF0C25"/>
    <w:rsid w:val="00FF14A3"/>
    <w:rsid w:val="00FF21E4"/>
    <w:rsid w:val="00FF354F"/>
    <w:rsid w:val="00FF5025"/>
    <w:rsid w:val="00FF5C9D"/>
    <w:rsid w:val="00FF6EFE"/>
    <w:rsid w:val="00FF6F3B"/>
    <w:rsid w:val="01066359"/>
    <w:rsid w:val="019165A7"/>
    <w:rsid w:val="02E3763A"/>
    <w:rsid w:val="03CDAA36"/>
    <w:rsid w:val="03EA7FC2"/>
    <w:rsid w:val="059A08B5"/>
    <w:rsid w:val="06EA1EAA"/>
    <w:rsid w:val="06F92A94"/>
    <w:rsid w:val="07125F5D"/>
    <w:rsid w:val="07156016"/>
    <w:rsid w:val="079E421C"/>
    <w:rsid w:val="07A40243"/>
    <w:rsid w:val="08A52894"/>
    <w:rsid w:val="08F877B2"/>
    <w:rsid w:val="0B6D4F8E"/>
    <w:rsid w:val="0BB068C4"/>
    <w:rsid w:val="0BD16649"/>
    <w:rsid w:val="0D0B7C15"/>
    <w:rsid w:val="0D2759EA"/>
    <w:rsid w:val="0D4613A0"/>
    <w:rsid w:val="0D5142FA"/>
    <w:rsid w:val="0E667B0F"/>
    <w:rsid w:val="0EAB7C77"/>
    <w:rsid w:val="0EBF602F"/>
    <w:rsid w:val="0F02049B"/>
    <w:rsid w:val="0F223DF5"/>
    <w:rsid w:val="10A4667A"/>
    <w:rsid w:val="10CD6114"/>
    <w:rsid w:val="11E53FD3"/>
    <w:rsid w:val="12E2141C"/>
    <w:rsid w:val="12E461C9"/>
    <w:rsid w:val="13A52C7B"/>
    <w:rsid w:val="14172418"/>
    <w:rsid w:val="14A541E2"/>
    <w:rsid w:val="15EF9D6C"/>
    <w:rsid w:val="1609105D"/>
    <w:rsid w:val="16233FB9"/>
    <w:rsid w:val="1652230F"/>
    <w:rsid w:val="1679D03C"/>
    <w:rsid w:val="16C90F79"/>
    <w:rsid w:val="16F760E1"/>
    <w:rsid w:val="17FB4426"/>
    <w:rsid w:val="1834380F"/>
    <w:rsid w:val="183F5D7D"/>
    <w:rsid w:val="188626E1"/>
    <w:rsid w:val="188D062F"/>
    <w:rsid w:val="189D32E6"/>
    <w:rsid w:val="18B15020"/>
    <w:rsid w:val="18EE3BF9"/>
    <w:rsid w:val="197D4306"/>
    <w:rsid w:val="198464B8"/>
    <w:rsid w:val="19AD1818"/>
    <w:rsid w:val="1AD21A71"/>
    <w:rsid w:val="1B464139"/>
    <w:rsid w:val="1B5C6CA2"/>
    <w:rsid w:val="1B815792"/>
    <w:rsid w:val="1BCC3392"/>
    <w:rsid w:val="1C02000E"/>
    <w:rsid w:val="1C1527EF"/>
    <w:rsid w:val="1C376DEB"/>
    <w:rsid w:val="1C3C5DA9"/>
    <w:rsid w:val="1C3FD069"/>
    <w:rsid w:val="1CBF7B25"/>
    <w:rsid w:val="1CDA63F0"/>
    <w:rsid w:val="1D0FE84D"/>
    <w:rsid w:val="1D814759"/>
    <w:rsid w:val="1DEFC6D6"/>
    <w:rsid w:val="1DF19EC7"/>
    <w:rsid w:val="1E694820"/>
    <w:rsid w:val="1F2F1703"/>
    <w:rsid w:val="1F6F0FAD"/>
    <w:rsid w:val="1F7B87C8"/>
    <w:rsid w:val="215521EE"/>
    <w:rsid w:val="2159105B"/>
    <w:rsid w:val="218867EF"/>
    <w:rsid w:val="225C5E14"/>
    <w:rsid w:val="22CF052E"/>
    <w:rsid w:val="233A3E53"/>
    <w:rsid w:val="234C0B21"/>
    <w:rsid w:val="23B87D44"/>
    <w:rsid w:val="23C40697"/>
    <w:rsid w:val="23E304C1"/>
    <w:rsid w:val="24734990"/>
    <w:rsid w:val="24CD7912"/>
    <w:rsid w:val="260D4DDB"/>
    <w:rsid w:val="26164E0A"/>
    <w:rsid w:val="26B175B2"/>
    <w:rsid w:val="26E379FD"/>
    <w:rsid w:val="26F53BCE"/>
    <w:rsid w:val="26F7CB0C"/>
    <w:rsid w:val="277D0479"/>
    <w:rsid w:val="27C8423A"/>
    <w:rsid w:val="281610E5"/>
    <w:rsid w:val="286232E1"/>
    <w:rsid w:val="286958CC"/>
    <w:rsid w:val="28BA3037"/>
    <w:rsid w:val="2948054F"/>
    <w:rsid w:val="29564F26"/>
    <w:rsid w:val="295F5542"/>
    <w:rsid w:val="29756490"/>
    <w:rsid w:val="2A507B46"/>
    <w:rsid w:val="2A577527"/>
    <w:rsid w:val="2A8D2F66"/>
    <w:rsid w:val="2B55434F"/>
    <w:rsid w:val="2B6EBD3A"/>
    <w:rsid w:val="2BF13513"/>
    <w:rsid w:val="2C1D56D6"/>
    <w:rsid w:val="2CB741EC"/>
    <w:rsid w:val="2DAF5570"/>
    <w:rsid w:val="2DCC15CF"/>
    <w:rsid w:val="2DEE2F51"/>
    <w:rsid w:val="2E7BF70A"/>
    <w:rsid w:val="2F0E362D"/>
    <w:rsid w:val="2F31401A"/>
    <w:rsid w:val="2FA55F7F"/>
    <w:rsid w:val="2FB2285C"/>
    <w:rsid w:val="2FC43EC1"/>
    <w:rsid w:val="2FD9B8D6"/>
    <w:rsid w:val="2FEF36D5"/>
    <w:rsid w:val="2FFEB2E6"/>
    <w:rsid w:val="31466222"/>
    <w:rsid w:val="31901DDD"/>
    <w:rsid w:val="31FA035B"/>
    <w:rsid w:val="324A0271"/>
    <w:rsid w:val="327F1430"/>
    <w:rsid w:val="32864DB1"/>
    <w:rsid w:val="32FB6057"/>
    <w:rsid w:val="33886EBD"/>
    <w:rsid w:val="3565470A"/>
    <w:rsid w:val="35D2187E"/>
    <w:rsid w:val="36062EA2"/>
    <w:rsid w:val="36B4742B"/>
    <w:rsid w:val="36E62CD9"/>
    <w:rsid w:val="36EDBB5A"/>
    <w:rsid w:val="36F75539"/>
    <w:rsid w:val="36FB9139"/>
    <w:rsid w:val="37736C0A"/>
    <w:rsid w:val="37BC6661"/>
    <w:rsid w:val="37DC7A31"/>
    <w:rsid w:val="37EBAA69"/>
    <w:rsid w:val="37F66A4F"/>
    <w:rsid w:val="380F4517"/>
    <w:rsid w:val="38536197"/>
    <w:rsid w:val="390309AD"/>
    <w:rsid w:val="39ED990C"/>
    <w:rsid w:val="3B6FA8CC"/>
    <w:rsid w:val="3BB14E11"/>
    <w:rsid w:val="3C3D1317"/>
    <w:rsid w:val="3C656DC6"/>
    <w:rsid w:val="3CD0586A"/>
    <w:rsid w:val="3D3E437F"/>
    <w:rsid w:val="3D3F1996"/>
    <w:rsid w:val="3D8B2795"/>
    <w:rsid w:val="3DD5126B"/>
    <w:rsid w:val="3E7A0B33"/>
    <w:rsid w:val="3EE6528E"/>
    <w:rsid w:val="3EFB9FC1"/>
    <w:rsid w:val="3EFCD703"/>
    <w:rsid w:val="3F28071B"/>
    <w:rsid w:val="3F571645"/>
    <w:rsid w:val="3F6EEB34"/>
    <w:rsid w:val="3F7C9455"/>
    <w:rsid w:val="3F7EC211"/>
    <w:rsid w:val="3F8EE13E"/>
    <w:rsid w:val="3FA890C3"/>
    <w:rsid w:val="3FBCC615"/>
    <w:rsid w:val="3FDFC31D"/>
    <w:rsid w:val="3FE7E92C"/>
    <w:rsid w:val="3FF42661"/>
    <w:rsid w:val="3FFFF28C"/>
    <w:rsid w:val="3FFFF7B4"/>
    <w:rsid w:val="40045CCB"/>
    <w:rsid w:val="40317F03"/>
    <w:rsid w:val="405F39EA"/>
    <w:rsid w:val="413542E7"/>
    <w:rsid w:val="42460039"/>
    <w:rsid w:val="424F326E"/>
    <w:rsid w:val="428F456B"/>
    <w:rsid w:val="459C6F06"/>
    <w:rsid w:val="45A07ADC"/>
    <w:rsid w:val="468E48B0"/>
    <w:rsid w:val="46C876BF"/>
    <w:rsid w:val="46D93D23"/>
    <w:rsid w:val="470A78E3"/>
    <w:rsid w:val="47CDBA3D"/>
    <w:rsid w:val="47DDE2D5"/>
    <w:rsid w:val="48D107CF"/>
    <w:rsid w:val="48F14395"/>
    <w:rsid w:val="496656D8"/>
    <w:rsid w:val="4A46377C"/>
    <w:rsid w:val="4A7FEE8F"/>
    <w:rsid w:val="4A985531"/>
    <w:rsid w:val="4B507199"/>
    <w:rsid w:val="4B543A80"/>
    <w:rsid w:val="4B5A6D19"/>
    <w:rsid w:val="4BE41488"/>
    <w:rsid w:val="4C1E3D32"/>
    <w:rsid w:val="4C49601A"/>
    <w:rsid w:val="4C585AB4"/>
    <w:rsid w:val="4C6C4B57"/>
    <w:rsid w:val="4D613184"/>
    <w:rsid w:val="4DDED1F7"/>
    <w:rsid w:val="4E2F43C1"/>
    <w:rsid w:val="4EDD6510"/>
    <w:rsid w:val="4EF20DA9"/>
    <w:rsid w:val="4F56661D"/>
    <w:rsid w:val="4F7B7379"/>
    <w:rsid w:val="4F7F0BF9"/>
    <w:rsid w:val="4F7F3F92"/>
    <w:rsid w:val="4FB7135A"/>
    <w:rsid w:val="4FB73198"/>
    <w:rsid w:val="501554AB"/>
    <w:rsid w:val="50425A08"/>
    <w:rsid w:val="50516DE7"/>
    <w:rsid w:val="50C3437D"/>
    <w:rsid w:val="514316E9"/>
    <w:rsid w:val="515B351A"/>
    <w:rsid w:val="516253C4"/>
    <w:rsid w:val="519B5C7E"/>
    <w:rsid w:val="51AEE463"/>
    <w:rsid w:val="5288406F"/>
    <w:rsid w:val="52CF1070"/>
    <w:rsid w:val="52E40C56"/>
    <w:rsid w:val="533C31C2"/>
    <w:rsid w:val="54471BD3"/>
    <w:rsid w:val="5572776B"/>
    <w:rsid w:val="55A52E77"/>
    <w:rsid w:val="568D05D3"/>
    <w:rsid w:val="573A3AB9"/>
    <w:rsid w:val="574E2FD2"/>
    <w:rsid w:val="5752403E"/>
    <w:rsid w:val="577D9CD7"/>
    <w:rsid w:val="57BABE06"/>
    <w:rsid w:val="57BF6AEA"/>
    <w:rsid w:val="57FB8EB6"/>
    <w:rsid w:val="58255E64"/>
    <w:rsid w:val="583E418F"/>
    <w:rsid w:val="58C7AD63"/>
    <w:rsid w:val="58CF0608"/>
    <w:rsid w:val="5A4A3313"/>
    <w:rsid w:val="5A6E0410"/>
    <w:rsid w:val="5A6E3C3C"/>
    <w:rsid w:val="5AFD4E02"/>
    <w:rsid w:val="5B5D738C"/>
    <w:rsid w:val="5B770B81"/>
    <w:rsid w:val="5BBFB391"/>
    <w:rsid w:val="5BE262AB"/>
    <w:rsid w:val="5BFBF413"/>
    <w:rsid w:val="5C580EB9"/>
    <w:rsid w:val="5C9B255D"/>
    <w:rsid w:val="5CC77DB7"/>
    <w:rsid w:val="5CF3BED3"/>
    <w:rsid w:val="5D7E836A"/>
    <w:rsid w:val="5E134195"/>
    <w:rsid w:val="5E57056A"/>
    <w:rsid w:val="5F4D1084"/>
    <w:rsid w:val="5F574931"/>
    <w:rsid w:val="5F653392"/>
    <w:rsid w:val="5F9F0E1C"/>
    <w:rsid w:val="5FA70236"/>
    <w:rsid w:val="5FADB2A5"/>
    <w:rsid w:val="5FC51D93"/>
    <w:rsid w:val="5FE17B5F"/>
    <w:rsid w:val="5FF76A31"/>
    <w:rsid w:val="5FFDC3F8"/>
    <w:rsid w:val="5FFF4D52"/>
    <w:rsid w:val="6017063D"/>
    <w:rsid w:val="6068003C"/>
    <w:rsid w:val="60AF5C2B"/>
    <w:rsid w:val="60E55FC6"/>
    <w:rsid w:val="612453EE"/>
    <w:rsid w:val="613A000F"/>
    <w:rsid w:val="615024CA"/>
    <w:rsid w:val="61563DF9"/>
    <w:rsid w:val="61867B96"/>
    <w:rsid w:val="61BD3992"/>
    <w:rsid w:val="61C22899"/>
    <w:rsid w:val="61DD4B79"/>
    <w:rsid w:val="627111A7"/>
    <w:rsid w:val="627A79CB"/>
    <w:rsid w:val="62B801B0"/>
    <w:rsid w:val="63261E26"/>
    <w:rsid w:val="635748C3"/>
    <w:rsid w:val="63D14A88"/>
    <w:rsid w:val="63D34862"/>
    <w:rsid w:val="63EE8392"/>
    <w:rsid w:val="63F110B9"/>
    <w:rsid w:val="64A26573"/>
    <w:rsid w:val="65B640BD"/>
    <w:rsid w:val="65CB5B13"/>
    <w:rsid w:val="65F986C6"/>
    <w:rsid w:val="665BFF06"/>
    <w:rsid w:val="67E731D0"/>
    <w:rsid w:val="67FA92D6"/>
    <w:rsid w:val="681E4F9A"/>
    <w:rsid w:val="68416194"/>
    <w:rsid w:val="687541B2"/>
    <w:rsid w:val="68D8699F"/>
    <w:rsid w:val="68F30359"/>
    <w:rsid w:val="69446BC9"/>
    <w:rsid w:val="69F707E9"/>
    <w:rsid w:val="6A156404"/>
    <w:rsid w:val="6A1915B2"/>
    <w:rsid w:val="6A910C4D"/>
    <w:rsid w:val="6ABBCA6B"/>
    <w:rsid w:val="6AF02D0E"/>
    <w:rsid w:val="6B7FEFCA"/>
    <w:rsid w:val="6B9760D8"/>
    <w:rsid w:val="6BD7CF89"/>
    <w:rsid w:val="6BE20784"/>
    <w:rsid w:val="6BFB4EC8"/>
    <w:rsid w:val="6BFD7624"/>
    <w:rsid w:val="6C23442F"/>
    <w:rsid w:val="6C527581"/>
    <w:rsid w:val="6C7B109E"/>
    <w:rsid w:val="6C9375A4"/>
    <w:rsid w:val="6CAD18ED"/>
    <w:rsid w:val="6D478248"/>
    <w:rsid w:val="6D6B15AD"/>
    <w:rsid w:val="6DF37D4F"/>
    <w:rsid w:val="6DF744B2"/>
    <w:rsid w:val="6E4118B0"/>
    <w:rsid w:val="6ED635EB"/>
    <w:rsid w:val="6EFEE687"/>
    <w:rsid w:val="6F110FC5"/>
    <w:rsid w:val="6F196179"/>
    <w:rsid w:val="6FB94D60"/>
    <w:rsid w:val="6FDBAC7B"/>
    <w:rsid w:val="6FE95146"/>
    <w:rsid w:val="6FF9DB68"/>
    <w:rsid w:val="6FFC21AB"/>
    <w:rsid w:val="6FFDE0BC"/>
    <w:rsid w:val="6FFE919A"/>
    <w:rsid w:val="6FFF9A7F"/>
    <w:rsid w:val="70330A9B"/>
    <w:rsid w:val="70A77661"/>
    <w:rsid w:val="70D63EAD"/>
    <w:rsid w:val="70E04962"/>
    <w:rsid w:val="71261F83"/>
    <w:rsid w:val="71AFA2AA"/>
    <w:rsid w:val="71BB3216"/>
    <w:rsid w:val="720B2AD6"/>
    <w:rsid w:val="72997A96"/>
    <w:rsid w:val="729D5A9E"/>
    <w:rsid w:val="72F60C61"/>
    <w:rsid w:val="72FC846D"/>
    <w:rsid w:val="734E4A03"/>
    <w:rsid w:val="73FD774E"/>
    <w:rsid w:val="73FF0B75"/>
    <w:rsid w:val="73FF6476"/>
    <w:rsid w:val="73FF7B6F"/>
    <w:rsid w:val="74C1280E"/>
    <w:rsid w:val="75295BE7"/>
    <w:rsid w:val="75658274"/>
    <w:rsid w:val="75782D22"/>
    <w:rsid w:val="75936B43"/>
    <w:rsid w:val="759F35D1"/>
    <w:rsid w:val="75EA00C2"/>
    <w:rsid w:val="75FB31D0"/>
    <w:rsid w:val="76185B41"/>
    <w:rsid w:val="763D62D4"/>
    <w:rsid w:val="765ED0F9"/>
    <w:rsid w:val="767B43A9"/>
    <w:rsid w:val="76CD3C9B"/>
    <w:rsid w:val="76DA244C"/>
    <w:rsid w:val="76DF96EC"/>
    <w:rsid w:val="76F45F27"/>
    <w:rsid w:val="77167A98"/>
    <w:rsid w:val="77350BFF"/>
    <w:rsid w:val="774320FF"/>
    <w:rsid w:val="776680EC"/>
    <w:rsid w:val="778A0F8C"/>
    <w:rsid w:val="779E1547"/>
    <w:rsid w:val="77AF8CD8"/>
    <w:rsid w:val="77BD5FF1"/>
    <w:rsid w:val="77BDF763"/>
    <w:rsid w:val="77D5BF0D"/>
    <w:rsid w:val="77F76CD8"/>
    <w:rsid w:val="77FE33BD"/>
    <w:rsid w:val="77FE7847"/>
    <w:rsid w:val="78651B87"/>
    <w:rsid w:val="78837099"/>
    <w:rsid w:val="79987ADD"/>
    <w:rsid w:val="79B500A9"/>
    <w:rsid w:val="79D35795"/>
    <w:rsid w:val="79FBB935"/>
    <w:rsid w:val="79FFB6B4"/>
    <w:rsid w:val="7A35787F"/>
    <w:rsid w:val="7AD1181C"/>
    <w:rsid w:val="7AF77906"/>
    <w:rsid w:val="7AFF74AD"/>
    <w:rsid w:val="7AFFC2D7"/>
    <w:rsid w:val="7B292135"/>
    <w:rsid w:val="7B393532"/>
    <w:rsid w:val="7B3FDE96"/>
    <w:rsid w:val="7B53326B"/>
    <w:rsid w:val="7B76C4E4"/>
    <w:rsid w:val="7B7F26E7"/>
    <w:rsid w:val="7B8DFF11"/>
    <w:rsid w:val="7B996353"/>
    <w:rsid w:val="7B9F4FAC"/>
    <w:rsid w:val="7BA63AF9"/>
    <w:rsid w:val="7BBB2AC0"/>
    <w:rsid w:val="7BC041D3"/>
    <w:rsid w:val="7BD7E0ED"/>
    <w:rsid w:val="7BDF1F25"/>
    <w:rsid w:val="7BEE0E3F"/>
    <w:rsid w:val="7C0A5DB9"/>
    <w:rsid w:val="7C881148"/>
    <w:rsid w:val="7CEADDA1"/>
    <w:rsid w:val="7CF85E9B"/>
    <w:rsid w:val="7CFDA063"/>
    <w:rsid w:val="7D142DAC"/>
    <w:rsid w:val="7D5A7A3D"/>
    <w:rsid w:val="7DAAC17A"/>
    <w:rsid w:val="7DAEE00C"/>
    <w:rsid w:val="7DAFA72E"/>
    <w:rsid w:val="7DBF2633"/>
    <w:rsid w:val="7DDF0426"/>
    <w:rsid w:val="7DF62DC8"/>
    <w:rsid w:val="7DFE6914"/>
    <w:rsid w:val="7DFF49E7"/>
    <w:rsid w:val="7E17C650"/>
    <w:rsid w:val="7E63C76D"/>
    <w:rsid w:val="7E7389F9"/>
    <w:rsid w:val="7EDDE468"/>
    <w:rsid w:val="7EDF26C6"/>
    <w:rsid w:val="7EE8047A"/>
    <w:rsid w:val="7EF6D18E"/>
    <w:rsid w:val="7EFDC4D4"/>
    <w:rsid w:val="7F1172CE"/>
    <w:rsid w:val="7F2F0A6A"/>
    <w:rsid w:val="7F3D17A5"/>
    <w:rsid w:val="7F4B1D9D"/>
    <w:rsid w:val="7F4F1E75"/>
    <w:rsid w:val="7F5250FB"/>
    <w:rsid w:val="7F5C6228"/>
    <w:rsid w:val="7F5FDC43"/>
    <w:rsid w:val="7F7FFF6B"/>
    <w:rsid w:val="7FAD948A"/>
    <w:rsid w:val="7FCE6114"/>
    <w:rsid w:val="7FCEF902"/>
    <w:rsid w:val="7FDAE848"/>
    <w:rsid w:val="7FDF0F63"/>
    <w:rsid w:val="7FDF7633"/>
    <w:rsid w:val="7FEDD813"/>
    <w:rsid w:val="7FEF3261"/>
    <w:rsid w:val="7FEF7B33"/>
    <w:rsid w:val="7FFB720A"/>
    <w:rsid w:val="7FFB8CD6"/>
    <w:rsid w:val="7FFB9918"/>
    <w:rsid w:val="7FFC3128"/>
    <w:rsid w:val="7FFEB48B"/>
    <w:rsid w:val="7FFFD7B5"/>
    <w:rsid w:val="7FFFE134"/>
    <w:rsid w:val="7FFFE6B2"/>
    <w:rsid w:val="90C70C1D"/>
    <w:rsid w:val="95748ADD"/>
    <w:rsid w:val="976F37C1"/>
    <w:rsid w:val="9FF74726"/>
    <w:rsid w:val="9FFBE7F1"/>
    <w:rsid w:val="A63F9B8B"/>
    <w:rsid w:val="AAFBCBAA"/>
    <w:rsid w:val="AB97F0EC"/>
    <w:rsid w:val="AB9F1508"/>
    <w:rsid w:val="AB9F4FB5"/>
    <w:rsid w:val="ABC193CA"/>
    <w:rsid w:val="AE6BCF78"/>
    <w:rsid w:val="AF7CD5A3"/>
    <w:rsid w:val="AFEF91B2"/>
    <w:rsid w:val="B5F5C9BD"/>
    <w:rsid w:val="B67D59D0"/>
    <w:rsid w:val="B6FF5C52"/>
    <w:rsid w:val="B6FFEBBD"/>
    <w:rsid w:val="B77EC387"/>
    <w:rsid w:val="B7D77C8D"/>
    <w:rsid w:val="B7DD90B1"/>
    <w:rsid w:val="B7E69CA5"/>
    <w:rsid w:val="B9861CF5"/>
    <w:rsid w:val="BA5F33B9"/>
    <w:rsid w:val="BA7B23C6"/>
    <w:rsid w:val="BADF4915"/>
    <w:rsid w:val="BB5FC936"/>
    <w:rsid w:val="BB7727AA"/>
    <w:rsid w:val="BB7FB299"/>
    <w:rsid w:val="BBCD6D58"/>
    <w:rsid w:val="BC2BCD0E"/>
    <w:rsid w:val="BD1FA329"/>
    <w:rsid w:val="BD2F5AC0"/>
    <w:rsid w:val="BD6B5934"/>
    <w:rsid w:val="BDEB3B70"/>
    <w:rsid w:val="BDFFBC2D"/>
    <w:rsid w:val="BED58476"/>
    <w:rsid w:val="BF5F683F"/>
    <w:rsid w:val="BF8FC32B"/>
    <w:rsid w:val="BFCD7786"/>
    <w:rsid w:val="BFDF9AEA"/>
    <w:rsid w:val="BFF7A960"/>
    <w:rsid w:val="BFFF0D2F"/>
    <w:rsid w:val="BFFF574C"/>
    <w:rsid w:val="C34F9853"/>
    <w:rsid w:val="C387C4C3"/>
    <w:rsid w:val="C5FA185C"/>
    <w:rsid w:val="C5FF471B"/>
    <w:rsid w:val="C76F0485"/>
    <w:rsid w:val="C777A703"/>
    <w:rsid w:val="C7FB6F9B"/>
    <w:rsid w:val="CA2B30B5"/>
    <w:rsid w:val="CADE1B9C"/>
    <w:rsid w:val="CEE0B8B2"/>
    <w:rsid w:val="CF71F5C8"/>
    <w:rsid w:val="D1EF24BD"/>
    <w:rsid w:val="D2630A82"/>
    <w:rsid w:val="D3FE4BD0"/>
    <w:rsid w:val="D57F0770"/>
    <w:rsid w:val="D5EF0D32"/>
    <w:rsid w:val="D6FBE704"/>
    <w:rsid w:val="D71F6A7F"/>
    <w:rsid w:val="D97F097F"/>
    <w:rsid w:val="D9EB0E18"/>
    <w:rsid w:val="D9F60553"/>
    <w:rsid w:val="DAB79669"/>
    <w:rsid w:val="DAB907CA"/>
    <w:rsid w:val="DB70D663"/>
    <w:rsid w:val="DBDB1357"/>
    <w:rsid w:val="DBE9B462"/>
    <w:rsid w:val="DBFF4D23"/>
    <w:rsid w:val="DDE72ECC"/>
    <w:rsid w:val="DDFF2490"/>
    <w:rsid w:val="DEF7D203"/>
    <w:rsid w:val="DEFF0530"/>
    <w:rsid w:val="DF47C653"/>
    <w:rsid w:val="DFCFF7AA"/>
    <w:rsid w:val="DFF66014"/>
    <w:rsid w:val="DFFE4B2D"/>
    <w:rsid w:val="E1DA9ABC"/>
    <w:rsid w:val="E4DEFE6C"/>
    <w:rsid w:val="E6D72CDB"/>
    <w:rsid w:val="E6FF8EB9"/>
    <w:rsid w:val="E7D76492"/>
    <w:rsid w:val="E7FECF28"/>
    <w:rsid w:val="EB5E586C"/>
    <w:rsid w:val="EB7DA18F"/>
    <w:rsid w:val="EB979F84"/>
    <w:rsid w:val="EBB1645C"/>
    <w:rsid w:val="EBFDD300"/>
    <w:rsid w:val="EBFE9FD6"/>
    <w:rsid w:val="EDDF5B87"/>
    <w:rsid w:val="EDF7085C"/>
    <w:rsid w:val="EDF964D0"/>
    <w:rsid w:val="EEFE397B"/>
    <w:rsid w:val="EF1B177D"/>
    <w:rsid w:val="EFBC0CB1"/>
    <w:rsid w:val="EFBFE25C"/>
    <w:rsid w:val="EFDA5BE2"/>
    <w:rsid w:val="F0FFDC01"/>
    <w:rsid w:val="F3D20B74"/>
    <w:rsid w:val="F5B6A37E"/>
    <w:rsid w:val="F5FFB10E"/>
    <w:rsid w:val="F66593CB"/>
    <w:rsid w:val="F7BB4BB2"/>
    <w:rsid w:val="F7BF5FF3"/>
    <w:rsid w:val="F7DE97CE"/>
    <w:rsid w:val="F7E65D04"/>
    <w:rsid w:val="F7F3DD9D"/>
    <w:rsid w:val="F7FD9895"/>
    <w:rsid w:val="F7FFFA75"/>
    <w:rsid w:val="F9C75957"/>
    <w:rsid w:val="F9D7A8FE"/>
    <w:rsid w:val="F9DF2179"/>
    <w:rsid w:val="FA7F2563"/>
    <w:rsid w:val="FAEFD810"/>
    <w:rsid w:val="FB1F122D"/>
    <w:rsid w:val="FB6F264B"/>
    <w:rsid w:val="FB7B8436"/>
    <w:rsid w:val="FB7D31EA"/>
    <w:rsid w:val="FBB93422"/>
    <w:rsid w:val="FBBFCC4A"/>
    <w:rsid w:val="FBFBF037"/>
    <w:rsid w:val="FCCFF80D"/>
    <w:rsid w:val="FCFF14EB"/>
    <w:rsid w:val="FD13FEDE"/>
    <w:rsid w:val="FD23C444"/>
    <w:rsid w:val="FD361F9C"/>
    <w:rsid w:val="FD3DAF5D"/>
    <w:rsid w:val="FD7FF82C"/>
    <w:rsid w:val="FDBDAC75"/>
    <w:rsid w:val="FDDF1894"/>
    <w:rsid w:val="FDFF08DA"/>
    <w:rsid w:val="FEACA7E5"/>
    <w:rsid w:val="FEE41C02"/>
    <w:rsid w:val="FEEF96D5"/>
    <w:rsid w:val="FEFD670D"/>
    <w:rsid w:val="FF764952"/>
    <w:rsid w:val="FF7F0546"/>
    <w:rsid w:val="FF7FC7D9"/>
    <w:rsid w:val="FFA700A1"/>
    <w:rsid w:val="FFA7ACDA"/>
    <w:rsid w:val="FFBF92EE"/>
    <w:rsid w:val="FFC9C8FA"/>
    <w:rsid w:val="FFCE78B0"/>
    <w:rsid w:val="FFCFCC28"/>
    <w:rsid w:val="FFD5B0F0"/>
    <w:rsid w:val="FFDA9C8D"/>
    <w:rsid w:val="FFDDC919"/>
    <w:rsid w:val="FFE710CD"/>
    <w:rsid w:val="FFEBCD7F"/>
    <w:rsid w:val="FFEF11AA"/>
    <w:rsid w:val="FFF7006C"/>
    <w:rsid w:val="FFF7D867"/>
    <w:rsid w:val="FFF7EA5D"/>
    <w:rsid w:val="FFF94640"/>
    <w:rsid w:val="FFFA035F"/>
    <w:rsid w:val="FFFB01A9"/>
    <w:rsid w:val="FFFF0E31"/>
    <w:rsid w:val="FFFF3F96"/>
    <w:rsid w:val="FFFFC4E0"/>
    <w:rsid w:val="FFFFF1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next w:val="1"/>
    <w:unhideWhenUsed/>
    <w:qFormat/>
    <w:uiPriority w:val="0"/>
    <w:pPr>
      <w:keepNext/>
      <w:keepLines/>
      <w:numPr>
        <w:ilvl w:val="2"/>
        <w:numId w:val="1"/>
      </w:numPr>
      <w:spacing w:before="120" w:after="120" w:line="360" w:lineRule="auto"/>
      <w:ind w:left="993"/>
      <w:outlineLvl w:val="2"/>
    </w:pPr>
    <w:rPr>
      <w:rFonts w:ascii="Calibri" w:hAnsi="Calibri" w:eastAsia="黑体" w:cs="Times New Roman"/>
      <w:b/>
      <w:bCs/>
      <w:kern w:val="2"/>
      <w:sz w:val="32"/>
      <w:szCs w:val="32"/>
      <w:lang w:val="en-US" w:eastAsia="zh-CN" w:bidi="ar-SA"/>
    </w:rPr>
  </w:style>
  <w:style w:type="paragraph" w:styleId="6">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99"/>
    <w:pPr>
      <w:widowControl w:val="0"/>
      <w:jc w:val="both"/>
    </w:pPr>
    <w:rPr>
      <w:rFonts w:ascii="Calibri" w:hAnsi="Calibri" w:eastAsia="宋体" w:cs="Times New Roman"/>
      <w:kern w:val="2"/>
      <w:sz w:val="21"/>
      <w:szCs w:val="22"/>
      <w:lang w:val="en-US" w:eastAsia="zh-CN" w:bidi="ar-SA"/>
    </w:rPr>
  </w:style>
  <w:style w:type="paragraph" w:styleId="7">
    <w:name w:val="toc 7"/>
    <w:basedOn w:val="1"/>
    <w:next w:val="1"/>
    <w:qFormat/>
    <w:uiPriority w:val="0"/>
    <w:pPr>
      <w:ind w:left="1260"/>
      <w:jc w:val="left"/>
    </w:pPr>
    <w:rPr>
      <w:rFonts w:asciiTheme="minorHAnsi" w:hAnsiTheme="minorHAnsi"/>
      <w:sz w:val="18"/>
      <w:szCs w:val="18"/>
    </w:rPr>
  </w:style>
  <w:style w:type="paragraph" w:styleId="8">
    <w:name w:val="Normal Indent"/>
    <w:basedOn w:val="1"/>
    <w:qFormat/>
    <w:uiPriority w:val="0"/>
    <w:pPr>
      <w:ind w:firstLine="420"/>
    </w:pPr>
    <w:rPr>
      <w:szCs w:val="20"/>
    </w:rPr>
  </w:style>
  <w:style w:type="paragraph" w:styleId="9">
    <w:name w:val="caption"/>
    <w:basedOn w:val="1"/>
    <w:next w:val="1"/>
    <w:link w:val="56"/>
    <w:qFormat/>
    <w:uiPriority w:val="0"/>
    <w:pPr>
      <w:spacing w:before="152" w:after="160"/>
    </w:pPr>
    <w:rPr>
      <w:rFonts w:ascii="Arial" w:hAnsi="Arial" w:eastAsia="黑体" w:cs="Arial"/>
      <w:kern w:val="0"/>
      <w:sz w:val="20"/>
      <w:szCs w:val="20"/>
    </w:rPr>
  </w:style>
  <w:style w:type="paragraph" w:styleId="10">
    <w:name w:val="annotation text"/>
    <w:basedOn w:val="1"/>
    <w:qFormat/>
    <w:uiPriority w:val="0"/>
    <w:pPr>
      <w:jc w:val="left"/>
    </w:pPr>
  </w:style>
  <w:style w:type="paragraph" w:styleId="11">
    <w:name w:val="Body Text"/>
    <w:basedOn w:val="1"/>
    <w:next w:val="12"/>
    <w:qFormat/>
    <w:uiPriority w:val="0"/>
    <w:pPr>
      <w:spacing w:line="520" w:lineRule="exact"/>
      <w:jc w:val="center"/>
    </w:pPr>
    <w:rPr>
      <w:rFonts w:eastAsia="黑体"/>
      <w:color w:val="FF0000"/>
      <w:sz w:val="44"/>
    </w:rPr>
  </w:style>
  <w:style w:type="paragraph" w:styleId="12">
    <w:name w:val="Body Text First Indent"/>
    <w:basedOn w:val="11"/>
    <w:next w:val="1"/>
    <w:qFormat/>
    <w:uiPriority w:val="99"/>
    <w:pPr>
      <w:spacing w:after="120" w:line="240" w:lineRule="auto"/>
      <w:ind w:firstLine="420" w:firstLineChars="100"/>
      <w:jc w:val="both"/>
    </w:pPr>
    <w:rPr>
      <w:rFonts w:eastAsia="宋体"/>
      <w:color w:val="auto"/>
      <w:sz w:val="21"/>
    </w:rPr>
  </w:style>
  <w:style w:type="paragraph" w:styleId="13">
    <w:name w:val="Body Text Indent"/>
    <w:basedOn w:val="1"/>
    <w:link w:val="42"/>
    <w:qFormat/>
    <w:uiPriority w:val="99"/>
    <w:pPr>
      <w:spacing w:line="360" w:lineRule="auto"/>
      <w:ind w:firstLine="600" w:firstLineChars="200"/>
    </w:pPr>
    <w:rPr>
      <w:rFonts w:ascii="仿宋_GB2312" w:hAnsi="宋体" w:eastAsia="仿宋_GB2312"/>
      <w:sz w:val="30"/>
    </w:rPr>
  </w:style>
  <w:style w:type="paragraph" w:styleId="14">
    <w:name w:val="toc 5"/>
    <w:basedOn w:val="1"/>
    <w:next w:val="1"/>
    <w:qFormat/>
    <w:uiPriority w:val="0"/>
    <w:pPr>
      <w:ind w:left="840"/>
      <w:jc w:val="left"/>
    </w:pPr>
    <w:rPr>
      <w:rFonts w:asciiTheme="minorHAnsi" w:hAnsiTheme="minorHAnsi"/>
      <w:sz w:val="18"/>
      <w:szCs w:val="18"/>
    </w:rPr>
  </w:style>
  <w:style w:type="paragraph" w:styleId="15">
    <w:name w:val="toc 3"/>
    <w:basedOn w:val="1"/>
    <w:next w:val="1"/>
    <w:qFormat/>
    <w:uiPriority w:val="0"/>
    <w:pPr>
      <w:ind w:left="420"/>
      <w:jc w:val="left"/>
    </w:pPr>
    <w:rPr>
      <w:rFonts w:asciiTheme="minorHAnsi" w:hAnsiTheme="minorHAnsi"/>
      <w:i/>
      <w:iCs/>
      <w:sz w:val="20"/>
      <w:szCs w:val="20"/>
    </w:rPr>
  </w:style>
  <w:style w:type="paragraph" w:styleId="16">
    <w:name w:val="Plain Text"/>
    <w:basedOn w:val="1"/>
    <w:link w:val="46"/>
    <w:qFormat/>
    <w:uiPriority w:val="99"/>
    <w:pPr>
      <w:spacing w:beforeLines="50" w:afterLines="50" w:line="400" w:lineRule="exact"/>
    </w:pPr>
    <w:rPr>
      <w:rFonts w:ascii="宋体" w:hAnsi="Courier New"/>
      <w:sz w:val="24"/>
    </w:rPr>
  </w:style>
  <w:style w:type="paragraph" w:styleId="17">
    <w:name w:val="toc 8"/>
    <w:basedOn w:val="1"/>
    <w:next w:val="1"/>
    <w:qFormat/>
    <w:uiPriority w:val="0"/>
    <w:pPr>
      <w:ind w:left="1470"/>
      <w:jc w:val="left"/>
    </w:pPr>
    <w:rPr>
      <w:rFonts w:asciiTheme="minorHAnsi" w:hAnsiTheme="minorHAnsi"/>
      <w:sz w:val="18"/>
      <w:szCs w:val="18"/>
    </w:rPr>
  </w:style>
  <w:style w:type="paragraph" w:styleId="18">
    <w:name w:val="Date"/>
    <w:basedOn w:val="1"/>
    <w:next w:val="1"/>
    <w:link w:val="52"/>
    <w:qFormat/>
    <w:uiPriority w:val="0"/>
    <w:pPr>
      <w:ind w:left="100" w:leftChars="2500"/>
    </w:pPr>
    <w:rPr>
      <w:rFonts w:ascii="仿宋_GB2312" w:hAnsi="宋体" w:eastAsia="仿宋_GB2312"/>
      <w:sz w:val="30"/>
    </w:rPr>
  </w:style>
  <w:style w:type="paragraph" w:styleId="19">
    <w:name w:val="Body Text Indent 2"/>
    <w:basedOn w:val="1"/>
    <w:link w:val="51"/>
    <w:qFormat/>
    <w:uiPriority w:val="0"/>
    <w:pPr>
      <w:spacing w:line="320" w:lineRule="atLeast"/>
      <w:ind w:firstLine="600" w:firstLineChars="250"/>
    </w:pPr>
    <w:rPr>
      <w:rFonts w:ascii="宋体" w:hAnsi="宋体"/>
      <w:sz w:val="24"/>
    </w:rPr>
  </w:style>
  <w:style w:type="paragraph" w:styleId="20">
    <w:name w:val="Balloon Text"/>
    <w:basedOn w:val="1"/>
    <w:link w:val="48"/>
    <w:qFormat/>
    <w:uiPriority w:val="0"/>
    <w:rPr>
      <w:sz w:val="18"/>
      <w:szCs w:val="18"/>
    </w:rPr>
  </w:style>
  <w:style w:type="paragraph" w:styleId="21">
    <w:name w:val="footer"/>
    <w:basedOn w:val="1"/>
    <w:link w:val="41"/>
    <w:qFormat/>
    <w:uiPriority w:val="99"/>
    <w:pPr>
      <w:tabs>
        <w:tab w:val="center" w:pos="4153"/>
        <w:tab w:val="right" w:pos="8306"/>
      </w:tabs>
      <w:snapToGrid w:val="0"/>
      <w:jc w:val="left"/>
    </w:pPr>
    <w:rPr>
      <w:sz w:val="18"/>
      <w:szCs w:val="18"/>
    </w:rPr>
  </w:style>
  <w:style w:type="paragraph" w:styleId="22">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heme="minorHAnsi" w:hAnsiTheme="minorHAnsi"/>
      <w:b/>
      <w:bCs/>
      <w:caps/>
      <w:sz w:val="20"/>
      <w:szCs w:val="20"/>
    </w:rPr>
  </w:style>
  <w:style w:type="paragraph" w:styleId="24">
    <w:name w:val="toc 4"/>
    <w:basedOn w:val="1"/>
    <w:next w:val="1"/>
    <w:qFormat/>
    <w:uiPriority w:val="0"/>
    <w:pPr>
      <w:ind w:left="630"/>
      <w:jc w:val="left"/>
    </w:pPr>
    <w:rPr>
      <w:rFonts w:asciiTheme="minorHAnsi" w:hAnsiTheme="minorHAnsi"/>
      <w:sz w:val="18"/>
      <w:szCs w:val="18"/>
    </w:rPr>
  </w:style>
  <w:style w:type="paragraph" w:styleId="25">
    <w:name w:val="toc 6"/>
    <w:basedOn w:val="1"/>
    <w:next w:val="1"/>
    <w:qFormat/>
    <w:uiPriority w:val="0"/>
    <w:pPr>
      <w:ind w:left="1050"/>
      <w:jc w:val="left"/>
    </w:pPr>
    <w:rPr>
      <w:rFonts w:asciiTheme="minorHAnsi" w:hAnsiTheme="minorHAnsi"/>
      <w:sz w:val="18"/>
      <w:szCs w:val="18"/>
    </w:rPr>
  </w:style>
  <w:style w:type="paragraph" w:styleId="26">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7">
    <w:name w:val="toc 2"/>
    <w:basedOn w:val="1"/>
    <w:next w:val="1"/>
    <w:qFormat/>
    <w:uiPriority w:val="39"/>
    <w:pPr>
      <w:ind w:left="210"/>
      <w:jc w:val="left"/>
    </w:pPr>
    <w:rPr>
      <w:rFonts w:asciiTheme="minorHAnsi" w:hAnsiTheme="minorHAnsi"/>
      <w:smallCaps/>
      <w:sz w:val="20"/>
      <w:szCs w:val="20"/>
    </w:rPr>
  </w:style>
  <w:style w:type="paragraph" w:styleId="28">
    <w:name w:val="toc 9"/>
    <w:basedOn w:val="1"/>
    <w:next w:val="1"/>
    <w:qFormat/>
    <w:uiPriority w:val="0"/>
    <w:pPr>
      <w:ind w:left="1680"/>
      <w:jc w:val="left"/>
    </w:pPr>
    <w:rPr>
      <w:rFonts w:asciiTheme="minorHAnsi" w:hAnsiTheme="minorHAnsi"/>
      <w:sz w:val="18"/>
      <w:szCs w:val="18"/>
    </w:rPr>
  </w:style>
  <w:style w:type="paragraph" w:styleId="29">
    <w:name w:val="Body Text 2"/>
    <w:basedOn w:val="1"/>
    <w:link w:val="53"/>
    <w:qFormat/>
    <w:uiPriority w:val="0"/>
    <w:pPr>
      <w:spacing w:after="120" w:line="480" w:lineRule="auto"/>
    </w:p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qFormat/>
    <w:uiPriority w:val="0"/>
    <w:pPr>
      <w:widowControl/>
      <w:spacing w:before="240" w:after="60"/>
      <w:jc w:val="center"/>
      <w:outlineLvl w:val="0"/>
    </w:pPr>
    <w:rPr>
      <w:rFonts w:ascii="Cambria" w:hAnsi="Cambria"/>
      <w:b/>
      <w:bCs/>
      <w:kern w:val="0"/>
      <w:sz w:val="32"/>
      <w:szCs w:val="32"/>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basedOn w:val="34"/>
    <w:qFormat/>
    <w:uiPriority w:val="0"/>
    <w:rPr>
      <w:i/>
    </w:rPr>
  </w:style>
  <w:style w:type="character" w:styleId="39">
    <w:name w:val="Hyperlink"/>
    <w:qFormat/>
    <w:uiPriority w:val="99"/>
    <w:rPr>
      <w:color w:val="0000FF"/>
      <w:u w:val="single"/>
    </w:rPr>
  </w:style>
  <w:style w:type="paragraph" w:customStyle="1" w:styleId="40">
    <w:name w:val="Default"/>
    <w:next w:val="1"/>
    <w:qFormat/>
    <w:uiPriority w:val="0"/>
    <w:pPr>
      <w:widowControl w:val="0"/>
      <w:autoSpaceDE w:val="0"/>
      <w:autoSpaceDN w:val="0"/>
      <w:adjustRightInd w:val="0"/>
    </w:pPr>
    <w:rPr>
      <w:rFonts w:ascii="微软雅黑" w:hAnsi="Calibri" w:eastAsia="微软雅黑" w:cs="Times New Roman"/>
      <w:color w:val="000000"/>
      <w:sz w:val="24"/>
      <w:szCs w:val="24"/>
      <w:lang w:val="en-US" w:eastAsia="zh-CN" w:bidi="ar-SA"/>
    </w:rPr>
  </w:style>
  <w:style w:type="character" w:customStyle="1" w:styleId="41">
    <w:name w:val="页脚 Char"/>
    <w:link w:val="21"/>
    <w:qFormat/>
    <w:uiPriority w:val="99"/>
    <w:rPr>
      <w:kern w:val="2"/>
      <w:sz w:val="18"/>
      <w:szCs w:val="18"/>
    </w:rPr>
  </w:style>
  <w:style w:type="character" w:customStyle="1" w:styleId="42">
    <w:name w:val="正文文本缩进 Char"/>
    <w:link w:val="13"/>
    <w:qFormat/>
    <w:uiPriority w:val="99"/>
    <w:rPr>
      <w:rFonts w:ascii="仿宋_GB2312" w:hAnsi="宋体" w:eastAsia="仿宋_GB2312"/>
      <w:kern w:val="2"/>
      <w:sz w:val="30"/>
      <w:szCs w:val="24"/>
      <w:lang w:val="en-US" w:eastAsia="zh-CN" w:bidi="ar-SA"/>
    </w:rPr>
  </w:style>
  <w:style w:type="character" w:customStyle="1" w:styleId="43">
    <w:name w:val="ptb181"/>
    <w:qFormat/>
    <w:uiPriority w:val="0"/>
    <w:rPr>
      <w:rFonts w:hint="default" w:ascii="Verdana" w:hAnsi="Verdana"/>
      <w:b/>
      <w:bCs/>
      <w:color w:val="000000"/>
      <w:sz w:val="27"/>
      <w:szCs w:val="27"/>
    </w:rPr>
  </w:style>
  <w:style w:type="paragraph" w:customStyle="1" w:styleId="44">
    <w:name w:val="Char"/>
    <w:basedOn w:val="1"/>
    <w:qFormat/>
    <w:uiPriority w:val="0"/>
    <w:rPr>
      <w:rFonts w:ascii="仿宋_GB2312" w:eastAsia="仿宋_GB2312"/>
      <w:b/>
      <w:sz w:val="32"/>
      <w:szCs w:val="32"/>
    </w:rPr>
  </w:style>
  <w:style w:type="character" w:customStyle="1" w:styleId="45">
    <w:name w:val="页眉 Char"/>
    <w:link w:val="22"/>
    <w:qFormat/>
    <w:uiPriority w:val="0"/>
    <w:rPr>
      <w:kern w:val="2"/>
      <w:sz w:val="18"/>
      <w:szCs w:val="18"/>
    </w:rPr>
  </w:style>
  <w:style w:type="character" w:customStyle="1" w:styleId="46">
    <w:name w:val="纯文本 Char"/>
    <w:link w:val="16"/>
    <w:qFormat/>
    <w:uiPriority w:val="0"/>
    <w:rPr>
      <w:rFonts w:ascii="宋体" w:hAnsi="Courier New"/>
      <w:kern w:val="2"/>
      <w:sz w:val="24"/>
      <w:szCs w:val="24"/>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character" w:customStyle="1" w:styleId="48">
    <w:name w:val="批注框文本 Char"/>
    <w:link w:val="20"/>
    <w:qFormat/>
    <w:uiPriority w:val="0"/>
    <w:rPr>
      <w:kern w:val="2"/>
      <w:sz w:val="18"/>
      <w:szCs w:val="18"/>
    </w:rPr>
  </w:style>
  <w:style w:type="paragraph" w:customStyle="1" w:styleId="49">
    <w:name w:val="Char1 Char Char Char"/>
    <w:basedOn w:val="1"/>
    <w:qFormat/>
    <w:uiPriority w:val="0"/>
    <w:pPr>
      <w:widowControl/>
      <w:snapToGrid w:val="0"/>
      <w:spacing w:before="120" w:after="160" w:line="360" w:lineRule="auto"/>
      <w:ind w:right="-360"/>
      <w:jc w:val="left"/>
    </w:pPr>
  </w:style>
  <w:style w:type="character" w:customStyle="1" w:styleId="50">
    <w:name w:val="value"/>
    <w:basedOn w:val="34"/>
    <w:qFormat/>
    <w:uiPriority w:val="0"/>
  </w:style>
  <w:style w:type="character" w:customStyle="1" w:styleId="51">
    <w:name w:val="正文文本缩进 2 Char"/>
    <w:basedOn w:val="34"/>
    <w:link w:val="19"/>
    <w:qFormat/>
    <w:uiPriority w:val="0"/>
    <w:rPr>
      <w:rFonts w:ascii="宋体" w:hAnsi="宋体"/>
      <w:kern w:val="2"/>
      <w:sz w:val="24"/>
      <w:szCs w:val="24"/>
    </w:rPr>
  </w:style>
  <w:style w:type="character" w:customStyle="1" w:styleId="52">
    <w:name w:val="日期 Char"/>
    <w:basedOn w:val="34"/>
    <w:link w:val="18"/>
    <w:qFormat/>
    <w:locked/>
    <w:uiPriority w:val="0"/>
    <w:rPr>
      <w:rFonts w:ascii="仿宋_GB2312" w:hAnsi="宋体" w:eastAsia="仿宋_GB2312"/>
      <w:kern w:val="2"/>
      <w:sz w:val="30"/>
      <w:szCs w:val="24"/>
    </w:rPr>
  </w:style>
  <w:style w:type="character" w:customStyle="1" w:styleId="53">
    <w:name w:val="正文文本 2 Char"/>
    <w:basedOn w:val="34"/>
    <w:link w:val="29"/>
    <w:qFormat/>
    <w:uiPriority w:val="0"/>
    <w:rPr>
      <w:kern w:val="2"/>
      <w:sz w:val="21"/>
      <w:szCs w:val="24"/>
    </w:rPr>
  </w:style>
  <w:style w:type="character" w:customStyle="1" w:styleId="54">
    <w:name w:val="页脚 Char1"/>
    <w:qFormat/>
    <w:uiPriority w:val="99"/>
    <w:rPr>
      <w:sz w:val="18"/>
      <w:szCs w:val="18"/>
    </w:rPr>
  </w:style>
  <w:style w:type="character" w:customStyle="1" w:styleId="55">
    <w:name w:val="页眉 Char1"/>
    <w:qFormat/>
    <w:uiPriority w:val="0"/>
    <w:rPr>
      <w:sz w:val="18"/>
      <w:szCs w:val="18"/>
    </w:rPr>
  </w:style>
  <w:style w:type="character" w:customStyle="1" w:styleId="56">
    <w:name w:val="题注 Char"/>
    <w:link w:val="9"/>
    <w:qFormat/>
    <w:uiPriority w:val="0"/>
    <w:rPr>
      <w:rFonts w:ascii="Arial" w:hAnsi="Arial" w:eastAsia="黑体" w:cs="Arial"/>
    </w:rPr>
  </w:style>
  <w:style w:type="paragraph" w:customStyle="1" w:styleId="5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纯文本 字符"/>
    <w:qFormat/>
    <w:uiPriority w:val="99"/>
    <w:rPr>
      <w:rFonts w:ascii="宋体" w:hAnsi="Courier New" w:eastAsia="宋体"/>
      <w:kern w:val="2"/>
      <w:sz w:val="21"/>
      <w:lang w:val="en-US" w:eastAsia="zh-CN" w:bidi="ar-SA"/>
    </w:rPr>
  </w:style>
  <w:style w:type="character" w:customStyle="1" w:styleId="59">
    <w:name w:val="bookmark-item"/>
    <w:basedOn w:val="34"/>
    <w:qFormat/>
    <w:uiPriority w:val="0"/>
  </w:style>
  <w:style w:type="paragraph" w:customStyle="1" w:styleId="60">
    <w:name w:val="段"/>
    <w:basedOn w:val="1"/>
    <w:next w:val="1"/>
    <w:qFormat/>
    <w:uiPriority w:val="0"/>
    <w:pPr>
      <w:widowControl/>
      <w:autoSpaceDE w:val="0"/>
      <w:autoSpaceDN w:val="0"/>
      <w:ind w:firstLine="200" w:firstLineChars="200"/>
    </w:pPr>
    <w:rPr>
      <w:rFonts w:ascii="宋体" w:hAnsi="Calibri" w:cs="宋体"/>
      <w:kern w:val="0"/>
      <w:szCs w:val="21"/>
    </w:rPr>
  </w:style>
  <w:style w:type="paragraph" w:customStyle="1" w:styleId="61">
    <w:name w:val="此正文"/>
    <w:basedOn w:val="1"/>
    <w:qFormat/>
    <w:uiPriority w:val="0"/>
    <w:pPr>
      <w:spacing w:line="360" w:lineRule="auto"/>
      <w:ind w:firstLine="200" w:firstLineChars="200"/>
    </w:pPr>
    <w:rPr>
      <w:sz w:val="24"/>
    </w:rPr>
  </w:style>
  <w:style w:type="paragraph" w:styleId="62">
    <w:name w:val="List Paragraph"/>
    <w:basedOn w:val="1"/>
    <w:qFormat/>
    <w:uiPriority w:val="34"/>
    <w:pPr>
      <w:ind w:firstLine="420" w:firstLineChars="200"/>
    </w:pPr>
  </w:style>
  <w:style w:type="paragraph" w:customStyle="1" w:styleId="63">
    <w:name w:val="段落样式"/>
    <w:basedOn w:val="1"/>
    <w:next w:val="62"/>
    <w:qFormat/>
    <w:uiPriority w:val="0"/>
    <w:pPr>
      <w:ind w:firstLine="420" w:firstLineChars="200"/>
    </w:pPr>
    <w:rPr>
      <w:kern w:val="0"/>
      <w:sz w:val="20"/>
      <w:szCs w:val="20"/>
    </w:rPr>
  </w:style>
  <w:style w:type="paragraph" w:customStyle="1" w:styleId="64">
    <w:name w:val="列出段落1"/>
    <w:basedOn w:val="1"/>
    <w:qFormat/>
    <w:uiPriority w:val="0"/>
    <w:pPr>
      <w:ind w:firstLine="420" w:firstLineChars="200"/>
    </w:pPr>
  </w:style>
  <w:style w:type="paragraph" w:styleId="65">
    <w:name w:val="No Spacing"/>
    <w:basedOn w:val="1"/>
    <w:qFormat/>
    <w:uiPriority w:val="1"/>
    <w:pPr>
      <w:widowControl w:val="0"/>
      <w:jc w:val="both"/>
    </w:pPr>
    <w:rPr>
      <w:rFonts w:ascii="Calibri" w:hAnsi="Calibri"/>
      <w:kern w:val="2"/>
      <w:sz w:val="24"/>
      <w:szCs w:val="24"/>
      <w:lang w:val="en-US" w:eastAsia="zh-CN" w:bidi="ar-SA"/>
    </w:rPr>
  </w:style>
  <w:style w:type="character" w:customStyle="1" w:styleId="66">
    <w:name w:val="font91"/>
    <w:basedOn w:val="34"/>
    <w:qFormat/>
    <w:uiPriority w:val="0"/>
    <w:rPr>
      <w:rFonts w:hint="eastAsia" w:ascii="宋体" w:hAnsi="宋体" w:eastAsia="宋体" w:cs="宋体"/>
      <w:color w:val="FF0000"/>
      <w:sz w:val="22"/>
      <w:szCs w:val="22"/>
      <w:u w:val="none"/>
    </w:rPr>
  </w:style>
  <w:style w:type="character" w:customStyle="1" w:styleId="67">
    <w:name w:val="font21"/>
    <w:basedOn w:val="34"/>
    <w:qFormat/>
    <w:uiPriority w:val="0"/>
    <w:rPr>
      <w:rFonts w:hint="eastAsia" w:ascii="宋体" w:hAnsi="宋体" w:eastAsia="宋体" w:cs="宋体"/>
      <w:color w:val="000000"/>
      <w:sz w:val="22"/>
      <w:szCs w:val="22"/>
      <w:u w:val="none"/>
    </w:rPr>
  </w:style>
  <w:style w:type="character" w:customStyle="1" w:styleId="68">
    <w:name w:val="font41"/>
    <w:basedOn w:val="34"/>
    <w:qFormat/>
    <w:uiPriority w:val="0"/>
    <w:rPr>
      <w:rFonts w:hint="eastAsia" w:ascii="宋体" w:hAnsi="宋体" w:eastAsia="宋体" w:cs="宋体"/>
      <w:color w:val="FF0000"/>
      <w:sz w:val="16"/>
      <w:szCs w:val="16"/>
      <w:u w:val="none"/>
    </w:rPr>
  </w:style>
  <w:style w:type="character" w:customStyle="1" w:styleId="69">
    <w:name w:val="font01"/>
    <w:basedOn w:val="34"/>
    <w:qFormat/>
    <w:uiPriority w:val="0"/>
    <w:rPr>
      <w:rFonts w:hint="eastAsia" w:ascii="宋体" w:hAnsi="宋体" w:eastAsia="宋体" w:cs="宋体"/>
      <w:color w:val="000000"/>
      <w:sz w:val="16"/>
      <w:szCs w:val="16"/>
      <w:u w:val="none"/>
    </w:rPr>
  </w:style>
  <w:style w:type="character" w:customStyle="1" w:styleId="70">
    <w:name w:val="font121"/>
    <w:basedOn w:val="34"/>
    <w:qFormat/>
    <w:uiPriority w:val="0"/>
    <w:rPr>
      <w:rFonts w:hint="eastAsia" w:ascii="宋体" w:hAnsi="宋体" w:eastAsia="宋体" w:cs="宋体"/>
      <w:color w:val="000000"/>
      <w:sz w:val="20"/>
      <w:szCs w:val="20"/>
      <w:u w:val="none"/>
    </w:rPr>
  </w:style>
  <w:style w:type="character" w:customStyle="1" w:styleId="71">
    <w:name w:val="font112"/>
    <w:basedOn w:val="34"/>
    <w:qFormat/>
    <w:uiPriority w:val="0"/>
    <w:rPr>
      <w:rFonts w:ascii="Arial" w:hAnsi="Arial" w:cs="Arial"/>
      <w:color w:val="000000"/>
      <w:sz w:val="20"/>
      <w:szCs w:val="20"/>
      <w:u w:val="none"/>
    </w:rPr>
  </w:style>
  <w:style w:type="character" w:customStyle="1" w:styleId="72">
    <w:name w:val="font101"/>
    <w:basedOn w:val="34"/>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91</Pages>
  <Words>67087</Words>
  <Characters>74342</Characters>
  <Lines>318</Lines>
  <Paragraphs>89</Paragraphs>
  <TotalTime>89</TotalTime>
  <ScaleCrop>false</ScaleCrop>
  <LinksUpToDate>false</LinksUpToDate>
  <CharactersWithSpaces>76254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2021-03-28T16:35:00Z</dcterms:created>
  <dc:creator>user</dc:creator>
  <cp:lastModifiedBy>冷清拥挤</cp:lastModifiedBy>
  <cp:lastPrinted>2022-06-13T15:38:00Z</cp:lastPrinted>
  <dcterms:modified xsi:type="dcterms:W3CDTF">2023-05-18T08:30:50Z</dcterms:modified>
  <dc:title>项目名称：浙江省湖州市（单位）</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CD74699BFEF94C41BC9D1B875EFFD7FE_13</vt:lpwstr>
  </property>
</Properties>
</file>